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E1388" w14:textId="149A2B4A" w:rsidR="008A10FA" w:rsidRPr="00C723E0" w:rsidRDefault="00596B15" w:rsidP="006B0828">
      <w:pPr>
        <w:rPr>
          <w:rFonts w:ascii="Calibri" w:hAnsi="Calibri" w:cs="Calibri"/>
          <w:lang w:val="en-AU"/>
        </w:rPr>
        <w:sectPr w:rsidR="008A10FA" w:rsidRPr="00C723E0" w:rsidSect="00596B15">
          <w:footerReference w:type="even" r:id="rId11"/>
          <w:footerReference w:type="default" r:id="rId12"/>
          <w:footerReference w:type="first" r:id="rId13"/>
          <w:pgSz w:w="11906" w:h="16838"/>
          <w:pgMar w:top="1440" w:right="1440" w:bottom="1440" w:left="1440" w:header="567" w:footer="567" w:gutter="0"/>
          <w:cols w:space="708"/>
          <w:docGrid w:linePitch="360"/>
        </w:sectPr>
      </w:pPr>
      <w:r w:rsidRPr="00C723E0">
        <w:rPr>
          <w:rFonts w:ascii="Calibri" w:hAnsi="Calibri" w:cs="Calibri"/>
          <w:noProof/>
          <w:sz w:val="18"/>
          <w:szCs w:val="18"/>
          <w:lang w:val="en-AU"/>
        </w:rPr>
        <w:drawing>
          <wp:anchor distT="0" distB="0" distL="114300" distR="114300" simplePos="0" relativeHeight="251658242" behindDoc="1" locked="0" layoutInCell="1" allowOverlap="1" wp14:anchorId="7C55DE42" wp14:editId="4069DC50">
            <wp:simplePos x="0" y="0"/>
            <wp:positionH relativeFrom="column">
              <wp:align>center</wp:align>
            </wp:positionH>
            <wp:positionV relativeFrom="paragraph">
              <wp:posOffset>-902335</wp:posOffset>
            </wp:positionV>
            <wp:extent cx="8578800" cy="8578800"/>
            <wp:effectExtent l="0" t="0" r="0" b="0"/>
            <wp:wrapNone/>
            <wp:docPr id="9947992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9274"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78800" cy="8578800"/>
                    </a:xfrm>
                    <a:prstGeom prst="rect">
                      <a:avLst/>
                    </a:prstGeom>
                  </pic:spPr>
                </pic:pic>
              </a:graphicData>
            </a:graphic>
            <wp14:sizeRelH relativeFrom="margin">
              <wp14:pctWidth>0</wp14:pctWidth>
            </wp14:sizeRelH>
            <wp14:sizeRelV relativeFrom="margin">
              <wp14:pctHeight>0</wp14:pctHeight>
            </wp14:sizeRelV>
          </wp:anchor>
        </w:drawing>
      </w:r>
      <w:r w:rsidRPr="00C723E0">
        <w:rPr>
          <w:rFonts w:ascii="Calibri" w:hAnsi="Calibri" w:cs="Calibri"/>
          <w:noProof/>
          <w:sz w:val="18"/>
          <w:szCs w:val="18"/>
          <w:lang w:val="en-AU"/>
        </w:rPr>
        <mc:AlternateContent>
          <mc:Choice Requires="wps">
            <w:drawing>
              <wp:anchor distT="0" distB="0" distL="114300" distR="114300" simplePos="0" relativeHeight="251658241" behindDoc="0" locked="1" layoutInCell="1" allowOverlap="1" wp14:anchorId="305F154D" wp14:editId="1FE1F486">
                <wp:simplePos x="0" y="0"/>
                <wp:positionH relativeFrom="margin">
                  <wp:posOffset>-1043305</wp:posOffset>
                </wp:positionH>
                <wp:positionV relativeFrom="page">
                  <wp:posOffset>9823450</wp:posOffset>
                </wp:positionV>
                <wp:extent cx="7804785" cy="893445"/>
                <wp:effectExtent l="0" t="0" r="5715" b="0"/>
                <wp:wrapNone/>
                <wp:docPr id="11" name="Rectangle 11"/>
                <wp:cNvGraphicFramePr/>
                <a:graphic xmlns:a="http://schemas.openxmlformats.org/drawingml/2006/main">
                  <a:graphicData uri="http://schemas.microsoft.com/office/word/2010/wordprocessingShape">
                    <wps:wsp>
                      <wps:cNvSpPr/>
                      <wps:spPr>
                        <a:xfrm>
                          <a:off x="0" y="0"/>
                          <a:ext cx="7804785" cy="893445"/>
                        </a:xfrm>
                        <a:prstGeom prst="rect">
                          <a:avLst/>
                        </a:prstGeom>
                        <a:solidFill>
                          <a:srgbClr val="F1696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9FCEE" w14:textId="50397B1C" w:rsidR="00596B15" w:rsidRPr="00C32086" w:rsidRDefault="00596B15" w:rsidP="00596B15">
                            <w:pPr>
                              <w:pStyle w:val="Subtitle"/>
                              <w:rPr>
                                <w:rFonts w:ascii="Calibri" w:hAnsi="Calibri" w:cs="Calibri"/>
                                <w:caps/>
                                <w:color w:val="FFFFFF" w:themeColor="background1"/>
                              </w:rPr>
                            </w:pPr>
                            <w:r w:rsidRPr="0084590E">
                              <w:rPr>
                                <w:rFonts w:ascii="Calibri" w:hAnsi="Calibri" w:cs="Calibri"/>
                                <w:color w:val="0A2F41" w:themeColor="accent1" w:themeShade="80"/>
                              </w:rPr>
                              <w:t>Submitted to</w:t>
                            </w:r>
                            <w:r w:rsidR="00FB3D6F" w:rsidRPr="0084590E">
                              <w:rPr>
                                <w:rFonts w:ascii="Calibri" w:hAnsi="Calibri" w:cs="Calibri"/>
                                <w:color w:val="0A2F41" w:themeColor="accent1" w:themeShade="80"/>
                              </w:rPr>
                              <w:t xml:space="preserve"> the International Finance Corporation (IFC) and </w:t>
                            </w:r>
                            <w:r w:rsidRPr="0084590E">
                              <w:rPr>
                                <w:rFonts w:ascii="Calibri" w:hAnsi="Calibri" w:cs="Calibri"/>
                                <w:color w:val="0A2F41" w:themeColor="accent1" w:themeShade="80"/>
                              </w:rPr>
                              <w:t>Department of Foreign Affairs and Trade (DFAT)</w:t>
                            </w:r>
                            <w:r w:rsidRPr="0084590E">
                              <w:rPr>
                                <w:rFonts w:ascii="Calibri" w:hAnsi="Calibri" w:cs="Calibri"/>
                                <w:color w:val="0A2F41" w:themeColor="accent1" w:themeShade="80"/>
                              </w:rPr>
                              <w:br/>
                            </w:r>
                            <w:r w:rsidR="00466A66">
                              <w:rPr>
                                <w:rFonts w:ascii="Calibri" w:hAnsi="Calibri" w:cs="Calibri"/>
                                <w:b/>
                                <w:bCs/>
                                <w:color w:val="FFFFFF" w:themeColor="background1"/>
                              </w:rPr>
                              <w:t>June</w:t>
                            </w:r>
                            <w:r w:rsidR="00C32086" w:rsidRPr="00C32086">
                              <w:rPr>
                                <w:rFonts w:ascii="Calibri" w:hAnsi="Calibri" w:cs="Calibri"/>
                                <w:b/>
                                <w:bCs/>
                                <w:color w:val="FFFFFF" w:themeColor="background1"/>
                              </w:rPr>
                              <w:t xml:space="preserve"> 2025</w:t>
                            </w:r>
                          </w:p>
                        </w:txbxContent>
                      </wps:txbx>
                      <wps:bodyPr rot="0" spcFirstLastPara="0" vertOverflow="overflow" horzOverflow="overflow" vert="horz" wrap="square" lIns="685800" tIns="0" rIns="6858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F154D" id="Rectangle 11" o:spid="_x0000_s1026" style="position:absolute;margin-left:-82.15pt;margin-top:773.5pt;width:614.55pt;height:7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9IiAIAAGkFAAAOAAAAZHJzL2Uyb0RvYy54bWysVFFv2yAQfp+0/4B4X+10TZpGdaqoVaZJ&#10;VRutnfpMMMSWMMeAxM5+/Q6wnbWr9jAtD+SA7767+3zH9U3XKHIQ1tWgCzo5yykRmkNZ611Bvz+v&#10;P80pcZ7pkinQoqBH4ejN8uOH69YsxDlUoEphCZJot2hNQSvvzSLLHK9Ew9wZGKHxUoJtmMet3WWl&#10;ZS2yNyo7z/NZ1oItjQUunMPTu3RJl5FfSsH9o5ROeKIKirn5uNq4bsOaLa/ZYmeZqWrep8H+IYuG&#10;1RqDjlR3zDOyt/UfVE3NLTiQ/oxDk4GUNRexBqxmkr+p5qliRsRaUBxnRpnc/6PlD4cns7EoQ2vc&#10;wqEZquikbcI/5ke6KNZxFEt0nnA8vJznF5fzKSUc7+ZXny8upkHN7ORtrPNfBDQkGAW1+DGiRuxw&#10;73yCDpAQzIGqy3WtVNzY3fZWWXJg+OHWk9nV7KpnfwVTOoA1BLfEGE6yUy3R8kclAk7pb0KSusTs&#10;z2Mmsc3EGIdxLrSfpKuKlSKFn+b4G6KHxgwesdJIGJglxh+5e4IBmUgG7pRljw+uInbp6Jz/LbHk&#10;PHrEyKD96NzUGux7BAqr6iMn/CBSkiao5Ltth5BgbqE8biyxkMbFGb6u8RPeM+c3zOJ84CThzPtH&#10;XKSCtqDQW5RUYH++dx7w2LZ4S0mL81ZQ92PPrKBEfdXY0LP5dI4qEx93aNhXx9u4myAkgPS+uQVs&#10;jAk+LoZHM3h4NZjSQvOCL8MqBMUrpjmGLij3dtjc+vQM4NvCxWoVYTiThvl7/WR4IA/6hg597l6Y&#10;NX0bexyABxhGky3edHPCBk8Nq70HWcdWP8naK4/zHFuof3vCg/H7PqJOL+TyFwAAAP//AwBQSwME&#10;FAAGAAgAAAAhAJDncAjkAAAADwEAAA8AAABkcnMvZG93bnJldi54bWxMj8FOwzAQRO9I/IO1SNxa&#10;p5AmaYhTISQ49IBK4NCjk7iJ1Xgd2W6T/j3bE9x2NE+zM8V2NgO7KOe1RQGrZQRMYWNbjZ2An+/3&#10;RQbMB4mtHCwqAVflYVve3xUyb+2EX+pShY5RCPpcCuhDGHPOfdMrI/3SjgrJO1pnZCDpOt46OVG4&#10;GfhTFCXcSI30oZejeutVc6rORsC+Prn17sNtNruMVwf9eZ32Wgvx+DC/vgALag5/MNzqU3UoqVNt&#10;z9h6NghYrJL4mVhy1nFKs25MlMS0p6YrydIUeFnw/zvKXwAAAP//AwBQSwECLQAUAAYACAAAACEA&#10;toM4kv4AAADhAQAAEwAAAAAAAAAAAAAAAAAAAAAAW0NvbnRlbnRfVHlwZXNdLnhtbFBLAQItABQA&#10;BgAIAAAAIQA4/SH/1gAAAJQBAAALAAAAAAAAAAAAAAAAAC8BAABfcmVscy8ucmVsc1BLAQItABQA&#10;BgAIAAAAIQAu7e9IiAIAAGkFAAAOAAAAAAAAAAAAAAAAAC4CAABkcnMvZTJvRG9jLnhtbFBLAQIt&#10;ABQABgAIAAAAIQCQ53AI5AAAAA8BAAAPAAAAAAAAAAAAAAAAAOIEAABkcnMvZG93bnJldi54bWxQ&#10;SwUGAAAAAAQABADzAAAA8wUAAAAA&#10;" fillcolor="#f16969" stroked="f" strokeweight="1pt">
                <v:textbox inset="54pt,0,54pt,5mm">
                  <w:txbxContent>
                    <w:p w14:paraId="64E9FCEE" w14:textId="50397B1C" w:rsidR="00596B15" w:rsidRPr="00C32086" w:rsidRDefault="00596B15" w:rsidP="00596B15">
                      <w:pPr>
                        <w:pStyle w:val="Subtitle"/>
                        <w:rPr>
                          <w:rFonts w:ascii="Calibri" w:hAnsi="Calibri" w:cs="Calibri"/>
                          <w:caps/>
                          <w:color w:val="FFFFFF" w:themeColor="background1"/>
                        </w:rPr>
                      </w:pPr>
                      <w:r w:rsidRPr="0084590E">
                        <w:rPr>
                          <w:rFonts w:ascii="Calibri" w:hAnsi="Calibri" w:cs="Calibri"/>
                          <w:color w:val="0A2F41" w:themeColor="accent1" w:themeShade="80"/>
                        </w:rPr>
                        <w:t>Submitted to</w:t>
                      </w:r>
                      <w:r w:rsidR="00FB3D6F" w:rsidRPr="0084590E">
                        <w:rPr>
                          <w:rFonts w:ascii="Calibri" w:hAnsi="Calibri" w:cs="Calibri"/>
                          <w:color w:val="0A2F41" w:themeColor="accent1" w:themeShade="80"/>
                        </w:rPr>
                        <w:t xml:space="preserve"> the International Finance Corporation (IFC) and </w:t>
                      </w:r>
                      <w:r w:rsidRPr="0084590E">
                        <w:rPr>
                          <w:rFonts w:ascii="Calibri" w:hAnsi="Calibri" w:cs="Calibri"/>
                          <w:color w:val="0A2F41" w:themeColor="accent1" w:themeShade="80"/>
                        </w:rPr>
                        <w:t>Department of Foreign Affairs and Trade (DFAT)</w:t>
                      </w:r>
                      <w:r w:rsidRPr="0084590E">
                        <w:rPr>
                          <w:rFonts w:ascii="Calibri" w:hAnsi="Calibri" w:cs="Calibri"/>
                          <w:color w:val="0A2F41" w:themeColor="accent1" w:themeShade="80"/>
                        </w:rPr>
                        <w:br/>
                      </w:r>
                      <w:r w:rsidR="00466A66">
                        <w:rPr>
                          <w:rFonts w:ascii="Calibri" w:hAnsi="Calibri" w:cs="Calibri"/>
                          <w:b/>
                          <w:bCs/>
                          <w:color w:val="FFFFFF" w:themeColor="background1"/>
                        </w:rPr>
                        <w:t>June</w:t>
                      </w:r>
                      <w:r w:rsidR="00C32086" w:rsidRPr="00C32086">
                        <w:rPr>
                          <w:rFonts w:ascii="Calibri" w:hAnsi="Calibri" w:cs="Calibri"/>
                          <w:b/>
                          <w:bCs/>
                          <w:color w:val="FFFFFF" w:themeColor="background1"/>
                        </w:rPr>
                        <w:t xml:space="preserve"> 2025</w:t>
                      </w:r>
                    </w:p>
                  </w:txbxContent>
                </v:textbox>
                <w10:wrap anchorx="margin" anchory="page"/>
                <w10:anchorlock/>
              </v:rect>
            </w:pict>
          </mc:Fallback>
        </mc:AlternateContent>
      </w:r>
      <w:r w:rsidRPr="00C723E0">
        <w:rPr>
          <w:rFonts w:ascii="Calibri" w:hAnsi="Calibri" w:cs="Calibri"/>
          <w:noProof/>
          <w:sz w:val="18"/>
          <w:szCs w:val="18"/>
          <w:lang w:val="en-AU"/>
        </w:rPr>
        <mc:AlternateContent>
          <mc:Choice Requires="wps">
            <w:drawing>
              <wp:anchor distT="0" distB="0" distL="114300" distR="114300" simplePos="0" relativeHeight="251658240" behindDoc="0" locked="1" layoutInCell="1" allowOverlap="1" wp14:anchorId="0982354A" wp14:editId="458E07A7">
                <wp:simplePos x="0" y="0"/>
                <wp:positionH relativeFrom="margin">
                  <wp:align>center</wp:align>
                </wp:positionH>
                <wp:positionV relativeFrom="page">
                  <wp:posOffset>8596630</wp:posOffset>
                </wp:positionV>
                <wp:extent cx="7804800" cy="1328400"/>
                <wp:effectExtent l="0" t="0" r="5715" b="5715"/>
                <wp:wrapNone/>
                <wp:docPr id="8" name="Rectangle 8"/>
                <wp:cNvGraphicFramePr/>
                <a:graphic xmlns:a="http://schemas.openxmlformats.org/drawingml/2006/main">
                  <a:graphicData uri="http://schemas.microsoft.com/office/word/2010/wordprocessingShape">
                    <wps:wsp>
                      <wps:cNvSpPr/>
                      <wps:spPr>
                        <a:xfrm>
                          <a:off x="0" y="0"/>
                          <a:ext cx="7804800" cy="1328400"/>
                        </a:xfrm>
                        <a:prstGeom prst="rect">
                          <a:avLst/>
                        </a:prstGeom>
                        <a:solidFill>
                          <a:srgbClr val="F16969"/>
                        </a:solidFill>
                        <a:ln>
                          <a:noFill/>
                        </a:ln>
                      </wps:spPr>
                      <wps:style>
                        <a:lnRef idx="0">
                          <a:scrgbClr r="0" g="0" b="0"/>
                        </a:lnRef>
                        <a:fillRef idx="0">
                          <a:scrgbClr r="0" g="0" b="0"/>
                        </a:fillRef>
                        <a:effectRef idx="0">
                          <a:scrgbClr r="0" g="0" b="0"/>
                        </a:effectRef>
                        <a:fontRef idx="minor">
                          <a:schemeClr val="lt1"/>
                        </a:fontRef>
                      </wps:style>
                      <wps:txbx>
                        <w:txbxContent>
                          <w:sdt>
                            <w:sdtPr>
                              <w:rPr>
                                <w:rFonts w:ascii="Calibri" w:hAnsi="Calibri" w:cs="Calibri"/>
                                <w:b/>
                                <w:bCs/>
                                <w:sz w:val="56"/>
                                <w:szCs w:val="72"/>
                              </w:rPr>
                              <w:alias w:val="Title"/>
                              <w:tag w:val=""/>
                              <w:id w:val="-970047070"/>
                              <w:placeholder>
                                <w:docPart w:val="6106F4825FC84A54B7635CF462399121"/>
                              </w:placeholder>
                              <w:dataBinding w:prefixMappings="xmlns:ns0='http://purl.org/dc/elements/1.1/' xmlns:ns1='http://schemas.openxmlformats.org/package/2006/metadata/core-properties' " w:xpath="/ns1:coreProperties[1]/ns0:title[1]" w:storeItemID="{6C3C8BC8-F283-45AE-878A-BAB7291924A1}"/>
                              <w:text/>
                            </w:sdtPr>
                            <w:sdtContent>
                              <w:p w14:paraId="79E06A83" w14:textId="0C1C4680" w:rsidR="00596B15" w:rsidRPr="00C32086" w:rsidRDefault="00C367F1" w:rsidP="00596B15">
                                <w:pPr>
                                  <w:rPr>
                                    <w:rFonts w:ascii="Calibri" w:hAnsi="Calibri" w:cs="Calibri"/>
                                    <w:bCs/>
                                    <w:sz w:val="48"/>
                                    <w:szCs w:val="48"/>
                                  </w:rPr>
                                </w:pPr>
                                <w:r w:rsidRPr="00C32086">
                                  <w:rPr>
                                    <w:rFonts w:ascii="Calibri" w:hAnsi="Calibri" w:cs="Calibri"/>
                                    <w:b/>
                                    <w:bCs/>
                                    <w:sz w:val="56"/>
                                    <w:szCs w:val="72"/>
                                  </w:rPr>
                                  <w:t>Final Evaluation: Fiji Private Sector Development Partnership</w:t>
                                </w:r>
                                <w:r w:rsidR="00C32086">
                                  <w:rPr>
                                    <w:rFonts w:ascii="Calibri" w:hAnsi="Calibri" w:cs="Calibri"/>
                                    <w:b/>
                                    <w:bCs/>
                                    <w:sz w:val="56"/>
                                    <w:szCs w:val="72"/>
                                  </w:rPr>
                                  <w:t xml:space="preserve"> (FPSDP)</w:t>
                                </w:r>
                              </w:p>
                            </w:sdtContent>
                          </w:sdt>
                        </w:txbxContent>
                      </wps:txbx>
                      <wps:bodyPr rot="0" spcFirstLastPara="0" vertOverflow="overflow" horzOverflow="overflow" vert="horz" wrap="square" lIns="685800" tIns="0" rIns="685800" bIns="18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2354A" id="Rectangle 8" o:spid="_x0000_s1027" style="position:absolute;margin-left:0;margin-top:676.9pt;width:614.55pt;height:104.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opcQIAAFUFAAAOAAAAZHJzL2Uyb0RvYy54bWysVMFu2zAMvQ/YPwi6r467LkuDOkXQIsOA&#10;og3WDj0rspQIkEWNUmJnXz9KdpK126XDLjYlPZLi0yOvrrvGsp3CYMBVvDwbcaachNq4dcW/Py0+&#10;TDgLUbhaWHCq4nsV+PXs/bur1k/VOWzA1goZBXFh2vqKb2L006IIcqMaEc7AK0eHGrARkZa4LmoU&#10;LUVvbHE+Go2LFrD2CFKFQLu3/SGf5fhaKxkftA4qMltxulvMX8zfVfoWsysxXaPwGyOHa4h/uEUj&#10;jKOkx1C3Igq2RfNHqMZIhAA6nkloCtDaSJVroGrK0atqHjfCq1wLkRP8kabw/8LK+92jXyLR0Pow&#10;DWSmKjqNTfrT/ViXydofyVJdZJI2P09GF5MRcSrprPx4PrmgBcUpTu4eQ/yioGHJqDjSa2SSxO4u&#10;xB56gKRsAaypF8bavMD16sYi2wl6uUU5vhxfDtFfwKxLYAfJrY+YdopTMdmKe6sSzrpvSjNT55py&#10;Fjmk6SVBmqWCDsKgSrJDAmqK/0bfwSV5q6zEN/ofnXJ+cPHo3xgHmJnMfaKOPNlYDiTpHn+goicg&#10;cRG7VUcM0JMlZNpZQb1fIkPomyN4uTD0XncixKVA6gaihDo8PtBHW2grDoPF2Qbw59/2E55ESqec&#10;tdRdFQ8/tgIVZ/arI/mOJ5+ydmJeUQJ8sb3Kq5IgSWBu29wAqaCkUeJlNpNHtAdTIzTPNAfmKSkd&#10;CScpdcVXB/Mm9u9Lc0Sq+TyDqP+8iHfu0csUOpGcxPjUPQv0g2Ijif0eDm0opq+E22OTp4P5NoI2&#10;WdUnUgf6qXdzXwxzJg2H39cZdZqGs18AAAD//wMAUEsDBBQABgAIAAAAIQBPs6KJ3wAAAAsBAAAP&#10;AAAAZHJzL2Rvd25yZXYueG1sTI/NTsMwEITvSLyDtUjcWudHqWiIUyFQTxxQCxVXN16SQLyOYrcO&#10;b8/2VG67O6uZb6rNbAdxxsn3jhSkywQEUuNMT62Cj/ft4gGED5qMHhyhgl/0sKlvbypdGhdph+d9&#10;aAWbkC+1gi6EsZTSNx1a7ZduRGLty01WB16nVppJRza3g8ySZCWt7okTOj3ic4fNz/5kOffbHN52&#10;xSum4+f2ZS1jzPtDVOr+bn56BBFwDtdnuOAzOtTMdHQnMl4MCrhI4Gte5NzgomfZOgVx5KlY5QnI&#10;upL/O9R/AAAA//8DAFBLAQItABQABgAIAAAAIQC2gziS/gAAAOEBAAATAAAAAAAAAAAAAAAAAAAA&#10;AABbQ29udGVudF9UeXBlc10ueG1sUEsBAi0AFAAGAAgAAAAhADj9If/WAAAAlAEAAAsAAAAAAAAA&#10;AAAAAAAALwEAAF9yZWxzLy5yZWxzUEsBAi0AFAAGAAgAAAAhAGbCCilxAgAAVQUAAA4AAAAAAAAA&#10;AAAAAAAALgIAAGRycy9lMm9Eb2MueG1sUEsBAi0AFAAGAAgAAAAhAE+zoonfAAAACwEAAA8AAAAA&#10;AAAAAAAAAAAAywQAAGRycy9kb3ducmV2LnhtbFBLBQYAAAAABAAEAPMAAADXBQAAAAA=&#10;" fillcolor="#f16969" stroked="f">
                <v:textbox inset="54pt,0,54pt,5mm">
                  <w:txbxContent>
                    <w:sdt>
                      <w:sdtPr>
                        <w:rPr>
                          <w:rFonts w:ascii="Calibri" w:hAnsi="Calibri" w:cs="Calibri"/>
                          <w:b/>
                          <w:bCs/>
                          <w:sz w:val="56"/>
                          <w:szCs w:val="72"/>
                        </w:rPr>
                        <w:alias w:val="Title"/>
                        <w:tag w:val=""/>
                        <w:id w:val="-970047070"/>
                        <w:placeholder>
                          <w:docPart w:val="6106F4825FC84A54B7635CF462399121"/>
                        </w:placeholder>
                        <w:dataBinding w:prefixMappings="xmlns:ns0='http://purl.org/dc/elements/1.1/' xmlns:ns1='http://schemas.openxmlformats.org/package/2006/metadata/core-properties' " w:xpath="/ns1:coreProperties[1]/ns0:title[1]" w:storeItemID="{6C3C8BC8-F283-45AE-878A-BAB7291924A1}"/>
                        <w:text/>
                      </w:sdtPr>
                      <w:sdtEndPr/>
                      <w:sdtContent>
                        <w:p w14:paraId="79E06A83" w14:textId="0C1C4680" w:rsidR="00596B15" w:rsidRPr="00C32086" w:rsidRDefault="00C367F1" w:rsidP="00596B15">
                          <w:pPr>
                            <w:rPr>
                              <w:rFonts w:ascii="Calibri" w:hAnsi="Calibri" w:cs="Calibri"/>
                              <w:bCs/>
                              <w:sz w:val="48"/>
                              <w:szCs w:val="48"/>
                            </w:rPr>
                          </w:pPr>
                          <w:r w:rsidRPr="00C32086">
                            <w:rPr>
                              <w:rFonts w:ascii="Calibri" w:hAnsi="Calibri" w:cs="Calibri"/>
                              <w:b/>
                              <w:bCs/>
                              <w:sz w:val="56"/>
                              <w:szCs w:val="72"/>
                            </w:rPr>
                            <w:t>Final Evaluation: Fiji Private Sector Development Partnership</w:t>
                          </w:r>
                          <w:r w:rsidR="00C32086">
                            <w:rPr>
                              <w:rFonts w:ascii="Calibri" w:hAnsi="Calibri" w:cs="Calibri"/>
                              <w:b/>
                              <w:bCs/>
                              <w:sz w:val="56"/>
                              <w:szCs w:val="72"/>
                            </w:rPr>
                            <w:t xml:space="preserve"> (FPSDP)</w:t>
                          </w:r>
                        </w:p>
                      </w:sdtContent>
                    </w:sdt>
                  </w:txbxContent>
                </v:textbox>
                <w10:wrap anchorx="margin" anchory="page"/>
                <w10:anchorlock/>
              </v:rect>
            </w:pict>
          </mc:Fallback>
        </mc:AlternateContent>
      </w:r>
    </w:p>
    <w:p w14:paraId="14521EB3" w14:textId="0613E99E" w:rsidR="008A10FA" w:rsidRPr="00C723E0" w:rsidRDefault="008A10FA" w:rsidP="4EF1951E">
      <w:pPr>
        <w:pStyle w:val="TOCHeading"/>
        <w:rPr>
          <w:rFonts w:ascii="Calibri" w:hAnsi="Calibri" w:cs="Calibri"/>
          <w:b/>
          <w:bCs/>
          <w:lang w:val="en-AU"/>
        </w:rPr>
      </w:pPr>
      <w:bookmarkStart w:id="0" w:name="_Toc189479904"/>
      <w:r w:rsidRPr="4EF1951E">
        <w:rPr>
          <w:rFonts w:ascii="Calibri" w:hAnsi="Calibri" w:cs="Calibri"/>
          <w:b/>
          <w:bCs/>
          <w:color w:val="156082" w:themeColor="accent1"/>
          <w:lang w:val="en-AU"/>
        </w:rPr>
        <w:lastRenderedPageBreak/>
        <w:t xml:space="preserve">Document </w:t>
      </w:r>
      <w:r w:rsidR="006B0828" w:rsidRPr="4EF1951E">
        <w:rPr>
          <w:rFonts w:ascii="Calibri" w:hAnsi="Calibri" w:cs="Calibri"/>
          <w:b/>
          <w:bCs/>
          <w:color w:val="156082" w:themeColor="accent1"/>
          <w:lang w:val="en-AU"/>
        </w:rPr>
        <w:t>I</w:t>
      </w:r>
      <w:r w:rsidRPr="4EF1951E">
        <w:rPr>
          <w:rFonts w:ascii="Calibri" w:hAnsi="Calibri" w:cs="Calibri"/>
          <w:b/>
          <w:bCs/>
          <w:color w:val="156082" w:themeColor="accent1"/>
          <w:lang w:val="en-AU"/>
        </w:rPr>
        <w:t>nformation</w:t>
      </w:r>
      <w:bookmarkEnd w:id="0"/>
    </w:p>
    <w:p w14:paraId="500A5F7D" w14:textId="5FD1E1EE" w:rsidR="008A10FA" w:rsidRPr="00C723E0" w:rsidRDefault="008A10FA" w:rsidP="006B0828">
      <w:pPr>
        <w:rPr>
          <w:rFonts w:ascii="Calibri" w:hAnsi="Calibri" w:cs="Calibri"/>
          <w:sz w:val="22"/>
          <w:szCs w:val="22"/>
          <w:lang w:val="en-AU"/>
        </w:rPr>
      </w:pPr>
      <w:r w:rsidRPr="00C723E0">
        <w:rPr>
          <w:rFonts w:ascii="Calibri" w:hAnsi="Calibri" w:cs="Calibri"/>
          <w:sz w:val="22"/>
          <w:szCs w:val="22"/>
          <w:lang w:val="en-AU"/>
        </w:rPr>
        <w:t>Citation</w:t>
      </w:r>
      <w:r w:rsidR="00C32086" w:rsidRPr="00C723E0">
        <w:rPr>
          <w:rFonts w:ascii="Calibri" w:hAnsi="Calibri" w:cs="Calibri"/>
          <w:sz w:val="22"/>
          <w:szCs w:val="22"/>
          <w:lang w:val="en-AU"/>
        </w:rPr>
        <w:t>:</w:t>
      </w:r>
      <w:r w:rsidRPr="00C723E0">
        <w:rPr>
          <w:rFonts w:ascii="Calibri" w:hAnsi="Calibri" w:cs="Calibri"/>
          <w:sz w:val="22"/>
          <w:szCs w:val="22"/>
          <w:lang w:val="en-AU"/>
        </w:rPr>
        <w:tab/>
      </w:r>
      <w:r w:rsidR="006B0828" w:rsidRPr="00C723E0">
        <w:rPr>
          <w:rFonts w:ascii="Calibri" w:hAnsi="Calibri" w:cs="Calibri"/>
          <w:sz w:val="22"/>
          <w:szCs w:val="22"/>
          <w:lang w:val="en-AU"/>
        </w:rPr>
        <w:tab/>
      </w:r>
      <w:sdt>
        <w:sdtPr>
          <w:rPr>
            <w:rFonts w:ascii="Calibri" w:hAnsi="Calibri" w:cs="Calibri"/>
            <w:sz w:val="22"/>
            <w:szCs w:val="22"/>
            <w:lang w:val="en-AU"/>
          </w:rPr>
          <w:alias w:val="Title"/>
          <w:tag w:val=""/>
          <w:id w:val="1867169199"/>
          <w:placeholder>
            <w:docPart w:val="0404D3BB471D4F69B0575873685A0FF3"/>
          </w:placeholder>
          <w:dataBinding w:prefixMappings="xmlns:ns0='http://purl.org/dc/elements/1.1/' xmlns:ns1='http://schemas.openxmlformats.org/package/2006/metadata/core-properties' " w:xpath="/ns1:coreProperties[1]/ns0:title[1]" w:storeItemID="{6C3C8BC8-F283-45AE-878A-BAB7291924A1}"/>
          <w:text/>
        </w:sdtPr>
        <w:sdtContent>
          <w:r w:rsidR="00C32086" w:rsidRPr="00C723E0">
            <w:rPr>
              <w:rFonts w:ascii="Calibri" w:hAnsi="Calibri" w:cs="Calibri"/>
              <w:sz w:val="22"/>
              <w:szCs w:val="22"/>
              <w:lang w:val="en-AU"/>
            </w:rPr>
            <w:t>Final Evaluation: Fiji Private Sector Development Partnership (FPSDP)</w:t>
          </w:r>
        </w:sdtContent>
      </w:sdt>
    </w:p>
    <w:p w14:paraId="082DA5B9" w14:textId="43671B62" w:rsidR="008A10FA" w:rsidRPr="00C723E0" w:rsidRDefault="008A10FA" w:rsidP="006B0828">
      <w:pPr>
        <w:rPr>
          <w:rFonts w:ascii="Calibri" w:hAnsi="Calibri" w:cs="Calibri"/>
          <w:sz w:val="22"/>
          <w:szCs w:val="22"/>
          <w:lang w:val="en-AU"/>
        </w:rPr>
      </w:pPr>
      <w:r w:rsidRPr="00C723E0">
        <w:rPr>
          <w:rFonts w:ascii="Calibri" w:hAnsi="Calibri" w:cs="Calibri"/>
          <w:sz w:val="22"/>
          <w:szCs w:val="22"/>
          <w:lang w:val="en-AU"/>
        </w:rPr>
        <w:t>Prepared for</w:t>
      </w:r>
      <w:r w:rsidR="00C32086" w:rsidRPr="00C723E0">
        <w:rPr>
          <w:rFonts w:ascii="Calibri" w:hAnsi="Calibri" w:cs="Calibri"/>
          <w:sz w:val="22"/>
          <w:szCs w:val="22"/>
          <w:lang w:val="en-AU"/>
        </w:rPr>
        <w:t>:</w:t>
      </w:r>
      <w:r w:rsidRPr="00C723E0">
        <w:rPr>
          <w:rFonts w:ascii="Calibri" w:hAnsi="Calibri" w:cs="Calibri"/>
          <w:sz w:val="22"/>
          <w:szCs w:val="22"/>
          <w:lang w:val="en-AU"/>
        </w:rPr>
        <w:tab/>
      </w:r>
      <w:r w:rsidR="00C32086" w:rsidRPr="00C723E0">
        <w:rPr>
          <w:rFonts w:ascii="Calibri" w:hAnsi="Calibri" w:cs="Calibri"/>
          <w:sz w:val="22"/>
          <w:szCs w:val="22"/>
          <w:lang w:val="en-AU"/>
        </w:rPr>
        <w:tab/>
      </w:r>
      <w:r w:rsidRPr="00C723E0">
        <w:rPr>
          <w:rFonts w:ascii="Calibri" w:hAnsi="Calibri" w:cs="Calibri"/>
          <w:sz w:val="22"/>
          <w:szCs w:val="22"/>
          <w:lang w:val="en-AU"/>
        </w:rPr>
        <w:t>Department of Foreign Affairs and Trade (DFAT)</w:t>
      </w:r>
    </w:p>
    <w:p w14:paraId="188376C4" w14:textId="7493C96E" w:rsidR="008A10FA" w:rsidRPr="00C723E0" w:rsidRDefault="008A10FA" w:rsidP="006B0828">
      <w:pPr>
        <w:rPr>
          <w:rFonts w:ascii="Calibri" w:hAnsi="Calibri" w:cs="Calibri"/>
          <w:sz w:val="22"/>
          <w:szCs w:val="22"/>
          <w:lang w:val="en-AU"/>
        </w:rPr>
      </w:pPr>
      <w:r w:rsidRPr="00C723E0">
        <w:rPr>
          <w:rFonts w:ascii="Calibri" w:hAnsi="Calibri" w:cs="Calibri"/>
          <w:sz w:val="22"/>
          <w:szCs w:val="22"/>
          <w:lang w:val="en-AU"/>
        </w:rPr>
        <w:t>Date</w:t>
      </w:r>
      <w:r w:rsidR="00C32086" w:rsidRPr="00C723E0">
        <w:rPr>
          <w:rFonts w:ascii="Calibri" w:hAnsi="Calibri" w:cs="Calibri"/>
          <w:sz w:val="22"/>
          <w:szCs w:val="22"/>
          <w:lang w:val="en-AU"/>
        </w:rPr>
        <w:t>:</w:t>
      </w:r>
      <w:r w:rsidR="006B0828" w:rsidRPr="00C723E0">
        <w:rPr>
          <w:rFonts w:ascii="Calibri" w:hAnsi="Calibri" w:cs="Calibri"/>
          <w:sz w:val="22"/>
          <w:szCs w:val="22"/>
          <w:lang w:val="en-AU"/>
        </w:rPr>
        <w:tab/>
      </w:r>
      <w:r w:rsidR="006B0828" w:rsidRPr="00C723E0">
        <w:rPr>
          <w:rFonts w:ascii="Calibri" w:hAnsi="Calibri" w:cs="Calibri"/>
          <w:sz w:val="22"/>
          <w:szCs w:val="22"/>
          <w:lang w:val="en-AU"/>
        </w:rPr>
        <w:tab/>
      </w:r>
      <w:r w:rsidR="00C32086" w:rsidRPr="00C723E0">
        <w:rPr>
          <w:rFonts w:ascii="Calibri" w:hAnsi="Calibri" w:cs="Calibri"/>
          <w:sz w:val="22"/>
          <w:szCs w:val="22"/>
          <w:lang w:val="en-AU"/>
        </w:rPr>
        <w:tab/>
      </w:r>
      <w:r w:rsidR="00466A66">
        <w:rPr>
          <w:rFonts w:ascii="Calibri" w:hAnsi="Calibri" w:cs="Calibri"/>
          <w:sz w:val="22"/>
          <w:szCs w:val="22"/>
          <w:lang w:val="en-AU"/>
        </w:rPr>
        <w:t>June</w:t>
      </w:r>
      <w:r w:rsidR="00337073" w:rsidRPr="00C723E0">
        <w:rPr>
          <w:rFonts w:ascii="Calibri" w:hAnsi="Calibri" w:cs="Calibri"/>
          <w:sz w:val="22"/>
          <w:szCs w:val="22"/>
          <w:lang w:val="en-AU"/>
        </w:rPr>
        <w:t xml:space="preserve"> 2025</w:t>
      </w:r>
    </w:p>
    <w:p w14:paraId="04D09CC7" w14:textId="1A14C01D" w:rsidR="006B0828" w:rsidRPr="00C723E0" w:rsidRDefault="006B0828" w:rsidP="4EF1951E">
      <w:pPr>
        <w:pStyle w:val="TOCHeading"/>
        <w:rPr>
          <w:rFonts w:ascii="Calibri" w:hAnsi="Calibri" w:cs="Calibri"/>
          <w:b/>
          <w:bCs/>
          <w:lang w:val="en-AU"/>
        </w:rPr>
      </w:pPr>
      <w:bookmarkStart w:id="1" w:name="_Toc189479905"/>
      <w:r w:rsidRPr="4EF1951E">
        <w:rPr>
          <w:rFonts w:ascii="Calibri" w:hAnsi="Calibri" w:cs="Calibri"/>
          <w:b/>
          <w:bCs/>
          <w:color w:val="156082" w:themeColor="accent1"/>
          <w:lang w:val="en-AU"/>
        </w:rPr>
        <w:t>Contact Information</w:t>
      </w:r>
      <w:bookmarkEnd w:id="1"/>
    </w:p>
    <w:p w14:paraId="29B0D9A0" w14:textId="2CB9BFCF" w:rsidR="00337073" w:rsidRPr="00C723E0" w:rsidRDefault="006B0828" w:rsidP="4EF1951E">
      <w:pPr>
        <w:rPr>
          <w:rFonts w:ascii="Calibri" w:hAnsi="Calibri" w:cs="Calibri"/>
          <w:b/>
          <w:bCs/>
          <w:color w:val="156082" w:themeColor="accent1"/>
          <w:sz w:val="22"/>
          <w:szCs w:val="22"/>
          <w:lang w:val="en-AU"/>
        </w:rPr>
      </w:pPr>
      <w:r w:rsidRPr="4EF1951E">
        <w:rPr>
          <w:rFonts w:ascii="Calibri" w:hAnsi="Calibri" w:cs="Calibri"/>
          <w:sz w:val="22"/>
          <w:szCs w:val="22"/>
          <w:lang w:val="en-AU"/>
        </w:rPr>
        <w:t>Name</w:t>
      </w:r>
      <w:r w:rsidR="00C367F1" w:rsidRPr="4EF1951E">
        <w:rPr>
          <w:rFonts w:ascii="Calibri" w:hAnsi="Calibri" w:cs="Calibri"/>
          <w:sz w:val="22"/>
          <w:szCs w:val="22"/>
          <w:lang w:val="en-AU"/>
        </w:rPr>
        <w:t>:</w:t>
      </w:r>
      <w:r w:rsidR="00337073" w:rsidRPr="4EF1951E">
        <w:rPr>
          <w:rFonts w:ascii="Calibri" w:hAnsi="Calibri" w:cs="Calibri"/>
          <w:sz w:val="22"/>
          <w:szCs w:val="22"/>
          <w:lang w:val="en-AU"/>
        </w:rPr>
        <w:t xml:space="preserve"> Ty Morrissey</w:t>
      </w:r>
      <w:r>
        <w:br/>
      </w:r>
      <w:r w:rsidRPr="4EF1951E">
        <w:rPr>
          <w:rFonts w:ascii="Calibri" w:hAnsi="Calibri" w:cs="Calibri"/>
          <w:sz w:val="22"/>
          <w:szCs w:val="22"/>
          <w:lang w:val="en-AU"/>
        </w:rPr>
        <w:t>Position</w:t>
      </w:r>
      <w:r w:rsidR="00C367F1" w:rsidRPr="4EF1951E">
        <w:rPr>
          <w:rFonts w:ascii="Calibri" w:hAnsi="Calibri" w:cs="Calibri"/>
          <w:sz w:val="22"/>
          <w:szCs w:val="22"/>
          <w:lang w:val="en-AU"/>
        </w:rPr>
        <w:t>:</w:t>
      </w:r>
      <w:r w:rsidR="00337073" w:rsidRPr="4EF1951E">
        <w:rPr>
          <w:rFonts w:ascii="Calibri" w:hAnsi="Calibri" w:cs="Calibri"/>
          <w:sz w:val="22"/>
          <w:szCs w:val="22"/>
          <w:lang w:val="en-AU"/>
        </w:rPr>
        <w:t xml:space="preserve"> Director</w:t>
      </w:r>
      <w:r>
        <w:br/>
      </w:r>
      <w:r w:rsidRPr="4EF1951E">
        <w:rPr>
          <w:rFonts w:ascii="Calibri" w:hAnsi="Calibri" w:cs="Calibri"/>
          <w:sz w:val="22"/>
          <w:szCs w:val="22"/>
          <w:lang w:val="en-AU"/>
        </w:rPr>
        <w:t>Organisation</w:t>
      </w:r>
      <w:r w:rsidR="00C367F1" w:rsidRPr="4EF1951E">
        <w:rPr>
          <w:rFonts w:ascii="Calibri" w:hAnsi="Calibri" w:cs="Calibri"/>
          <w:sz w:val="22"/>
          <w:szCs w:val="22"/>
          <w:lang w:val="en-AU"/>
        </w:rPr>
        <w:t>:</w:t>
      </w:r>
      <w:r w:rsidR="00337073" w:rsidRPr="4EF1951E">
        <w:rPr>
          <w:rFonts w:ascii="Calibri" w:hAnsi="Calibri" w:cs="Calibri"/>
          <w:sz w:val="22"/>
          <w:szCs w:val="22"/>
          <w:lang w:val="en-AU"/>
        </w:rPr>
        <w:t xml:space="preserve"> Morrissey Consulting International Pty Ltd</w:t>
      </w:r>
      <w:r>
        <w:br/>
      </w:r>
      <w:r w:rsidRPr="4EF1951E">
        <w:rPr>
          <w:rFonts w:ascii="Calibri" w:hAnsi="Calibri" w:cs="Calibri"/>
          <w:sz w:val="22"/>
          <w:szCs w:val="22"/>
          <w:lang w:val="en-AU"/>
        </w:rPr>
        <w:t>+61</w:t>
      </w:r>
      <w:r w:rsidR="00337073" w:rsidRPr="4EF1951E">
        <w:rPr>
          <w:rFonts w:ascii="Calibri" w:hAnsi="Calibri" w:cs="Calibri"/>
          <w:sz w:val="22"/>
          <w:szCs w:val="22"/>
          <w:lang w:val="en-AU"/>
        </w:rPr>
        <w:t>411113529</w:t>
      </w:r>
      <w:r>
        <w:br/>
      </w:r>
      <w:hyperlink r:id="rId15">
        <w:r w:rsidR="00337073" w:rsidRPr="4EF1951E">
          <w:rPr>
            <w:rStyle w:val="Hyperlink"/>
            <w:rFonts w:ascii="Calibri" w:hAnsi="Calibri" w:cs="Calibri"/>
            <w:b/>
            <w:bCs/>
            <w:color w:val="156082" w:themeColor="accent1"/>
            <w:sz w:val="22"/>
            <w:szCs w:val="22"/>
            <w:lang w:val="en-AU"/>
          </w:rPr>
          <w:t>morrissey@iimetro.com.au</w:t>
        </w:r>
      </w:hyperlink>
    </w:p>
    <w:p w14:paraId="0C762C8B" w14:textId="786426AF" w:rsidR="006B0828" w:rsidRPr="00C723E0" w:rsidRDefault="006B0828" w:rsidP="4EF1951E">
      <w:pPr>
        <w:pStyle w:val="TOCHeading"/>
        <w:rPr>
          <w:rFonts w:ascii="Calibri" w:hAnsi="Calibri" w:cs="Calibri"/>
          <w:b/>
          <w:bCs/>
          <w:color w:val="156082" w:themeColor="accent1"/>
          <w:lang w:val="en-AU"/>
        </w:rPr>
      </w:pPr>
      <w:bookmarkStart w:id="2" w:name="_Toc189479906"/>
      <w:r w:rsidRPr="4EF1951E">
        <w:rPr>
          <w:rFonts w:ascii="Calibri" w:hAnsi="Calibri" w:cs="Calibri"/>
          <w:b/>
          <w:bCs/>
          <w:color w:val="156082" w:themeColor="accent1"/>
          <w:lang w:val="en-AU"/>
        </w:rPr>
        <w:t>Document History</w:t>
      </w:r>
      <w:bookmarkEnd w:id="2"/>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850"/>
        <w:gridCol w:w="1560"/>
        <w:gridCol w:w="2410"/>
        <w:gridCol w:w="2267"/>
        <w:gridCol w:w="1939"/>
      </w:tblGrid>
      <w:tr w:rsidR="00831F16" w:rsidRPr="00C723E0" w14:paraId="7F07BF1D" w14:textId="77777777" w:rsidTr="00831F16">
        <w:tc>
          <w:tcPr>
            <w:tcW w:w="471" w:type="pct"/>
          </w:tcPr>
          <w:p w14:paraId="41B028E8" w14:textId="1593CC22" w:rsidR="00831F16" w:rsidRPr="00C723E0" w:rsidRDefault="00831F16" w:rsidP="00831F16">
            <w:pPr>
              <w:pStyle w:val="TableHeading"/>
              <w:rPr>
                <w:rFonts w:ascii="Calibri" w:hAnsi="Calibri" w:cs="Calibri"/>
                <w:lang w:val="en-AU"/>
              </w:rPr>
            </w:pPr>
            <w:r w:rsidRPr="00C723E0">
              <w:rPr>
                <w:rFonts w:ascii="Calibri" w:hAnsi="Calibri" w:cs="Calibri"/>
                <w:lang w:val="en-AU"/>
              </w:rPr>
              <w:t>Version</w:t>
            </w:r>
          </w:p>
        </w:tc>
        <w:tc>
          <w:tcPr>
            <w:tcW w:w="864" w:type="pct"/>
          </w:tcPr>
          <w:p w14:paraId="1E1E345C" w14:textId="599F445C" w:rsidR="00831F16" w:rsidRPr="00C723E0" w:rsidRDefault="00831F16" w:rsidP="00831F16">
            <w:pPr>
              <w:pStyle w:val="TableHeading"/>
              <w:rPr>
                <w:rFonts w:ascii="Calibri" w:hAnsi="Calibri" w:cs="Calibri"/>
                <w:lang w:val="en-AU"/>
              </w:rPr>
            </w:pPr>
            <w:r w:rsidRPr="00C723E0">
              <w:rPr>
                <w:rFonts w:ascii="Calibri" w:hAnsi="Calibri" w:cs="Calibri"/>
                <w:lang w:val="en-AU"/>
              </w:rPr>
              <w:t>Effective Date</w:t>
            </w:r>
          </w:p>
        </w:tc>
        <w:tc>
          <w:tcPr>
            <w:tcW w:w="1335" w:type="pct"/>
          </w:tcPr>
          <w:p w14:paraId="07CB6C5E" w14:textId="37E25D69" w:rsidR="00831F16" w:rsidRPr="00C723E0" w:rsidRDefault="00831F16" w:rsidP="00831F16">
            <w:pPr>
              <w:pStyle w:val="TableHeading"/>
              <w:rPr>
                <w:rFonts w:ascii="Calibri" w:hAnsi="Calibri" w:cs="Calibri"/>
                <w:lang w:val="en-AU"/>
              </w:rPr>
            </w:pPr>
            <w:r w:rsidRPr="00C723E0">
              <w:rPr>
                <w:rFonts w:ascii="Calibri" w:hAnsi="Calibri" w:cs="Calibri"/>
                <w:lang w:val="en-AU"/>
              </w:rPr>
              <w:t>Description</w:t>
            </w:r>
          </w:p>
        </w:tc>
        <w:tc>
          <w:tcPr>
            <w:tcW w:w="1256" w:type="pct"/>
          </w:tcPr>
          <w:p w14:paraId="2208F571" w14:textId="19EED189" w:rsidR="00831F16" w:rsidRPr="00C723E0" w:rsidRDefault="00831F16" w:rsidP="005B0891">
            <w:pPr>
              <w:pStyle w:val="TableHeading"/>
              <w:rPr>
                <w:rFonts w:ascii="Calibri" w:hAnsi="Calibri" w:cs="Calibri"/>
                <w:lang w:val="en-AU"/>
              </w:rPr>
            </w:pPr>
            <w:r w:rsidRPr="00C723E0">
              <w:rPr>
                <w:rFonts w:ascii="Calibri" w:hAnsi="Calibri" w:cs="Calibri"/>
                <w:lang w:val="en-AU"/>
              </w:rPr>
              <w:t>Prepared By</w:t>
            </w:r>
          </w:p>
        </w:tc>
        <w:tc>
          <w:tcPr>
            <w:tcW w:w="1074" w:type="pct"/>
          </w:tcPr>
          <w:p w14:paraId="4CBCB8BB" w14:textId="68E850E8" w:rsidR="00831F16" w:rsidRPr="00C723E0" w:rsidRDefault="00831F16" w:rsidP="00831F16">
            <w:pPr>
              <w:pStyle w:val="TableHeading"/>
              <w:rPr>
                <w:rFonts w:ascii="Calibri" w:hAnsi="Calibri" w:cs="Calibri"/>
                <w:lang w:val="en-AU"/>
              </w:rPr>
            </w:pPr>
            <w:r w:rsidRPr="00C723E0">
              <w:rPr>
                <w:rFonts w:ascii="Calibri" w:hAnsi="Calibri" w:cs="Calibri"/>
                <w:lang w:val="en-AU"/>
              </w:rPr>
              <w:t>Reviewed By</w:t>
            </w:r>
          </w:p>
        </w:tc>
      </w:tr>
      <w:tr w:rsidR="00831F16" w:rsidRPr="00C723E0" w14:paraId="15413D81" w14:textId="77777777" w:rsidTr="00831F16">
        <w:tc>
          <w:tcPr>
            <w:tcW w:w="471" w:type="pct"/>
          </w:tcPr>
          <w:p w14:paraId="673BABED" w14:textId="0D0FA095" w:rsidR="00831F16" w:rsidRPr="00C723E0" w:rsidRDefault="00831F16" w:rsidP="00466A66">
            <w:pPr>
              <w:pStyle w:val="TableText"/>
              <w:jc w:val="center"/>
              <w:rPr>
                <w:rFonts w:ascii="Calibri" w:hAnsi="Calibri" w:cs="Calibri"/>
                <w:lang w:val="en-AU"/>
              </w:rPr>
            </w:pPr>
            <w:r w:rsidRPr="00C723E0">
              <w:rPr>
                <w:rFonts w:ascii="Calibri" w:hAnsi="Calibri" w:cs="Calibri"/>
                <w:lang w:val="en-AU"/>
              </w:rPr>
              <w:t>1.0</w:t>
            </w:r>
          </w:p>
        </w:tc>
        <w:tc>
          <w:tcPr>
            <w:tcW w:w="864" w:type="pct"/>
          </w:tcPr>
          <w:p w14:paraId="773F8E9E" w14:textId="5BAA4752" w:rsidR="00831F16" w:rsidRPr="00C723E0" w:rsidRDefault="00FB3D6F" w:rsidP="00B67388">
            <w:pPr>
              <w:pStyle w:val="TableText"/>
              <w:rPr>
                <w:rFonts w:ascii="Calibri" w:hAnsi="Calibri" w:cs="Calibri"/>
                <w:lang w:val="en-AU"/>
              </w:rPr>
            </w:pPr>
            <w:r w:rsidRPr="00C723E0">
              <w:rPr>
                <w:rFonts w:ascii="Calibri" w:hAnsi="Calibri" w:cs="Calibri"/>
                <w:lang w:val="en-AU"/>
              </w:rPr>
              <w:t>1 May 2025</w:t>
            </w:r>
          </w:p>
        </w:tc>
        <w:tc>
          <w:tcPr>
            <w:tcW w:w="1335" w:type="pct"/>
          </w:tcPr>
          <w:p w14:paraId="35AE2D00" w14:textId="1DD826E1" w:rsidR="00831F16" w:rsidRPr="00C723E0" w:rsidRDefault="00337073" w:rsidP="00B67388">
            <w:pPr>
              <w:pStyle w:val="TableText"/>
              <w:rPr>
                <w:rFonts w:ascii="Calibri" w:hAnsi="Calibri" w:cs="Calibri"/>
                <w:lang w:val="en-AU"/>
              </w:rPr>
            </w:pPr>
            <w:r w:rsidRPr="00C723E0">
              <w:rPr>
                <w:rFonts w:ascii="Calibri" w:hAnsi="Calibri" w:cs="Calibri"/>
                <w:lang w:val="en-AU"/>
              </w:rPr>
              <w:t xml:space="preserve">Final </w:t>
            </w:r>
            <w:r w:rsidR="00C367F1" w:rsidRPr="00C723E0">
              <w:rPr>
                <w:rFonts w:ascii="Calibri" w:hAnsi="Calibri" w:cs="Calibri"/>
                <w:lang w:val="en-AU"/>
              </w:rPr>
              <w:t>Evaluation</w:t>
            </w:r>
            <w:r w:rsidRPr="00C723E0">
              <w:rPr>
                <w:rFonts w:ascii="Calibri" w:hAnsi="Calibri" w:cs="Calibri"/>
                <w:lang w:val="en-AU"/>
              </w:rPr>
              <w:t xml:space="preserve"> Report</w:t>
            </w:r>
          </w:p>
          <w:p w14:paraId="5C4F3656" w14:textId="270D2D8F" w:rsidR="00337073" w:rsidRPr="00C723E0" w:rsidRDefault="00337073" w:rsidP="00B67388">
            <w:pPr>
              <w:pStyle w:val="TableText"/>
              <w:rPr>
                <w:rFonts w:ascii="Calibri" w:hAnsi="Calibri" w:cs="Calibri"/>
                <w:lang w:val="en-AU"/>
              </w:rPr>
            </w:pPr>
            <w:r w:rsidRPr="00C723E0">
              <w:rPr>
                <w:rFonts w:ascii="Calibri" w:hAnsi="Calibri" w:cs="Calibri"/>
                <w:lang w:val="en-AU"/>
              </w:rPr>
              <w:t>Draft Version 1</w:t>
            </w:r>
          </w:p>
        </w:tc>
        <w:tc>
          <w:tcPr>
            <w:tcW w:w="1256" w:type="pct"/>
          </w:tcPr>
          <w:p w14:paraId="65E473A8" w14:textId="28B930D7" w:rsidR="00831F16" w:rsidRPr="00C723E0" w:rsidRDefault="00337073" w:rsidP="00B67388">
            <w:pPr>
              <w:pStyle w:val="TableText"/>
              <w:rPr>
                <w:rFonts w:ascii="Calibri" w:hAnsi="Calibri" w:cs="Calibri"/>
                <w:lang w:val="en-AU"/>
              </w:rPr>
            </w:pPr>
            <w:r w:rsidRPr="00C723E0">
              <w:rPr>
                <w:rFonts w:ascii="Calibri" w:hAnsi="Calibri" w:cs="Calibri"/>
                <w:lang w:val="en-AU"/>
              </w:rPr>
              <w:t>Ty Morrissey</w:t>
            </w:r>
          </w:p>
        </w:tc>
        <w:tc>
          <w:tcPr>
            <w:tcW w:w="1074" w:type="pct"/>
          </w:tcPr>
          <w:p w14:paraId="252FDF5A" w14:textId="77777777" w:rsidR="00831F16" w:rsidRDefault="00466A66" w:rsidP="00B67388">
            <w:pPr>
              <w:pStyle w:val="TableText"/>
              <w:rPr>
                <w:rFonts w:ascii="Calibri" w:hAnsi="Calibri" w:cs="Calibri"/>
                <w:lang w:val="en-AU"/>
              </w:rPr>
            </w:pPr>
            <w:bookmarkStart w:id="3" w:name="OLE_LINK3"/>
            <w:r>
              <w:rPr>
                <w:rFonts w:ascii="Calibri" w:hAnsi="Calibri" w:cs="Calibri"/>
                <w:lang w:val="en-AU"/>
              </w:rPr>
              <w:t>Felicity O’Neill</w:t>
            </w:r>
          </w:p>
          <w:p w14:paraId="0835DBE3" w14:textId="164CA54C" w:rsidR="00466A66" w:rsidRPr="00C723E0" w:rsidRDefault="00466A66" w:rsidP="00B67388">
            <w:pPr>
              <w:pStyle w:val="TableText"/>
              <w:rPr>
                <w:rFonts w:ascii="Calibri" w:hAnsi="Calibri" w:cs="Calibri"/>
                <w:lang w:val="en-AU"/>
              </w:rPr>
            </w:pPr>
            <w:r>
              <w:rPr>
                <w:rFonts w:ascii="Calibri" w:hAnsi="Calibri" w:cs="Calibri"/>
                <w:lang w:val="en-AU"/>
              </w:rPr>
              <w:t>Emily Wilson</w:t>
            </w:r>
            <w:bookmarkEnd w:id="3"/>
          </w:p>
        </w:tc>
      </w:tr>
      <w:tr w:rsidR="00831F16" w:rsidRPr="00C723E0" w14:paraId="5A462EC0" w14:textId="77777777" w:rsidTr="00831F16">
        <w:tc>
          <w:tcPr>
            <w:tcW w:w="471" w:type="pct"/>
          </w:tcPr>
          <w:p w14:paraId="02E12D86" w14:textId="58D293E4" w:rsidR="00831F16" w:rsidRPr="00C723E0" w:rsidRDefault="00466A66" w:rsidP="00A26E3C">
            <w:pPr>
              <w:jc w:val="center"/>
              <w:rPr>
                <w:rFonts w:ascii="Calibri" w:hAnsi="Calibri" w:cs="Calibri"/>
                <w:sz w:val="16"/>
                <w:szCs w:val="16"/>
                <w:lang w:val="en-AU"/>
              </w:rPr>
            </w:pPr>
            <w:r>
              <w:rPr>
                <w:rFonts w:ascii="Calibri" w:hAnsi="Calibri" w:cs="Calibri"/>
                <w:sz w:val="16"/>
                <w:szCs w:val="16"/>
                <w:lang w:val="en-AU"/>
              </w:rPr>
              <w:t>2.0</w:t>
            </w:r>
          </w:p>
        </w:tc>
        <w:tc>
          <w:tcPr>
            <w:tcW w:w="864" w:type="pct"/>
          </w:tcPr>
          <w:p w14:paraId="139C0EE0" w14:textId="3D8FE158" w:rsidR="00831F16" w:rsidRPr="00C723E0" w:rsidRDefault="00466A66" w:rsidP="00831F16">
            <w:pPr>
              <w:rPr>
                <w:rFonts w:ascii="Calibri" w:hAnsi="Calibri" w:cs="Calibri"/>
                <w:sz w:val="16"/>
                <w:szCs w:val="16"/>
                <w:lang w:val="en-AU"/>
              </w:rPr>
            </w:pPr>
            <w:r>
              <w:rPr>
                <w:rFonts w:ascii="Calibri" w:hAnsi="Calibri" w:cs="Calibri"/>
                <w:sz w:val="16"/>
                <w:szCs w:val="16"/>
                <w:lang w:val="en-AU"/>
              </w:rPr>
              <w:t>17 June 2025</w:t>
            </w:r>
          </w:p>
        </w:tc>
        <w:tc>
          <w:tcPr>
            <w:tcW w:w="1335" w:type="pct"/>
          </w:tcPr>
          <w:p w14:paraId="64F36CC2" w14:textId="195C266C" w:rsidR="00831F16" w:rsidRPr="00C723E0" w:rsidRDefault="00466A66" w:rsidP="00831F16">
            <w:pPr>
              <w:rPr>
                <w:rFonts w:ascii="Calibri" w:hAnsi="Calibri" w:cs="Calibri"/>
                <w:sz w:val="16"/>
                <w:szCs w:val="16"/>
                <w:lang w:val="en-AU"/>
              </w:rPr>
            </w:pPr>
            <w:r>
              <w:rPr>
                <w:rFonts w:ascii="Calibri" w:hAnsi="Calibri" w:cs="Calibri"/>
                <w:sz w:val="16"/>
                <w:szCs w:val="16"/>
                <w:lang w:val="en-AU"/>
              </w:rPr>
              <w:t>Final Evaluation Report</w:t>
            </w:r>
          </w:p>
        </w:tc>
        <w:tc>
          <w:tcPr>
            <w:tcW w:w="1256" w:type="pct"/>
          </w:tcPr>
          <w:p w14:paraId="69A046F6" w14:textId="182A7C79" w:rsidR="00831F16" w:rsidRPr="00C723E0" w:rsidRDefault="00466A66" w:rsidP="00831F16">
            <w:pPr>
              <w:rPr>
                <w:rFonts w:ascii="Calibri" w:hAnsi="Calibri" w:cs="Calibri"/>
                <w:sz w:val="16"/>
                <w:szCs w:val="16"/>
                <w:lang w:val="en-AU"/>
              </w:rPr>
            </w:pPr>
            <w:r>
              <w:rPr>
                <w:rFonts w:ascii="Calibri" w:hAnsi="Calibri" w:cs="Calibri"/>
                <w:sz w:val="16"/>
                <w:szCs w:val="16"/>
                <w:lang w:val="en-AU"/>
              </w:rPr>
              <w:t>Ty Morrissey</w:t>
            </w:r>
          </w:p>
        </w:tc>
        <w:tc>
          <w:tcPr>
            <w:tcW w:w="1074" w:type="pct"/>
          </w:tcPr>
          <w:p w14:paraId="7A8B131C" w14:textId="77777777" w:rsidR="00466A66" w:rsidRDefault="00466A66" w:rsidP="00466A66">
            <w:pPr>
              <w:pStyle w:val="TableText"/>
              <w:rPr>
                <w:rFonts w:ascii="Calibri" w:hAnsi="Calibri" w:cs="Calibri"/>
                <w:lang w:val="en-AU"/>
              </w:rPr>
            </w:pPr>
            <w:r>
              <w:rPr>
                <w:rFonts w:ascii="Calibri" w:hAnsi="Calibri" w:cs="Calibri"/>
                <w:lang w:val="en-AU"/>
              </w:rPr>
              <w:t>Felicity O’Neill</w:t>
            </w:r>
          </w:p>
          <w:p w14:paraId="44CF2834" w14:textId="44691554" w:rsidR="00831F16" w:rsidRPr="00466A66" w:rsidRDefault="00466A66" w:rsidP="00466A66">
            <w:pPr>
              <w:rPr>
                <w:rFonts w:ascii="Calibri" w:hAnsi="Calibri" w:cs="Calibri"/>
                <w:sz w:val="16"/>
                <w:szCs w:val="16"/>
                <w:lang w:val="en-AU"/>
              </w:rPr>
            </w:pPr>
            <w:r w:rsidRPr="00A26E3C">
              <w:rPr>
                <w:rFonts w:ascii="Calibri" w:hAnsi="Calibri" w:cs="Calibri"/>
                <w:sz w:val="16"/>
                <w:szCs w:val="16"/>
                <w:lang w:val="en-AU"/>
              </w:rPr>
              <w:t>Emily Wilson</w:t>
            </w:r>
          </w:p>
        </w:tc>
      </w:tr>
    </w:tbl>
    <w:p w14:paraId="190A3489" w14:textId="77777777" w:rsidR="00831F16" w:rsidRPr="00C723E0" w:rsidRDefault="00831F16" w:rsidP="00831F16">
      <w:pPr>
        <w:rPr>
          <w:rFonts w:ascii="Calibri" w:hAnsi="Calibri" w:cs="Calibri"/>
          <w:lang w:val="en-AU"/>
        </w:rPr>
      </w:pPr>
    </w:p>
    <w:p w14:paraId="41126E34" w14:textId="77777777" w:rsidR="00596B15" w:rsidRPr="00C723E0" w:rsidRDefault="00067C41" w:rsidP="00C367F1">
      <w:pPr>
        <w:jc w:val="both"/>
        <w:rPr>
          <w:rFonts w:ascii="Calibri" w:hAnsi="Calibri" w:cs="Calibri"/>
          <w:sz w:val="22"/>
          <w:szCs w:val="22"/>
          <w:lang w:val="en-AU"/>
        </w:rPr>
      </w:pPr>
      <w:r w:rsidRPr="00C723E0">
        <w:rPr>
          <w:rFonts w:ascii="Calibri" w:hAnsi="Calibri" w:cs="Calibri"/>
          <w:i/>
          <w:iCs/>
          <w:sz w:val="22"/>
          <w:szCs w:val="22"/>
          <w:lang w:val="en-AU"/>
        </w:rPr>
        <w:t>This publication</w:t>
      </w:r>
      <w:r w:rsidRPr="00C723E0">
        <w:rPr>
          <w:rFonts w:ascii="Calibri" w:hAnsi="Calibri" w:cs="Calibri"/>
          <w:sz w:val="22"/>
          <w:szCs w:val="22"/>
          <w:lang w:val="en-AU"/>
        </w:rPr>
        <w:t xml:space="preserve"> has been funded by the Australian Government through the Department of Foreign Affairs and Trade. The views expressed in this publication are the author's alone and are not necessarily the views of the Australian Government. The Australian Government neither endorses the views in this publication, nor vouches for the accuracy or completeness of the information contained within the publication. </w:t>
      </w:r>
    </w:p>
    <w:p w14:paraId="0B62609E" w14:textId="0A1ACC0B" w:rsidR="00067C41" w:rsidRPr="00C723E0" w:rsidRDefault="00067C41" w:rsidP="00C367F1">
      <w:pPr>
        <w:jc w:val="both"/>
        <w:rPr>
          <w:rFonts w:ascii="Calibri" w:hAnsi="Calibri" w:cs="Calibri"/>
          <w:sz w:val="22"/>
          <w:szCs w:val="22"/>
          <w:lang w:val="en-AU"/>
        </w:rPr>
      </w:pPr>
      <w:r w:rsidRPr="00C723E0">
        <w:rPr>
          <w:rFonts w:ascii="Calibri" w:hAnsi="Calibri" w:cs="Calibri"/>
          <w:sz w:val="22"/>
          <w:szCs w:val="22"/>
          <w:lang w:val="en-AU"/>
        </w:rPr>
        <w:t>The Australian Government, its officers, employees and agents, accept no liability for any loss, damage or expense arising out of, or in connection with, any reliance on any omissions or inaccuracies in the material contained in this publication.</w:t>
      </w:r>
    </w:p>
    <w:p w14:paraId="2AA35DCD" w14:textId="76D206B4" w:rsidR="00067C41" w:rsidRPr="00C723E0" w:rsidRDefault="00C367F1" w:rsidP="00C367F1">
      <w:pPr>
        <w:jc w:val="both"/>
        <w:rPr>
          <w:rFonts w:ascii="Calibri" w:hAnsi="Calibri" w:cs="Calibri"/>
          <w:sz w:val="22"/>
          <w:szCs w:val="22"/>
          <w:lang w:val="en-AU"/>
        </w:rPr>
      </w:pPr>
      <w:r w:rsidRPr="00C723E0">
        <w:rPr>
          <w:rFonts w:ascii="Calibri" w:hAnsi="Calibri" w:cs="Calibri"/>
          <w:sz w:val="22"/>
          <w:szCs w:val="22"/>
          <w:lang w:val="en-AU"/>
        </w:rPr>
        <w:t>The Fiji Private Sector Development Partnership (FPSDP) program</w:t>
      </w:r>
      <w:r w:rsidR="00067C41" w:rsidRPr="00C723E0">
        <w:rPr>
          <w:rFonts w:ascii="Calibri" w:hAnsi="Calibri" w:cs="Calibri"/>
          <w:sz w:val="22"/>
          <w:szCs w:val="22"/>
          <w:lang w:val="en-AU"/>
        </w:rPr>
        <w:t xml:space="preserve"> is supported by the Australian Government and impl</w:t>
      </w:r>
      <w:r w:rsidR="00FA35BF" w:rsidRPr="00583E29">
        <w:rPr>
          <w:rFonts w:ascii="Calibri" w:hAnsi="Calibri" w:cs="Calibri"/>
          <w:sz w:val="22"/>
          <w:szCs w:val="22"/>
          <w:lang w:val="en-AU"/>
        </w:rPr>
        <w:t>emen</w:t>
      </w:r>
      <w:r w:rsidR="00067C41" w:rsidRPr="00C723E0">
        <w:rPr>
          <w:rFonts w:ascii="Calibri" w:hAnsi="Calibri" w:cs="Calibri"/>
          <w:sz w:val="22"/>
          <w:szCs w:val="22"/>
          <w:lang w:val="en-AU"/>
        </w:rPr>
        <w:t xml:space="preserve">ted by </w:t>
      </w:r>
      <w:r w:rsidRPr="00C723E0">
        <w:rPr>
          <w:rFonts w:ascii="Calibri" w:hAnsi="Calibri" w:cs="Calibri"/>
          <w:sz w:val="22"/>
          <w:szCs w:val="22"/>
          <w:lang w:val="en-AU"/>
        </w:rPr>
        <w:t>the International Finance Corporation (IFC)</w:t>
      </w:r>
      <w:r w:rsidR="00596B15" w:rsidRPr="00C723E0">
        <w:rPr>
          <w:rFonts w:ascii="Calibri" w:hAnsi="Calibri" w:cs="Calibri"/>
          <w:sz w:val="22"/>
          <w:szCs w:val="22"/>
          <w:lang w:val="en-AU"/>
        </w:rPr>
        <w:t>.</w:t>
      </w:r>
    </w:p>
    <w:p w14:paraId="7BE09E9B" w14:textId="77777777" w:rsidR="00A37584" w:rsidRPr="00C723E0" w:rsidRDefault="00A37584" w:rsidP="00831F16">
      <w:pPr>
        <w:rPr>
          <w:rFonts w:ascii="Calibri" w:hAnsi="Calibri" w:cs="Calibri"/>
          <w:lang w:val="en-AU"/>
        </w:rPr>
      </w:pPr>
    </w:p>
    <w:p w14:paraId="49F11BCE" w14:textId="77460E94" w:rsidR="00067C41" w:rsidRPr="00C723E0" w:rsidRDefault="00067C41" w:rsidP="00831F16">
      <w:pPr>
        <w:rPr>
          <w:rFonts w:ascii="Calibri" w:hAnsi="Calibri" w:cs="Calibri"/>
          <w:lang w:val="en-AU"/>
        </w:rPr>
        <w:sectPr w:rsidR="00067C41" w:rsidRPr="00C723E0" w:rsidSect="00DB1B61">
          <w:headerReference w:type="default" r:id="rId16"/>
          <w:footerReference w:type="even" r:id="rId17"/>
          <w:footerReference w:type="default" r:id="rId18"/>
          <w:footerReference w:type="first" r:id="rId19"/>
          <w:pgSz w:w="11906" w:h="16838" w:code="9"/>
          <w:pgMar w:top="1440" w:right="1440" w:bottom="1440" w:left="1440" w:header="709" w:footer="709" w:gutter="0"/>
          <w:pgNumType w:fmt="lowerRoman" w:start="1"/>
          <w:cols w:space="708"/>
          <w:vAlign w:val="bottom"/>
          <w:docGrid w:linePitch="360"/>
        </w:sectPr>
      </w:pPr>
    </w:p>
    <w:sdt>
      <w:sdtPr>
        <w:rPr>
          <w:rFonts w:ascii="Times New Roman" w:eastAsia="Times New Roman" w:hAnsi="Times New Roman" w:cs="Times New Roman"/>
          <w:color w:val="auto"/>
          <w:kern w:val="0"/>
          <w:sz w:val="24"/>
          <w:szCs w:val="24"/>
          <w:lang w:val="en-ID"/>
          <w14:ligatures w14:val="none"/>
        </w:rPr>
        <w:id w:val="1875491492"/>
        <w:docPartObj>
          <w:docPartGallery w:val="Table of Contents"/>
          <w:docPartUnique/>
        </w:docPartObj>
      </w:sdtPr>
      <w:sdtEndPr>
        <w:rPr>
          <w:b/>
          <w:bCs/>
          <w:noProof/>
        </w:rPr>
      </w:sdtEndPr>
      <w:sdtContent>
        <w:p w14:paraId="6D6A7904" w14:textId="470F7ABF" w:rsidR="00A6262E" w:rsidRDefault="00A6262E">
          <w:pPr>
            <w:pStyle w:val="TOCHeading"/>
          </w:pPr>
          <w:r>
            <w:t>Table of Contents</w:t>
          </w:r>
        </w:p>
        <w:p w14:paraId="1B94ACE4" w14:textId="32B5C4B7" w:rsidR="009C6DA6" w:rsidRDefault="00B7687D">
          <w:pPr>
            <w:pStyle w:val="TOC1"/>
            <w:rPr>
              <w:rFonts w:asciiTheme="minorHAnsi" w:eastAsiaTheme="minorEastAsia" w:hAnsiTheme="minorHAnsi" w:cstheme="minorBidi"/>
              <w:b w:val="0"/>
              <w:bCs w:val="0"/>
              <w:kern w:val="2"/>
              <w:szCs w:val="24"/>
              <w:lang w:val="en-US"/>
              <w14:ligatures w14:val="standardContextual"/>
            </w:rPr>
          </w:pPr>
          <w:r>
            <w:fldChar w:fldCharType="begin"/>
          </w:r>
          <w:r>
            <w:instrText xml:space="preserve"> TOC \o "1-2" \h \z \u </w:instrText>
          </w:r>
          <w:r>
            <w:fldChar w:fldCharType="separate"/>
          </w:r>
          <w:hyperlink w:anchor="_Toc206675808" w:history="1">
            <w:r w:rsidR="009C6DA6" w:rsidRPr="008A1574">
              <w:rPr>
                <w:rStyle w:val="Hyperlink"/>
              </w:rPr>
              <w:t>Executive Summary</w:t>
            </w:r>
            <w:r w:rsidR="009C6DA6">
              <w:rPr>
                <w:webHidden/>
              </w:rPr>
              <w:tab/>
            </w:r>
            <w:r w:rsidR="009C6DA6">
              <w:rPr>
                <w:webHidden/>
              </w:rPr>
              <w:fldChar w:fldCharType="begin"/>
            </w:r>
            <w:r w:rsidR="009C6DA6">
              <w:rPr>
                <w:webHidden/>
              </w:rPr>
              <w:instrText xml:space="preserve"> PAGEREF _Toc206675808 \h </w:instrText>
            </w:r>
            <w:r w:rsidR="009C6DA6">
              <w:rPr>
                <w:webHidden/>
              </w:rPr>
            </w:r>
            <w:r w:rsidR="009C6DA6">
              <w:rPr>
                <w:webHidden/>
              </w:rPr>
              <w:fldChar w:fldCharType="separate"/>
            </w:r>
            <w:r w:rsidR="0022513C">
              <w:rPr>
                <w:webHidden/>
              </w:rPr>
              <w:t>4</w:t>
            </w:r>
            <w:r w:rsidR="009C6DA6">
              <w:rPr>
                <w:webHidden/>
              </w:rPr>
              <w:fldChar w:fldCharType="end"/>
            </w:r>
          </w:hyperlink>
        </w:p>
        <w:p w14:paraId="31B96AA4" w14:textId="5820592E" w:rsidR="009C6DA6" w:rsidRDefault="009C6DA6">
          <w:pPr>
            <w:pStyle w:val="TOC2"/>
            <w:rPr>
              <w:rFonts w:asciiTheme="minorHAnsi" w:eastAsiaTheme="minorEastAsia" w:hAnsiTheme="minorHAnsi" w:cstheme="minorBidi"/>
              <w:kern w:val="2"/>
              <w:lang w:val="en-US"/>
              <w14:ligatures w14:val="standardContextual"/>
            </w:rPr>
          </w:pPr>
          <w:hyperlink w:anchor="_Toc206675809" w:history="1">
            <w:r w:rsidRPr="008A1574">
              <w:rPr>
                <w:rStyle w:val="Hyperlink"/>
              </w:rPr>
              <w:t>Purpose and Scope</w:t>
            </w:r>
            <w:r>
              <w:rPr>
                <w:webHidden/>
              </w:rPr>
              <w:tab/>
            </w:r>
            <w:r>
              <w:rPr>
                <w:webHidden/>
              </w:rPr>
              <w:fldChar w:fldCharType="begin"/>
            </w:r>
            <w:r>
              <w:rPr>
                <w:webHidden/>
              </w:rPr>
              <w:instrText xml:space="preserve"> PAGEREF _Toc206675809 \h </w:instrText>
            </w:r>
            <w:r>
              <w:rPr>
                <w:webHidden/>
              </w:rPr>
            </w:r>
            <w:r>
              <w:rPr>
                <w:webHidden/>
              </w:rPr>
              <w:fldChar w:fldCharType="separate"/>
            </w:r>
            <w:r w:rsidR="0022513C">
              <w:rPr>
                <w:webHidden/>
              </w:rPr>
              <w:t>4</w:t>
            </w:r>
            <w:r>
              <w:rPr>
                <w:webHidden/>
              </w:rPr>
              <w:fldChar w:fldCharType="end"/>
            </w:r>
          </w:hyperlink>
        </w:p>
        <w:p w14:paraId="313CD7D1" w14:textId="5B7CE44C" w:rsidR="009C6DA6" w:rsidRDefault="009C6DA6">
          <w:pPr>
            <w:pStyle w:val="TOC2"/>
            <w:rPr>
              <w:rFonts w:asciiTheme="minorHAnsi" w:eastAsiaTheme="minorEastAsia" w:hAnsiTheme="minorHAnsi" w:cstheme="minorBidi"/>
              <w:kern w:val="2"/>
              <w:lang w:val="en-US"/>
              <w14:ligatures w14:val="standardContextual"/>
            </w:rPr>
          </w:pPr>
          <w:hyperlink w:anchor="_Toc206675810" w:history="1">
            <w:r w:rsidRPr="008A1574">
              <w:rPr>
                <w:rStyle w:val="Hyperlink"/>
              </w:rPr>
              <w:t>Approach and Methodology</w:t>
            </w:r>
            <w:r>
              <w:rPr>
                <w:webHidden/>
              </w:rPr>
              <w:tab/>
            </w:r>
            <w:r>
              <w:rPr>
                <w:webHidden/>
              </w:rPr>
              <w:fldChar w:fldCharType="begin"/>
            </w:r>
            <w:r>
              <w:rPr>
                <w:webHidden/>
              </w:rPr>
              <w:instrText xml:space="preserve"> PAGEREF _Toc206675810 \h </w:instrText>
            </w:r>
            <w:r>
              <w:rPr>
                <w:webHidden/>
              </w:rPr>
            </w:r>
            <w:r>
              <w:rPr>
                <w:webHidden/>
              </w:rPr>
              <w:fldChar w:fldCharType="separate"/>
            </w:r>
            <w:r w:rsidR="0022513C">
              <w:rPr>
                <w:webHidden/>
              </w:rPr>
              <w:t>4</w:t>
            </w:r>
            <w:r>
              <w:rPr>
                <w:webHidden/>
              </w:rPr>
              <w:fldChar w:fldCharType="end"/>
            </w:r>
          </w:hyperlink>
        </w:p>
        <w:p w14:paraId="06303649" w14:textId="31A7F717" w:rsidR="009C6DA6" w:rsidRDefault="009C6DA6">
          <w:pPr>
            <w:pStyle w:val="TOC2"/>
            <w:rPr>
              <w:rFonts w:asciiTheme="minorHAnsi" w:eastAsiaTheme="minorEastAsia" w:hAnsiTheme="minorHAnsi" w:cstheme="minorBidi"/>
              <w:kern w:val="2"/>
              <w:lang w:val="en-US"/>
              <w14:ligatures w14:val="standardContextual"/>
            </w:rPr>
          </w:pPr>
          <w:hyperlink w:anchor="_Toc206675811" w:history="1">
            <w:r w:rsidRPr="008A1574">
              <w:rPr>
                <w:rStyle w:val="Hyperlink"/>
              </w:rPr>
              <w:t>Key Findings</w:t>
            </w:r>
            <w:r>
              <w:rPr>
                <w:webHidden/>
              </w:rPr>
              <w:tab/>
            </w:r>
            <w:r>
              <w:rPr>
                <w:webHidden/>
              </w:rPr>
              <w:fldChar w:fldCharType="begin"/>
            </w:r>
            <w:r>
              <w:rPr>
                <w:webHidden/>
              </w:rPr>
              <w:instrText xml:space="preserve"> PAGEREF _Toc206675811 \h </w:instrText>
            </w:r>
            <w:r>
              <w:rPr>
                <w:webHidden/>
              </w:rPr>
            </w:r>
            <w:r>
              <w:rPr>
                <w:webHidden/>
              </w:rPr>
              <w:fldChar w:fldCharType="separate"/>
            </w:r>
            <w:r w:rsidR="0022513C">
              <w:rPr>
                <w:webHidden/>
              </w:rPr>
              <w:t>4</w:t>
            </w:r>
            <w:r>
              <w:rPr>
                <w:webHidden/>
              </w:rPr>
              <w:fldChar w:fldCharType="end"/>
            </w:r>
          </w:hyperlink>
        </w:p>
        <w:p w14:paraId="029F3B55" w14:textId="1DE3901F" w:rsidR="009C6DA6" w:rsidRDefault="009C6DA6">
          <w:pPr>
            <w:pStyle w:val="TOC2"/>
            <w:rPr>
              <w:rFonts w:asciiTheme="minorHAnsi" w:eastAsiaTheme="minorEastAsia" w:hAnsiTheme="minorHAnsi" w:cstheme="minorBidi"/>
              <w:kern w:val="2"/>
              <w:lang w:val="en-US"/>
              <w14:ligatures w14:val="standardContextual"/>
            </w:rPr>
          </w:pPr>
          <w:hyperlink w:anchor="_Toc206675812" w:history="1">
            <w:r w:rsidRPr="008A1574">
              <w:rPr>
                <w:rStyle w:val="Hyperlink"/>
              </w:rPr>
              <w:t>Recommendations</w:t>
            </w:r>
            <w:r>
              <w:rPr>
                <w:webHidden/>
              </w:rPr>
              <w:tab/>
            </w:r>
            <w:r>
              <w:rPr>
                <w:webHidden/>
              </w:rPr>
              <w:fldChar w:fldCharType="begin"/>
            </w:r>
            <w:r>
              <w:rPr>
                <w:webHidden/>
              </w:rPr>
              <w:instrText xml:space="preserve"> PAGEREF _Toc206675812 \h </w:instrText>
            </w:r>
            <w:r>
              <w:rPr>
                <w:webHidden/>
              </w:rPr>
            </w:r>
            <w:r>
              <w:rPr>
                <w:webHidden/>
              </w:rPr>
              <w:fldChar w:fldCharType="separate"/>
            </w:r>
            <w:r w:rsidR="0022513C">
              <w:rPr>
                <w:webHidden/>
              </w:rPr>
              <w:t>6</w:t>
            </w:r>
            <w:r>
              <w:rPr>
                <w:webHidden/>
              </w:rPr>
              <w:fldChar w:fldCharType="end"/>
            </w:r>
          </w:hyperlink>
        </w:p>
        <w:p w14:paraId="31B3D0D2" w14:textId="6DEC5C09"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13" w:history="1">
            <w:r w:rsidRPr="008A1574">
              <w:rPr>
                <w:rStyle w:val="Hyperlink"/>
              </w:rPr>
              <w:t>Introduction</w:t>
            </w:r>
            <w:r>
              <w:rPr>
                <w:webHidden/>
              </w:rPr>
              <w:tab/>
            </w:r>
            <w:r>
              <w:rPr>
                <w:webHidden/>
              </w:rPr>
              <w:fldChar w:fldCharType="begin"/>
            </w:r>
            <w:r>
              <w:rPr>
                <w:webHidden/>
              </w:rPr>
              <w:instrText xml:space="preserve"> PAGEREF _Toc206675813 \h </w:instrText>
            </w:r>
            <w:r>
              <w:rPr>
                <w:webHidden/>
              </w:rPr>
            </w:r>
            <w:r>
              <w:rPr>
                <w:webHidden/>
              </w:rPr>
              <w:fldChar w:fldCharType="separate"/>
            </w:r>
            <w:r w:rsidR="0022513C">
              <w:rPr>
                <w:webHidden/>
              </w:rPr>
              <w:t>8</w:t>
            </w:r>
            <w:r>
              <w:rPr>
                <w:webHidden/>
              </w:rPr>
              <w:fldChar w:fldCharType="end"/>
            </w:r>
          </w:hyperlink>
        </w:p>
        <w:p w14:paraId="5A5ED0D2" w14:textId="7FE6A8E9"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14" w:history="1">
            <w:r w:rsidRPr="008A1574">
              <w:rPr>
                <w:rStyle w:val="Hyperlink"/>
              </w:rPr>
              <w:t>Program Background</w:t>
            </w:r>
            <w:r>
              <w:rPr>
                <w:webHidden/>
              </w:rPr>
              <w:tab/>
            </w:r>
            <w:r>
              <w:rPr>
                <w:webHidden/>
              </w:rPr>
              <w:fldChar w:fldCharType="begin"/>
            </w:r>
            <w:r>
              <w:rPr>
                <w:webHidden/>
              </w:rPr>
              <w:instrText xml:space="preserve"> PAGEREF _Toc206675814 \h </w:instrText>
            </w:r>
            <w:r>
              <w:rPr>
                <w:webHidden/>
              </w:rPr>
            </w:r>
            <w:r>
              <w:rPr>
                <w:webHidden/>
              </w:rPr>
              <w:fldChar w:fldCharType="separate"/>
            </w:r>
            <w:r w:rsidR="0022513C">
              <w:rPr>
                <w:webHidden/>
              </w:rPr>
              <w:t>8</w:t>
            </w:r>
            <w:r>
              <w:rPr>
                <w:webHidden/>
              </w:rPr>
              <w:fldChar w:fldCharType="end"/>
            </w:r>
          </w:hyperlink>
        </w:p>
        <w:p w14:paraId="027DF28B" w14:textId="27E0503B"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15" w:history="1">
            <w:r w:rsidRPr="008A1574">
              <w:rPr>
                <w:rStyle w:val="Hyperlink"/>
                <w:lang w:val="en-AU"/>
              </w:rPr>
              <w:t>Purpose and Scope of the Evaluation</w:t>
            </w:r>
            <w:r>
              <w:rPr>
                <w:webHidden/>
              </w:rPr>
              <w:tab/>
            </w:r>
            <w:r>
              <w:rPr>
                <w:webHidden/>
              </w:rPr>
              <w:fldChar w:fldCharType="begin"/>
            </w:r>
            <w:r>
              <w:rPr>
                <w:webHidden/>
              </w:rPr>
              <w:instrText xml:space="preserve"> PAGEREF _Toc206675815 \h </w:instrText>
            </w:r>
            <w:r>
              <w:rPr>
                <w:webHidden/>
              </w:rPr>
            </w:r>
            <w:r>
              <w:rPr>
                <w:webHidden/>
              </w:rPr>
              <w:fldChar w:fldCharType="separate"/>
            </w:r>
            <w:r w:rsidR="0022513C">
              <w:rPr>
                <w:webHidden/>
              </w:rPr>
              <w:t>11</w:t>
            </w:r>
            <w:r>
              <w:rPr>
                <w:webHidden/>
              </w:rPr>
              <w:fldChar w:fldCharType="end"/>
            </w:r>
          </w:hyperlink>
        </w:p>
        <w:p w14:paraId="34CE6157" w14:textId="42C11F5F" w:rsidR="009C6DA6" w:rsidRDefault="009C6DA6">
          <w:pPr>
            <w:pStyle w:val="TOC2"/>
            <w:rPr>
              <w:rFonts w:asciiTheme="minorHAnsi" w:eastAsiaTheme="minorEastAsia" w:hAnsiTheme="minorHAnsi" w:cstheme="minorBidi"/>
              <w:kern w:val="2"/>
              <w:lang w:val="en-US"/>
              <w14:ligatures w14:val="standardContextual"/>
            </w:rPr>
          </w:pPr>
          <w:hyperlink w:anchor="_Toc206675816" w:history="1">
            <w:r w:rsidRPr="008A1574">
              <w:rPr>
                <w:rStyle w:val="Hyperlink"/>
                <w:lang w:val="en-AU"/>
              </w:rPr>
              <w:t>Purpose</w:t>
            </w:r>
            <w:r>
              <w:rPr>
                <w:webHidden/>
              </w:rPr>
              <w:tab/>
            </w:r>
            <w:r>
              <w:rPr>
                <w:webHidden/>
              </w:rPr>
              <w:fldChar w:fldCharType="begin"/>
            </w:r>
            <w:r>
              <w:rPr>
                <w:webHidden/>
              </w:rPr>
              <w:instrText xml:space="preserve"> PAGEREF _Toc206675816 \h </w:instrText>
            </w:r>
            <w:r>
              <w:rPr>
                <w:webHidden/>
              </w:rPr>
            </w:r>
            <w:r>
              <w:rPr>
                <w:webHidden/>
              </w:rPr>
              <w:fldChar w:fldCharType="separate"/>
            </w:r>
            <w:r w:rsidR="0022513C">
              <w:rPr>
                <w:webHidden/>
              </w:rPr>
              <w:t>11</w:t>
            </w:r>
            <w:r>
              <w:rPr>
                <w:webHidden/>
              </w:rPr>
              <w:fldChar w:fldCharType="end"/>
            </w:r>
          </w:hyperlink>
        </w:p>
        <w:p w14:paraId="6C790BD7" w14:textId="17B103C2" w:rsidR="009C6DA6" w:rsidRDefault="009C6DA6">
          <w:pPr>
            <w:pStyle w:val="TOC2"/>
            <w:rPr>
              <w:rFonts w:asciiTheme="minorHAnsi" w:eastAsiaTheme="minorEastAsia" w:hAnsiTheme="minorHAnsi" w:cstheme="minorBidi"/>
              <w:kern w:val="2"/>
              <w:lang w:val="en-US"/>
              <w14:ligatures w14:val="standardContextual"/>
            </w:rPr>
          </w:pPr>
          <w:hyperlink w:anchor="_Toc206675817" w:history="1">
            <w:r w:rsidRPr="008A1574">
              <w:rPr>
                <w:rStyle w:val="Hyperlink"/>
                <w:lang w:val="en-AU"/>
              </w:rPr>
              <w:t>Scope</w:t>
            </w:r>
            <w:r>
              <w:rPr>
                <w:webHidden/>
              </w:rPr>
              <w:tab/>
            </w:r>
            <w:r>
              <w:rPr>
                <w:webHidden/>
              </w:rPr>
              <w:fldChar w:fldCharType="begin"/>
            </w:r>
            <w:r>
              <w:rPr>
                <w:webHidden/>
              </w:rPr>
              <w:instrText xml:space="preserve"> PAGEREF _Toc206675817 \h </w:instrText>
            </w:r>
            <w:r>
              <w:rPr>
                <w:webHidden/>
              </w:rPr>
            </w:r>
            <w:r>
              <w:rPr>
                <w:webHidden/>
              </w:rPr>
              <w:fldChar w:fldCharType="separate"/>
            </w:r>
            <w:r w:rsidR="0022513C">
              <w:rPr>
                <w:webHidden/>
              </w:rPr>
              <w:t>11</w:t>
            </w:r>
            <w:r>
              <w:rPr>
                <w:webHidden/>
              </w:rPr>
              <w:fldChar w:fldCharType="end"/>
            </w:r>
          </w:hyperlink>
        </w:p>
        <w:p w14:paraId="7AC821A6" w14:textId="349759C0"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18" w:history="1">
            <w:r w:rsidRPr="008A1574">
              <w:rPr>
                <w:rStyle w:val="Hyperlink"/>
                <w:lang w:val="en-AU"/>
              </w:rPr>
              <w:t>Approach and Methodology</w:t>
            </w:r>
            <w:r>
              <w:rPr>
                <w:webHidden/>
              </w:rPr>
              <w:tab/>
            </w:r>
            <w:r>
              <w:rPr>
                <w:webHidden/>
              </w:rPr>
              <w:fldChar w:fldCharType="begin"/>
            </w:r>
            <w:r>
              <w:rPr>
                <w:webHidden/>
              </w:rPr>
              <w:instrText xml:space="preserve"> PAGEREF _Toc206675818 \h </w:instrText>
            </w:r>
            <w:r>
              <w:rPr>
                <w:webHidden/>
              </w:rPr>
            </w:r>
            <w:r>
              <w:rPr>
                <w:webHidden/>
              </w:rPr>
              <w:fldChar w:fldCharType="separate"/>
            </w:r>
            <w:r w:rsidR="0022513C">
              <w:rPr>
                <w:webHidden/>
              </w:rPr>
              <w:t>11</w:t>
            </w:r>
            <w:r>
              <w:rPr>
                <w:webHidden/>
              </w:rPr>
              <w:fldChar w:fldCharType="end"/>
            </w:r>
          </w:hyperlink>
        </w:p>
        <w:p w14:paraId="6ABFE8E5" w14:textId="14E1DC7B"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19" w:history="1">
            <w:r w:rsidRPr="008A1574">
              <w:rPr>
                <w:rStyle w:val="Hyperlink"/>
                <w:lang w:val="en-AU"/>
              </w:rPr>
              <w:t>Key Evaluation Questions</w:t>
            </w:r>
            <w:r>
              <w:rPr>
                <w:webHidden/>
              </w:rPr>
              <w:tab/>
            </w:r>
            <w:r>
              <w:rPr>
                <w:webHidden/>
              </w:rPr>
              <w:fldChar w:fldCharType="begin"/>
            </w:r>
            <w:r>
              <w:rPr>
                <w:webHidden/>
              </w:rPr>
              <w:instrText xml:space="preserve"> PAGEREF _Toc206675819 \h </w:instrText>
            </w:r>
            <w:r>
              <w:rPr>
                <w:webHidden/>
              </w:rPr>
            </w:r>
            <w:r>
              <w:rPr>
                <w:webHidden/>
              </w:rPr>
              <w:fldChar w:fldCharType="separate"/>
            </w:r>
            <w:r w:rsidR="0022513C">
              <w:rPr>
                <w:webHidden/>
              </w:rPr>
              <w:t>12</w:t>
            </w:r>
            <w:r>
              <w:rPr>
                <w:webHidden/>
              </w:rPr>
              <w:fldChar w:fldCharType="end"/>
            </w:r>
          </w:hyperlink>
        </w:p>
        <w:p w14:paraId="5F568250" w14:textId="5CC89138"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20" w:history="1">
            <w:r w:rsidRPr="008A1574">
              <w:rPr>
                <w:rStyle w:val="Hyperlink"/>
                <w:lang w:val="en-AU"/>
              </w:rPr>
              <w:t>Evaluation Limitations</w:t>
            </w:r>
            <w:r>
              <w:rPr>
                <w:webHidden/>
              </w:rPr>
              <w:tab/>
            </w:r>
            <w:r>
              <w:rPr>
                <w:webHidden/>
              </w:rPr>
              <w:fldChar w:fldCharType="begin"/>
            </w:r>
            <w:r>
              <w:rPr>
                <w:webHidden/>
              </w:rPr>
              <w:instrText xml:space="preserve"> PAGEREF _Toc206675820 \h </w:instrText>
            </w:r>
            <w:r>
              <w:rPr>
                <w:webHidden/>
              </w:rPr>
            </w:r>
            <w:r>
              <w:rPr>
                <w:webHidden/>
              </w:rPr>
              <w:fldChar w:fldCharType="separate"/>
            </w:r>
            <w:r w:rsidR="0022513C">
              <w:rPr>
                <w:webHidden/>
              </w:rPr>
              <w:t>12</w:t>
            </w:r>
            <w:r>
              <w:rPr>
                <w:webHidden/>
              </w:rPr>
              <w:fldChar w:fldCharType="end"/>
            </w:r>
          </w:hyperlink>
        </w:p>
        <w:p w14:paraId="14D23133" w14:textId="3971431A"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21" w:history="1">
            <w:r w:rsidRPr="008A1574">
              <w:rPr>
                <w:rStyle w:val="Hyperlink"/>
                <w:lang w:val="en-AU"/>
              </w:rPr>
              <w:t>Key Findings</w:t>
            </w:r>
            <w:r>
              <w:rPr>
                <w:webHidden/>
              </w:rPr>
              <w:tab/>
            </w:r>
            <w:r>
              <w:rPr>
                <w:webHidden/>
              </w:rPr>
              <w:fldChar w:fldCharType="begin"/>
            </w:r>
            <w:r>
              <w:rPr>
                <w:webHidden/>
              </w:rPr>
              <w:instrText xml:space="preserve"> PAGEREF _Toc206675821 \h </w:instrText>
            </w:r>
            <w:r>
              <w:rPr>
                <w:webHidden/>
              </w:rPr>
            </w:r>
            <w:r>
              <w:rPr>
                <w:webHidden/>
              </w:rPr>
              <w:fldChar w:fldCharType="separate"/>
            </w:r>
            <w:r w:rsidR="0022513C">
              <w:rPr>
                <w:webHidden/>
              </w:rPr>
              <w:t>13</w:t>
            </w:r>
            <w:r>
              <w:rPr>
                <w:webHidden/>
              </w:rPr>
              <w:fldChar w:fldCharType="end"/>
            </w:r>
          </w:hyperlink>
        </w:p>
        <w:p w14:paraId="5EB627D9" w14:textId="218FC455" w:rsidR="009C6DA6" w:rsidRDefault="009C6DA6">
          <w:pPr>
            <w:pStyle w:val="TOC2"/>
            <w:rPr>
              <w:rFonts w:asciiTheme="minorHAnsi" w:eastAsiaTheme="minorEastAsia" w:hAnsiTheme="minorHAnsi" w:cstheme="minorBidi"/>
              <w:kern w:val="2"/>
              <w:lang w:val="en-US"/>
              <w14:ligatures w14:val="standardContextual"/>
            </w:rPr>
          </w:pPr>
          <w:hyperlink w:anchor="_Toc206675822" w:history="1">
            <w:r w:rsidRPr="008A1574">
              <w:rPr>
                <w:rStyle w:val="Hyperlink"/>
              </w:rPr>
              <w:t>Relevance and Efficiency</w:t>
            </w:r>
            <w:r>
              <w:rPr>
                <w:webHidden/>
              </w:rPr>
              <w:tab/>
            </w:r>
            <w:r>
              <w:rPr>
                <w:webHidden/>
              </w:rPr>
              <w:fldChar w:fldCharType="begin"/>
            </w:r>
            <w:r>
              <w:rPr>
                <w:webHidden/>
              </w:rPr>
              <w:instrText xml:space="preserve"> PAGEREF _Toc206675822 \h </w:instrText>
            </w:r>
            <w:r>
              <w:rPr>
                <w:webHidden/>
              </w:rPr>
            </w:r>
            <w:r>
              <w:rPr>
                <w:webHidden/>
              </w:rPr>
              <w:fldChar w:fldCharType="separate"/>
            </w:r>
            <w:r w:rsidR="0022513C">
              <w:rPr>
                <w:webHidden/>
              </w:rPr>
              <w:t>13</w:t>
            </w:r>
            <w:r>
              <w:rPr>
                <w:webHidden/>
              </w:rPr>
              <w:fldChar w:fldCharType="end"/>
            </w:r>
          </w:hyperlink>
        </w:p>
        <w:p w14:paraId="0D23A420" w14:textId="75FFAC89" w:rsidR="009C6DA6" w:rsidRDefault="009C6DA6">
          <w:pPr>
            <w:pStyle w:val="TOC2"/>
            <w:rPr>
              <w:rFonts w:asciiTheme="minorHAnsi" w:eastAsiaTheme="minorEastAsia" w:hAnsiTheme="minorHAnsi" w:cstheme="minorBidi"/>
              <w:kern w:val="2"/>
              <w:lang w:val="en-US"/>
              <w14:ligatures w14:val="standardContextual"/>
            </w:rPr>
          </w:pPr>
          <w:hyperlink w:anchor="_Toc206675823" w:history="1">
            <w:r w:rsidRPr="008A1574">
              <w:rPr>
                <w:rStyle w:val="Hyperlink"/>
              </w:rPr>
              <w:t>Coherence</w:t>
            </w:r>
            <w:r>
              <w:rPr>
                <w:webHidden/>
              </w:rPr>
              <w:tab/>
            </w:r>
            <w:r>
              <w:rPr>
                <w:webHidden/>
              </w:rPr>
              <w:fldChar w:fldCharType="begin"/>
            </w:r>
            <w:r>
              <w:rPr>
                <w:webHidden/>
              </w:rPr>
              <w:instrText xml:space="preserve"> PAGEREF _Toc206675823 \h </w:instrText>
            </w:r>
            <w:r>
              <w:rPr>
                <w:webHidden/>
              </w:rPr>
            </w:r>
            <w:r>
              <w:rPr>
                <w:webHidden/>
              </w:rPr>
              <w:fldChar w:fldCharType="separate"/>
            </w:r>
            <w:r w:rsidR="0022513C">
              <w:rPr>
                <w:webHidden/>
              </w:rPr>
              <w:t>16</w:t>
            </w:r>
            <w:r>
              <w:rPr>
                <w:webHidden/>
              </w:rPr>
              <w:fldChar w:fldCharType="end"/>
            </w:r>
          </w:hyperlink>
        </w:p>
        <w:p w14:paraId="2B5C0F81" w14:textId="29ABD5A8" w:rsidR="009C6DA6" w:rsidRDefault="009C6DA6">
          <w:pPr>
            <w:pStyle w:val="TOC2"/>
            <w:rPr>
              <w:rFonts w:asciiTheme="minorHAnsi" w:eastAsiaTheme="minorEastAsia" w:hAnsiTheme="minorHAnsi" w:cstheme="minorBidi"/>
              <w:kern w:val="2"/>
              <w:lang w:val="en-US"/>
              <w14:ligatures w14:val="standardContextual"/>
            </w:rPr>
          </w:pPr>
          <w:hyperlink w:anchor="_Toc206675824" w:history="1">
            <w:r w:rsidRPr="008A1574">
              <w:rPr>
                <w:rStyle w:val="Hyperlink"/>
              </w:rPr>
              <w:t>Effectiveness</w:t>
            </w:r>
            <w:r>
              <w:rPr>
                <w:webHidden/>
              </w:rPr>
              <w:tab/>
            </w:r>
            <w:r>
              <w:rPr>
                <w:webHidden/>
              </w:rPr>
              <w:fldChar w:fldCharType="begin"/>
            </w:r>
            <w:r>
              <w:rPr>
                <w:webHidden/>
              </w:rPr>
              <w:instrText xml:space="preserve"> PAGEREF _Toc206675824 \h </w:instrText>
            </w:r>
            <w:r>
              <w:rPr>
                <w:webHidden/>
              </w:rPr>
            </w:r>
            <w:r>
              <w:rPr>
                <w:webHidden/>
              </w:rPr>
              <w:fldChar w:fldCharType="separate"/>
            </w:r>
            <w:r w:rsidR="0022513C">
              <w:rPr>
                <w:webHidden/>
              </w:rPr>
              <w:t>19</w:t>
            </w:r>
            <w:r>
              <w:rPr>
                <w:webHidden/>
              </w:rPr>
              <w:fldChar w:fldCharType="end"/>
            </w:r>
          </w:hyperlink>
        </w:p>
        <w:p w14:paraId="05CBA454" w14:textId="1AEE349E" w:rsidR="009C6DA6" w:rsidRDefault="009C6DA6">
          <w:pPr>
            <w:pStyle w:val="TOC2"/>
            <w:rPr>
              <w:rFonts w:asciiTheme="minorHAnsi" w:eastAsiaTheme="minorEastAsia" w:hAnsiTheme="minorHAnsi" w:cstheme="minorBidi"/>
              <w:kern w:val="2"/>
              <w:lang w:val="en-US"/>
              <w14:ligatures w14:val="standardContextual"/>
            </w:rPr>
          </w:pPr>
          <w:hyperlink w:anchor="_Toc206675825" w:history="1">
            <w:r w:rsidRPr="008A1574">
              <w:rPr>
                <w:rStyle w:val="Hyperlink"/>
                <w:bCs/>
                <w:lang w:val="en-AU"/>
              </w:rPr>
              <w:t>Sustainability</w:t>
            </w:r>
            <w:r>
              <w:rPr>
                <w:webHidden/>
              </w:rPr>
              <w:tab/>
            </w:r>
            <w:r>
              <w:rPr>
                <w:webHidden/>
              </w:rPr>
              <w:fldChar w:fldCharType="begin"/>
            </w:r>
            <w:r>
              <w:rPr>
                <w:webHidden/>
              </w:rPr>
              <w:instrText xml:space="preserve"> PAGEREF _Toc206675825 \h </w:instrText>
            </w:r>
            <w:r>
              <w:rPr>
                <w:webHidden/>
              </w:rPr>
            </w:r>
            <w:r>
              <w:rPr>
                <w:webHidden/>
              </w:rPr>
              <w:fldChar w:fldCharType="separate"/>
            </w:r>
            <w:r w:rsidR="0022513C">
              <w:rPr>
                <w:webHidden/>
              </w:rPr>
              <w:t>27</w:t>
            </w:r>
            <w:r>
              <w:rPr>
                <w:webHidden/>
              </w:rPr>
              <w:fldChar w:fldCharType="end"/>
            </w:r>
          </w:hyperlink>
        </w:p>
        <w:p w14:paraId="706BE389" w14:textId="2F4326AE"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26" w:history="1">
            <w:r w:rsidRPr="008A1574">
              <w:rPr>
                <w:rStyle w:val="Hyperlink"/>
                <w:lang w:val="en-AU"/>
              </w:rPr>
              <w:t>Key Conclusions and Recommendations</w:t>
            </w:r>
            <w:r>
              <w:rPr>
                <w:webHidden/>
              </w:rPr>
              <w:tab/>
            </w:r>
            <w:r>
              <w:rPr>
                <w:webHidden/>
              </w:rPr>
              <w:fldChar w:fldCharType="begin"/>
            </w:r>
            <w:r>
              <w:rPr>
                <w:webHidden/>
              </w:rPr>
              <w:instrText xml:space="preserve"> PAGEREF _Toc206675826 \h </w:instrText>
            </w:r>
            <w:r>
              <w:rPr>
                <w:webHidden/>
              </w:rPr>
            </w:r>
            <w:r>
              <w:rPr>
                <w:webHidden/>
              </w:rPr>
              <w:fldChar w:fldCharType="separate"/>
            </w:r>
            <w:r w:rsidR="0022513C">
              <w:rPr>
                <w:webHidden/>
              </w:rPr>
              <w:t>28</w:t>
            </w:r>
            <w:r>
              <w:rPr>
                <w:webHidden/>
              </w:rPr>
              <w:fldChar w:fldCharType="end"/>
            </w:r>
          </w:hyperlink>
        </w:p>
        <w:p w14:paraId="7604E15F" w14:textId="4713BFCF"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27" w:history="1">
            <w:r w:rsidRPr="008A1574">
              <w:rPr>
                <w:rStyle w:val="Hyperlink"/>
                <w:lang w:val="en-AU"/>
              </w:rPr>
              <w:t>Annex 1: Evaluation Plan</w:t>
            </w:r>
            <w:r>
              <w:rPr>
                <w:webHidden/>
              </w:rPr>
              <w:tab/>
            </w:r>
            <w:r>
              <w:rPr>
                <w:webHidden/>
              </w:rPr>
              <w:fldChar w:fldCharType="begin"/>
            </w:r>
            <w:r>
              <w:rPr>
                <w:webHidden/>
              </w:rPr>
              <w:instrText xml:space="preserve"> PAGEREF _Toc206675827 \h </w:instrText>
            </w:r>
            <w:r>
              <w:rPr>
                <w:webHidden/>
              </w:rPr>
            </w:r>
            <w:r>
              <w:rPr>
                <w:webHidden/>
              </w:rPr>
              <w:fldChar w:fldCharType="separate"/>
            </w:r>
            <w:r w:rsidR="0022513C">
              <w:rPr>
                <w:webHidden/>
              </w:rPr>
              <w:t>31</w:t>
            </w:r>
            <w:r>
              <w:rPr>
                <w:webHidden/>
              </w:rPr>
              <w:fldChar w:fldCharType="end"/>
            </w:r>
          </w:hyperlink>
        </w:p>
        <w:p w14:paraId="3446FB37" w14:textId="6256F763"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28" w:history="1">
            <w:r w:rsidRPr="008A1574">
              <w:rPr>
                <w:rStyle w:val="Hyperlink"/>
                <w:lang w:val="en-AU"/>
              </w:rPr>
              <w:t>Annex 2: List of People Interviewed</w:t>
            </w:r>
            <w:r>
              <w:rPr>
                <w:webHidden/>
              </w:rPr>
              <w:tab/>
            </w:r>
            <w:r>
              <w:rPr>
                <w:webHidden/>
              </w:rPr>
              <w:fldChar w:fldCharType="begin"/>
            </w:r>
            <w:r>
              <w:rPr>
                <w:webHidden/>
              </w:rPr>
              <w:instrText xml:space="preserve"> PAGEREF _Toc206675828 \h </w:instrText>
            </w:r>
            <w:r>
              <w:rPr>
                <w:webHidden/>
              </w:rPr>
            </w:r>
            <w:r>
              <w:rPr>
                <w:webHidden/>
              </w:rPr>
              <w:fldChar w:fldCharType="separate"/>
            </w:r>
            <w:r w:rsidR="0022513C">
              <w:rPr>
                <w:webHidden/>
              </w:rPr>
              <w:t>43</w:t>
            </w:r>
            <w:r>
              <w:rPr>
                <w:webHidden/>
              </w:rPr>
              <w:fldChar w:fldCharType="end"/>
            </w:r>
          </w:hyperlink>
        </w:p>
        <w:p w14:paraId="222030A5" w14:textId="46669505"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29" w:history="1">
            <w:r w:rsidRPr="008A1574">
              <w:rPr>
                <w:rStyle w:val="Hyperlink"/>
                <w:lang w:val="en-AU"/>
              </w:rPr>
              <w:t>Annex 3: List of Documents Reviewed</w:t>
            </w:r>
            <w:r>
              <w:rPr>
                <w:webHidden/>
              </w:rPr>
              <w:tab/>
            </w:r>
            <w:r>
              <w:rPr>
                <w:webHidden/>
              </w:rPr>
              <w:fldChar w:fldCharType="begin"/>
            </w:r>
            <w:r>
              <w:rPr>
                <w:webHidden/>
              </w:rPr>
              <w:instrText xml:space="preserve"> PAGEREF _Toc206675829 \h </w:instrText>
            </w:r>
            <w:r>
              <w:rPr>
                <w:webHidden/>
              </w:rPr>
            </w:r>
            <w:r>
              <w:rPr>
                <w:webHidden/>
              </w:rPr>
              <w:fldChar w:fldCharType="separate"/>
            </w:r>
            <w:r w:rsidR="0022513C">
              <w:rPr>
                <w:webHidden/>
              </w:rPr>
              <w:t>45</w:t>
            </w:r>
            <w:r>
              <w:rPr>
                <w:webHidden/>
              </w:rPr>
              <w:fldChar w:fldCharType="end"/>
            </w:r>
          </w:hyperlink>
        </w:p>
        <w:p w14:paraId="47F6DE3E" w14:textId="2432AFDB"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30" w:history="1">
            <w:r w:rsidRPr="008A1574">
              <w:rPr>
                <w:rStyle w:val="Hyperlink"/>
                <w:lang w:val="en-AU"/>
              </w:rPr>
              <w:t>Annex 4: FPSDP Program Logic</w:t>
            </w:r>
            <w:r>
              <w:rPr>
                <w:webHidden/>
              </w:rPr>
              <w:tab/>
            </w:r>
            <w:r>
              <w:rPr>
                <w:webHidden/>
              </w:rPr>
              <w:fldChar w:fldCharType="begin"/>
            </w:r>
            <w:r>
              <w:rPr>
                <w:webHidden/>
              </w:rPr>
              <w:instrText xml:space="preserve"> PAGEREF _Toc206675830 \h </w:instrText>
            </w:r>
            <w:r>
              <w:rPr>
                <w:webHidden/>
              </w:rPr>
            </w:r>
            <w:r>
              <w:rPr>
                <w:webHidden/>
              </w:rPr>
              <w:fldChar w:fldCharType="separate"/>
            </w:r>
            <w:r w:rsidR="0022513C">
              <w:rPr>
                <w:webHidden/>
              </w:rPr>
              <w:t>46</w:t>
            </w:r>
            <w:r>
              <w:rPr>
                <w:webHidden/>
              </w:rPr>
              <w:fldChar w:fldCharType="end"/>
            </w:r>
          </w:hyperlink>
        </w:p>
        <w:p w14:paraId="64B8C21E" w14:textId="285EB463"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31" w:history="1">
            <w:r w:rsidRPr="008A1574">
              <w:rPr>
                <w:rStyle w:val="Hyperlink"/>
                <w:lang w:val="en-AU"/>
              </w:rPr>
              <w:t>Annex 5: FPSDP Results Framework</w:t>
            </w:r>
            <w:r>
              <w:rPr>
                <w:webHidden/>
              </w:rPr>
              <w:tab/>
            </w:r>
            <w:r>
              <w:rPr>
                <w:webHidden/>
              </w:rPr>
              <w:fldChar w:fldCharType="begin"/>
            </w:r>
            <w:r>
              <w:rPr>
                <w:webHidden/>
              </w:rPr>
              <w:instrText xml:space="preserve"> PAGEREF _Toc206675831 \h </w:instrText>
            </w:r>
            <w:r>
              <w:rPr>
                <w:webHidden/>
              </w:rPr>
            </w:r>
            <w:r>
              <w:rPr>
                <w:webHidden/>
              </w:rPr>
              <w:fldChar w:fldCharType="separate"/>
            </w:r>
            <w:r w:rsidR="0022513C">
              <w:rPr>
                <w:webHidden/>
              </w:rPr>
              <w:t>49</w:t>
            </w:r>
            <w:r>
              <w:rPr>
                <w:webHidden/>
              </w:rPr>
              <w:fldChar w:fldCharType="end"/>
            </w:r>
          </w:hyperlink>
        </w:p>
        <w:p w14:paraId="1EFBF1AF" w14:textId="758584C5"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32" w:history="1">
            <w:r w:rsidRPr="008A1574">
              <w:rPr>
                <w:rStyle w:val="Hyperlink"/>
                <w:lang w:val="en-AU"/>
              </w:rPr>
              <w:t>Annex 6: FPSDP Press Releases</w:t>
            </w:r>
            <w:r>
              <w:rPr>
                <w:webHidden/>
              </w:rPr>
              <w:tab/>
            </w:r>
            <w:r>
              <w:rPr>
                <w:webHidden/>
              </w:rPr>
              <w:fldChar w:fldCharType="begin"/>
            </w:r>
            <w:r>
              <w:rPr>
                <w:webHidden/>
              </w:rPr>
              <w:instrText xml:space="preserve"> PAGEREF _Toc206675832 \h </w:instrText>
            </w:r>
            <w:r>
              <w:rPr>
                <w:webHidden/>
              </w:rPr>
            </w:r>
            <w:r>
              <w:rPr>
                <w:webHidden/>
              </w:rPr>
              <w:fldChar w:fldCharType="separate"/>
            </w:r>
            <w:r w:rsidR="0022513C">
              <w:rPr>
                <w:webHidden/>
              </w:rPr>
              <w:t>55</w:t>
            </w:r>
            <w:r>
              <w:rPr>
                <w:webHidden/>
              </w:rPr>
              <w:fldChar w:fldCharType="end"/>
            </w:r>
          </w:hyperlink>
        </w:p>
        <w:p w14:paraId="427398EC" w14:textId="1B41E7BC" w:rsidR="009C6DA6" w:rsidRDefault="009C6DA6">
          <w:pPr>
            <w:pStyle w:val="TOC1"/>
            <w:rPr>
              <w:rFonts w:asciiTheme="minorHAnsi" w:eastAsiaTheme="minorEastAsia" w:hAnsiTheme="minorHAnsi" w:cstheme="minorBidi"/>
              <w:b w:val="0"/>
              <w:bCs w:val="0"/>
              <w:kern w:val="2"/>
              <w:szCs w:val="24"/>
              <w:lang w:val="en-US"/>
              <w14:ligatures w14:val="standardContextual"/>
            </w:rPr>
          </w:pPr>
          <w:hyperlink w:anchor="_Toc206675833" w:history="1">
            <w:r w:rsidRPr="008A1574">
              <w:rPr>
                <w:rStyle w:val="Hyperlink"/>
                <w:lang w:val="en-AU"/>
              </w:rPr>
              <w:t>Annex 7: Accessible versions of images in document</w:t>
            </w:r>
            <w:r>
              <w:rPr>
                <w:webHidden/>
              </w:rPr>
              <w:tab/>
            </w:r>
            <w:r>
              <w:rPr>
                <w:webHidden/>
              </w:rPr>
              <w:fldChar w:fldCharType="begin"/>
            </w:r>
            <w:r>
              <w:rPr>
                <w:webHidden/>
              </w:rPr>
              <w:instrText xml:space="preserve"> PAGEREF _Toc206675833 \h </w:instrText>
            </w:r>
            <w:r>
              <w:rPr>
                <w:webHidden/>
              </w:rPr>
            </w:r>
            <w:r>
              <w:rPr>
                <w:webHidden/>
              </w:rPr>
              <w:fldChar w:fldCharType="separate"/>
            </w:r>
            <w:r w:rsidR="0022513C">
              <w:rPr>
                <w:webHidden/>
              </w:rPr>
              <w:t>56</w:t>
            </w:r>
            <w:r>
              <w:rPr>
                <w:webHidden/>
              </w:rPr>
              <w:fldChar w:fldCharType="end"/>
            </w:r>
          </w:hyperlink>
        </w:p>
        <w:p w14:paraId="28B186B7" w14:textId="67BE611C" w:rsidR="00A6262E" w:rsidRDefault="00B7687D">
          <w:r>
            <w:rPr>
              <w:rFonts w:ascii="Calibri" w:hAnsi="Calibri" w:cs="Calibri"/>
              <w:noProof/>
              <w:szCs w:val="20"/>
            </w:rPr>
            <w:fldChar w:fldCharType="end"/>
          </w:r>
        </w:p>
      </w:sdtContent>
    </w:sdt>
    <w:p w14:paraId="428547A9" w14:textId="1214D511" w:rsidR="005B0891" w:rsidRPr="00C723E0" w:rsidRDefault="005B0891" w:rsidP="00831F16">
      <w:pPr>
        <w:rPr>
          <w:rFonts w:ascii="Calibri" w:hAnsi="Calibri" w:cs="Calibri"/>
          <w:color w:val="000000" w:themeColor="text1"/>
          <w:sz w:val="22"/>
          <w:szCs w:val="22"/>
          <w:lang w:val="en-AU"/>
        </w:rPr>
      </w:pPr>
    </w:p>
    <w:p w14:paraId="3485D73C" w14:textId="77777777" w:rsidR="00573C53" w:rsidRDefault="00573C53">
      <w:pPr>
        <w:spacing w:after="160" w:line="259" w:lineRule="auto"/>
        <w:rPr>
          <w:rFonts w:ascii="Calibri" w:eastAsiaTheme="majorEastAsia" w:hAnsi="Calibri" w:cs="Calibri"/>
          <w:color w:val="FF4243"/>
          <w:kern w:val="2"/>
          <w:sz w:val="32"/>
          <w:szCs w:val="32"/>
          <w:lang w:val="en-AU"/>
          <w14:ligatures w14:val="standardContextual"/>
        </w:rPr>
      </w:pPr>
      <w:r>
        <w:rPr>
          <w:rFonts w:ascii="Calibri" w:hAnsi="Calibri" w:cs="Calibri"/>
          <w:lang w:val="en-AU"/>
        </w:rPr>
        <w:br w:type="page"/>
      </w:r>
    </w:p>
    <w:p w14:paraId="3416EA8C" w14:textId="443EB3D5" w:rsidR="005B0891" w:rsidRPr="00C723E0" w:rsidRDefault="007005C8" w:rsidP="4EF1951E">
      <w:pPr>
        <w:pStyle w:val="TOCHeading"/>
        <w:rPr>
          <w:rFonts w:ascii="Calibri" w:hAnsi="Calibri" w:cs="Calibri"/>
          <w:b/>
          <w:bCs/>
          <w:color w:val="156082" w:themeColor="accent1"/>
          <w:lang w:val="en-AU"/>
        </w:rPr>
      </w:pPr>
      <w:r w:rsidRPr="4EF1951E">
        <w:rPr>
          <w:rFonts w:ascii="Calibri" w:hAnsi="Calibri" w:cs="Calibri"/>
          <w:b/>
          <w:bCs/>
          <w:color w:val="156082" w:themeColor="accent1"/>
          <w:lang w:val="en-AU"/>
        </w:rPr>
        <w:lastRenderedPageBreak/>
        <w:t>Abbreviations and Acronyms</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CellMar>
          <w:top w:w="57" w:type="dxa"/>
          <w:bottom w:w="57" w:type="dxa"/>
        </w:tblCellMar>
        <w:tblLook w:val="04A0" w:firstRow="1" w:lastRow="0" w:firstColumn="1" w:lastColumn="0" w:noHBand="0" w:noVBand="1"/>
      </w:tblPr>
      <w:tblGrid>
        <w:gridCol w:w="1839"/>
        <w:gridCol w:w="7187"/>
      </w:tblGrid>
      <w:tr w:rsidR="002348E5" w:rsidRPr="00C723E0" w14:paraId="3D393FD8" w14:textId="77777777" w:rsidTr="4EF1951E">
        <w:tc>
          <w:tcPr>
            <w:tcW w:w="1019" w:type="pct"/>
            <w:shd w:val="clear" w:color="auto" w:fill="156082" w:themeFill="accent1"/>
          </w:tcPr>
          <w:p w14:paraId="24B63AEB" w14:textId="77777777" w:rsidR="002348E5" w:rsidRPr="00C723E0" w:rsidRDefault="002348E5" w:rsidP="002348E5">
            <w:pPr>
              <w:pStyle w:val="TableHeading"/>
              <w:rPr>
                <w:rFonts w:ascii="Calibri" w:hAnsi="Calibri" w:cs="Calibri"/>
                <w:color w:val="FFFFFF" w:themeColor="background1"/>
                <w:sz w:val="18"/>
                <w:szCs w:val="18"/>
                <w:lang w:val="en-AU"/>
              </w:rPr>
            </w:pPr>
            <w:r w:rsidRPr="00C723E0">
              <w:rPr>
                <w:rFonts w:ascii="Calibri" w:hAnsi="Calibri" w:cs="Calibri"/>
                <w:color w:val="FFFFFF" w:themeColor="background1"/>
                <w:sz w:val="18"/>
                <w:szCs w:val="18"/>
                <w:lang w:val="en-AU"/>
              </w:rPr>
              <w:t>Term</w:t>
            </w:r>
          </w:p>
        </w:tc>
        <w:tc>
          <w:tcPr>
            <w:tcW w:w="3981" w:type="pct"/>
            <w:shd w:val="clear" w:color="auto" w:fill="156082" w:themeFill="accent1"/>
          </w:tcPr>
          <w:p w14:paraId="7DFF10ED" w14:textId="77777777" w:rsidR="002348E5" w:rsidRPr="00C723E0" w:rsidRDefault="002348E5" w:rsidP="002348E5">
            <w:pPr>
              <w:pStyle w:val="TableHeading"/>
              <w:rPr>
                <w:rFonts w:ascii="Calibri" w:hAnsi="Calibri" w:cs="Calibri"/>
                <w:color w:val="FFFFFF" w:themeColor="background1"/>
                <w:sz w:val="18"/>
                <w:szCs w:val="18"/>
                <w:lang w:val="en-AU"/>
              </w:rPr>
            </w:pPr>
            <w:r w:rsidRPr="00C723E0">
              <w:rPr>
                <w:rFonts w:ascii="Calibri" w:hAnsi="Calibri" w:cs="Calibri"/>
                <w:color w:val="FFFFFF" w:themeColor="background1"/>
                <w:sz w:val="18"/>
                <w:szCs w:val="18"/>
                <w:lang w:val="en-AU"/>
              </w:rPr>
              <w:t>Definition</w:t>
            </w:r>
          </w:p>
        </w:tc>
      </w:tr>
      <w:tr w:rsidR="002348E5" w:rsidRPr="00C723E0" w14:paraId="653D81BF" w14:textId="77777777" w:rsidTr="4EF1951E">
        <w:tc>
          <w:tcPr>
            <w:tcW w:w="1019" w:type="pct"/>
          </w:tcPr>
          <w:p w14:paraId="585322F3"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AIFFP</w:t>
            </w:r>
          </w:p>
        </w:tc>
        <w:tc>
          <w:tcPr>
            <w:tcW w:w="3981" w:type="pct"/>
          </w:tcPr>
          <w:p w14:paraId="0870AA2F" w14:textId="77777777" w:rsidR="002348E5" w:rsidRPr="00FF4357" w:rsidRDefault="002348E5" w:rsidP="002348E5">
            <w:pPr>
              <w:pStyle w:val="TableText"/>
              <w:rPr>
                <w:rFonts w:ascii="Calibri" w:hAnsi="Calibri" w:cs="Calibri"/>
                <w:color w:val="000000" w:themeColor="text1"/>
                <w:sz w:val="20"/>
                <w:szCs w:val="20"/>
                <w:lang w:val="en-AU"/>
              </w:rPr>
            </w:pPr>
            <w:r w:rsidRPr="00FF4357">
              <w:rPr>
                <w:rFonts w:ascii="Calibri" w:eastAsiaTheme="minorHAnsi" w:hAnsi="Calibri" w:cs="Calibri"/>
                <w:sz w:val="20"/>
                <w:szCs w:val="20"/>
                <w:lang w:val="en-AU"/>
                <w14:ligatures w14:val="standardContextual"/>
              </w:rPr>
              <w:t>Australian Infrastructure Financing Facility for the Pacific</w:t>
            </w:r>
          </w:p>
        </w:tc>
      </w:tr>
      <w:tr w:rsidR="002348E5" w:rsidRPr="00C723E0" w14:paraId="21CAE99A" w14:textId="77777777" w:rsidTr="4EF1951E">
        <w:tc>
          <w:tcPr>
            <w:tcW w:w="1019" w:type="pct"/>
          </w:tcPr>
          <w:p w14:paraId="03A770D4"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CPSD</w:t>
            </w:r>
          </w:p>
        </w:tc>
        <w:tc>
          <w:tcPr>
            <w:tcW w:w="3981" w:type="pct"/>
          </w:tcPr>
          <w:p w14:paraId="49A032D5"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color w:val="000000" w:themeColor="text1"/>
                <w:sz w:val="20"/>
                <w:szCs w:val="20"/>
                <w:lang w:val="en-AU"/>
              </w:rPr>
              <w:t>Country Private Sector Diagnostic</w:t>
            </w:r>
          </w:p>
        </w:tc>
      </w:tr>
      <w:tr w:rsidR="002348E5" w:rsidRPr="00C723E0" w14:paraId="5DD4287C" w14:textId="77777777" w:rsidTr="4EF1951E">
        <w:tc>
          <w:tcPr>
            <w:tcW w:w="1019" w:type="pct"/>
          </w:tcPr>
          <w:p w14:paraId="007072B8"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DFAT</w:t>
            </w:r>
          </w:p>
        </w:tc>
        <w:tc>
          <w:tcPr>
            <w:tcW w:w="3981" w:type="pct"/>
          </w:tcPr>
          <w:p w14:paraId="74EDB20A"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Department of Foreign Affairs and Trade (Australia)</w:t>
            </w:r>
          </w:p>
        </w:tc>
      </w:tr>
      <w:tr w:rsidR="002348E5" w:rsidRPr="00C723E0" w14:paraId="1C1AE267" w14:textId="77777777" w:rsidTr="4EF1951E">
        <w:tc>
          <w:tcPr>
            <w:tcW w:w="1019" w:type="pct"/>
          </w:tcPr>
          <w:p w14:paraId="2F221635"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ECCE</w:t>
            </w:r>
          </w:p>
        </w:tc>
        <w:tc>
          <w:tcPr>
            <w:tcW w:w="3981" w:type="pct"/>
          </w:tcPr>
          <w:p w14:paraId="49BABE14" w14:textId="77777777" w:rsidR="002348E5" w:rsidRPr="00FF4357" w:rsidRDefault="002348E5" w:rsidP="002348E5">
            <w:pPr>
              <w:pStyle w:val="TableText"/>
              <w:rPr>
                <w:rFonts w:ascii="Calibri" w:eastAsiaTheme="minorHAnsi" w:hAnsi="Calibri" w:cs="Calibri"/>
                <w:sz w:val="20"/>
                <w:szCs w:val="20"/>
                <w:lang w:val="en-AU"/>
                <w14:ligatures w14:val="standardContextual"/>
              </w:rPr>
            </w:pPr>
            <w:r w:rsidRPr="00FF4357">
              <w:rPr>
                <w:rFonts w:ascii="Calibri" w:eastAsiaTheme="minorHAnsi" w:hAnsi="Calibri" w:cs="Calibri"/>
                <w:color w:val="000000"/>
                <w:sz w:val="20"/>
                <w:szCs w:val="20"/>
                <w:lang w:val="en-AU"/>
              </w:rPr>
              <w:t>Early Childhood Care and Education</w:t>
            </w:r>
          </w:p>
        </w:tc>
      </w:tr>
      <w:tr w:rsidR="002348E5" w:rsidRPr="00C723E0" w14:paraId="195F780D" w14:textId="77777777" w:rsidTr="4EF1951E">
        <w:tc>
          <w:tcPr>
            <w:tcW w:w="1019" w:type="pct"/>
          </w:tcPr>
          <w:p w14:paraId="4E6C5ACA"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EFA</w:t>
            </w:r>
          </w:p>
        </w:tc>
        <w:tc>
          <w:tcPr>
            <w:tcW w:w="3981" w:type="pct"/>
          </w:tcPr>
          <w:p w14:paraId="2DE3DB43" w14:textId="77777777" w:rsidR="002348E5" w:rsidRPr="00FF4357" w:rsidRDefault="002348E5" w:rsidP="002348E5">
            <w:pPr>
              <w:pStyle w:val="TableText"/>
              <w:rPr>
                <w:rFonts w:ascii="Calibri" w:hAnsi="Calibri" w:cs="Calibri"/>
                <w:sz w:val="20"/>
                <w:szCs w:val="20"/>
                <w:lang w:val="en-AU"/>
              </w:rPr>
            </w:pPr>
            <w:r w:rsidRPr="00FF4357">
              <w:rPr>
                <w:rFonts w:ascii="Calibri" w:eastAsiaTheme="minorHAnsi" w:hAnsi="Calibri" w:cs="Calibri"/>
                <w:sz w:val="20"/>
                <w:szCs w:val="20"/>
                <w:lang w:val="en-AU"/>
                <w14:ligatures w14:val="standardContextual"/>
              </w:rPr>
              <w:t>Export Finance Australia</w:t>
            </w:r>
          </w:p>
        </w:tc>
      </w:tr>
      <w:tr w:rsidR="002348E5" w:rsidRPr="00C723E0" w14:paraId="5450C8AD" w14:textId="77777777" w:rsidTr="4EF1951E">
        <w:tc>
          <w:tcPr>
            <w:tcW w:w="1019" w:type="pct"/>
          </w:tcPr>
          <w:p w14:paraId="7E8D54F9"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EFL</w:t>
            </w:r>
          </w:p>
        </w:tc>
        <w:tc>
          <w:tcPr>
            <w:tcW w:w="3981" w:type="pct"/>
          </w:tcPr>
          <w:p w14:paraId="0F01D4E3" w14:textId="77777777" w:rsidR="002348E5" w:rsidRPr="00FF4357" w:rsidRDefault="002348E5" w:rsidP="002348E5">
            <w:pPr>
              <w:pStyle w:val="TableText"/>
              <w:rPr>
                <w:rFonts w:ascii="Calibri" w:eastAsiaTheme="minorHAnsi" w:hAnsi="Calibri" w:cs="Calibri"/>
                <w:sz w:val="20"/>
                <w:szCs w:val="20"/>
                <w:lang w:val="en-AU"/>
                <w14:ligatures w14:val="standardContextual"/>
              </w:rPr>
            </w:pPr>
            <w:r w:rsidRPr="00FF4357">
              <w:rPr>
                <w:rFonts w:ascii="Calibri" w:eastAsiaTheme="minorHAnsi" w:hAnsi="Calibri" w:cs="Calibri"/>
                <w:sz w:val="20"/>
                <w:szCs w:val="20"/>
                <w:lang w:val="en-AU"/>
              </w:rPr>
              <w:t>Energy Fiji Limited</w:t>
            </w:r>
          </w:p>
        </w:tc>
      </w:tr>
      <w:tr w:rsidR="002348E5" w:rsidRPr="00C723E0" w14:paraId="72E571C6" w14:textId="77777777" w:rsidTr="4EF1951E">
        <w:tc>
          <w:tcPr>
            <w:tcW w:w="1019" w:type="pct"/>
          </w:tcPr>
          <w:p w14:paraId="3A2F883D"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EOPO</w:t>
            </w:r>
          </w:p>
        </w:tc>
        <w:tc>
          <w:tcPr>
            <w:tcW w:w="3981" w:type="pct"/>
          </w:tcPr>
          <w:p w14:paraId="4C8A5B82" w14:textId="77777777" w:rsidR="002348E5" w:rsidRPr="00FF4357" w:rsidRDefault="002348E5" w:rsidP="002348E5">
            <w:pPr>
              <w:pStyle w:val="TableText"/>
              <w:rPr>
                <w:rFonts w:ascii="Calibri" w:eastAsiaTheme="minorHAnsi" w:hAnsi="Calibri" w:cs="Calibri"/>
                <w:sz w:val="20"/>
                <w:szCs w:val="20"/>
                <w:lang w:val="en-AU"/>
                <w14:ligatures w14:val="standardContextual"/>
              </w:rPr>
            </w:pPr>
            <w:r w:rsidRPr="00FF4357">
              <w:rPr>
                <w:rFonts w:ascii="Calibri" w:hAnsi="Calibri" w:cs="Calibri"/>
                <w:sz w:val="20"/>
                <w:szCs w:val="20"/>
                <w:lang w:val="en-AU"/>
              </w:rPr>
              <w:t>End-Of-Program-Outcome</w:t>
            </w:r>
          </w:p>
        </w:tc>
      </w:tr>
      <w:tr w:rsidR="002348E5" w:rsidRPr="00C723E0" w14:paraId="6C68ACE8" w14:textId="77777777" w:rsidTr="4EF1951E">
        <w:tc>
          <w:tcPr>
            <w:tcW w:w="1019" w:type="pct"/>
          </w:tcPr>
          <w:p w14:paraId="674ABA2E"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ESG</w:t>
            </w:r>
          </w:p>
        </w:tc>
        <w:tc>
          <w:tcPr>
            <w:tcW w:w="3981" w:type="pct"/>
          </w:tcPr>
          <w:p w14:paraId="38D55D4A"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Environment, Social and Governance</w:t>
            </w:r>
          </w:p>
        </w:tc>
      </w:tr>
      <w:tr w:rsidR="002348E5" w:rsidRPr="00C723E0" w14:paraId="50D5B169" w14:textId="77777777" w:rsidTr="4EF1951E">
        <w:tc>
          <w:tcPr>
            <w:tcW w:w="1019" w:type="pct"/>
          </w:tcPr>
          <w:p w14:paraId="06BE35FF"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FPSDP</w:t>
            </w:r>
          </w:p>
        </w:tc>
        <w:tc>
          <w:tcPr>
            <w:tcW w:w="3981" w:type="pct"/>
          </w:tcPr>
          <w:p w14:paraId="4A2A38E6"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Fiji Private Sector Development Program</w:t>
            </w:r>
          </w:p>
        </w:tc>
      </w:tr>
      <w:tr w:rsidR="002348E5" w:rsidRPr="00C723E0" w14:paraId="11D4F846" w14:textId="77777777" w:rsidTr="4EF1951E">
        <w:tc>
          <w:tcPr>
            <w:tcW w:w="1019" w:type="pct"/>
          </w:tcPr>
          <w:p w14:paraId="3103EB87"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G2B</w:t>
            </w:r>
          </w:p>
        </w:tc>
        <w:tc>
          <w:tcPr>
            <w:tcW w:w="3981" w:type="pct"/>
          </w:tcPr>
          <w:p w14:paraId="7E6F6079"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Government to Business</w:t>
            </w:r>
          </w:p>
        </w:tc>
      </w:tr>
      <w:tr w:rsidR="002348E5" w:rsidRPr="00C723E0" w14:paraId="07BE5D88" w14:textId="77777777" w:rsidTr="4EF1951E">
        <w:tc>
          <w:tcPr>
            <w:tcW w:w="1019" w:type="pct"/>
          </w:tcPr>
          <w:p w14:paraId="324541B7"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GBV</w:t>
            </w:r>
          </w:p>
        </w:tc>
        <w:tc>
          <w:tcPr>
            <w:tcW w:w="3981" w:type="pct"/>
          </w:tcPr>
          <w:p w14:paraId="25F6CA5F"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Gender Based Violence</w:t>
            </w:r>
          </w:p>
        </w:tc>
      </w:tr>
      <w:tr w:rsidR="002348E5" w:rsidRPr="00C723E0" w14:paraId="1861BCC5" w14:textId="77777777" w:rsidTr="4EF1951E">
        <w:tc>
          <w:tcPr>
            <w:tcW w:w="1019" w:type="pct"/>
          </w:tcPr>
          <w:p w14:paraId="2D16D4AB"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GEDSI</w:t>
            </w:r>
          </w:p>
        </w:tc>
        <w:tc>
          <w:tcPr>
            <w:tcW w:w="3981" w:type="pct"/>
          </w:tcPr>
          <w:p w14:paraId="5FE968AE"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Gender Equality, Disability and Social Inclusion</w:t>
            </w:r>
          </w:p>
        </w:tc>
      </w:tr>
      <w:tr w:rsidR="002348E5" w:rsidRPr="00C723E0" w14:paraId="4EF331BD" w14:textId="77777777" w:rsidTr="4EF1951E">
        <w:tc>
          <w:tcPr>
            <w:tcW w:w="1019" w:type="pct"/>
          </w:tcPr>
          <w:p w14:paraId="78939812"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GoA</w:t>
            </w:r>
          </w:p>
        </w:tc>
        <w:tc>
          <w:tcPr>
            <w:tcW w:w="3981" w:type="pct"/>
          </w:tcPr>
          <w:p w14:paraId="513DE7D2"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Government of Australia</w:t>
            </w:r>
          </w:p>
        </w:tc>
      </w:tr>
      <w:tr w:rsidR="002348E5" w:rsidRPr="00C723E0" w14:paraId="6192966C" w14:textId="77777777" w:rsidTr="4EF1951E">
        <w:tc>
          <w:tcPr>
            <w:tcW w:w="1019" w:type="pct"/>
          </w:tcPr>
          <w:p w14:paraId="62C80051"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GoF</w:t>
            </w:r>
          </w:p>
        </w:tc>
        <w:tc>
          <w:tcPr>
            <w:tcW w:w="3981" w:type="pct"/>
          </w:tcPr>
          <w:p w14:paraId="2DC10968"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Government of Fiji</w:t>
            </w:r>
          </w:p>
        </w:tc>
      </w:tr>
      <w:tr w:rsidR="002348E5" w:rsidRPr="00C723E0" w14:paraId="7D11B8FD" w14:textId="77777777" w:rsidTr="4EF1951E">
        <w:tc>
          <w:tcPr>
            <w:tcW w:w="1019" w:type="pct"/>
          </w:tcPr>
          <w:p w14:paraId="4FA19D8D"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IFC</w:t>
            </w:r>
          </w:p>
        </w:tc>
        <w:tc>
          <w:tcPr>
            <w:tcW w:w="3981" w:type="pct"/>
          </w:tcPr>
          <w:p w14:paraId="06260EC8"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International Finance Corporation</w:t>
            </w:r>
          </w:p>
        </w:tc>
      </w:tr>
      <w:tr w:rsidR="002348E5" w:rsidRPr="00C723E0" w14:paraId="2ED85D87" w14:textId="77777777" w:rsidTr="4EF1951E">
        <w:tc>
          <w:tcPr>
            <w:tcW w:w="1019" w:type="pct"/>
          </w:tcPr>
          <w:p w14:paraId="2BF2B3CD"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IPA</w:t>
            </w:r>
          </w:p>
        </w:tc>
        <w:tc>
          <w:tcPr>
            <w:tcW w:w="3981" w:type="pct"/>
          </w:tcPr>
          <w:p w14:paraId="18E89CE9" w14:textId="77777777" w:rsidR="002348E5" w:rsidRPr="00FF4357" w:rsidRDefault="002348E5" w:rsidP="002348E5">
            <w:pPr>
              <w:pStyle w:val="TableText"/>
              <w:rPr>
                <w:rFonts w:ascii="Calibri" w:hAnsi="Calibri" w:cs="Calibri"/>
                <w:sz w:val="20"/>
                <w:szCs w:val="20"/>
                <w:lang w:val="en-AU"/>
              </w:rPr>
            </w:pPr>
            <w:r w:rsidRPr="00FF4357">
              <w:rPr>
                <w:rFonts w:ascii="Calibri" w:eastAsiaTheme="minorHAnsi" w:hAnsi="Calibri" w:cs="Calibri"/>
                <w:color w:val="000000"/>
                <w:sz w:val="20"/>
                <w:szCs w:val="20"/>
                <w:lang w:val="en-AU"/>
                <w14:ligatures w14:val="standardContextual"/>
              </w:rPr>
              <w:t>Investment Promotion Agency</w:t>
            </w:r>
          </w:p>
        </w:tc>
      </w:tr>
      <w:tr w:rsidR="002348E5" w:rsidRPr="00C723E0" w14:paraId="1C110ABA" w14:textId="77777777" w:rsidTr="4EF1951E">
        <w:tc>
          <w:tcPr>
            <w:tcW w:w="1019" w:type="pct"/>
          </w:tcPr>
          <w:p w14:paraId="3D88D770"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KEQ</w:t>
            </w:r>
          </w:p>
        </w:tc>
        <w:tc>
          <w:tcPr>
            <w:tcW w:w="3981" w:type="pct"/>
          </w:tcPr>
          <w:p w14:paraId="45BDC3E5"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Key Evaluation Question</w:t>
            </w:r>
          </w:p>
        </w:tc>
      </w:tr>
      <w:tr w:rsidR="002348E5" w:rsidRPr="00C723E0" w14:paraId="3744DD47" w14:textId="77777777" w:rsidTr="4EF1951E">
        <w:tc>
          <w:tcPr>
            <w:tcW w:w="1019" w:type="pct"/>
          </w:tcPr>
          <w:p w14:paraId="54D52F93"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KII</w:t>
            </w:r>
          </w:p>
        </w:tc>
        <w:tc>
          <w:tcPr>
            <w:tcW w:w="3981" w:type="pct"/>
          </w:tcPr>
          <w:p w14:paraId="118F087A"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Key Informant Interviews</w:t>
            </w:r>
          </w:p>
        </w:tc>
      </w:tr>
      <w:tr w:rsidR="002348E5" w:rsidRPr="00C723E0" w14:paraId="6EB1CCF1" w14:textId="77777777" w:rsidTr="4EF1951E">
        <w:tc>
          <w:tcPr>
            <w:tcW w:w="1019" w:type="pct"/>
          </w:tcPr>
          <w:p w14:paraId="67E9C608"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MSME</w:t>
            </w:r>
          </w:p>
        </w:tc>
        <w:tc>
          <w:tcPr>
            <w:tcW w:w="3981" w:type="pct"/>
          </w:tcPr>
          <w:p w14:paraId="0E5F0790" w14:textId="77777777" w:rsidR="002348E5" w:rsidRPr="00FF4357" w:rsidRDefault="002348E5" w:rsidP="002348E5">
            <w:pPr>
              <w:pStyle w:val="TableText"/>
              <w:rPr>
                <w:rFonts w:ascii="Calibri" w:hAnsi="Calibri" w:cs="Calibri"/>
                <w:color w:val="000000"/>
                <w:sz w:val="20"/>
                <w:szCs w:val="20"/>
                <w:lang w:val="en-AU"/>
              </w:rPr>
            </w:pPr>
            <w:r w:rsidRPr="00FF4357">
              <w:rPr>
                <w:rFonts w:ascii="Calibri" w:hAnsi="Calibri" w:cs="Calibri"/>
                <w:color w:val="000000"/>
                <w:sz w:val="20"/>
                <w:szCs w:val="20"/>
                <w:lang w:val="en-AU"/>
              </w:rPr>
              <w:t>Micro, Small and Medium Enterprise</w:t>
            </w:r>
          </w:p>
        </w:tc>
      </w:tr>
      <w:tr w:rsidR="002348E5" w:rsidRPr="00C723E0" w14:paraId="1F91B9BB" w14:textId="77777777" w:rsidTr="4EF1951E">
        <w:tc>
          <w:tcPr>
            <w:tcW w:w="1019" w:type="pct"/>
          </w:tcPr>
          <w:p w14:paraId="36102B25"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MDF</w:t>
            </w:r>
          </w:p>
        </w:tc>
        <w:tc>
          <w:tcPr>
            <w:tcW w:w="3981" w:type="pct"/>
          </w:tcPr>
          <w:p w14:paraId="2553EC01"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color w:val="000000"/>
                <w:sz w:val="20"/>
                <w:szCs w:val="20"/>
                <w:lang w:val="en-AU"/>
              </w:rPr>
              <w:t>Market Development Facility</w:t>
            </w:r>
          </w:p>
        </w:tc>
      </w:tr>
      <w:tr w:rsidR="002348E5" w:rsidRPr="00C723E0" w14:paraId="711431EC" w14:textId="77777777" w:rsidTr="4EF1951E">
        <w:tc>
          <w:tcPr>
            <w:tcW w:w="1019" w:type="pct"/>
          </w:tcPr>
          <w:p w14:paraId="348F0CD5"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MEL</w:t>
            </w:r>
          </w:p>
        </w:tc>
        <w:tc>
          <w:tcPr>
            <w:tcW w:w="3981" w:type="pct"/>
          </w:tcPr>
          <w:p w14:paraId="6EEC0F4F"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Monitoring, Evaluation and Learning</w:t>
            </w:r>
          </w:p>
        </w:tc>
      </w:tr>
      <w:tr w:rsidR="002348E5" w:rsidRPr="00C723E0" w14:paraId="71992DFC" w14:textId="77777777" w:rsidTr="4EF1951E">
        <w:tc>
          <w:tcPr>
            <w:tcW w:w="1019" w:type="pct"/>
          </w:tcPr>
          <w:p w14:paraId="2ECC1E0D"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MTCA</w:t>
            </w:r>
          </w:p>
        </w:tc>
        <w:tc>
          <w:tcPr>
            <w:tcW w:w="3981" w:type="pct"/>
          </w:tcPr>
          <w:p w14:paraId="67A9A12D" w14:textId="77777777" w:rsidR="002348E5" w:rsidRPr="00FF4357" w:rsidRDefault="002348E5" w:rsidP="002348E5">
            <w:pPr>
              <w:pStyle w:val="TableText"/>
              <w:rPr>
                <w:rFonts w:ascii="Calibri" w:hAnsi="Calibri" w:cs="Calibri"/>
                <w:sz w:val="20"/>
                <w:szCs w:val="20"/>
                <w:lang w:val="en-AU"/>
              </w:rPr>
            </w:pPr>
            <w:r w:rsidRPr="00FF4357">
              <w:rPr>
                <w:rFonts w:ascii="Calibri" w:eastAsiaTheme="minorHAnsi" w:hAnsi="Calibri" w:cs="Calibri"/>
                <w:color w:val="000000"/>
                <w:sz w:val="20"/>
                <w:szCs w:val="20"/>
                <w:lang w:val="en-AU"/>
              </w:rPr>
              <w:t>Ministry of Tourism and Civil Aviation</w:t>
            </w:r>
          </w:p>
        </w:tc>
      </w:tr>
      <w:tr w:rsidR="002348E5" w:rsidRPr="00C723E0" w14:paraId="20F6B887" w14:textId="77777777" w:rsidTr="4EF1951E">
        <w:tc>
          <w:tcPr>
            <w:tcW w:w="1019" w:type="pct"/>
          </w:tcPr>
          <w:p w14:paraId="1C86194E" w14:textId="77777777" w:rsidR="002348E5" w:rsidRPr="00FF4357" w:rsidRDefault="002348E5" w:rsidP="002348E5">
            <w:pPr>
              <w:pStyle w:val="TableText"/>
              <w:rPr>
                <w:rFonts w:ascii="Calibri" w:hAnsi="Calibri" w:cs="Calibri"/>
                <w:b/>
                <w:bCs/>
                <w:sz w:val="20"/>
                <w:szCs w:val="20"/>
                <w:lang w:val="en-AU"/>
              </w:rPr>
            </w:pPr>
            <w:r w:rsidRPr="00FF4357">
              <w:rPr>
                <w:rFonts w:ascii="Calibri" w:eastAsiaTheme="minorHAnsi" w:hAnsi="Calibri" w:cs="Calibri"/>
                <w:b/>
                <w:bCs/>
                <w:sz w:val="20"/>
                <w:szCs w:val="20"/>
                <w:lang w:val="en-AU"/>
              </w:rPr>
              <w:t>MTCMSMEC</w:t>
            </w:r>
          </w:p>
        </w:tc>
        <w:tc>
          <w:tcPr>
            <w:tcW w:w="3981" w:type="pct"/>
          </w:tcPr>
          <w:p w14:paraId="5F858972" w14:textId="77777777" w:rsidR="002348E5" w:rsidRPr="00FF4357" w:rsidRDefault="002348E5" w:rsidP="002348E5">
            <w:pPr>
              <w:pStyle w:val="TableText"/>
              <w:rPr>
                <w:rFonts w:ascii="Calibri" w:eastAsiaTheme="minorHAnsi" w:hAnsi="Calibri" w:cs="Calibri"/>
                <w:color w:val="000000"/>
                <w:sz w:val="20"/>
                <w:szCs w:val="20"/>
                <w:lang w:val="en-AU"/>
              </w:rPr>
            </w:pPr>
            <w:r w:rsidRPr="00FF4357">
              <w:rPr>
                <w:rFonts w:ascii="Calibri" w:eastAsiaTheme="minorHAnsi" w:hAnsi="Calibri" w:cs="Calibri"/>
                <w:sz w:val="20"/>
                <w:szCs w:val="20"/>
                <w:lang w:val="en-AU"/>
              </w:rPr>
              <w:t>Ministry of Trade, Cooperatives, MSMEs, and Communications</w:t>
            </w:r>
          </w:p>
        </w:tc>
      </w:tr>
      <w:tr w:rsidR="002348E5" w:rsidRPr="00C723E0" w14:paraId="1162646E" w14:textId="77777777" w:rsidTr="4EF1951E">
        <w:tc>
          <w:tcPr>
            <w:tcW w:w="1019" w:type="pct"/>
          </w:tcPr>
          <w:p w14:paraId="3411CBEA"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NSTF</w:t>
            </w:r>
          </w:p>
        </w:tc>
        <w:tc>
          <w:tcPr>
            <w:tcW w:w="3981" w:type="pct"/>
          </w:tcPr>
          <w:p w14:paraId="29C8A4AE" w14:textId="77777777" w:rsidR="002348E5" w:rsidRPr="00FF4357" w:rsidRDefault="002348E5" w:rsidP="002348E5">
            <w:pPr>
              <w:pStyle w:val="TableText"/>
              <w:rPr>
                <w:rFonts w:ascii="Calibri" w:eastAsiaTheme="minorHAnsi" w:hAnsi="Calibri" w:cs="Calibri"/>
                <w:color w:val="000000"/>
                <w:sz w:val="20"/>
                <w:szCs w:val="20"/>
                <w:lang w:val="en-AU"/>
              </w:rPr>
            </w:pPr>
            <w:r w:rsidRPr="00FF4357">
              <w:rPr>
                <w:rFonts w:ascii="Calibri" w:eastAsiaTheme="minorHAnsi" w:hAnsi="Calibri" w:cs="Calibri"/>
                <w:sz w:val="20"/>
                <w:szCs w:val="20"/>
                <w:lang w:val="en-AU"/>
              </w:rPr>
              <w:t>National Sustainable Tourism Framework</w:t>
            </w:r>
          </w:p>
        </w:tc>
      </w:tr>
      <w:tr w:rsidR="002348E5" w:rsidRPr="00C723E0" w14:paraId="2FC33B66" w14:textId="77777777" w:rsidTr="4EF1951E">
        <w:tc>
          <w:tcPr>
            <w:tcW w:w="1019" w:type="pct"/>
          </w:tcPr>
          <w:p w14:paraId="06B392CD"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NZMFAT</w:t>
            </w:r>
          </w:p>
        </w:tc>
        <w:tc>
          <w:tcPr>
            <w:tcW w:w="3981" w:type="pct"/>
          </w:tcPr>
          <w:p w14:paraId="321376D9"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New Zealand Ministry of Foreign Affairs and Trade</w:t>
            </w:r>
          </w:p>
        </w:tc>
      </w:tr>
      <w:tr w:rsidR="002348E5" w:rsidRPr="00C723E0" w14:paraId="26167784" w14:textId="77777777" w:rsidTr="4EF1951E">
        <w:tc>
          <w:tcPr>
            <w:tcW w:w="1019" w:type="pct"/>
          </w:tcPr>
          <w:p w14:paraId="6FCA865A"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ODA</w:t>
            </w:r>
          </w:p>
        </w:tc>
        <w:tc>
          <w:tcPr>
            <w:tcW w:w="3981" w:type="pct"/>
          </w:tcPr>
          <w:p w14:paraId="479123C7" w14:textId="77777777" w:rsidR="002348E5" w:rsidRPr="00FF4357" w:rsidRDefault="002348E5" w:rsidP="002348E5">
            <w:pPr>
              <w:pStyle w:val="TableText"/>
              <w:rPr>
                <w:rFonts w:ascii="Calibri" w:hAnsi="Calibri" w:cs="Calibri"/>
                <w:sz w:val="20"/>
                <w:szCs w:val="20"/>
                <w:lang w:val="en-AU"/>
              </w:rPr>
            </w:pPr>
            <w:r w:rsidRPr="00FF4357">
              <w:rPr>
                <w:rFonts w:ascii="Calibri" w:hAnsi="Calibri" w:cs="Calibri"/>
                <w:sz w:val="20"/>
                <w:szCs w:val="20"/>
                <w:lang w:val="en-AU"/>
              </w:rPr>
              <w:t>Official Development Assistance</w:t>
            </w:r>
          </w:p>
        </w:tc>
      </w:tr>
      <w:tr w:rsidR="002348E5" w:rsidRPr="00C723E0" w14:paraId="602AF26A" w14:textId="77777777" w:rsidTr="4EF1951E">
        <w:tc>
          <w:tcPr>
            <w:tcW w:w="1019" w:type="pct"/>
          </w:tcPr>
          <w:p w14:paraId="46F3BDD9"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PIC</w:t>
            </w:r>
          </w:p>
        </w:tc>
        <w:tc>
          <w:tcPr>
            <w:tcW w:w="3981" w:type="pct"/>
          </w:tcPr>
          <w:p w14:paraId="0FC6FED5" w14:textId="77777777" w:rsidR="002348E5" w:rsidRPr="00FF4357" w:rsidRDefault="002348E5" w:rsidP="002348E5">
            <w:pPr>
              <w:pStyle w:val="TableText"/>
              <w:rPr>
                <w:rFonts w:ascii="Calibri" w:hAnsi="Calibri" w:cs="Calibri"/>
                <w:sz w:val="20"/>
                <w:szCs w:val="20"/>
                <w:lang w:val="en-AU"/>
              </w:rPr>
            </w:pPr>
            <w:r w:rsidRPr="00FF4357">
              <w:rPr>
                <w:rFonts w:ascii="Calibri" w:eastAsiaTheme="minorHAnsi" w:hAnsi="Calibri" w:cs="Calibri"/>
                <w:sz w:val="20"/>
                <w:szCs w:val="20"/>
                <w:lang w:val="en-AU"/>
                <w14:ligatures w14:val="standardContextual"/>
              </w:rPr>
              <w:t>Pacific Island Countries</w:t>
            </w:r>
          </w:p>
        </w:tc>
      </w:tr>
      <w:tr w:rsidR="002348E5" w:rsidRPr="00C723E0" w14:paraId="73448093" w14:textId="77777777" w:rsidTr="4EF1951E">
        <w:tc>
          <w:tcPr>
            <w:tcW w:w="1019" w:type="pct"/>
          </w:tcPr>
          <w:p w14:paraId="6AA2BFD2"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PPP</w:t>
            </w:r>
          </w:p>
        </w:tc>
        <w:tc>
          <w:tcPr>
            <w:tcW w:w="3981" w:type="pct"/>
          </w:tcPr>
          <w:p w14:paraId="00A5CA0A" w14:textId="77777777" w:rsidR="002348E5" w:rsidRPr="00FF4357" w:rsidRDefault="002348E5" w:rsidP="002348E5">
            <w:pPr>
              <w:pStyle w:val="TableText"/>
              <w:rPr>
                <w:rFonts w:ascii="Calibri" w:eastAsiaTheme="minorHAnsi" w:hAnsi="Calibri" w:cs="Calibri"/>
                <w:sz w:val="20"/>
                <w:szCs w:val="20"/>
                <w:lang w:val="en-AU"/>
                <w14:ligatures w14:val="standardContextual"/>
              </w:rPr>
            </w:pPr>
            <w:r w:rsidRPr="00FF4357">
              <w:rPr>
                <w:rFonts w:ascii="Calibri" w:eastAsiaTheme="minorHAnsi" w:hAnsi="Calibri" w:cs="Calibri"/>
                <w:sz w:val="20"/>
                <w:szCs w:val="20"/>
                <w:lang w:val="en-AU"/>
                <w14:ligatures w14:val="standardContextual"/>
              </w:rPr>
              <w:t>Public Private Partnership</w:t>
            </w:r>
          </w:p>
        </w:tc>
      </w:tr>
      <w:tr w:rsidR="002348E5" w:rsidRPr="00C723E0" w14:paraId="5B22D9AC" w14:textId="77777777" w:rsidTr="4EF1951E">
        <w:tc>
          <w:tcPr>
            <w:tcW w:w="1019" w:type="pct"/>
          </w:tcPr>
          <w:p w14:paraId="26058848" w14:textId="77777777" w:rsidR="002348E5" w:rsidRPr="00FF4357" w:rsidRDefault="002348E5" w:rsidP="002348E5">
            <w:pPr>
              <w:pStyle w:val="TableText"/>
              <w:rPr>
                <w:rFonts w:ascii="Calibri" w:hAnsi="Calibri" w:cs="Calibri"/>
                <w:b/>
                <w:bCs/>
                <w:sz w:val="20"/>
                <w:szCs w:val="20"/>
                <w:lang w:val="en-AU"/>
              </w:rPr>
            </w:pPr>
            <w:r w:rsidRPr="00FF4357">
              <w:rPr>
                <w:rFonts w:ascii="Calibri" w:hAnsi="Calibri" w:cs="Calibri"/>
                <w:b/>
                <w:bCs/>
                <w:sz w:val="20"/>
                <w:szCs w:val="20"/>
                <w:lang w:val="en-AU"/>
              </w:rPr>
              <w:t>PSC</w:t>
            </w:r>
          </w:p>
        </w:tc>
        <w:tc>
          <w:tcPr>
            <w:tcW w:w="3981" w:type="pct"/>
          </w:tcPr>
          <w:p w14:paraId="3D4A015B" w14:textId="77777777" w:rsidR="002348E5" w:rsidRPr="00FF4357" w:rsidRDefault="002348E5" w:rsidP="002348E5">
            <w:pPr>
              <w:pStyle w:val="TableText"/>
              <w:rPr>
                <w:rFonts w:ascii="Calibri" w:eastAsiaTheme="minorHAnsi" w:hAnsi="Calibri" w:cs="Calibri"/>
                <w:sz w:val="20"/>
                <w:szCs w:val="20"/>
                <w:lang w:val="en-AU"/>
                <w14:ligatures w14:val="standardContextual"/>
              </w:rPr>
            </w:pPr>
            <w:r w:rsidRPr="00FF4357">
              <w:rPr>
                <w:rFonts w:ascii="Calibri" w:hAnsi="Calibri" w:cs="Calibri"/>
                <w:sz w:val="20"/>
                <w:szCs w:val="20"/>
                <w:lang w:val="en-AU"/>
              </w:rPr>
              <w:t>Program Steering Committee</w:t>
            </w:r>
          </w:p>
        </w:tc>
      </w:tr>
      <w:tr w:rsidR="002348E5" w:rsidRPr="00C723E0" w14:paraId="2EC43C7C" w14:textId="77777777" w:rsidTr="4EF1951E">
        <w:tc>
          <w:tcPr>
            <w:tcW w:w="1019" w:type="pct"/>
          </w:tcPr>
          <w:p w14:paraId="63057E9D" w14:textId="77777777" w:rsidR="002348E5" w:rsidRPr="00C723E0" w:rsidRDefault="002348E5" w:rsidP="002348E5">
            <w:pPr>
              <w:pStyle w:val="TableText"/>
              <w:rPr>
                <w:rFonts w:ascii="Calibri" w:hAnsi="Calibri" w:cs="Calibri"/>
                <w:b/>
                <w:bCs/>
                <w:sz w:val="20"/>
                <w:szCs w:val="20"/>
                <w:lang w:val="en-AU"/>
              </w:rPr>
            </w:pPr>
            <w:r w:rsidRPr="00C723E0">
              <w:rPr>
                <w:rFonts w:ascii="Calibri" w:hAnsi="Calibri" w:cs="Calibri"/>
                <w:b/>
                <w:bCs/>
                <w:sz w:val="20"/>
                <w:szCs w:val="20"/>
                <w:lang w:val="en-AU"/>
              </w:rPr>
              <w:t>PSDI</w:t>
            </w:r>
          </w:p>
        </w:tc>
        <w:tc>
          <w:tcPr>
            <w:tcW w:w="3981" w:type="pct"/>
          </w:tcPr>
          <w:p w14:paraId="64D732C9" w14:textId="77777777" w:rsidR="002348E5" w:rsidRPr="00C723E0" w:rsidRDefault="002348E5" w:rsidP="002348E5">
            <w:pPr>
              <w:pStyle w:val="TableText"/>
              <w:rPr>
                <w:rFonts w:ascii="Calibri" w:hAnsi="Calibri" w:cs="Calibri"/>
                <w:sz w:val="20"/>
                <w:szCs w:val="20"/>
                <w:lang w:val="en-AU"/>
              </w:rPr>
            </w:pPr>
            <w:r w:rsidRPr="00C723E0">
              <w:rPr>
                <w:rFonts w:ascii="Calibri" w:hAnsi="Calibri" w:cs="Calibri"/>
                <w:sz w:val="20"/>
                <w:szCs w:val="20"/>
                <w:lang w:val="en-AU"/>
              </w:rPr>
              <w:t>Private Sector Development Initiative</w:t>
            </w:r>
          </w:p>
        </w:tc>
      </w:tr>
      <w:tr w:rsidR="002348E5" w:rsidRPr="00C723E0" w14:paraId="6E84EF3E" w14:textId="77777777" w:rsidTr="4EF1951E">
        <w:tc>
          <w:tcPr>
            <w:tcW w:w="1019" w:type="pct"/>
          </w:tcPr>
          <w:p w14:paraId="3951375D" w14:textId="77777777" w:rsidR="002348E5" w:rsidRPr="00C723E0" w:rsidRDefault="002348E5" w:rsidP="002348E5">
            <w:pPr>
              <w:pStyle w:val="TableText"/>
              <w:rPr>
                <w:rFonts w:ascii="Calibri" w:hAnsi="Calibri" w:cs="Calibri"/>
                <w:b/>
                <w:bCs/>
                <w:sz w:val="20"/>
                <w:szCs w:val="20"/>
                <w:lang w:val="en-AU"/>
              </w:rPr>
            </w:pPr>
            <w:r w:rsidRPr="00C723E0">
              <w:rPr>
                <w:rFonts w:ascii="Calibri" w:hAnsi="Calibri" w:cs="Calibri"/>
                <w:b/>
                <w:bCs/>
                <w:sz w:val="20"/>
                <w:szCs w:val="20"/>
                <w:lang w:val="en-AU"/>
              </w:rPr>
              <w:t>ToC</w:t>
            </w:r>
          </w:p>
        </w:tc>
        <w:tc>
          <w:tcPr>
            <w:tcW w:w="3981" w:type="pct"/>
          </w:tcPr>
          <w:p w14:paraId="7BC5CE36" w14:textId="77777777" w:rsidR="002348E5" w:rsidRPr="00C723E0" w:rsidRDefault="002348E5" w:rsidP="002348E5">
            <w:pPr>
              <w:pStyle w:val="TableText"/>
              <w:rPr>
                <w:rFonts w:ascii="Calibri" w:hAnsi="Calibri" w:cs="Calibri"/>
                <w:sz w:val="20"/>
                <w:szCs w:val="20"/>
                <w:lang w:val="en-AU"/>
              </w:rPr>
            </w:pPr>
            <w:r w:rsidRPr="00C723E0">
              <w:rPr>
                <w:rFonts w:ascii="Calibri" w:hAnsi="Calibri" w:cs="Calibri"/>
                <w:sz w:val="20"/>
                <w:szCs w:val="20"/>
                <w:lang w:val="en-AU"/>
              </w:rPr>
              <w:t>Theory of Change</w:t>
            </w:r>
          </w:p>
        </w:tc>
      </w:tr>
      <w:tr w:rsidR="002348E5" w:rsidRPr="00C723E0" w14:paraId="7354C47F" w14:textId="77777777" w:rsidTr="4EF1951E">
        <w:tc>
          <w:tcPr>
            <w:tcW w:w="1019" w:type="pct"/>
          </w:tcPr>
          <w:p w14:paraId="7CDB0080" w14:textId="77777777" w:rsidR="002348E5" w:rsidRPr="00C723E0" w:rsidRDefault="002348E5" w:rsidP="002348E5">
            <w:pPr>
              <w:pStyle w:val="TableText"/>
              <w:rPr>
                <w:rFonts w:ascii="Calibri" w:hAnsi="Calibri" w:cs="Calibri"/>
                <w:b/>
                <w:bCs/>
                <w:sz w:val="20"/>
                <w:szCs w:val="20"/>
                <w:lang w:val="en-AU"/>
              </w:rPr>
            </w:pPr>
            <w:r w:rsidRPr="00C723E0">
              <w:rPr>
                <w:rFonts w:ascii="Calibri" w:hAnsi="Calibri" w:cs="Calibri"/>
                <w:b/>
                <w:bCs/>
                <w:sz w:val="20"/>
                <w:szCs w:val="20"/>
                <w:lang w:val="en-AU"/>
              </w:rPr>
              <w:t>ToR</w:t>
            </w:r>
          </w:p>
        </w:tc>
        <w:tc>
          <w:tcPr>
            <w:tcW w:w="3981" w:type="pct"/>
          </w:tcPr>
          <w:p w14:paraId="78AF2CC0" w14:textId="77777777" w:rsidR="002348E5" w:rsidRPr="00C723E0" w:rsidRDefault="002348E5" w:rsidP="002348E5">
            <w:pPr>
              <w:pStyle w:val="TableText"/>
              <w:rPr>
                <w:rFonts w:ascii="Calibri" w:hAnsi="Calibri" w:cs="Calibri"/>
                <w:sz w:val="20"/>
                <w:szCs w:val="20"/>
                <w:lang w:val="en-AU"/>
              </w:rPr>
            </w:pPr>
            <w:r w:rsidRPr="00C723E0">
              <w:rPr>
                <w:rFonts w:ascii="Calibri" w:hAnsi="Calibri" w:cs="Calibri"/>
                <w:sz w:val="20"/>
                <w:szCs w:val="20"/>
                <w:lang w:val="en-AU"/>
              </w:rPr>
              <w:t>Terms of Reference</w:t>
            </w:r>
          </w:p>
        </w:tc>
      </w:tr>
      <w:tr w:rsidR="002348E5" w:rsidRPr="00C723E0" w14:paraId="78E39605" w14:textId="77777777" w:rsidTr="4EF1951E">
        <w:tc>
          <w:tcPr>
            <w:tcW w:w="1019" w:type="pct"/>
          </w:tcPr>
          <w:p w14:paraId="16033AFE" w14:textId="77777777" w:rsidR="002348E5" w:rsidRPr="00C723E0" w:rsidRDefault="002348E5" w:rsidP="002348E5">
            <w:pPr>
              <w:pStyle w:val="TableText"/>
              <w:rPr>
                <w:rFonts w:ascii="Calibri" w:hAnsi="Calibri" w:cs="Calibri"/>
                <w:b/>
                <w:bCs/>
                <w:sz w:val="20"/>
                <w:szCs w:val="20"/>
                <w:lang w:val="en-AU"/>
              </w:rPr>
            </w:pPr>
            <w:r w:rsidRPr="00C723E0">
              <w:rPr>
                <w:rFonts w:ascii="Calibri" w:hAnsi="Calibri" w:cs="Calibri"/>
                <w:b/>
                <w:bCs/>
                <w:sz w:val="20"/>
                <w:szCs w:val="20"/>
                <w:lang w:val="en-AU"/>
              </w:rPr>
              <w:t>WBG</w:t>
            </w:r>
          </w:p>
        </w:tc>
        <w:tc>
          <w:tcPr>
            <w:tcW w:w="3981" w:type="pct"/>
          </w:tcPr>
          <w:p w14:paraId="14FAE9AF" w14:textId="77777777" w:rsidR="002348E5" w:rsidRPr="00C723E0" w:rsidRDefault="002348E5" w:rsidP="002348E5">
            <w:pPr>
              <w:pStyle w:val="TableText"/>
              <w:rPr>
                <w:rFonts w:ascii="Calibri" w:hAnsi="Calibri" w:cs="Calibri"/>
                <w:sz w:val="20"/>
                <w:szCs w:val="20"/>
                <w:lang w:val="en-AU"/>
              </w:rPr>
            </w:pPr>
            <w:r w:rsidRPr="00C723E0">
              <w:rPr>
                <w:rFonts w:ascii="Calibri" w:hAnsi="Calibri" w:cs="Calibri"/>
                <w:sz w:val="20"/>
                <w:szCs w:val="20"/>
                <w:lang w:val="en-AU"/>
              </w:rPr>
              <w:t>World Bank Group</w:t>
            </w:r>
          </w:p>
        </w:tc>
      </w:tr>
    </w:tbl>
    <w:p w14:paraId="007D82AC" w14:textId="77777777" w:rsidR="005B0891" w:rsidRPr="00C723E0" w:rsidRDefault="005B0891" w:rsidP="00831F16">
      <w:pPr>
        <w:rPr>
          <w:rFonts w:ascii="Calibri" w:hAnsi="Calibri" w:cs="Calibri"/>
          <w:lang w:val="en-AU"/>
        </w:rPr>
      </w:pPr>
    </w:p>
    <w:p w14:paraId="720A04FC" w14:textId="77777777" w:rsidR="00E960D8" w:rsidRPr="00C723E0" w:rsidRDefault="00E960D8" w:rsidP="00831F16">
      <w:pPr>
        <w:rPr>
          <w:rFonts w:ascii="Calibri" w:hAnsi="Calibri" w:cs="Calibri"/>
          <w:lang w:val="en-AU"/>
        </w:rPr>
        <w:sectPr w:rsidR="00E960D8" w:rsidRPr="00C723E0" w:rsidSect="00AB7568">
          <w:pgSz w:w="11906" w:h="16838"/>
          <w:pgMar w:top="1440" w:right="1440" w:bottom="1440" w:left="1440" w:header="709" w:footer="709" w:gutter="0"/>
          <w:pgNumType w:fmt="lowerRoman" w:start="1"/>
          <w:cols w:space="708"/>
          <w:titlePg/>
          <w:docGrid w:linePitch="360"/>
        </w:sectPr>
      </w:pPr>
    </w:p>
    <w:p w14:paraId="579B0B36" w14:textId="35A63F1A" w:rsidR="00E960D8" w:rsidRPr="004F052F" w:rsidRDefault="00E960D8" w:rsidP="004F052F">
      <w:pPr>
        <w:pStyle w:val="Heading1"/>
      </w:pPr>
      <w:bookmarkStart w:id="4" w:name="_Toc201131760"/>
      <w:bookmarkStart w:id="5" w:name="_Toc206675808"/>
      <w:r w:rsidRPr="004F052F">
        <w:lastRenderedPageBreak/>
        <w:t>Executive Summary</w:t>
      </w:r>
      <w:bookmarkEnd w:id="4"/>
      <w:bookmarkEnd w:id="5"/>
    </w:p>
    <w:p w14:paraId="227A0547" w14:textId="158D151D" w:rsidR="00F75945" w:rsidRPr="00C723E0" w:rsidRDefault="00F75945" w:rsidP="00F75945">
      <w:pPr>
        <w:pStyle w:val="BodyText"/>
        <w:jc w:val="both"/>
        <w:rPr>
          <w:rFonts w:cs="Calibri"/>
          <w:szCs w:val="22"/>
          <w:lang w:val="en-AU"/>
        </w:rPr>
      </w:pPr>
      <w:r w:rsidRPr="00C723E0">
        <w:rPr>
          <w:rFonts w:cs="Calibri"/>
          <w:szCs w:val="22"/>
          <w:lang w:val="en-AU"/>
        </w:rPr>
        <w:t xml:space="preserve">This report outlines the key findings and associated recommendations of the final evaluation of the </w:t>
      </w:r>
      <w:r w:rsidRPr="00C723E0">
        <w:rPr>
          <w:rFonts w:cs="Calibri"/>
          <w:i/>
          <w:iCs/>
          <w:szCs w:val="22"/>
          <w:lang w:val="en-AU"/>
        </w:rPr>
        <w:t>IFC</w:t>
      </w:r>
      <w:r w:rsidRPr="00C723E0">
        <w:rPr>
          <w:rFonts w:cs="Calibri"/>
          <w:szCs w:val="22"/>
          <w:lang w:val="en-AU"/>
        </w:rPr>
        <w:t xml:space="preserve"> </w:t>
      </w:r>
      <w:r w:rsidRPr="00C723E0">
        <w:rPr>
          <w:rFonts w:cs="Calibri"/>
          <w:i/>
          <w:iCs/>
          <w:szCs w:val="22"/>
          <w:lang w:val="en-AU"/>
        </w:rPr>
        <w:t xml:space="preserve">Fiji Private Sector Development Partnership (FPSDP) </w:t>
      </w:r>
      <w:r w:rsidRPr="00C723E0">
        <w:rPr>
          <w:rFonts w:cs="Calibri"/>
          <w:szCs w:val="22"/>
          <w:lang w:val="en-AU"/>
        </w:rPr>
        <w:t xml:space="preserve">program. The FPSDP is a </w:t>
      </w:r>
      <w:r w:rsidR="00DF0A19">
        <w:rPr>
          <w:rFonts w:cs="Calibri"/>
          <w:szCs w:val="22"/>
          <w:lang w:val="en-AU"/>
        </w:rPr>
        <w:t>four-year AUD8 million investment funded by the Government of Australia (GoA) through the Department of Foreign Affairs and Trade (DFAT) and implemented by the International Finance Corporation (IFC). The final evaluation was completed from March to May 2025, with a field mission to Fiji from 7 to 11</w:t>
      </w:r>
      <w:r w:rsidRPr="00C723E0">
        <w:rPr>
          <w:rFonts w:cs="Calibri"/>
          <w:szCs w:val="22"/>
          <w:lang w:val="en-AU"/>
        </w:rPr>
        <w:t xml:space="preserve"> April 2025.</w:t>
      </w:r>
    </w:p>
    <w:p w14:paraId="3E29317C" w14:textId="77777777" w:rsidR="00F75945" w:rsidRPr="004F052F" w:rsidRDefault="00F75945" w:rsidP="004F052F">
      <w:pPr>
        <w:pStyle w:val="Heading2"/>
      </w:pPr>
      <w:bookmarkStart w:id="6" w:name="_Toc206675809"/>
      <w:r w:rsidRPr="004F052F">
        <w:t>Purpose and Scope</w:t>
      </w:r>
      <w:bookmarkEnd w:id="6"/>
    </w:p>
    <w:p w14:paraId="4D5C40D5" w14:textId="1ECD5DD3" w:rsidR="00F75945" w:rsidRPr="00C723E0" w:rsidRDefault="00F75945" w:rsidP="00F75945">
      <w:pPr>
        <w:spacing w:after="120"/>
        <w:jc w:val="both"/>
        <w:rPr>
          <w:rFonts w:ascii="Calibri" w:hAnsi="Calibri" w:cs="Calibri"/>
          <w:sz w:val="22"/>
          <w:szCs w:val="22"/>
          <w:lang w:val="en-AU"/>
        </w:rPr>
      </w:pPr>
      <w:r w:rsidRPr="00C723E0">
        <w:rPr>
          <w:rFonts w:ascii="Calibri" w:hAnsi="Calibri" w:cs="Calibri"/>
          <w:sz w:val="22"/>
          <w:szCs w:val="22"/>
          <w:lang w:val="en-AU"/>
        </w:rPr>
        <w:t>The purpose of the final evaluation is to assess the effectiveness of the FPSDP in meeting progress towards intended impacts and outcomes as per the Monitoring and Evaluation Framework, including the Theory of Change (ToC). The final evaluation also calls for an evidence base to inform possible future directions, approaches, and structures based on the evaluation itself and the data, information, and evidence collected. The scope of the final evaluation covers the period from January 2022 to April 2025.</w:t>
      </w:r>
    </w:p>
    <w:p w14:paraId="672FFC99" w14:textId="77777777" w:rsidR="00F75945" w:rsidRPr="004F052F" w:rsidRDefault="00F75945" w:rsidP="004F052F">
      <w:pPr>
        <w:pStyle w:val="Heading2"/>
      </w:pPr>
      <w:bookmarkStart w:id="7" w:name="_Toc206675810"/>
      <w:r w:rsidRPr="004F052F">
        <w:t>Approach and Methodology</w:t>
      </w:r>
      <w:bookmarkEnd w:id="7"/>
    </w:p>
    <w:p w14:paraId="36FA75E4" w14:textId="041D5D4C" w:rsidR="00F75945" w:rsidRPr="00C723E0" w:rsidRDefault="00F75945" w:rsidP="00F75945">
      <w:pPr>
        <w:spacing w:after="120"/>
        <w:jc w:val="both"/>
        <w:rPr>
          <w:rFonts w:ascii="Calibri" w:hAnsi="Calibri" w:cs="Calibri"/>
          <w:sz w:val="22"/>
          <w:szCs w:val="22"/>
          <w:lang w:val="en-AU"/>
        </w:rPr>
      </w:pPr>
      <w:r w:rsidRPr="00C723E0">
        <w:rPr>
          <w:rFonts w:ascii="Calibri" w:hAnsi="Calibri" w:cs="Calibri"/>
          <w:sz w:val="22"/>
          <w:szCs w:val="22"/>
          <w:lang w:val="en-AU"/>
        </w:rPr>
        <w:t>The final evaluation aligned with DFAT’s Evaluation Policy and Design and Monitoring, Evaluation, and Learning Standards</w:t>
      </w:r>
      <w:r w:rsidRPr="00C723E0">
        <w:rPr>
          <w:rStyle w:val="FootnoteReference"/>
          <w:rFonts w:ascii="Calibri" w:hAnsi="Calibri" w:cs="Calibri"/>
          <w:sz w:val="22"/>
          <w:szCs w:val="22"/>
          <w:lang w:val="en-AU"/>
        </w:rPr>
        <w:footnoteReference w:id="2"/>
      </w:r>
      <w:r w:rsidRPr="00C723E0">
        <w:rPr>
          <w:rFonts w:ascii="Calibri" w:hAnsi="Calibri" w:cs="Calibri"/>
          <w:sz w:val="22"/>
          <w:szCs w:val="22"/>
          <w:lang w:val="en-AU"/>
        </w:rPr>
        <w:t>. Throughout the process, the final evaluation considered FPSDP’s strategic goals and outcomes and DFAT’s specific evaluation requirements. The final evaluation was primarily qualitative and applied a utilisation-focused approach</w:t>
      </w:r>
      <w:r w:rsidRPr="00C723E0">
        <w:rPr>
          <w:rFonts w:ascii="Calibri" w:hAnsi="Calibri" w:cs="Calibri"/>
          <w:color w:val="000000" w:themeColor="text1"/>
          <w:sz w:val="22"/>
          <w:szCs w:val="22"/>
          <w:lang w:val="en-AU"/>
        </w:rPr>
        <w:t xml:space="preserve"> </w:t>
      </w:r>
      <w:r w:rsidRPr="00C723E0">
        <w:rPr>
          <w:rFonts w:ascii="Calibri" w:hAnsi="Calibri" w:cs="Calibri"/>
          <w:sz w:val="22"/>
          <w:szCs w:val="22"/>
          <w:lang w:val="en-AU"/>
        </w:rPr>
        <w:t xml:space="preserve">to ensure it was conducted to enhance the utility of its findings and the process, which informed decisions and enhanced outcomes. There were four primary Key </w:t>
      </w:r>
      <w:r w:rsidR="00DF0A19">
        <w:rPr>
          <w:rFonts w:ascii="Calibri" w:hAnsi="Calibri" w:cs="Calibri"/>
          <w:sz w:val="22"/>
          <w:szCs w:val="22"/>
          <w:lang w:val="en-AU"/>
        </w:rPr>
        <w:t>E</w:t>
      </w:r>
      <w:r w:rsidRPr="00C723E0">
        <w:rPr>
          <w:rFonts w:ascii="Calibri" w:hAnsi="Calibri" w:cs="Calibri"/>
          <w:sz w:val="22"/>
          <w:szCs w:val="22"/>
          <w:lang w:val="en-AU"/>
        </w:rPr>
        <w:t xml:space="preserve">valuation </w:t>
      </w:r>
      <w:r w:rsidR="00DF0A19">
        <w:rPr>
          <w:rFonts w:ascii="Calibri" w:hAnsi="Calibri" w:cs="Calibri"/>
          <w:sz w:val="22"/>
          <w:szCs w:val="22"/>
          <w:lang w:val="en-AU"/>
        </w:rPr>
        <w:t>Q</w:t>
      </w:r>
      <w:r w:rsidRPr="00C723E0">
        <w:rPr>
          <w:rFonts w:ascii="Calibri" w:hAnsi="Calibri" w:cs="Calibri"/>
          <w:sz w:val="22"/>
          <w:szCs w:val="22"/>
          <w:lang w:val="en-AU"/>
        </w:rPr>
        <w:t xml:space="preserve">uestions (KEQs) supported by six secondary questions. All questions were considered and addressed in </w:t>
      </w:r>
      <w:r w:rsidR="008D0DFE" w:rsidRPr="00C723E0">
        <w:rPr>
          <w:rFonts w:ascii="Calibri" w:hAnsi="Calibri" w:cs="Calibri"/>
          <w:sz w:val="22"/>
          <w:szCs w:val="22"/>
          <w:lang w:val="en-AU"/>
        </w:rPr>
        <w:t xml:space="preserve">the </w:t>
      </w:r>
      <w:r w:rsidRPr="00C723E0">
        <w:rPr>
          <w:rFonts w:ascii="Calibri" w:hAnsi="Calibri" w:cs="Calibri"/>
          <w:sz w:val="22"/>
          <w:szCs w:val="22"/>
          <w:lang w:val="en-AU"/>
        </w:rPr>
        <w:t>key findings.</w:t>
      </w:r>
    </w:p>
    <w:p w14:paraId="41896C6B" w14:textId="77777777" w:rsidR="00F75945" w:rsidRPr="004F052F" w:rsidRDefault="00F75945" w:rsidP="004F052F">
      <w:pPr>
        <w:pStyle w:val="Heading2"/>
      </w:pPr>
      <w:bookmarkStart w:id="8" w:name="_Toc206675811"/>
      <w:r w:rsidRPr="004F052F">
        <w:t>Key Findings</w:t>
      </w:r>
      <w:bookmarkEnd w:id="8"/>
    </w:p>
    <w:p w14:paraId="50110E60" w14:textId="77777777" w:rsidR="00F75945" w:rsidRPr="00C723E0" w:rsidRDefault="00F75945" w:rsidP="00472421">
      <w:pPr>
        <w:pStyle w:val="Heading3"/>
        <w:rPr>
          <w:lang w:val="en-AU"/>
        </w:rPr>
      </w:pPr>
      <w:r w:rsidRPr="00C723E0">
        <w:rPr>
          <w:lang w:val="en-AU"/>
        </w:rPr>
        <w:t>Relevance</w:t>
      </w:r>
    </w:p>
    <w:p w14:paraId="396159FC" w14:textId="38925F62" w:rsidR="00F75945" w:rsidRPr="00C723E0" w:rsidRDefault="00F75945" w:rsidP="00F75945">
      <w:pPr>
        <w:spacing w:after="120"/>
        <w:jc w:val="both"/>
        <w:rPr>
          <w:rFonts w:ascii="Calibri" w:hAnsi="Calibri" w:cs="Calibri"/>
          <w:color w:val="000000" w:themeColor="text1"/>
          <w:sz w:val="22"/>
          <w:szCs w:val="22"/>
          <w:lang w:val="en-AU"/>
        </w:rPr>
      </w:pPr>
      <w:r w:rsidRPr="00C723E0">
        <w:rPr>
          <w:rFonts w:ascii="Calibri" w:hAnsi="Calibri" w:cs="Calibri"/>
          <w:color w:val="000000" w:themeColor="text1"/>
          <w:sz w:val="22"/>
          <w:szCs w:val="22"/>
          <w:lang w:val="en-AU"/>
        </w:rPr>
        <w:t>The FPSDP is a well-designed and structured program that is highly relevant to both the GoA and GoF. Through its project selection and implementation, the program demonstrates an ability to respond to the needs of the private sector and the GoF.  The program aligns to both GoF and Go</w:t>
      </w:r>
      <w:r w:rsidR="00FC2BB2" w:rsidRPr="00C723E0">
        <w:rPr>
          <w:rFonts w:ascii="Calibri" w:hAnsi="Calibri" w:cs="Calibri"/>
          <w:color w:val="000000" w:themeColor="text1"/>
          <w:sz w:val="22"/>
          <w:szCs w:val="22"/>
          <w:lang w:val="en-AU"/>
        </w:rPr>
        <w:t>A</w:t>
      </w:r>
      <w:r w:rsidRPr="00C723E0">
        <w:rPr>
          <w:rFonts w:ascii="Calibri" w:hAnsi="Calibri" w:cs="Calibri"/>
          <w:color w:val="000000" w:themeColor="text1"/>
          <w:sz w:val="22"/>
          <w:szCs w:val="22"/>
          <w:lang w:val="en-AU"/>
        </w:rPr>
        <w:t xml:space="preserve"> strategic priority objectives contained in national policies, strategies and plans. </w:t>
      </w:r>
      <w:r w:rsidRPr="00C723E0">
        <w:rPr>
          <w:rFonts w:ascii="Calibri" w:hAnsi="Calibri" w:cs="Calibri"/>
          <w:sz w:val="22"/>
          <w:szCs w:val="22"/>
          <w:lang w:val="en-AU"/>
        </w:rPr>
        <w:t>The program also aligns with IFC’s Fiji Country Strategy 2021-2024, where IFC has prioritised mobilising sustainable private investment across two strategic pillars: tourism and infrastructure, with gender, environmental, social and governance (ESG) as cross-cutting themes.</w:t>
      </w:r>
    </w:p>
    <w:p w14:paraId="66C5DB9B" w14:textId="60F7F9FE" w:rsidR="00F75945" w:rsidRPr="00C723E0" w:rsidRDefault="00F75945" w:rsidP="00F75945">
      <w:pPr>
        <w:pStyle w:val="BodyText"/>
        <w:jc w:val="both"/>
        <w:rPr>
          <w:rFonts w:cs="Calibri"/>
          <w:szCs w:val="22"/>
          <w:lang w:val="en-AU"/>
        </w:rPr>
      </w:pPr>
      <w:r w:rsidRPr="00C723E0">
        <w:rPr>
          <w:rFonts w:eastAsiaTheme="minorHAnsi" w:cs="Calibri"/>
          <w:szCs w:val="22"/>
          <w:lang w:val="en-AU"/>
          <w14:ligatures w14:val="standardContextual"/>
        </w:rPr>
        <w:t xml:space="preserve">IFC has prioritised clients' needs through consultations and engagements over the program's life. IFC has built significant “social capital” with stakeholders, particularly GoF Ministries. </w:t>
      </w:r>
      <w:r w:rsidRPr="00C723E0">
        <w:rPr>
          <w:rFonts w:cs="Calibri"/>
          <w:szCs w:val="22"/>
          <w:lang w:val="en-AU"/>
        </w:rPr>
        <w:t xml:space="preserve">The Partnership arrangements were highly relevant to both DFAT and IFC. Given the focus on the private sector, DFAT was able to leverage </w:t>
      </w:r>
      <w:r w:rsidR="008D0DFE" w:rsidRPr="00C723E0">
        <w:rPr>
          <w:rFonts w:cs="Calibri"/>
          <w:szCs w:val="22"/>
          <w:lang w:val="en-AU"/>
        </w:rPr>
        <w:t>IFC's</w:t>
      </w:r>
      <w:r w:rsidRPr="00C723E0">
        <w:rPr>
          <w:rFonts w:cs="Calibri"/>
          <w:szCs w:val="22"/>
          <w:lang w:val="en-AU"/>
        </w:rPr>
        <w:t xml:space="preserve"> strong presence and experience in Fiji. IFC has established itself as a “trusted adviser” through many years of engagement and support for the GoF.</w:t>
      </w:r>
    </w:p>
    <w:p w14:paraId="4F86B8F3" w14:textId="77777777" w:rsidR="00F75945" w:rsidRPr="00C723E0" w:rsidRDefault="00F75945" w:rsidP="008B3DFF">
      <w:pPr>
        <w:pStyle w:val="Heading3"/>
        <w:rPr>
          <w:lang w:val="en-AU"/>
        </w:rPr>
      </w:pPr>
      <w:r w:rsidRPr="00C723E0">
        <w:rPr>
          <w:lang w:val="en-AU"/>
        </w:rPr>
        <w:t>Coherence</w:t>
      </w:r>
    </w:p>
    <w:p w14:paraId="7E7234D7" w14:textId="09799296" w:rsidR="00F75945" w:rsidRPr="00C723E0" w:rsidRDefault="00F75945" w:rsidP="00F75945">
      <w:pPr>
        <w:pStyle w:val="BodyText"/>
        <w:jc w:val="both"/>
        <w:rPr>
          <w:rFonts w:cs="Calibri"/>
          <w:i/>
          <w:iCs/>
          <w:szCs w:val="22"/>
          <w:u w:val="single"/>
          <w:lang w:val="en-AU"/>
        </w:rPr>
      </w:pPr>
      <w:r w:rsidRPr="00C723E0">
        <w:rPr>
          <w:rFonts w:cs="Calibri"/>
          <w:color w:val="000000"/>
          <w:szCs w:val="22"/>
          <w:lang w:val="en-AU"/>
        </w:rPr>
        <w:t>The FPSDP is a tightly focused, structured program that aligns with and supports DFAT's broader mandate to support Fiji. The program's focus on "firm-</w:t>
      </w:r>
      <w:r w:rsidRPr="00C723E0">
        <w:rPr>
          <w:rFonts w:cs="Calibri"/>
          <w:i/>
          <w:iCs/>
          <w:color w:val="000000"/>
          <w:szCs w:val="22"/>
          <w:lang w:val="en-AU"/>
        </w:rPr>
        <w:t xml:space="preserve">level” </w:t>
      </w:r>
      <w:r w:rsidRPr="00C723E0">
        <w:rPr>
          <w:rFonts w:cs="Calibri"/>
          <w:color w:val="000000"/>
          <w:szCs w:val="22"/>
          <w:lang w:val="en-AU"/>
        </w:rPr>
        <w:t xml:space="preserve">support provides strategic advantages for IFC and DFAT. Given DFAT's extensive portfolio of support, both bilaterally and through multilateral partnerships, the focus of IFC support </w:t>
      </w:r>
      <w:r w:rsidR="00EA1B9C" w:rsidRPr="00C723E0">
        <w:rPr>
          <w:rFonts w:cs="Calibri"/>
          <w:color w:val="000000"/>
          <w:szCs w:val="22"/>
          <w:lang w:val="en-AU"/>
        </w:rPr>
        <w:t>for Fijian</w:t>
      </w:r>
      <w:r w:rsidRPr="00C723E0">
        <w:rPr>
          <w:rFonts w:cs="Calibri"/>
          <w:color w:val="000000"/>
          <w:szCs w:val="22"/>
          <w:lang w:val="en-AU"/>
        </w:rPr>
        <w:t xml:space="preserve"> firms is essential. The focus at this level underpins IFC’s strategic and technical advantage and</w:t>
      </w:r>
      <w:r w:rsidR="000B1F18" w:rsidRPr="00C723E0">
        <w:rPr>
          <w:rFonts w:cs="Calibri"/>
          <w:color w:val="000000"/>
          <w:szCs w:val="22"/>
          <w:lang w:val="en-AU"/>
        </w:rPr>
        <w:t xml:space="preserve"> complements DFAT’s other </w:t>
      </w:r>
      <w:r w:rsidR="00C723E0" w:rsidRPr="00C723E0">
        <w:rPr>
          <w:rFonts w:cs="Calibri"/>
          <w:color w:val="000000"/>
          <w:szCs w:val="22"/>
          <w:lang w:val="en-AU"/>
        </w:rPr>
        <w:t>investments</w:t>
      </w:r>
      <w:r w:rsidR="000B1F18" w:rsidRPr="00C723E0">
        <w:rPr>
          <w:rFonts w:cs="Calibri"/>
          <w:color w:val="000000"/>
          <w:szCs w:val="22"/>
          <w:lang w:val="en-AU"/>
        </w:rPr>
        <w:t xml:space="preserve"> with firm level entities, most notably the </w:t>
      </w:r>
      <w:r w:rsidR="000B1F18" w:rsidRPr="00C723E0">
        <w:rPr>
          <w:rFonts w:cs="Calibri"/>
          <w:color w:val="000000"/>
          <w:szCs w:val="22"/>
          <w:lang w:val="en-AU"/>
        </w:rPr>
        <w:lastRenderedPageBreak/>
        <w:t>Market Development Facility (MDF)</w:t>
      </w:r>
      <w:r w:rsidR="004F7724">
        <w:rPr>
          <w:rFonts w:cs="Calibri"/>
          <w:color w:val="000000"/>
          <w:szCs w:val="22"/>
          <w:lang w:val="en-AU"/>
        </w:rPr>
        <w:t>. The strategic advantage and focus</w:t>
      </w:r>
      <w:r w:rsidRPr="00C723E0">
        <w:rPr>
          <w:rFonts w:cs="Calibri"/>
          <w:color w:val="000000"/>
          <w:szCs w:val="22"/>
          <w:lang w:val="en-AU"/>
        </w:rPr>
        <w:t xml:space="preserve"> removes any possible duplication with other interventions.</w:t>
      </w:r>
    </w:p>
    <w:p w14:paraId="7E6211E4" w14:textId="7E318462" w:rsidR="00F75945" w:rsidRPr="00C723E0" w:rsidRDefault="00F75945" w:rsidP="00F75945">
      <w:pPr>
        <w:pStyle w:val="BodyText"/>
        <w:jc w:val="both"/>
        <w:rPr>
          <w:rFonts w:cs="Calibri"/>
          <w:szCs w:val="22"/>
          <w:lang w:val="en-AU"/>
        </w:rPr>
      </w:pPr>
      <w:r w:rsidRPr="00C723E0">
        <w:rPr>
          <w:rFonts w:cs="Calibri"/>
          <w:szCs w:val="22"/>
          <w:lang w:val="en-AU"/>
        </w:rPr>
        <w:t>The FPSDP has also committed itself to raising visibility and awareness</w:t>
      </w:r>
      <w:r w:rsidR="007030F5" w:rsidRPr="00C723E0">
        <w:rPr>
          <w:rFonts w:cs="Calibri"/>
          <w:szCs w:val="22"/>
          <w:lang w:val="en-AU"/>
        </w:rPr>
        <w:t xml:space="preserve"> of the work under the Partnership</w:t>
      </w:r>
      <w:r w:rsidRPr="00C723E0">
        <w:rPr>
          <w:rFonts w:cs="Calibri"/>
          <w:szCs w:val="22"/>
          <w:lang w:val="en-AU"/>
        </w:rPr>
        <w:t>, leading to greater coherence and collaboration opportunities. The program’s progress report mentions and reports on partner engagement in each report. For example, the recent FPSDP Progress Report July-December 2024 provides several instances where opportunities have been facilitated and leveraged for greater engagement, coherence and cooperation.</w:t>
      </w:r>
    </w:p>
    <w:p w14:paraId="1355465A" w14:textId="77777777" w:rsidR="00F75945" w:rsidRPr="00650E63" w:rsidRDefault="00F75945" w:rsidP="00650E63">
      <w:pPr>
        <w:pStyle w:val="Heading3"/>
        <w:rPr>
          <w:lang w:val="en-AU"/>
        </w:rPr>
      </w:pPr>
      <w:r w:rsidRPr="00650E63">
        <w:rPr>
          <w:lang w:val="en-AU"/>
        </w:rPr>
        <w:t>Effectiveness</w:t>
      </w:r>
    </w:p>
    <w:p w14:paraId="49789B2C" w14:textId="1313F81E" w:rsidR="00F75945" w:rsidRPr="00C723E0" w:rsidRDefault="00F75945" w:rsidP="00F75945">
      <w:pPr>
        <w:pStyle w:val="BodyText"/>
        <w:jc w:val="both"/>
        <w:rPr>
          <w:rFonts w:cs="Calibri"/>
          <w:szCs w:val="22"/>
          <w:lang w:val="en-AU"/>
        </w:rPr>
      </w:pPr>
      <w:r w:rsidRPr="00C723E0">
        <w:rPr>
          <w:rFonts w:cs="Calibri"/>
          <w:szCs w:val="22"/>
          <w:lang w:val="en-AU"/>
        </w:rPr>
        <w:t xml:space="preserve">The program has demonstrated an evident ability to respond </w:t>
      </w:r>
      <w:r w:rsidR="008D0DFE" w:rsidRPr="00C723E0">
        <w:rPr>
          <w:rFonts w:cs="Calibri"/>
          <w:szCs w:val="22"/>
          <w:lang w:val="en-AU"/>
        </w:rPr>
        <w:t xml:space="preserve">to </w:t>
      </w:r>
      <w:r w:rsidRPr="00C723E0">
        <w:rPr>
          <w:rFonts w:cs="Calibri"/>
          <w:szCs w:val="22"/>
          <w:lang w:val="en-AU"/>
        </w:rPr>
        <w:t xml:space="preserve">and adapt to the </w:t>
      </w:r>
      <w:r w:rsidR="008D0DFE" w:rsidRPr="00C723E0">
        <w:rPr>
          <w:rFonts w:cs="Calibri"/>
          <w:szCs w:val="22"/>
          <w:lang w:val="en-AU"/>
        </w:rPr>
        <w:t>private sector's evolving needs</w:t>
      </w:r>
      <w:r w:rsidRPr="00C723E0">
        <w:rPr>
          <w:rFonts w:cs="Calibri"/>
          <w:szCs w:val="22"/>
          <w:lang w:val="en-AU"/>
        </w:rPr>
        <w:t>. IFC acknowledged that, at the program level, there is some way to achieve the impact</w:t>
      </w:r>
      <w:r w:rsidR="008D0DFE" w:rsidRPr="00C723E0">
        <w:rPr>
          <w:rFonts w:cs="Calibri"/>
          <w:szCs w:val="22"/>
          <w:lang w:val="en-AU"/>
        </w:rPr>
        <w:t>-</w:t>
      </w:r>
      <w:r w:rsidRPr="00C723E0">
        <w:rPr>
          <w:rFonts w:cs="Calibri"/>
          <w:szCs w:val="22"/>
          <w:lang w:val="en-AU"/>
        </w:rPr>
        <w:t xml:space="preserve">level targets for the Partnership but noted that there are still pipeline opportunities for achieving </w:t>
      </w:r>
      <w:r w:rsidR="008D0DFE" w:rsidRPr="00C723E0">
        <w:rPr>
          <w:rFonts w:cs="Calibri"/>
          <w:szCs w:val="22"/>
          <w:lang w:val="en-AU"/>
        </w:rPr>
        <w:t>them</w:t>
      </w:r>
      <w:r w:rsidRPr="00C723E0">
        <w:rPr>
          <w:rFonts w:cs="Calibri"/>
          <w:szCs w:val="22"/>
          <w:lang w:val="en-AU"/>
        </w:rPr>
        <w:t>, including through PPPs. The key challenge with assessing initial results was that the ToC and results framework focused on high-level impacts. The program did not have defined EoPOs as part of the original design.</w:t>
      </w:r>
    </w:p>
    <w:p w14:paraId="32E5D4D5" w14:textId="0CBD3EAC" w:rsidR="00F75945" w:rsidRDefault="00F75945" w:rsidP="00573C53">
      <w:pPr>
        <w:rPr>
          <w:rFonts w:ascii="Calibri" w:hAnsi="Calibri" w:cs="Calibri"/>
          <w:sz w:val="22"/>
          <w:szCs w:val="22"/>
          <w:lang w:val="en-AU"/>
        </w:rPr>
      </w:pPr>
      <w:r w:rsidRPr="00573C53">
        <w:rPr>
          <w:rFonts w:ascii="Calibri" w:hAnsi="Calibri" w:cs="Calibri"/>
          <w:b/>
          <w:bCs/>
          <w:sz w:val="22"/>
          <w:szCs w:val="22"/>
          <w:lang w:val="en-AU"/>
        </w:rPr>
        <w:t>Pillar 1</w:t>
      </w:r>
      <w:r w:rsidR="00573C53">
        <w:rPr>
          <w:rFonts w:ascii="Calibri" w:hAnsi="Calibri" w:cs="Calibri"/>
          <w:b/>
          <w:bCs/>
          <w:sz w:val="22"/>
          <w:szCs w:val="22"/>
          <w:lang w:val="en-AU"/>
        </w:rPr>
        <w:t xml:space="preserve">: </w:t>
      </w:r>
      <w:r w:rsidRPr="00573C53">
        <w:rPr>
          <w:rFonts w:ascii="Calibri" w:hAnsi="Calibri" w:cs="Calibri"/>
          <w:sz w:val="22"/>
          <w:szCs w:val="22"/>
          <w:lang w:val="en-AU"/>
        </w:rPr>
        <w:t>Enabling Environment for the Private Sector - The program has been highly visible and has made significant progress in supporting the enabling environment for the private sector in Fiji. Through a suite of activities, IFC has demonstrated its capacity and willingness to respond to the needs of the GoF by tailoring responses and building on key investment initiatives. The program has focused on supporting a range of targeted, cost-effective and focused</w:t>
      </w:r>
      <w:r w:rsidR="008D0DFE" w:rsidRPr="00573C53">
        <w:rPr>
          <w:rFonts w:ascii="Calibri" w:hAnsi="Calibri" w:cs="Calibri"/>
          <w:sz w:val="22"/>
          <w:szCs w:val="22"/>
          <w:lang w:val="en-AU"/>
        </w:rPr>
        <w:t xml:space="preserve"> projects</w:t>
      </w:r>
      <w:r w:rsidRPr="00573C53">
        <w:rPr>
          <w:rFonts w:ascii="Calibri" w:hAnsi="Calibri" w:cs="Calibri"/>
          <w:sz w:val="22"/>
          <w:szCs w:val="22"/>
          <w:lang w:val="en-AU"/>
        </w:rPr>
        <w:t>. The overall conclusion is that the projects under Pillar 1 have evolved from initial pilots to solid targeted investments that underpin the entire program. Activities under Pillar 1 have emerged as core foundational investments, given their critical role in supporting the development of Fiji.</w:t>
      </w:r>
    </w:p>
    <w:p w14:paraId="4918286F" w14:textId="77777777" w:rsidR="00573C53" w:rsidRPr="00573C53" w:rsidRDefault="00573C53" w:rsidP="00573C53">
      <w:pPr>
        <w:rPr>
          <w:rFonts w:ascii="Calibri" w:hAnsi="Calibri" w:cs="Calibri"/>
          <w:sz w:val="22"/>
          <w:szCs w:val="22"/>
          <w:lang w:val="en-AU"/>
        </w:rPr>
      </w:pPr>
    </w:p>
    <w:p w14:paraId="089B7531" w14:textId="3FB73DA5" w:rsidR="00573C53" w:rsidRDefault="00F75945" w:rsidP="00573C53">
      <w:pPr>
        <w:pStyle w:val="BodyText"/>
        <w:jc w:val="both"/>
        <w:rPr>
          <w:rFonts w:cs="Calibri"/>
          <w:szCs w:val="22"/>
          <w:lang w:val="en-AU"/>
        </w:rPr>
      </w:pPr>
      <w:r w:rsidRPr="00573C53">
        <w:rPr>
          <w:rFonts w:cs="Calibri"/>
          <w:b/>
          <w:bCs/>
          <w:szCs w:val="22"/>
          <w:lang w:val="en-AU"/>
        </w:rPr>
        <w:t>Pillar 2:</w:t>
      </w:r>
      <w:r w:rsidRPr="00573C53">
        <w:rPr>
          <w:rFonts w:cs="Calibri"/>
          <w:szCs w:val="22"/>
          <w:lang w:val="en-AU"/>
        </w:rPr>
        <w:t xml:space="preserve"> Accelerating Private Sector Investment - A key Pillar 2 outcome is to generate and facilitate US$100 million in financing by December 2025. </w:t>
      </w:r>
      <w:r w:rsidR="00E348DC" w:rsidRPr="00573C53">
        <w:rPr>
          <w:rFonts w:cs="Calibri"/>
          <w:szCs w:val="22"/>
          <w:lang w:val="en-AU"/>
        </w:rPr>
        <w:t xml:space="preserve">There are still pipeline opportunities for </w:t>
      </w:r>
      <w:r w:rsidR="00C723E0" w:rsidRPr="00573C53">
        <w:rPr>
          <w:rFonts w:cs="Calibri"/>
          <w:szCs w:val="22"/>
          <w:lang w:val="en-AU"/>
        </w:rPr>
        <w:t>achieving</w:t>
      </w:r>
      <w:r w:rsidR="00E348DC" w:rsidRPr="00573C53">
        <w:rPr>
          <w:rFonts w:cs="Calibri"/>
          <w:szCs w:val="22"/>
          <w:lang w:val="en-AU"/>
        </w:rPr>
        <w:t xml:space="preserve"> the target of US$100 million. including through PPPs. </w:t>
      </w:r>
      <w:r w:rsidR="000B1F18" w:rsidRPr="00573C53">
        <w:rPr>
          <w:rFonts w:cs="Calibri"/>
          <w:szCs w:val="22"/>
          <w:lang w:val="en-AU"/>
        </w:rPr>
        <w:t xml:space="preserve">it is important to note that as of May 2025, US$37.5 million in financing had been enabled through the support of the FPSDP. This represents an almost 7:1 leverage of DFAT’s US$5.48 million contribution. </w:t>
      </w:r>
      <w:r w:rsidRPr="00573C53">
        <w:rPr>
          <w:rFonts w:cs="Calibri"/>
          <w:szCs w:val="22"/>
          <w:lang w:val="en-AU"/>
        </w:rPr>
        <w:t xml:space="preserve"> </w:t>
      </w:r>
      <w:r w:rsidR="00E348DC" w:rsidRPr="00573C53">
        <w:rPr>
          <w:rFonts w:cs="Calibri"/>
          <w:szCs w:val="22"/>
          <w:lang w:val="en-AU"/>
        </w:rPr>
        <w:t>While the policy and regulatory framework is in place to support PPPs, realising actual investment has faced a number of obstacles. PPPs are high</w:t>
      </w:r>
      <w:r w:rsidR="00DF0A19" w:rsidRPr="00573C53">
        <w:rPr>
          <w:rFonts w:cs="Calibri"/>
          <w:szCs w:val="22"/>
          <w:lang w:val="en-AU"/>
        </w:rPr>
        <w:t>-</w:t>
      </w:r>
      <w:r w:rsidR="00E348DC" w:rsidRPr="00573C53">
        <w:rPr>
          <w:rFonts w:cs="Calibri"/>
          <w:szCs w:val="22"/>
          <w:lang w:val="en-AU"/>
        </w:rPr>
        <w:t xml:space="preserve">risk, high-return endeavours, and attracting private sector investment for PPPs in smaller markets is a challenge. </w:t>
      </w:r>
    </w:p>
    <w:p w14:paraId="68851BD9" w14:textId="73C4C099" w:rsidR="00573C53" w:rsidRPr="00573C53" w:rsidRDefault="00E348DC" w:rsidP="00573C53">
      <w:pPr>
        <w:pStyle w:val="BodyText"/>
        <w:jc w:val="both"/>
        <w:rPr>
          <w:rFonts w:cs="Calibri"/>
          <w:szCs w:val="22"/>
          <w:lang w:val="en-AU"/>
        </w:rPr>
      </w:pPr>
      <w:r w:rsidRPr="00573C53">
        <w:rPr>
          <w:rFonts w:cs="Calibri"/>
          <w:szCs w:val="22"/>
          <w:lang w:val="en-AU"/>
        </w:rPr>
        <w:t xml:space="preserve">Whilst all three PPP projects supported by DFAT have attracted multiple bidders, one project (Fiji Affordable Housing PPP) did not generate an acceptable outcome for </w:t>
      </w:r>
      <w:r w:rsidR="00DF0A19" w:rsidRPr="00573C53">
        <w:rPr>
          <w:rFonts w:cs="Calibri"/>
          <w:szCs w:val="22"/>
          <w:lang w:val="en-AU"/>
        </w:rPr>
        <w:t xml:space="preserve">the </w:t>
      </w:r>
      <w:r w:rsidRPr="00573C53">
        <w:rPr>
          <w:rFonts w:cs="Calibri"/>
          <w:szCs w:val="22"/>
          <w:lang w:val="en-AU"/>
        </w:rPr>
        <w:t xml:space="preserve">GoF, whilst the two others (Fiji Health and Fiji Solar PPPs) are ongoing. The Fiji Health PPP project has already delivered US$26.5 million in private sector financing, with potentially an additional US$120 million to follow, alongside a step-up improvement in the quality of healthcare at a key national facility.  The solar project is expected to deliver US$20 million in mobilisation for a 21.9 MW system.  Whilst the payoffs are potentially substantial, the timelines in each case have been lengthy (4-7 years), and the processes </w:t>
      </w:r>
      <w:r w:rsidR="00DF0A19" w:rsidRPr="00573C53">
        <w:rPr>
          <w:rFonts w:cs="Calibri"/>
          <w:szCs w:val="22"/>
          <w:lang w:val="en-AU"/>
        </w:rPr>
        <w:t xml:space="preserve">have </w:t>
      </w:r>
      <w:r w:rsidRPr="00573C53">
        <w:rPr>
          <w:rFonts w:cs="Calibri"/>
          <w:szCs w:val="22"/>
          <w:lang w:val="en-AU"/>
        </w:rPr>
        <w:t xml:space="preserve">not </w:t>
      </w:r>
      <w:r w:rsidR="00DF0A19" w:rsidRPr="00573C53">
        <w:rPr>
          <w:rFonts w:cs="Calibri"/>
          <w:szCs w:val="22"/>
          <w:lang w:val="en-AU"/>
        </w:rPr>
        <w:t xml:space="preserve">been </w:t>
      </w:r>
      <w:r w:rsidRPr="00573C53">
        <w:rPr>
          <w:rFonts w:cs="Calibri"/>
          <w:szCs w:val="22"/>
          <w:lang w:val="en-AU"/>
        </w:rPr>
        <w:t>straightforward</w:t>
      </w:r>
      <w:r w:rsidR="00F75945" w:rsidRPr="00573C53">
        <w:rPr>
          <w:rFonts w:cs="Calibri"/>
          <w:szCs w:val="22"/>
          <w:lang w:val="en-AU"/>
        </w:rPr>
        <w:t xml:space="preserve">. </w:t>
      </w:r>
      <w:r w:rsidRPr="00573C53">
        <w:rPr>
          <w:rFonts w:cs="Calibri"/>
          <w:szCs w:val="22"/>
          <w:lang w:val="en-AU"/>
        </w:rPr>
        <w:t>Valuable</w:t>
      </w:r>
      <w:r w:rsidR="00F75945" w:rsidRPr="00573C53">
        <w:rPr>
          <w:rFonts w:cs="Calibri"/>
          <w:szCs w:val="22"/>
          <w:lang w:val="en-AU"/>
        </w:rPr>
        <w:t xml:space="preserve"> lessons have been learned, </w:t>
      </w:r>
      <w:r w:rsidRPr="00573C53">
        <w:rPr>
          <w:rFonts w:cs="Calibri"/>
          <w:szCs w:val="22"/>
          <w:lang w:val="en-AU"/>
        </w:rPr>
        <w:t xml:space="preserve">and PPPs should be considered as part of DFAT’s future </w:t>
      </w:r>
      <w:r w:rsidR="00C723E0" w:rsidRPr="00573C53">
        <w:rPr>
          <w:rFonts w:cs="Calibri"/>
          <w:szCs w:val="22"/>
          <w:lang w:val="en-AU"/>
        </w:rPr>
        <w:t>investments</w:t>
      </w:r>
      <w:r w:rsidRPr="00573C53">
        <w:rPr>
          <w:rFonts w:cs="Calibri"/>
          <w:szCs w:val="22"/>
          <w:lang w:val="en-AU"/>
        </w:rPr>
        <w:t xml:space="preserve">, however the nature and type of support to this </w:t>
      </w:r>
      <w:r w:rsidR="00C723E0" w:rsidRPr="00573C53">
        <w:rPr>
          <w:rFonts w:cs="Calibri"/>
          <w:szCs w:val="22"/>
          <w:lang w:val="en-AU"/>
        </w:rPr>
        <w:t>portfolio</w:t>
      </w:r>
      <w:r w:rsidRPr="00573C53">
        <w:rPr>
          <w:rFonts w:cs="Calibri"/>
          <w:szCs w:val="22"/>
          <w:lang w:val="en-AU"/>
        </w:rPr>
        <w:t xml:space="preserve"> of work needs to be considered.</w:t>
      </w:r>
    </w:p>
    <w:p w14:paraId="6B722A59" w14:textId="778165CC" w:rsidR="00F75945" w:rsidRPr="00573C53" w:rsidRDefault="00F75945" w:rsidP="00573C53">
      <w:pPr>
        <w:pStyle w:val="BodyText"/>
        <w:jc w:val="both"/>
        <w:rPr>
          <w:rFonts w:cs="Calibri"/>
          <w:szCs w:val="22"/>
          <w:lang w:val="en-AU"/>
        </w:rPr>
      </w:pPr>
      <w:r w:rsidRPr="00573C53">
        <w:rPr>
          <w:rFonts w:cs="Calibri"/>
          <w:szCs w:val="22"/>
          <w:lang w:val="en-AU"/>
        </w:rPr>
        <w:t xml:space="preserve">One area where the Program has made significant progress under this Pillar is through the work on Fiji Green Finance. Additionally, support to Investment Fiji to build their capacity to operate as an investment promotion agency has been important in developing local skills to increase and convert foreign investment opportunities. Overall, Pillar 2 has presented some key achievements (Green Finance and support to Investment Fiji) and important lessons (PPPs). The key takeaway from the evaluation is the importance of </w:t>
      </w:r>
      <w:r w:rsidR="003941B4" w:rsidRPr="00573C53">
        <w:rPr>
          <w:rFonts w:cs="Calibri"/>
          <w:szCs w:val="22"/>
          <w:lang w:val="en-AU"/>
        </w:rPr>
        <w:t xml:space="preserve">trialling approaches and pilots that can then be scaled to maximise social and economic impact within a level of risk tolerance and uncertainty that DFAT and IFC are comfortable </w:t>
      </w:r>
      <w:r w:rsidR="00DF0A19" w:rsidRPr="00573C53">
        <w:rPr>
          <w:rFonts w:cs="Calibri"/>
          <w:szCs w:val="22"/>
          <w:lang w:val="en-AU"/>
        </w:rPr>
        <w:t>with</w:t>
      </w:r>
      <w:r w:rsidR="003941B4" w:rsidRPr="00573C53">
        <w:rPr>
          <w:rFonts w:cs="Calibri"/>
          <w:szCs w:val="22"/>
          <w:lang w:val="en-AU"/>
        </w:rPr>
        <w:t>.</w:t>
      </w:r>
    </w:p>
    <w:p w14:paraId="15CF7DDD" w14:textId="4516BE36" w:rsidR="00F75945" w:rsidRPr="00C723E0" w:rsidRDefault="00F75945" w:rsidP="00573C53">
      <w:pPr>
        <w:pStyle w:val="BodyText"/>
        <w:jc w:val="both"/>
        <w:rPr>
          <w:rFonts w:cs="Calibri"/>
          <w:szCs w:val="22"/>
          <w:lang w:val="en-AU"/>
        </w:rPr>
      </w:pPr>
      <w:r w:rsidRPr="00573C53">
        <w:rPr>
          <w:rFonts w:cs="Calibri"/>
          <w:b/>
          <w:bCs/>
          <w:szCs w:val="22"/>
          <w:lang w:val="en-AU"/>
        </w:rPr>
        <w:lastRenderedPageBreak/>
        <w:t>Pillar 3:</w:t>
      </w:r>
      <w:r w:rsidRPr="00C723E0">
        <w:rPr>
          <w:rFonts w:cs="Calibri"/>
          <w:szCs w:val="22"/>
          <w:lang w:val="en-AU"/>
        </w:rPr>
        <w:t xml:space="preserve"> Enhancing Standards and Gender Inclusion - The program has made significant progress in supporting work under Pillar 3. The Program has a solid representation of gender across all activities. </w:t>
      </w:r>
      <w:r w:rsidRPr="00573C53">
        <w:rPr>
          <w:rFonts w:cs="Calibri"/>
          <w:szCs w:val="22"/>
          <w:lang w:val="en-AU"/>
        </w:rPr>
        <w:t>IFC assesses gender risk across all project investments. IFC projects are subject to IFC’s Sustainability Framework, which requires efforts to “minimise gender-related risks from business activities and unintended gender differentiated impacts.” Most of the work has focused on governance, and most importantly, “board governance”.</w:t>
      </w:r>
      <w:r w:rsidRPr="00C723E0">
        <w:rPr>
          <w:rFonts w:cs="Calibri"/>
          <w:szCs w:val="22"/>
          <w:lang w:val="en-AU"/>
        </w:rPr>
        <w:t xml:space="preserve"> </w:t>
      </w:r>
      <w:r w:rsidRPr="00573C53">
        <w:rPr>
          <w:rFonts w:cs="Calibri"/>
          <w:szCs w:val="22"/>
          <w:lang w:val="en-AU"/>
        </w:rPr>
        <w:t xml:space="preserve">An example of the flexibility and responsiveness of the program under this pillar is the support provided to the Fiji International Visitor Survey. This investment was essentially a “quick win” for the Program and DFAT and has </w:t>
      </w:r>
      <w:r w:rsidR="00DF0A19" w:rsidRPr="00573C53">
        <w:rPr>
          <w:rFonts w:cs="Calibri"/>
          <w:szCs w:val="22"/>
          <w:lang w:val="en-AU"/>
        </w:rPr>
        <w:t>had</w:t>
      </w:r>
      <w:r w:rsidRPr="00573C53">
        <w:rPr>
          <w:rFonts w:cs="Calibri"/>
          <w:szCs w:val="22"/>
          <w:lang w:val="en-AU"/>
        </w:rPr>
        <w:t xml:space="preserve"> </w:t>
      </w:r>
      <w:r w:rsidR="00DF0A19" w:rsidRPr="00573C53">
        <w:rPr>
          <w:rFonts w:cs="Calibri"/>
          <w:szCs w:val="22"/>
          <w:lang w:val="en-AU"/>
        </w:rPr>
        <w:t>a</w:t>
      </w:r>
      <w:r w:rsidR="00E67637" w:rsidRPr="00573C53">
        <w:rPr>
          <w:rFonts w:cs="Calibri"/>
          <w:szCs w:val="22"/>
          <w:lang w:val="en-AU"/>
        </w:rPr>
        <w:t xml:space="preserve"> </w:t>
      </w:r>
      <w:r w:rsidR="00DF0A19" w:rsidRPr="00573C53">
        <w:rPr>
          <w:rFonts w:cs="Calibri"/>
          <w:szCs w:val="22"/>
          <w:lang w:val="en-AU"/>
        </w:rPr>
        <w:t>significant positive impact</w:t>
      </w:r>
      <w:r w:rsidRPr="00573C53">
        <w:rPr>
          <w:rFonts w:cs="Calibri"/>
          <w:szCs w:val="22"/>
          <w:lang w:val="en-AU"/>
        </w:rPr>
        <w:t xml:space="preserve"> </w:t>
      </w:r>
      <w:r w:rsidR="00DF0A19" w:rsidRPr="00573C53">
        <w:rPr>
          <w:rFonts w:cs="Calibri"/>
          <w:szCs w:val="22"/>
          <w:lang w:val="en-AU"/>
        </w:rPr>
        <w:t xml:space="preserve">on </w:t>
      </w:r>
      <w:r w:rsidRPr="00573C53">
        <w:rPr>
          <w:rFonts w:cs="Calibri"/>
          <w:szCs w:val="22"/>
          <w:lang w:val="en-AU"/>
        </w:rPr>
        <w:t xml:space="preserve">the GoF as various sections of the Government utilise it and generate information and data for planning and operational decisions. </w:t>
      </w:r>
    </w:p>
    <w:p w14:paraId="541C3F8E" w14:textId="77777777" w:rsidR="00F75945" w:rsidRPr="00573C53" w:rsidRDefault="00F75945" w:rsidP="00573C53">
      <w:pPr>
        <w:pStyle w:val="BodyText"/>
        <w:jc w:val="both"/>
        <w:rPr>
          <w:rFonts w:cs="Calibri"/>
          <w:szCs w:val="22"/>
          <w:lang w:val="en-AU"/>
        </w:rPr>
      </w:pPr>
      <w:r w:rsidRPr="00573C53">
        <w:rPr>
          <w:rFonts w:cs="Calibri"/>
          <w:szCs w:val="22"/>
          <w:lang w:val="en-AU"/>
        </w:rPr>
        <w:t>Overall, Pillar 3 activities are critical in supporting the broader enabling environment (under Pillar 1) and helping support potential financing options (under Pillar 2). The investments supported under the pillar are strategic in nature but provide opportunities and additional entry points to provide targeted support that addresses specific needs and priorities in both the public and private sectors.</w:t>
      </w:r>
    </w:p>
    <w:p w14:paraId="5ABF143C" w14:textId="77777777" w:rsidR="00F75945" w:rsidRPr="00A26E3C" w:rsidRDefault="00F75945" w:rsidP="00650E63">
      <w:pPr>
        <w:pStyle w:val="Heading3"/>
        <w:rPr>
          <w:rFonts w:ascii="Calibri" w:hAnsi="Calibri" w:cs="Calibri"/>
          <w:i w:val="0"/>
          <w:iCs/>
          <w:sz w:val="22"/>
          <w:szCs w:val="22"/>
          <w:u w:val="single"/>
          <w:lang w:val="en-AU"/>
        </w:rPr>
      </w:pPr>
      <w:r w:rsidRPr="00650E63">
        <w:rPr>
          <w:lang w:val="en-AU"/>
        </w:rPr>
        <w:t>Sustainability</w:t>
      </w:r>
    </w:p>
    <w:p w14:paraId="6F781FFB" w14:textId="5E5B5B32" w:rsidR="00F75945" w:rsidRPr="00C723E0" w:rsidRDefault="00F75945" w:rsidP="00F75945">
      <w:pPr>
        <w:spacing w:after="120"/>
        <w:jc w:val="both"/>
        <w:rPr>
          <w:rFonts w:ascii="Calibri" w:hAnsi="Calibri" w:cs="Calibri"/>
          <w:sz w:val="22"/>
          <w:szCs w:val="22"/>
          <w:lang w:val="en-AU"/>
        </w:rPr>
      </w:pPr>
      <w:r w:rsidRPr="00C723E0">
        <w:rPr>
          <w:rFonts w:ascii="Calibri" w:hAnsi="Calibri" w:cs="Calibri"/>
          <w:sz w:val="22"/>
          <w:szCs w:val="22"/>
          <w:lang w:val="en-AU"/>
        </w:rPr>
        <w:t>Overall, the projects and investments funded under the program have a high likelihood of sustainability, given that they have been primarily designed and implemented in a staged and considered manner and respond</w:t>
      </w:r>
      <w:r w:rsidR="00E67637" w:rsidRPr="00C723E0">
        <w:rPr>
          <w:rFonts w:ascii="Calibri" w:hAnsi="Calibri" w:cs="Calibri"/>
          <w:sz w:val="22"/>
          <w:szCs w:val="22"/>
          <w:lang w:val="en-AU"/>
        </w:rPr>
        <w:t>ed</w:t>
      </w:r>
      <w:r w:rsidRPr="00C723E0">
        <w:rPr>
          <w:rFonts w:ascii="Calibri" w:hAnsi="Calibri" w:cs="Calibri"/>
          <w:sz w:val="22"/>
          <w:szCs w:val="22"/>
          <w:lang w:val="en-AU"/>
        </w:rPr>
        <w:t xml:space="preserve"> to immediate GoF priorities and needs. Evidence from interviews highlights key buy-in and interest from GoF partners. Further iterations of the program should continue to support and implement similar projects across the pillars, however, future investments and support around </w:t>
      </w:r>
      <w:r w:rsidR="00E67637" w:rsidRPr="00C723E0">
        <w:rPr>
          <w:rFonts w:ascii="Calibri" w:hAnsi="Calibri" w:cs="Calibri"/>
          <w:sz w:val="22"/>
          <w:szCs w:val="22"/>
          <w:lang w:val="en-AU"/>
        </w:rPr>
        <w:t>P</w:t>
      </w:r>
      <w:r w:rsidRPr="00C723E0">
        <w:rPr>
          <w:rFonts w:ascii="Calibri" w:hAnsi="Calibri" w:cs="Calibri"/>
          <w:sz w:val="22"/>
          <w:szCs w:val="22"/>
          <w:lang w:val="en-AU"/>
        </w:rPr>
        <w:t>PPs should be carefully considered and discussed. The overall highlight of the program is the ability to target and focus on key support areas with a relatively modest budget. The “trialling” of some approaches warrants further investigation and the ability to scale up and leverage options.</w:t>
      </w:r>
    </w:p>
    <w:p w14:paraId="6E6FC662" w14:textId="77777777" w:rsidR="00F75945" w:rsidRPr="004F052F" w:rsidRDefault="00F75945" w:rsidP="004F052F">
      <w:pPr>
        <w:pStyle w:val="Heading2"/>
      </w:pPr>
      <w:bookmarkStart w:id="9" w:name="_Toc206675812"/>
      <w:r w:rsidRPr="004F052F">
        <w:t>Recommendations</w:t>
      </w:r>
      <w:bookmarkEnd w:id="9"/>
    </w:p>
    <w:p w14:paraId="00A43786" w14:textId="77777777" w:rsidR="002B2A40" w:rsidRPr="00C723E0" w:rsidRDefault="002B2A40" w:rsidP="002B2A40">
      <w:pPr>
        <w:pStyle w:val="BodyText2"/>
        <w:spacing w:line="240" w:lineRule="auto"/>
        <w:jc w:val="both"/>
        <w:rPr>
          <w:rFonts w:ascii="Calibri" w:hAnsi="Calibri" w:cs="Calibri"/>
          <w:sz w:val="22"/>
          <w:szCs w:val="22"/>
          <w:lang w:val="en-AU"/>
        </w:rPr>
      </w:pPr>
      <w:r w:rsidRPr="00C723E0">
        <w:rPr>
          <w:rFonts w:ascii="Calibri" w:hAnsi="Calibri" w:cs="Calibri"/>
          <w:sz w:val="22"/>
          <w:szCs w:val="22"/>
          <w:lang w:val="en-AU"/>
        </w:rPr>
        <w:t>Key recommendations for the program and partnership to consider include:</w:t>
      </w:r>
    </w:p>
    <w:p w14:paraId="36F2B764" w14:textId="77777777" w:rsidR="002B2A40" w:rsidRPr="00C723E0" w:rsidRDefault="002B2A40" w:rsidP="002B2A40">
      <w:pPr>
        <w:pStyle w:val="BodyText2"/>
        <w:spacing w:line="240" w:lineRule="auto"/>
        <w:jc w:val="both"/>
        <w:rPr>
          <w:rFonts w:ascii="Calibri" w:hAnsi="Calibri" w:cs="Calibri"/>
          <w:sz w:val="22"/>
          <w:szCs w:val="22"/>
          <w:lang w:val="en-AU"/>
        </w:rPr>
      </w:pPr>
      <w:r w:rsidRPr="00C723E0">
        <w:rPr>
          <w:rFonts w:ascii="Calibri" w:hAnsi="Calibri" w:cs="Calibri"/>
          <w:b/>
          <w:bCs/>
          <w:sz w:val="22"/>
          <w:szCs w:val="22"/>
          <w:lang w:val="en-AU"/>
        </w:rPr>
        <w:t>Recommendation 1:</w:t>
      </w:r>
      <w:r w:rsidRPr="00C723E0">
        <w:rPr>
          <w:rFonts w:ascii="Calibri" w:hAnsi="Calibri" w:cs="Calibri"/>
          <w:sz w:val="22"/>
          <w:szCs w:val="22"/>
          <w:lang w:val="en-AU"/>
        </w:rPr>
        <w:t xml:space="preserve"> There is sufficient evidenc</w:t>
      </w:r>
      <w:r>
        <w:rPr>
          <w:rFonts w:ascii="Calibri" w:hAnsi="Calibri" w:cs="Calibri"/>
          <w:sz w:val="22"/>
          <w:szCs w:val="22"/>
          <w:lang w:val="en-AU"/>
        </w:rPr>
        <w:t>e of progress towards outcomes and key results from the current FPSDP</w:t>
      </w:r>
      <w:r w:rsidRPr="00C723E0">
        <w:rPr>
          <w:rFonts w:ascii="Calibri" w:hAnsi="Calibri" w:cs="Calibri"/>
          <w:sz w:val="22"/>
          <w:szCs w:val="22"/>
          <w:lang w:val="en-AU"/>
        </w:rPr>
        <w:t xml:space="preserve"> to </w:t>
      </w:r>
      <w:r>
        <w:rPr>
          <w:rFonts w:ascii="Calibri" w:hAnsi="Calibri" w:cs="Calibri"/>
          <w:sz w:val="22"/>
          <w:szCs w:val="22"/>
          <w:lang w:val="en-AU"/>
        </w:rPr>
        <w:t xml:space="preserve">justify and </w:t>
      </w:r>
      <w:r w:rsidRPr="00C723E0">
        <w:rPr>
          <w:rFonts w:ascii="Calibri" w:hAnsi="Calibri" w:cs="Calibri"/>
          <w:sz w:val="22"/>
          <w:szCs w:val="22"/>
          <w:lang w:val="en-AU"/>
        </w:rPr>
        <w:t>support</w:t>
      </w:r>
      <w:r>
        <w:rPr>
          <w:rFonts w:ascii="Calibri" w:hAnsi="Calibri" w:cs="Calibri"/>
          <w:sz w:val="22"/>
          <w:szCs w:val="22"/>
          <w:lang w:val="en-AU"/>
        </w:rPr>
        <w:t xml:space="preserve"> ongoing</w:t>
      </w:r>
      <w:r w:rsidRPr="00C723E0">
        <w:rPr>
          <w:rFonts w:ascii="Calibri" w:hAnsi="Calibri" w:cs="Calibri"/>
          <w:sz w:val="22"/>
          <w:szCs w:val="22"/>
          <w:lang w:val="en-AU"/>
        </w:rPr>
        <w:t xml:space="preserve"> </w:t>
      </w:r>
      <w:r>
        <w:rPr>
          <w:rFonts w:ascii="Calibri" w:hAnsi="Calibri" w:cs="Calibri"/>
          <w:sz w:val="22"/>
          <w:szCs w:val="22"/>
          <w:lang w:val="en-AU"/>
        </w:rPr>
        <w:t xml:space="preserve">investment in </w:t>
      </w:r>
      <w:r w:rsidRPr="00C723E0">
        <w:rPr>
          <w:rFonts w:ascii="Calibri" w:hAnsi="Calibri" w:cs="Calibri"/>
          <w:sz w:val="22"/>
          <w:szCs w:val="22"/>
          <w:lang w:val="en-AU"/>
        </w:rPr>
        <w:t xml:space="preserve">private sector initiatives in Fiji. Future </w:t>
      </w:r>
      <w:r>
        <w:rPr>
          <w:rFonts w:ascii="Calibri" w:hAnsi="Calibri" w:cs="Calibri"/>
          <w:sz w:val="22"/>
          <w:szCs w:val="22"/>
          <w:lang w:val="en-AU"/>
        </w:rPr>
        <w:t>investments</w:t>
      </w:r>
      <w:r w:rsidRPr="00C723E0">
        <w:rPr>
          <w:rFonts w:ascii="Calibri" w:hAnsi="Calibri" w:cs="Calibri"/>
          <w:sz w:val="22"/>
          <w:szCs w:val="22"/>
          <w:lang w:val="en-AU"/>
        </w:rPr>
        <w:t xml:space="preserve"> should continue to</w:t>
      </w:r>
      <w:r>
        <w:rPr>
          <w:rFonts w:ascii="Calibri" w:hAnsi="Calibri" w:cs="Calibri"/>
          <w:sz w:val="22"/>
          <w:szCs w:val="22"/>
          <w:lang w:val="en-AU"/>
        </w:rPr>
        <w:t xml:space="preserve"> support,</w:t>
      </w:r>
      <w:r w:rsidRPr="00C723E0">
        <w:rPr>
          <w:rFonts w:ascii="Calibri" w:hAnsi="Calibri" w:cs="Calibri"/>
          <w:sz w:val="22"/>
          <w:szCs w:val="22"/>
          <w:lang w:val="en-AU"/>
        </w:rPr>
        <w:t xml:space="preserve"> build and leverage existing</w:t>
      </w:r>
      <w:r>
        <w:rPr>
          <w:rFonts w:ascii="Calibri" w:hAnsi="Calibri" w:cs="Calibri"/>
          <w:sz w:val="22"/>
          <w:szCs w:val="22"/>
          <w:lang w:val="en-AU"/>
        </w:rPr>
        <w:t xml:space="preserve"> IFC private sector</w:t>
      </w:r>
      <w:r w:rsidRPr="00C723E0">
        <w:rPr>
          <w:rFonts w:ascii="Calibri" w:hAnsi="Calibri" w:cs="Calibri"/>
          <w:sz w:val="22"/>
          <w:szCs w:val="22"/>
          <w:lang w:val="en-AU"/>
        </w:rPr>
        <w:t xml:space="preserve"> investments</w:t>
      </w:r>
      <w:r>
        <w:rPr>
          <w:rFonts w:ascii="Calibri" w:hAnsi="Calibri" w:cs="Calibri"/>
          <w:sz w:val="22"/>
          <w:szCs w:val="22"/>
          <w:lang w:val="en-AU"/>
        </w:rPr>
        <w:t xml:space="preserve"> initiated under the current program </w:t>
      </w:r>
      <w:r w:rsidRPr="00C723E0">
        <w:rPr>
          <w:rFonts w:ascii="Calibri" w:hAnsi="Calibri" w:cs="Calibri"/>
          <w:sz w:val="22"/>
          <w:szCs w:val="22"/>
          <w:lang w:val="en-AU"/>
        </w:rPr>
        <w:t>and remain aligned with the priorities and focus areas for the GoF and GoA.</w:t>
      </w:r>
    </w:p>
    <w:p w14:paraId="18725B83" w14:textId="77777777" w:rsidR="002B2A40" w:rsidRPr="00C723E0" w:rsidRDefault="002B2A40" w:rsidP="002B2A40">
      <w:pPr>
        <w:pStyle w:val="BodyText2"/>
        <w:spacing w:line="240" w:lineRule="auto"/>
        <w:jc w:val="both"/>
        <w:rPr>
          <w:rFonts w:ascii="Calibri" w:hAnsi="Calibri" w:cs="Calibri"/>
          <w:sz w:val="22"/>
          <w:szCs w:val="22"/>
          <w:lang w:val="en-AU"/>
        </w:rPr>
      </w:pPr>
      <w:r w:rsidRPr="0081051A">
        <w:rPr>
          <w:rFonts w:ascii="Calibri" w:hAnsi="Calibri" w:cs="Calibri"/>
          <w:b/>
          <w:bCs/>
          <w:color w:val="000000"/>
          <w:sz w:val="22"/>
          <w:szCs w:val="22"/>
        </w:rPr>
        <w:t>Recommendation 2:</w:t>
      </w:r>
      <w:r w:rsidRPr="0081051A">
        <w:rPr>
          <w:rStyle w:val="apple-converted-space"/>
          <w:rFonts w:ascii="Calibri" w:eastAsiaTheme="majorEastAsia" w:hAnsi="Calibri" w:cs="Calibri"/>
          <w:color w:val="000000"/>
          <w:sz w:val="22"/>
          <w:szCs w:val="22"/>
        </w:rPr>
        <w:t> </w:t>
      </w:r>
      <w:r w:rsidRPr="0081051A">
        <w:rPr>
          <w:rFonts w:ascii="Calibri" w:hAnsi="Calibri" w:cs="Calibri"/>
          <w:color w:val="000000"/>
          <w:sz w:val="22"/>
          <w:szCs w:val="22"/>
        </w:rPr>
        <w:t>Complex private sector engagements, particularly PPPs, should be considered as part of DFAT’s future investments in the private sector. IFC will continue to work on PPP projects in Fiji. In considering its support for future PPP projects under this Partnership, DFAT should assess sectors of strategic interest as well as the relative risk/reward trade-offs of proposed initiatives. In doing so, DFAT should leverage the support of AIFFP to inform investment decisions in new projects and, where appropriate, to provide innovative financing solutions for future PPP investments.</w:t>
      </w:r>
    </w:p>
    <w:p w14:paraId="762D69E8" w14:textId="6E14AF12" w:rsidR="002B2A40" w:rsidRDefault="002B2A40" w:rsidP="002B2A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eastAsiaTheme="minorHAnsi" w:hAnsi="Calibri" w:cs="Calibri"/>
          <w:color w:val="000000"/>
          <w:sz w:val="22"/>
          <w:szCs w:val="22"/>
          <w:lang w:val="en-AU"/>
          <w14:ligatures w14:val="standardContextual"/>
        </w:rPr>
      </w:pPr>
      <w:r w:rsidRPr="00C723E0">
        <w:rPr>
          <w:rFonts w:ascii="Calibri" w:hAnsi="Calibri" w:cs="Calibri"/>
          <w:b/>
          <w:bCs/>
          <w:sz w:val="22"/>
          <w:szCs w:val="22"/>
          <w:lang w:val="en-AU"/>
        </w:rPr>
        <w:t>Recommendation 3</w:t>
      </w:r>
      <w:r w:rsidRPr="00C723E0">
        <w:rPr>
          <w:rFonts w:ascii="Calibri" w:hAnsi="Calibri" w:cs="Calibri"/>
          <w:sz w:val="22"/>
          <w:szCs w:val="22"/>
          <w:lang w:val="en-AU"/>
        </w:rPr>
        <w:t xml:space="preserve">: DFAT </w:t>
      </w:r>
      <w:r>
        <w:rPr>
          <w:rFonts w:ascii="Calibri" w:hAnsi="Calibri" w:cs="Calibri"/>
          <w:sz w:val="22"/>
          <w:szCs w:val="22"/>
          <w:lang w:val="en-AU"/>
        </w:rPr>
        <w:t>should</w:t>
      </w:r>
      <w:r w:rsidRPr="00C723E0">
        <w:rPr>
          <w:rFonts w:ascii="Calibri" w:hAnsi="Calibri" w:cs="Calibri"/>
          <w:sz w:val="22"/>
          <w:szCs w:val="22"/>
          <w:lang w:val="en-AU"/>
        </w:rPr>
        <w:t xml:space="preserve"> consider</w:t>
      </w:r>
      <w:r>
        <w:rPr>
          <w:rFonts w:ascii="Calibri" w:hAnsi="Calibri" w:cs="Calibri"/>
          <w:sz w:val="22"/>
          <w:szCs w:val="22"/>
          <w:lang w:val="en-AU"/>
        </w:rPr>
        <w:t xml:space="preserve"> incentive-based mechanisms for</w:t>
      </w:r>
      <w:r w:rsidRPr="00C723E0">
        <w:rPr>
          <w:rFonts w:ascii="Calibri" w:hAnsi="Calibri" w:cs="Calibri"/>
          <w:sz w:val="22"/>
          <w:szCs w:val="22"/>
          <w:lang w:val="en-AU"/>
        </w:rPr>
        <w:t xml:space="preserve"> future private sector support</w:t>
      </w:r>
      <w:r>
        <w:rPr>
          <w:rFonts w:ascii="Calibri" w:hAnsi="Calibri" w:cs="Calibri"/>
          <w:sz w:val="22"/>
          <w:szCs w:val="22"/>
          <w:lang w:val="en-AU"/>
        </w:rPr>
        <w:t xml:space="preserve"> where the GoF is the primary Client</w:t>
      </w:r>
      <w:r w:rsidRPr="00C723E0">
        <w:rPr>
          <w:rFonts w:ascii="Calibri" w:hAnsi="Calibri" w:cs="Calibri"/>
          <w:sz w:val="22"/>
          <w:szCs w:val="22"/>
          <w:lang w:val="en-AU"/>
        </w:rPr>
        <w:t xml:space="preserve">. </w:t>
      </w:r>
      <w:r>
        <w:rPr>
          <w:rFonts w:ascii="Calibri" w:hAnsi="Calibri" w:cs="Calibri"/>
          <w:sz w:val="22"/>
          <w:szCs w:val="22"/>
          <w:lang w:val="en-AU"/>
        </w:rPr>
        <w:t xml:space="preserve">DFAT should consider engaging in earlier discussions between the IFC and the GoF to consult on ideas, opportunities, and options that utilise and align with DFAT's strategic partnership advantages. </w:t>
      </w:r>
      <w:r w:rsidRPr="0081051A">
        <w:rPr>
          <w:rFonts w:ascii="Calibri" w:hAnsi="Calibri" w:cs="Calibri"/>
          <w:sz w:val="22"/>
          <w:szCs w:val="22"/>
          <w:lang w:val="en-AU"/>
        </w:rPr>
        <w:t xml:space="preserve">One consideration is for </w:t>
      </w:r>
      <w:r w:rsidRPr="0081051A">
        <w:rPr>
          <w:rFonts w:ascii="Calibri" w:eastAsiaTheme="minorHAnsi" w:hAnsi="Calibri" w:cs="Calibri"/>
          <w:color w:val="000000"/>
          <w:sz w:val="22"/>
          <w:szCs w:val="22"/>
          <w:lang w:val="en-AU"/>
          <w14:ligatures w14:val="standardContextual"/>
        </w:rPr>
        <w:t xml:space="preserve">DFAT to continue utilising budget-support mechanisms </w:t>
      </w:r>
      <w:r>
        <w:rPr>
          <w:rFonts w:ascii="Calibri" w:eastAsiaTheme="minorHAnsi" w:hAnsi="Calibri" w:cs="Calibri"/>
          <w:color w:val="000000"/>
          <w:sz w:val="22"/>
          <w:szCs w:val="22"/>
          <w:lang w:val="en-AU"/>
          <w14:ligatures w14:val="standardContextual"/>
        </w:rPr>
        <w:t>to</w:t>
      </w:r>
      <w:r w:rsidRPr="0081051A">
        <w:rPr>
          <w:rFonts w:ascii="Calibri" w:eastAsiaTheme="minorHAnsi" w:hAnsi="Calibri" w:cs="Calibri"/>
          <w:color w:val="000000"/>
          <w:sz w:val="22"/>
          <w:szCs w:val="22"/>
          <w:lang w:val="en-AU"/>
          <w14:ligatures w14:val="standardContextual"/>
        </w:rPr>
        <w:t xml:space="preserve"> incentivis</w:t>
      </w:r>
      <w:r>
        <w:rPr>
          <w:rFonts w:ascii="Calibri" w:eastAsiaTheme="minorHAnsi" w:hAnsi="Calibri" w:cs="Calibri"/>
          <w:color w:val="000000"/>
          <w:sz w:val="22"/>
          <w:szCs w:val="22"/>
          <w:lang w:val="en-AU"/>
          <w14:ligatures w14:val="standardContextual"/>
        </w:rPr>
        <w:t>e</w:t>
      </w:r>
      <w:r w:rsidRPr="0081051A">
        <w:rPr>
          <w:rFonts w:ascii="Calibri" w:eastAsiaTheme="minorHAnsi" w:hAnsi="Calibri" w:cs="Calibri"/>
          <w:color w:val="000000"/>
          <w:sz w:val="22"/>
          <w:szCs w:val="22"/>
          <w:lang w:val="en-AU"/>
          <w14:ligatures w14:val="standardContextual"/>
        </w:rPr>
        <w:t xml:space="preserve"> </w:t>
      </w:r>
      <w:r>
        <w:rPr>
          <w:rFonts w:ascii="Calibri" w:eastAsiaTheme="minorHAnsi" w:hAnsi="Calibri" w:cs="Calibri"/>
          <w:color w:val="000000"/>
          <w:sz w:val="22"/>
          <w:szCs w:val="22"/>
          <w:lang w:val="en-AU"/>
          <w14:ligatures w14:val="standardContextual"/>
        </w:rPr>
        <w:t>essential</w:t>
      </w:r>
      <w:r w:rsidRPr="0081051A">
        <w:rPr>
          <w:rFonts w:ascii="Calibri" w:eastAsiaTheme="minorHAnsi" w:hAnsi="Calibri" w:cs="Calibri"/>
          <w:color w:val="000000"/>
          <w:sz w:val="22"/>
          <w:szCs w:val="22"/>
          <w:lang w:val="en-AU"/>
          <w14:ligatures w14:val="standardContextual"/>
        </w:rPr>
        <w:t xml:space="preserve"> and necessary reforms.</w:t>
      </w:r>
      <w:r w:rsidRPr="00513571">
        <w:rPr>
          <w:rFonts w:ascii="Calibri" w:eastAsiaTheme="minorHAnsi" w:hAnsi="Calibri" w:cs="Calibri"/>
          <w:color w:val="000000"/>
          <w:sz w:val="22"/>
          <w:szCs w:val="22"/>
          <w:lang w:val="en-AU"/>
          <w14:ligatures w14:val="standardContextual"/>
        </w:rPr>
        <w:t xml:space="preserve"> </w:t>
      </w:r>
    </w:p>
    <w:p w14:paraId="4744E7C3" w14:textId="631B1C00" w:rsidR="002B2A40" w:rsidRPr="00C723E0" w:rsidRDefault="002B2A40" w:rsidP="002B2A40">
      <w:pPr>
        <w:pStyle w:val="BodyText2"/>
        <w:spacing w:line="240" w:lineRule="auto"/>
        <w:jc w:val="both"/>
        <w:rPr>
          <w:rFonts w:ascii="Calibri" w:hAnsi="Calibri" w:cs="Calibri"/>
          <w:sz w:val="22"/>
          <w:szCs w:val="22"/>
          <w:lang w:val="en-AU"/>
        </w:rPr>
      </w:pPr>
      <w:r w:rsidRPr="00C723E0">
        <w:rPr>
          <w:rFonts w:ascii="Calibri" w:hAnsi="Calibri" w:cs="Calibri"/>
          <w:b/>
          <w:bCs/>
          <w:sz w:val="22"/>
          <w:szCs w:val="22"/>
          <w:lang w:val="en-AU"/>
        </w:rPr>
        <w:t>Recommendation 4:</w:t>
      </w:r>
      <w:r w:rsidRPr="00C723E0">
        <w:rPr>
          <w:rFonts w:ascii="Calibri" w:hAnsi="Calibri" w:cs="Calibri"/>
          <w:sz w:val="22"/>
          <w:szCs w:val="22"/>
          <w:lang w:val="en-AU"/>
        </w:rPr>
        <w:t xml:space="preserve"> The current partnership arrangement has demonstrated an effective </w:t>
      </w:r>
      <w:r>
        <w:rPr>
          <w:rFonts w:ascii="Calibri" w:hAnsi="Calibri" w:cs="Calibri"/>
          <w:sz w:val="22"/>
          <w:szCs w:val="22"/>
          <w:lang w:val="en-AU"/>
        </w:rPr>
        <w:t>support</w:t>
      </w:r>
      <w:r w:rsidRPr="00C723E0">
        <w:rPr>
          <w:rFonts w:ascii="Calibri" w:hAnsi="Calibri" w:cs="Calibri"/>
          <w:sz w:val="22"/>
          <w:szCs w:val="22"/>
          <w:lang w:val="en-AU"/>
        </w:rPr>
        <w:t xml:space="preserve"> </w:t>
      </w:r>
      <w:r>
        <w:rPr>
          <w:rFonts w:ascii="Calibri" w:hAnsi="Calibri" w:cs="Calibri"/>
          <w:sz w:val="22"/>
          <w:szCs w:val="22"/>
          <w:lang w:val="en-AU"/>
        </w:rPr>
        <w:t>mechanism</w:t>
      </w:r>
      <w:r w:rsidRPr="00C723E0">
        <w:rPr>
          <w:rFonts w:ascii="Calibri" w:hAnsi="Calibri" w:cs="Calibri"/>
          <w:sz w:val="22"/>
          <w:szCs w:val="22"/>
          <w:lang w:val="en-AU"/>
        </w:rPr>
        <w:t xml:space="preserve">. </w:t>
      </w:r>
      <w:r w:rsidR="000E47A9">
        <w:rPr>
          <w:rFonts w:ascii="Calibri" w:hAnsi="Calibri" w:cs="Calibri"/>
          <w:sz w:val="22"/>
          <w:szCs w:val="22"/>
          <w:lang w:val="en-AU"/>
        </w:rPr>
        <w:t xml:space="preserve">Existing governance mechanisms remain relevant and fit-for-purpose and should be </w:t>
      </w:r>
      <w:r w:rsidR="000E47A9">
        <w:rPr>
          <w:rFonts w:ascii="Calibri" w:hAnsi="Calibri" w:cs="Calibri"/>
          <w:sz w:val="22"/>
          <w:szCs w:val="22"/>
          <w:lang w:val="en-AU"/>
        </w:rPr>
        <w:lastRenderedPageBreak/>
        <w:t xml:space="preserve">maintained and supported. </w:t>
      </w:r>
      <w:r w:rsidRPr="00C723E0">
        <w:rPr>
          <w:rFonts w:ascii="Calibri" w:hAnsi="Calibri" w:cs="Calibri"/>
          <w:sz w:val="22"/>
          <w:szCs w:val="22"/>
          <w:lang w:val="en-AU"/>
        </w:rPr>
        <w:t xml:space="preserve">There is scope to expand the partnership model, enabling broader engagement and collaboration and incentivising </w:t>
      </w:r>
      <w:r>
        <w:rPr>
          <w:rFonts w:ascii="Calibri" w:hAnsi="Calibri" w:cs="Calibri"/>
          <w:sz w:val="22"/>
          <w:szCs w:val="22"/>
          <w:lang w:val="en-AU"/>
        </w:rPr>
        <w:t xml:space="preserve">existing and new </w:t>
      </w:r>
      <w:r w:rsidRPr="00C723E0">
        <w:rPr>
          <w:rFonts w:ascii="Calibri" w:hAnsi="Calibri" w:cs="Calibri"/>
          <w:sz w:val="22"/>
          <w:szCs w:val="22"/>
          <w:lang w:val="en-AU"/>
        </w:rPr>
        <w:t>partners to work together in a shared and agreeable approach.</w:t>
      </w:r>
      <w:r>
        <w:rPr>
          <w:rFonts w:ascii="Calibri" w:hAnsi="Calibri" w:cs="Calibri"/>
          <w:sz w:val="22"/>
          <w:szCs w:val="22"/>
          <w:lang w:val="en-AU"/>
        </w:rPr>
        <w:t xml:space="preserve"> This </w:t>
      </w:r>
      <w:r w:rsidRPr="0081051A">
        <w:rPr>
          <w:rFonts w:ascii="Calibri" w:hAnsi="Calibri" w:cs="Calibri"/>
          <w:sz w:val="22"/>
          <w:szCs w:val="22"/>
          <w:lang w:val="en-AU"/>
        </w:rPr>
        <w:t>may add more complexity regarding management and oversight</w:t>
      </w:r>
      <w:r>
        <w:rPr>
          <w:rFonts w:ascii="Calibri" w:hAnsi="Calibri" w:cs="Calibri"/>
          <w:sz w:val="22"/>
          <w:szCs w:val="22"/>
          <w:lang w:val="en-AU"/>
        </w:rPr>
        <w:t>,</w:t>
      </w:r>
      <w:r w:rsidRPr="0081051A">
        <w:rPr>
          <w:rFonts w:ascii="Calibri" w:hAnsi="Calibri" w:cs="Calibri"/>
          <w:sz w:val="22"/>
          <w:szCs w:val="22"/>
          <w:lang w:val="en-AU"/>
        </w:rPr>
        <w:t xml:space="preserve"> but provides potential broader coverage and reach, promoting enhanced effectiveness.</w:t>
      </w:r>
      <w:r>
        <w:rPr>
          <w:rFonts w:ascii="Calibri" w:hAnsi="Calibri" w:cs="Calibri"/>
          <w:sz w:val="22"/>
          <w:szCs w:val="22"/>
          <w:lang w:val="en-AU"/>
        </w:rPr>
        <w:t xml:space="preserve"> </w:t>
      </w:r>
    </w:p>
    <w:p w14:paraId="397BEEB2" w14:textId="77777777" w:rsidR="002B2A40" w:rsidRPr="00C723E0" w:rsidRDefault="002B2A40" w:rsidP="002B2A40">
      <w:pPr>
        <w:pStyle w:val="BodyText2"/>
        <w:spacing w:line="240" w:lineRule="auto"/>
        <w:jc w:val="both"/>
        <w:rPr>
          <w:rFonts w:ascii="Calibri" w:hAnsi="Calibri" w:cs="Calibri"/>
          <w:sz w:val="22"/>
          <w:szCs w:val="22"/>
          <w:lang w:val="en-AU"/>
        </w:rPr>
      </w:pPr>
      <w:r w:rsidRPr="00C723E0">
        <w:rPr>
          <w:rFonts w:ascii="Calibri" w:hAnsi="Calibri" w:cs="Calibri"/>
          <w:b/>
          <w:bCs/>
          <w:sz w:val="22"/>
          <w:szCs w:val="22"/>
          <w:lang w:val="en-AU"/>
        </w:rPr>
        <w:t>Recommendation 5:</w:t>
      </w:r>
      <w:r w:rsidRPr="00C723E0">
        <w:rPr>
          <w:rFonts w:ascii="Calibri" w:hAnsi="Calibri" w:cs="Calibri"/>
          <w:sz w:val="22"/>
          <w:szCs w:val="22"/>
          <w:lang w:val="en-AU"/>
        </w:rPr>
        <w:t xml:space="preserve"> Future partnership arrangements should contain a structured and specific approach to MEL. While the current program has significantly restructured its approach to MEL, there is scope to continue to build on and leverage this, particularly with the future use of an MEL resource</w:t>
      </w:r>
      <w:r>
        <w:rPr>
          <w:rFonts w:ascii="Calibri" w:hAnsi="Calibri" w:cs="Calibri"/>
          <w:sz w:val="22"/>
          <w:szCs w:val="22"/>
          <w:lang w:val="en-AU"/>
        </w:rPr>
        <w:t xml:space="preserve"> to prepare more outcome-focused knowledge products such as case studies and performance stories. </w:t>
      </w:r>
    </w:p>
    <w:p w14:paraId="5669EBA0" w14:textId="4E7ECB8F" w:rsidR="00251454" w:rsidRPr="00C723E0" w:rsidRDefault="00251454" w:rsidP="00251454">
      <w:pPr>
        <w:pStyle w:val="BodyText"/>
        <w:rPr>
          <w:rFonts w:cs="Calibri"/>
          <w:lang w:val="en-AU"/>
        </w:rPr>
      </w:pPr>
      <w:r w:rsidRPr="00C723E0">
        <w:rPr>
          <w:rFonts w:cs="Calibri"/>
          <w:lang w:val="en-AU"/>
        </w:rPr>
        <w:br w:type="page"/>
      </w:r>
    </w:p>
    <w:p w14:paraId="71540A15" w14:textId="47ECA396" w:rsidR="00251454" w:rsidRPr="004F052F" w:rsidRDefault="00F76090" w:rsidP="004F052F">
      <w:pPr>
        <w:pStyle w:val="Heading1"/>
      </w:pPr>
      <w:bookmarkStart w:id="10" w:name="_Toc201131761"/>
      <w:bookmarkStart w:id="11" w:name="_Toc206675813"/>
      <w:r w:rsidRPr="004F052F">
        <w:lastRenderedPageBreak/>
        <w:t>Introduction</w:t>
      </w:r>
      <w:bookmarkEnd w:id="10"/>
      <w:bookmarkEnd w:id="11"/>
    </w:p>
    <w:p w14:paraId="7A46E76A" w14:textId="1BC95C8F" w:rsidR="00851C7B" w:rsidRPr="00C723E0" w:rsidRDefault="00851C7B" w:rsidP="00355865">
      <w:pPr>
        <w:pStyle w:val="BodyText"/>
        <w:jc w:val="both"/>
        <w:rPr>
          <w:rFonts w:cs="Calibri"/>
          <w:szCs w:val="22"/>
          <w:lang w:val="en-AU"/>
        </w:rPr>
      </w:pPr>
      <w:r w:rsidRPr="00C723E0">
        <w:rPr>
          <w:rFonts w:cs="Calibri"/>
          <w:szCs w:val="22"/>
          <w:lang w:val="en-AU"/>
        </w:rPr>
        <w:t xml:space="preserve">This report outlines the key findings and associated recommendations of the final evaluation of the </w:t>
      </w:r>
      <w:r w:rsidR="00334500" w:rsidRPr="00C723E0">
        <w:rPr>
          <w:rFonts w:cs="Calibri"/>
          <w:i/>
          <w:iCs/>
          <w:szCs w:val="22"/>
          <w:lang w:val="en-AU"/>
        </w:rPr>
        <w:t>IFC</w:t>
      </w:r>
      <w:r w:rsidR="00D66D6E" w:rsidRPr="00C723E0">
        <w:rPr>
          <w:rFonts w:cs="Calibri"/>
          <w:szCs w:val="22"/>
          <w:lang w:val="en-AU"/>
        </w:rPr>
        <w:t xml:space="preserve"> </w:t>
      </w:r>
      <w:r w:rsidRPr="00C723E0">
        <w:rPr>
          <w:rFonts w:cs="Calibri"/>
          <w:i/>
          <w:iCs/>
          <w:szCs w:val="22"/>
          <w:lang w:val="en-AU"/>
        </w:rPr>
        <w:t xml:space="preserve">Fiji Private Sector Development Partnership (FPSDP) </w:t>
      </w:r>
      <w:r w:rsidRPr="00C723E0">
        <w:rPr>
          <w:rFonts w:cs="Calibri"/>
          <w:szCs w:val="22"/>
          <w:lang w:val="en-AU"/>
        </w:rPr>
        <w:t>program. The FPSDP is a 4-year AUD8 million investment funded by the Government of Australia (Go</w:t>
      </w:r>
      <w:r w:rsidR="007B17C3" w:rsidRPr="00C723E0">
        <w:rPr>
          <w:rFonts w:cs="Calibri"/>
          <w:szCs w:val="22"/>
          <w:lang w:val="en-AU"/>
        </w:rPr>
        <w:t>A</w:t>
      </w:r>
      <w:r w:rsidRPr="00C723E0">
        <w:rPr>
          <w:rFonts w:cs="Calibri"/>
          <w:szCs w:val="22"/>
          <w:lang w:val="en-AU"/>
        </w:rPr>
        <w:t>) through the Department of Foreign Affairs and Trade (DFAT) and implemented by the International Finance Corporation (IFC)</w:t>
      </w:r>
      <w:r w:rsidRPr="00C723E0">
        <w:rPr>
          <w:rStyle w:val="FootnoteReference"/>
          <w:rFonts w:cs="Calibri"/>
          <w:szCs w:val="22"/>
          <w:lang w:val="en-AU"/>
        </w:rPr>
        <w:footnoteReference w:id="3"/>
      </w:r>
      <w:r w:rsidRPr="00C723E0">
        <w:rPr>
          <w:rFonts w:cs="Calibri"/>
          <w:szCs w:val="22"/>
          <w:lang w:val="en-AU"/>
        </w:rPr>
        <w:t>.</w:t>
      </w:r>
    </w:p>
    <w:p w14:paraId="6E26F65E" w14:textId="7DA2959A" w:rsidR="00851C7B" w:rsidRPr="00C723E0" w:rsidRDefault="009E7CC3" w:rsidP="00355865">
      <w:pPr>
        <w:pStyle w:val="BodyText"/>
        <w:jc w:val="both"/>
        <w:rPr>
          <w:rFonts w:cs="Calibri"/>
          <w:szCs w:val="22"/>
          <w:lang w:val="en-AU"/>
        </w:rPr>
      </w:pPr>
      <w:r w:rsidRPr="00C723E0">
        <w:rPr>
          <w:rFonts w:cs="Calibri"/>
          <w:szCs w:val="22"/>
          <w:lang w:val="en-AU"/>
        </w:rPr>
        <w:t xml:space="preserve">The final evaluation was completed over the period March-May 2025. </w:t>
      </w:r>
      <w:r w:rsidR="00851C7B" w:rsidRPr="00C723E0">
        <w:rPr>
          <w:rFonts w:cs="Calibri"/>
          <w:szCs w:val="22"/>
          <w:lang w:val="en-AU"/>
        </w:rPr>
        <w:t xml:space="preserve">The evaluation </w:t>
      </w:r>
      <w:r w:rsidRPr="00C723E0">
        <w:rPr>
          <w:rFonts w:cs="Calibri"/>
          <w:szCs w:val="22"/>
          <w:lang w:val="en-AU"/>
        </w:rPr>
        <w:t>comprised</w:t>
      </w:r>
      <w:r w:rsidR="00851C7B" w:rsidRPr="00C723E0">
        <w:rPr>
          <w:rFonts w:cs="Calibri"/>
          <w:szCs w:val="22"/>
          <w:lang w:val="en-AU"/>
        </w:rPr>
        <w:t xml:space="preserve"> a desk review of available documents, a field mission to F</w:t>
      </w:r>
      <w:r w:rsidRPr="00C723E0">
        <w:rPr>
          <w:rFonts w:cs="Calibri"/>
          <w:szCs w:val="22"/>
          <w:lang w:val="en-AU"/>
        </w:rPr>
        <w:t>i</w:t>
      </w:r>
      <w:r w:rsidR="00851C7B" w:rsidRPr="00C723E0">
        <w:rPr>
          <w:rFonts w:cs="Calibri"/>
          <w:szCs w:val="22"/>
          <w:lang w:val="en-AU"/>
        </w:rPr>
        <w:t xml:space="preserve">ji from </w:t>
      </w:r>
      <w:r w:rsidR="007B46AD" w:rsidRPr="00C723E0">
        <w:rPr>
          <w:rFonts w:cs="Calibri"/>
          <w:szCs w:val="22"/>
          <w:lang w:val="en-AU"/>
        </w:rPr>
        <w:t>7-11</w:t>
      </w:r>
      <w:r w:rsidR="00851C7B" w:rsidRPr="00C723E0">
        <w:rPr>
          <w:rFonts w:cs="Calibri"/>
          <w:szCs w:val="22"/>
          <w:lang w:val="en-AU"/>
        </w:rPr>
        <w:t xml:space="preserve"> April 2025 and a mix of online and face-</w:t>
      </w:r>
      <w:r w:rsidR="00262EF7" w:rsidRPr="00C723E0">
        <w:rPr>
          <w:rFonts w:cs="Calibri"/>
          <w:szCs w:val="22"/>
          <w:lang w:val="en-AU"/>
        </w:rPr>
        <w:t>to-</w:t>
      </w:r>
      <w:r w:rsidR="00851C7B" w:rsidRPr="00C723E0">
        <w:rPr>
          <w:rFonts w:cs="Calibri"/>
          <w:szCs w:val="22"/>
          <w:lang w:val="en-AU"/>
        </w:rPr>
        <w:t>face interviews.</w:t>
      </w:r>
      <w:r w:rsidRPr="00C723E0">
        <w:rPr>
          <w:rFonts w:cs="Calibri"/>
          <w:szCs w:val="22"/>
          <w:lang w:val="en-AU"/>
        </w:rPr>
        <w:t xml:space="preserve"> A total of </w:t>
      </w:r>
      <w:r w:rsidR="009C00FB" w:rsidRPr="00C723E0">
        <w:rPr>
          <w:rFonts w:cs="Calibri"/>
          <w:szCs w:val="22"/>
          <w:lang w:val="en-AU"/>
        </w:rPr>
        <w:t>47</w:t>
      </w:r>
      <w:r w:rsidRPr="00C723E0">
        <w:rPr>
          <w:rFonts w:cs="Calibri"/>
          <w:szCs w:val="22"/>
          <w:lang w:val="en-AU"/>
        </w:rPr>
        <w:t xml:space="preserve"> people (</w:t>
      </w:r>
      <w:r w:rsidR="009C00FB" w:rsidRPr="00C723E0">
        <w:rPr>
          <w:rFonts w:cs="Calibri"/>
          <w:szCs w:val="22"/>
          <w:lang w:val="en-AU"/>
        </w:rPr>
        <w:t>22</w:t>
      </w:r>
      <w:r w:rsidRPr="00C723E0">
        <w:rPr>
          <w:rFonts w:cs="Calibri"/>
          <w:szCs w:val="22"/>
          <w:lang w:val="en-AU"/>
        </w:rPr>
        <w:t xml:space="preserve"> male and </w:t>
      </w:r>
      <w:r w:rsidR="009C00FB" w:rsidRPr="00C723E0">
        <w:rPr>
          <w:rFonts w:cs="Calibri"/>
          <w:szCs w:val="22"/>
          <w:lang w:val="en-AU"/>
        </w:rPr>
        <w:t>25</w:t>
      </w:r>
      <w:r w:rsidRPr="00C723E0">
        <w:rPr>
          <w:rFonts w:cs="Calibri"/>
          <w:szCs w:val="22"/>
          <w:lang w:val="en-AU"/>
        </w:rPr>
        <w:t xml:space="preserve"> female) participated in various consultations, interviews and engagements to contribute to the final evaluation.</w:t>
      </w:r>
      <w:r w:rsidR="00851C7B" w:rsidRPr="00C723E0">
        <w:rPr>
          <w:rFonts w:cs="Calibri"/>
          <w:szCs w:val="22"/>
          <w:lang w:val="en-AU"/>
        </w:rPr>
        <w:t xml:space="preserve"> </w:t>
      </w:r>
      <w:r w:rsidR="00126D14" w:rsidRPr="00C723E0">
        <w:rPr>
          <w:rFonts w:cs="Calibri"/>
          <w:szCs w:val="22"/>
          <w:lang w:val="en-AU"/>
        </w:rPr>
        <w:t>The Terms of Reference (ToR) for the final evaluation is included as Annex 1.</w:t>
      </w:r>
    </w:p>
    <w:p w14:paraId="77A108CE" w14:textId="4857D27A" w:rsidR="00F76090" w:rsidRPr="004F052F" w:rsidRDefault="00F76090" w:rsidP="004F052F">
      <w:pPr>
        <w:pStyle w:val="Heading1"/>
      </w:pPr>
      <w:bookmarkStart w:id="12" w:name="_Toc201131762"/>
      <w:bookmarkStart w:id="13" w:name="_Toc206675814"/>
      <w:r w:rsidRPr="004F052F">
        <w:t>Program Background</w:t>
      </w:r>
      <w:bookmarkEnd w:id="12"/>
      <w:bookmarkEnd w:id="13"/>
    </w:p>
    <w:p w14:paraId="6737BE76" w14:textId="015D951E" w:rsidR="00851C7B" w:rsidRPr="00C723E0" w:rsidRDefault="00851C7B" w:rsidP="00355865">
      <w:pPr>
        <w:autoSpaceDE w:val="0"/>
        <w:autoSpaceDN w:val="0"/>
        <w:adjustRightInd w:val="0"/>
        <w:spacing w:after="120"/>
        <w:jc w:val="both"/>
        <w:rPr>
          <w:rFonts w:ascii="Calibri" w:hAnsi="Calibri" w:cs="Calibri"/>
          <w:color w:val="000000" w:themeColor="text1"/>
          <w:sz w:val="22"/>
          <w:szCs w:val="22"/>
          <w:lang w:val="en-AU"/>
        </w:rPr>
      </w:pPr>
      <w:r w:rsidRPr="00C723E0">
        <w:rPr>
          <w:rFonts w:ascii="Calibri" w:eastAsiaTheme="minorHAnsi" w:hAnsi="Calibri" w:cs="Calibri"/>
          <w:color w:val="000000" w:themeColor="text1"/>
          <w:sz w:val="22"/>
          <w:szCs w:val="22"/>
          <w:lang w:val="en-AU"/>
        </w:rPr>
        <w:t xml:space="preserve">The FPSDP </w:t>
      </w:r>
      <w:r w:rsidR="00126D14" w:rsidRPr="00C723E0">
        <w:rPr>
          <w:rFonts w:ascii="Calibri" w:eastAsiaTheme="minorHAnsi" w:hAnsi="Calibri" w:cs="Calibri"/>
          <w:color w:val="000000" w:themeColor="text1"/>
          <w:sz w:val="22"/>
          <w:szCs w:val="22"/>
          <w:lang w:val="en-AU"/>
        </w:rPr>
        <w:t>commenced implementation</w:t>
      </w:r>
      <w:r w:rsidR="00CD0625" w:rsidRPr="00C723E0">
        <w:rPr>
          <w:rFonts w:ascii="Calibri" w:eastAsiaTheme="minorHAnsi" w:hAnsi="Calibri" w:cs="Calibri"/>
          <w:color w:val="000000" w:themeColor="text1"/>
          <w:sz w:val="22"/>
          <w:szCs w:val="22"/>
          <w:lang w:val="en-AU"/>
        </w:rPr>
        <w:t xml:space="preserve"> in January 2022</w:t>
      </w:r>
      <w:r w:rsidR="00126D14" w:rsidRPr="00C723E0">
        <w:rPr>
          <w:rFonts w:ascii="Calibri" w:eastAsiaTheme="minorHAnsi" w:hAnsi="Calibri" w:cs="Calibri"/>
          <w:color w:val="000000" w:themeColor="text1"/>
          <w:sz w:val="22"/>
          <w:szCs w:val="22"/>
          <w:lang w:val="en-AU"/>
        </w:rPr>
        <w:t xml:space="preserve"> following the signing of an agreement</w:t>
      </w:r>
      <w:r w:rsidRPr="00C723E0">
        <w:rPr>
          <w:rFonts w:ascii="Calibri" w:eastAsiaTheme="minorHAnsi" w:hAnsi="Calibri" w:cs="Calibri"/>
          <w:color w:val="000000" w:themeColor="text1"/>
          <w:sz w:val="22"/>
          <w:szCs w:val="22"/>
          <w:lang w:val="en-AU"/>
        </w:rPr>
        <w:t xml:space="preserve"> between </w:t>
      </w:r>
      <w:r w:rsidRPr="00C723E0">
        <w:rPr>
          <w:rFonts w:ascii="Calibri" w:hAnsi="Calibri" w:cs="Calibri"/>
          <w:color w:val="000000" w:themeColor="text1"/>
          <w:sz w:val="22"/>
          <w:szCs w:val="22"/>
          <w:lang w:val="en-AU"/>
        </w:rPr>
        <w:t>the GoA</w:t>
      </w:r>
      <w:r w:rsidRPr="00C723E0">
        <w:rPr>
          <w:rFonts w:ascii="Calibri" w:eastAsiaTheme="minorHAnsi" w:hAnsi="Calibri" w:cs="Calibri"/>
          <w:color w:val="000000" w:themeColor="text1"/>
          <w:sz w:val="22"/>
          <w:szCs w:val="22"/>
          <w:lang w:val="en-AU"/>
        </w:rPr>
        <w:t xml:space="preserve"> and</w:t>
      </w:r>
      <w:r w:rsidR="00BD6F87" w:rsidRPr="00C723E0">
        <w:rPr>
          <w:rFonts w:ascii="Calibri" w:eastAsiaTheme="minorHAnsi" w:hAnsi="Calibri" w:cs="Calibri"/>
          <w:color w:val="000000" w:themeColor="text1"/>
          <w:sz w:val="22"/>
          <w:szCs w:val="22"/>
          <w:lang w:val="en-AU"/>
        </w:rPr>
        <w:t xml:space="preserve"> </w:t>
      </w:r>
      <w:r w:rsidRPr="00C723E0">
        <w:rPr>
          <w:rFonts w:ascii="Calibri" w:eastAsiaTheme="minorHAnsi" w:hAnsi="Calibri" w:cs="Calibri"/>
          <w:color w:val="000000" w:themeColor="text1"/>
          <w:sz w:val="22"/>
          <w:szCs w:val="22"/>
          <w:lang w:val="en-AU"/>
        </w:rPr>
        <w:t>IFC in December 2021. Th</w:t>
      </w:r>
      <w:r w:rsidRPr="00C723E0">
        <w:rPr>
          <w:rFonts w:ascii="Calibri" w:hAnsi="Calibri" w:cs="Calibri"/>
          <w:color w:val="000000" w:themeColor="text1"/>
          <w:sz w:val="22"/>
          <w:szCs w:val="22"/>
          <w:lang w:val="en-AU"/>
        </w:rPr>
        <w:t xml:space="preserve">e initial </w:t>
      </w:r>
      <w:r w:rsidRPr="00C723E0">
        <w:rPr>
          <w:rFonts w:ascii="Calibri" w:eastAsiaTheme="minorHAnsi" w:hAnsi="Calibri" w:cs="Calibri"/>
          <w:color w:val="000000" w:themeColor="text1"/>
          <w:sz w:val="22"/>
          <w:szCs w:val="22"/>
          <w:lang w:val="en-AU"/>
        </w:rPr>
        <w:t>agreement</w:t>
      </w:r>
      <w:r w:rsidR="00126D14" w:rsidRPr="00C723E0">
        <w:rPr>
          <w:rFonts w:ascii="Calibri" w:eastAsiaTheme="minorHAnsi" w:hAnsi="Calibri" w:cs="Calibri"/>
          <w:color w:val="000000" w:themeColor="text1"/>
          <w:sz w:val="22"/>
          <w:szCs w:val="22"/>
          <w:lang w:val="en-AU"/>
        </w:rPr>
        <w:t xml:space="preserve"> </w:t>
      </w:r>
      <w:r w:rsidRPr="00C723E0">
        <w:rPr>
          <w:rFonts w:ascii="Calibri" w:hAnsi="Calibri" w:cs="Calibri"/>
          <w:color w:val="000000" w:themeColor="text1"/>
          <w:sz w:val="22"/>
          <w:szCs w:val="22"/>
          <w:lang w:val="en-AU"/>
        </w:rPr>
        <w:t>covered</w:t>
      </w:r>
      <w:r w:rsidRPr="00C723E0">
        <w:rPr>
          <w:rFonts w:ascii="Calibri" w:eastAsiaTheme="minorHAnsi" w:hAnsi="Calibri" w:cs="Calibri"/>
          <w:color w:val="000000" w:themeColor="text1"/>
          <w:sz w:val="22"/>
          <w:szCs w:val="22"/>
          <w:lang w:val="en-AU"/>
        </w:rPr>
        <w:t xml:space="preserve"> the period between</w:t>
      </w:r>
      <w:r w:rsidRPr="00C723E0">
        <w:rPr>
          <w:rFonts w:ascii="Calibri" w:hAnsi="Calibri" w:cs="Calibri"/>
          <w:color w:val="000000" w:themeColor="text1"/>
          <w:sz w:val="22"/>
          <w:szCs w:val="22"/>
          <w:lang w:val="en-AU"/>
        </w:rPr>
        <w:t xml:space="preserve"> 1</w:t>
      </w:r>
      <w:r w:rsidRPr="00C723E0">
        <w:rPr>
          <w:rFonts w:ascii="Calibri" w:eastAsiaTheme="minorHAnsi" w:hAnsi="Calibri" w:cs="Calibri"/>
          <w:color w:val="000000" w:themeColor="text1"/>
          <w:sz w:val="22"/>
          <w:szCs w:val="22"/>
          <w:lang w:val="en-AU"/>
        </w:rPr>
        <w:t xml:space="preserve"> January 2022</w:t>
      </w:r>
      <w:r w:rsidR="00126D14" w:rsidRPr="00C723E0">
        <w:rPr>
          <w:rFonts w:ascii="Calibri" w:eastAsiaTheme="minorHAnsi" w:hAnsi="Calibri" w:cs="Calibri"/>
          <w:color w:val="000000" w:themeColor="text1"/>
          <w:sz w:val="22"/>
          <w:szCs w:val="22"/>
          <w:lang w:val="en-AU"/>
        </w:rPr>
        <w:t xml:space="preserve"> </w:t>
      </w:r>
      <w:r w:rsidRPr="00C723E0">
        <w:rPr>
          <w:rFonts w:ascii="Calibri" w:eastAsiaTheme="minorHAnsi" w:hAnsi="Calibri" w:cs="Calibri"/>
          <w:color w:val="000000" w:themeColor="text1"/>
          <w:sz w:val="22"/>
          <w:szCs w:val="22"/>
          <w:lang w:val="en-AU"/>
        </w:rPr>
        <w:t xml:space="preserve">and </w:t>
      </w:r>
      <w:r w:rsidRPr="00C723E0">
        <w:rPr>
          <w:rFonts w:ascii="Calibri" w:hAnsi="Calibri" w:cs="Calibri"/>
          <w:color w:val="000000" w:themeColor="text1"/>
          <w:sz w:val="22"/>
          <w:szCs w:val="22"/>
          <w:lang w:val="en-AU"/>
        </w:rPr>
        <w:t xml:space="preserve">31 </w:t>
      </w:r>
      <w:r w:rsidRPr="00C723E0">
        <w:rPr>
          <w:rFonts w:ascii="Calibri" w:eastAsiaTheme="minorHAnsi" w:hAnsi="Calibri" w:cs="Calibri"/>
          <w:color w:val="000000" w:themeColor="text1"/>
          <w:sz w:val="22"/>
          <w:szCs w:val="22"/>
          <w:lang w:val="en-AU"/>
        </w:rPr>
        <w:t>December</w:t>
      </w:r>
      <w:r w:rsidR="00355865" w:rsidRPr="00C723E0">
        <w:rPr>
          <w:rFonts w:ascii="Calibri" w:hAnsi="Calibri" w:cs="Calibri"/>
          <w:color w:val="000000" w:themeColor="text1"/>
          <w:sz w:val="22"/>
          <w:szCs w:val="22"/>
          <w:lang w:val="en-AU"/>
        </w:rPr>
        <w:t xml:space="preserve"> 2025</w:t>
      </w:r>
      <w:r w:rsidR="00126D14" w:rsidRPr="00C723E0">
        <w:rPr>
          <w:rFonts w:ascii="Calibri" w:eastAsiaTheme="minorHAnsi" w:hAnsi="Calibri" w:cs="Calibri"/>
          <w:color w:val="000000" w:themeColor="text1"/>
          <w:sz w:val="22"/>
          <w:szCs w:val="22"/>
          <w:lang w:val="en-AU"/>
        </w:rPr>
        <w:t>. The Go</w:t>
      </w:r>
      <w:r w:rsidR="00BD6F87" w:rsidRPr="00C723E0">
        <w:rPr>
          <w:rFonts w:ascii="Calibri" w:eastAsiaTheme="minorHAnsi" w:hAnsi="Calibri" w:cs="Calibri"/>
          <w:color w:val="000000" w:themeColor="text1"/>
          <w:sz w:val="22"/>
          <w:szCs w:val="22"/>
          <w:lang w:val="en-AU"/>
        </w:rPr>
        <w:t>A</w:t>
      </w:r>
      <w:r w:rsidR="00126D14" w:rsidRPr="00C723E0">
        <w:rPr>
          <w:rFonts w:ascii="Calibri" w:eastAsiaTheme="minorHAnsi" w:hAnsi="Calibri" w:cs="Calibri"/>
          <w:color w:val="000000" w:themeColor="text1"/>
          <w:sz w:val="22"/>
          <w:szCs w:val="22"/>
          <w:lang w:val="en-AU"/>
        </w:rPr>
        <w:t xml:space="preserve">’s </w:t>
      </w:r>
      <w:r w:rsidRPr="00C723E0">
        <w:rPr>
          <w:rFonts w:ascii="Calibri" w:eastAsiaTheme="minorHAnsi" w:hAnsi="Calibri" w:cs="Calibri"/>
          <w:color w:val="000000" w:themeColor="text1"/>
          <w:sz w:val="22"/>
          <w:szCs w:val="22"/>
          <w:lang w:val="en-AU"/>
        </w:rPr>
        <w:t xml:space="preserve">contribution </w:t>
      </w:r>
      <w:r w:rsidR="00126D14" w:rsidRPr="00C723E0">
        <w:rPr>
          <w:rFonts w:ascii="Calibri" w:eastAsiaTheme="minorHAnsi" w:hAnsi="Calibri" w:cs="Calibri"/>
          <w:color w:val="000000" w:themeColor="text1"/>
          <w:sz w:val="22"/>
          <w:szCs w:val="22"/>
          <w:lang w:val="en-AU"/>
        </w:rPr>
        <w:t xml:space="preserve">for the implementation period was </w:t>
      </w:r>
      <w:r w:rsidRPr="00C723E0">
        <w:rPr>
          <w:rFonts w:ascii="Calibri" w:eastAsiaTheme="minorHAnsi" w:hAnsi="Calibri" w:cs="Calibri"/>
          <w:color w:val="000000" w:themeColor="text1"/>
          <w:sz w:val="22"/>
          <w:szCs w:val="22"/>
          <w:lang w:val="en-AU"/>
        </w:rPr>
        <w:t>AUD$</w:t>
      </w:r>
      <w:r w:rsidR="00BD6F87" w:rsidRPr="00C723E0">
        <w:rPr>
          <w:rFonts w:ascii="Calibri" w:eastAsiaTheme="minorHAnsi" w:hAnsi="Calibri" w:cs="Calibri"/>
          <w:color w:val="000000" w:themeColor="text1"/>
          <w:sz w:val="22"/>
          <w:szCs w:val="22"/>
          <w:lang w:val="en-AU"/>
        </w:rPr>
        <w:t xml:space="preserve"> </w:t>
      </w:r>
      <w:r w:rsidRPr="00C723E0">
        <w:rPr>
          <w:rFonts w:ascii="Calibri" w:eastAsiaTheme="minorHAnsi" w:hAnsi="Calibri" w:cs="Calibri"/>
          <w:color w:val="000000" w:themeColor="text1"/>
          <w:sz w:val="22"/>
          <w:szCs w:val="22"/>
          <w:lang w:val="en-AU"/>
        </w:rPr>
        <w:t>8 million</w:t>
      </w:r>
      <w:r w:rsidR="00126D14" w:rsidRPr="00C723E0">
        <w:rPr>
          <w:rFonts w:ascii="Calibri" w:eastAsiaTheme="minorHAnsi" w:hAnsi="Calibri" w:cs="Calibri"/>
          <w:color w:val="000000" w:themeColor="text1"/>
          <w:sz w:val="22"/>
          <w:szCs w:val="22"/>
          <w:lang w:val="en-AU"/>
        </w:rPr>
        <w:t>.</w:t>
      </w:r>
    </w:p>
    <w:p w14:paraId="77B88452" w14:textId="17782A65" w:rsidR="00355865" w:rsidRPr="00C723E0" w:rsidRDefault="00355865" w:rsidP="00355865">
      <w:pPr>
        <w:autoSpaceDE w:val="0"/>
        <w:autoSpaceDN w:val="0"/>
        <w:adjustRightInd w:val="0"/>
        <w:spacing w:after="120"/>
        <w:jc w:val="both"/>
        <w:rPr>
          <w:rFonts w:ascii="Calibri" w:eastAsiaTheme="minorHAnsi" w:hAnsi="Calibri" w:cs="Calibri"/>
          <w:kern w:val="2"/>
          <w:sz w:val="22"/>
          <w:szCs w:val="22"/>
          <w:lang w:val="en-AU"/>
        </w:rPr>
      </w:pPr>
      <w:r w:rsidRPr="00C723E0">
        <w:rPr>
          <w:rFonts w:ascii="Calibri" w:hAnsi="Calibri" w:cs="Calibri"/>
          <w:sz w:val="22"/>
          <w:szCs w:val="22"/>
          <w:lang w:val="en-AU"/>
        </w:rPr>
        <w:t xml:space="preserve">The FPSDP is an investment by which DFAT supports IFC activities in Fiji. Developed from the shared but distinct policy interests of both parties, the overall goal of </w:t>
      </w:r>
      <w:r w:rsidR="00126D14" w:rsidRPr="00C723E0">
        <w:rPr>
          <w:rFonts w:ascii="Calibri" w:hAnsi="Calibri" w:cs="Calibri"/>
          <w:sz w:val="22"/>
          <w:szCs w:val="22"/>
          <w:lang w:val="en-AU"/>
        </w:rPr>
        <w:t xml:space="preserve">the </w:t>
      </w:r>
      <w:r w:rsidRPr="00C723E0">
        <w:rPr>
          <w:rFonts w:ascii="Calibri" w:hAnsi="Calibri" w:cs="Calibri"/>
          <w:sz w:val="22"/>
          <w:szCs w:val="22"/>
          <w:lang w:val="en-AU"/>
        </w:rPr>
        <w:t xml:space="preserve">multi-year advisory program </w:t>
      </w:r>
      <w:r w:rsidR="00126D14" w:rsidRPr="00C723E0">
        <w:rPr>
          <w:rFonts w:ascii="Calibri" w:hAnsi="Calibri" w:cs="Calibri"/>
          <w:sz w:val="22"/>
          <w:szCs w:val="22"/>
          <w:lang w:val="en-AU"/>
        </w:rPr>
        <w:t xml:space="preserve">was </w:t>
      </w:r>
      <w:r w:rsidRPr="00C723E0">
        <w:rPr>
          <w:rFonts w:ascii="Calibri" w:hAnsi="Calibri" w:cs="Calibri"/>
          <w:sz w:val="22"/>
          <w:szCs w:val="22"/>
          <w:lang w:val="en-AU"/>
        </w:rPr>
        <w:t xml:space="preserve">to enhance the </w:t>
      </w:r>
      <w:r w:rsidR="00BD6F87" w:rsidRPr="00C723E0">
        <w:rPr>
          <w:rFonts w:ascii="Calibri" w:hAnsi="Calibri" w:cs="Calibri"/>
          <w:sz w:val="22"/>
          <w:szCs w:val="22"/>
          <w:lang w:val="en-AU"/>
        </w:rPr>
        <w:t>private sector's competitiveness and diversification</w:t>
      </w:r>
      <w:r w:rsidRPr="00C723E0">
        <w:rPr>
          <w:rFonts w:ascii="Calibri" w:hAnsi="Calibri" w:cs="Calibri"/>
          <w:sz w:val="22"/>
          <w:szCs w:val="22"/>
          <w:lang w:val="en-AU"/>
        </w:rPr>
        <w:t xml:space="preserve"> and foster inclusive and sustainable COVID recovery and economic growth. </w:t>
      </w:r>
    </w:p>
    <w:p w14:paraId="4868846E" w14:textId="5769CE30" w:rsidR="00851C7B" w:rsidRPr="00C723E0" w:rsidRDefault="00851C7B" w:rsidP="00355865">
      <w:pPr>
        <w:autoSpaceDE w:val="0"/>
        <w:autoSpaceDN w:val="0"/>
        <w:adjustRightInd w:val="0"/>
        <w:spacing w:after="120"/>
        <w:jc w:val="both"/>
        <w:rPr>
          <w:rFonts w:ascii="Calibri" w:eastAsiaTheme="minorHAnsi" w:hAnsi="Calibri" w:cs="Calibri"/>
          <w:color w:val="000000" w:themeColor="text1"/>
          <w:sz w:val="22"/>
          <w:szCs w:val="22"/>
          <w:lang w:val="en-AU"/>
        </w:rPr>
      </w:pPr>
      <w:r w:rsidRPr="00C723E0">
        <w:rPr>
          <w:rFonts w:ascii="Calibri" w:eastAsiaTheme="minorHAnsi" w:hAnsi="Calibri" w:cs="Calibri"/>
          <w:color w:val="000000" w:themeColor="text1"/>
          <w:sz w:val="22"/>
          <w:szCs w:val="22"/>
          <w:lang w:val="en-AU"/>
        </w:rPr>
        <w:t xml:space="preserve">Through </w:t>
      </w:r>
      <w:r w:rsidRPr="00C723E0">
        <w:rPr>
          <w:rFonts w:ascii="Calibri" w:hAnsi="Calibri" w:cs="Calibri"/>
          <w:color w:val="000000" w:themeColor="text1"/>
          <w:sz w:val="22"/>
          <w:szCs w:val="22"/>
          <w:lang w:val="en-AU"/>
        </w:rPr>
        <w:t xml:space="preserve">the </w:t>
      </w:r>
      <w:r w:rsidRPr="00C723E0">
        <w:rPr>
          <w:rFonts w:ascii="Calibri" w:eastAsiaTheme="minorHAnsi" w:hAnsi="Calibri" w:cs="Calibri"/>
          <w:color w:val="000000" w:themeColor="text1"/>
          <w:sz w:val="22"/>
          <w:szCs w:val="22"/>
          <w:lang w:val="en-AU"/>
        </w:rPr>
        <w:t>Partnership,</w:t>
      </w:r>
      <w:r w:rsidRPr="00C723E0">
        <w:rPr>
          <w:rFonts w:ascii="Calibri" w:hAnsi="Calibri" w:cs="Calibri"/>
          <w:color w:val="000000" w:themeColor="text1"/>
          <w:sz w:val="22"/>
          <w:szCs w:val="22"/>
          <w:lang w:val="en-AU"/>
        </w:rPr>
        <w:t xml:space="preserve"> </w:t>
      </w:r>
      <w:r w:rsidRPr="00C723E0">
        <w:rPr>
          <w:rFonts w:ascii="Calibri" w:eastAsiaTheme="minorHAnsi" w:hAnsi="Calibri" w:cs="Calibri"/>
          <w:color w:val="000000" w:themeColor="text1"/>
          <w:sz w:val="22"/>
          <w:szCs w:val="22"/>
          <w:lang w:val="en-AU"/>
        </w:rPr>
        <w:t xml:space="preserve">IFC </w:t>
      </w:r>
      <w:r w:rsidR="002348E5" w:rsidRPr="00C723E0">
        <w:rPr>
          <w:rFonts w:ascii="Calibri" w:eastAsiaTheme="minorHAnsi" w:hAnsi="Calibri" w:cs="Calibri"/>
          <w:color w:val="000000" w:themeColor="text1"/>
          <w:sz w:val="22"/>
          <w:szCs w:val="22"/>
          <w:lang w:val="en-AU"/>
        </w:rPr>
        <w:t xml:space="preserve">has </w:t>
      </w:r>
      <w:r w:rsidRPr="00C723E0">
        <w:rPr>
          <w:rFonts w:ascii="Calibri" w:eastAsiaTheme="minorHAnsi" w:hAnsi="Calibri" w:cs="Calibri"/>
          <w:color w:val="000000" w:themeColor="text1"/>
          <w:sz w:val="22"/>
          <w:szCs w:val="22"/>
          <w:lang w:val="en-AU"/>
        </w:rPr>
        <w:t>focus</w:t>
      </w:r>
      <w:r w:rsidRPr="00C723E0">
        <w:rPr>
          <w:rFonts w:ascii="Calibri" w:hAnsi="Calibri" w:cs="Calibri"/>
          <w:color w:val="000000" w:themeColor="text1"/>
          <w:sz w:val="22"/>
          <w:szCs w:val="22"/>
          <w:lang w:val="en-AU"/>
        </w:rPr>
        <w:t>ed</w:t>
      </w:r>
      <w:r w:rsidRPr="00C723E0">
        <w:rPr>
          <w:rFonts w:ascii="Calibri" w:eastAsiaTheme="minorHAnsi" w:hAnsi="Calibri" w:cs="Calibri"/>
          <w:color w:val="000000" w:themeColor="text1"/>
          <w:sz w:val="22"/>
          <w:szCs w:val="22"/>
          <w:lang w:val="en-AU"/>
        </w:rPr>
        <w:t xml:space="preserve"> on creating opportunities for inclusive, sustainable private investment, initially in support of COVID-19 recovery, and </w:t>
      </w:r>
      <w:r w:rsidRPr="00C723E0">
        <w:rPr>
          <w:rFonts w:ascii="Calibri" w:hAnsi="Calibri" w:cs="Calibri"/>
          <w:color w:val="000000" w:themeColor="text1"/>
          <w:sz w:val="22"/>
          <w:szCs w:val="22"/>
          <w:lang w:val="en-AU"/>
        </w:rPr>
        <w:t>more recently</w:t>
      </w:r>
      <w:r w:rsidRPr="00C723E0">
        <w:rPr>
          <w:rFonts w:ascii="Calibri" w:eastAsiaTheme="minorHAnsi" w:hAnsi="Calibri" w:cs="Calibri"/>
          <w:color w:val="000000" w:themeColor="text1"/>
          <w:sz w:val="22"/>
          <w:szCs w:val="22"/>
          <w:lang w:val="en-AU"/>
        </w:rPr>
        <w:t xml:space="preserve"> to foster medium-term economic growth through targeted advisory</w:t>
      </w:r>
      <w:r w:rsidRPr="00C723E0">
        <w:rPr>
          <w:rFonts w:ascii="Calibri" w:hAnsi="Calibri" w:cs="Calibri"/>
          <w:color w:val="000000" w:themeColor="text1"/>
          <w:sz w:val="22"/>
          <w:szCs w:val="22"/>
          <w:lang w:val="en-AU"/>
        </w:rPr>
        <w:t xml:space="preserve"> </w:t>
      </w:r>
      <w:r w:rsidRPr="00C723E0">
        <w:rPr>
          <w:rFonts w:ascii="Calibri" w:eastAsiaTheme="minorHAnsi" w:hAnsi="Calibri" w:cs="Calibri"/>
          <w:color w:val="000000" w:themeColor="text1"/>
          <w:sz w:val="22"/>
          <w:szCs w:val="22"/>
          <w:lang w:val="en-AU"/>
        </w:rPr>
        <w:t xml:space="preserve">interventions. The FPSDP </w:t>
      </w:r>
      <w:r w:rsidR="00126D14" w:rsidRPr="00C723E0">
        <w:rPr>
          <w:rFonts w:ascii="Calibri" w:eastAsiaTheme="minorHAnsi" w:hAnsi="Calibri" w:cs="Calibri"/>
          <w:color w:val="000000" w:themeColor="text1"/>
          <w:sz w:val="22"/>
          <w:szCs w:val="22"/>
          <w:lang w:val="en-AU"/>
        </w:rPr>
        <w:t xml:space="preserve">sought </w:t>
      </w:r>
      <w:r w:rsidRPr="00C723E0">
        <w:rPr>
          <w:rFonts w:ascii="Calibri" w:eastAsiaTheme="minorHAnsi" w:hAnsi="Calibri" w:cs="Calibri"/>
          <w:color w:val="000000" w:themeColor="text1"/>
          <w:sz w:val="22"/>
          <w:szCs w:val="22"/>
          <w:lang w:val="en-AU"/>
        </w:rPr>
        <w:t>to lock in resilient, gender and climate-smart private sector development into Fiji’s long</w:t>
      </w:r>
      <w:r w:rsidRPr="00C723E0">
        <w:rPr>
          <w:rFonts w:ascii="Calibri" w:hAnsi="Calibri" w:cs="Calibri"/>
          <w:color w:val="000000" w:themeColor="text1"/>
          <w:sz w:val="22"/>
          <w:szCs w:val="22"/>
          <w:lang w:val="en-AU"/>
        </w:rPr>
        <w:t>-</w:t>
      </w:r>
      <w:r w:rsidRPr="00C723E0">
        <w:rPr>
          <w:rFonts w:ascii="Calibri" w:eastAsiaTheme="minorHAnsi" w:hAnsi="Calibri" w:cs="Calibri"/>
          <w:color w:val="000000" w:themeColor="text1"/>
          <w:sz w:val="22"/>
          <w:szCs w:val="22"/>
          <w:lang w:val="en-AU"/>
        </w:rPr>
        <w:t>term development trajectory through three mutually reinforcing pillars</w:t>
      </w:r>
      <w:r w:rsidRPr="00C723E0">
        <w:rPr>
          <w:rFonts w:ascii="Calibri" w:hAnsi="Calibri" w:cs="Calibri"/>
          <w:color w:val="000000" w:themeColor="text1"/>
          <w:sz w:val="22"/>
          <w:szCs w:val="22"/>
          <w:lang w:val="en-AU"/>
        </w:rPr>
        <w:t>.</w:t>
      </w:r>
    </w:p>
    <w:p w14:paraId="28164FF7" w14:textId="77777777" w:rsidR="00355865" w:rsidRPr="00C723E0" w:rsidRDefault="00355865" w:rsidP="00355865">
      <w:pPr>
        <w:autoSpaceDE w:val="0"/>
        <w:autoSpaceDN w:val="0"/>
        <w:adjustRightInd w:val="0"/>
        <w:spacing w:after="120"/>
        <w:jc w:val="center"/>
        <w:rPr>
          <w:rFonts w:ascii="Calibri" w:hAnsi="Calibri" w:cs="Calibri"/>
          <w:sz w:val="22"/>
          <w:szCs w:val="22"/>
          <w:lang w:val="en-AU"/>
        </w:rPr>
      </w:pPr>
      <w:r w:rsidRPr="00C723E0">
        <w:rPr>
          <w:rFonts w:ascii="Calibri" w:hAnsi="Calibri" w:cs="Calibri"/>
          <w:noProof/>
          <w:sz w:val="22"/>
          <w:szCs w:val="22"/>
          <w:lang w:val="en-AU"/>
        </w:rPr>
        <w:lastRenderedPageBreak/>
        <w:drawing>
          <wp:inline distT="0" distB="0" distL="0" distR="0" wp14:anchorId="656AAA70" wp14:editId="5462379B">
            <wp:extent cx="4669010" cy="3035968"/>
            <wp:effectExtent l="0" t="0" r="5080" b="0"/>
            <wp:docPr id="497781061" name="Picture 1" descr="The image provides a pictoral representation of the 3 pillars in the partnership which are described in text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81061" name="Picture 1" descr="The image provides a pictoral representation of the 3 pillars in the partnership which are described in text below the image."/>
                    <pic:cNvPicPr/>
                  </pic:nvPicPr>
                  <pic:blipFill>
                    <a:blip r:embed="rId20">
                      <a:extLst>
                        <a:ext uri="{28A0092B-C50C-407E-A947-70E740481C1C}">
                          <a14:useLocalDpi xmlns:a14="http://schemas.microsoft.com/office/drawing/2010/main" val="0"/>
                        </a:ext>
                      </a:extLst>
                    </a:blip>
                    <a:stretch>
                      <a:fillRect/>
                    </a:stretch>
                  </pic:blipFill>
                  <pic:spPr>
                    <a:xfrm>
                      <a:off x="0" y="0"/>
                      <a:ext cx="4730773" cy="3076129"/>
                    </a:xfrm>
                    <a:prstGeom prst="rect">
                      <a:avLst/>
                    </a:prstGeom>
                  </pic:spPr>
                </pic:pic>
              </a:graphicData>
            </a:graphic>
          </wp:inline>
        </w:drawing>
      </w:r>
    </w:p>
    <w:p w14:paraId="7B06779D" w14:textId="2E37DD93" w:rsidR="00355865" w:rsidRPr="00C723E0" w:rsidRDefault="00355865" w:rsidP="00355865">
      <w:pPr>
        <w:autoSpaceDE w:val="0"/>
        <w:autoSpaceDN w:val="0"/>
        <w:adjustRightInd w:val="0"/>
        <w:spacing w:after="120"/>
        <w:jc w:val="both"/>
        <w:rPr>
          <w:rFonts w:ascii="Calibri" w:hAnsi="Calibri" w:cs="Calibri"/>
          <w:sz w:val="22"/>
          <w:szCs w:val="22"/>
          <w:lang w:val="en-AU"/>
        </w:rPr>
      </w:pPr>
      <w:r w:rsidRPr="00C723E0">
        <w:rPr>
          <w:rFonts w:ascii="Calibri" w:hAnsi="Calibri" w:cs="Calibri"/>
          <w:b/>
          <w:bCs/>
          <w:sz w:val="22"/>
          <w:szCs w:val="22"/>
          <w:lang w:val="en-AU"/>
        </w:rPr>
        <w:t xml:space="preserve">Pillar 1—Enabling Environment for the Private Sector: </w:t>
      </w:r>
      <w:r w:rsidRPr="00C723E0">
        <w:rPr>
          <w:rFonts w:ascii="Calibri" w:hAnsi="Calibri" w:cs="Calibri"/>
          <w:sz w:val="22"/>
          <w:szCs w:val="22"/>
          <w:lang w:val="en-AU"/>
        </w:rPr>
        <w:t xml:space="preserve">Interventions under this pillar </w:t>
      </w:r>
      <w:r w:rsidR="00126D14" w:rsidRPr="00C723E0">
        <w:rPr>
          <w:rFonts w:ascii="Calibri" w:hAnsi="Calibri" w:cs="Calibri"/>
          <w:sz w:val="22"/>
          <w:szCs w:val="22"/>
          <w:lang w:val="en-AU"/>
        </w:rPr>
        <w:t>were</w:t>
      </w:r>
      <w:r w:rsidRPr="00C723E0">
        <w:rPr>
          <w:rFonts w:ascii="Calibri" w:hAnsi="Calibri" w:cs="Calibri"/>
          <w:sz w:val="22"/>
          <w:szCs w:val="22"/>
          <w:lang w:val="en-AU"/>
        </w:rPr>
        <w:t xml:space="preserve"> geared towards improving the business enabling environment—legal and regulatory—through reforms that create a more attractive national business environment for inclusive private investment in the wake of COVID-19 across key sectors.</w:t>
      </w:r>
    </w:p>
    <w:p w14:paraId="4227CDC7" w14:textId="502140A0" w:rsidR="00355865" w:rsidRPr="00C723E0" w:rsidRDefault="00126D14" w:rsidP="00355865">
      <w:pPr>
        <w:autoSpaceDE w:val="0"/>
        <w:autoSpaceDN w:val="0"/>
        <w:adjustRightInd w:val="0"/>
        <w:spacing w:after="120"/>
        <w:jc w:val="both"/>
        <w:rPr>
          <w:rFonts w:ascii="Calibri" w:hAnsi="Calibri" w:cs="Calibri"/>
          <w:sz w:val="22"/>
          <w:szCs w:val="22"/>
          <w:lang w:val="en-AU"/>
        </w:rPr>
      </w:pPr>
      <w:r w:rsidRPr="00C723E0">
        <w:rPr>
          <w:rFonts w:ascii="Calibri" w:hAnsi="Calibri" w:cs="Calibri"/>
          <w:sz w:val="22"/>
          <w:szCs w:val="22"/>
          <w:lang w:val="en-AU"/>
        </w:rPr>
        <w:t>The i</w:t>
      </w:r>
      <w:r w:rsidR="00355865" w:rsidRPr="00C723E0">
        <w:rPr>
          <w:rFonts w:ascii="Calibri" w:hAnsi="Calibri" w:cs="Calibri"/>
          <w:sz w:val="22"/>
          <w:szCs w:val="22"/>
          <w:lang w:val="en-AU"/>
        </w:rPr>
        <w:t>ntended outcomes of Pillar 1 include</w:t>
      </w:r>
      <w:r w:rsidRPr="00C723E0">
        <w:rPr>
          <w:rFonts w:ascii="Calibri" w:hAnsi="Calibri" w:cs="Calibri"/>
          <w:sz w:val="22"/>
          <w:szCs w:val="22"/>
          <w:lang w:val="en-AU"/>
        </w:rPr>
        <w:t>d</w:t>
      </w:r>
      <w:r w:rsidR="00355865" w:rsidRPr="00C723E0">
        <w:rPr>
          <w:rFonts w:ascii="Calibri" w:hAnsi="Calibri" w:cs="Calibri"/>
          <w:sz w:val="22"/>
          <w:szCs w:val="22"/>
          <w:lang w:val="en-AU"/>
        </w:rPr>
        <w:t xml:space="preserve"> an i</w:t>
      </w:r>
      <w:r w:rsidR="00355865" w:rsidRPr="00C723E0">
        <w:rPr>
          <w:rFonts w:ascii="Calibri" w:hAnsi="Calibri" w:cs="Calibri"/>
          <w:i/>
          <w:iCs/>
          <w:sz w:val="22"/>
          <w:szCs w:val="22"/>
          <w:lang w:val="en-AU"/>
        </w:rPr>
        <w:t>mproved legal and regulatory environment through implementing reforms that respond to private sector needs</w:t>
      </w:r>
      <w:r w:rsidR="00355865" w:rsidRPr="00C723E0">
        <w:rPr>
          <w:rFonts w:ascii="Calibri" w:hAnsi="Calibri" w:cs="Calibri"/>
          <w:sz w:val="22"/>
          <w:szCs w:val="22"/>
          <w:lang w:val="en-AU"/>
        </w:rPr>
        <w:t xml:space="preserve"> and </w:t>
      </w:r>
      <w:r w:rsidR="00355865" w:rsidRPr="00C723E0">
        <w:rPr>
          <w:rFonts w:ascii="Calibri" w:hAnsi="Calibri" w:cs="Calibri"/>
          <w:i/>
          <w:iCs/>
          <w:sz w:val="22"/>
          <w:szCs w:val="22"/>
          <w:lang w:val="en-AU"/>
        </w:rPr>
        <w:t>improved predictability, accountability, and transparency of Government-to-Business (G2B) services that respond to private sector needs.</w:t>
      </w:r>
    </w:p>
    <w:p w14:paraId="0C0E1BFF" w14:textId="16915324" w:rsidR="00355865" w:rsidRPr="00C723E0" w:rsidRDefault="00355865" w:rsidP="00355865">
      <w:pPr>
        <w:autoSpaceDE w:val="0"/>
        <w:autoSpaceDN w:val="0"/>
        <w:adjustRightInd w:val="0"/>
        <w:spacing w:after="120"/>
        <w:jc w:val="both"/>
        <w:rPr>
          <w:rFonts w:ascii="Calibri" w:hAnsi="Calibri" w:cs="Calibri"/>
          <w:sz w:val="22"/>
          <w:szCs w:val="22"/>
          <w:lang w:val="en-AU"/>
        </w:rPr>
      </w:pPr>
      <w:r w:rsidRPr="00C723E0">
        <w:rPr>
          <w:rFonts w:ascii="Calibri" w:hAnsi="Calibri" w:cs="Calibri"/>
          <w:b/>
          <w:bCs/>
          <w:sz w:val="22"/>
          <w:szCs w:val="22"/>
          <w:lang w:val="en-AU"/>
        </w:rPr>
        <w:t>Pillar 2 - Accelerating inclusive and climate-smart private investment in key growth sectors:</w:t>
      </w:r>
      <w:r w:rsidRPr="00C723E0">
        <w:rPr>
          <w:rFonts w:ascii="Calibri" w:hAnsi="Calibri" w:cs="Calibri"/>
          <w:sz w:val="22"/>
          <w:szCs w:val="22"/>
          <w:lang w:val="en-AU"/>
        </w:rPr>
        <w:t xml:space="preserve"> </w:t>
      </w:r>
      <w:r w:rsidR="00126D14" w:rsidRPr="00C723E0">
        <w:rPr>
          <w:rFonts w:ascii="Calibri" w:hAnsi="Calibri" w:cs="Calibri"/>
          <w:sz w:val="22"/>
          <w:szCs w:val="22"/>
          <w:lang w:val="en-AU"/>
        </w:rPr>
        <w:t>The Pillar focused on c</w:t>
      </w:r>
      <w:r w:rsidRPr="00C723E0">
        <w:rPr>
          <w:rFonts w:ascii="Calibri" w:hAnsi="Calibri" w:cs="Calibri"/>
          <w:sz w:val="22"/>
          <w:szCs w:val="22"/>
          <w:lang w:val="en-AU"/>
        </w:rPr>
        <w:t xml:space="preserve">reating concrete opportunities for facilitating private sector investment, including direct investment by IFC, in key sectors, including tourism, infrastructure, agriculture, and the financial sector, whilst advancing climate change mitigation and adaptation and to support a gender-equal recovery from COVID-19. The intended outcome </w:t>
      </w:r>
      <w:r w:rsidR="00126D14" w:rsidRPr="00C723E0">
        <w:rPr>
          <w:rFonts w:ascii="Calibri" w:hAnsi="Calibri" w:cs="Calibri"/>
          <w:sz w:val="22"/>
          <w:szCs w:val="22"/>
          <w:lang w:val="en-AU"/>
        </w:rPr>
        <w:t>was</w:t>
      </w:r>
      <w:r w:rsidRPr="00C723E0">
        <w:rPr>
          <w:rFonts w:ascii="Calibri" w:hAnsi="Calibri" w:cs="Calibri"/>
          <w:sz w:val="22"/>
          <w:szCs w:val="22"/>
          <w:lang w:val="en-AU"/>
        </w:rPr>
        <w:t xml:space="preserve"> </w:t>
      </w:r>
      <w:r w:rsidRPr="00C723E0">
        <w:rPr>
          <w:rFonts w:ascii="Calibri" w:hAnsi="Calibri" w:cs="Calibri"/>
          <w:i/>
          <w:iCs/>
          <w:sz w:val="22"/>
          <w:szCs w:val="22"/>
          <w:lang w:val="en-AU"/>
        </w:rPr>
        <w:t>a pipeline of potentially bankable and climate-smart private investments across key growth sectors, including tourism, infrastructure, Agro business and finance.</w:t>
      </w:r>
    </w:p>
    <w:p w14:paraId="1454AACE" w14:textId="6F64B875" w:rsidR="00355865" w:rsidRPr="00C723E0" w:rsidRDefault="00355865" w:rsidP="00355865">
      <w:pPr>
        <w:autoSpaceDE w:val="0"/>
        <w:autoSpaceDN w:val="0"/>
        <w:adjustRightInd w:val="0"/>
        <w:spacing w:after="120"/>
        <w:jc w:val="both"/>
        <w:rPr>
          <w:rFonts w:ascii="Calibri" w:hAnsi="Calibri" w:cs="Calibri"/>
          <w:sz w:val="22"/>
          <w:szCs w:val="22"/>
          <w:lang w:val="en-AU"/>
        </w:rPr>
      </w:pPr>
      <w:r w:rsidRPr="00C723E0">
        <w:rPr>
          <w:rFonts w:ascii="Calibri" w:hAnsi="Calibri" w:cs="Calibri"/>
          <w:b/>
          <w:bCs/>
          <w:sz w:val="22"/>
          <w:szCs w:val="22"/>
          <w:lang w:val="en-AU"/>
        </w:rPr>
        <w:t xml:space="preserve">Pillar 3 - Enhancing Standards &amp; Gender Inclusion: </w:t>
      </w:r>
      <w:r w:rsidRPr="00C723E0">
        <w:rPr>
          <w:rFonts w:ascii="Calibri" w:hAnsi="Calibri" w:cs="Calibri"/>
          <w:sz w:val="22"/>
          <w:szCs w:val="22"/>
          <w:lang w:val="en-AU"/>
        </w:rPr>
        <w:t>Adopting best practices in Environmental and Social Governance (ESG) and accelerating women’s economic empowerment by addressing key barriers to women’s participation, including childcare and</w:t>
      </w:r>
      <w:r w:rsidR="007B17C3" w:rsidRPr="00C723E0">
        <w:rPr>
          <w:rFonts w:ascii="Calibri" w:hAnsi="Calibri" w:cs="Calibri"/>
          <w:sz w:val="22"/>
          <w:szCs w:val="22"/>
          <w:lang w:val="en-AU"/>
        </w:rPr>
        <w:t xml:space="preserve"> Gender Based Violence (</w:t>
      </w:r>
      <w:r w:rsidRPr="00C723E0">
        <w:rPr>
          <w:rFonts w:ascii="Calibri" w:hAnsi="Calibri" w:cs="Calibri"/>
          <w:sz w:val="22"/>
          <w:szCs w:val="22"/>
          <w:lang w:val="en-AU"/>
        </w:rPr>
        <w:t>GBV</w:t>
      </w:r>
      <w:r w:rsidR="007B17C3" w:rsidRPr="00C723E0">
        <w:rPr>
          <w:rFonts w:ascii="Calibri" w:hAnsi="Calibri" w:cs="Calibri"/>
          <w:sz w:val="22"/>
          <w:szCs w:val="22"/>
          <w:lang w:val="en-AU"/>
        </w:rPr>
        <w:t>)</w:t>
      </w:r>
      <w:r w:rsidRPr="00C723E0">
        <w:rPr>
          <w:rFonts w:ascii="Calibri" w:hAnsi="Calibri" w:cs="Calibri"/>
          <w:sz w:val="22"/>
          <w:szCs w:val="22"/>
          <w:lang w:val="en-AU"/>
        </w:rPr>
        <w:t>. Intended outcomes include</w:t>
      </w:r>
      <w:r w:rsidR="00126D14" w:rsidRPr="00C723E0">
        <w:rPr>
          <w:rFonts w:ascii="Calibri" w:hAnsi="Calibri" w:cs="Calibri"/>
          <w:sz w:val="22"/>
          <w:szCs w:val="22"/>
          <w:lang w:val="en-AU"/>
        </w:rPr>
        <w:t>d</w:t>
      </w:r>
      <w:r w:rsidRPr="00C723E0">
        <w:rPr>
          <w:rFonts w:ascii="Calibri" w:hAnsi="Calibri" w:cs="Calibri"/>
          <w:sz w:val="22"/>
          <w:szCs w:val="22"/>
          <w:lang w:val="en-AU"/>
        </w:rPr>
        <w:t xml:space="preserve"> </w:t>
      </w:r>
      <w:r w:rsidRPr="00C723E0">
        <w:rPr>
          <w:rFonts w:ascii="Calibri" w:hAnsi="Calibri" w:cs="Calibri"/>
          <w:i/>
          <w:iCs/>
          <w:sz w:val="22"/>
          <w:szCs w:val="22"/>
          <w:lang w:val="en-AU"/>
        </w:rPr>
        <w:t>new financial products and services developed, including those that aim to increase access to financial services for women in women-owned enterprises, adoption of climate-smart solutions by companies in Fiji, increased uptake of gender-inclusive practices by firms, and use of best practice CG and industry standards by companies.</w:t>
      </w:r>
    </w:p>
    <w:p w14:paraId="0F2957E9" w14:textId="0605474F" w:rsidR="00355865" w:rsidRPr="00C723E0" w:rsidRDefault="00355865" w:rsidP="00355865">
      <w:pPr>
        <w:autoSpaceDE w:val="0"/>
        <w:autoSpaceDN w:val="0"/>
        <w:adjustRightInd w:val="0"/>
        <w:spacing w:after="120"/>
        <w:jc w:val="both"/>
        <w:rPr>
          <w:rFonts w:ascii="Calibri" w:hAnsi="Calibri" w:cs="Calibri"/>
          <w:sz w:val="22"/>
          <w:szCs w:val="22"/>
          <w:lang w:val="en-AU"/>
        </w:rPr>
      </w:pPr>
      <w:r w:rsidRPr="00C723E0">
        <w:rPr>
          <w:rFonts w:ascii="Calibri" w:hAnsi="Calibri" w:cs="Calibri"/>
          <w:sz w:val="22"/>
          <w:szCs w:val="22"/>
          <w:lang w:val="en-AU"/>
        </w:rPr>
        <w:t xml:space="preserve">FPSDP implementation </w:t>
      </w:r>
      <w:r w:rsidR="00126D14" w:rsidRPr="00C723E0">
        <w:rPr>
          <w:rFonts w:ascii="Calibri" w:hAnsi="Calibri" w:cs="Calibri"/>
          <w:sz w:val="22"/>
          <w:szCs w:val="22"/>
          <w:lang w:val="en-AU"/>
        </w:rPr>
        <w:t>was</w:t>
      </w:r>
      <w:r w:rsidRPr="00C723E0">
        <w:rPr>
          <w:rFonts w:ascii="Calibri" w:hAnsi="Calibri" w:cs="Calibri"/>
          <w:sz w:val="22"/>
          <w:szCs w:val="22"/>
          <w:lang w:val="en-AU"/>
        </w:rPr>
        <w:t xml:space="preserve"> undertaken through various IFC projects that aim</w:t>
      </w:r>
      <w:r w:rsidR="00126D14" w:rsidRPr="00C723E0">
        <w:rPr>
          <w:rFonts w:ascii="Calibri" w:hAnsi="Calibri" w:cs="Calibri"/>
          <w:sz w:val="22"/>
          <w:szCs w:val="22"/>
          <w:lang w:val="en-AU"/>
        </w:rPr>
        <w:t>ed</w:t>
      </w:r>
      <w:r w:rsidRPr="00C723E0">
        <w:rPr>
          <w:rFonts w:ascii="Calibri" w:hAnsi="Calibri" w:cs="Calibri"/>
          <w:sz w:val="22"/>
          <w:szCs w:val="22"/>
          <w:lang w:val="en-AU"/>
        </w:rPr>
        <w:t xml:space="preserve"> to </w:t>
      </w:r>
      <w:r w:rsidR="00BD6F87" w:rsidRPr="00C723E0">
        <w:rPr>
          <w:rFonts w:ascii="Calibri" w:hAnsi="Calibri" w:cs="Calibri"/>
          <w:sz w:val="22"/>
          <w:szCs w:val="22"/>
          <w:lang w:val="en-AU"/>
        </w:rPr>
        <w:t>significantly contribute</w:t>
      </w:r>
      <w:r w:rsidRPr="00C723E0">
        <w:rPr>
          <w:rFonts w:ascii="Calibri" w:hAnsi="Calibri" w:cs="Calibri"/>
          <w:sz w:val="22"/>
          <w:szCs w:val="22"/>
          <w:lang w:val="en-AU"/>
        </w:rPr>
        <w:t xml:space="preserve"> to the three program pillars outlined above. The projects </w:t>
      </w:r>
      <w:r w:rsidR="00BD6F87" w:rsidRPr="00C723E0">
        <w:rPr>
          <w:rFonts w:ascii="Calibri" w:hAnsi="Calibri" w:cs="Calibri"/>
          <w:sz w:val="22"/>
          <w:szCs w:val="22"/>
          <w:lang w:val="en-AU"/>
        </w:rPr>
        <w:t>we</w:t>
      </w:r>
      <w:r w:rsidRPr="00C723E0">
        <w:rPr>
          <w:rFonts w:ascii="Calibri" w:hAnsi="Calibri" w:cs="Calibri"/>
          <w:sz w:val="22"/>
          <w:szCs w:val="22"/>
          <w:lang w:val="en-AU"/>
        </w:rPr>
        <w:t>re identified and designed through in-country analysis and consultation with the GoF</w:t>
      </w:r>
      <w:r w:rsidR="00126D14" w:rsidRPr="00C723E0">
        <w:rPr>
          <w:rFonts w:ascii="Calibri" w:hAnsi="Calibri" w:cs="Calibri"/>
          <w:sz w:val="22"/>
          <w:szCs w:val="22"/>
          <w:lang w:val="en-AU"/>
        </w:rPr>
        <w:t xml:space="preserve"> (and with the G</w:t>
      </w:r>
      <w:r w:rsidR="00CD0625" w:rsidRPr="00C723E0">
        <w:rPr>
          <w:rFonts w:ascii="Calibri" w:hAnsi="Calibri" w:cs="Calibri"/>
          <w:sz w:val="22"/>
          <w:szCs w:val="22"/>
          <w:lang w:val="en-AU"/>
        </w:rPr>
        <w:t>o</w:t>
      </w:r>
      <w:r w:rsidR="00126D14" w:rsidRPr="00C723E0">
        <w:rPr>
          <w:rFonts w:ascii="Calibri" w:hAnsi="Calibri" w:cs="Calibri"/>
          <w:sz w:val="22"/>
          <w:szCs w:val="22"/>
          <w:lang w:val="en-AU"/>
        </w:rPr>
        <w:t>A and DFAT)</w:t>
      </w:r>
      <w:r w:rsidRPr="00C723E0">
        <w:rPr>
          <w:rFonts w:ascii="Calibri" w:hAnsi="Calibri" w:cs="Calibri"/>
          <w:sz w:val="22"/>
          <w:szCs w:val="22"/>
          <w:lang w:val="en-AU"/>
        </w:rPr>
        <w:t>, and each ha</w:t>
      </w:r>
      <w:r w:rsidR="00BD6F87" w:rsidRPr="00C723E0">
        <w:rPr>
          <w:rFonts w:ascii="Calibri" w:hAnsi="Calibri" w:cs="Calibri"/>
          <w:sz w:val="22"/>
          <w:szCs w:val="22"/>
          <w:lang w:val="en-AU"/>
        </w:rPr>
        <w:t>d</w:t>
      </w:r>
      <w:r w:rsidRPr="00C723E0">
        <w:rPr>
          <w:rFonts w:ascii="Calibri" w:hAnsi="Calibri" w:cs="Calibri"/>
          <w:sz w:val="22"/>
          <w:szCs w:val="22"/>
          <w:lang w:val="en-AU"/>
        </w:rPr>
        <w:t xml:space="preserve"> its internal logic and intended results. These derive from the strategy that guides the World Bank Group’s (WBG) work in Fiji. </w:t>
      </w:r>
    </w:p>
    <w:p w14:paraId="401E4C87" w14:textId="39B19945" w:rsidR="00490235" w:rsidRDefault="00355865" w:rsidP="00355865">
      <w:pPr>
        <w:autoSpaceDE w:val="0"/>
        <w:autoSpaceDN w:val="0"/>
        <w:adjustRightInd w:val="0"/>
        <w:spacing w:after="120"/>
        <w:jc w:val="both"/>
        <w:rPr>
          <w:rFonts w:ascii="Calibri" w:hAnsi="Calibri" w:cs="Calibri"/>
          <w:sz w:val="22"/>
          <w:szCs w:val="22"/>
          <w:lang w:val="en-AU"/>
        </w:rPr>
      </w:pPr>
      <w:r w:rsidRPr="00C723E0">
        <w:rPr>
          <w:rFonts w:ascii="Calibri" w:hAnsi="Calibri" w:cs="Calibri"/>
          <w:sz w:val="22"/>
          <w:szCs w:val="22"/>
          <w:lang w:val="en-AU"/>
        </w:rPr>
        <w:t xml:space="preserve">FPSDP </w:t>
      </w:r>
      <w:r w:rsidR="00126D14" w:rsidRPr="00C723E0">
        <w:rPr>
          <w:rFonts w:ascii="Calibri" w:hAnsi="Calibri" w:cs="Calibri"/>
          <w:sz w:val="22"/>
          <w:szCs w:val="22"/>
          <w:lang w:val="en-AU"/>
        </w:rPr>
        <w:t xml:space="preserve">was </w:t>
      </w:r>
      <w:r w:rsidRPr="00C723E0">
        <w:rPr>
          <w:rFonts w:ascii="Calibri" w:hAnsi="Calibri" w:cs="Calibri"/>
          <w:sz w:val="22"/>
          <w:szCs w:val="22"/>
          <w:lang w:val="en-AU"/>
        </w:rPr>
        <w:t xml:space="preserve">designed as an overall project or program with a simple linear connection to specific results. It is a description of the work IFC undertakes (groups of projects), which </w:t>
      </w:r>
      <w:r w:rsidR="00126D14" w:rsidRPr="00C723E0">
        <w:rPr>
          <w:rFonts w:ascii="Calibri" w:hAnsi="Calibri" w:cs="Calibri"/>
          <w:sz w:val="22"/>
          <w:szCs w:val="22"/>
          <w:lang w:val="en-AU"/>
        </w:rPr>
        <w:t xml:space="preserve">the partnership </w:t>
      </w:r>
      <w:r w:rsidRPr="00C723E0">
        <w:rPr>
          <w:rFonts w:ascii="Calibri" w:hAnsi="Calibri" w:cs="Calibri"/>
          <w:sz w:val="22"/>
          <w:szCs w:val="22"/>
          <w:lang w:val="en-AU"/>
        </w:rPr>
        <w:t>expect</w:t>
      </w:r>
      <w:r w:rsidR="0076585E" w:rsidRPr="00C723E0">
        <w:rPr>
          <w:rFonts w:ascii="Calibri" w:hAnsi="Calibri" w:cs="Calibri"/>
          <w:sz w:val="22"/>
          <w:szCs w:val="22"/>
          <w:lang w:val="en-AU"/>
        </w:rPr>
        <w:t>s</w:t>
      </w:r>
      <w:r w:rsidRPr="00C723E0">
        <w:rPr>
          <w:rFonts w:ascii="Calibri" w:hAnsi="Calibri" w:cs="Calibri"/>
          <w:sz w:val="22"/>
          <w:szCs w:val="22"/>
          <w:lang w:val="en-AU"/>
        </w:rPr>
        <w:t xml:space="preserve"> to </w:t>
      </w:r>
      <w:r w:rsidR="00BD6F87" w:rsidRPr="00C723E0">
        <w:rPr>
          <w:rFonts w:ascii="Calibri" w:hAnsi="Calibri" w:cs="Calibri"/>
          <w:sz w:val="22"/>
          <w:szCs w:val="22"/>
          <w:lang w:val="en-AU"/>
        </w:rPr>
        <w:lastRenderedPageBreak/>
        <w:t>contribute to progress across the three pillars significantly</w:t>
      </w:r>
      <w:r w:rsidRPr="00C723E0">
        <w:rPr>
          <w:rFonts w:ascii="Calibri" w:hAnsi="Calibri" w:cs="Calibri"/>
          <w:sz w:val="22"/>
          <w:szCs w:val="22"/>
          <w:lang w:val="en-AU"/>
        </w:rPr>
        <w:t>.</w:t>
      </w:r>
      <w:r w:rsidR="004F7724">
        <w:rPr>
          <w:rFonts w:ascii="Calibri" w:hAnsi="Calibri" w:cs="Calibri"/>
          <w:sz w:val="22"/>
          <w:szCs w:val="22"/>
          <w:lang w:val="en-AU"/>
        </w:rPr>
        <w:t xml:space="preserve"> Table 1 below summarises all projects funded under the partnership.</w:t>
      </w:r>
    </w:p>
    <w:p w14:paraId="2D25B724" w14:textId="7D1826AE" w:rsidR="00490235" w:rsidRPr="004F7724" w:rsidRDefault="004F7724" w:rsidP="004F7724">
      <w:pPr>
        <w:pStyle w:val="Caption"/>
        <w:rPr>
          <w:rFonts w:ascii="Calibri" w:hAnsi="Calibri" w:cs="Calibri"/>
          <w:i/>
          <w:iCs/>
          <w:lang w:val="en-AU"/>
        </w:rPr>
      </w:pPr>
      <w:r w:rsidRPr="004F7724">
        <w:rPr>
          <w:rFonts w:ascii="Calibri" w:hAnsi="Calibri" w:cs="Calibri"/>
          <w:color w:val="000000"/>
        </w:rPr>
        <w:t>Table 1: IFC-Fiji Private Sector Development Partnership Portfolio Summary</w:t>
      </w:r>
      <w:r w:rsidRPr="004F7724" w:rsidDel="004F7724">
        <w:rPr>
          <w:rFonts w:ascii="Calibri" w:hAnsi="Calibri" w:cs="Calibri"/>
          <w:i/>
          <w:iCs/>
          <w:lang w:val="en-AU"/>
        </w:rPr>
        <w:t xml:space="preserve">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789"/>
        <w:gridCol w:w="2208"/>
        <w:gridCol w:w="1099"/>
        <w:gridCol w:w="1137"/>
        <w:gridCol w:w="1052"/>
      </w:tblGrid>
      <w:tr w:rsidR="004F7724" w:rsidRPr="004F7724" w14:paraId="703872D4" w14:textId="77777777" w:rsidTr="00A92E99">
        <w:trPr>
          <w:trHeight w:val="440"/>
          <w:tblHeader/>
        </w:trPr>
        <w:tc>
          <w:tcPr>
            <w:tcW w:w="1260" w:type="dxa"/>
            <w:shd w:val="clear" w:color="auto" w:fill="C1E4F5" w:themeFill="accent1" w:themeFillTint="33"/>
            <w:vAlign w:val="center"/>
            <w:hideMark/>
          </w:tcPr>
          <w:p w14:paraId="7A6133FD" w14:textId="77777777" w:rsidR="004F7724" w:rsidRPr="004F7724" w:rsidRDefault="004F7724" w:rsidP="00033C5D">
            <w:pPr>
              <w:rPr>
                <w:rFonts w:ascii="Calibri" w:hAnsi="Calibri" w:cs="Calibri"/>
                <w:b/>
                <w:bCs/>
                <w:color w:val="000000"/>
                <w:sz w:val="18"/>
                <w:szCs w:val="18"/>
              </w:rPr>
            </w:pPr>
            <w:r w:rsidRPr="004F7724">
              <w:rPr>
                <w:rFonts w:ascii="Calibri" w:hAnsi="Calibri" w:cs="Calibri"/>
                <w:b/>
                <w:bCs/>
                <w:color w:val="000000"/>
                <w:sz w:val="18"/>
                <w:szCs w:val="18"/>
              </w:rPr>
              <w:t>Project Name</w:t>
            </w:r>
          </w:p>
        </w:tc>
        <w:tc>
          <w:tcPr>
            <w:tcW w:w="2867" w:type="dxa"/>
            <w:shd w:val="clear" w:color="auto" w:fill="C1E4F5" w:themeFill="accent1" w:themeFillTint="33"/>
            <w:vAlign w:val="center"/>
            <w:hideMark/>
          </w:tcPr>
          <w:p w14:paraId="7E14771A" w14:textId="77777777" w:rsidR="004F7724" w:rsidRPr="004F7724" w:rsidRDefault="004F7724" w:rsidP="00033C5D">
            <w:pPr>
              <w:rPr>
                <w:rFonts w:ascii="Calibri" w:hAnsi="Calibri" w:cs="Calibri"/>
                <w:b/>
                <w:bCs/>
                <w:color w:val="000000"/>
                <w:sz w:val="18"/>
                <w:szCs w:val="18"/>
              </w:rPr>
            </w:pPr>
            <w:r w:rsidRPr="004F7724">
              <w:rPr>
                <w:rFonts w:ascii="Calibri" w:hAnsi="Calibri" w:cs="Calibri"/>
                <w:b/>
                <w:bCs/>
                <w:color w:val="000000"/>
                <w:sz w:val="18"/>
                <w:szCs w:val="18"/>
              </w:rPr>
              <w:t>Partnership Pillars</w:t>
            </w:r>
          </w:p>
        </w:tc>
        <w:tc>
          <w:tcPr>
            <w:tcW w:w="2245" w:type="dxa"/>
            <w:shd w:val="clear" w:color="auto" w:fill="C1E4F5" w:themeFill="accent1" w:themeFillTint="33"/>
            <w:vAlign w:val="center"/>
          </w:tcPr>
          <w:p w14:paraId="722A2CEF" w14:textId="77777777" w:rsidR="004F7724" w:rsidRPr="004F7724" w:rsidRDefault="004F7724" w:rsidP="00033C5D">
            <w:pPr>
              <w:rPr>
                <w:rFonts w:ascii="Calibri" w:hAnsi="Calibri" w:cs="Calibri"/>
                <w:b/>
                <w:bCs/>
                <w:color w:val="000000"/>
                <w:sz w:val="18"/>
                <w:szCs w:val="18"/>
              </w:rPr>
            </w:pPr>
            <w:r w:rsidRPr="004F7724">
              <w:rPr>
                <w:rFonts w:ascii="Calibri" w:hAnsi="Calibri" w:cs="Calibri"/>
                <w:b/>
                <w:bCs/>
                <w:color w:val="000000"/>
                <w:sz w:val="18"/>
                <w:szCs w:val="18"/>
              </w:rPr>
              <w:t>Client(s)</w:t>
            </w:r>
          </w:p>
        </w:tc>
        <w:tc>
          <w:tcPr>
            <w:tcW w:w="1107" w:type="dxa"/>
            <w:shd w:val="clear" w:color="auto" w:fill="C1E4F5" w:themeFill="accent1" w:themeFillTint="33"/>
            <w:vAlign w:val="center"/>
            <w:hideMark/>
          </w:tcPr>
          <w:p w14:paraId="570ABCD7" w14:textId="77777777" w:rsidR="004F7724" w:rsidRPr="004F7724" w:rsidRDefault="004F7724" w:rsidP="00033C5D">
            <w:pPr>
              <w:rPr>
                <w:rFonts w:ascii="Calibri" w:hAnsi="Calibri" w:cs="Calibri"/>
                <w:b/>
                <w:bCs/>
                <w:color w:val="000000"/>
                <w:sz w:val="18"/>
                <w:szCs w:val="18"/>
              </w:rPr>
            </w:pPr>
            <w:r w:rsidRPr="004F7724">
              <w:rPr>
                <w:rFonts w:ascii="Calibri" w:hAnsi="Calibri" w:cs="Calibri"/>
                <w:b/>
                <w:bCs/>
                <w:color w:val="000000"/>
                <w:sz w:val="18"/>
                <w:szCs w:val="18"/>
              </w:rPr>
              <w:t>FPSDP Funding</w:t>
            </w:r>
          </w:p>
        </w:tc>
        <w:tc>
          <w:tcPr>
            <w:tcW w:w="1165" w:type="dxa"/>
            <w:shd w:val="clear" w:color="auto" w:fill="C1E4F5" w:themeFill="accent1" w:themeFillTint="33"/>
            <w:vAlign w:val="center"/>
            <w:hideMark/>
          </w:tcPr>
          <w:p w14:paraId="51FB7339" w14:textId="77777777" w:rsidR="004F7724" w:rsidRPr="004F7724" w:rsidRDefault="004F7724" w:rsidP="00033C5D">
            <w:pPr>
              <w:rPr>
                <w:rFonts w:ascii="Calibri" w:hAnsi="Calibri" w:cs="Calibri"/>
                <w:b/>
                <w:bCs/>
                <w:color w:val="000000"/>
                <w:sz w:val="18"/>
                <w:szCs w:val="18"/>
              </w:rPr>
            </w:pPr>
            <w:r w:rsidRPr="004F7724">
              <w:rPr>
                <w:rFonts w:ascii="Calibri" w:hAnsi="Calibri" w:cs="Calibri"/>
                <w:b/>
                <w:bCs/>
                <w:color w:val="000000"/>
                <w:sz w:val="18"/>
                <w:szCs w:val="18"/>
              </w:rPr>
              <w:t>Start date</w:t>
            </w:r>
          </w:p>
        </w:tc>
        <w:tc>
          <w:tcPr>
            <w:tcW w:w="1076" w:type="dxa"/>
            <w:shd w:val="clear" w:color="auto" w:fill="C1E4F5" w:themeFill="accent1" w:themeFillTint="33"/>
            <w:vAlign w:val="center"/>
            <w:hideMark/>
          </w:tcPr>
          <w:p w14:paraId="368039DC" w14:textId="77777777" w:rsidR="004F7724" w:rsidRPr="004F7724" w:rsidRDefault="004F7724" w:rsidP="00033C5D">
            <w:pPr>
              <w:rPr>
                <w:rFonts w:ascii="Calibri" w:hAnsi="Calibri" w:cs="Calibri"/>
                <w:b/>
                <w:bCs/>
                <w:color w:val="000000"/>
                <w:sz w:val="18"/>
                <w:szCs w:val="18"/>
              </w:rPr>
            </w:pPr>
            <w:r w:rsidRPr="004F7724">
              <w:rPr>
                <w:rFonts w:ascii="Calibri" w:hAnsi="Calibri" w:cs="Calibri"/>
                <w:b/>
                <w:bCs/>
                <w:color w:val="000000"/>
                <w:sz w:val="18"/>
                <w:szCs w:val="18"/>
              </w:rPr>
              <w:t>End date</w:t>
            </w:r>
          </w:p>
        </w:tc>
      </w:tr>
      <w:tr w:rsidR="004F7724" w:rsidRPr="004F7724" w14:paraId="5CDC970A" w14:textId="77777777" w:rsidTr="006C6CC8">
        <w:trPr>
          <w:trHeight w:val="602"/>
        </w:trPr>
        <w:tc>
          <w:tcPr>
            <w:tcW w:w="1260" w:type="dxa"/>
            <w:vAlign w:val="center"/>
          </w:tcPr>
          <w:p w14:paraId="409A1AEA"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Fiji Enabling Investment Environment</w:t>
            </w:r>
          </w:p>
        </w:tc>
        <w:tc>
          <w:tcPr>
            <w:tcW w:w="2867" w:type="dxa"/>
            <w:vAlign w:val="center"/>
          </w:tcPr>
          <w:p w14:paraId="73074C0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Enabling Environment; Accelerating inclusive and climate-smart private investments in key growth sectors;</w:t>
            </w:r>
          </w:p>
        </w:tc>
        <w:tc>
          <w:tcPr>
            <w:tcW w:w="2245" w:type="dxa"/>
            <w:vAlign w:val="center"/>
          </w:tcPr>
          <w:p w14:paraId="79FDDF78"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Ministry of Trade, Cooperatives, MSMEs, and Communications</w:t>
            </w:r>
          </w:p>
          <w:p w14:paraId="1B7300B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Investment Fiji </w:t>
            </w:r>
          </w:p>
        </w:tc>
        <w:tc>
          <w:tcPr>
            <w:tcW w:w="1107" w:type="dxa"/>
            <w:vAlign w:val="center"/>
          </w:tcPr>
          <w:p w14:paraId="25F0667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300,000</w:t>
            </w:r>
          </w:p>
        </w:tc>
        <w:tc>
          <w:tcPr>
            <w:tcW w:w="1165" w:type="dxa"/>
            <w:vAlign w:val="center"/>
          </w:tcPr>
          <w:p w14:paraId="1298D814"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Jul-24</w:t>
            </w:r>
          </w:p>
        </w:tc>
        <w:tc>
          <w:tcPr>
            <w:tcW w:w="1076" w:type="dxa"/>
            <w:vAlign w:val="center"/>
          </w:tcPr>
          <w:p w14:paraId="0CA624C0"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Jun-27</w:t>
            </w:r>
          </w:p>
        </w:tc>
      </w:tr>
      <w:tr w:rsidR="004F7724" w:rsidRPr="004F7724" w14:paraId="3FB76F5D" w14:textId="77777777" w:rsidTr="006C6CC8">
        <w:trPr>
          <w:trHeight w:val="872"/>
        </w:trPr>
        <w:tc>
          <w:tcPr>
            <w:tcW w:w="1260" w:type="dxa"/>
            <w:vAlign w:val="center"/>
          </w:tcPr>
          <w:p w14:paraId="159B4ACE"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Advance2Equal</w:t>
            </w:r>
          </w:p>
        </w:tc>
        <w:tc>
          <w:tcPr>
            <w:tcW w:w="2867" w:type="dxa"/>
            <w:vAlign w:val="center"/>
          </w:tcPr>
          <w:p w14:paraId="01917118"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Enabling Environment; Enhancing Standards and Gender Inclusion; Accelerating inclusive and climate-smart private investments in key growth sectors </w:t>
            </w:r>
          </w:p>
        </w:tc>
        <w:tc>
          <w:tcPr>
            <w:tcW w:w="2245" w:type="dxa"/>
            <w:vAlign w:val="center"/>
          </w:tcPr>
          <w:p w14:paraId="43AC584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Firm level</w:t>
            </w:r>
          </w:p>
        </w:tc>
        <w:tc>
          <w:tcPr>
            <w:tcW w:w="1107" w:type="dxa"/>
            <w:vAlign w:val="center"/>
          </w:tcPr>
          <w:p w14:paraId="45C42664"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1,022,353</w:t>
            </w:r>
          </w:p>
        </w:tc>
        <w:tc>
          <w:tcPr>
            <w:tcW w:w="1165" w:type="dxa"/>
            <w:vAlign w:val="center"/>
          </w:tcPr>
          <w:p w14:paraId="110193E9"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Apr-22</w:t>
            </w:r>
          </w:p>
        </w:tc>
        <w:tc>
          <w:tcPr>
            <w:tcW w:w="1076" w:type="dxa"/>
            <w:vAlign w:val="center"/>
          </w:tcPr>
          <w:p w14:paraId="0494135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Oct-26</w:t>
            </w:r>
          </w:p>
        </w:tc>
      </w:tr>
      <w:tr w:rsidR="004F7724" w:rsidRPr="004F7724" w14:paraId="512DB282" w14:textId="77777777" w:rsidTr="006C6CC8">
        <w:trPr>
          <w:trHeight w:val="998"/>
        </w:trPr>
        <w:tc>
          <w:tcPr>
            <w:tcW w:w="1260" w:type="dxa"/>
            <w:vAlign w:val="center"/>
          </w:tcPr>
          <w:p w14:paraId="7B380C70"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Fiji Green Finance </w:t>
            </w:r>
          </w:p>
        </w:tc>
        <w:tc>
          <w:tcPr>
            <w:tcW w:w="2867" w:type="dxa"/>
            <w:vAlign w:val="center"/>
          </w:tcPr>
          <w:p w14:paraId="304213B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Enabling Environment; Accelerating inclusive and climate-smart private investments in key growth sectors; Enhancing Standards and Gender Inclusion </w:t>
            </w:r>
          </w:p>
        </w:tc>
        <w:tc>
          <w:tcPr>
            <w:tcW w:w="2245" w:type="dxa"/>
            <w:vAlign w:val="center"/>
          </w:tcPr>
          <w:p w14:paraId="71FBCE1D"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Reserve Bank of Fiji</w:t>
            </w:r>
          </w:p>
        </w:tc>
        <w:tc>
          <w:tcPr>
            <w:tcW w:w="1107" w:type="dxa"/>
            <w:vAlign w:val="center"/>
          </w:tcPr>
          <w:p w14:paraId="641F1EED"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580,000</w:t>
            </w:r>
          </w:p>
        </w:tc>
        <w:tc>
          <w:tcPr>
            <w:tcW w:w="1165" w:type="dxa"/>
            <w:vAlign w:val="center"/>
          </w:tcPr>
          <w:p w14:paraId="18F2559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Aug-23</w:t>
            </w:r>
          </w:p>
        </w:tc>
        <w:tc>
          <w:tcPr>
            <w:tcW w:w="1076" w:type="dxa"/>
            <w:vAlign w:val="center"/>
          </w:tcPr>
          <w:p w14:paraId="23CB8157"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Jun-26</w:t>
            </w:r>
          </w:p>
        </w:tc>
      </w:tr>
      <w:tr w:rsidR="004F7724" w:rsidRPr="004F7724" w14:paraId="12B08110" w14:textId="77777777" w:rsidTr="006C6CC8">
        <w:trPr>
          <w:trHeight w:val="368"/>
        </w:trPr>
        <w:tc>
          <w:tcPr>
            <w:tcW w:w="1260" w:type="dxa"/>
            <w:vAlign w:val="center"/>
          </w:tcPr>
          <w:p w14:paraId="6125FF24"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Fiji Sustainable Tourism and Investment</w:t>
            </w:r>
          </w:p>
        </w:tc>
        <w:tc>
          <w:tcPr>
            <w:tcW w:w="2867" w:type="dxa"/>
            <w:vAlign w:val="center"/>
          </w:tcPr>
          <w:p w14:paraId="09B9E0B9"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Enabling Environment; Enhancing Standards and Gender Inclusion</w:t>
            </w:r>
          </w:p>
        </w:tc>
        <w:tc>
          <w:tcPr>
            <w:tcW w:w="2245" w:type="dxa"/>
            <w:vAlign w:val="center"/>
          </w:tcPr>
          <w:p w14:paraId="3AEEC81D"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Ministry of Tourism and Civil Aviation</w:t>
            </w:r>
          </w:p>
        </w:tc>
        <w:tc>
          <w:tcPr>
            <w:tcW w:w="1107" w:type="dxa"/>
            <w:vAlign w:val="center"/>
          </w:tcPr>
          <w:p w14:paraId="757FCF22"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300,000</w:t>
            </w:r>
          </w:p>
        </w:tc>
        <w:tc>
          <w:tcPr>
            <w:tcW w:w="1165" w:type="dxa"/>
            <w:vAlign w:val="center"/>
          </w:tcPr>
          <w:p w14:paraId="433A39F2"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Jun-24</w:t>
            </w:r>
          </w:p>
        </w:tc>
        <w:tc>
          <w:tcPr>
            <w:tcW w:w="1076" w:type="dxa"/>
            <w:vAlign w:val="center"/>
          </w:tcPr>
          <w:p w14:paraId="2BCDD6A7"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Dec-25</w:t>
            </w:r>
          </w:p>
        </w:tc>
      </w:tr>
      <w:tr w:rsidR="004F7724" w:rsidRPr="004F7724" w14:paraId="3B46D54A" w14:textId="77777777" w:rsidTr="006C6CC8">
        <w:trPr>
          <w:trHeight w:val="890"/>
        </w:trPr>
        <w:tc>
          <w:tcPr>
            <w:tcW w:w="1260" w:type="dxa"/>
            <w:vAlign w:val="center"/>
            <w:hideMark/>
          </w:tcPr>
          <w:p w14:paraId="185405BA"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Fiji Health PPP Post Transaction Advisory Support </w:t>
            </w:r>
          </w:p>
        </w:tc>
        <w:tc>
          <w:tcPr>
            <w:tcW w:w="2867" w:type="dxa"/>
            <w:vAlign w:val="center"/>
            <w:hideMark/>
          </w:tcPr>
          <w:p w14:paraId="6A6C6BE9"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Accelerating inclusive and climate-smart private investments in key growth sectors </w:t>
            </w:r>
          </w:p>
        </w:tc>
        <w:tc>
          <w:tcPr>
            <w:tcW w:w="2245" w:type="dxa"/>
            <w:vAlign w:val="center"/>
          </w:tcPr>
          <w:p w14:paraId="5C74C473"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Ministry of Finance</w:t>
            </w:r>
          </w:p>
        </w:tc>
        <w:tc>
          <w:tcPr>
            <w:tcW w:w="1107" w:type="dxa"/>
            <w:vAlign w:val="center"/>
            <w:hideMark/>
          </w:tcPr>
          <w:p w14:paraId="06A164D2"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385,000</w:t>
            </w:r>
          </w:p>
        </w:tc>
        <w:tc>
          <w:tcPr>
            <w:tcW w:w="1165" w:type="dxa"/>
            <w:vAlign w:val="center"/>
            <w:hideMark/>
          </w:tcPr>
          <w:p w14:paraId="78A5751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Jan-19</w:t>
            </w:r>
          </w:p>
        </w:tc>
        <w:tc>
          <w:tcPr>
            <w:tcW w:w="1076" w:type="dxa"/>
            <w:vAlign w:val="center"/>
            <w:hideMark/>
          </w:tcPr>
          <w:p w14:paraId="7E8B263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Sep-25</w:t>
            </w:r>
          </w:p>
        </w:tc>
      </w:tr>
      <w:tr w:rsidR="004F7724" w:rsidRPr="004F7724" w14:paraId="665F6C06" w14:textId="77777777" w:rsidTr="006C6CC8">
        <w:trPr>
          <w:trHeight w:val="900"/>
        </w:trPr>
        <w:tc>
          <w:tcPr>
            <w:tcW w:w="1260" w:type="dxa"/>
            <w:vAlign w:val="center"/>
            <w:hideMark/>
          </w:tcPr>
          <w:p w14:paraId="27715DB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Fiji Affordable Housing PPP</w:t>
            </w:r>
          </w:p>
        </w:tc>
        <w:tc>
          <w:tcPr>
            <w:tcW w:w="2867" w:type="dxa"/>
            <w:vAlign w:val="center"/>
            <w:hideMark/>
          </w:tcPr>
          <w:p w14:paraId="4324E330"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Accelerating inclusive and climate-smart private investment in key growth sectors </w:t>
            </w:r>
          </w:p>
        </w:tc>
        <w:tc>
          <w:tcPr>
            <w:tcW w:w="2245" w:type="dxa"/>
            <w:vAlign w:val="center"/>
          </w:tcPr>
          <w:p w14:paraId="792C7AA1"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Ministry of Finance </w:t>
            </w:r>
          </w:p>
        </w:tc>
        <w:tc>
          <w:tcPr>
            <w:tcW w:w="1107" w:type="dxa"/>
            <w:vAlign w:val="center"/>
            <w:hideMark/>
          </w:tcPr>
          <w:p w14:paraId="3A697CA8"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305,834</w:t>
            </w:r>
          </w:p>
        </w:tc>
        <w:tc>
          <w:tcPr>
            <w:tcW w:w="1165" w:type="dxa"/>
            <w:vAlign w:val="center"/>
            <w:hideMark/>
          </w:tcPr>
          <w:p w14:paraId="7BE010C5"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Mar-19</w:t>
            </w:r>
          </w:p>
        </w:tc>
        <w:tc>
          <w:tcPr>
            <w:tcW w:w="1076" w:type="dxa"/>
            <w:vAlign w:val="center"/>
            <w:hideMark/>
          </w:tcPr>
          <w:p w14:paraId="5DF04A4E"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Sep-25</w:t>
            </w:r>
          </w:p>
        </w:tc>
      </w:tr>
      <w:tr w:rsidR="004F7724" w:rsidRPr="004F7724" w14:paraId="6E276D9E" w14:textId="77777777" w:rsidTr="006C6CC8">
        <w:trPr>
          <w:trHeight w:val="620"/>
        </w:trPr>
        <w:tc>
          <w:tcPr>
            <w:tcW w:w="1260" w:type="dxa"/>
            <w:vAlign w:val="center"/>
          </w:tcPr>
          <w:p w14:paraId="75C00C4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Pacific Integrated ESG Advisory</w:t>
            </w:r>
          </w:p>
        </w:tc>
        <w:tc>
          <w:tcPr>
            <w:tcW w:w="2867" w:type="dxa"/>
            <w:vAlign w:val="center"/>
          </w:tcPr>
          <w:p w14:paraId="63A3E16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Enhancing Standards and Gender Inclusion; Accelerating inclusive and climate-smart</w:t>
            </w:r>
          </w:p>
        </w:tc>
        <w:tc>
          <w:tcPr>
            <w:tcW w:w="2245" w:type="dxa"/>
            <w:vAlign w:val="center"/>
          </w:tcPr>
          <w:p w14:paraId="210BE027"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Firm level</w:t>
            </w:r>
          </w:p>
        </w:tc>
        <w:tc>
          <w:tcPr>
            <w:tcW w:w="1107" w:type="dxa"/>
            <w:vAlign w:val="center"/>
          </w:tcPr>
          <w:p w14:paraId="5FA2EB91"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189,879</w:t>
            </w:r>
          </w:p>
        </w:tc>
        <w:tc>
          <w:tcPr>
            <w:tcW w:w="1165" w:type="dxa"/>
            <w:vAlign w:val="center"/>
          </w:tcPr>
          <w:p w14:paraId="08340AB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Nov-21</w:t>
            </w:r>
          </w:p>
        </w:tc>
        <w:tc>
          <w:tcPr>
            <w:tcW w:w="1076" w:type="dxa"/>
            <w:vAlign w:val="center"/>
          </w:tcPr>
          <w:p w14:paraId="4F8CF889"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Jun-25</w:t>
            </w:r>
          </w:p>
        </w:tc>
      </w:tr>
      <w:tr w:rsidR="004F7724" w:rsidRPr="004F7724" w14:paraId="788BEEBE" w14:textId="77777777" w:rsidTr="006C6CC8">
        <w:trPr>
          <w:trHeight w:val="620"/>
        </w:trPr>
        <w:tc>
          <w:tcPr>
            <w:tcW w:w="1260" w:type="dxa"/>
            <w:vAlign w:val="center"/>
          </w:tcPr>
          <w:p w14:paraId="79A53C08"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Fiji Sustainable Tourism Project   </w:t>
            </w:r>
          </w:p>
        </w:tc>
        <w:tc>
          <w:tcPr>
            <w:tcW w:w="2867" w:type="dxa"/>
            <w:vAlign w:val="center"/>
          </w:tcPr>
          <w:p w14:paraId="52FD05DA"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Enabling Environment; Enhancing Standards and Gender Inclusion</w:t>
            </w:r>
          </w:p>
        </w:tc>
        <w:tc>
          <w:tcPr>
            <w:tcW w:w="2245" w:type="dxa"/>
            <w:vAlign w:val="center"/>
          </w:tcPr>
          <w:p w14:paraId="4FD65B47"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Ministry of Tourism and Civil Aviation</w:t>
            </w:r>
          </w:p>
        </w:tc>
        <w:tc>
          <w:tcPr>
            <w:tcW w:w="1107" w:type="dxa"/>
            <w:vAlign w:val="center"/>
          </w:tcPr>
          <w:p w14:paraId="6D789FE3"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350,000</w:t>
            </w:r>
          </w:p>
        </w:tc>
        <w:tc>
          <w:tcPr>
            <w:tcW w:w="1165" w:type="dxa"/>
            <w:vAlign w:val="center"/>
          </w:tcPr>
          <w:p w14:paraId="479AB349"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Dec-20</w:t>
            </w:r>
          </w:p>
        </w:tc>
        <w:tc>
          <w:tcPr>
            <w:tcW w:w="1076" w:type="dxa"/>
            <w:vAlign w:val="center"/>
          </w:tcPr>
          <w:p w14:paraId="14DCE00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Jun-24</w:t>
            </w:r>
          </w:p>
        </w:tc>
      </w:tr>
      <w:tr w:rsidR="004F7724" w:rsidRPr="004F7724" w14:paraId="69935BCD" w14:textId="77777777" w:rsidTr="006C6CC8">
        <w:trPr>
          <w:trHeight w:val="872"/>
        </w:trPr>
        <w:tc>
          <w:tcPr>
            <w:tcW w:w="1260" w:type="dxa"/>
            <w:vAlign w:val="center"/>
          </w:tcPr>
          <w:p w14:paraId="2B52ECAE"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Fiji Affordable Housing Development Project</w:t>
            </w:r>
          </w:p>
        </w:tc>
        <w:tc>
          <w:tcPr>
            <w:tcW w:w="2867" w:type="dxa"/>
            <w:vAlign w:val="center"/>
          </w:tcPr>
          <w:p w14:paraId="274E9A37"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Enabling Environment; Accelerating inclusive and climate-smart private investments in key growth sectors </w:t>
            </w:r>
          </w:p>
        </w:tc>
        <w:tc>
          <w:tcPr>
            <w:tcW w:w="2245" w:type="dxa"/>
            <w:vAlign w:val="center"/>
          </w:tcPr>
          <w:p w14:paraId="0D7F0301"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Reserve Bank of Fiji</w:t>
            </w:r>
          </w:p>
          <w:p w14:paraId="5CA2FABA"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Housing Authority of Fiji</w:t>
            </w:r>
          </w:p>
        </w:tc>
        <w:tc>
          <w:tcPr>
            <w:tcW w:w="1107" w:type="dxa"/>
            <w:vAlign w:val="center"/>
          </w:tcPr>
          <w:p w14:paraId="7379A8B4"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464,659</w:t>
            </w:r>
          </w:p>
        </w:tc>
        <w:tc>
          <w:tcPr>
            <w:tcW w:w="1165" w:type="dxa"/>
            <w:vAlign w:val="center"/>
          </w:tcPr>
          <w:p w14:paraId="1D49FA41"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Apr-20</w:t>
            </w:r>
          </w:p>
        </w:tc>
        <w:tc>
          <w:tcPr>
            <w:tcW w:w="1076" w:type="dxa"/>
            <w:vAlign w:val="center"/>
          </w:tcPr>
          <w:p w14:paraId="3A1242A4"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Mar-24</w:t>
            </w:r>
          </w:p>
        </w:tc>
      </w:tr>
      <w:tr w:rsidR="004F7724" w:rsidRPr="004F7724" w14:paraId="5BF4F40D" w14:textId="77777777" w:rsidTr="006C6CC8">
        <w:trPr>
          <w:trHeight w:val="530"/>
        </w:trPr>
        <w:tc>
          <w:tcPr>
            <w:tcW w:w="1260" w:type="dxa"/>
            <w:vAlign w:val="center"/>
          </w:tcPr>
          <w:p w14:paraId="5535B99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Fiji Investment Competitiveness </w:t>
            </w:r>
          </w:p>
        </w:tc>
        <w:tc>
          <w:tcPr>
            <w:tcW w:w="2867" w:type="dxa"/>
            <w:vAlign w:val="center"/>
          </w:tcPr>
          <w:p w14:paraId="091DA1D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Enabling Environment for the private sector </w:t>
            </w:r>
          </w:p>
        </w:tc>
        <w:tc>
          <w:tcPr>
            <w:tcW w:w="2245" w:type="dxa"/>
            <w:vAlign w:val="center"/>
          </w:tcPr>
          <w:p w14:paraId="50D64943"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Ministry of Trade, Cooperatives, MSMEs, and Communications</w:t>
            </w:r>
          </w:p>
          <w:p w14:paraId="47C563D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Investment Fiji</w:t>
            </w:r>
          </w:p>
        </w:tc>
        <w:tc>
          <w:tcPr>
            <w:tcW w:w="1107" w:type="dxa"/>
            <w:vAlign w:val="center"/>
          </w:tcPr>
          <w:p w14:paraId="7A94C490"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550,000</w:t>
            </w:r>
          </w:p>
        </w:tc>
        <w:tc>
          <w:tcPr>
            <w:tcW w:w="1165" w:type="dxa"/>
            <w:vAlign w:val="center"/>
          </w:tcPr>
          <w:p w14:paraId="3845B9C1"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Aug-18</w:t>
            </w:r>
          </w:p>
        </w:tc>
        <w:tc>
          <w:tcPr>
            <w:tcW w:w="1076" w:type="dxa"/>
            <w:vAlign w:val="center"/>
          </w:tcPr>
          <w:p w14:paraId="65F3FB1A"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Dec-23</w:t>
            </w:r>
          </w:p>
        </w:tc>
      </w:tr>
      <w:tr w:rsidR="004F7724" w:rsidRPr="004F7724" w14:paraId="63C75A79" w14:textId="77777777" w:rsidTr="006C6CC8">
        <w:trPr>
          <w:trHeight w:val="638"/>
        </w:trPr>
        <w:tc>
          <w:tcPr>
            <w:tcW w:w="1260" w:type="dxa"/>
            <w:vAlign w:val="center"/>
          </w:tcPr>
          <w:p w14:paraId="5F438E3B"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Fiji International Visitors Survey   </w:t>
            </w:r>
          </w:p>
        </w:tc>
        <w:tc>
          <w:tcPr>
            <w:tcW w:w="2867" w:type="dxa"/>
            <w:vAlign w:val="center"/>
          </w:tcPr>
          <w:p w14:paraId="3DB462C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Enabling Environment for the private sector </w:t>
            </w:r>
          </w:p>
        </w:tc>
        <w:tc>
          <w:tcPr>
            <w:tcW w:w="2245" w:type="dxa"/>
            <w:vAlign w:val="center"/>
          </w:tcPr>
          <w:p w14:paraId="4C3E0AA3"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Ministry of Tourism and Civil Aviation</w:t>
            </w:r>
          </w:p>
        </w:tc>
        <w:tc>
          <w:tcPr>
            <w:tcW w:w="1107" w:type="dxa"/>
            <w:vAlign w:val="center"/>
          </w:tcPr>
          <w:p w14:paraId="032AFEB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63,560</w:t>
            </w:r>
          </w:p>
        </w:tc>
        <w:tc>
          <w:tcPr>
            <w:tcW w:w="1165" w:type="dxa"/>
            <w:vAlign w:val="center"/>
          </w:tcPr>
          <w:p w14:paraId="237A4A62"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Apr-22</w:t>
            </w:r>
          </w:p>
        </w:tc>
        <w:tc>
          <w:tcPr>
            <w:tcW w:w="1076" w:type="dxa"/>
            <w:vAlign w:val="center"/>
          </w:tcPr>
          <w:p w14:paraId="2584694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Aug-23</w:t>
            </w:r>
          </w:p>
        </w:tc>
      </w:tr>
      <w:tr w:rsidR="004F7724" w:rsidRPr="004F7724" w14:paraId="0B8905C0" w14:textId="77777777" w:rsidTr="006C6CC8">
        <w:trPr>
          <w:trHeight w:val="530"/>
        </w:trPr>
        <w:tc>
          <w:tcPr>
            <w:tcW w:w="1260" w:type="dxa"/>
            <w:vAlign w:val="center"/>
          </w:tcPr>
          <w:p w14:paraId="71E6CF10"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 xml:space="preserve">Fiji Payment System </w:t>
            </w:r>
          </w:p>
        </w:tc>
        <w:tc>
          <w:tcPr>
            <w:tcW w:w="2867" w:type="dxa"/>
            <w:vAlign w:val="center"/>
          </w:tcPr>
          <w:p w14:paraId="3EA2835C"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Enabling Environment;</w:t>
            </w:r>
            <w:r w:rsidRPr="004F7724">
              <w:rPr>
                <w:rFonts w:ascii="Calibri" w:hAnsi="Calibri" w:cs="Calibri"/>
                <w:color w:val="FF0000"/>
                <w:sz w:val="18"/>
                <w:szCs w:val="18"/>
              </w:rPr>
              <w:t xml:space="preserve"> </w:t>
            </w:r>
            <w:r w:rsidRPr="004F7724">
              <w:rPr>
                <w:rFonts w:ascii="Calibri" w:hAnsi="Calibri" w:cs="Calibri"/>
                <w:sz w:val="18"/>
                <w:szCs w:val="18"/>
              </w:rPr>
              <w:t>Enhancing Standards and Gender Inclusion</w:t>
            </w:r>
          </w:p>
        </w:tc>
        <w:tc>
          <w:tcPr>
            <w:tcW w:w="2245" w:type="dxa"/>
            <w:vAlign w:val="center"/>
          </w:tcPr>
          <w:p w14:paraId="7B96457F"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Reserve Bank of Fiji</w:t>
            </w:r>
          </w:p>
        </w:tc>
        <w:tc>
          <w:tcPr>
            <w:tcW w:w="1107" w:type="dxa"/>
            <w:vAlign w:val="center"/>
          </w:tcPr>
          <w:p w14:paraId="4EF51A9D"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50,000</w:t>
            </w:r>
          </w:p>
        </w:tc>
        <w:tc>
          <w:tcPr>
            <w:tcW w:w="1165" w:type="dxa"/>
            <w:vAlign w:val="center"/>
          </w:tcPr>
          <w:p w14:paraId="2C0ACE15"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Feb-20</w:t>
            </w:r>
          </w:p>
        </w:tc>
        <w:tc>
          <w:tcPr>
            <w:tcW w:w="1076" w:type="dxa"/>
            <w:vAlign w:val="center"/>
          </w:tcPr>
          <w:p w14:paraId="3590B553"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Jun-23</w:t>
            </w:r>
          </w:p>
        </w:tc>
      </w:tr>
      <w:tr w:rsidR="004F7724" w:rsidRPr="004F7724" w14:paraId="3D492DA0" w14:textId="77777777" w:rsidTr="006C6CC8">
        <w:trPr>
          <w:trHeight w:val="600"/>
        </w:trPr>
        <w:tc>
          <w:tcPr>
            <w:tcW w:w="1260" w:type="dxa"/>
            <w:vAlign w:val="center"/>
            <w:hideMark/>
          </w:tcPr>
          <w:p w14:paraId="22AE4D00"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Fiji Winvest</w:t>
            </w:r>
          </w:p>
        </w:tc>
        <w:tc>
          <w:tcPr>
            <w:tcW w:w="2867" w:type="dxa"/>
            <w:vAlign w:val="center"/>
            <w:hideMark/>
          </w:tcPr>
          <w:p w14:paraId="13CCBFF6"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Enhancing Standards and Gender Inclusion</w:t>
            </w:r>
          </w:p>
        </w:tc>
        <w:tc>
          <w:tcPr>
            <w:tcW w:w="2245" w:type="dxa"/>
            <w:vAlign w:val="center"/>
          </w:tcPr>
          <w:p w14:paraId="30ECF45E"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Firm level</w:t>
            </w:r>
          </w:p>
        </w:tc>
        <w:tc>
          <w:tcPr>
            <w:tcW w:w="1107" w:type="dxa"/>
            <w:vAlign w:val="center"/>
            <w:hideMark/>
          </w:tcPr>
          <w:p w14:paraId="0D67963D"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77,000</w:t>
            </w:r>
          </w:p>
        </w:tc>
        <w:tc>
          <w:tcPr>
            <w:tcW w:w="1165" w:type="dxa"/>
            <w:vAlign w:val="center"/>
            <w:hideMark/>
          </w:tcPr>
          <w:p w14:paraId="59FB5EB3"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Nov-18</w:t>
            </w:r>
          </w:p>
        </w:tc>
        <w:tc>
          <w:tcPr>
            <w:tcW w:w="1076" w:type="dxa"/>
            <w:vAlign w:val="center"/>
            <w:hideMark/>
          </w:tcPr>
          <w:p w14:paraId="1B6CF03E" w14:textId="77777777" w:rsidR="004F7724" w:rsidRPr="004F7724" w:rsidRDefault="004F7724" w:rsidP="00033C5D">
            <w:pPr>
              <w:rPr>
                <w:rFonts w:ascii="Calibri" w:hAnsi="Calibri" w:cs="Calibri"/>
                <w:color w:val="000000"/>
                <w:sz w:val="18"/>
                <w:szCs w:val="18"/>
              </w:rPr>
            </w:pPr>
            <w:r w:rsidRPr="004F7724">
              <w:rPr>
                <w:rFonts w:ascii="Calibri" w:hAnsi="Calibri" w:cs="Calibri"/>
                <w:color w:val="000000"/>
                <w:sz w:val="18"/>
                <w:szCs w:val="18"/>
              </w:rPr>
              <w:t>Jun-22</w:t>
            </w:r>
          </w:p>
        </w:tc>
      </w:tr>
    </w:tbl>
    <w:p w14:paraId="657C2A96" w14:textId="77777777" w:rsidR="00490235" w:rsidRDefault="00490235">
      <w:pPr>
        <w:spacing w:after="160" w:line="259" w:lineRule="auto"/>
        <w:rPr>
          <w:rFonts w:ascii="Calibri" w:hAnsi="Calibri" w:cs="Calibri"/>
          <w:sz w:val="22"/>
          <w:szCs w:val="22"/>
          <w:lang w:val="en-AU"/>
        </w:rPr>
      </w:pPr>
    </w:p>
    <w:p w14:paraId="76C1AAA6" w14:textId="27B7B8A0" w:rsidR="00F76090" w:rsidRPr="00C723E0" w:rsidRDefault="00490235" w:rsidP="00F76090">
      <w:pPr>
        <w:pStyle w:val="Heading1"/>
        <w:rPr>
          <w:rFonts w:cs="Calibri"/>
          <w:lang w:val="en-AU"/>
        </w:rPr>
      </w:pPr>
      <w:r w:rsidRPr="4EF1951E">
        <w:rPr>
          <w:rFonts w:cs="Calibri"/>
          <w:sz w:val="22"/>
          <w:szCs w:val="22"/>
          <w:lang w:val="en-AU"/>
        </w:rPr>
        <w:br w:type="page"/>
      </w:r>
      <w:bookmarkStart w:id="14" w:name="_Toc201131763"/>
      <w:bookmarkStart w:id="15" w:name="_Toc206675815"/>
      <w:r w:rsidR="00355865" w:rsidRPr="4EF1951E">
        <w:rPr>
          <w:rFonts w:cs="Calibri"/>
          <w:b w:val="0"/>
          <w:bCs/>
          <w:lang w:val="en-AU"/>
        </w:rPr>
        <w:lastRenderedPageBreak/>
        <w:t>Purpose</w:t>
      </w:r>
      <w:r w:rsidR="00F76090" w:rsidRPr="4EF1951E">
        <w:rPr>
          <w:rFonts w:cs="Calibri"/>
          <w:b w:val="0"/>
          <w:bCs/>
          <w:lang w:val="en-AU"/>
        </w:rPr>
        <w:t xml:space="preserve"> and Scope of the Evaluation</w:t>
      </w:r>
      <w:bookmarkEnd w:id="14"/>
      <w:bookmarkEnd w:id="15"/>
    </w:p>
    <w:p w14:paraId="6B8A0551" w14:textId="77777777" w:rsidR="00355865" w:rsidRPr="00EB120F" w:rsidRDefault="00355865" w:rsidP="00EB120F">
      <w:pPr>
        <w:pStyle w:val="Heading2"/>
        <w:rPr>
          <w:lang w:val="en-AU"/>
        </w:rPr>
      </w:pPr>
      <w:bookmarkStart w:id="16" w:name="_Toc192742827"/>
      <w:bookmarkStart w:id="17" w:name="_Toc201131764"/>
      <w:bookmarkStart w:id="18" w:name="_Toc206675816"/>
      <w:r w:rsidRPr="00EB120F">
        <w:rPr>
          <w:lang w:val="en-AU"/>
        </w:rPr>
        <w:t>Purpose</w:t>
      </w:r>
      <w:bookmarkEnd w:id="16"/>
      <w:bookmarkEnd w:id="17"/>
      <w:bookmarkEnd w:id="18"/>
    </w:p>
    <w:p w14:paraId="3B3D5C0E" w14:textId="36410E23" w:rsidR="00355865" w:rsidRPr="00C723E0" w:rsidRDefault="00355865" w:rsidP="00355865">
      <w:pPr>
        <w:spacing w:after="120"/>
        <w:jc w:val="both"/>
        <w:rPr>
          <w:rFonts w:ascii="Calibri" w:hAnsi="Calibri" w:cs="Calibri"/>
          <w:sz w:val="22"/>
          <w:szCs w:val="22"/>
          <w:lang w:val="en-AU"/>
        </w:rPr>
      </w:pPr>
      <w:r w:rsidRPr="00C723E0">
        <w:rPr>
          <w:rFonts w:ascii="Calibri" w:hAnsi="Calibri" w:cs="Calibri"/>
          <w:sz w:val="22"/>
          <w:szCs w:val="22"/>
          <w:lang w:val="en-AU"/>
        </w:rPr>
        <w:t xml:space="preserve">The purpose of the final evaluation </w:t>
      </w:r>
      <w:r w:rsidR="00881CB0" w:rsidRPr="00C723E0">
        <w:rPr>
          <w:rFonts w:ascii="Calibri" w:hAnsi="Calibri" w:cs="Calibri"/>
          <w:sz w:val="22"/>
          <w:szCs w:val="22"/>
          <w:lang w:val="en-AU"/>
        </w:rPr>
        <w:t>i</w:t>
      </w:r>
      <w:r w:rsidRPr="00C723E0">
        <w:rPr>
          <w:rFonts w:ascii="Calibri" w:hAnsi="Calibri" w:cs="Calibri"/>
          <w:sz w:val="22"/>
          <w:szCs w:val="22"/>
          <w:lang w:val="en-AU"/>
        </w:rPr>
        <w:t>s to assess the effectiveness of the FPSDP in meeting progress towards intended impacts and outcomes as per the Monitoring and Evaluation Framework, including the Theory of Change (ToC). The final evaluation also</w:t>
      </w:r>
      <w:r w:rsidR="00262EF7" w:rsidRPr="00C723E0">
        <w:rPr>
          <w:rFonts w:ascii="Calibri" w:hAnsi="Calibri" w:cs="Calibri"/>
          <w:sz w:val="22"/>
          <w:szCs w:val="22"/>
          <w:lang w:val="en-AU"/>
        </w:rPr>
        <w:t xml:space="preserve"> calls for an evidence base to inform</w:t>
      </w:r>
      <w:r w:rsidRPr="00C723E0">
        <w:rPr>
          <w:rFonts w:ascii="Calibri" w:hAnsi="Calibri" w:cs="Calibri"/>
          <w:sz w:val="22"/>
          <w:szCs w:val="22"/>
          <w:lang w:val="en-AU"/>
        </w:rPr>
        <w:t xml:space="preserve"> possible future directions, approaches, and structures based on the evaluation </w:t>
      </w:r>
      <w:r w:rsidR="002348E5" w:rsidRPr="00C723E0">
        <w:rPr>
          <w:rFonts w:ascii="Calibri" w:hAnsi="Calibri" w:cs="Calibri"/>
          <w:sz w:val="22"/>
          <w:szCs w:val="22"/>
          <w:lang w:val="en-AU"/>
        </w:rPr>
        <w:t>itself</w:t>
      </w:r>
      <w:r w:rsidRPr="00C723E0">
        <w:rPr>
          <w:rFonts w:ascii="Calibri" w:hAnsi="Calibri" w:cs="Calibri"/>
          <w:sz w:val="22"/>
          <w:szCs w:val="22"/>
          <w:lang w:val="en-AU"/>
        </w:rPr>
        <w:t xml:space="preserve"> and the data, information, and evidence collected.</w:t>
      </w:r>
    </w:p>
    <w:p w14:paraId="3C014A52" w14:textId="77777777" w:rsidR="00355865" w:rsidRPr="00116737" w:rsidRDefault="00355865" w:rsidP="00EB120F">
      <w:pPr>
        <w:pStyle w:val="Heading2"/>
        <w:rPr>
          <w:lang w:val="en-AU"/>
        </w:rPr>
      </w:pPr>
      <w:bookmarkStart w:id="19" w:name="_Toc192742828"/>
      <w:bookmarkStart w:id="20" w:name="_Toc201131765"/>
      <w:bookmarkStart w:id="21" w:name="_Toc206675817"/>
      <w:r w:rsidRPr="00116737">
        <w:rPr>
          <w:lang w:val="en-AU"/>
        </w:rPr>
        <w:t>Scope</w:t>
      </w:r>
      <w:bookmarkEnd w:id="19"/>
      <w:bookmarkEnd w:id="20"/>
      <w:bookmarkEnd w:id="21"/>
    </w:p>
    <w:p w14:paraId="742C4E05" w14:textId="559B09EF" w:rsidR="00355865" w:rsidRPr="00C723E0" w:rsidRDefault="00355865" w:rsidP="00355865">
      <w:pPr>
        <w:spacing w:after="120"/>
        <w:jc w:val="both"/>
        <w:rPr>
          <w:rFonts w:ascii="Calibri" w:hAnsi="Calibri" w:cs="Calibri"/>
          <w:sz w:val="22"/>
          <w:szCs w:val="22"/>
          <w:lang w:val="en-AU"/>
        </w:rPr>
      </w:pPr>
      <w:r w:rsidRPr="00C723E0">
        <w:rPr>
          <w:rFonts w:ascii="Calibri" w:hAnsi="Calibri" w:cs="Calibri"/>
          <w:sz w:val="22"/>
          <w:szCs w:val="22"/>
          <w:lang w:val="en-AU"/>
        </w:rPr>
        <w:t>The scope of the final evaluation cover</w:t>
      </w:r>
      <w:r w:rsidR="00881CB0" w:rsidRPr="00C723E0">
        <w:rPr>
          <w:rFonts w:ascii="Calibri" w:hAnsi="Calibri" w:cs="Calibri"/>
          <w:sz w:val="22"/>
          <w:szCs w:val="22"/>
          <w:lang w:val="en-AU"/>
        </w:rPr>
        <w:t>s</w:t>
      </w:r>
      <w:r w:rsidRPr="00C723E0">
        <w:rPr>
          <w:rFonts w:ascii="Calibri" w:hAnsi="Calibri" w:cs="Calibri"/>
          <w:sz w:val="22"/>
          <w:szCs w:val="22"/>
          <w:lang w:val="en-AU"/>
        </w:rPr>
        <w:t xml:space="preserve"> the period from January 2022 to </w:t>
      </w:r>
      <w:r w:rsidR="00881CB0" w:rsidRPr="00C723E0">
        <w:rPr>
          <w:rFonts w:ascii="Calibri" w:hAnsi="Calibri" w:cs="Calibri"/>
          <w:sz w:val="22"/>
          <w:szCs w:val="22"/>
          <w:lang w:val="en-AU"/>
        </w:rPr>
        <w:t xml:space="preserve">April </w:t>
      </w:r>
      <w:r w:rsidRPr="00C723E0">
        <w:rPr>
          <w:rFonts w:ascii="Calibri" w:hAnsi="Calibri" w:cs="Calibri"/>
          <w:sz w:val="22"/>
          <w:szCs w:val="22"/>
          <w:lang w:val="en-AU"/>
        </w:rPr>
        <w:t>2025. The current program implementation period will run through to 31 December 2025. The final evaluation considered outcomes across the three implementation pillars and all key documentation, including deliverables, milestones and reports.</w:t>
      </w:r>
    </w:p>
    <w:p w14:paraId="00C66EF3" w14:textId="3585669C" w:rsidR="00F76090" w:rsidRPr="00C723E0" w:rsidRDefault="00F76090" w:rsidP="4EF1951E">
      <w:pPr>
        <w:pStyle w:val="Heading1"/>
        <w:rPr>
          <w:rFonts w:cs="Calibri"/>
          <w:b w:val="0"/>
          <w:bCs/>
          <w:lang w:val="en-AU"/>
        </w:rPr>
      </w:pPr>
      <w:bookmarkStart w:id="22" w:name="_Toc201131766"/>
      <w:bookmarkStart w:id="23" w:name="_Toc206675818"/>
      <w:r w:rsidRPr="4EF1951E">
        <w:rPr>
          <w:rFonts w:cs="Calibri"/>
          <w:b w:val="0"/>
          <w:bCs/>
          <w:lang w:val="en-AU"/>
        </w:rPr>
        <w:t>Approach and Methodology</w:t>
      </w:r>
      <w:bookmarkEnd w:id="22"/>
      <w:bookmarkEnd w:id="23"/>
    </w:p>
    <w:p w14:paraId="3D15F8E6" w14:textId="6F025991" w:rsidR="00355865" w:rsidRPr="00C723E0" w:rsidRDefault="00355865" w:rsidP="00355865">
      <w:pPr>
        <w:spacing w:after="120"/>
        <w:jc w:val="both"/>
        <w:rPr>
          <w:rFonts w:ascii="Calibri" w:hAnsi="Calibri" w:cs="Calibri"/>
          <w:sz w:val="22"/>
          <w:szCs w:val="22"/>
          <w:lang w:val="en-AU"/>
        </w:rPr>
      </w:pPr>
      <w:r w:rsidRPr="00C723E0">
        <w:rPr>
          <w:rFonts w:ascii="Calibri" w:hAnsi="Calibri" w:cs="Calibri"/>
          <w:sz w:val="22"/>
          <w:szCs w:val="22"/>
          <w:lang w:val="en-AU"/>
        </w:rPr>
        <w:t>The final evaluation al</w:t>
      </w:r>
      <w:r w:rsidR="00126D14" w:rsidRPr="00C723E0">
        <w:rPr>
          <w:rFonts w:ascii="Calibri" w:hAnsi="Calibri" w:cs="Calibri"/>
          <w:sz w:val="22"/>
          <w:szCs w:val="22"/>
          <w:lang w:val="en-AU"/>
        </w:rPr>
        <w:t>igned</w:t>
      </w:r>
      <w:r w:rsidRPr="00C723E0">
        <w:rPr>
          <w:rFonts w:ascii="Calibri" w:hAnsi="Calibri" w:cs="Calibri"/>
          <w:sz w:val="22"/>
          <w:szCs w:val="22"/>
          <w:lang w:val="en-AU"/>
        </w:rPr>
        <w:t xml:space="preserve"> with DFAT’s Evaluation Policy and Design and Monitoring, Evaluation, and Learning Standards</w:t>
      </w:r>
      <w:r w:rsidRPr="00C723E0">
        <w:rPr>
          <w:rStyle w:val="FootnoteReference"/>
          <w:rFonts w:ascii="Calibri" w:hAnsi="Calibri" w:cs="Calibri"/>
          <w:sz w:val="22"/>
          <w:szCs w:val="22"/>
          <w:lang w:val="en-AU"/>
        </w:rPr>
        <w:footnoteReference w:id="4"/>
      </w:r>
      <w:r w:rsidRPr="00C723E0">
        <w:rPr>
          <w:rFonts w:ascii="Calibri" w:hAnsi="Calibri" w:cs="Calibri"/>
          <w:sz w:val="22"/>
          <w:szCs w:val="22"/>
          <w:lang w:val="en-AU"/>
        </w:rPr>
        <w:t>. Throughout</w:t>
      </w:r>
      <w:r w:rsidR="00126D14" w:rsidRPr="00C723E0">
        <w:rPr>
          <w:rFonts w:ascii="Calibri" w:hAnsi="Calibri" w:cs="Calibri"/>
          <w:sz w:val="22"/>
          <w:szCs w:val="22"/>
          <w:lang w:val="en-AU"/>
        </w:rPr>
        <w:t xml:space="preserve"> the process</w:t>
      </w:r>
      <w:r w:rsidRPr="00C723E0">
        <w:rPr>
          <w:rFonts w:ascii="Calibri" w:hAnsi="Calibri" w:cs="Calibri"/>
          <w:sz w:val="22"/>
          <w:szCs w:val="22"/>
          <w:lang w:val="en-AU"/>
        </w:rPr>
        <w:t xml:space="preserve">, </w:t>
      </w:r>
      <w:r w:rsidR="00126D14" w:rsidRPr="00C723E0">
        <w:rPr>
          <w:rFonts w:ascii="Calibri" w:hAnsi="Calibri" w:cs="Calibri"/>
          <w:sz w:val="22"/>
          <w:szCs w:val="22"/>
          <w:lang w:val="en-AU"/>
        </w:rPr>
        <w:t xml:space="preserve">the final </w:t>
      </w:r>
      <w:r w:rsidR="00A52E50" w:rsidRPr="00C723E0">
        <w:rPr>
          <w:rFonts w:ascii="Calibri" w:hAnsi="Calibri" w:cs="Calibri"/>
          <w:sz w:val="22"/>
          <w:szCs w:val="22"/>
          <w:lang w:val="en-AU"/>
        </w:rPr>
        <w:t>evaluation</w:t>
      </w:r>
      <w:r w:rsidRPr="00C723E0">
        <w:rPr>
          <w:rFonts w:ascii="Calibri" w:hAnsi="Calibri" w:cs="Calibri"/>
          <w:sz w:val="22"/>
          <w:szCs w:val="22"/>
          <w:lang w:val="en-AU"/>
        </w:rPr>
        <w:t xml:space="preserve"> consider</w:t>
      </w:r>
      <w:r w:rsidR="00126D14" w:rsidRPr="00C723E0">
        <w:rPr>
          <w:rFonts w:ascii="Calibri" w:hAnsi="Calibri" w:cs="Calibri"/>
          <w:sz w:val="22"/>
          <w:szCs w:val="22"/>
          <w:lang w:val="en-AU"/>
        </w:rPr>
        <w:t>ed</w:t>
      </w:r>
      <w:r w:rsidRPr="00C723E0">
        <w:rPr>
          <w:rFonts w:ascii="Calibri" w:hAnsi="Calibri" w:cs="Calibri"/>
          <w:sz w:val="22"/>
          <w:szCs w:val="22"/>
          <w:lang w:val="en-AU"/>
        </w:rPr>
        <w:t xml:space="preserve"> both FPSDP’s strategic goals and outcomes and DFAT’s specific evaluation requirements. </w:t>
      </w:r>
    </w:p>
    <w:p w14:paraId="0EFA5444" w14:textId="65622C1D" w:rsidR="00355865" w:rsidRPr="00C723E0" w:rsidRDefault="00355865" w:rsidP="00355865">
      <w:pPr>
        <w:spacing w:after="120"/>
        <w:jc w:val="both"/>
        <w:rPr>
          <w:rFonts w:ascii="Calibri" w:hAnsi="Calibri" w:cs="Calibri"/>
          <w:sz w:val="22"/>
          <w:szCs w:val="22"/>
          <w:lang w:val="en-AU"/>
        </w:rPr>
      </w:pPr>
      <w:r w:rsidRPr="00C723E0">
        <w:rPr>
          <w:rFonts w:ascii="Calibri" w:hAnsi="Calibri" w:cs="Calibri"/>
          <w:sz w:val="22"/>
          <w:szCs w:val="22"/>
          <w:lang w:val="en-AU"/>
        </w:rPr>
        <w:t>The final evaluation</w:t>
      </w:r>
      <w:r w:rsidR="009C00FB" w:rsidRPr="00C723E0">
        <w:rPr>
          <w:rFonts w:ascii="Calibri" w:hAnsi="Calibri" w:cs="Calibri"/>
          <w:sz w:val="22"/>
          <w:szCs w:val="22"/>
          <w:lang w:val="en-AU"/>
        </w:rPr>
        <w:t xml:space="preserve"> was primarily qualitative and</w:t>
      </w:r>
      <w:r w:rsidRPr="00C723E0">
        <w:rPr>
          <w:rFonts w:ascii="Calibri" w:hAnsi="Calibri" w:cs="Calibri"/>
          <w:sz w:val="22"/>
          <w:szCs w:val="22"/>
          <w:lang w:val="en-AU"/>
        </w:rPr>
        <w:t xml:space="preserve"> </w:t>
      </w:r>
      <w:r w:rsidR="00126D14" w:rsidRPr="00C723E0">
        <w:rPr>
          <w:rFonts w:ascii="Calibri" w:hAnsi="Calibri" w:cs="Calibri"/>
          <w:sz w:val="22"/>
          <w:szCs w:val="22"/>
          <w:lang w:val="en-AU"/>
        </w:rPr>
        <w:t>applied</w:t>
      </w:r>
      <w:r w:rsidRPr="00C723E0">
        <w:rPr>
          <w:rFonts w:ascii="Calibri" w:hAnsi="Calibri" w:cs="Calibri"/>
          <w:sz w:val="22"/>
          <w:szCs w:val="22"/>
          <w:lang w:val="en-AU"/>
        </w:rPr>
        <w:t xml:space="preserve"> a utilisation-focused approach</w:t>
      </w:r>
      <w:r w:rsidRPr="00C723E0">
        <w:rPr>
          <w:rStyle w:val="FootnoteReference"/>
          <w:rFonts w:ascii="Calibri" w:hAnsi="Calibri" w:cs="Calibri"/>
          <w:color w:val="000000" w:themeColor="text1"/>
          <w:sz w:val="22"/>
          <w:szCs w:val="22"/>
          <w:lang w:val="en-AU"/>
        </w:rPr>
        <w:footnoteReference w:id="5"/>
      </w:r>
      <w:r w:rsidRPr="00C723E0">
        <w:rPr>
          <w:rFonts w:ascii="Calibri" w:hAnsi="Calibri" w:cs="Calibri"/>
          <w:sz w:val="22"/>
          <w:szCs w:val="22"/>
          <w:lang w:val="en-AU"/>
        </w:rPr>
        <w:t xml:space="preserve"> to ensure it </w:t>
      </w:r>
      <w:r w:rsidR="00126D14" w:rsidRPr="00C723E0">
        <w:rPr>
          <w:rFonts w:ascii="Calibri" w:hAnsi="Calibri" w:cs="Calibri"/>
          <w:sz w:val="22"/>
          <w:szCs w:val="22"/>
          <w:lang w:val="en-AU"/>
        </w:rPr>
        <w:t>was</w:t>
      </w:r>
      <w:r w:rsidRPr="00C723E0">
        <w:rPr>
          <w:rFonts w:ascii="Calibri" w:hAnsi="Calibri" w:cs="Calibri"/>
          <w:sz w:val="22"/>
          <w:szCs w:val="22"/>
          <w:lang w:val="en-AU"/>
        </w:rPr>
        <w:t xml:space="preserve"> conducted to enhance the utility of its findings and the process, which </w:t>
      </w:r>
      <w:r w:rsidR="00126D14" w:rsidRPr="00C723E0">
        <w:rPr>
          <w:rFonts w:ascii="Calibri" w:hAnsi="Calibri" w:cs="Calibri"/>
          <w:sz w:val="22"/>
          <w:szCs w:val="22"/>
          <w:lang w:val="en-AU"/>
        </w:rPr>
        <w:t>informed</w:t>
      </w:r>
      <w:r w:rsidRPr="00C723E0">
        <w:rPr>
          <w:rFonts w:ascii="Calibri" w:hAnsi="Calibri" w:cs="Calibri"/>
          <w:sz w:val="22"/>
          <w:szCs w:val="22"/>
          <w:lang w:val="en-AU"/>
        </w:rPr>
        <w:t xml:space="preserve"> decisions and enhance</w:t>
      </w:r>
      <w:r w:rsidR="00126D14" w:rsidRPr="00C723E0">
        <w:rPr>
          <w:rFonts w:ascii="Calibri" w:hAnsi="Calibri" w:cs="Calibri"/>
          <w:sz w:val="22"/>
          <w:szCs w:val="22"/>
          <w:lang w:val="en-AU"/>
        </w:rPr>
        <w:t>d</w:t>
      </w:r>
      <w:r w:rsidRPr="00C723E0">
        <w:rPr>
          <w:rFonts w:ascii="Calibri" w:hAnsi="Calibri" w:cs="Calibri"/>
          <w:sz w:val="22"/>
          <w:szCs w:val="22"/>
          <w:lang w:val="en-AU"/>
        </w:rPr>
        <w:t xml:space="preserve"> outcomes. </w:t>
      </w:r>
    </w:p>
    <w:p w14:paraId="347F7DD6" w14:textId="338A566E" w:rsidR="00355865" w:rsidRPr="00C723E0" w:rsidRDefault="00355865" w:rsidP="00355865">
      <w:pPr>
        <w:spacing w:after="120"/>
        <w:jc w:val="both"/>
        <w:rPr>
          <w:rFonts w:ascii="Calibri" w:hAnsi="Calibri" w:cs="Calibri"/>
          <w:sz w:val="22"/>
          <w:szCs w:val="22"/>
          <w:lang w:val="en-AU"/>
        </w:rPr>
      </w:pPr>
      <w:r w:rsidRPr="00C723E0">
        <w:rPr>
          <w:rFonts w:ascii="Calibri" w:hAnsi="Calibri" w:cs="Calibri"/>
          <w:sz w:val="22"/>
          <w:szCs w:val="22"/>
          <w:lang w:val="en-AU"/>
        </w:rPr>
        <w:t>The utilisation-focused approach involve</w:t>
      </w:r>
      <w:r w:rsidR="00280B2C" w:rsidRPr="00C723E0">
        <w:rPr>
          <w:rFonts w:ascii="Calibri" w:hAnsi="Calibri" w:cs="Calibri"/>
          <w:sz w:val="22"/>
          <w:szCs w:val="22"/>
          <w:lang w:val="en-AU"/>
        </w:rPr>
        <w:t>d</w:t>
      </w:r>
      <w:r w:rsidRPr="00C723E0">
        <w:rPr>
          <w:rFonts w:ascii="Calibri" w:hAnsi="Calibri" w:cs="Calibri"/>
          <w:sz w:val="22"/>
          <w:szCs w:val="22"/>
          <w:lang w:val="en-AU"/>
        </w:rPr>
        <w:t xml:space="preserve"> three steps. First, the final evaluation analyse</w:t>
      </w:r>
      <w:r w:rsidR="00280B2C" w:rsidRPr="00C723E0">
        <w:rPr>
          <w:rFonts w:ascii="Calibri" w:hAnsi="Calibri" w:cs="Calibri"/>
          <w:sz w:val="22"/>
          <w:szCs w:val="22"/>
          <w:lang w:val="en-AU"/>
        </w:rPr>
        <w:t>d</w:t>
      </w:r>
      <w:r w:rsidRPr="00C723E0">
        <w:rPr>
          <w:rFonts w:ascii="Calibri" w:hAnsi="Calibri" w:cs="Calibri"/>
          <w:sz w:val="22"/>
          <w:szCs w:val="22"/>
          <w:lang w:val="en-AU"/>
        </w:rPr>
        <w:t xml:space="preserve"> the primary stakeholders, including their specific information needs (such as through in-depth inception briefings with both IFC and DFAT) and how to communicate most effectively with each stakeholder group. Second, the evaluation ensure</w:t>
      </w:r>
      <w:r w:rsidR="00280B2C" w:rsidRPr="00C723E0">
        <w:rPr>
          <w:rFonts w:ascii="Calibri" w:hAnsi="Calibri" w:cs="Calibri"/>
          <w:sz w:val="22"/>
          <w:szCs w:val="22"/>
          <w:lang w:val="en-AU"/>
        </w:rPr>
        <w:t>d</w:t>
      </w:r>
      <w:r w:rsidRPr="00C723E0">
        <w:rPr>
          <w:rFonts w:ascii="Calibri" w:hAnsi="Calibri" w:cs="Calibri"/>
          <w:sz w:val="22"/>
          <w:szCs w:val="22"/>
          <w:lang w:val="en-AU"/>
        </w:rPr>
        <w:t xml:space="preserve"> that primary stakeholders </w:t>
      </w:r>
      <w:r w:rsidR="00280B2C" w:rsidRPr="00C723E0">
        <w:rPr>
          <w:rFonts w:ascii="Calibri" w:hAnsi="Calibri" w:cs="Calibri"/>
          <w:sz w:val="22"/>
          <w:szCs w:val="22"/>
          <w:lang w:val="en-AU"/>
        </w:rPr>
        <w:t>understood</w:t>
      </w:r>
      <w:r w:rsidRPr="00C723E0">
        <w:rPr>
          <w:rFonts w:ascii="Calibri" w:hAnsi="Calibri" w:cs="Calibri"/>
          <w:sz w:val="22"/>
          <w:szCs w:val="22"/>
          <w:lang w:val="en-AU"/>
        </w:rPr>
        <w:t xml:space="preserve"> the evaluation approach, the strengths and limitations of the evidence generated, and how to interpret findings. Third, the evaluation ensure</w:t>
      </w:r>
      <w:r w:rsidR="00280B2C" w:rsidRPr="00C723E0">
        <w:rPr>
          <w:rFonts w:ascii="Calibri" w:hAnsi="Calibri" w:cs="Calibri"/>
          <w:sz w:val="22"/>
          <w:szCs w:val="22"/>
          <w:lang w:val="en-AU"/>
        </w:rPr>
        <w:t>d</w:t>
      </w:r>
      <w:r w:rsidRPr="00C723E0">
        <w:rPr>
          <w:rFonts w:ascii="Calibri" w:hAnsi="Calibri" w:cs="Calibri"/>
          <w:sz w:val="22"/>
          <w:szCs w:val="22"/>
          <w:lang w:val="en-AU"/>
        </w:rPr>
        <w:t xml:space="preserve"> that the evaluation objectives and questions address stakeholders' priority information needs. Primary stakeholders include</w:t>
      </w:r>
      <w:r w:rsidR="00280B2C" w:rsidRPr="00C723E0">
        <w:rPr>
          <w:rFonts w:ascii="Calibri" w:hAnsi="Calibri" w:cs="Calibri"/>
          <w:sz w:val="22"/>
          <w:szCs w:val="22"/>
          <w:lang w:val="en-AU"/>
        </w:rPr>
        <w:t>d</w:t>
      </w:r>
      <w:r w:rsidRPr="00C723E0">
        <w:rPr>
          <w:rFonts w:ascii="Calibri" w:hAnsi="Calibri" w:cs="Calibri"/>
          <w:sz w:val="22"/>
          <w:szCs w:val="22"/>
          <w:lang w:val="en-AU"/>
        </w:rPr>
        <w:t xml:space="preserve"> DFAT,</w:t>
      </w:r>
      <w:r w:rsidR="006C6428" w:rsidRPr="00C723E0">
        <w:rPr>
          <w:rFonts w:ascii="Calibri" w:hAnsi="Calibri" w:cs="Calibri"/>
          <w:sz w:val="22"/>
          <w:szCs w:val="22"/>
          <w:lang w:val="en-AU"/>
        </w:rPr>
        <w:t xml:space="preserve"> the</w:t>
      </w:r>
      <w:r w:rsidRPr="00C723E0">
        <w:rPr>
          <w:rFonts w:ascii="Calibri" w:hAnsi="Calibri" w:cs="Calibri"/>
          <w:sz w:val="22"/>
          <w:szCs w:val="22"/>
          <w:lang w:val="en-AU"/>
        </w:rPr>
        <w:t xml:space="preserve"> IFC, implementing project partners and key GoF partners and representatives.</w:t>
      </w:r>
    </w:p>
    <w:p w14:paraId="1A0B3903" w14:textId="44F64BB1" w:rsidR="00355865" w:rsidRPr="00C723E0" w:rsidRDefault="00355865" w:rsidP="00355865">
      <w:pPr>
        <w:pStyle w:val="BodyText"/>
        <w:jc w:val="both"/>
        <w:rPr>
          <w:rFonts w:cs="Calibri"/>
          <w:szCs w:val="22"/>
          <w:lang w:val="en-AU"/>
        </w:rPr>
      </w:pPr>
      <w:r w:rsidRPr="00C723E0">
        <w:rPr>
          <w:rFonts w:cs="Calibri"/>
          <w:szCs w:val="22"/>
          <w:lang w:val="en-AU"/>
        </w:rPr>
        <w:t xml:space="preserve">The final evaluation </w:t>
      </w:r>
      <w:r w:rsidR="00280B2C" w:rsidRPr="00C723E0">
        <w:rPr>
          <w:rFonts w:cs="Calibri"/>
          <w:szCs w:val="22"/>
          <w:lang w:val="en-AU"/>
        </w:rPr>
        <w:t>commenced</w:t>
      </w:r>
      <w:r w:rsidRPr="00C723E0">
        <w:rPr>
          <w:rFonts w:cs="Calibri"/>
          <w:szCs w:val="22"/>
          <w:lang w:val="en-AU"/>
        </w:rPr>
        <w:t xml:space="preserve"> with a series of activities to clarify the scope and approach, including: </w:t>
      </w:r>
    </w:p>
    <w:p w14:paraId="7ACBD823" w14:textId="1A4DD372" w:rsidR="006C6428" w:rsidRPr="00C723E0" w:rsidRDefault="006C6428" w:rsidP="006C6428">
      <w:pPr>
        <w:pStyle w:val="BodyText"/>
        <w:numPr>
          <w:ilvl w:val="0"/>
          <w:numId w:val="4"/>
        </w:numPr>
        <w:jc w:val="both"/>
        <w:rPr>
          <w:rFonts w:cs="Calibri"/>
          <w:szCs w:val="22"/>
          <w:lang w:val="en-AU"/>
        </w:rPr>
      </w:pPr>
      <w:r w:rsidRPr="00C723E0">
        <w:rPr>
          <w:rFonts w:cs="Calibri"/>
          <w:b/>
          <w:szCs w:val="22"/>
          <w:lang w:val="en-AU"/>
        </w:rPr>
        <w:t>Identification of key stakeholders</w:t>
      </w:r>
      <w:r w:rsidRPr="00C723E0">
        <w:rPr>
          <w:rFonts w:cs="Calibri"/>
          <w:szCs w:val="22"/>
          <w:lang w:val="en-AU"/>
        </w:rPr>
        <w:t xml:space="preserve"> for consultation and early analysis of their roles and relationships regarding program implementation and management. Annex 2 lists people engaged through Key Informant Interviews (KIIs).</w:t>
      </w:r>
    </w:p>
    <w:p w14:paraId="3B96D965" w14:textId="3309378F" w:rsidR="00355865" w:rsidRPr="00C723E0" w:rsidRDefault="00355865" w:rsidP="00355865">
      <w:pPr>
        <w:pStyle w:val="BodyText"/>
        <w:numPr>
          <w:ilvl w:val="0"/>
          <w:numId w:val="4"/>
        </w:numPr>
        <w:jc w:val="both"/>
        <w:rPr>
          <w:rFonts w:cs="Calibri"/>
          <w:szCs w:val="22"/>
          <w:lang w:val="en-AU"/>
        </w:rPr>
      </w:pPr>
      <w:r w:rsidRPr="00C723E0">
        <w:rPr>
          <w:rFonts w:cs="Calibri"/>
          <w:szCs w:val="22"/>
          <w:lang w:val="en-AU"/>
        </w:rPr>
        <w:t xml:space="preserve">A </w:t>
      </w:r>
      <w:r w:rsidRPr="00C723E0">
        <w:rPr>
          <w:rFonts w:cs="Calibri"/>
          <w:b/>
          <w:szCs w:val="22"/>
          <w:lang w:val="en-AU"/>
        </w:rPr>
        <w:t>scan of available documentation</w:t>
      </w:r>
      <w:r w:rsidRPr="00C723E0">
        <w:rPr>
          <w:rFonts w:cs="Calibri"/>
          <w:szCs w:val="22"/>
          <w:lang w:val="en-AU"/>
        </w:rPr>
        <w:t xml:space="preserve"> and </w:t>
      </w:r>
      <w:r w:rsidR="006C6428" w:rsidRPr="00C723E0">
        <w:rPr>
          <w:rFonts w:cs="Calibri"/>
          <w:szCs w:val="22"/>
          <w:lang w:val="en-AU"/>
        </w:rPr>
        <w:t xml:space="preserve">an </w:t>
      </w:r>
      <w:r w:rsidRPr="00C723E0">
        <w:rPr>
          <w:rFonts w:cs="Calibri"/>
          <w:szCs w:val="22"/>
          <w:lang w:val="en-AU"/>
        </w:rPr>
        <w:t>in-depth analysis of key documents, including the FPSDP proposal, partnership agreements, and key program reports to date, and to identify key issues and stakeholders for the evaluation.</w:t>
      </w:r>
      <w:r w:rsidR="006C6428" w:rsidRPr="00C723E0">
        <w:rPr>
          <w:rFonts w:cs="Calibri"/>
          <w:szCs w:val="22"/>
          <w:lang w:val="en-AU"/>
        </w:rPr>
        <w:t xml:space="preserve"> Annex 3 contains a list of all documents reviewed.</w:t>
      </w:r>
    </w:p>
    <w:p w14:paraId="251EBF1A" w14:textId="37D8F330" w:rsidR="00355865" w:rsidRPr="00C723E0" w:rsidRDefault="00355865" w:rsidP="00355865">
      <w:pPr>
        <w:pStyle w:val="BodyText"/>
        <w:numPr>
          <w:ilvl w:val="0"/>
          <w:numId w:val="4"/>
        </w:numPr>
        <w:jc w:val="both"/>
        <w:rPr>
          <w:rFonts w:cs="Calibri"/>
          <w:szCs w:val="22"/>
          <w:lang w:val="en-AU"/>
        </w:rPr>
      </w:pPr>
      <w:r w:rsidRPr="00C723E0">
        <w:rPr>
          <w:rFonts w:cs="Calibri"/>
          <w:b/>
          <w:szCs w:val="22"/>
          <w:lang w:val="en-AU"/>
        </w:rPr>
        <w:t>Liaison with IFC and DFAT</w:t>
      </w:r>
      <w:r w:rsidRPr="00C723E0">
        <w:rPr>
          <w:rFonts w:cs="Calibri"/>
          <w:szCs w:val="22"/>
          <w:lang w:val="en-AU"/>
        </w:rPr>
        <w:t xml:space="preserve"> to clarify the evaluation's intent, help prioritise questions and identify factors that need</w:t>
      </w:r>
      <w:r w:rsidR="006F4C86" w:rsidRPr="00C723E0">
        <w:rPr>
          <w:rFonts w:cs="Calibri"/>
          <w:szCs w:val="22"/>
          <w:lang w:val="en-AU"/>
        </w:rPr>
        <w:t>ed</w:t>
      </w:r>
      <w:r w:rsidRPr="00C723E0">
        <w:rPr>
          <w:rFonts w:cs="Calibri"/>
          <w:szCs w:val="22"/>
          <w:lang w:val="en-AU"/>
        </w:rPr>
        <w:t xml:space="preserve"> to be considered during data collection and reporting. The briefings also </w:t>
      </w:r>
      <w:r w:rsidRPr="00C723E0">
        <w:rPr>
          <w:rFonts w:cs="Calibri"/>
          <w:szCs w:val="22"/>
          <w:lang w:val="en-AU"/>
        </w:rPr>
        <w:lastRenderedPageBreak/>
        <w:t>help</w:t>
      </w:r>
      <w:r w:rsidR="00F36268" w:rsidRPr="00C723E0">
        <w:rPr>
          <w:rFonts w:cs="Calibri"/>
          <w:szCs w:val="22"/>
          <w:lang w:val="en-AU"/>
        </w:rPr>
        <w:t>ed</w:t>
      </w:r>
      <w:r w:rsidRPr="00C723E0">
        <w:rPr>
          <w:rFonts w:cs="Calibri"/>
          <w:szCs w:val="22"/>
          <w:lang w:val="en-AU"/>
        </w:rPr>
        <w:t xml:space="preserve"> the evaluation understand key issues to be answered and practical considerations for data collection and stakeholder engagement.</w:t>
      </w:r>
    </w:p>
    <w:p w14:paraId="2795FFE5" w14:textId="77777777" w:rsidR="00355865" w:rsidRPr="00C723E0" w:rsidRDefault="00355865" w:rsidP="00355865">
      <w:pPr>
        <w:pStyle w:val="BodyText"/>
        <w:numPr>
          <w:ilvl w:val="0"/>
          <w:numId w:val="4"/>
        </w:numPr>
        <w:jc w:val="both"/>
        <w:rPr>
          <w:rFonts w:cs="Calibri"/>
          <w:szCs w:val="22"/>
          <w:lang w:val="en-AU"/>
        </w:rPr>
      </w:pPr>
      <w:r w:rsidRPr="00C723E0">
        <w:rPr>
          <w:rFonts w:cs="Calibri"/>
          <w:b/>
          <w:szCs w:val="22"/>
          <w:lang w:val="en-AU"/>
        </w:rPr>
        <w:t>Agreement of Key Evaluation Questions (KEQs)</w:t>
      </w:r>
      <w:r w:rsidRPr="00C723E0">
        <w:rPr>
          <w:rFonts w:cs="Calibri"/>
          <w:szCs w:val="22"/>
          <w:lang w:val="en-AU"/>
        </w:rPr>
        <w:t xml:space="preserve"> and sub-KEQs against the evaluation criteria, as well as an indication of how these are expected to be answered from multiple sources. </w:t>
      </w:r>
    </w:p>
    <w:p w14:paraId="0B3C8161" w14:textId="681E8AD7" w:rsidR="00355865" w:rsidRPr="00C723E0" w:rsidRDefault="00355865" w:rsidP="00355865">
      <w:pPr>
        <w:pStyle w:val="BodyText"/>
        <w:numPr>
          <w:ilvl w:val="0"/>
          <w:numId w:val="4"/>
        </w:numPr>
        <w:jc w:val="both"/>
        <w:rPr>
          <w:rFonts w:cs="Calibri"/>
          <w:szCs w:val="22"/>
          <w:lang w:val="en-AU"/>
        </w:rPr>
      </w:pPr>
      <w:r w:rsidRPr="00C723E0">
        <w:rPr>
          <w:rFonts w:cs="Calibri"/>
          <w:szCs w:val="22"/>
          <w:lang w:val="en-AU"/>
        </w:rPr>
        <w:t xml:space="preserve">Clarification of </w:t>
      </w:r>
      <w:r w:rsidRPr="00C723E0">
        <w:rPr>
          <w:rFonts w:cs="Calibri"/>
          <w:b/>
          <w:szCs w:val="22"/>
          <w:lang w:val="en-AU"/>
        </w:rPr>
        <w:t>ways of working</w:t>
      </w:r>
      <w:r w:rsidRPr="00C723E0">
        <w:rPr>
          <w:rFonts w:cs="Calibri"/>
          <w:szCs w:val="22"/>
          <w:lang w:val="en-AU"/>
        </w:rPr>
        <w:t>, evaluation</w:t>
      </w:r>
      <w:r w:rsidR="006C6428" w:rsidRPr="00C723E0">
        <w:rPr>
          <w:rFonts w:cs="Calibri"/>
          <w:szCs w:val="22"/>
          <w:lang w:val="en-AU"/>
        </w:rPr>
        <w:t>,</w:t>
      </w:r>
      <w:r w:rsidRPr="00C723E0">
        <w:rPr>
          <w:rFonts w:cs="Calibri"/>
          <w:szCs w:val="22"/>
          <w:lang w:val="en-AU"/>
        </w:rPr>
        <w:t xml:space="preserve"> management and governance</w:t>
      </w:r>
      <w:r w:rsidR="006C6428" w:rsidRPr="00C723E0">
        <w:rPr>
          <w:rFonts w:cs="Calibri"/>
          <w:szCs w:val="22"/>
          <w:lang w:val="en-AU"/>
        </w:rPr>
        <w:t>.</w:t>
      </w:r>
    </w:p>
    <w:p w14:paraId="4CBBF856" w14:textId="77777777" w:rsidR="00355865" w:rsidRPr="00C723E0" w:rsidRDefault="00355865" w:rsidP="4EF1951E">
      <w:pPr>
        <w:pStyle w:val="Heading1"/>
        <w:rPr>
          <w:rFonts w:cs="Calibri"/>
          <w:b w:val="0"/>
          <w:bCs/>
          <w:lang w:val="en-AU"/>
        </w:rPr>
      </w:pPr>
      <w:bookmarkStart w:id="24" w:name="_Toc192742831"/>
      <w:bookmarkStart w:id="25" w:name="_Toc201131767"/>
      <w:bookmarkStart w:id="26" w:name="_Toc206675819"/>
      <w:r w:rsidRPr="4EF1951E">
        <w:rPr>
          <w:rFonts w:cs="Calibri"/>
          <w:b w:val="0"/>
          <w:bCs/>
          <w:lang w:val="en-AU"/>
        </w:rPr>
        <w:t>Key Evaluation Questions</w:t>
      </w:r>
      <w:bookmarkEnd w:id="24"/>
      <w:bookmarkEnd w:id="25"/>
      <w:bookmarkEnd w:id="26"/>
    </w:p>
    <w:p w14:paraId="6232EABC" w14:textId="7CAAC6C2" w:rsidR="00355865" w:rsidRPr="00C723E0" w:rsidRDefault="00355865" w:rsidP="00355865">
      <w:pPr>
        <w:pStyle w:val="p1"/>
        <w:spacing w:after="120"/>
        <w:jc w:val="both"/>
        <w:rPr>
          <w:rFonts w:ascii="Calibri" w:hAnsi="Calibri" w:cs="Calibri"/>
          <w:sz w:val="22"/>
          <w:szCs w:val="22"/>
          <w:lang w:val="en-AU"/>
        </w:rPr>
      </w:pPr>
      <w:r w:rsidRPr="00C723E0">
        <w:rPr>
          <w:rFonts w:ascii="Calibri" w:hAnsi="Calibri" w:cs="Calibri"/>
          <w:sz w:val="22"/>
          <w:szCs w:val="22"/>
          <w:lang w:val="en-AU"/>
        </w:rPr>
        <w:t xml:space="preserve">The evaluation complied with the approved </w:t>
      </w:r>
      <w:r w:rsidR="00280B2C" w:rsidRPr="00C723E0">
        <w:rPr>
          <w:rFonts w:ascii="Calibri" w:hAnsi="Calibri" w:cs="Calibri"/>
          <w:sz w:val="22"/>
          <w:szCs w:val="22"/>
          <w:lang w:val="en-AU"/>
        </w:rPr>
        <w:t>ToR (Annex 1)</w:t>
      </w:r>
      <w:r w:rsidRPr="00C723E0">
        <w:rPr>
          <w:rFonts w:ascii="Calibri" w:hAnsi="Calibri" w:cs="Calibri"/>
          <w:sz w:val="22"/>
          <w:szCs w:val="22"/>
          <w:lang w:val="en-AU"/>
        </w:rPr>
        <w:t xml:space="preserve"> and applied OECD-DAC criteria of relevance, coherence, effectiveness, efficiency, sustainability, and impact. </w:t>
      </w:r>
    </w:p>
    <w:p w14:paraId="3E0FB54E" w14:textId="148BF343" w:rsidR="006C6428" w:rsidRPr="00C723E0" w:rsidRDefault="00355865" w:rsidP="00355865">
      <w:pPr>
        <w:pStyle w:val="p1"/>
        <w:spacing w:after="120"/>
        <w:jc w:val="both"/>
        <w:rPr>
          <w:rFonts w:ascii="Calibri" w:hAnsi="Calibri" w:cs="Calibri"/>
          <w:sz w:val="22"/>
          <w:szCs w:val="22"/>
          <w:lang w:val="en-AU"/>
        </w:rPr>
      </w:pPr>
      <w:r w:rsidRPr="00C723E0">
        <w:rPr>
          <w:rFonts w:ascii="Calibri" w:hAnsi="Calibri" w:cs="Calibri"/>
          <w:sz w:val="22"/>
          <w:szCs w:val="22"/>
          <w:lang w:val="en-AU"/>
        </w:rPr>
        <w:t xml:space="preserve">The evaluation </w:t>
      </w:r>
      <w:r w:rsidR="00F36268" w:rsidRPr="00C723E0">
        <w:rPr>
          <w:rFonts w:ascii="Calibri" w:hAnsi="Calibri" w:cs="Calibri"/>
          <w:sz w:val="22"/>
          <w:szCs w:val="22"/>
          <w:lang w:val="en-AU"/>
        </w:rPr>
        <w:t>also</w:t>
      </w:r>
      <w:r w:rsidRPr="00C723E0">
        <w:rPr>
          <w:rFonts w:ascii="Calibri" w:hAnsi="Calibri" w:cs="Calibri"/>
          <w:sz w:val="22"/>
          <w:szCs w:val="22"/>
          <w:lang w:val="en-AU"/>
        </w:rPr>
        <w:t xml:space="preserve"> address</w:t>
      </w:r>
      <w:r w:rsidR="00F36268" w:rsidRPr="00C723E0">
        <w:rPr>
          <w:rFonts w:ascii="Calibri" w:hAnsi="Calibri" w:cs="Calibri"/>
          <w:sz w:val="22"/>
          <w:szCs w:val="22"/>
          <w:lang w:val="en-AU"/>
        </w:rPr>
        <w:t>es</w:t>
      </w:r>
      <w:r w:rsidRPr="00C723E0">
        <w:rPr>
          <w:rFonts w:ascii="Calibri" w:hAnsi="Calibri" w:cs="Calibri"/>
          <w:sz w:val="22"/>
          <w:szCs w:val="22"/>
          <w:lang w:val="en-AU"/>
        </w:rPr>
        <w:t xml:space="preserve"> all the questions in the ToR. The evaluat</w:t>
      </w:r>
      <w:r w:rsidR="00280B2C" w:rsidRPr="00C723E0">
        <w:rPr>
          <w:rFonts w:ascii="Calibri" w:hAnsi="Calibri" w:cs="Calibri"/>
          <w:sz w:val="22"/>
          <w:szCs w:val="22"/>
          <w:lang w:val="en-AU"/>
        </w:rPr>
        <w:t>ion</w:t>
      </w:r>
      <w:r w:rsidRPr="00C723E0">
        <w:rPr>
          <w:rFonts w:ascii="Calibri" w:hAnsi="Calibri" w:cs="Calibri"/>
          <w:sz w:val="22"/>
          <w:szCs w:val="22"/>
          <w:lang w:val="en-AU"/>
        </w:rPr>
        <w:t xml:space="preserve"> </w:t>
      </w:r>
      <w:r w:rsidR="00280B2C" w:rsidRPr="00C723E0">
        <w:rPr>
          <w:rFonts w:ascii="Calibri" w:hAnsi="Calibri" w:cs="Calibri"/>
          <w:sz w:val="22"/>
          <w:szCs w:val="22"/>
          <w:lang w:val="en-AU"/>
        </w:rPr>
        <w:t>adapted</w:t>
      </w:r>
      <w:r w:rsidRPr="00C723E0">
        <w:rPr>
          <w:rFonts w:ascii="Calibri" w:hAnsi="Calibri" w:cs="Calibri"/>
          <w:sz w:val="22"/>
          <w:szCs w:val="22"/>
          <w:lang w:val="en-AU"/>
        </w:rPr>
        <w:t xml:space="preserve"> the evaluation questions</w:t>
      </w:r>
      <w:r w:rsidR="00280B2C" w:rsidRPr="00C723E0">
        <w:rPr>
          <w:rFonts w:ascii="Calibri" w:hAnsi="Calibri" w:cs="Calibri"/>
          <w:sz w:val="22"/>
          <w:szCs w:val="22"/>
          <w:lang w:val="en-AU"/>
        </w:rPr>
        <w:t xml:space="preserve"> slightly to align with specific information needs. Table 1 </w:t>
      </w:r>
      <w:r w:rsidR="00A52E50" w:rsidRPr="00C723E0">
        <w:rPr>
          <w:rFonts w:ascii="Calibri" w:hAnsi="Calibri" w:cs="Calibri"/>
          <w:sz w:val="22"/>
          <w:szCs w:val="22"/>
          <w:lang w:val="en-AU"/>
        </w:rPr>
        <w:t>summarises</w:t>
      </w:r>
      <w:r w:rsidR="00280B2C" w:rsidRPr="00C723E0">
        <w:rPr>
          <w:rFonts w:ascii="Calibri" w:hAnsi="Calibri" w:cs="Calibri"/>
          <w:sz w:val="22"/>
          <w:szCs w:val="22"/>
          <w:lang w:val="en-AU"/>
        </w:rPr>
        <w:t xml:space="preserve"> the final KEQs and associated secondary questions</w:t>
      </w:r>
      <w:r w:rsidRPr="00C723E0">
        <w:rPr>
          <w:rFonts w:ascii="Calibri" w:hAnsi="Calibri" w:cs="Calibri"/>
          <w:sz w:val="22"/>
          <w:szCs w:val="22"/>
          <w:lang w:val="en-AU"/>
        </w:rPr>
        <w:t>. The focus w</w:t>
      </w:r>
      <w:r w:rsidR="00280B2C" w:rsidRPr="00C723E0">
        <w:rPr>
          <w:rFonts w:ascii="Calibri" w:hAnsi="Calibri" w:cs="Calibri"/>
          <w:sz w:val="22"/>
          <w:szCs w:val="22"/>
          <w:lang w:val="en-AU"/>
        </w:rPr>
        <w:t>as</w:t>
      </w:r>
      <w:r w:rsidRPr="00C723E0">
        <w:rPr>
          <w:rFonts w:ascii="Calibri" w:hAnsi="Calibri" w:cs="Calibri"/>
          <w:sz w:val="22"/>
          <w:szCs w:val="22"/>
          <w:lang w:val="en-AU"/>
        </w:rPr>
        <w:t xml:space="preserve"> on addressing primary questions, but secondary questions </w:t>
      </w:r>
      <w:r w:rsidR="00280B2C" w:rsidRPr="00C723E0">
        <w:rPr>
          <w:rFonts w:ascii="Calibri" w:hAnsi="Calibri" w:cs="Calibri"/>
          <w:sz w:val="22"/>
          <w:szCs w:val="22"/>
          <w:lang w:val="en-AU"/>
        </w:rPr>
        <w:t>were a</w:t>
      </w:r>
      <w:r w:rsidRPr="00C723E0">
        <w:rPr>
          <w:rFonts w:ascii="Calibri" w:hAnsi="Calibri" w:cs="Calibri"/>
          <w:sz w:val="22"/>
          <w:szCs w:val="22"/>
          <w:lang w:val="en-AU"/>
        </w:rPr>
        <w:t>lso used to inform and guide questioning and overall analysis.</w:t>
      </w:r>
    </w:p>
    <w:p w14:paraId="413D70BF" w14:textId="26270EB0" w:rsidR="00280B2C" w:rsidRPr="00C723E0" w:rsidRDefault="00280B2C" w:rsidP="00280B2C">
      <w:pPr>
        <w:pStyle w:val="Caption"/>
        <w:rPr>
          <w:rFonts w:ascii="Calibri" w:hAnsi="Calibri" w:cs="Calibri"/>
          <w:i/>
          <w:iCs/>
          <w:lang w:val="en-AU"/>
        </w:rPr>
      </w:pPr>
      <w:r w:rsidRPr="00C723E0">
        <w:rPr>
          <w:rFonts w:ascii="Calibri" w:hAnsi="Calibri" w:cs="Calibri"/>
          <w:i/>
          <w:iCs/>
          <w:lang w:val="en-AU"/>
        </w:rPr>
        <w:t>Table 1: FPSDP KEQS and Secondary Question</w:t>
      </w:r>
    </w:p>
    <w:tbl>
      <w:tblPr>
        <w:tblStyle w:val="TableGrid"/>
        <w:tblW w:w="0" w:type="auto"/>
        <w:tblLook w:val="04A0" w:firstRow="1" w:lastRow="0" w:firstColumn="1" w:lastColumn="0" w:noHBand="0" w:noVBand="1"/>
      </w:tblPr>
      <w:tblGrid>
        <w:gridCol w:w="1435"/>
        <w:gridCol w:w="3240"/>
        <w:gridCol w:w="4675"/>
      </w:tblGrid>
      <w:tr w:rsidR="004958DF" w:rsidRPr="00C723E0" w14:paraId="6042D97B" w14:textId="77777777" w:rsidTr="0051467C">
        <w:tc>
          <w:tcPr>
            <w:tcW w:w="1435" w:type="dxa"/>
            <w:shd w:val="clear" w:color="auto" w:fill="C1E4F5" w:themeFill="accent1" w:themeFillTint="33"/>
          </w:tcPr>
          <w:p w14:paraId="549AF8A2" w14:textId="784EF752" w:rsidR="004958DF" w:rsidRPr="00C723E0" w:rsidRDefault="0051467C" w:rsidP="00033C5D">
            <w:pPr>
              <w:rPr>
                <w:rFonts w:ascii="Calibri" w:hAnsi="Calibri" w:cs="Calibri"/>
                <w:b/>
                <w:bCs/>
                <w:sz w:val="18"/>
                <w:szCs w:val="18"/>
                <w:lang w:val="en-AU"/>
              </w:rPr>
            </w:pPr>
            <w:r>
              <w:rPr>
                <w:rFonts w:ascii="Calibri" w:hAnsi="Calibri" w:cs="Calibri"/>
                <w:b/>
                <w:bCs/>
                <w:sz w:val="18"/>
                <w:szCs w:val="18"/>
                <w:lang w:val="en-AU"/>
              </w:rPr>
              <w:t>Criteria</w:t>
            </w:r>
          </w:p>
        </w:tc>
        <w:tc>
          <w:tcPr>
            <w:tcW w:w="3240" w:type="dxa"/>
            <w:shd w:val="clear" w:color="auto" w:fill="C1E4F5" w:themeFill="accent1" w:themeFillTint="33"/>
          </w:tcPr>
          <w:p w14:paraId="5836E5C3" w14:textId="05060FDB" w:rsidR="004958DF" w:rsidRPr="00C723E0" w:rsidRDefault="004958DF" w:rsidP="00033C5D">
            <w:pPr>
              <w:rPr>
                <w:rFonts w:ascii="Calibri" w:hAnsi="Calibri" w:cs="Calibri"/>
                <w:b/>
                <w:bCs/>
                <w:sz w:val="18"/>
                <w:szCs w:val="18"/>
                <w:lang w:val="en-AU"/>
              </w:rPr>
            </w:pPr>
            <w:r w:rsidRPr="00C723E0">
              <w:rPr>
                <w:rFonts w:ascii="Calibri" w:hAnsi="Calibri" w:cs="Calibri"/>
                <w:b/>
                <w:bCs/>
                <w:sz w:val="18"/>
                <w:szCs w:val="18"/>
                <w:lang w:val="en-AU"/>
              </w:rPr>
              <w:t>Primary Questions</w:t>
            </w:r>
          </w:p>
        </w:tc>
        <w:tc>
          <w:tcPr>
            <w:tcW w:w="4675" w:type="dxa"/>
            <w:shd w:val="clear" w:color="auto" w:fill="C1E4F5" w:themeFill="accent1" w:themeFillTint="33"/>
          </w:tcPr>
          <w:p w14:paraId="4D19579C" w14:textId="77777777" w:rsidR="004958DF" w:rsidRPr="00C723E0" w:rsidRDefault="004958DF" w:rsidP="00033C5D">
            <w:pPr>
              <w:rPr>
                <w:rFonts w:ascii="Calibri" w:hAnsi="Calibri" w:cs="Calibri"/>
                <w:b/>
                <w:bCs/>
                <w:sz w:val="18"/>
                <w:szCs w:val="18"/>
                <w:lang w:val="en-AU"/>
              </w:rPr>
            </w:pPr>
            <w:r w:rsidRPr="00C723E0">
              <w:rPr>
                <w:rFonts w:ascii="Calibri" w:hAnsi="Calibri" w:cs="Calibri"/>
                <w:b/>
                <w:bCs/>
                <w:sz w:val="18"/>
                <w:szCs w:val="18"/>
                <w:lang w:val="en-AU"/>
              </w:rPr>
              <w:t>Secondary Questions</w:t>
            </w:r>
          </w:p>
        </w:tc>
      </w:tr>
      <w:tr w:rsidR="004958DF" w:rsidRPr="00C723E0" w14:paraId="295A3B5B" w14:textId="77777777" w:rsidTr="0051467C">
        <w:tc>
          <w:tcPr>
            <w:tcW w:w="1435" w:type="dxa"/>
          </w:tcPr>
          <w:p w14:paraId="79D08877" w14:textId="77173C13" w:rsidR="004958DF" w:rsidRPr="00C723E0" w:rsidRDefault="004958DF" w:rsidP="004958DF">
            <w:pPr>
              <w:autoSpaceDE w:val="0"/>
              <w:autoSpaceDN w:val="0"/>
              <w:adjustRightInd w:val="0"/>
              <w:rPr>
                <w:rFonts w:ascii="Calibri" w:hAnsi="Calibri" w:cs="Calibri"/>
                <w:color w:val="000000"/>
                <w:sz w:val="18"/>
                <w:szCs w:val="18"/>
                <w:lang w:val="en-AU"/>
              </w:rPr>
            </w:pPr>
            <w:r w:rsidRPr="004958DF">
              <w:rPr>
                <w:rFonts w:ascii="Calibri" w:hAnsi="Calibri" w:cs="Calibri"/>
                <w:b/>
                <w:bCs/>
                <w:color w:val="000000"/>
                <w:sz w:val="18"/>
                <w:szCs w:val="18"/>
                <w:lang w:val="en-AU"/>
              </w:rPr>
              <w:t>Relevance and efficiency</w:t>
            </w:r>
          </w:p>
        </w:tc>
        <w:tc>
          <w:tcPr>
            <w:tcW w:w="3240" w:type="dxa"/>
          </w:tcPr>
          <w:p w14:paraId="3C0F59E8" w14:textId="6B2EB487" w:rsidR="004958DF" w:rsidRPr="00C723E0" w:rsidRDefault="004958DF" w:rsidP="00033C5D">
            <w:pPr>
              <w:autoSpaceDE w:val="0"/>
              <w:autoSpaceDN w:val="0"/>
              <w:adjustRightInd w:val="0"/>
              <w:jc w:val="both"/>
              <w:rPr>
                <w:rFonts w:ascii="Calibri" w:hAnsi="Calibri" w:cs="Calibri"/>
                <w:color w:val="000000"/>
                <w:sz w:val="18"/>
                <w:szCs w:val="18"/>
                <w:lang w:val="en-AU"/>
              </w:rPr>
            </w:pPr>
            <w:r w:rsidRPr="00C723E0">
              <w:rPr>
                <w:rFonts w:ascii="Calibri" w:hAnsi="Calibri" w:cs="Calibri"/>
                <w:color w:val="000000"/>
                <w:sz w:val="18"/>
                <w:szCs w:val="18"/>
                <w:lang w:val="en-AU"/>
              </w:rPr>
              <w:t>To what extent was the FPSDP able to respond and adapt to the needs of the private sector and client government agencies in Fiji?</w:t>
            </w:r>
          </w:p>
          <w:p w14:paraId="33F8EA48" w14:textId="77777777" w:rsidR="004958DF" w:rsidRPr="00C723E0" w:rsidRDefault="004958DF" w:rsidP="00033C5D">
            <w:pPr>
              <w:rPr>
                <w:rFonts w:ascii="Calibri" w:hAnsi="Calibri" w:cs="Calibri"/>
                <w:sz w:val="18"/>
                <w:szCs w:val="18"/>
                <w:lang w:val="en-AU"/>
              </w:rPr>
            </w:pPr>
          </w:p>
        </w:tc>
        <w:tc>
          <w:tcPr>
            <w:tcW w:w="4675" w:type="dxa"/>
          </w:tcPr>
          <w:p w14:paraId="6F408D31" w14:textId="77777777" w:rsidR="004958DF" w:rsidRPr="00C723E0" w:rsidRDefault="004958DF" w:rsidP="00033C5D">
            <w:pPr>
              <w:autoSpaceDE w:val="0"/>
              <w:autoSpaceDN w:val="0"/>
              <w:adjustRightInd w:val="0"/>
              <w:jc w:val="both"/>
              <w:rPr>
                <w:rFonts w:ascii="Calibri" w:hAnsi="Calibri" w:cs="Calibri"/>
                <w:sz w:val="18"/>
                <w:szCs w:val="18"/>
                <w:lang w:val="en-AU"/>
              </w:rPr>
            </w:pPr>
            <w:r w:rsidRPr="00C723E0">
              <w:rPr>
                <w:rFonts w:ascii="Calibri" w:hAnsi="Calibri" w:cs="Calibri"/>
                <w:sz w:val="18"/>
                <w:szCs w:val="18"/>
                <w:lang w:val="en-AU"/>
              </w:rPr>
              <w:t>Has FPSDP addressed needs of government, firms and market level stakeholders.</w:t>
            </w:r>
          </w:p>
          <w:p w14:paraId="1A75841E" w14:textId="77777777" w:rsidR="004958DF" w:rsidRPr="00C723E0" w:rsidRDefault="004958DF" w:rsidP="00033C5D">
            <w:pPr>
              <w:autoSpaceDE w:val="0"/>
              <w:autoSpaceDN w:val="0"/>
              <w:adjustRightInd w:val="0"/>
              <w:jc w:val="both"/>
              <w:rPr>
                <w:rFonts w:ascii="Calibri" w:hAnsi="Calibri" w:cs="Calibri"/>
                <w:sz w:val="18"/>
                <w:szCs w:val="18"/>
                <w:lang w:val="en-AU"/>
              </w:rPr>
            </w:pPr>
            <w:r w:rsidRPr="00C723E0">
              <w:rPr>
                <w:rFonts w:ascii="Calibri" w:hAnsi="Calibri" w:cs="Calibri"/>
                <w:sz w:val="18"/>
                <w:szCs w:val="18"/>
                <w:lang w:val="en-AU"/>
              </w:rPr>
              <w:t xml:space="preserve">Has the Partnership design (risk management and governance arrangements etc.) supported efficient (and effective) program implementation and management? </w:t>
            </w:r>
          </w:p>
        </w:tc>
      </w:tr>
      <w:tr w:rsidR="004958DF" w:rsidRPr="00C723E0" w14:paraId="051A07F3" w14:textId="77777777" w:rsidTr="0051467C">
        <w:tc>
          <w:tcPr>
            <w:tcW w:w="1435" w:type="dxa"/>
          </w:tcPr>
          <w:p w14:paraId="69A2EDC9" w14:textId="254D273C" w:rsidR="004958DF" w:rsidRPr="00C723E0" w:rsidRDefault="004958DF" w:rsidP="004958DF">
            <w:pPr>
              <w:autoSpaceDE w:val="0"/>
              <w:autoSpaceDN w:val="0"/>
              <w:adjustRightInd w:val="0"/>
              <w:rPr>
                <w:rFonts w:ascii="Calibri" w:hAnsi="Calibri" w:cs="Calibri"/>
                <w:color w:val="000000"/>
                <w:sz w:val="18"/>
                <w:szCs w:val="18"/>
                <w:lang w:val="en-AU"/>
              </w:rPr>
            </w:pPr>
            <w:r w:rsidRPr="00C723E0">
              <w:rPr>
                <w:rFonts w:ascii="Calibri" w:hAnsi="Calibri" w:cs="Calibri"/>
                <w:b/>
                <w:bCs/>
                <w:color w:val="000000"/>
                <w:sz w:val="18"/>
                <w:szCs w:val="18"/>
                <w:lang w:val="en-AU"/>
              </w:rPr>
              <w:t>Effectiveness and impact</w:t>
            </w:r>
          </w:p>
        </w:tc>
        <w:tc>
          <w:tcPr>
            <w:tcW w:w="3240" w:type="dxa"/>
          </w:tcPr>
          <w:p w14:paraId="1D1C1E10" w14:textId="7ED5C2E6" w:rsidR="004958DF" w:rsidRPr="00C723E0" w:rsidRDefault="004958DF" w:rsidP="00033C5D">
            <w:pPr>
              <w:autoSpaceDE w:val="0"/>
              <w:autoSpaceDN w:val="0"/>
              <w:adjustRightInd w:val="0"/>
              <w:jc w:val="both"/>
              <w:rPr>
                <w:rFonts w:ascii="Calibri" w:hAnsi="Calibri" w:cs="Calibri"/>
                <w:color w:val="000000"/>
                <w:sz w:val="18"/>
                <w:szCs w:val="18"/>
                <w:lang w:val="en-AU"/>
              </w:rPr>
            </w:pPr>
            <w:r w:rsidRPr="00C723E0">
              <w:rPr>
                <w:rFonts w:ascii="Calibri" w:hAnsi="Calibri" w:cs="Calibri"/>
                <w:color w:val="000000"/>
                <w:sz w:val="18"/>
                <w:szCs w:val="18"/>
                <w:lang w:val="en-AU"/>
              </w:rPr>
              <w:t>To what extent has the FPDSP delivered its anticipated impacts, with particular reference to the evaluative questions in the M&amp;E framework?</w:t>
            </w:r>
          </w:p>
          <w:p w14:paraId="5ABA208E" w14:textId="77777777" w:rsidR="004958DF" w:rsidRPr="00C723E0" w:rsidRDefault="004958DF" w:rsidP="00033C5D">
            <w:pPr>
              <w:rPr>
                <w:rFonts w:ascii="Calibri" w:hAnsi="Calibri" w:cs="Calibri"/>
                <w:sz w:val="18"/>
                <w:szCs w:val="18"/>
                <w:lang w:val="en-AU"/>
              </w:rPr>
            </w:pPr>
          </w:p>
        </w:tc>
        <w:tc>
          <w:tcPr>
            <w:tcW w:w="4675" w:type="dxa"/>
          </w:tcPr>
          <w:p w14:paraId="317FD223" w14:textId="77777777" w:rsidR="004958DF" w:rsidRPr="00C723E0" w:rsidRDefault="004958DF" w:rsidP="00033C5D">
            <w:pPr>
              <w:autoSpaceDE w:val="0"/>
              <w:autoSpaceDN w:val="0"/>
              <w:adjustRightInd w:val="0"/>
              <w:jc w:val="both"/>
              <w:rPr>
                <w:rFonts w:ascii="Calibri" w:hAnsi="Calibri" w:cs="Calibri"/>
                <w:sz w:val="18"/>
                <w:szCs w:val="18"/>
                <w:lang w:val="en-AU"/>
              </w:rPr>
            </w:pPr>
            <w:r w:rsidRPr="00C723E0">
              <w:rPr>
                <w:rFonts w:ascii="Calibri" w:hAnsi="Calibri" w:cs="Calibri"/>
                <w:sz w:val="18"/>
                <w:szCs w:val="18"/>
                <w:lang w:val="en-AU"/>
              </w:rPr>
              <w:t xml:space="preserve">How </w:t>
            </w:r>
            <w:r w:rsidRPr="00C723E0">
              <w:rPr>
                <w:rFonts w:ascii="Calibri" w:hAnsi="Calibri" w:cs="Calibri"/>
                <w:color w:val="000000"/>
                <w:sz w:val="18"/>
                <w:szCs w:val="18"/>
                <w:lang w:val="en-AU"/>
              </w:rPr>
              <w:t>effectively has the Partnership been able to respond and adapt to the evolving needs of private sector stakeholders</w:t>
            </w:r>
            <w:r w:rsidRPr="00C723E0">
              <w:rPr>
                <w:rFonts w:ascii="Calibri" w:hAnsi="Calibri" w:cs="Calibri"/>
                <w:sz w:val="18"/>
                <w:szCs w:val="18"/>
                <w:lang w:val="en-AU"/>
              </w:rPr>
              <w:t xml:space="preserve"> and the enabling environment for private investment in Fiji? </w:t>
            </w:r>
          </w:p>
          <w:p w14:paraId="0FAD476F" w14:textId="77777777" w:rsidR="004958DF" w:rsidRPr="00C723E0" w:rsidRDefault="004958DF" w:rsidP="00033C5D">
            <w:pPr>
              <w:autoSpaceDE w:val="0"/>
              <w:autoSpaceDN w:val="0"/>
              <w:adjustRightInd w:val="0"/>
              <w:jc w:val="both"/>
              <w:rPr>
                <w:rFonts w:ascii="Calibri" w:hAnsi="Calibri" w:cs="Calibri"/>
                <w:sz w:val="18"/>
                <w:szCs w:val="18"/>
                <w:lang w:val="en-AU"/>
              </w:rPr>
            </w:pPr>
            <w:r w:rsidRPr="00C723E0">
              <w:rPr>
                <w:rFonts w:ascii="Calibri" w:hAnsi="Calibri" w:cs="Calibri"/>
                <w:sz w:val="18"/>
                <w:szCs w:val="18"/>
                <w:lang w:val="en-AU"/>
              </w:rPr>
              <w:t>Has the range of project types/interventions (Private Public Partnerships, firm level technical advice, government technical advice etc) been sufficient and appropriate.</w:t>
            </w:r>
          </w:p>
          <w:p w14:paraId="059A2214" w14:textId="77777777" w:rsidR="004958DF" w:rsidRPr="00C723E0" w:rsidRDefault="004958DF" w:rsidP="00033C5D">
            <w:pPr>
              <w:autoSpaceDE w:val="0"/>
              <w:autoSpaceDN w:val="0"/>
              <w:adjustRightInd w:val="0"/>
              <w:jc w:val="both"/>
              <w:rPr>
                <w:rFonts w:ascii="Calibri" w:hAnsi="Calibri" w:cs="Calibri"/>
                <w:sz w:val="18"/>
                <w:szCs w:val="18"/>
                <w:lang w:val="en-AU"/>
              </w:rPr>
            </w:pPr>
            <w:r w:rsidRPr="00C723E0">
              <w:rPr>
                <w:rFonts w:ascii="Calibri" w:hAnsi="Calibri" w:cs="Calibri"/>
                <w:sz w:val="18"/>
                <w:szCs w:val="18"/>
                <w:lang w:val="en-AU"/>
              </w:rPr>
              <w:t>Has there been any identified barriers including those related to delivery in complex/challenging environments?</w:t>
            </w:r>
          </w:p>
        </w:tc>
      </w:tr>
      <w:tr w:rsidR="004958DF" w:rsidRPr="00C723E0" w14:paraId="2B02EAC4" w14:textId="77777777" w:rsidTr="0051467C">
        <w:tc>
          <w:tcPr>
            <w:tcW w:w="1435" w:type="dxa"/>
          </w:tcPr>
          <w:p w14:paraId="6EDC05BB" w14:textId="3B537F03" w:rsidR="004958DF" w:rsidRPr="00C723E0" w:rsidRDefault="004958DF" w:rsidP="004958DF">
            <w:pPr>
              <w:autoSpaceDE w:val="0"/>
              <w:autoSpaceDN w:val="0"/>
              <w:adjustRightInd w:val="0"/>
              <w:rPr>
                <w:rFonts w:ascii="Calibri" w:hAnsi="Calibri" w:cs="Calibri"/>
                <w:color w:val="000000"/>
                <w:sz w:val="18"/>
                <w:szCs w:val="18"/>
                <w:lang w:val="en-AU"/>
              </w:rPr>
            </w:pPr>
            <w:r w:rsidRPr="00C723E0">
              <w:rPr>
                <w:rFonts w:ascii="Calibri" w:hAnsi="Calibri" w:cs="Calibri"/>
                <w:b/>
                <w:bCs/>
                <w:color w:val="000000"/>
                <w:sz w:val="18"/>
                <w:szCs w:val="18"/>
                <w:lang w:val="en-AU"/>
              </w:rPr>
              <w:t>Coherence</w:t>
            </w:r>
          </w:p>
        </w:tc>
        <w:tc>
          <w:tcPr>
            <w:tcW w:w="3240" w:type="dxa"/>
          </w:tcPr>
          <w:p w14:paraId="69215738" w14:textId="2BD393DB" w:rsidR="004958DF" w:rsidRPr="00C723E0" w:rsidRDefault="004958DF" w:rsidP="00033C5D">
            <w:pPr>
              <w:autoSpaceDE w:val="0"/>
              <w:autoSpaceDN w:val="0"/>
              <w:adjustRightInd w:val="0"/>
              <w:jc w:val="both"/>
              <w:rPr>
                <w:rFonts w:ascii="Calibri" w:hAnsi="Calibri" w:cs="Calibri"/>
                <w:color w:val="000000"/>
                <w:sz w:val="18"/>
                <w:szCs w:val="18"/>
                <w:lang w:val="en-AU"/>
              </w:rPr>
            </w:pPr>
            <w:r w:rsidRPr="00C723E0">
              <w:rPr>
                <w:rFonts w:ascii="Calibri" w:hAnsi="Calibri" w:cs="Calibri"/>
                <w:color w:val="000000"/>
                <w:sz w:val="18"/>
                <w:szCs w:val="18"/>
                <w:lang w:val="en-AU"/>
              </w:rPr>
              <w:t>To what extent did the FPSDP and its interventions complement (and collaborate with) other private sector development work being undertaken in Fiji?</w:t>
            </w:r>
          </w:p>
        </w:tc>
        <w:tc>
          <w:tcPr>
            <w:tcW w:w="4675" w:type="dxa"/>
          </w:tcPr>
          <w:p w14:paraId="3F1BDD3B" w14:textId="77777777" w:rsidR="004958DF" w:rsidRPr="00A26E3C" w:rsidRDefault="004958DF" w:rsidP="545ABE6F">
            <w:pPr>
              <w:pStyle w:val="NoSpacing"/>
              <w:autoSpaceDE w:val="0"/>
              <w:autoSpaceDN w:val="0"/>
              <w:adjustRightInd w:val="0"/>
              <w:jc w:val="both"/>
              <w:rPr>
                <w:rFonts w:ascii="Calibri" w:hAnsi="Calibri" w:cs="Calibri"/>
                <w:b/>
                <w:bCs/>
                <w:color w:val="000000"/>
                <w:sz w:val="18"/>
                <w:szCs w:val="18"/>
                <w:lang w:val="en-ID"/>
              </w:rPr>
            </w:pPr>
            <w:r w:rsidRPr="545ABE6F">
              <w:rPr>
                <w:rFonts w:ascii="Calibri" w:hAnsi="Calibri" w:cs="Calibri"/>
                <w:color w:val="000000" w:themeColor="text1"/>
                <w:sz w:val="18"/>
                <w:szCs w:val="18"/>
                <w:lang w:val="en-ID"/>
              </w:rPr>
              <w:t>Has FPSDP supported DFAT’s policy objectives (included in the M&amp;E Framework), and has this support complemented and aligned with other donor programming?</w:t>
            </w:r>
          </w:p>
        </w:tc>
      </w:tr>
      <w:tr w:rsidR="004958DF" w:rsidRPr="00C723E0" w14:paraId="173E9CEB" w14:textId="77777777" w:rsidTr="0051467C">
        <w:tc>
          <w:tcPr>
            <w:tcW w:w="1435" w:type="dxa"/>
          </w:tcPr>
          <w:p w14:paraId="7B2F72E4" w14:textId="2BF1531A" w:rsidR="004958DF" w:rsidRPr="00C723E0" w:rsidRDefault="004958DF" w:rsidP="004958DF">
            <w:pPr>
              <w:pStyle w:val="NoSpacing"/>
              <w:autoSpaceDE w:val="0"/>
              <w:autoSpaceDN w:val="0"/>
              <w:adjustRightInd w:val="0"/>
              <w:rPr>
                <w:rFonts w:ascii="Calibri" w:hAnsi="Calibri" w:cs="Calibri"/>
                <w:color w:val="000000"/>
                <w:sz w:val="18"/>
                <w:szCs w:val="18"/>
              </w:rPr>
            </w:pPr>
            <w:r w:rsidRPr="00C723E0">
              <w:rPr>
                <w:rFonts w:ascii="Calibri" w:hAnsi="Calibri" w:cs="Calibri"/>
                <w:b/>
                <w:bCs/>
                <w:color w:val="000000"/>
                <w:sz w:val="18"/>
                <w:szCs w:val="18"/>
              </w:rPr>
              <w:t>Sustainability</w:t>
            </w:r>
          </w:p>
        </w:tc>
        <w:tc>
          <w:tcPr>
            <w:tcW w:w="3240" w:type="dxa"/>
          </w:tcPr>
          <w:p w14:paraId="5F29DE55" w14:textId="1FB844AD" w:rsidR="004958DF" w:rsidRPr="00C723E0" w:rsidRDefault="004958DF" w:rsidP="00033C5D">
            <w:pPr>
              <w:pStyle w:val="NoSpacing"/>
              <w:autoSpaceDE w:val="0"/>
              <w:autoSpaceDN w:val="0"/>
              <w:adjustRightInd w:val="0"/>
              <w:jc w:val="both"/>
              <w:rPr>
                <w:rFonts w:ascii="Calibri" w:hAnsi="Calibri" w:cs="Calibri"/>
                <w:color w:val="000000"/>
                <w:sz w:val="18"/>
                <w:szCs w:val="18"/>
              </w:rPr>
            </w:pPr>
            <w:r w:rsidRPr="00C723E0">
              <w:rPr>
                <w:rFonts w:ascii="Calibri" w:hAnsi="Calibri" w:cs="Calibri"/>
                <w:color w:val="000000"/>
                <w:sz w:val="18"/>
                <w:szCs w:val="18"/>
              </w:rPr>
              <w:t xml:space="preserve">What are the overall highlights and lessons learned for the Partnership in terms of design of private sector development and investment programming in Fiji? </w:t>
            </w:r>
          </w:p>
        </w:tc>
        <w:tc>
          <w:tcPr>
            <w:tcW w:w="4675" w:type="dxa"/>
          </w:tcPr>
          <w:p w14:paraId="64435033" w14:textId="77777777" w:rsidR="004958DF" w:rsidRPr="00A26E3C" w:rsidRDefault="004958DF" w:rsidP="545ABE6F">
            <w:pPr>
              <w:pStyle w:val="NoSpacing"/>
              <w:autoSpaceDE w:val="0"/>
              <w:autoSpaceDN w:val="0"/>
              <w:adjustRightInd w:val="0"/>
              <w:jc w:val="both"/>
              <w:rPr>
                <w:rFonts w:ascii="Calibri" w:hAnsi="Calibri" w:cs="Calibri"/>
                <w:color w:val="000000"/>
                <w:sz w:val="18"/>
                <w:szCs w:val="18"/>
                <w:lang w:val="en-ID"/>
              </w:rPr>
            </w:pPr>
            <w:r w:rsidRPr="545ABE6F">
              <w:rPr>
                <w:rFonts w:ascii="Calibri" w:hAnsi="Calibri" w:cs="Calibri"/>
                <w:color w:val="000000" w:themeColor="text1"/>
                <w:sz w:val="18"/>
                <w:szCs w:val="18"/>
                <w:lang w:val="en-ID"/>
              </w:rPr>
              <w:t>Include reference to impacts related to gender, disability and climate change</w:t>
            </w:r>
          </w:p>
          <w:p w14:paraId="05688EE5" w14:textId="77777777" w:rsidR="004958DF" w:rsidRPr="00A26E3C" w:rsidRDefault="004958DF" w:rsidP="385CBC54">
            <w:pPr>
              <w:pStyle w:val="NoSpacing"/>
              <w:autoSpaceDE w:val="0"/>
              <w:autoSpaceDN w:val="0"/>
              <w:adjustRightInd w:val="0"/>
              <w:jc w:val="both"/>
              <w:rPr>
                <w:rFonts w:ascii="Calibri" w:hAnsi="Calibri" w:cs="Calibri"/>
                <w:color w:val="000000"/>
                <w:sz w:val="18"/>
                <w:szCs w:val="18"/>
                <w:lang w:val="en-ID"/>
              </w:rPr>
            </w:pPr>
            <w:r w:rsidRPr="385CBC54">
              <w:rPr>
                <w:rFonts w:ascii="Calibri" w:hAnsi="Calibri" w:cs="Calibri"/>
                <w:color w:val="000000" w:themeColor="text1"/>
                <w:sz w:val="18"/>
                <w:szCs w:val="18"/>
                <w:lang w:val="en-ID"/>
              </w:rPr>
              <w:t>Are impacts likely to be sustained?</w:t>
            </w:r>
          </w:p>
        </w:tc>
      </w:tr>
    </w:tbl>
    <w:p w14:paraId="700B2823" w14:textId="77777777" w:rsidR="00F76090" w:rsidRPr="00C723E0" w:rsidRDefault="00F76090" w:rsidP="00F76090">
      <w:pPr>
        <w:pStyle w:val="BodyText"/>
        <w:rPr>
          <w:rFonts w:cs="Calibri"/>
          <w:lang w:val="en-AU"/>
        </w:rPr>
      </w:pPr>
    </w:p>
    <w:p w14:paraId="6430D3C6" w14:textId="72EDB2F4" w:rsidR="008362E5" w:rsidRPr="00C723E0" w:rsidRDefault="008362E5" w:rsidP="008362E5">
      <w:pPr>
        <w:pStyle w:val="BodyText"/>
        <w:jc w:val="both"/>
        <w:rPr>
          <w:rFonts w:cs="Calibri"/>
          <w:szCs w:val="22"/>
          <w:lang w:val="en-AU"/>
        </w:rPr>
      </w:pPr>
      <w:r w:rsidRPr="00C723E0">
        <w:rPr>
          <w:rFonts w:cs="Calibri"/>
          <w:szCs w:val="22"/>
          <w:lang w:val="en-AU"/>
        </w:rPr>
        <w:t xml:space="preserve">In the report below, </w:t>
      </w:r>
      <w:r w:rsidR="003E33AD" w:rsidRPr="00C723E0">
        <w:rPr>
          <w:rFonts w:cs="Calibri"/>
          <w:szCs w:val="22"/>
          <w:lang w:val="en-AU"/>
        </w:rPr>
        <w:t>coherence</w:t>
      </w:r>
      <w:r w:rsidRPr="00C723E0">
        <w:rPr>
          <w:rFonts w:cs="Calibri"/>
          <w:szCs w:val="22"/>
          <w:lang w:val="en-AU"/>
        </w:rPr>
        <w:t xml:space="preserve"> and effectiveness have been switched around. This was primarily </w:t>
      </w:r>
      <w:r w:rsidR="003E33AD" w:rsidRPr="00C723E0">
        <w:rPr>
          <w:rFonts w:cs="Calibri"/>
          <w:szCs w:val="22"/>
          <w:lang w:val="en-AU"/>
        </w:rPr>
        <w:t>because</w:t>
      </w:r>
      <w:r w:rsidRPr="00C723E0">
        <w:rPr>
          <w:rFonts w:cs="Calibri"/>
          <w:szCs w:val="22"/>
          <w:lang w:val="en-AU"/>
        </w:rPr>
        <w:t xml:space="preserve"> elements</w:t>
      </w:r>
      <w:r w:rsidR="003E33AD" w:rsidRPr="00C723E0">
        <w:rPr>
          <w:rFonts w:cs="Calibri"/>
          <w:szCs w:val="22"/>
          <w:lang w:val="en-AU"/>
        </w:rPr>
        <w:t xml:space="preserve"> </w:t>
      </w:r>
      <w:r w:rsidRPr="00C723E0">
        <w:rPr>
          <w:rFonts w:cs="Calibri"/>
          <w:szCs w:val="22"/>
          <w:lang w:val="en-AU"/>
        </w:rPr>
        <w:t xml:space="preserve">of the MEL </w:t>
      </w:r>
      <w:r w:rsidR="003E33AD" w:rsidRPr="00C723E0">
        <w:rPr>
          <w:rFonts w:cs="Calibri"/>
          <w:szCs w:val="22"/>
          <w:lang w:val="en-AU"/>
        </w:rPr>
        <w:t>framework</w:t>
      </w:r>
      <w:r w:rsidRPr="00C723E0">
        <w:rPr>
          <w:rFonts w:cs="Calibri"/>
          <w:szCs w:val="22"/>
          <w:lang w:val="en-AU"/>
        </w:rPr>
        <w:t xml:space="preserve"> were introduced in the </w:t>
      </w:r>
      <w:r w:rsidR="003E33AD" w:rsidRPr="00C723E0">
        <w:rPr>
          <w:rFonts w:cs="Calibri"/>
          <w:szCs w:val="22"/>
          <w:lang w:val="en-AU"/>
        </w:rPr>
        <w:t>coherence</w:t>
      </w:r>
      <w:r w:rsidRPr="00C723E0">
        <w:rPr>
          <w:rFonts w:cs="Calibri"/>
          <w:szCs w:val="22"/>
          <w:lang w:val="en-AU"/>
        </w:rPr>
        <w:t xml:space="preserve"> section</w:t>
      </w:r>
      <w:r w:rsidR="003E33AD" w:rsidRPr="00C723E0">
        <w:rPr>
          <w:rFonts w:cs="Calibri"/>
          <w:szCs w:val="22"/>
          <w:lang w:val="en-AU"/>
        </w:rPr>
        <w:t>,</w:t>
      </w:r>
      <w:r w:rsidRPr="00C723E0">
        <w:rPr>
          <w:rFonts w:cs="Calibri"/>
          <w:szCs w:val="22"/>
          <w:lang w:val="en-AU"/>
        </w:rPr>
        <w:t xml:space="preserve"> which had direct implications for </w:t>
      </w:r>
      <w:r w:rsidR="003E33AD" w:rsidRPr="00C723E0">
        <w:rPr>
          <w:rFonts w:cs="Calibri"/>
          <w:szCs w:val="22"/>
          <w:lang w:val="en-AU"/>
        </w:rPr>
        <w:t>aspects of</w:t>
      </w:r>
      <w:r w:rsidRPr="00C723E0">
        <w:rPr>
          <w:rFonts w:cs="Calibri"/>
          <w:szCs w:val="22"/>
          <w:lang w:val="en-AU"/>
        </w:rPr>
        <w:t xml:space="preserve"> effectiveness.</w:t>
      </w:r>
      <w:r w:rsidR="003E33AD" w:rsidRPr="00C723E0">
        <w:rPr>
          <w:rFonts w:cs="Calibri"/>
          <w:szCs w:val="22"/>
          <w:lang w:val="en-AU"/>
        </w:rPr>
        <w:t xml:space="preserve"> </w:t>
      </w:r>
      <w:r w:rsidRPr="00C723E0">
        <w:rPr>
          <w:rFonts w:cs="Calibri"/>
          <w:szCs w:val="22"/>
          <w:lang w:val="en-AU"/>
        </w:rPr>
        <w:t>Table</w:t>
      </w:r>
      <w:r w:rsidR="003E33AD" w:rsidRPr="00C723E0">
        <w:rPr>
          <w:rFonts w:cs="Calibri"/>
          <w:szCs w:val="22"/>
          <w:lang w:val="en-AU"/>
        </w:rPr>
        <w:t xml:space="preserve"> 1</w:t>
      </w:r>
      <w:r w:rsidRPr="00C723E0">
        <w:rPr>
          <w:rFonts w:cs="Calibri"/>
          <w:szCs w:val="22"/>
          <w:lang w:val="en-AU"/>
        </w:rPr>
        <w:t xml:space="preserve"> above </w:t>
      </w:r>
      <w:r w:rsidR="003E33AD" w:rsidRPr="00C723E0">
        <w:rPr>
          <w:rFonts w:cs="Calibri"/>
          <w:szCs w:val="22"/>
          <w:lang w:val="en-AU"/>
        </w:rPr>
        <w:t>highlights</w:t>
      </w:r>
      <w:r w:rsidRPr="00C723E0">
        <w:rPr>
          <w:rFonts w:cs="Calibri"/>
          <w:szCs w:val="22"/>
          <w:lang w:val="en-AU"/>
        </w:rPr>
        <w:t xml:space="preserve"> th</w:t>
      </w:r>
      <w:r w:rsidR="003E33AD" w:rsidRPr="00C723E0">
        <w:rPr>
          <w:rFonts w:cs="Calibri"/>
          <w:szCs w:val="22"/>
          <w:lang w:val="en-AU"/>
        </w:rPr>
        <w:t>e q</w:t>
      </w:r>
      <w:r w:rsidRPr="00C723E0">
        <w:rPr>
          <w:rFonts w:cs="Calibri"/>
          <w:szCs w:val="22"/>
          <w:lang w:val="en-AU"/>
        </w:rPr>
        <w:t>uestions as per the ToR.</w:t>
      </w:r>
    </w:p>
    <w:p w14:paraId="11B649AF" w14:textId="7FB6B920" w:rsidR="00F76090" w:rsidRPr="00C723E0" w:rsidRDefault="00F76090" w:rsidP="4EF1951E">
      <w:pPr>
        <w:pStyle w:val="Heading1"/>
        <w:rPr>
          <w:rFonts w:cs="Calibri"/>
          <w:b w:val="0"/>
          <w:bCs/>
          <w:lang w:val="en-AU"/>
        </w:rPr>
      </w:pPr>
      <w:bookmarkStart w:id="27" w:name="_Toc201131768"/>
      <w:bookmarkStart w:id="28" w:name="_Toc206675820"/>
      <w:r w:rsidRPr="4EF1951E">
        <w:rPr>
          <w:rFonts w:cs="Calibri"/>
          <w:b w:val="0"/>
          <w:bCs/>
          <w:lang w:val="en-AU"/>
        </w:rPr>
        <w:t>Evaluation Limitations</w:t>
      </w:r>
      <w:bookmarkEnd w:id="27"/>
      <w:bookmarkEnd w:id="28"/>
    </w:p>
    <w:p w14:paraId="733B007B" w14:textId="42C7AFBC" w:rsidR="00355865" w:rsidRPr="00C723E0" w:rsidRDefault="00355865" w:rsidP="00355865">
      <w:pPr>
        <w:pStyle w:val="BodyText"/>
        <w:jc w:val="both"/>
        <w:rPr>
          <w:rFonts w:cs="Calibri"/>
          <w:b/>
          <w:szCs w:val="22"/>
          <w:lang w:val="en-AU"/>
        </w:rPr>
      </w:pPr>
      <w:r w:rsidRPr="00C723E0">
        <w:rPr>
          <w:rFonts w:cs="Calibri"/>
          <w:szCs w:val="22"/>
          <w:lang w:val="en-AU"/>
        </w:rPr>
        <w:t>All evaluations and reviews have limitations in terms of time and resources. Some limitations of th</w:t>
      </w:r>
      <w:r w:rsidR="00280B2C" w:rsidRPr="00C723E0">
        <w:rPr>
          <w:rFonts w:cs="Calibri"/>
          <w:szCs w:val="22"/>
          <w:lang w:val="en-AU"/>
        </w:rPr>
        <w:t>e final</w:t>
      </w:r>
      <w:r w:rsidRPr="00C723E0">
        <w:rPr>
          <w:rFonts w:cs="Calibri"/>
          <w:szCs w:val="22"/>
          <w:lang w:val="en-AU"/>
        </w:rPr>
        <w:t xml:space="preserve"> evaluation are outlined below: </w:t>
      </w:r>
    </w:p>
    <w:p w14:paraId="398E630C" w14:textId="671F88BA" w:rsidR="00355865" w:rsidRPr="00C723E0" w:rsidRDefault="00355865" w:rsidP="00355865">
      <w:pPr>
        <w:pStyle w:val="BodyText"/>
        <w:jc w:val="both"/>
        <w:rPr>
          <w:rFonts w:cs="Calibri"/>
          <w:szCs w:val="22"/>
          <w:lang w:val="en-AU"/>
        </w:rPr>
      </w:pPr>
      <w:r w:rsidRPr="00C723E0">
        <w:rPr>
          <w:rFonts w:cs="Calibri"/>
          <w:b/>
          <w:szCs w:val="22"/>
          <w:lang w:val="en-AU"/>
        </w:rPr>
        <w:t>Time and Resources:</w:t>
      </w:r>
      <w:r w:rsidRPr="00C723E0">
        <w:rPr>
          <w:rFonts w:cs="Calibri"/>
          <w:szCs w:val="22"/>
          <w:lang w:val="en-AU"/>
        </w:rPr>
        <w:t xml:space="preserve"> </w:t>
      </w:r>
      <w:r w:rsidR="00B2301D" w:rsidRPr="00C723E0">
        <w:rPr>
          <w:rFonts w:cs="Calibri"/>
          <w:szCs w:val="22"/>
          <w:lang w:val="en-AU"/>
        </w:rPr>
        <w:t>T</w:t>
      </w:r>
      <w:r w:rsidRPr="00C723E0">
        <w:rPr>
          <w:rFonts w:cs="Calibri"/>
          <w:szCs w:val="22"/>
          <w:lang w:val="en-AU"/>
        </w:rPr>
        <w:t>he rigour of the data gathering analysis w</w:t>
      </w:r>
      <w:r w:rsidR="00280B2C" w:rsidRPr="00C723E0">
        <w:rPr>
          <w:rFonts w:cs="Calibri"/>
          <w:szCs w:val="22"/>
          <w:lang w:val="en-AU"/>
        </w:rPr>
        <w:t>as</w:t>
      </w:r>
      <w:r w:rsidRPr="00C723E0">
        <w:rPr>
          <w:rFonts w:cs="Calibri"/>
          <w:szCs w:val="22"/>
          <w:lang w:val="en-AU"/>
        </w:rPr>
        <w:t xml:space="preserve"> constrained to some degree by the time available.</w:t>
      </w:r>
      <w:r w:rsidR="00262EF7" w:rsidRPr="00C723E0">
        <w:rPr>
          <w:rFonts w:cs="Calibri"/>
          <w:szCs w:val="22"/>
          <w:lang w:val="en-AU"/>
        </w:rPr>
        <w:t xml:space="preserve"> T</w:t>
      </w:r>
      <w:r w:rsidRPr="00C723E0">
        <w:rPr>
          <w:rFonts w:cs="Calibri"/>
          <w:szCs w:val="22"/>
          <w:lang w:val="en-AU"/>
        </w:rPr>
        <w:t xml:space="preserve">he evaluator worked closely with IFC and DFAT to identify and select key stakeholders to </w:t>
      </w:r>
      <w:r w:rsidRPr="00C723E0">
        <w:rPr>
          <w:rFonts w:cs="Calibri"/>
          <w:szCs w:val="22"/>
          <w:lang w:val="en-AU"/>
        </w:rPr>
        <w:lastRenderedPageBreak/>
        <w:t>meet with during the interview process.</w:t>
      </w:r>
      <w:r w:rsidR="00280B2C" w:rsidRPr="00C723E0">
        <w:rPr>
          <w:rFonts w:cs="Calibri"/>
          <w:szCs w:val="22"/>
          <w:lang w:val="en-AU"/>
        </w:rPr>
        <w:t xml:space="preserve"> </w:t>
      </w:r>
      <w:r w:rsidR="00617338" w:rsidRPr="00C723E0">
        <w:rPr>
          <w:rFonts w:cs="Calibri"/>
          <w:szCs w:val="22"/>
          <w:lang w:val="en-AU"/>
        </w:rPr>
        <w:t>Flexibility</w:t>
      </w:r>
      <w:r w:rsidR="00280B2C" w:rsidRPr="00C723E0">
        <w:rPr>
          <w:rFonts w:cs="Calibri"/>
          <w:szCs w:val="22"/>
          <w:lang w:val="en-AU"/>
        </w:rPr>
        <w:t xml:space="preserve"> was maintained to capture some interviews and consultations online.</w:t>
      </w:r>
    </w:p>
    <w:p w14:paraId="267AA0A6" w14:textId="3C1A2439" w:rsidR="00355865" w:rsidRPr="00C723E0" w:rsidRDefault="00355865" w:rsidP="00355865">
      <w:pPr>
        <w:pStyle w:val="BodyText"/>
        <w:jc w:val="both"/>
        <w:rPr>
          <w:rFonts w:cs="Calibri"/>
          <w:szCs w:val="22"/>
          <w:lang w:val="en-AU"/>
        </w:rPr>
      </w:pPr>
      <w:r w:rsidRPr="00C723E0">
        <w:rPr>
          <w:rFonts w:cs="Calibri"/>
          <w:b/>
          <w:bCs/>
          <w:szCs w:val="22"/>
          <w:lang w:val="en-AU"/>
        </w:rPr>
        <w:t xml:space="preserve">Representation of Stakeholders: </w:t>
      </w:r>
      <w:r w:rsidRPr="00C723E0">
        <w:rPr>
          <w:rFonts w:cs="Calibri"/>
          <w:szCs w:val="22"/>
          <w:lang w:val="en-AU"/>
        </w:rPr>
        <w:t xml:space="preserve">Many of the stakeholders </w:t>
      </w:r>
      <w:r w:rsidR="00886577" w:rsidRPr="00C723E0">
        <w:rPr>
          <w:rFonts w:cs="Calibri"/>
          <w:szCs w:val="22"/>
          <w:lang w:val="en-AU"/>
        </w:rPr>
        <w:t xml:space="preserve">were </w:t>
      </w:r>
      <w:r w:rsidRPr="00C723E0">
        <w:rPr>
          <w:rFonts w:cs="Calibri"/>
          <w:szCs w:val="22"/>
          <w:lang w:val="en-AU"/>
        </w:rPr>
        <w:t>quite senior</w:t>
      </w:r>
      <w:r w:rsidR="00262EF7" w:rsidRPr="00C723E0">
        <w:rPr>
          <w:rFonts w:cs="Calibri"/>
          <w:szCs w:val="22"/>
          <w:lang w:val="en-AU"/>
        </w:rPr>
        <w:t xml:space="preserve"> (and often accompanied by working and operational staff)</w:t>
      </w:r>
      <w:r w:rsidR="00886577" w:rsidRPr="00C723E0">
        <w:rPr>
          <w:rFonts w:cs="Calibri"/>
          <w:szCs w:val="22"/>
          <w:lang w:val="en-AU"/>
        </w:rPr>
        <w:t>, and</w:t>
      </w:r>
      <w:r w:rsidRPr="00C723E0">
        <w:rPr>
          <w:rFonts w:cs="Calibri"/>
          <w:szCs w:val="22"/>
          <w:lang w:val="en-AU"/>
        </w:rPr>
        <w:t xml:space="preserve"> care </w:t>
      </w:r>
      <w:r w:rsidR="00262EF7" w:rsidRPr="00C723E0">
        <w:rPr>
          <w:rFonts w:cs="Calibri"/>
          <w:szCs w:val="22"/>
          <w:lang w:val="en-AU"/>
        </w:rPr>
        <w:t>was</w:t>
      </w:r>
      <w:r w:rsidRPr="00C723E0">
        <w:rPr>
          <w:rFonts w:cs="Calibri"/>
          <w:szCs w:val="22"/>
          <w:lang w:val="en-AU"/>
        </w:rPr>
        <w:t xml:space="preserve"> taken to ensure an adequate and appropriate mix of stakeholders </w:t>
      </w:r>
      <w:r w:rsidR="00262EF7" w:rsidRPr="00C723E0">
        <w:rPr>
          <w:rFonts w:cs="Calibri"/>
          <w:szCs w:val="22"/>
          <w:lang w:val="en-AU"/>
        </w:rPr>
        <w:t>we</w:t>
      </w:r>
      <w:r w:rsidRPr="00C723E0">
        <w:rPr>
          <w:rFonts w:cs="Calibri"/>
          <w:szCs w:val="22"/>
          <w:lang w:val="en-AU"/>
        </w:rPr>
        <w:t>re involved, particularly stakeholders who are involved in day-to-day implementation and management.</w:t>
      </w:r>
    </w:p>
    <w:p w14:paraId="4971B940" w14:textId="1C56BBC2" w:rsidR="00355865" w:rsidRPr="00C723E0" w:rsidRDefault="00355865" w:rsidP="00355865">
      <w:pPr>
        <w:pStyle w:val="BodyText"/>
        <w:jc w:val="both"/>
        <w:rPr>
          <w:rFonts w:cs="Calibri"/>
          <w:szCs w:val="22"/>
          <w:lang w:val="en-AU"/>
        </w:rPr>
      </w:pPr>
      <w:r w:rsidRPr="00C723E0">
        <w:rPr>
          <w:rFonts w:cs="Calibri"/>
          <w:b/>
          <w:szCs w:val="22"/>
          <w:lang w:val="en-AU"/>
        </w:rPr>
        <w:t>Judgements:</w:t>
      </w:r>
      <w:r w:rsidRPr="00C723E0">
        <w:rPr>
          <w:rFonts w:cs="Calibri"/>
          <w:szCs w:val="22"/>
          <w:lang w:val="en-AU"/>
        </w:rPr>
        <w:t xml:space="preserve"> </w:t>
      </w:r>
      <w:r w:rsidR="00B2301D" w:rsidRPr="00C723E0">
        <w:rPr>
          <w:rFonts w:cs="Calibri"/>
          <w:szCs w:val="22"/>
          <w:lang w:val="en-AU"/>
        </w:rPr>
        <w:t>T</w:t>
      </w:r>
      <w:r w:rsidRPr="00C723E0">
        <w:rPr>
          <w:rFonts w:cs="Calibri"/>
          <w:szCs w:val="22"/>
          <w:lang w:val="en-AU"/>
        </w:rPr>
        <w:t>he time limitations mean</w:t>
      </w:r>
      <w:r w:rsidR="00886577" w:rsidRPr="00C723E0">
        <w:rPr>
          <w:rFonts w:cs="Calibri"/>
          <w:szCs w:val="22"/>
          <w:lang w:val="en-AU"/>
        </w:rPr>
        <w:t>t</w:t>
      </w:r>
      <w:r w:rsidRPr="00C723E0">
        <w:rPr>
          <w:rFonts w:cs="Calibri"/>
          <w:szCs w:val="22"/>
          <w:lang w:val="en-AU"/>
        </w:rPr>
        <w:t xml:space="preserve"> professional judgements </w:t>
      </w:r>
      <w:r w:rsidR="00886577" w:rsidRPr="00C723E0">
        <w:rPr>
          <w:rFonts w:cs="Calibri"/>
          <w:szCs w:val="22"/>
          <w:lang w:val="en-AU"/>
        </w:rPr>
        <w:t>needed to</w:t>
      </w:r>
      <w:r w:rsidRPr="00C723E0">
        <w:rPr>
          <w:rFonts w:cs="Calibri"/>
          <w:szCs w:val="22"/>
          <w:lang w:val="en-AU"/>
        </w:rPr>
        <w:t xml:space="preserve"> be employed to interpret stakeholder perspectives.</w:t>
      </w:r>
    </w:p>
    <w:p w14:paraId="5965A0F8" w14:textId="313FE30E" w:rsidR="008362E5" w:rsidRPr="00C723E0" w:rsidRDefault="00355865" w:rsidP="00D972A1">
      <w:pPr>
        <w:tabs>
          <w:tab w:val="left" w:pos="0"/>
        </w:tabs>
        <w:spacing w:after="120"/>
        <w:jc w:val="both"/>
        <w:rPr>
          <w:rFonts w:ascii="Calibri" w:hAnsi="Calibri" w:cs="Calibri"/>
          <w:sz w:val="22"/>
          <w:szCs w:val="22"/>
          <w:lang w:val="en-AU"/>
        </w:rPr>
      </w:pPr>
      <w:r w:rsidRPr="00C723E0">
        <w:rPr>
          <w:rFonts w:ascii="Calibri" w:hAnsi="Calibri" w:cs="Calibri"/>
          <w:b/>
          <w:sz w:val="22"/>
          <w:szCs w:val="22"/>
          <w:lang w:val="en-AU"/>
        </w:rPr>
        <w:t>Attribution</w:t>
      </w:r>
      <w:r w:rsidRPr="00C723E0">
        <w:rPr>
          <w:rFonts w:ascii="Calibri" w:hAnsi="Calibri" w:cs="Calibri"/>
          <w:sz w:val="22"/>
          <w:szCs w:val="22"/>
          <w:lang w:val="en-AU"/>
        </w:rPr>
        <w:t>: The programme operates in a fluid and dynamic environment, and many factors influence performance and operational efficiency. Defining and identifying specific areas of attribution remain</w:t>
      </w:r>
      <w:r w:rsidR="00886577" w:rsidRPr="00C723E0">
        <w:rPr>
          <w:rFonts w:ascii="Calibri" w:hAnsi="Calibri" w:cs="Calibri"/>
          <w:sz w:val="22"/>
          <w:szCs w:val="22"/>
          <w:lang w:val="en-AU"/>
        </w:rPr>
        <w:t xml:space="preserve">ed </w:t>
      </w:r>
      <w:r w:rsidRPr="00C723E0">
        <w:rPr>
          <w:rFonts w:ascii="Calibri" w:hAnsi="Calibri" w:cs="Calibri"/>
          <w:sz w:val="22"/>
          <w:szCs w:val="22"/>
          <w:lang w:val="en-AU"/>
        </w:rPr>
        <w:t>challenging.</w:t>
      </w:r>
    </w:p>
    <w:p w14:paraId="7A860B30" w14:textId="1E22EFE1" w:rsidR="00F76090" w:rsidRPr="00C723E0" w:rsidRDefault="00F76090" w:rsidP="4EF1951E">
      <w:pPr>
        <w:pStyle w:val="Heading1"/>
        <w:spacing w:after="120"/>
        <w:jc w:val="both"/>
        <w:rPr>
          <w:rFonts w:cs="Calibri"/>
          <w:b w:val="0"/>
          <w:bCs/>
          <w:lang w:val="en-AU"/>
        </w:rPr>
      </w:pPr>
      <w:bookmarkStart w:id="29" w:name="_Toc201131769"/>
      <w:bookmarkStart w:id="30" w:name="_Toc206675821"/>
      <w:r w:rsidRPr="4EF1951E">
        <w:rPr>
          <w:rFonts w:cs="Calibri"/>
          <w:b w:val="0"/>
          <w:bCs/>
          <w:lang w:val="en-AU"/>
        </w:rPr>
        <w:t>Key Findings</w:t>
      </w:r>
      <w:bookmarkEnd w:id="29"/>
      <w:bookmarkEnd w:id="30"/>
    </w:p>
    <w:p w14:paraId="136CF54C" w14:textId="623867A1" w:rsidR="00F76090" w:rsidRPr="00C723E0" w:rsidRDefault="00D972A1" w:rsidP="00B2301D">
      <w:pPr>
        <w:spacing w:after="120"/>
        <w:jc w:val="both"/>
        <w:rPr>
          <w:rFonts w:ascii="Calibri" w:hAnsi="Calibri" w:cs="Calibri"/>
          <w:sz w:val="22"/>
          <w:szCs w:val="22"/>
          <w:lang w:val="en-AU"/>
        </w:rPr>
      </w:pPr>
      <w:r w:rsidRPr="00C723E0">
        <w:rPr>
          <w:rFonts w:ascii="Calibri" w:hAnsi="Calibri" w:cs="Calibri"/>
          <w:sz w:val="22"/>
          <w:szCs w:val="22"/>
          <w:lang w:val="en-AU"/>
        </w:rPr>
        <w:t xml:space="preserve">The following sections provide key findings and analysis against the ToR and the KEQs listed above. </w:t>
      </w:r>
      <w:r w:rsidR="00047C6D" w:rsidRPr="00C723E0">
        <w:rPr>
          <w:rFonts w:ascii="Calibri" w:hAnsi="Calibri" w:cs="Calibri"/>
          <w:sz w:val="22"/>
          <w:szCs w:val="22"/>
          <w:lang w:val="en-AU"/>
        </w:rPr>
        <w:t>Secondary</w:t>
      </w:r>
      <w:r w:rsidRPr="00C723E0">
        <w:rPr>
          <w:rFonts w:ascii="Calibri" w:hAnsi="Calibri" w:cs="Calibri"/>
          <w:sz w:val="22"/>
          <w:szCs w:val="22"/>
          <w:lang w:val="en-AU"/>
        </w:rPr>
        <w:t xml:space="preserve"> questions are integrated into relevant sections and sub-sections</w:t>
      </w:r>
      <w:r w:rsidR="006C6428" w:rsidRPr="00C723E0">
        <w:rPr>
          <w:rFonts w:ascii="Calibri" w:hAnsi="Calibri" w:cs="Calibri"/>
          <w:sz w:val="22"/>
          <w:szCs w:val="22"/>
          <w:lang w:val="en-AU"/>
        </w:rPr>
        <w:t>,</w:t>
      </w:r>
      <w:r w:rsidRPr="00C723E0">
        <w:rPr>
          <w:rFonts w:ascii="Calibri" w:hAnsi="Calibri" w:cs="Calibri"/>
          <w:sz w:val="22"/>
          <w:szCs w:val="22"/>
          <w:lang w:val="en-AU"/>
        </w:rPr>
        <w:t xml:space="preserve"> highlighted to demonstrate coverage and completeness. </w:t>
      </w:r>
      <w:r w:rsidR="006F603B">
        <w:rPr>
          <w:rFonts w:ascii="Calibri" w:hAnsi="Calibri" w:cs="Calibri"/>
          <w:sz w:val="22"/>
          <w:szCs w:val="22"/>
          <w:lang w:val="en-AU"/>
        </w:rPr>
        <w:t>The report has also assigned a rating based on each criteria based on a four point scale.</w:t>
      </w:r>
      <w:r w:rsidR="006F603B">
        <w:rPr>
          <w:rStyle w:val="FootnoteReference"/>
          <w:rFonts w:ascii="Calibri" w:hAnsi="Calibri" w:cs="Calibri"/>
          <w:sz w:val="22"/>
          <w:szCs w:val="22"/>
          <w:lang w:val="en-AU"/>
        </w:rPr>
        <w:footnoteReference w:id="6"/>
      </w:r>
      <w:r w:rsidR="006F603B">
        <w:rPr>
          <w:rFonts w:ascii="Calibri" w:hAnsi="Calibri" w:cs="Calibri"/>
          <w:sz w:val="22"/>
          <w:szCs w:val="22"/>
          <w:lang w:val="en-AU"/>
        </w:rPr>
        <w:t xml:space="preserve"> </w:t>
      </w:r>
      <w:r w:rsidRPr="00C723E0">
        <w:rPr>
          <w:rFonts w:ascii="Calibri" w:hAnsi="Calibri" w:cs="Calibri"/>
          <w:sz w:val="22"/>
          <w:szCs w:val="22"/>
          <w:lang w:val="en-AU"/>
        </w:rPr>
        <w:t xml:space="preserve">The results also lead </w:t>
      </w:r>
      <w:r w:rsidR="006C6428" w:rsidRPr="00C723E0">
        <w:rPr>
          <w:rFonts w:ascii="Calibri" w:hAnsi="Calibri" w:cs="Calibri"/>
          <w:sz w:val="22"/>
          <w:szCs w:val="22"/>
          <w:lang w:val="en-AU"/>
        </w:rPr>
        <w:t xml:space="preserve">to </w:t>
      </w:r>
      <w:r w:rsidRPr="00C723E0">
        <w:rPr>
          <w:rFonts w:ascii="Calibri" w:hAnsi="Calibri" w:cs="Calibri"/>
          <w:sz w:val="22"/>
          <w:szCs w:val="22"/>
          <w:lang w:val="en-AU"/>
        </w:rPr>
        <w:t>a series of recommendations and guidance for consideration by project staff and stakeholders for future interventions.</w:t>
      </w:r>
    </w:p>
    <w:p w14:paraId="08C296D6" w14:textId="02363D7B" w:rsidR="00251454" w:rsidRPr="00EB120F" w:rsidRDefault="00F76090" w:rsidP="00EB120F">
      <w:pPr>
        <w:pStyle w:val="Heading2"/>
      </w:pPr>
      <w:bookmarkStart w:id="31" w:name="_Toc201131770"/>
      <w:bookmarkStart w:id="32" w:name="_Toc206675822"/>
      <w:r w:rsidRPr="00EB120F">
        <w:t>Relevance and Efficiency</w:t>
      </w:r>
      <w:bookmarkEnd w:id="31"/>
      <w:bookmarkEnd w:id="32"/>
    </w:p>
    <w:p w14:paraId="08B2112A" w14:textId="1966F0D7" w:rsidR="00D972A1" w:rsidRPr="00C723E0" w:rsidRDefault="00D972A1" w:rsidP="00047C6D">
      <w:pPr>
        <w:spacing w:after="120"/>
        <w:jc w:val="both"/>
        <w:rPr>
          <w:rFonts w:ascii="Calibri" w:hAnsi="Calibri" w:cs="Calibri"/>
          <w:sz w:val="22"/>
          <w:szCs w:val="22"/>
          <w:lang w:val="en-AU"/>
        </w:rPr>
      </w:pPr>
      <w:r w:rsidRPr="00C723E0">
        <w:rPr>
          <w:rFonts w:ascii="Calibri" w:hAnsi="Calibri" w:cs="Calibri"/>
          <w:sz w:val="22"/>
          <w:szCs w:val="22"/>
          <w:lang w:val="en-AU"/>
        </w:rPr>
        <w:t>Relevance is the extent to which an intervention’s objectives and design respond to beneficiaries, country, and partner/institution needs, policies, and priorities, and continue to do so if circumstances change</w:t>
      </w:r>
      <w:r w:rsidRPr="00C723E0">
        <w:rPr>
          <w:rFonts w:ascii="Calibri" w:hAnsi="Calibri" w:cs="Calibri"/>
          <w:i/>
          <w:sz w:val="22"/>
          <w:szCs w:val="22"/>
          <w:vertAlign w:val="superscript"/>
          <w:lang w:val="en-AU"/>
        </w:rPr>
        <w:footnoteReference w:id="7"/>
      </w:r>
      <w:r w:rsidRPr="00C723E0">
        <w:rPr>
          <w:rFonts w:ascii="Calibri" w:hAnsi="Calibri" w:cs="Calibri"/>
          <w:sz w:val="22"/>
          <w:szCs w:val="22"/>
          <w:lang w:val="en-AU"/>
        </w:rPr>
        <w:t xml:space="preserve">. </w:t>
      </w:r>
      <w:r w:rsidR="00194D9B" w:rsidRPr="00C723E0">
        <w:rPr>
          <w:rFonts w:ascii="Calibri" w:hAnsi="Calibri" w:cs="Calibri"/>
          <w:bCs/>
          <w:sz w:val="22"/>
          <w:szCs w:val="22"/>
          <w:lang w:val="en-AU"/>
        </w:rPr>
        <w:t>Efficiency is concerned with how well resources are being used and if their use is likely to result in the timely and economic achievement of results</w:t>
      </w:r>
      <w:r w:rsidR="00194D9B" w:rsidRPr="00C723E0">
        <w:rPr>
          <w:rFonts w:ascii="Calibri" w:hAnsi="Calibri" w:cs="Calibri"/>
          <w:bCs/>
          <w:i/>
          <w:sz w:val="22"/>
          <w:szCs w:val="22"/>
          <w:vertAlign w:val="superscript"/>
          <w:lang w:val="en-AU"/>
        </w:rPr>
        <w:footnoteReference w:id="8"/>
      </w:r>
      <w:r w:rsidR="00194D9B" w:rsidRPr="00C723E0">
        <w:rPr>
          <w:rFonts w:ascii="Calibri" w:hAnsi="Calibri" w:cs="Calibri"/>
          <w:bCs/>
          <w:sz w:val="22"/>
          <w:szCs w:val="22"/>
          <w:lang w:val="en-AU"/>
        </w:rPr>
        <w:t xml:space="preserve">. </w:t>
      </w:r>
      <w:r w:rsidRPr="00C723E0">
        <w:rPr>
          <w:rFonts w:ascii="Calibri" w:hAnsi="Calibri" w:cs="Calibri"/>
          <w:sz w:val="22"/>
          <w:szCs w:val="22"/>
          <w:lang w:val="en-AU"/>
        </w:rPr>
        <w:t>Three aspects of relevance were explored through this evaluation</w:t>
      </w:r>
      <w:r w:rsidR="00540E64" w:rsidRPr="00C723E0">
        <w:rPr>
          <w:rFonts w:ascii="Calibri" w:hAnsi="Calibri" w:cs="Calibri"/>
          <w:sz w:val="22"/>
          <w:szCs w:val="22"/>
          <w:lang w:val="en-AU"/>
        </w:rPr>
        <w:t>:</w:t>
      </w:r>
      <w:r w:rsidRPr="00C723E0">
        <w:rPr>
          <w:rFonts w:ascii="Calibri" w:hAnsi="Calibri" w:cs="Calibri"/>
          <w:sz w:val="22"/>
          <w:szCs w:val="22"/>
          <w:lang w:val="en-AU"/>
        </w:rPr>
        <w:t xml:space="preserve"> </w:t>
      </w:r>
      <w:r w:rsidR="00540E64" w:rsidRPr="00C723E0">
        <w:rPr>
          <w:rFonts w:ascii="Calibri" w:hAnsi="Calibri" w:cs="Calibri"/>
          <w:sz w:val="22"/>
          <w:szCs w:val="22"/>
          <w:lang w:val="en-AU"/>
        </w:rPr>
        <w:t xml:space="preserve">the </w:t>
      </w:r>
      <w:r w:rsidRPr="00C723E0">
        <w:rPr>
          <w:rFonts w:ascii="Calibri" w:hAnsi="Calibri" w:cs="Calibri"/>
          <w:sz w:val="22"/>
          <w:szCs w:val="22"/>
          <w:lang w:val="en-AU"/>
        </w:rPr>
        <w:t xml:space="preserve">needs of </w:t>
      </w:r>
      <w:r w:rsidR="00540E64" w:rsidRPr="00C723E0">
        <w:rPr>
          <w:rFonts w:ascii="Calibri" w:hAnsi="Calibri" w:cs="Calibri"/>
          <w:sz w:val="22"/>
          <w:szCs w:val="22"/>
          <w:lang w:val="en-AU"/>
        </w:rPr>
        <w:t xml:space="preserve">the </w:t>
      </w:r>
      <w:r w:rsidRPr="00C723E0">
        <w:rPr>
          <w:rFonts w:ascii="Calibri" w:hAnsi="Calibri" w:cs="Calibri"/>
          <w:sz w:val="22"/>
          <w:szCs w:val="22"/>
          <w:lang w:val="en-AU"/>
        </w:rPr>
        <w:t>government, firms</w:t>
      </w:r>
      <w:r w:rsidR="006C6428" w:rsidRPr="00C723E0">
        <w:rPr>
          <w:rFonts w:ascii="Calibri" w:hAnsi="Calibri" w:cs="Calibri"/>
          <w:sz w:val="22"/>
          <w:szCs w:val="22"/>
          <w:lang w:val="en-AU"/>
        </w:rPr>
        <w:t>,</w:t>
      </w:r>
      <w:r w:rsidRPr="00C723E0">
        <w:rPr>
          <w:rFonts w:ascii="Calibri" w:hAnsi="Calibri" w:cs="Calibri"/>
          <w:sz w:val="22"/>
          <w:szCs w:val="22"/>
          <w:lang w:val="en-AU"/>
        </w:rPr>
        <w:t xml:space="preserve"> and the partnership itself. The findings against </w:t>
      </w:r>
      <w:r w:rsidR="00262EF7" w:rsidRPr="00C723E0">
        <w:rPr>
          <w:rFonts w:ascii="Calibri" w:hAnsi="Calibri" w:cs="Calibri"/>
          <w:sz w:val="22"/>
          <w:szCs w:val="22"/>
          <w:lang w:val="en-AU"/>
        </w:rPr>
        <w:t>the KEQ and sub-headings related to client needs and partnership design</w:t>
      </w:r>
      <w:r w:rsidRPr="00C723E0">
        <w:rPr>
          <w:rFonts w:ascii="Calibri" w:hAnsi="Calibri" w:cs="Calibri"/>
          <w:sz w:val="22"/>
          <w:szCs w:val="22"/>
          <w:lang w:val="en-AU"/>
        </w:rPr>
        <w:t xml:space="preserve"> are presented below. </w:t>
      </w:r>
    </w:p>
    <w:p w14:paraId="6AAB79B9" w14:textId="164B83ED" w:rsidR="00251454" w:rsidRPr="00271484" w:rsidRDefault="00F76090" w:rsidP="00047C6D">
      <w:pPr>
        <w:spacing w:after="120"/>
        <w:jc w:val="both"/>
        <w:rPr>
          <w:rFonts w:ascii="Calibri" w:hAnsi="Calibri" w:cs="Calibri"/>
          <w:b/>
          <w:bCs/>
          <w:i/>
          <w:iCs/>
          <w:color w:val="000000" w:themeColor="text1"/>
          <w:u w:val="single"/>
          <w:lang w:val="en-AU"/>
        </w:rPr>
      </w:pPr>
      <w:r w:rsidRPr="00271484">
        <w:rPr>
          <w:rFonts w:ascii="Calibri" w:hAnsi="Calibri" w:cs="Calibri"/>
          <w:b/>
          <w:bCs/>
          <w:i/>
          <w:iCs/>
          <w:color w:val="000000" w:themeColor="text1"/>
          <w:u w:val="single"/>
          <w:lang w:val="en-AU"/>
        </w:rPr>
        <w:t>KEQ 1: To what extent was the FPSDP able to respond and adapt to the needs of the private sector and client government agencies in Fiji?</w:t>
      </w:r>
    </w:p>
    <w:p w14:paraId="2F15F503" w14:textId="0A484605" w:rsidR="00886577" w:rsidRPr="00C723E0" w:rsidRDefault="00886577" w:rsidP="00A94191">
      <w:pPr>
        <w:spacing w:after="120"/>
        <w:jc w:val="both"/>
        <w:rPr>
          <w:rFonts w:ascii="Calibri" w:hAnsi="Calibri" w:cs="Calibri"/>
          <w:color w:val="000000" w:themeColor="text1"/>
          <w:sz w:val="22"/>
          <w:szCs w:val="22"/>
          <w:lang w:val="en-AU"/>
        </w:rPr>
      </w:pPr>
      <w:r w:rsidRPr="00C723E0">
        <w:rPr>
          <w:rFonts w:ascii="Calibri" w:hAnsi="Calibri" w:cs="Calibri"/>
          <w:b/>
          <w:bCs/>
          <w:color w:val="000000" w:themeColor="text1"/>
          <w:sz w:val="22"/>
          <w:szCs w:val="22"/>
          <w:lang w:val="en-AU"/>
        </w:rPr>
        <w:t xml:space="preserve">The FPSDP is a well-designed and structured program that </w:t>
      </w:r>
      <w:r w:rsidR="00540E64" w:rsidRPr="00C723E0">
        <w:rPr>
          <w:rFonts w:ascii="Calibri" w:hAnsi="Calibri" w:cs="Calibri"/>
          <w:b/>
          <w:bCs/>
          <w:color w:val="000000" w:themeColor="text1"/>
          <w:sz w:val="22"/>
          <w:szCs w:val="22"/>
          <w:lang w:val="en-AU"/>
        </w:rPr>
        <w:t>is highly relevant</w:t>
      </w:r>
      <w:r w:rsidRPr="00C723E0">
        <w:rPr>
          <w:rFonts w:ascii="Calibri" w:hAnsi="Calibri" w:cs="Calibri"/>
          <w:b/>
          <w:bCs/>
          <w:color w:val="000000" w:themeColor="text1"/>
          <w:sz w:val="22"/>
          <w:szCs w:val="22"/>
          <w:lang w:val="en-AU"/>
        </w:rPr>
        <w:t xml:space="preserve"> to both the GoA and GoF.</w:t>
      </w:r>
      <w:r w:rsidRPr="00C723E0">
        <w:rPr>
          <w:rFonts w:ascii="Calibri" w:hAnsi="Calibri" w:cs="Calibri"/>
          <w:color w:val="000000" w:themeColor="text1"/>
          <w:sz w:val="22"/>
          <w:szCs w:val="22"/>
          <w:lang w:val="en-AU"/>
        </w:rPr>
        <w:t xml:space="preserve"> Through its project selection and implementation, </w:t>
      </w:r>
      <w:r w:rsidR="00663956" w:rsidRPr="00C723E0">
        <w:rPr>
          <w:rFonts w:ascii="Calibri" w:hAnsi="Calibri" w:cs="Calibri"/>
          <w:color w:val="000000" w:themeColor="text1"/>
          <w:sz w:val="22"/>
          <w:szCs w:val="22"/>
          <w:lang w:val="en-AU"/>
        </w:rPr>
        <w:t xml:space="preserve">the program </w:t>
      </w:r>
      <w:r w:rsidRPr="00C723E0">
        <w:rPr>
          <w:rFonts w:ascii="Calibri" w:hAnsi="Calibri" w:cs="Calibri"/>
          <w:color w:val="000000" w:themeColor="text1"/>
          <w:sz w:val="22"/>
          <w:szCs w:val="22"/>
          <w:lang w:val="en-AU"/>
        </w:rPr>
        <w:t xml:space="preserve">demonstrates an ability to respond to the needs of the private sector and the GoF. </w:t>
      </w:r>
    </w:p>
    <w:p w14:paraId="35C8972B" w14:textId="187F34A4" w:rsidR="00886577" w:rsidRPr="00C723E0" w:rsidRDefault="00886577" w:rsidP="00A94191">
      <w:pPr>
        <w:spacing w:after="120"/>
        <w:jc w:val="both"/>
        <w:rPr>
          <w:rFonts w:ascii="Calibri" w:hAnsi="Calibri" w:cs="Calibri"/>
          <w:color w:val="000000" w:themeColor="text1"/>
          <w:sz w:val="22"/>
          <w:szCs w:val="22"/>
          <w:lang w:val="en-AU"/>
        </w:rPr>
      </w:pPr>
      <w:r w:rsidRPr="00C723E0">
        <w:rPr>
          <w:rFonts w:ascii="Calibri" w:hAnsi="Calibri" w:cs="Calibri"/>
          <w:b/>
          <w:bCs/>
          <w:color w:val="000000" w:themeColor="text1"/>
          <w:sz w:val="22"/>
          <w:szCs w:val="22"/>
          <w:lang w:val="en-AU"/>
        </w:rPr>
        <w:t>The program is aligned with the Fiji</w:t>
      </w:r>
      <w:r w:rsidR="00540E64" w:rsidRPr="00C723E0">
        <w:rPr>
          <w:rFonts w:ascii="Calibri" w:hAnsi="Calibri" w:cs="Calibri"/>
          <w:b/>
          <w:bCs/>
          <w:color w:val="000000" w:themeColor="text1"/>
          <w:sz w:val="22"/>
          <w:szCs w:val="22"/>
          <w:lang w:val="en-AU"/>
        </w:rPr>
        <w:t>-</w:t>
      </w:r>
      <w:r w:rsidRPr="00C723E0">
        <w:rPr>
          <w:rFonts w:ascii="Calibri" w:hAnsi="Calibri" w:cs="Calibri"/>
          <w:b/>
          <w:bCs/>
          <w:color w:val="000000" w:themeColor="text1"/>
          <w:sz w:val="22"/>
          <w:szCs w:val="22"/>
          <w:lang w:val="en-AU"/>
        </w:rPr>
        <w:t>Australia Vuvale Partnership Agreement</w:t>
      </w:r>
      <w:r w:rsidRPr="00C723E0">
        <w:rPr>
          <w:rStyle w:val="FootnoteReference"/>
          <w:rFonts w:ascii="Calibri" w:hAnsi="Calibri" w:cs="Calibri"/>
          <w:color w:val="000000" w:themeColor="text1"/>
          <w:sz w:val="22"/>
          <w:szCs w:val="22"/>
          <w:lang w:val="en-AU"/>
        </w:rPr>
        <w:footnoteReference w:id="9"/>
      </w:r>
      <w:r w:rsidRPr="00C723E0">
        <w:rPr>
          <w:rFonts w:ascii="Calibri" w:hAnsi="Calibri" w:cs="Calibri"/>
          <w:color w:val="000000" w:themeColor="text1"/>
          <w:sz w:val="22"/>
          <w:szCs w:val="22"/>
          <w:lang w:val="en-AU"/>
        </w:rPr>
        <w:t>, signed in 2019</w:t>
      </w:r>
      <w:r w:rsidR="00B2301D" w:rsidRPr="00C723E0">
        <w:rPr>
          <w:rFonts w:ascii="Calibri" w:hAnsi="Calibri" w:cs="Calibri"/>
          <w:color w:val="000000" w:themeColor="text1"/>
          <w:sz w:val="22"/>
          <w:szCs w:val="22"/>
          <w:lang w:val="en-AU"/>
        </w:rPr>
        <w:t>,</w:t>
      </w:r>
      <w:r w:rsidRPr="00C723E0">
        <w:rPr>
          <w:rFonts w:ascii="Calibri" w:hAnsi="Calibri" w:cs="Calibri"/>
          <w:color w:val="000000" w:themeColor="text1"/>
          <w:sz w:val="22"/>
          <w:szCs w:val="22"/>
          <w:lang w:val="en-AU"/>
        </w:rPr>
        <w:t xml:space="preserve"> which signalled a commitment to </w:t>
      </w:r>
      <w:r w:rsidR="00E12C9D" w:rsidRPr="00C723E0">
        <w:rPr>
          <w:rFonts w:ascii="Calibri" w:hAnsi="Calibri" w:cs="Calibri"/>
          <w:i/>
          <w:iCs/>
          <w:color w:val="000000" w:themeColor="text1"/>
          <w:sz w:val="22"/>
          <w:szCs w:val="22"/>
          <w:lang w:val="en-AU"/>
        </w:rPr>
        <w:t>closer</w:t>
      </w:r>
      <w:r w:rsidRPr="00C723E0">
        <w:rPr>
          <w:rFonts w:ascii="Calibri" w:hAnsi="Calibri" w:cs="Calibri"/>
          <w:i/>
          <w:iCs/>
          <w:color w:val="000000" w:themeColor="text1"/>
          <w:sz w:val="22"/>
          <w:szCs w:val="22"/>
          <w:lang w:val="en-AU"/>
        </w:rPr>
        <w:t xml:space="preserve"> cooperation, consultation</w:t>
      </w:r>
      <w:r w:rsidR="00B2301D" w:rsidRPr="00C723E0">
        <w:rPr>
          <w:rFonts w:ascii="Calibri" w:hAnsi="Calibri" w:cs="Calibri"/>
          <w:i/>
          <w:iCs/>
          <w:color w:val="000000" w:themeColor="text1"/>
          <w:sz w:val="22"/>
          <w:szCs w:val="22"/>
          <w:lang w:val="en-AU"/>
        </w:rPr>
        <w:t>,</w:t>
      </w:r>
      <w:r w:rsidRPr="00C723E0">
        <w:rPr>
          <w:rFonts w:ascii="Calibri" w:hAnsi="Calibri" w:cs="Calibri"/>
          <w:i/>
          <w:iCs/>
          <w:color w:val="000000" w:themeColor="text1"/>
          <w:sz w:val="22"/>
          <w:szCs w:val="22"/>
          <w:lang w:val="en-AU"/>
        </w:rPr>
        <w:t xml:space="preserve"> and friendship. </w:t>
      </w:r>
      <w:r w:rsidRPr="00C723E0">
        <w:rPr>
          <w:rFonts w:ascii="Calibri" w:hAnsi="Calibri" w:cs="Calibri"/>
          <w:color w:val="000000" w:themeColor="text1"/>
          <w:sz w:val="22"/>
          <w:szCs w:val="22"/>
          <w:lang w:val="en-AU"/>
        </w:rPr>
        <w:t>The agreement was updated in 2023 t</w:t>
      </w:r>
      <w:r w:rsidR="00E12C9D" w:rsidRPr="00C723E0">
        <w:rPr>
          <w:rFonts w:ascii="Calibri" w:hAnsi="Calibri" w:cs="Calibri"/>
          <w:color w:val="000000" w:themeColor="text1"/>
          <w:sz w:val="22"/>
          <w:szCs w:val="22"/>
          <w:lang w:val="en-AU"/>
        </w:rPr>
        <w:t>o</w:t>
      </w:r>
      <w:r w:rsidRPr="00C723E0">
        <w:rPr>
          <w:rFonts w:ascii="Calibri" w:hAnsi="Calibri" w:cs="Calibri"/>
          <w:color w:val="000000" w:themeColor="text1"/>
          <w:sz w:val="22"/>
          <w:szCs w:val="22"/>
          <w:lang w:val="en-AU"/>
        </w:rPr>
        <w:t xml:space="preserve"> renew and strengthen existing </w:t>
      </w:r>
      <w:r w:rsidR="00540E64" w:rsidRPr="00C723E0">
        <w:rPr>
          <w:rFonts w:ascii="Calibri" w:hAnsi="Calibri" w:cs="Calibri"/>
          <w:color w:val="000000" w:themeColor="text1"/>
          <w:sz w:val="22"/>
          <w:szCs w:val="22"/>
          <w:lang w:val="en-AU"/>
        </w:rPr>
        <w:t>obligation</w:t>
      </w:r>
      <w:r w:rsidRPr="00C723E0">
        <w:rPr>
          <w:rFonts w:ascii="Calibri" w:hAnsi="Calibri" w:cs="Calibri"/>
          <w:color w:val="000000" w:themeColor="text1"/>
          <w:sz w:val="22"/>
          <w:szCs w:val="22"/>
          <w:lang w:val="en-AU"/>
        </w:rPr>
        <w:t xml:space="preserve">s. The FPSDP specifically </w:t>
      </w:r>
      <w:r w:rsidR="00B2301D" w:rsidRPr="00C723E0">
        <w:rPr>
          <w:rFonts w:ascii="Calibri" w:hAnsi="Calibri" w:cs="Calibri"/>
          <w:color w:val="000000" w:themeColor="text1"/>
          <w:sz w:val="22"/>
          <w:szCs w:val="22"/>
          <w:lang w:val="en-AU"/>
        </w:rPr>
        <w:t>addresses</w:t>
      </w:r>
      <w:r w:rsidRPr="00C723E0">
        <w:rPr>
          <w:rFonts w:ascii="Calibri" w:hAnsi="Calibri" w:cs="Calibri"/>
          <w:color w:val="000000" w:themeColor="text1"/>
          <w:sz w:val="22"/>
          <w:szCs w:val="22"/>
          <w:lang w:val="en-AU"/>
        </w:rPr>
        <w:t xml:space="preserve"> </w:t>
      </w:r>
      <w:r w:rsidRPr="00C723E0">
        <w:rPr>
          <w:rFonts w:ascii="Calibri" w:hAnsi="Calibri" w:cs="Calibri"/>
          <w:i/>
          <w:iCs/>
          <w:color w:val="000000" w:themeColor="text1"/>
          <w:sz w:val="22"/>
          <w:szCs w:val="22"/>
          <w:lang w:val="en-AU"/>
        </w:rPr>
        <w:t xml:space="preserve">Pillar 2: </w:t>
      </w:r>
      <w:r w:rsidR="00663956" w:rsidRPr="00C723E0">
        <w:rPr>
          <w:rFonts w:ascii="Calibri" w:hAnsi="Calibri" w:cs="Calibri"/>
          <w:i/>
          <w:iCs/>
          <w:color w:val="000000" w:themeColor="text1"/>
          <w:sz w:val="22"/>
          <w:szCs w:val="22"/>
          <w:lang w:val="en-AU"/>
        </w:rPr>
        <w:t>Deepening</w:t>
      </w:r>
      <w:r w:rsidRPr="00C723E0">
        <w:rPr>
          <w:rFonts w:ascii="Calibri" w:hAnsi="Calibri" w:cs="Calibri"/>
          <w:i/>
          <w:iCs/>
          <w:color w:val="000000" w:themeColor="text1"/>
          <w:sz w:val="22"/>
          <w:szCs w:val="22"/>
          <w:lang w:val="en-AU"/>
        </w:rPr>
        <w:t xml:space="preserve"> Our Economic Relationship</w:t>
      </w:r>
      <w:r w:rsidR="00B2301D" w:rsidRPr="00C723E0">
        <w:rPr>
          <w:rFonts w:ascii="Calibri" w:hAnsi="Calibri" w:cs="Calibri"/>
          <w:i/>
          <w:iCs/>
          <w:color w:val="000000" w:themeColor="text1"/>
          <w:sz w:val="22"/>
          <w:szCs w:val="22"/>
          <w:lang w:val="en-AU"/>
        </w:rPr>
        <w:t>,</w:t>
      </w:r>
      <w:r w:rsidRPr="00C723E0">
        <w:rPr>
          <w:rFonts w:ascii="Calibri" w:hAnsi="Calibri" w:cs="Calibri"/>
          <w:i/>
          <w:iCs/>
          <w:color w:val="000000" w:themeColor="text1"/>
          <w:sz w:val="22"/>
          <w:szCs w:val="22"/>
          <w:lang w:val="en-AU"/>
        </w:rPr>
        <w:t xml:space="preserve"> </w:t>
      </w:r>
      <w:r w:rsidRPr="00C723E0">
        <w:rPr>
          <w:rFonts w:ascii="Calibri" w:hAnsi="Calibri" w:cs="Calibri"/>
          <w:color w:val="000000" w:themeColor="text1"/>
          <w:sz w:val="22"/>
          <w:szCs w:val="22"/>
          <w:lang w:val="en-AU"/>
        </w:rPr>
        <w:t xml:space="preserve">which </w:t>
      </w:r>
      <w:r w:rsidR="00E12C9D" w:rsidRPr="00C723E0">
        <w:rPr>
          <w:rFonts w:ascii="Calibri" w:hAnsi="Calibri" w:cs="Calibri"/>
          <w:color w:val="000000" w:themeColor="text1"/>
          <w:sz w:val="22"/>
          <w:szCs w:val="22"/>
          <w:lang w:val="en-AU"/>
        </w:rPr>
        <w:t>focuse</w:t>
      </w:r>
      <w:r w:rsidR="00B2301D" w:rsidRPr="00C723E0">
        <w:rPr>
          <w:rFonts w:ascii="Calibri" w:hAnsi="Calibri" w:cs="Calibri"/>
          <w:color w:val="000000" w:themeColor="text1"/>
          <w:sz w:val="22"/>
          <w:szCs w:val="22"/>
          <w:lang w:val="en-AU"/>
        </w:rPr>
        <w:t>s</w:t>
      </w:r>
      <w:r w:rsidRPr="00C723E0">
        <w:rPr>
          <w:rFonts w:ascii="Calibri" w:hAnsi="Calibri" w:cs="Calibri"/>
          <w:color w:val="000000" w:themeColor="text1"/>
          <w:sz w:val="22"/>
          <w:szCs w:val="22"/>
          <w:lang w:val="en-AU"/>
        </w:rPr>
        <w:t xml:space="preserve"> on private sector growth, trade and market access</w:t>
      </w:r>
      <w:r w:rsidR="00B2301D" w:rsidRPr="00C723E0">
        <w:rPr>
          <w:rFonts w:ascii="Calibri" w:hAnsi="Calibri" w:cs="Calibri"/>
          <w:color w:val="000000" w:themeColor="text1"/>
          <w:sz w:val="22"/>
          <w:szCs w:val="22"/>
          <w:lang w:val="en-AU"/>
        </w:rPr>
        <w:t>,</w:t>
      </w:r>
      <w:r w:rsidRPr="00C723E0">
        <w:rPr>
          <w:rFonts w:ascii="Calibri" w:hAnsi="Calibri" w:cs="Calibri"/>
          <w:color w:val="000000" w:themeColor="text1"/>
          <w:sz w:val="22"/>
          <w:szCs w:val="22"/>
          <w:lang w:val="en-AU"/>
        </w:rPr>
        <w:t xml:space="preserve"> and </w:t>
      </w:r>
      <w:r w:rsidR="00B2301D" w:rsidRPr="00C723E0">
        <w:rPr>
          <w:rFonts w:ascii="Calibri" w:hAnsi="Calibri" w:cs="Calibri"/>
          <w:color w:val="000000" w:themeColor="text1"/>
          <w:sz w:val="22"/>
          <w:szCs w:val="22"/>
          <w:lang w:val="en-AU"/>
        </w:rPr>
        <w:t xml:space="preserve">the </w:t>
      </w:r>
      <w:r w:rsidRPr="00C723E0">
        <w:rPr>
          <w:rFonts w:ascii="Calibri" w:hAnsi="Calibri" w:cs="Calibri"/>
          <w:color w:val="000000" w:themeColor="text1"/>
          <w:sz w:val="22"/>
          <w:szCs w:val="22"/>
          <w:lang w:val="en-AU"/>
        </w:rPr>
        <w:t>broader economic reform efforts of the Go</w:t>
      </w:r>
      <w:r w:rsidR="00B2301D" w:rsidRPr="00C723E0">
        <w:rPr>
          <w:rFonts w:ascii="Calibri" w:hAnsi="Calibri" w:cs="Calibri"/>
          <w:color w:val="000000" w:themeColor="text1"/>
          <w:sz w:val="22"/>
          <w:szCs w:val="22"/>
          <w:lang w:val="en-AU"/>
        </w:rPr>
        <w:t>F</w:t>
      </w:r>
      <w:r w:rsidR="008B4C07" w:rsidRPr="00C723E0">
        <w:rPr>
          <w:rFonts w:ascii="Calibri" w:hAnsi="Calibri" w:cs="Calibri"/>
          <w:color w:val="000000" w:themeColor="text1"/>
          <w:sz w:val="22"/>
          <w:szCs w:val="22"/>
          <w:lang w:val="en-AU"/>
        </w:rPr>
        <w:t>.</w:t>
      </w:r>
    </w:p>
    <w:p w14:paraId="2E474CA7" w14:textId="31035F3D" w:rsidR="008B4C07" w:rsidRPr="00C723E0" w:rsidRDefault="008B4C07" w:rsidP="00A94191">
      <w:pPr>
        <w:spacing w:after="120"/>
        <w:jc w:val="both"/>
        <w:rPr>
          <w:rFonts w:ascii="Calibri" w:hAnsi="Calibri" w:cs="Calibri"/>
          <w:color w:val="000000" w:themeColor="text1"/>
          <w:sz w:val="22"/>
          <w:szCs w:val="22"/>
          <w:lang w:val="en-AU"/>
        </w:rPr>
      </w:pPr>
      <w:r w:rsidRPr="00C723E0">
        <w:rPr>
          <w:rFonts w:ascii="Calibri" w:hAnsi="Calibri" w:cs="Calibri"/>
          <w:b/>
          <w:bCs/>
          <w:color w:val="000000" w:themeColor="text1"/>
          <w:sz w:val="22"/>
          <w:szCs w:val="22"/>
          <w:lang w:val="en-AU"/>
        </w:rPr>
        <w:t xml:space="preserve">The FPSDP also aligns </w:t>
      </w:r>
      <w:r w:rsidR="00B2301D" w:rsidRPr="00C723E0">
        <w:rPr>
          <w:rFonts w:ascii="Calibri" w:hAnsi="Calibri" w:cs="Calibri"/>
          <w:b/>
          <w:bCs/>
          <w:color w:val="000000" w:themeColor="text1"/>
          <w:sz w:val="22"/>
          <w:szCs w:val="22"/>
          <w:lang w:val="en-AU"/>
        </w:rPr>
        <w:t>with</w:t>
      </w:r>
      <w:r w:rsidRPr="00C723E0">
        <w:rPr>
          <w:rFonts w:ascii="Calibri" w:hAnsi="Calibri" w:cs="Calibri"/>
          <w:b/>
          <w:bCs/>
          <w:color w:val="000000" w:themeColor="text1"/>
          <w:sz w:val="22"/>
          <w:szCs w:val="22"/>
          <w:lang w:val="en-AU"/>
        </w:rPr>
        <w:t xml:space="preserve"> the broader Australian International Development Policy 2023</w:t>
      </w:r>
      <w:r w:rsidR="00E12C9D" w:rsidRPr="00C723E0">
        <w:rPr>
          <w:rFonts w:ascii="Calibri" w:hAnsi="Calibri" w:cs="Calibri"/>
          <w:color w:val="000000" w:themeColor="text1"/>
          <w:sz w:val="22"/>
          <w:szCs w:val="22"/>
          <w:lang w:val="en-AU"/>
        </w:rPr>
        <w:t xml:space="preserve">, which seeks to build on existing partnerships to create social and economic value. The FPSDP contributes to </w:t>
      </w:r>
      <w:r w:rsidR="00E12C9D" w:rsidRPr="00C723E0">
        <w:rPr>
          <w:rFonts w:ascii="Calibri" w:hAnsi="Calibri" w:cs="Calibri"/>
          <w:i/>
          <w:iCs/>
          <w:color w:val="000000" w:themeColor="text1"/>
          <w:sz w:val="22"/>
          <w:szCs w:val="22"/>
          <w:lang w:val="en-AU"/>
        </w:rPr>
        <w:t xml:space="preserve">“building </w:t>
      </w:r>
      <w:r w:rsidR="00E12C9D" w:rsidRPr="00C723E0">
        <w:rPr>
          <w:rFonts w:ascii="Calibri" w:hAnsi="Calibri" w:cs="Calibri"/>
          <w:i/>
          <w:iCs/>
          <w:color w:val="000000" w:themeColor="text1"/>
          <w:sz w:val="22"/>
          <w:szCs w:val="22"/>
          <w:lang w:val="en-AU"/>
        </w:rPr>
        <w:lastRenderedPageBreak/>
        <w:t>effective and accountable states that drive their own development”</w:t>
      </w:r>
      <w:r w:rsidR="00E12C9D" w:rsidRPr="00C723E0">
        <w:rPr>
          <w:rFonts w:ascii="Calibri" w:hAnsi="Calibri" w:cs="Calibri"/>
          <w:color w:val="000000" w:themeColor="text1"/>
          <w:sz w:val="22"/>
          <w:szCs w:val="22"/>
          <w:lang w:val="en-AU"/>
        </w:rPr>
        <w:t xml:space="preserve"> and </w:t>
      </w:r>
      <w:r w:rsidR="00E12C9D" w:rsidRPr="00C723E0">
        <w:rPr>
          <w:rFonts w:ascii="Calibri" w:hAnsi="Calibri" w:cs="Calibri"/>
          <w:i/>
          <w:iCs/>
          <w:color w:val="000000" w:themeColor="text1"/>
          <w:sz w:val="22"/>
          <w:szCs w:val="22"/>
          <w:lang w:val="en-AU"/>
        </w:rPr>
        <w:t>“enhanc</w:t>
      </w:r>
      <w:r w:rsidR="00B2301D" w:rsidRPr="00C723E0">
        <w:rPr>
          <w:rFonts w:ascii="Calibri" w:hAnsi="Calibri" w:cs="Calibri"/>
          <w:i/>
          <w:iCs/>
          <w:color w:val="000000" w:themeColor="text1"/>
          <w:sz w:val="22"/>
          <w:szCs w:val="22"/>
          <w:lang w:val="en-AU"/>
        </w:rPr>
        <w:t>ing</w:t>
      </w:r>
      <w:r w:rsidR="00E12C9D" w:rsidRPr="00C723E0">
        <w:rPr>
          <w:rFonts w:ascii="Calibri" w:hAnsi="Calibri" w:cs="Calibri"/>
          <w:i/>
          <w:iCs/>
          <w:color w:val="000000" w:themeColor="text1"/>
          <w:sz w:val="22"/>
          <w:szCs w:val="22"/>
          <w:lang w:val="en-AU"/>
        </w:rPr>
        <w:t xml:space="preserve"> state and community resilience to external pressures and shocks</w:t>
      </w:r>
      <w:r w:rsidR="00B2301D" w:rsidRPr="00C723E0">
        <w:rPr>
          <w:rFonts w:ascii="Calibri" w:hAnsi="Calibri" w:cs="Calibri"/>
          <w:i/>
          <w:iCs/>
          <w:color w:val="000000" w:themeColor="text1"/>
          <w:sz w:val="22"/>
          <w:szCs w:val="22"/>
          <w:lang w:val="en-AU"/>
        </w:rPr>
        <w:t>.”</w:t>
      </w:r>
    </w:p>
    <w:p w14:paraId="1FB86C62" w14:textId="67B51396" w:rsidR="00E12C9D" w:rsidRPr="00C723E0" w:rsidRDefault="00E12C9D" w:rsidP="00A94191">
      <w:pPr>
        <w:spacing w:after="120"/>
        <w:jc w:val="both"/>
        <w:rPr>
          <w:rFonts w:ascii="Calibri" w:hAnsi="Calibri" w:cs="Calibri"/>
          <w:color w:val="000000" w:themeColor="text1"/>
          <w:sz w:val="22"/>
          <w:szCs w:val="22"/>
          <w:lang w:val="en-AU"/>
        </w:rPr>
      </w:pPr>
      <w:r w:rsidRPr="00C723E0">
        <w:rPr>
          <w:rFonts w:ascii="Calibri" w:hAnsi="Calibri" w:cs="Calibri"/>
          <w:color w:val="000000" w:themeColor="text1"/>
          <w:sz w:val="22"/>
          <w:szCs w:val="22"/>
          <w:lang w:val="en-AU"/>
        </w:rPr>
        <w:t xml:space="preserve">From a GoF perspective, the </w:t>
      </w:r>
      <w:r w:rsidRPr="00C723E0">
        <w:rPr>
          <w:rFonts w:ascii="Calibri" w:hAnsi="Calibri" w:cs="Calibri"/>
          <w:b/>
          <w:bCs/>
          <w:color w:val="000000" w:themeColor="text1"/>
          <w:sz w:val="22"/>
          <w:szCs w:val="22"/>
          <w:lang w:val="en-AU"/>
        </w:rPr>
        <w:t>FPSDP closely aligns with the</w:t>
      </w:r>
      <w:r w:rsidR="00663956" w:rsidRPr="00C723E0">
        <w:rPr>
          <w:rFonts w:ascii="Calibri" w:hAnsi="Calibri" w:cs="Calibri"/>
          <w:b/>
          <w:bCs/>
          <w:color w:val="000000" w:themeColor="text1"/>
          <w:sz w:val="22"/>
          <w:szCs w:val="22"/>
          <w:lang w:val="en-AU"/>
        </w:rPr>
        <w:t xml:space="preserve"> </w:t>
      </w:r>
      <w:r w:rsidR="00663956" w:rsidRPr="00C723E0">
        <w:rPr>
          <w:rFonts w:ascii="Calibri" w:hAnsi="Calibri" w:cs="Calibri"/>
          <w:b/>
          <w:bCs/>
          <w:i/>
          <w:iCs/>
          <w:color w:val="000000" w:themeColor="text1"/>
          <w:sz w:val="22"/>
          <w:szCs w:val="22"/>
          <w:lang w:val="en-AU"/>
        </w:rPr>
        <w:t xml:space="preserve">Fiji National Development Plan 2025-2029 </w:t>
      </w:r>
      <w:r w:rsidR="00663956" w:rsidRPr="00C723E0">
        <w:rPr>
          <w:rFonts w:ascii="Calibri" w:hAnsi="Calibri" w:cs="Calibri"/>
          <w:b/>
          <w:bCs/>
          <w:color w:val="000000" w:themeColor="text1"/>
          <w:sz w:val="22"/>
          <w:szCs w:val="22"/>
          <w:lang w:val="en-AU"/>
        </w:rPr>
        <w:t xml:space="preserve">and </w:t>
      </w:r>
      <w:r w:rsidR="00663956" w:rsidRPr="00C723E0">
        <w:rPr>
          <w:rFonts w:ascii="Calibri" w:hAnsi="Calibri" w:cs="Calibri"/>
          <w:b/>
          <w:bCs/>
          <w:i/>
          <w:iCs/>
          <w:color w:val="000000" w:themeColor="text1"/>
          <w:sz w:val="22"/>
          <w:szCs w:val="22"/>
          <w:lang w:val="en-AU"/>
        </w:rPr>
        <w:t>Vision 2050</w:t>
      </w:r>
      <w:r w:rsidR="00663956" w:rsidRPr="00C723E0">
        <w:rPr>
          <w:rFonts w:ascii="Calibri" w:hAnsi="Calibri" w:cs="Calibri"/>
          <w:i/>
          <w:iCs/>
          <w:color w:val="000000" w:themeColor="text1"/>
          <w:sz w:val="22"/>
          <w:szCs w:val="22"/>
          <w:lang w:val="en-AU"/>
        </w:rPr>
        <w:t>.</w:t>
      </w:r>
      <w:r w:rsidR="00663956" w:rsidRPr="00C723E0">
        <w:rPr>
          <w:rFonts w:ascii="Calibri" w:hAnsi="Calibri" w:cs="Calibri"/>
          <w:sz w:val="22"/>
          <w:szCs w:val="22"/>
          <w:lang w:val="en-AU"/>
        </w:rPr>
        <w:t xml:space="preserve"> </w:t>
      </w:r>
      <w:r w:rsidR="00DF6080" w:rsidRPr="00C723E0">
        <w:rPr>
          <w:rFonts w:ascii="Calibri" w:hAnsi="Calibri" w:cs="Calibri"/>
          <w:color w:val="000000" w:themeColor="text1"/>
          <w:sz w:val="22"/>
          <w:szCs w:val="22"/>
          <w:lang w:val="en-AU"/>
        </w:rPr>
        <w:t>The Develop</w:t>
      </w:r>
      <w:r w:rsidR="00B2301D" w:rsidRPr="00C723E0">
        <w:rPr>
          <w:rFonts w:ascii="Calibri" w:hAnsi="Calibri" w:cs="Calibri"/>
          <w:color w:val="000000" w:themeColor="text1"/>
          <w:sz w:val="22"/>
          <w:szCs w:val="22"/>
          <w:lang w:val="en-AU"/>
        </w:rPr>
        <w:t>ment</w:t>
      </w:r>
      <w:r w:rsidR="00DF6080" w:rsidRPr="00C723E0">
        <w:rPr>
          <w:rFonts w:ascii="Calibri" w:hAnsi="Calibri" w:cs="Calibri"/>
          <w:color w:val="000000" w:themeColor="text1"/>
          <w:sz w:val="22"/>
          <w:szCs w:val="22"/>
          <w:lang w:val="en-AU"/>
        </w:rPr>
        <w:t xml:space="preserve"> Plan promotes</w:t>
      </w:r>
      <w:r w:rsidR="00663956" w:rsidRPr="00C723E0">
        <w:rPr>
          <w:rFonts w:ascii="Calibri" w:hAnsi="Calibri" w:cs="Calibri"/>
          <w:color w:val="000000" w:themeColor="text1"/>
          <w:sz w:val="22"/>
          <w:szCs w:val="22"/>
          <w:lang w:val="en-AU"/>
        </w:rPr>
        <w:t xml:space="preserve"> economic resilience, people empowerment</w:t>
      </w:r>
      <w:r w:rsidR="00DF6080" w:rsidRPr="00C723E0">
        <w:rPr>
          <w:rFonts w:ascii="Calibri" w:hAnsi="Calibri" w:cs="Calibri"/>
          <w:color w:val="000000" w:themeColor="text1"/>
          <w:sz w:val="22"/>
          <w:szCs w:val="22"/>
          <w:lang w:val="en-AU"/>
        </w:rPr>
        <w:t>,</w:t>
      </w:r>
      <w:r w:rsidR="00663956" w:rsidRPr="00C723E0">
        <w:rPr>
          <w:rFonts w:ascii="Calibri" w:hAnsi="Calibri" w:cs="Calibri"/>
          <w:color w:val="000000" w:themeColor="text1"/>
          <w:sz w:val="22"/>
          <w:szCs w:val="22"/>
          <w:lang w:val="en-AU"/>
        </w:rPr>
        <w:t xml:space="preserve"> and good governance.</w:t>
      </w:r>
      <w:r w:rsidR="00663956" w:rsidRPr="00C723E0">
        <w:rPr>
          <w:rFonts w:ascii="Calibri" w:hAnsi="Calibri" w:cs="Calibri"/>
          <w:i/>
          <w:iCs/>
          <w:color w:val="000000" w:themeColor="text1"/>
          <w:sz w:val="22"/>
          <w:szCs w:val="22"/>
          <w:lang w:val="en-AU"/>
        </w:rPr>
        <w:t xml:space="preserve"> </w:t>
      </w:r>
      <w:r w:rsidR="00DF6080" w:rsidRPr="00C723E0">
        <w:rPr>
          <w:rFonts w:ascii="Calibri" w:hAnsi="Calibri" w:cs="Calibri"/>
          <w:color w:val="000000" w:themeColor="text1"/>
          <w:sz w:val="22"/>
          <w:szCs w:val="22"/>
          <w:lang w:val="en-AU"/>
        </w:rPr>
        <w:t xml:space="preserve">The FPSDP aligns </w:t>
      </w:r>
      <w:r w:rsidR="006B44C9" w:rsidRPr="00C723E0">
        <w:rPr>
          <w:rFonts w:ascii="Calibri" w:hAnsi="Calibri" w:cs="Calibri"/>
          <w:color w:val="000000" w:themeColor="text1"/>
          <w:sz w:val="22"/>
          <w:szCs w:val="22"/>
          <w:lang w:val="en-AU"/>
        </w:rPr>
        <w:t>with</w:t>
      </w:r>
      <w:r w:rsidR="00DF6080" w:rsidRPr="00C723E0">
        <w:rPr>
          <w:rFonts w:ascii="Calibri" w:hAnsi="Calibri" w:cs="Calibri"/>
          <w:color w:val="000000" w:themeColor="text1"/>
          <w:sz w:val="22"/>
          <w:szCs w:val="22"/>
          <w:lang w:val="en-AU"/>
        </w:rPr>
        <w:t xml:space="preserve"> all three pillars and key </w:t>
      </w:r>
      <w:r w:rsidR="00A52E50" w:rsidRPr="00C723E0">
        <w:rPr>
          <w:rFonts w:ascii="Calibri" w:hAnsi="Calibri" w:cs="Calibri"/>
          <w:color w:val="000000" w:themeColor="text1"/>
          <w:sz w:val="22"/>
          <w:szCs w:val="22"/>
          <w:lang w:val="en-AU"/>
        </w:rPr>
        <w:t>focus</w:t>
      </w:r>
      <w:r w:rsidR="00DF6080" w:rsidRPr="00C723E0">
        <w:rPr>
          <w:rFonts w:ascii="Calibri" w:hAnsi="Calibri" w:cs="Calibri"/>
          <w:color w:val="000000" w:themeColor="text1"/>
          <w:sz w:val="22"/>
          <w:szCs w:val="22"/>
          <w:lang w:val="en-AU"/>
        </w:rPr>
        <w:t xml:space="preserve"> areas</w:t>
      </w:r>
      <w:r w:rsidR="006B44C9" w:rsidRPr="00C723E0">
        <w:rPr>
          <w:rFonts w:ascii="Calibri" w:hAnsi="Calibri" w:cs="Calibri"/>
          <w:color w:val="000000" w:themeColor="text1"/>
          <w:sz w:val="22"/>
          <w:szCs w:val="22"/>
          <w:lang w:val="en-AU"/>
        </w:rPr>
        <w:t>,</w:t>
      </w:r>
      <w:r w:rsidR="00DF6080" w:rsidRPr="00C723E0">
        <w:rPr>
          <w:rFonts w:ascii="Calibri" w:hAnsi="Calibri" w:cs="Calibri"/>
          <w:color w:val="000000" w:themeColor="text1"/>
          <w:sz w:val="22"/>
          <w:szCs w:val="22"/>
          <w:lang w:val="en-AU"/>
        </w:rPr>
        <w:t xml:space="preserve"> covering macro-</w:t>
      </w:r>
      <w:r w:rsidR="00B2301D" w:rsidRPr="00C723E0">
        <w:rPr>
          <w:rFonts w:ascii="Calibri" w:hAnsi="Calibri" w:cs="Calibri"/>
          <w:color w:val="000000" w:themeColor="text1"/>
          <w:sz w:val="22"/>
          <w:szCs w:val="22"/>
          <w:lang w:val="en-AU"/>
        </w:rPr>
        <w:t>economic</w:t>
      </w:r>
      <w:r w:rsidR="00DF6080" w:rsidRPr="00C723E0">
        <w:rPr>
          <w:rFonts w:ascii="Calibri" w:hAnsi="Calibri" w:cs="Calibri"/>
          <w:color w:val="000000" w:themeColor="text1"/>
          <w:sz w:val="22"/>
          <w:szCs w:val="22"/>
          <w:lang w:val="en-AU"/>
        </w:rPr>
        <w:t xml:space="preserve"> confidence and stability, economic growth, publi</w:t>
      </w:r>
      <w:r w:rsidR="00B2301D" w:rsidRPr="00C723E0">
        <w:rPr>
          <w:rFonts w:ascii="Calibri" w:hAnsi="Calibri" w:cs="Calibri"/>
          <w:color w:val="000000" w:themeColor="text1"/>
          <w:sz w:val="22"/>
          <w:szCs w:val="22"/>
          <w:lang w:val="en-AU"/>
        </w:rPr>
        <w:t>c infrastructure</w:t>
      </w:r>
      <w:r w:rsidR="006B44C9" w:rsidRPr="00C723E0">
        <w:rPr>
          <w:rFonts w:ascii="Calibri" w:hAnsi="Calibri" w:cs="Calibri"/>
          <w:color w:val="000000" w:themeColor="text1"/>
          <w:sz w:val="22"/>
          <w:szCs w:val="22"/>
          <w:lang w:val="en-AU"/>
        </w:rPr>
        <w:t>,</w:t>
      </w:r>
      <w:r w:rsidR="00DF6080" w:rsidRPr="00C723E0">
        <w:rPr>
          <w:rFonts w:ascii="Calibri" w:hAnsi="Calibri" w:cs="Calibri"/>
          <w:color w:val="000000" w:themeColor="text1"/>
          <w:sz w:val="22"/>
          <w:szCs w:val="22"/>
          <w:lang w:val="en-AU"/>
        </w:rPr>
        <w:t xml:space="preserve"> and institutional governance.</w:t>
      </w:r>
    </w:p>
    <w:p w14:paraId="108D5B32" w14:textId="2A32E872" w:rsidR="004E01BF" w:rsidRPr="00C723E0" w:rsidRDefault="004E01BF" w:rsidP="004E01BF">
      <w:pPr>
        <w:spacing w:before="80" w:after="80"/>
        <w:jc w:val="both"/>
        <w:rPr>
          <w:rFonts w:ascii="Calibri" w:hAnsi="Calibri" w:cs="Calibri"/>
          <w:sz w:val="22"/>
          <w:szCs w:val="22"/>
          <w:lang w:val="en-AU"/>
        </w:rPr>
      </w:pPr>
      <w:r w:rsidRPr="00C723E0">
        <w:rPr>
          <w:rFonts w:ascii="Calibri" w:hAnsi="Calibri" w:cs="Calibri"/>
          <w:b/>
          <w:bCs/>
          <w:sz w:val="22"/>
          <w:szCs w:val="22"/>
          <w:lang w:val="en-AU"/>
        </w:rPr>
        <w:t>Under IFC Fiji Country Strategy 2021-2024, IFC prioritises mobilising sustainable private investment across two strategic pillars</w:t>
      </w:r>
      <w:r w:rsidRPr="00C723E0">
        <w:rPr>
          <w:rFonts w:ascii="Calibri" w:hAnsi="Calibri" w:cs="Calibri"/>
          <w:sz w:val="22"/>
          <w:szCs w:val="22"/>
          <w:lang w:val="en-AU"/>
        </w:rPr>
        <w:t>: tourism and infrastructure, with gender</w:t>
      </w:r>
      <w:r w:rsidR="00B2301D" w:rsidRPr="00C723E0">
        <w:rPr>
          <w:rFonts w:ascii="Calibri" w:hAnsi="Calibri" w:cs="Calibri"/>
          <w:sz w:val="22"/>
          <w:szCs w:val="22"/>
          <w:lang w:val="en-AU"/>
        </w:rPr>
        <w:t>,</w:t>
      </w:r>
      <w:r w:rsidRPr="00C723E0">
        <w:rPr>
          <w:rFonts w:ascii="Calibri" w:hAnsi="Calibri" w:cs="Calibri"/>
          <w:sz w:val="22"/>
          <w:szCs w:val="22"/>
          <w:lang w:val="en-AU"/>
        </w:rPr>
        <w:t xml:space="preserve"> environmental, social and governance (ESG) as cross-cutting themes. Within this strategic framework</w:t>
      </w:r>
      <w:r w:rsidR="006B44C9" w:rsidRPr="00C723E0">
        <w:rPr>
          <w:rFonts w:ascii="Calibri" w:hAnsi="Calibri" w:cs="Calibri"/>
          <w:sz w:val="22"/>
          <w:szCs w:val="22"/>
          <w:lang w:val="en-AU"/>
        </w:rPr>
        <w:t>,</w:t>
      </w:r>
      <w:r w:rsidRPr="00C723E0">
        <w:rPr>
          <w:rFonts w:ascii="Calibri" w:hAnsi="Calibri" w:cs="Calibri"/>
          <w:sz w:val="22"/>
          <w:szCs w:val="22"/>
          <w:lang w:val="en-AU"/>
        </w:rPr>
        <w:t xml:space="preserve"> space exists to adjust for new needs to accelerate Fiji’s recovery from the economic impact of the COVID-19 pandemic and address the </w:t>
      </w:r>
      <w:r w:rsidR="006B44C9" w:rsidRPr="00C723E0">
        <w:rPr>
          <w:rFonts w:ascii="Calibri" w:hAnsi="Calibri" w:cs="Calibri"/>
          <w:sz w:val="22"/>
          <w:szCs w:val="22"/>
          <w:lang w:val="en-AU"/>
        </w:rPr>
        <w:t>effects</w:t>
      </w:r>
      <w:r w:rsidRPr="00C723E0">
        <w:rPr>
          <w:rFonts w:ascii="Calibri" w:hAnsi="Calibri" w:cs="Calibri"/>
          <w:sz w:val="22"/>
          <w:szCs w:val="22"/>
          <w:lang w:val="en-AU"/>
        </w:rPr>
        <w:t xml:space="preserve"> of climate change and tropical cyclones that frequently hit the country. </w:t>
      </w:r>
    </w:p>
    <w:p w14:paraId="19F03BC6" w14:textId="5F13AA79" w:rsidR="004E01BF" w:rsidRPr="00C723E0" w:rsidRDefault="004E01BF" w:rsidP="004E01BF">
      <w:pPr>
        <w:spacing w:before="80" w:after="80"/>
        <w:jc w:val="both"/>
        <w:rPr>
          <w:rFonts w:ascii="Calibri" w:hAnsi="Calibri" w:cs="Calibri"/>
          <w:sz w:val="22"/>
          <w:szCs w:val="22"/>
          <w:lang w:val="en-AU"/>
        </w:rPr>
      </w:pPr>
      <w:r w:rsidRPr="00C723E0">
        <w:rPr>
          <w:rFonts w:ascii="Calibri" w:hAnsi="Calibri" w:cs="Calibri"/>
          <w:b/>
          <w:bCs/>
          <w:sz w:val="22"/>
          <w:szCs w:val="22"/>
          <w:lang w:val="en-AU"/>
        </w:rPr>
        <w:t>These priorities are consistent with IFC’s commitments under the World Bank Group (WBG) Country Partnership Framework for Fiji (2021-2024</w:t>
      </w:r>
      <w:r w:rsidRPr="00C723E0">
        <w:rPr>
          <w:rFonts w:ascii="Calibri" w:hAnsi="Calibri" w:cs="Calibri"/>
          <w:sz w:val="22"/>
          <w:szCs w:val="22"/>
          <w:lang w:val="en-AU"/>
        </w:rPr>
        <w:t>), as well as with the development objectives and priorities of DFAT and New Zealand Ministry of Foreign Affairs and Trade (NZMFAT) Fiji, as well as the</w:t>
      </w:r>
      <w:r w:rsidR="007B17C3" w:rsidRPr="00C723E0">
        <w:rPr>
          <w:rFonts w:ascii="Calibri" w:hAnsi="Calibri" w:cs="Calibri"/>
          <w:sz w:val="22"/>
          <w:szCs w:val="22"/>
          <w:lang w:val="en-AU"/>
        </w:rPr>
        <w:t xml:space="preserve"> GoF</w:t>
      </w:r>
      <w:r w:rsidRPr="00C723E0">
        <w:rPr>
          <w:rFonts w:ascii="Calibri" w:hAnsi="Calibri" w:cs="Calibri"/>
          <w:sz w:val="22"/>
          <w:szCs w:val="22"/>
          <w:lang w:val="en-AU"/>
        </w:rPr>
        <w:t>. All four stakeholder</w:t>
      </w:r>
      <w:r w:rsidR="00E75CB8" w:rsidRPr="00C723E0">
        <w:rPr>
          <w:rFonts w:ascii="Calibri" w:hAnsi="Calibri" w:cs="Calibri"/>
          <w:sz w:val="22"/>
          <w:szCs w:val="22"/>
          <w:lang w:val="en-AU"/>
        </w:rPr>
        <w:t>s</w:t>
      </w:r>
      <w:r w:rsidRPr="00C723E0">
        <w:rPr>
          <w:rFonts w:ascii="Calibri" w:hAnsi="Calibri" w:cs="Calibri"/>
          <w:sz w:val="22"/>
          <w:szCs w:val="22"/>
          <w:lang w:val="en-AU"/>
        </w:rPr>
        <w:t xml:space="preserve"> recogni</w:t>
      </w:r>
      <w:r w:rsidR="00E75CB8" w:rsidRPr="00C723E0">
        <w:rPr>
          <w:rFonts w:ascii="Calibri" w:hAnsi="Calibri" w:cs="Calibri"/>
          <w:sz w:val="22"/>
          <w:szCs w:val="22"/>
          <w:lang w:val="en-AU"/>
        </w:rPr>
        <w:t>s</w:t>
      </w:r>
      <w:r w:rsidRPr="00C723E0">
        <w:rPr>
          <w:rFonts w:ascii="Calibri" w:hAnsi="Calibri" w:cs="Calibri"/>
          <w:sz w:val="22"/>
          <w:szCs w:val="22"/>
          <w:lang w:val="en-AU"/>
        </w:rPr>
        <w:t xml:space="preserve">e the importance of accelerating economic inclusion, </w:t>
      </w:r>
      <w:r w:rsidR="006B44C9" w:rsidRPr="00C723E0">
        <w:rPr>
          <w:rFonts w:ascii="Calibri" w:hAnsi="Calibri" w:cs="Calibri"/>
          <w:sz w:val="22"/>
          <w:szCs w:val="22"/>
          <w:lang w:val="en-AU"/>
        </w:rPr>
        <w:t>particularly</w:t>
      </w:r>
      <w:r w:rsidRPr="00C723E0">
        <w:rPr>
          <w:rFonts w:ascii="Calibri" w:hAnsi="Calibri" w:cs="Calibri"/>
          <w:sz w:val="22"/>
          <w:szCs w:val="22"/>
          <w:lang w:val="en-AU"/>
        </w:rPr>
        <w:t xml:space="preserve"> by providing greater opportunities for women, and the need for sustainable, climate-smart investment</w:t>
      </w:r>
      <w:r w:rsidR="00E75CB8" w:rsidRPr="00C723E0">
        <w:rPr>
          <w:rFonts w:ascii="Calibri" w:hAnsi="Calibri" w:cs="Calibri"/>
          <w:sz w:val="22"/>
          <w:szCs w:val="22"/>
          <w:lang w:val="en-AU"/>
        </w:rPr>
        <w:t>,</w:t>
      </w:r>
      <w:r w:rsidRPr="00C723E0">
        <w:rPr>
          <w:rFonts w:ascii="Calibri" w:hAnsi="Calibri" w:cs="Calibri"/>
          <w:sz w:val="22"/>
          <w:szCs w:val="22"/>
          <w:lang w:val="en-AU"/>
        </w:rPr>
        <w:t xml:space="preserve"> </w:t>
      </w:r>
      <w:r w:rsidR="006D5DEF" w:rsidRPr="00C723E0">
        <w:rPr>
          <w:rFonts w:ascii="Calibri" w:hAnsi="Calibri" w:cs="Calibri"/>
          <w:sz w:val="22"/>
          <w:szCs w:val="22"/>
          <w:lang w:val="en-AU"/>
        </w:rPr>
        <w:t>emphasising</w:t>
      </w:r>
      <w:r w:rsidRPr="00C723E0">
        <w:rPr>
          <w:rFonts w:ascii="Calibri" w:hAnsi="Calibri" w:cs="Calibri"/>
          <w:sz w:val="22"/>
          <w:szCs w:val="22"/>
          <w:lang w:val="en-AU"/>
        </w:rPr>
        <w:t xml:space="preserve"> private sector solutions, given Fiji’s severely constrained fiscal space.</w:t>
      </w:r>
    </w:p>
    <w:p w14:paraId="1A48F2F8" w14:textId="12C0D9A4" w:rsidR="00A94191" w:rsidRPr="00C723E0" w:rsidRDefault="004E01BF" w:rsidP="00A94191">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hAnsi="Calibri" w:cs="Calibri"/>
          <w:b/>
          <w:bCs/>
          <w:color w:val="000000" w:themeColor="text1"/>
          <w:sz w:val="22"/>
          <w:szCs w:val="22"/>
          <w:lang w:val="en-AU"/>
        </w:rPr>
        <w:t>T</w:t>
      </w:r>
      <w:r w:rsidR="00E12C9D" w:rsidRPr="00C723E0">
        <w:rPr>
          <w:rFonts w:ascii="Calibri" w:hAnsi="Calibri" w:cs="Calibri"/>
          <w:b/>
          <w:bCs/>
          <w:color w:val="000000" w:themeColor="text1"/>
          <w:sz w:val="22"/>
          <w:szCs w:val="22"/>
          <w:lang w:val="en-AU"/>
        </w:rPr>
        <w:t xml:space="preserve">he FPSDP aligns with the </w:t>
      </w:r>
      <w:r w:rsidR="00AE1511" w:rsidRPr="00C723E0">
        <w:rPr>
          <w:rFonts w:ascii="Calibri" w:hAnsi="Calibri" w:cs="Calibri"/>
          <w:b/>
          <w:bCs/>
          <w:i/>
          <w:iCs/>
          <w:color w:val="000000" w:themeColor="text1"/>
          <w:sz w:val="22"/>
          <w:szCs w:val="22"/>
          <w:lang w:val="en-AU"/>
        </w:rPr>
        <w:t xml:space="preserve">World Bank Group (WBG) </w:t>
      </w:r>
      <w:r w:rsidR="00E12C9D" w:rsidRPr="00C723E0">
        <w:rPr>
          <w:rFonts w:ascii="Calibri" w:hAnsi="Calibri" w:cs="Calibri"/>
          <w:b/>
          <w:bCs/>
          <w:i/>
          <w:iCs/>
          <w:color w:val="000000" w:themeColor="text1"/>
          <w:sz w:val="22"/>
          <w:szCs w:val="22"/>
          <w:lang w:val="en-AU"/>
        </w:rPr>
        <w:t>Country Private Sector Diagnostic (2022)</w:t>
      </w:r>
      <w:r w:rsidR="00E75CB8" w:rsidRPr="00C723E0">
        <w:rPr>
          <w:rFonts w:ascii="Calibri" w:hAnsi="Calibri" w:cs="Calibri"/>
          <w:b/>
          <w:bCs/>
          <w:i/>
          <w:iCs/>
          <w:color w:val="000000" w:themeColor="text1"/>
          <w:sz w:val="22"/>
          <w:szCs w:val="22"/>
          <w:lang w:val="en-AU"/>
        </w:rPr>
        <w:t>,</w:t>
      </w:r>
      <w:r w:rsidRPr="00C723E0">
        <w:rPr>
          <w:rFonts w:ascii="Calibri" w:hAnsi="Calibri" w:cs="Calibri"/>
          <w:color w:val="000000" w:themeColor="text1"/>
          <w:sz w:val="22"/>
          <w:szCs w:val="22"/>
          <w:lang w:val="en-AU"/>
        </w:rPr>
        <w:t xml:space="preserve"> which underpins and supports the broader </w:t>
      </w:r>
      <w:r w:rsidR="00AE1511" w:rsidRPr="00C723E0">
        <w:rPr>
          <w:rFonts w:ascii="Calibri" w:hAnsi="Calibri" w:cs="Calibri"/>
          <w:color w:val="000000" w:themeColor="text1"/>
          <w:sz w:val="22"/>
          <w:szCs w:val="22"/>
          <w:lang w:val="en-AU"/>
        </w:rPr>
        <w:t xml:space="preserve">WBG </w:t>
      </w:r>
      <w:r w:rsidRPr="00C723E0">
        <w:rPr>
          <w:rFonts w:ascii="Calibri" w:hAnsi="Calibri" w:cs="Calibri"/>
          <w:color w:val="000000" w:themeColor="text1"/>
          <w:sz w:val="22"/>
          <w:szCs w:val="22"/>
          <w:lang w:val="en-AU"/>
        </w:rPr>
        <w:t xml:space="preserve">Country </w:t>
      </w:r>
      <w:r w:rsidR="00E75CB8" w:rsidRPr="00C723E0">
        <w:rPr>
          <w:rFonts w:ascii="Calibri" w:hAnsi="Calibri" w:cs="Calibri"/>
          <w:color w:val="000000" w:themeColor="text1"/>
          <w:sz w:val="22"/>
          <w:szCs w:val="22"/>
          <w:lang w:val="en-AU"/>
        </w:rPr>
        <w:t>S</w:t>
      </w:r>
      <w:r w:rsidRPr="00C723E0">
        <w:rPr>
          <w:rFonts w:ascii="Calibri" w:hAnsi="Calibri" w:cs="Calibri"/>
          <w:color w:val="000000" w:themeColor="text1"/>
          <w:sz w:val="22"/>
          <w:szCs w:val="22"/>
          <w:lang w:val="en-AU"/>
        </w:rPr>
        <w:t xml:space="preserve">trategy </w:t>
      </w:r>
      <w:r w:rsidR="00E75CB8" w:rsidRPr="00C723E0">
        <w:rPr>
          <w:rFonts w:ascii="Calibri" w:hAnsi="Calibri" w:cs="Calibri"/>
          <w:color w:val="000000" w:themeColor="text1"/>
          <w:sz w:val="22"/>
          <w:szCs w:val="22"/>
          <w:lang w:val="en-AU"/>
        </w:rPr>
        <w:t>(</w:t>
      </w:r>
      <w:r w:rsidRPr="00C723E0">
        <w:rPr>
          <w:rFonts w:ascii="Calibri" w:hAnsi="Calibri" w:cs="Calibri"/>
          <w:color w:val="000000" w:themeColor="text1"/>
          <w:sz w:val="22"/>
          <w:szCs w:val="22"/>
          <w:lang w:val="en-AU"/>
        </w:rPr>
        <w:t>2021-2024)</w:t>
      </w:r>
      <w:r w:rsidR="00E12C9D" w:rsidRPr="00C723E0">
        <w:rPr>
          <w:rFonts w:ascii="Calibri" w:hAnsi="Calibri" w:cs="Calibri"/>
          <w:color w:val="000000" w:themeColor="text1"/>
          <w:sz w:val="22"/>
          <w:szCs w:val="22"/>
          <w:lang w:val="en-AU"/>
        </w:rPr>
        <w:t xml:space="preserve">. </w:t>
      </w:r>
      <w:r w:rsidR="00E12C9D" w:rsidRPr="00C723E0">
        <w:rPr>
          <w:rFonts w:ascii="Calibri" w:eastAsiaTheme="minorHAnsi" w:hAnsi="Calibri" w:cs="Calibri"/>
          <w:sz w:val="22"/>
          <w:szCs w:val="22"/>
          <w:lang w:val="en-AU"/>
          <w14:ligatures w14:val="standardContextual"/>
        </w:rPr>
        <w:t xml:space="preserve">The CPSD approach was to </w:t>
      </w:r>
      <w:r w:rsidR="006B44C9" w:rsidRPr="00C723E0">
        <w:rPr>
          <w:rFonts w:ascii="Calibri" w:eastAsiaTheme="minorHAnsi" w:hAnsi="Calibri" w:cs="Calibri"/>
          <w:sz w:val="22"/>
          <w:szCs w:val="22"/>
          <w:lang w:val="en-AU"/>
          <w14:ligatures w14:val="standardContextual"/>
        </w:rPr>
        <w:t>help</w:t>
      </w:r>
      <w:r w:rsidR="00E12C9D" w:rsidRPr="00C723E0">
        <w:rPr>
          <w:rFonts w:ascii="Calibri" w:eastAsiaTheme="minorHAnsi" w:hAnsi="Calibri" w:cs="Calibri"/>
          <w:sz w:val="22"/>
          <w:szCs w:val="22"/>
          <w:lang w:val="en-AU"/>
          <w14:ligatures w14:val="standardContextual"/>
        </w:rPr>
        <w:t xml:space="preserve"> Fiji to </w:t>
      </w:r>
      <w:r w:rsidR="00E12C9D" w:rsidRPr="00C723E0">
        <w:rPr>
          <w:rFonts w:ascii="Calibri" w:eastAsiaTheme="minorHAnsi" w:hAnsi="Calibri" w:cs="Calibri"/>
          <w:i/>
          <w:iCs/>
          <w:sz w:val="22"/>
          <w:szCs w:val="22"/>
          <w:lang w:val="en-AU"/>
          <w14:ligatures w14:val="standardContextual"/>
        </w:rPr>
        <w:t>“build back better”</w:t>
      </w:r>
      <w:r w:rsidR="00E12C9D" w:rsidRPr="00C723E0">
        <w:rPr>
          <w:rFonts w:ascii="Calibri" w:eastAsiaTheme="minorHAnsi" w:hAnsi="Calibri" w:cs="Calibri"/>
          <w:sz w:val="22"/>
          <w:szCs w:val="22"/>
          <w:lang w:val="en-AU"/>
          <w14:ligatures w14:val="standardContextual"/>
        </w:rPr>
        <w:t xml:space="preserve"> and revolves around four key interrelated pillars: (</w:t>
      </w:r>
      <w:r w:rsidR="006B44C9" w:rsidRPr="00C723E0">
        <w:rPr>
          <w:rFonts w:ascii="Calibri" w:eastAsiaTheme="minorHAnsi" w:hAnsi="Calibri" w:cs="Calibri"/>
          <w:sz w:val="22"/>
          <w:szCs w:val="22"/>
          <w:lang w:val="en-AU"/>
          <w14:ligatures w14:val="standardContextual"/>
        </w:rPr>
        <w:t>i)</w:t>
      </w:r>
      <w:r w:rsidR="00E12C9D" w:rsidRPr="00C723E0">
        <w:rPr>
          <w:rFonts w:ascii="Calibri" w:eastAsiaTheme="minorHAnsi" w:hAnsi="Calibri" w:cs="Calibri"/>
          <w:sz w:val="22"/>
          <w:szCs w:val="22"/>
          <w:lang w:val="en-AU"/>
          <w14:ligatures w14:val="standardContextual"/>
        </w:rPr>
        <w:t xml:space="preserve"> unlocking new sectoral sources of growth beyond tourism; (</w:t>
      </w:r>
      <w:r w:rsidR="006B44C9" w:rsidRPr="00C723E0">
        <w:rPr>
          <w:rFonts w:ascii="Calibri" w:eastAsiaTheme="minorHAnsi" w:hAnsi="Calibri" w:cs="Calibri"/>
          <w:sz w:val="22"/>
          <w:szCs w:val="22"/>
          <w:lang w:val="en-AU"/>
          <w14:ligatures w14:val="standardContextual"/>
        </w:rPr>
        <w:t>ii</w:t>
      </w:r>
      <w:r w:rsidR="00E12C9D" w:rsidRPr="00C723E0">
        <w:rPr>
          <w:rFonts w:ascii="Calibri" w:eastAsiaTheme="minorHAnsi" w:hAnsi="Calibri" w:cs="Calibri"/>
          <w:sz w:val="22"/>
          <w:szCs w:val="22"/>
          <w:lang w:val="en-AU"/>
          <w14:ligatures w14:val="standardContextual"/>
        </w:rPr>
        <w:t>) strengthening economic and climate resilience; (</w:t>
      </w:r>
      <w:r w:rsidR="006B44C9" w:rsidRPr="00C723E0">
        <w:rPr>
          <w:rFonts w:ascii="Calibri" w:eastAsiaTheme="minorHAnsi" w:hAnsi="Calibri" w:cs="Calibri"/>
          <w:sz w:val="22"/>
          <w:szCs w:val="22"/>
          <w:lang w:val="en-AU"/>
          <w14:ligatures w14:val="standardContextual"/>
        </w:rPr>
        <w:t>iii</w:t>
      </w:r>
      <w:r w:rsidR="00E12C9D" w:rsidRPr="00C723E0">
        <w:rPr>
          <w:rFonts w:ascii="Calibri" w:eastAsiaTheme="minorHAnsi" w:hAnsi="Calibri" w:cs="Calibri"/>
          <w:sz w:val="22"/>
          <w:szCs w:val="22"/>
          <w:lang w:val="en-AU"/>
          <w14:ligatures w14:val="standardContextual"/>
        </w:rPr>
        <w:t>) leveraging Fiji’s potential as an economic hub in the Pacific region; and (</w:t>
      </w:r>
      <w:r w:rsidR="006B44C9" w:rsidRPr="00C723E0">
        <w:rPr>
          <w:rFonts w:ascii="Calibri" w:eastAsiaTheme="minorHAnsi" w:hAnsi="Calibri" w:cs="Calibri"/>
          <w:sz w:val="22"/>
          <w:szCs w:val="22"/>
          <w:lang w:val="en-AU"/>
          <w14:ligatures w14:val="standardContextual"/>
        </w:rPr>
        <w:t>iv</w:t>
      </w:r>
      <w:r w:rsidR="00E12C9D" w:rsidRPr="00C723E0">
        <w:rPr>
          <w:rFonts w:ascii="Calibri" w:eastAsiaTheme="minorHAnsi" w:hAnsi="Calibri" w:cs="Calibri"/>
          <w:sz w:val="22"/>
          <w:szCs w:val="22"/>
          <w:lang w:val="en-AU"/>
          <w14:ligatures w14:val="standardContextual"/>
        </w:rPr>
        <w:t>) creating inclusive employment opportunities.</w:t>
      </w:r>
    </w:p>
    <w:p w14:paraId="370D144E" w14:textId="1F57B0EC" w:rsidR="00A94191" w:rsidRPr="00C723E0" w:rsidRDefault="00A94191" w:rsidP="00A94191">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The projects supported under FPSDP aimed to support broad</w:t>
      </w:r>
      <w:r w:rsidRPr="00C723E0">
        <w:rPr>
          <w:rFonts w:ascii="Calibri" w:eastAsiaTheme="minorHAnsi" w:hAnsi="Calibri" w:cs="Calibri"/>
          <w:b/>
          <w:bCs/>
          <w:i/>
          <w:iCs/>
          <w:sz w:val="22"/>
          <w:szCs w:val="22"/>
          <w:lang w:val="en-AU"/>
          <w14:ligatures w14:val="standardContextual"/>
        </w:rPr>
        <w:t xml:space="preserve"> </w:t>
      </w:r>
      <w:r w:rsidRPr="00C723E0">
        <w:rPr>
          <w:rFonts w:ascii="Calibri" w:eastAsiaTheme="minorHAnsi" w:hAnsi="Calibri" w:cs="Calibri"/>
          <w:b/>
          <w:bCs/>
          <w:sz w:val="22"/>
          <w:szCs w:val="22"/>
          <w:lang w:val="en-AU"/>
          <w14:ligatures w14:val="standardContextual"/>
        </w:rPr>
        <w:t>sectoral diversification.</w:t>
      </w:r>
      <w:r w:rsidRPr="00C723E0">
        <w:rPr>
          <w:rFonts w:ascii="Calibri" w:eastAsiaTheme="minorHAnsi" w:hAnsi="Calibri" w:cs="Calibri"/>
          <w:sz w:val="22"/>
          <w:szCs w:val="22"/>
          <w:lang w:val="en-AU"/>
          <w14:ligatures w14:val="standardContextual"/>
        </w:rPr>
        <w:t xml:space="preserve"> The CPSD</w:t>
      </w:r>
      <w:r w:rsidRPr="00C723E0">
        <w:rPr>
          <w:rFonts w:ascii="Calibri" w:eastAsiaTheme="minorHAnsi" w:hAnsi="Calibri" w:cs="Calibri"/>
          <w:i/>
          <w:iCs/>
          <w:sz w:val="22"/>
          <w:szCs w:val="22"/>
          <w:lang w:val="en-AU"/>
          <w14:ligatures w14:val="standardContextual"/>
        </w:rPr>
        <w:t xml:space="preserve"> </w:t>
      </w:r>
      <w:r w:rsidRPr="00C723E0">
        <w:rPr>
          <w:rFonts w:ascii="Calibri" w:eastAsiaTheme="minorHAnsi" w:hAnsi="Calibri" w:cs="Calibri"/>
          <w:sz w:val="22"/>
          <w:szCs w:val="22"/>
          <w:lang w:val="en-AU"/>
          <w14:ligatures w14:val="standardContextual"/>
        </w:rPr>
        <w:t xml:space="preserve">identified this need as a means to address the vulnerability of Fiji’s economy, particularly the shocks to tourism (as the COVID-19 pandemic), as well as growing threats to its natural tourism assets from climate change. The CPSD also </w:t>
      </w:r>
      <w:r w:rsidR="00A52E50" w:rsidRPr="00C723E0">
        <w:rPr>
          <w:rFonts w:ascii="Calibri" w:eastAsiaTheme="minorHAnsi" w:hAnsi="Calibri" w:cs="Calibri"/>
          <w:sz w:val="22"/>
          <w:szCs w:val="22"/>
          <w:lang w:val="en-AU"/>
          <w14:ligatures w14:val="standardContextual"/>
        </w:rPr>
        <w:t>ackn</w:t>
      </w:r>
      <w:r w:rsidRPr="00C723E0">
        <w:rPr>
          <w:rFonts w:ascii="Calibri" w:eastAsiaTheme="minorHAnsi" w:hAnsi="Calibri" w:cs="Calibri"/>
          <w:sz w:val="22"/>
          <w:szCs w:val="22"/>
          <w:lang w:val="en-AU"/>
          <w14:ligatures w14:val="standardContextual"/>
        </w:rPr>
        <w:t xml:space="preserve">owledged Fiji’s low resilience to economic shocks, climate change, and natural disasters across other sectors such as agriculture, housing, and fisheries. The strategic focus was </w:t>
      </w:r>
      <w:r w:rsidR="006B44C9" w:rsidRPr="00C723E0">
        <w:rPr>
          <w:rFonts w:ascii="Calibri" w:eastAsiaTheme="minorHAnsi" w:hAnsi="Calibri" w:cs="Calibri"/>
          <w:sz w:val="22"/>
          <w:szCs w:val="22"/>
          <w:lang w:val="en-AU"/>
          <w14:ligatures w14:val="standardContextual"/>
        </w:rPr>
        <w:t>to strengthen and</w:t>
      </w:r>
      <w:r w:rsidRPr="00C723E0">
        <w:rPr>
          <w:rFonts w:ascii="Calibri" w:eastAsiaTheme="minorHAnsi" w:hAnsi="Calibri" w:cs="Calibri"/>
          <w:sz w:val="22"/>
          <w:szCs w:val="22"/>
          <w:lang w:val="en-AU"/>
          <w14:ligatures w14:val="standardContextual"/>
        </w:rPr>
        <w:t xml:space="preserve"> preserve the jobs and incomes in these sectors, and to reduce the fiscal burdens of economic relief and reconstruction after every major disruptive event.</w:t>
      </w:r>
    </w:p>
    <w:p w14:paraId="5168EC83" w14:textId="7E0C165B" w:rsidR="00A94191" w:rsidRPr="00C723E0" w:rsidRDefault="00A94191" w:rsidP="00A94191">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sz w:val="22"/>
          <w:szCs w:val="22"/>
          <w:lang w:val="en-AU"/>
          <w14:ligatures w14:val="standardContextual"/>
        </w:rPr>
        <w:t>In parallel</w:t>
      </w:r>
      <w:r w:rsidR="006B44C9"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w:t>
      </w:r>
      <w:r w:rsidRPr="00C723E0">
        <w:rPr>
          <w:rFonts w:ascii="Calibri" w:eastAsiaTheme="minorHAnsi" w:hAnsi="Calibri" w:cs="Calibri"/>
          <w:b/>
          <w:bCs/>
          <w:sz w:val="22"/>
          <w:szCs w:val="22"/>
          <w:lang w:val="en-AU"/>
          <w14:ligatures w14:val="standardContextual"/>
        </w:rPr>
        <w:t>the CPS</w:t>
      </w:r>
      <w:r w:rsidR="00345A18" w:rsidRPr="00C723E0">
        <w:rPr>
          <w:rFonts w:ascii="Calibri" w:eastAsiaTheme="minorHAnsi" w:hAnsi="Calibri" w:cs="Calibri"/>
          <w:b/>
          <w:bCs/>
          <w:sz w:val="22"/>
          <w:szCs w:val="22"/>
          <w:lang w:val="en-AU"/>
          <w14:ligatures w14:val="standardContextual"/>
        </w:rPr>
        <w:t>D</w:t>
      </w:r>
      <w:r w:rsidRPr="00C723E0">
        <w:rPr>
          <w:rFonts w:ascii="Calibri" w:eastAsiaTheme="minorHAnsi" w:hAnsi="Calibri" w:cs="Calibri"/>
          <w:b/>
          <w:bCs/>
          <w:sz w:val="22"/>
          <w:szCs w:val="22"/>
          <w:lang w:val="en-AU"/>
          <w14:ligatures w14:val="standardContextual"/>
        </w:rPr>
        <w:t xml:space="preserve"> also </w:t>
      </w:r>
      <w:r w:rsidR="00E75CB8" w:rsidRPr="00C723E0">
        <w:rPr>
          <w:rFonts w:ascii="Calibri" w:eastAsiaTheme="minorHAnsi" w:hAnsi="Calibri" w:cs="Calibri"/>
          <w:b/>
          <w:bCs/>
          <w:sz w:val="22"/>
          <w:szCs w:val="22"/>
          <w:lang w:val="en-AU"/>
          <w14:ligatures w14:val="standardContextual"/>
        </w:rPr>
        <w:t>prioritised</w:t>
      </w:r>
      <w:r w:rsidRPr="00C723E0">
        <w:rPr>
          <w:rFonts w:ascii="Calibri" w:eastAsiaTheme="minorHAnsi" w:hAnsi="Calibri" w:cs="Calibri"/>
          <w:b/>
          <w:bCs/>
          <w:sz w:val="22"/>
          <w:szCs w:val="22"/>
          <w:lang w:val="en-AU"/>
          <w14:ligatures w14:val="standardContextual"/>
        </w:rPr>
        <w:t xml:space="preserve"> sectors that could contribute to increased economic diversification</w:t>
      </w:r>
      <w:r w:rsidRPr="00C723E0">
        <w:rPr>
          <w:rFonts w:ascii="Calibri" w:eastAsiaTheme="minorHAnsi" w:hAnsi="Calibri" w:cs="Calibri"/>
          <w:sz w:val="22"/>
          <w:szCs w:val="22"/>
          <w:lang w:val="en-AU"/>
          <w14:ligatures w14:val="standardContextual"/>
        </w:rPr>
        <w:t xml:space="preserve"> to help expand its external market and leverage its geographic centrality in the Pacific to become a</w:t>
      </w:r>
      <w:r w:rsidR="006B44C9" w:rsidRPr="00C723E0">
        <w:rPr>
          <w:rFonts w:ascii="Calibri" w:eastAsiaTheme="minorHAnsi" w:hAnsi="Calibri" w:cs="Calibri"/>
          <w:sz w:val="22"/>
          <w:szCs w:val="22"/>
          <w:lang w:val="en-AU"/>
          <w14:ligatures w14:val="standardContextual"/>
        </w:rPr>
        <w:t xml:space="preserve"> financial</w:t>
      </w:r>
      <w:r w:rsidRPr="00C723E0">
        <w:rPr>
          <w:rFonts w:ascii="Calibri" w:eastAsiaTheme="minorHAnsi" w:hAnsi="Calibri" w:cs="Calibri"/>
          <w:sz w:val="22"/>
          <w:szCs w:val="22"/>
          <w:lang w:val="en-AU"/>
          <w14:ligatures w14:val="standardContextual"/>
        </w:rPr>
        <w:t xml:space="preserve"> hub for Pacific Island Countries (PIC</w:t>
      </w:r>
      <w:r w:rsidR="007B17C3" w:rsidRPr="00C723E0">
        <w:rPr>
          <w:rFonts w:ascii="Calibri" w:eastAsiaTheme="minorHAnsi" w:hAnsi="Calibri" w:cs="Calibri"/>
          <w:sz w:val="22"/>
          <w:szCs w:val="22"/>
          <w:lang w:val="en-AU"/>
          <w14:ligatures w14:val="standardContextual"/>
        </w:rPr>
        <w:t>s</w:t>
      </w:r>
      <w:r w:rsidRPr="00C723E0">
        <w:rPr>
          <w:rFonts w:ascii="Calibri" w:eastAsiaTheme="minorHAnsi" w:hAnsi="Calibri" w:cs="Calibri"/>
          <w:sz w:val="22"/>
          <w:szCs w:val="22"/>
          <w:lang w:val="en-AU"/>
          <w14:ligatures w14:val="standardContextual"/>
        </w:rPr>
        <w:t xml:space="preserve">), and potentially for the broader Asia-Pacific region. The FPSDP </w:t>
      </w:r>
      <w:r w:rsidR="00E75CB8" w:rsidRPr="00C723E0">
        <w:rPr>
          <w:rFonts w:ascii="Calibri" w:eastAsiaTheme="minorHAnsi" w:hAnsi="Calibri" w:cs="Calibri"/>
          <w:sz w:val="22"/>
          <w:szCs w:val="22"/>
          <w:lang w:val="en-AU"/>
          <w14:ligatures w14:val="standardContextual"/>
        </w:rPr>
        <w:t xml:space="preserve">is </w:t>
      </w:r>
      <w:r w:rsidRPr="00C723E0">
        <w:rPr>
          <w:rFonts w:ascii="Calibri" w:eastAsiaTheme="minorHAnsi" w:hAnsi="Calibri" w:cs="Calibri"/>
          <w:sz w:val="22"/>
          <w:szCs w:val="22"/>
          <w:lang w:val="en-AU"/>
          <w14:ligatures w14:val="standardContextual"/>
        </w:rPr>
        <w:t xml:space="preserve">aligned </w:t>
      </w:r>
      <w:r w:rsidR="006D5DEF" w:rsidRPr="00C723E0">
        <w:rPr>
          <w:rFonts w:ascii="Calibri" w:eastAsiaTheme="minorHAnsi" w:hAnsi="Calibri" w:cs="Calibri"/>
          <w:sz w:val="22"/>
          <w:szCs w:val="22"/>
          <w:lang w:val="en-AU"/>
          <w14:ligatures w14:val="standardContextual"/>
        </w:rPr>
        <w:t>with</w:t>
      </w:r>
      <w:r w:rsidRPr="00C723E0">
        <w:rPr>
          <w:rFonts w:ascii="Calibri" w:eastAsiaTheme="minorHAnsi" w:hAnsi="Calibri" w:cs="Calibri"/>
          <w:sz w:val="22"/>
          <w:szCs w:val="22"/>
          <w:lang w:val="en-AU"/>
          <w14:ligatures w14:val="standardContextual"/>
        </w:rPr>
        <w:t xml:space="preserve"> this intention and </w:t>
      </w:r>
      <w:r w:rsidR="006D5DEF" w:rsidRPr="00C723E0">
        <w:rPr>
          <w:rFonts w:ascii="Calibri" w:eastAsiaTheme="minorHAnsi" w:hAnsi="Calibri" w:cs="Calibri"/>
          <w:sz w:val="22"/>
          <w:szCs w:val="22"/>
          <w:lang w:val="en-AU"/>
          <w14:ligatures w14:val="standardContextual"/>
        </w:rPr>
        <w:t xml:space="preserve">is seeking </w:t>
      </w:r>
      <w:r w:rsidRPr="00C723E0">
        <w:rPr>
          <w:rFonts w:ascii="Calibri" w:eastAsiaTheme="minorHAnsi" w:hAnsi="Calibri" w:cs="Calibri"/>
          <w:sz w:val="22"/>
          <w:szCs w:val="22"/>
          <w:lang w:val="en-AU"/>
          <w14:ligatures w14:val="standardContextual"/>
        </w:rPr>
        <w:t>to broaden the support base</w:t>
      </w:r>
      <w:r w:rsidR="00E75CB8"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recognising that tourism is a critical component of the Fi</w:t>
      </w:r>
      <w:r w:rsidR="00E75CB8" w:rsidRPr="00C723E0">
        <w:rPr>
          <w:rFonts w:ascii="Calibri" w:eastAsiaTheme="minorHAnsi" w:hAnsi="Calibri" w:cs="Calibri"/>
          <w:sz w:val="22"/>
          <w:szCs w:val="22"/>
          <w:lang w:val="en-AU"/>
          <w14:ligatures w14:val="standardContextual"/>
        </w:rPr>
        <w:t>j</w:t>
      </w:r>
      <w:r w:rsidRPr="00C723E0">
        <w:rPr>
          <w:rFonts w:ascii="Calibri" w:eastAsiaTheme="minorHAnsi" w:hAnsi="Calibri" w:cs="Calibri"/>
          <w:sz w:val="22"/>
          <w:szCs w:val="22"/>
          <w:lang w:val="en-AU"/>
          <w14:ligatures w14:val="standardContextual"/>
        </w:rPr>
        <w:t>ian economy.</w:t>
      </w:r>
    </w:p>
    <w:p w14:paraId="7298B432" w14:textId="30C2A30F" w:rsidR="00A94191" w:rsidRPr="00C723E0" w:rsidRDefault="00A94191" w:rsidP="00A94191">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 xml:space="preserve">Finally, sectors with </w:t>
      </w:r>
      <w:r w:rsidR="006B44C9" w:rsidRPr="00C723E0">
        <w:rPr>
          <w:rFonts w:ascii="Calibri" w:eastAsiaTheme="minorHAnsi" w:hAnsi="Calibri" w:cs="Calibri"/>
          <w:b/>
          <w:bCs/>
          <w:sz w:val="22"/>
          <w:szCs w:val="22"/>
          <w:lang w:val="en-AU"/>
          <w14:ligatures w14:val="standardContextual"/>
        </w:rPr>
        <w:t xml:space="preserve">the </w:t>
      </w:r>
      <w:r w:rsidRPr="00C723E0">
        <w:rPr>
          <w:rFonts w:ascii="Calibri" w:eastAsiaTheme="minorHAnsi" w:hAnsi="Calibri" w:cs="Calibri"/>
          <w:b/>
          <w:bCs/>
          <w:sz w:val="22"/>
          <w:szCs w:val="22"/>
          <w:lang w:val="en-AU"/>
          <w14:ligatures w14:val="standardContextual"/>
        </w:rPr>
        <w:t>potential to generate high numbers of quality jobs must be at the heart of Fiji’s rebuilding and long-term development efforts</w:t>
      </w:r>
      <w:r w:rsidRPr="00C723E0">
        <w:rPr>
          <w:rFonts w:ascii="Calibri" w:eastAsiaTheme="minorHAnsi" w:hAnsi="Calibri" w:cs="Calibri"/>
          <w:sz w:val="22"/>
          <w:szCs w:val="22"/>
          <w:lang w:val="en-AU"/>
          <w14:ligatures w14:val="standardContextual"/>
        </w:rPr>
        <w:t>, especially those offering opportunities to women and youth, who have historically experienced greater unemployment and have been disproportionately harder hit economically by COVID-19. Women are a growing majority in higher education</w:t>
      </w:r>
      <w:r w:rsidR="006B44C9" w:rsidRPr="00C723E0">
        <w:rPr>
          <w:rFonts w:ascii="Calibri" w:eastAsiaTheme="minorHAnsi" w:hAnsi="Calibri" w:cs="Calibri"/>
          <w:sz w:val="22"/>
          <w:szCs w:val="22"/>
          <w:lang w:val="en-AU"/>
          <w14:ligatures w14:val="standardContextual"/>
        </w:rPr>
        <w:t>. Still,</w:t>
      </w:r>
      <w:r w:rsidRPr="00C723E0">
        <w:rPr>
          <w:rFonts w:ascii="Calibri" w:eastAsiaTheme="minorHAnsi" w:hAnsi="Calibri" w:cs="Calibri"/>
          <w:sz w:val="22"/>
          <w:szCs w:val="22"/>
          <w:lang w:val="en-AU"/>
          <w14:ligatures w14:val="standardContextual"/>
        </w:rPr>
        <w:t xml:space="preserve"> female </w:t>
      </w:r>
      <w:r w:rsidR="003221AD" w:rsidRPr="00C723E0">
        <w:rPr>
          <w:rFonts w:ascii="Calibri" w:eastAsiaTheme="minorHAnsi" w:hAnsi="Calibri" w:cs="Calibri"/>
          <w:sz w:val="22"/>
          <w:szCs w:val="22"/>
          <w:lang w:val="en-AU"/>
          <w14:ligatures w14:val="standardContextual"/>
        </w:rPr>
        <w:t>labour</w:t>
      </w:r>
      <w:r w:rsidRPr="00C723E0">
        <w:rPr>
          <w:rFonts w:ascii="Calibri" w:eastAsiaTheme="minorHAnsi" w:hAnsi="Calibri" w:cs="Calibri"/>
          <w:sz w:val="22"/>
          <w:szCs w:val="22"/>
          <w:lang w:val="en-AU"/>
          <w14:ligatures w14:val="standardContextual"/>
        </w:rPr>
        <w:t xml:space="preserve"> force participation is considerably lower than for males (46 percent</w:t>
      </w:r>
      <w:r w:rsidR="00E75CB8" w:rsidRPr="00C723E0">
        <w:rPr>
          <w:rFonts w:ascii="Calibri" w:eastAsiaTheme="minorHAnsi" w:hAnsi="Calibri" w:cs="Calibri"/>
          <w:sz w:val="22"/>
          <w:szCs w:val="22"/>
          <w:lang w:val="en-AU"/>
          <w14:ligatures w14:val="standardContextual"/>
        </w:rPr>
        <w:t xml:space="preserve"> </w:t>
      </w:r>
      <w:r w:rsidRPr="00C723E0">
        <w:rPr>
          <w:rFonts w:ascii="Calibri" w:eastAsiaTheme="minorHAnsi" w:hAnsi="Calibri" w:cs="Calibri"/>
          <w:sz w:val="22"/>
          <w:szCs w:val="22"/>
          <w:lang w:val="en-AU"/>
          <w14:ligatures w14:val="standardContextual"/>
        </w:rPr>
        <w:t>compared to 83 percent), a gap which is wider in Fiji than in other PI</w:t>
      </w:r>
      <w:r w:rsidR="00345A18" w:rsidRPr="00C723E0">
        <w:rPr>
          <w:rFonts w:ascii="Calibri" w:eastAsiaTheme="minorHAnsi" w:hAnsi="Calibri" w:cs="Calibri"/>
          <w:sz w:val="22"/>
          <w:szCs w:val="22"/>
          <w:lang w:val="en-AU"/>
          <w14:ligatures w14:val="standardContextual"/>
        </w:rPr>
        <w:t>C</w:t>
      </w:r>
      <w:r w:rsidRPr="00C723E0">
        <w:rPr>
          <w:rFonts w:ascii="Calibri" w:eastAsiaTheme="minorHAnsi" w:hAnsi="Calibri" w:cs="Calibri"/>
          <w:sz w:val="22"/>
          <w:szCs w:val="22"/>
          <w:lang w:val="en-AU"/>
          <w14:ligatures w14:val="standardContextual"/>
        </w:rPr>
        <w:t>s.</w:t>
      </w:r>
    </w:p>
    <w:p w14:paraId="3E8D0DB0" w14:textId="49817C0C" w:rsidR="00DF6080" w:rsidRPr="003A36D6" w:rsidRDefault="00DF6080" w:rsidP="001A5541">
      <w:pPr>
        <w:pStyle w:val="BodyText"/>
        <w:rPr>
          <w:b/>
          <w:bCs/>
          <w:i/>
          <w:iCs/>
        </w:rPr>
      </w:pPr>
      <w:bookmarkStart w:id="33" w:name="_Toc201131771"/>
      <w:r w:rsidRPr="003A36D6">
        <w:rPr>
          <w:b/>
          <w:bCs/>
          <w:i/>
          <w:iCs/>
        </w:rPr>
        <w:t xml:space="preserve">Needs of </w:t>
      </w:r>
      <w:r w:rsidR="00E75CB8" w:rsidRPr="003A36D6">
        <w:rPr>
          <w:b/>
          <w:bCs/>
          <w:i/>
          <w:iCs/>
        </w:rPr>
        <w:t>Clients</w:t>
      </w:r>
      <w:r w:rsidRPr="003A36D6">
        <w:rPr>
          <w:b/>
          <w:bCs/>
          <w:i/>
          <w:iCs/>
        </w:rPr>
        <w:t xml:space="preserve"> and Partners</w:t>
      </w:r>
      <w:bookmarkEnd w:id="33"/>
    </w:p>
    <w:p w14:paraId="7C6BA9E2" w14:textId="77777777" w:rsidR="00BE2266" w:rsidRDefault="00DF6080" w:rsidP="00A94191">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 xml:space="preserve">IFC has </w:t>
      </w:r>
      <w:r w:rsidR="00E75CB8" w:rsidRPr="00C723E0">
        <w:rPr>
          <w:rFonts w:ascii="Calibri" w:eastAsiaTheme="minorHAnsi" w:hAnsi="Calibri" w:cs="Calibri"/>
          <w:b/>
          <w:bCs/>
          <w:sz w:val="22"/>
          <w:szCs w:val="22"/>
          <w:lang w:val="en-AU"/>
          <w14:ligatures w14:val="standardContextual"/>
        </w:rPr>
        <w:t>prioritised</w:t>
      </w:r>
      <w:r w:rsidRPr="00C723E0">
        <w:rPr>
          <w:rFonts w:ascii="Calibri" w:eastAsiaTheme="minorHAnsi" w:hAnsi="Calibri" w:cs="Calibri"/>
          <w:b/>
          <w:bCs/>
          <w:sz w:val="22"/>
          <w:szCs w:val="22"/>
          <w:lang w:val="en-AU"/>
          <w14:ligatures w14:val="standardContextual"/>
        </w:rPr>
        <w:t xml:space="preserve"> </w:t>
      </w:r>
      <w:r w:rsidR="006B44C9" w:rsidRPr="00C723E0">
        <w:rPr>
          <w:rFonts w:ascii="Calibri" w:eastAsiaTheme="minorHAnsi" w:hAnsi="Calibri" w:cs="Calibri"/>
          <w:b/>
          <w:bCs/>
          <w:sz w:val="22"/>
          <w:szCs w:val="22"/>
          <w:lang w:val="en-AU"/>
          <w14:ligatures w14:val="standardContextual"/>
        </w:rPr>
        <w:t>clients' need</w:t>
      </w:r>
      <w:r w:rsidRPr="00C723E0">
        <w:rPr>
          <w:rFonts w:ascii="Calibri" w:eastAsiaTheme="minorHAnsi" w:hAnsi="Calibri" w:cs="Calibri"/>
          <w:b/>
          <w:bCs/>
          <w:sz w:val="22"/>
          <w:szCs w:val="22"/>
          <w:lang w:val="en-AU"/>
          <w14:ligatures w14:val="standardContextual"/>
        </w:rPr>
        <w:t xml:space="preserve">s through </w:t>
      </w:r>
      <w:r w:rsidR="00F21D99" w:rsidRPr="00C723E0">
        <w:rPr>
          <w:rFonts w:ascii="Calibri" w:eastAsiaTheme="minorHAnsi" w:hAnsi="Calibri" w:cs="Calibri"/>
          <w:b/>
          <w:bCs/>
          <w:sz w:val="22"/>
          <w:szCs w:val="22"/>
          <w:lang w:val="en-AU"/>
          <w14:ligatures w14:val="standardContextual"/>
        </w:rPr>
        <w:t xml:space="preserve">consultations and engagements </w:t>
      </w:r>
      <w:r w:rsidR="00BD6F87" w:rsidRPr="00C723E0">
        <w:rPr>
          <w:rFonts w:ascii="Calibri" w:eastAsiaTheme="minorHAnsi" w:hAnsi="Calibri" w:cs="Calibri"/>
          <w:b/>
          <w:bCs/>
          <w:sz w:val="22"/>
          <w:szCs w:val="22"/>
          <w:lang w:val="en-AU"/>
          <w14:ligatures w14:val="standardContextual"/>
        </w:rPr>
        <w:t>over</w:t>
      </w:r>
      <w:r w:rsidR="006B44C9" w:rsidRPr="00C723E0">
        <w:rPr>
          <w:rFonts w:ascii="Calibri" w:eastAsiaTheme="minorHAnsi" w:hAnsi="Calibri" w:cs="Calibri"/>
          <w:b/>
          <w:bCs/>
          <w:sz w:val="22"/>
          <w:szCs w:val="22"/>
          <w:lang w:val="en-AU"/>
          <w14:ligatures w14:val="standardContextual"/>
        </w:rPr>
        <w:t xml:space="preserve"> the program's life</w:t>
      </w:r>
      <w:r w:rsidR="00F21D99" w:rsidRPr="00C723E0">
        <w:rPr>
          <w:rFonts w:ascii="Calibri" w:eastAsiaTheme="minorHAnsi" w:hAnsi="Calibri" w:cs="Calibri"/>
          <w:b/>
          <w:bCs/>
          <w:sz w:val="22"/>
          <w:szCs w:val="22"/>
          <w:lang w:val="en-AU"/>
          <w14:ligatures w14:val="standardContextual"/>
        </w:rPr>
        <w:t xml:space="preserve">. </w:t>
      </w:r>
      <w:r w:rsidR="00F21D99" w:rsidRPr="00C723E0">
        <w:rPr>
          <w:rFonts w:ascii="Calibri" w:eastAsiaTheme="minorHAnsi" w:hAnsi="Calibri" w:cs="Calibri"/>
          <w:sz w:val="22"/>
          <w:szCs w:val="22"/>
          <w:lang w:val="en-AU"/>
          <w14:ligatures w14:val="standardContextual"/>
        </w:rPr>
        <w:t xml:space="preserve">IFC has built significant “social capital” with </w:t>
      </w:r>
      <w:r w:rsidR="00D62F56" w:rsidRPr="00C723E0">
        <w:rPr>
          <w:rFonts w:ascii="Calibri" w:eastAsiaTheme="minorHAnsi" w:hAnsi="Calibri" w:cs="Calibri"/>
          <w:sz w:val="22"/>
          <w:szCs w:val="22"/>
          <w:lang w:val="en-AU"/>
          <w14:ligatures w14:val="standardContextual"/>
        </w:rPr>
        <w:t>stakeholders</w:t>
      </w:r>
      <w:r w:rsidR="00F21D99" w:rsidRPr="00C723E0">
        <w:rPr>
          <w:rFonts w:ascii="Calibri" w:eastAsiaTheme="minorHAnsi" w:hAnsi="Calibri" w:cs="Calibri"/>
          <w:sz w:val="22"/>
          <w:szCs w:val="22"/>
          <w:lang w:val="en-AU"/>
          <w14:ligatures w14:val="standardContextual"/>
        </w:rPr>
        <w:t xml:space="preserve">, particularly GoF </w:t>
      </w:r>
      <w:r w:rsidR="00D62F56" w:rsidRPr="00C723E0">
        <w:rPr>
          <w:rFonts w:ascii="Calibri" w:eastAsiaTheme="minorHAnsi" w:hAnsi="Calibri" w:cs="Calibri"/>
          <w:sz w:val="22"/>
          <w:szCs w:val="22"/>
          <w:lang w:val="en-AU"/>
          <w14:ligatures w14:val="standardContextual"/>
        </w:rPr>
        <w:t>Ministries</w:t>
      </w:r>
      <w:r w:rsidR="00F21D99" w:rsidRPr="00C723E0">
        <w:rPr>
          <w:rFonts w:ascii="Calibri" w:eastAsiaTheme="minorHAnsi" w:hAnsi="Calibri" w:cs="Calibri"/>
          <w:sz w:val="22"/>
          <w:szCs w:val="22"/>
          <w:lang w:val="en-AU"/>
          <w14:ligatures w14:val="standardContextual"/>
        </w:rPr>
        <w:t>. An importa</w:t>
      </w:r>
      <w:r w:rsidR="00D62F56" w:rsidRPr="00C723E0">
        <w:rPr>
          <w:rFonts w:ascii="Calibri" w:eastAsiaTheme="minorHAnsi" w:hAnsi="Calibri" w:cs="Calibri"/>
          <w:sz w:val="22"/>
          <w:szCs w:val="22"/>
          <w:lang w:val="en-AU"/>
          <w14:ligatures w14:val="standardContextual"/>
        </w:rPr>
        <w:t>n</w:t>
      </w:r>
      <w:r w:rsidR="00F21D99" w:rsidRPr="00C723E0">
        <w:rPr>
          <w:rFonts w:ascii="Calibri" w:eastAsiaTheme="minorHAnsi" w:hAnsi="Calibri" w:cs="Calibri"/>
          <w:sz w:val="22"/>
          <w:szCs w:val="22"/>
          <w:lang w:val="en-AU"/>
          <w14:ligatures w14:val="standardContextual"/>
        </w:rPr>
        <w:t xml:space="preserve">t finding is that the work promoted by IFC is often staged in nature and </w:t>
      </w:r>
      <w:r w:rsidR="00D62F56" w:rsidRPr="00C723E0">
        <w:rPr>
          <w:rFonts w:ascii="Calibri" w:eastAsiaTheme="minorHAnsi" w:hAnsi="Calibri" w:cs="Calibri"/>
          <w:sz w:val="22"/>
          <w:szCs w:val="22"/>
          <w:lang w:val="en-AU"/>
          <w14:ligatures w14:val="standardContextual"/>
        </w:rPr>
        <w:t>builds</w:t>
      </w:r>
      <w:r w:rsidR="00F21D99" w:rsidRPr="00C723E0">
        <w:rPr>
          <w:rFonts w:ascii="Calibri" w:eastAsiaTheme="minorHAnsi" w:hAnsi="Calibri" w:cs="Calibri"/>
          <w:sz w:val="22"/>
          <w:szCs w:val="22"/>
          <w:lang w:val="en-AU"/>
          <w14:ligatures w14:val="standardContextual"/>
        </w:rPr>
        <w:t xml:space="preserve"> upon previous experiences and </w:t>
      </w:r>
      <w:r w:rsidR="006B44C9" w:rsidRPr="00C723E0">
        <w:rPr>
          <w:rFonts w:ascii="Calibri" w:eastAsiaTheme="minorHAnsi" w:hAnsi="Calibri" w:cs="Calibri"/>
          <w:sz w:val="22"/>
          <w:szCs w:val="22"/>
          <w:lang w:val="en-AU"/>
          <w14:ligatures w14:val="standardContextual"/>
        </w:rPr>
        <w:t xml:space="preserve">IFC's </w:t>
      </w:r>
      <w:r w:rsidR="006B44C9" w:rsidRPr="00C723E0">
        <w:rPr>
          <w:rFonts w:ascii="Calibri" w:eastAsiaTheme="minorHAnsi" w:hAnsi="Calibri" w:cs="Calibri"/>
          <w:sz w:val="22"/>
          <w:szCs w:val="22"/>
          <w:lang w:val="en-AU"/>
          <w14:ligatures w14:val="standardContextual"/>
        </w:rPr>
        <w:lastRenderedPageBreak/>
        <w:t>core competencies</w:t>
      </w:r>
      <w:r w:rsidR="00F21D99" w:rsidRPr="00C723E0">
        <w:rPr>
          <w:rFonts w:ascii="Calibri" w:eastAsiaTheme="minorHAnsi" w:hAnsi="Calibri" w:cs="Calibri"/>
          <w:sz w:val="22"/>
          <w:szCs w:val="22"/>
          <w:lang w:val="en-AU"/>
          <w14:ligatures w14:val="standardContextual"/>
        </w:rPr>
        <w:t>.</w:t>
      </w:r>
      <w:r w:rsidR="002A4718" w:rsidRPr="00C723E0">
        <w:rPr>
          <w:rFonts w:ascii="Calibri" w:eastAsiaTheme="minorHAnsi" w:hAnsi="Calibri" w:cs="Calibri"/>
          <w:sz w:val="22"/>
          <w:szCs w:val="22"/>
          <w:lang w:val="en-AU"/>
          <w14:ligatures w14:val="standardContextual"/>
        </w:rPr>
        <w:t xml:space="preserve"> Engagements with key stakeholders revealed that the advice and technical support provided by IFC through the program has been well received and addressed specific and targeted needs. While it is noted that stakeholders have changed and evolved over time, the support designed by IFC has also evolved to support priority needs and demands. </w:t>
      </w:r>
    </w:p>
    <w:p w14:paraId="3CFFD279" w14:textId="70B86B0B" w:rsidR="000744F8" w:rsidRPr="00C723E0" w:rsidRDefault="00BB6B80" w:rsidP="00A94191">
      <w:pPr>
        <w:autoSpaceDE w:val="0"/>
        <w:autoSpaceDN w:val="0"/>
        <w:adjustRightInd w:val="0"/>
        <w:spacing w:after="120"/>
        <w:jc w:val="both"/>
        <w:rPr>
          <w:rFonts w:ascii="Calibri" w:eastAsiaTheme="minorHAnsi" w:hAnsi="Calibri" w:cs="Calibri"/>
          <w:sz w:val="22"/>
          <w:szCs w:val="22"/>
          <w:lang w:val="en-AU"/>
          <w14:ligatures w14:val="standardContextual"/>
        </w:rPr>
      </w:pPr>
      <w:r w:rsidRPr="000E47A9">
        <w:rPr>
          <w:rFonts w:ascii="Calibri" w:eastAsiaTheme="minorHAnsi" w:hAnsi="Calibri" w:cs="Calibri"/>
          <w:sz w:val="22"/>
          <w:szCs w:val="22"/>
          <w:lang w:val="en-AU"/>
          <w14:ligatures w14:val="standardContextual"/>
        </w:rPr>
        <w:t>For example, s</w:t>
      </w:r>
      <w:r w:rsidR="00BE2266" w:rsidRPr="000E47A9">
        <w:rPr>
          <w:rFonts w:ascii="Calibri" w:eastAsiaTheme="minorHAnsi" w:hAnsi="Calibri" w:cs="Calibri"/>
          <w:sz w:val="22"/>
          <w:szCs w:val="22"/>
          <w:lang w:val="en-AU"/>
          <w14:ligatures w14:val="standardContextual"/>
        </w:rPr>
        <w:t>upport to the Reserve Bank of Fiji</w:t>
      </w:r>
      <w:r w:rsidR="00765B99" w:rsidRPr="000E47A9">
        <w:rPr>
          <w:rFonts w:ascii="Calibri" w:eastAsiaTheme="minorHAnsi" w:hAnsi="Calibri" w:cs="Calibri"/>
          <w:sz w:val="22"/>
          <w:szCs w:val="22"/>
          <w:lang w:val="en-AU"/>
          <w14:ligatures w14:val="standardContextual"/>
        </w:rPr>
        <w:t xml:space="preserve"> (RBF)</w:t>
      </w:r>
      <w:r w:rsidR="00BE2266" w:rsidRPr="000E47A9">
        <w:rPr>
          <w:rFonts w:ascii="Calibri" w:eastAsiaTheme="minorHAnsi" w:hAnsi="Calibri" w:cs="Calibri"/>
          <w:sz w:val="22"/>
          <w:szCs w:val="22"/>
          <w:lang w:val="en-AU"/>
          <w14:ligatures w14:val="standardContextual"/>
        </w:rPr>
        <w:t xml:space="preserve"> has</w:t>
      </w:r>
      <w:r w:rsidRPr="000E47A9">
        <w:rPr>
          <w:rFonts w:ascii="Calibri" w:eastAsiaTheme="minorHAnsi" w:hAnsi="Calibri" w:cs="Calibri"/>
          <w:sz w:val="22"/>
          <w:szCs w:val="22"/>
          <w:lang w:val="en-AU"/>
          <w14:ligatures w14:val="standardContextual"/>
        </w:rPr>
        <w:t xml:space="preserve"> built upon previous reforms </w:t>
      </w:r>
      <w:r w:rsidR="00765B99" w:rsidRPr="000E47A9">
        <w:rPr>
          <w:rFonts w:ascii="Calibri" w:eastAsiaTheme="minorHAnsi" w:hAnsi="Calibri" w:cs="Calibri"/>
          <w:sz w:val="22"/>
          <w:szCs w:val="22"/>
          <w:lang w:val="en-AU"/>
          <w14:ligatures w14:val="standardContextual"/>
        </w:rPr>
        <w:t xml:space="preserve">in alignment with the central bank’s priorities; starting with capital markets </w:t>
      </w:r>
      <w:r w:rsidR="007D327C" w:rsidRPr="000E47A9">
        <w:rPr>
          <w:rFonts w:ascii="Calibri" w:eastAsiaTheme="minorHAnsi" w:hAnsi="Calibri" w:cs="Calibri"/>
          <w:sz w:val="22"/>
          <w:szCs w:val="22"/>
          <w:lang w:val="en-AU"/>
          <w14:ligatures w14:val="standardContextual"/>
        </w:rPr>
        <w:t>reforms under the previous Fiji Partnership,</w:t>
      </w:r>
      <w:r w:rsidR="009010B9" w:rsidRPr="000E47A9">
        <w:rPr>
          <w:rFonts w:ascii="Calibri" w:eastAsiaTheme="minorHAnsi" w:hAnsi="Calibri" w:cs="Calibri"/>
          <w:sz w:val="22"/>
          <w:szCs w:val="22"/>
          <w:lang w:val="en-AU"/>
          <w14:ligatures w14:val="standardContextual"/>
        </w:rPr>
        <w:t xml:space="preserve"> </w:t>
      </w:r>
      <w:r w:rsidR="00E17881" w:rsidRPr="000E47A9">
        <w:rPr>
          <w:rFonts w:ascii="Calibri" w:eastAsiaTheme="minorHAnsi" w:hAnsi="Calibri" w:cs="Calibri"/>
          <w:sz w:val="22"/>
          <w:szCs w:val="22"/>
          <w:lang w:val="en-AU"/>
          <w14:ligatures w14:val="standardContextual"/>
        </w:rPr>
        <w:t xml:space="preserve">and </w:t>
      </w:r>
      <w:r w:rsidR="009010B9" w:rsidRPr="000E47A9">
        <w:rPr>
          <w:rFonts w:ascii="Calibri" w:eastAsiaTheme="minorHAnsi" w:hAnsi="Calibri" w:cs="Calibri"/>
          <w:sz w:val="22"/>
          <w:szCs w:val="22"/>
          <w:lang w:val="en-AU"/>
          <w14:ligatures w14:val="standardContextual"/>
        </w:rPr>
        <w:t>moving</w:t>
      </w:r>
      <w:r w:rsidR="007D327C" w:rsidRPr="000E47A9">
        <w:rPr>
          <w:rFonts w:ascii="Calibri" w:eastAsiaTheme="minorHAnsi" w:hAnsi="Calibri" w:cs="Calibri"/>
          <w:sz w:val="22"/>
          <w:szCs w:val="22"/>
          <w:lang w:val="en-AU"/>
          <w14:ligatures w14:val="standardContextual"/>
        </w:rPr>
        <w:t xml:space="preserve"> to</w:t>
      </w:r>
      <w:r w:rsidR="009010B9" w:rsidRPr="000E47A9">
        <w:rPr>
          <w:rFonts w:ascii="Calibri" w:eastAsiaTheme="minorHAnsi" w:hAnsi="Calibri" w:cs="Calibri"/>
          <w:sz w:val="22"/>
          <w:szCs w:val="22"/>
          <w:lang w:val="en-AU"/>
          <w14:ligatures w14:val="standardContextual"/>
        </w:rPr>
        <w:t xml:space="preserve"> enhancements to the</w:t>
      </w:r>
      <w:r w:rsidR="007D327C" w:rsidRPr="000E47A9">
        <w:rPr>
          <w:rFonts w:ascii="Calibri" w:eastAsiaTheme="minorHAnsi" w:hAnsi="Calibri" w:cs="Calibri"/>
          <w:sz w:val="22"/>
          <w:szCs w:val="22"/>
          <w:lang w:val="en-AU"/>
          <w14:ligatures w14:val="standardContextual"/>
        </w:rPr>
        <w:t xml:space="preserve"> </w:t>
      </w:r>
      <w:r w:rsidR="00765B99" w:rsidRPr="000E47A9">
        <w:rPr>
          <w:rFonts w:ascii="Calibri" w:eastAsiaTheme="minorHAnsi" w:hAnsi="Calibri" w:cs="Calibri"/>
          <w:sz w:val="22"/>
          <w:szCs w:val="22"/>
          <w:lang w:val="en-AU"/>
          <w14:ligatures w14:val="standardContextual"/>
        </w:rPr>
        <w:t>national payment system</w:t>
      </w:r>
      <w:r w:rsidR="00372576" w:rsidRPr="000E47A9">
        <w:rPr>
          <w:rFonts w:ascii="Calibri" w:eastAsiaTheme="minorHAnsi" w:hAnsi="Calibri" w:cs="Calibri"/>
          <w:sz w:val="22"/>
          <w:szCs w:val="22"/>
          <w:lang w:val="en-AU"/>
          <w14:ligatures w14:val="standardContextual"/>
        </w:rPr>
        <w:t xml:space="preserve"> and establishing the foundations for </w:t>
      </w:r>
      <w:r w:rsidR="00163E59" w:rsidRPr="000E47A9">
        <w:rPr>
          <w:rFonts w:ascii="Calibri" w:eastAsiaTheme="minorHAnsi" w:hAnsi="Calibri" w:cs="Calibri"/>
          <w:sz w:val="22"/>
          <w:szCs w:val="22"/>
          <w:lang w:val="en-AU"/>
          <w14:ligatures w14:val="standardContextual"/>
        </w:rPr>
        <w:t xml:space="preserve">a sustainable finance market </w:t>
      </w:r>
      <w:r w:rsidR="00372576" w:rsidRPr="000E47A9">
        <w:rPr>
          <w:rFonts w:ascii="Calibri" w:eastAsiaTheme="minorHAnsi" w:hAnsi="Calibri" w:cs="Calibri"/>
          <w:sz w:val="22"/>
          <w:szCs w:val="22"/>
          <w:lang w:val="en-AU"/>
          <w14:ligatures w14:val="standardContextual"/>
        </w:rPr>
        <w:t xml:space="preserve">in Fiji. Similarly, </w:t>
      </w:r>
      <w:r w:rsidR="00765B99" w:rsidRPr="000E47A9">
        <w:rPr>
          <w:rFonts w:ascii="Calibri" w:eastAsiaTheme="minorHAnsi" w:hAnsi="Calibri" w:cs="Calibri"/>
          <w:sz w:val="22"/>
          <w:szCs w:val="22"/>
          <w:lang w:val="en-AU"/>
          <w14:ligatures w14:val="standardContextual"/>
        </w:rPr>
        <w:t xml:space="preserve">the </w:t>
      </w:r>
      <w:r w:rsidR="00372576" w:rsidRPr="000E47A9">
        <w:rPr>
          <w:rFonts w:ascii="Calibri" w:eastAsiaTheme="minorHAnsi" w:hAnsi="Calibri" w:cs="Calibri"/>
          <w:sz w:val="22"/>
          <w:szCs w:val="22"/>
          <w:lang w:val="en-AU"/>
          <w14:ligatures w14:val="standardContextual"/>
        </w:rPr>
        <w:t>current tourism and enabling investment project</w:t>
      </w:r>
      <w:r w:rsidR="00E17881" w:rsidRPr="000E47A9">
        <w:rPr>
          <w:rFonts w:ascii="Calibri" w:eastAsiaTheme="minorHAnsi" w:hAnsi="Calibri" w:cs="Calibri"/>
          <w:sz w:val="22"/>
          <w:szCs w:val="22"/>
          <w:lang w:val="en-AU"/>
          <w14:ligatures w14:val="standardContextual"/>
        </w:rPr>
        <w:t>s</w:t>
      </w:r>
      <w:r w:rsidR="00372576" w:rsidRPr="000E47A9">
        <w:rPr>
          <w:rFonts w:ascii="Calibri" w:eastAsiaTheme="minorHAnsi" w:hAnsi="Calibri" w:cs="Calibri"/>
          <w:sz w:val="22"/>
          <w:szCs w:val="22"/>
          <w:lang w:val="en-AU"/>
          <w14:ligatures w14:val="standardContextual"/>
        </w:rPr>
        <w:t xml:space="preserve"> bui</w:t>
      </w:r>
      <w:r w:rsidR="00E17881" w:rsidRPr="000E47A9">
        <w:rPr>
          <w:rFonts w:ascii="Calibri" w:eastAsiaTheme="minorHAnsi" w:hAnsi="Calibri" w:cs="Calibri"/>
          <w:sz w:val="22"/>
          <w:szCs w:val="22"/>
          <w:lang w:val="en-AU"/>
          <w14:ligatures w14:val="standardContextual"/>
        </w:rPr>
        <w:t>ld</w:t>
      </w:r>
      <w:r w:rsidR="00372576" w:rsidRPr="000E47A9">
        <w:rPr>
          <w:rFonts w:ascii="Calibri" w:eastAsiaTheme="minorHAnsi" w:hAnsi="Calibri" w:cs="Calibri"/>
          <w:sz w:val="22"/>
          <w:szCs w:val="22"/>
          <w:lang w:val="en-AU"/>
          <w14:ligatures w14:val="standardContextual"/>
        </w:rPr>
        <w:t xml:space="preserve"> on</w:t>
      </w:r>
      <w:r w:rsidR="00765B99" w:rsidRPr="000E47A9">
        <w:rPr>
          <w:rFonts w:ascii="Calibri" w:eastAsiaTheme="minorHAnsi" w:hAnsi="Calibri" w:cs="Calibri"/>
          <w:sz w:val="22"/>
          <w:szCs w:val="22"/>
          <w:lang w:val="en-AU"/>
          <w14:ligatures w14:val="standardContextual"/>
        </w:rPr>
        <w:t xml:space="preserve"> previous foundational work with these respective Ministrie</w:t>
      </w:r>
      <w:r w:rsidR="005531EA" w:rsidRPr="000E47A9">
        <w:rPr>
          <w:rFonts w:ascii="Calibri" w:eastAsiaTheme="minorHAnsi" w:hAnsi="Calibri" w:cs="Calibri"/>
          <w:sz w:val="22"/>
          <w:szCs w:val="22"/>
          <w:lang w:val="en-AU"/>
          <w14:ligatures w14:val="standardContextual"/>
        </w:rPr>
        <w:t>s to deepen</w:t>
      </w:r>
      <w:r w:rsidR="00E17881" w:rsidRPr="000E47A9">
        <w:rPr>
          <w:rFonts w:ascii="Calibri" w:eastAsiaTheme="minorHAnsi" w:hAnsi="Calibri" w:cs="Calibri"/>
          <w:sz w:val="22"/>
          <w:szCs w:val="22"/>
          <w:lang w:val="en-AU"/>
          <w14:ligatures w14:val="standardContextual"/>
        </w:rPr>
        <w:t xml:space="preserve"> efforts on enhancing the sustainability of the tourism sector</w:t>
      </w:r>
      <w:r w:rsidR="007F2262" w:rsidRPr="000E47A9">
        <w:rPr>
          <w:rFonts w:ascii="Calibri" w:eastAsiaTheme="minorHAnsi" w:hAnsi="Calibri" w:cs="Calibri"/>
          <w:sz w:val="22"/>
          <w:szCs w:val="22"/>
          <w:lang w:val="en-AU"/>
          <w14:ligatures w14:val="standardContextual"/>
        </w:rPr>
        <w:t xml:space="preserve"> and addressing bottlenecks to private sector investment.</w:t>
      </w:r>
      <w:r w:rsidR="00372576" w:rsidRPr="000E47A9">
        <w:rPr>
          <w:rFonts w:ascii="Calibri" w:eastAsiaTheme="minorHAnsi" w:hAnsi="Calibri" w:cs="Calibri"/>
          <w:sz w:val="22"/>
          <w:szCs w:val="22"/>
          <w:lang w:val="en-AU"/>
          <w14:ligatures w14:val="standardContextual"/>
        </w:rPr>
        <w:t xml:space="preserve"> </w:t>
      </w:r>
      <w:r w:rsidR="00F1366A" w:rsidRPr="000E47A9">
        <w:rPr>
          <w:rFonts w:ascii="Calibri" w:eastAsiaTheme="minorHAnsi" w:hAnsi="Calibri" w:cs="Calibri"/>
          <w:sz w:val="22"/>
          <w:szCs w:val="22"/>
          <w:lang w:val="en-AU"/>
          <w14:ligatures w14:val="standardContextual"/>
        </w:rPr>
        <w:t xml:space="preserve"> </w:t>
      </w:r>
      <w:r w:rsidR="008C1C79" w:rsidRPr="000E47A9">
        <w:rPr>
          <w:rFonts w:ascii="Calibri" w:eastAsiaTheme="minorHAnsi" w:hAnsi="Calibri" w:cs="Calibri"/>
          <w:sz w:val="22"/>
          <w:szCs w:val="22"/>
          <w:lang w:val="en-AU"/>
          <w14:ligatures w14:val="standardContextual"/>
        </w:rPr>
        <w:t xml:space="preserve">More specifically, on the tourism side, support has evolved from market-level studies under the previous Partnership to identify bottlenecks to the sustainable growth of Fiji’s tourism sector, to developing a </w:t>
      </w:r>
      <w:r w:rsidR="00AA38B3" w:rsidRPr="000E47A9">
        <w:rPr>
          <w:rFonts w:ascii="Calibri" w:eastAsiaTheme="minorHAnsi" w:hAnsi="Calibri" w:cs="Calibri"/>
          <w:sz w:val="22"/>
          <w:szCs w:val="22"/>
          <w:lang w:val="en-AU"/>
          <w14:ligatures w14:val="standardContextual"/>
        </w:rPr>
        <w:t xml:space="preserve">national strategy and subsequent legal framework for </w:t>
      </w:r>
      <w:r w:rsidR="0000232C" w:rsidRPr="000E47A9">
        <w:rPr>
          <w:rFonts w:ascii="Calibri" w:eastAsiaTheme="minorHAnsi" w:hAnsi="Calibri" w:cs="Calibri"/>
          <w:sz w:val="22"/>
          <w:szCs w:val="22"/>
          <w:lang w:val="en-AU"/>
          <w14:ligatures w14:val="standardContextual"/>
        </w:rPr>
        <w:t>the sector under the current Partnership.</w:t>
      </w:r>
      <w:r w:rsidR="0000232C">
        <w:rPr>
          <w:rFonts w:ascii="Calibri" w:eastAsiaTheme="minorHAnsi" w:hAnsi="Calibri" w:cs="Calibri"/>
          <w:sz w:val="22"/>
          <w:szCs w:val="22"/>
          <w:lang w:val="en-AU"/>
          <w14:ligatures w14:val="standardContextual"/>
        </w:rPr>
        <w:t xml:space="preserve"> </w:t>
      </w:r>
    </w:p>
    <w:p w14:paraId="59C4D3CC" w14:textId="5ADFC6F5" w:rsidR="00C61C6F" w:rsidRPr="00C723E0" w:rsidRDefault="00D62F56" w:rsidP="006D5DEF">
      <w:pPr>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The program would have benefited from a formal contextual analysis whereby the program conducts formalised analysis of issues and emerging risks and opportunities</w:t>
      </w:r>
      <w:r w:rsidRPr="00C723E0">
        <w:rPr>
          <w:rFonts w:ascii="Calibri" w:eastAsiaTheme="minorHAnsi" w:hAnsi="Calibri" w:cs="Calibri"/>
          <w:sz w:val="22"/>
          <w:szCs w:val="22"/>
          <w:lang w:val="en-AU"/>
          <w14:ligatures w14:val="standardContextual"/>
        </w:rPr>
        <w:t xml:space="preserve">. </w:t>
      </w:r>
      <w:r w:rsidR="00C61C6F" w:rsidRPr="00C723E0">
        <w:rPr>
          <w:rFonts w:ascii="Calibri" w:eastAsiaTheme="minorHAnsi" w:hAnsi="Calibri" w:cs="Calibri"/>
          <w:sz w:val="22"/>
          <w:szCs w:val="22"/>
          <w:lang w:val="en-AU"/>
          <w14:ligatures w14:val="standardContextual"/>
        </w:rPr>
        <w:t>The evaluation notes that the IFC analyses the cont</w:t>
      </w:r>
      <w:r w:rsidR="007F7847" w:rsidRPr="00C723E0">
        <w:rPr>
          <w:rFonts w:ascii="Calibri" w:eastAsiaTheme="minorHAnsi" w:hAnsi="Calibri" w:cs="Calibri"/>
          <w:sz w:val="22"/>
          <w:szCs w:val="22"/>
          <w:lang w:val="en-AU"/>
          <w14:ligatures w14:val="standardContextual"/>
        </w:rPr>
        <w:t>ext in the</w:t>
      </w:r>
      <w:r w:rsidR="00C61C6F" w:rsidRPr="00C723E0">
        <w:rPr>
          <w:rFonts w:ascii="Calibri" w:eastAsiaTheme="minorHAnsi" w:hAnsi="Calibri" w:cs="Calibri"/>
          <w:sz w:val="22"/>
          <w:szCs w:val="22"/>
          <w:lang w:val="en-AU"/>
          <w14:ligatures w14:val="standardContextual"/>
        </w:rPr>
        <w:t xml:space="preserve"> </w:t>
      </w:r>
      <w:r w:rsidR="002348E5" w:rsidRPr="00C723E0">
        <w:rPr>
          <w:rFonts w:ascii="Calibri" w:eastAsiaTheme="minorHAnsi" w:hAnsi="Calibri" w:cs="Calibri"/>
          <w:sz w:val="22"/>
          <w:szCs w:val="22"/>
          <w:lang w:val="en-AU"/>
          <w14:ligatures w14:val="standardContextual"/>
        </w:rPr>
        <w:t>Project</w:t>
      </w:r>
      <w:r w:rsidR="00C61C6F" w:rsidRPr="00C723E0">
        <w:rPr>
          <w:rFonts w:ascii="Calibri" w:eastAsiaTheme="minorHAnsi" w:hAnsi="Calibri" w:cs="Calibri"/>
          <w:sz w:val="22"/>
          <w:szCs w:val="22"/>
          <w:lang w:val="en-AU"/>
          <w14:ligatures w14:val="standardContextual"/>
        </w:rPr>
        <w:t xml:space="preserve"> </w:t>
      </w:r>
      <w:r w:rsidR="002348E5" w:rsidRPr="00C723E0">
        <w:rPr>
          <w:rFonts w:ascii="Calibri" w:eastAsiaTheme="minorHAnsi" w:hAnsi="Calibri" w:cs="Calibri"/>
          <w:sz w:val="22"/>
          <w:szCs w:val="22"/>
          <w:lang w:val="en-AU"/>
          <w14:ligatures w14:val="standardContextual"/>
        </w:rPr>
        <w:t>Summary</w:t>
      </w:r>
      <w:r w:rsidR="00C61C6F" w:rsidRPr="00C723E0">
        <w:rPr>
          <w:rFonts w:ascii="Calibri" w:eastAsiaTheme="minorHAnsi" w:hAnsi="Calibri" w:cs="Calibri"/>
          <w:sz w:val="22"/>
          <w:szCs w:val="22"/>
          <w:lang w:val="en-AU"/>
          <w14:ligatures w14:val="standardContextual"/>
        </w:rPr>
        <w:t xml:space="preserve"> Notes and </w:t>
      </w:r>
      <w:r w:rsidR="002348E5" w:rsidRPr="00C723E0">
        <w:rPr>
          <w:rFonts w:ascii="Calibri" w:eastAsiaTheme="minorHAnsi" w:hAnsi="Calibri" w:cs="Calibri"/>
          <w:sz w:val="22"/>
          <w:szCs w:val="22"/>
          <w:lang w:val="en-AU"/>
          <w14:ligatures w14:val="standardContextual"/>
        </w:rPr>
        <w:t>discussions</w:t>
      </w:r>
      <w:r w:rsidR="00C61C6F" w:rsidRPr="00C723E0">
        <w:rPr>
          <w:rFonts w:ascii="Calibri" w:eastAsiaTheme="minorHAnsi" w:hAnsi="Calibri" w:cs="Calibri"/>
          <w:sz w:val="22"/>
          <w:szCs w:val="22"/>
          <w:lang w:val="en-AU"/>
          <w14:ligatures w14:val="standardContextual"/>
        </w:rPr>
        <w:t xml:space="preserve"> are held with stakeholders as part of </w:t>
      </w:r>
      <w:r w:rsidR="002348E5" w:rsidRPr="00C723E0">
        <w:rPr>
          <w:rFonts w:ascii="Calibri" w:eastAsiaTheme="minorHAnsi" w:hAnsi="Calibri" w:cs="Calibri"/>
          <w:sz w:val="22"/>
          <w:szCs w:val="22"/>
          <w:lang w:val="en-AU"/>
          <w14:ligatures w14:val="standardContextual"/>
        </w:rPr>
        <w:t>project</w:t>
      </w:r>
      <w:r w:rsidR="00C61C6F" w:rsidRPr="00C723E0">
        <w:rPr>
          <w:rFonts w:ascii="Calibri" w:eastAsiaTheme="minorHAnsi" w:hAnsi="Calibri" w:cs="Calibri"/>
          <w:sz w:val="22"/>
          <w:szCs w:val="22"/>
          <w:lang w:val="en-AU"/>
          <w14:ligatures w14:val="standardContextual"/>
        </w:rPr>
        <w:t xml:space="preserve"> design to consider contextual factors. These approaches are sound, reasonable and fit for purpose. The ev</w:t>
      </w:r>
      <w:r w:rsidR="002348E5" w:rsidRPr="00C723E0">
        <w:rPr>
          <w:rFonts w:ascii="Calibri" w:eastAsiaTheme="minorHAnsi" w:hAnsi="Calibri" w:cs="Calibri"/>
          <w:sz w:val="22"/>
          <w:szCs w:val="22"/>
          <w:lang w:val="en-AU"/>
          <w14:ligatures w14:val="standardContextual"/>
        </w:rPr>
        <w:t>alua</w:t>
      </w:r>
      <w:r w:rsidR="00C61C6F" w:rsidRPr="00C723E0">
        <w:rPr>
          <w:rFonts w:ascii="Calibri" w:eastAsiaTheme="minorHAnsi" w:hAnsi="Calibri" w:cs="Calibri"/>
          <w:sz w:val="22"/>
          <w:szCs w:val="22"/>
          <w:lang w:val="en-AU"/>
          <w14:ligatures w14:val="standardContextual"/>
        </w:rPr>
        <w:t xml:space="preserve">tion is suggesting that for </w:t>
      </w:r>
      <w:r w:rsidR="002348E5" w:rsidRPr="00C723E0">
        <w:rPr>
          <w:rFonts w:ascii="Calibri" w:eastAsiaTheme="minorHAnsi" w:hAnsi="Calibri" w:cs="Calibri"/>
          <w:sz w:val="22"/>
          <w:szCs w:val="22"/>
          <w:lang w:val="en-AU"/>
          <w14:ligatures w14:val="standardContextual"/>
        </w:rPr>
        <w:t xml:space="preserve">the </w:t>
      </w:r>
      <w:r w:rsidR="00C61C6F" w:rsidRPr="00C723E0">
        <w:rPr>
          <w:rFonts w:ascii="Calibri" w:eastAsiaTheme="minorHAnsi" w:hAnsi="Calibri" w:cs="Calibri"/>
          <w:sz w:val="22"/>
          <w:szCs w:val="22"/>
          <w:lang w:val="en-AU"/>
          <w14:ligatures w14:val="standardContextual"/>
        </w:rPr>
        <w:t>future, the context anal</w:t>
      </w:r>
      <w:r w:rsidR="002348E5" w:rsidRPr="00C723E0">
        <w:rPr>
          <w:rFonts w:ascii="Calibri" w:eastAsiaTheme="minorHAnsi" w:hAnsi="Calibri" w:cs="Calibri"/>
          <w:sz w:val="22"/>
          <w:szCs w:val="22"/>
          <w:lang w:val="en-AU"/>
          <w14:ligatures w14:val="standardContextual"/>
        </w:rPr>
        <w:t>ysis</w:t>
      </w:r>
      <w:r w:rsidR="00C61C6F" w:rsidRPr="00C723E0">
        <w:rPr>
          <w:rFonts w:ascii="Calibri" w:eastAsiaTheme="minorHAnsi" w:hAnsi="Calibri" w:cs="Calibri"/>
          <w:sz w:val="22"/>
          <w:szCs w:val="22"/>
          <w:lang w:val="en-AU"/>
          <w14:ligatures w14:val="standardContextual"/>
        </w:rPr>
        <w:t xml:space="preserve"> could be expanded to be a broader assessment of the sec</w:t>
      </w:r>
      <w:r w:rsidR="002348E5" w:rsidRPr="00C723E0">
        <w:rPr>
          <w:rFonts w:ascii="Calibri" w:eastAsiaTheme="minorHAnsi" w:hAnsi="Calibri" w:cs="Calibri"/>
          <w:sz w:val="22"/>
          <w:szCs w:val="22"/>
          <w:lang w:val="en-AU"/>
          <w14:ligatures w14:val="standardContextual"/>
        </w:rPr>
        <w:t>to</w:t>
      </w:r>
      <w:r w:rsidR="00C61C6F" w:rsidRPr="00C723E0">
        <w:rPr>
          <w:rFonts w:ascii="Calibri" w:eastAsiaTheme="minorHAnsi" w:hAnsi="Calibri" w:cs="Calibri"/>
          <w:sz w:val="22"/>
          <w:szCs w:val="22"/>
          <w:lang w:val="en-AU"/>
          <w14:ligatures w14:val="standardContextual"/>
        </w:rPr>
        <w:t xml:space="preserve">rs and work areas in which the IFC and program are operating. This could consider macro elements such as inflation, unemployment and general </w:t>
      </w:r>
      <w:r w:rsidR="002348E5" w:rsidRPr="00C723E0">
        <w:rPr>
          <w:rFonts w:ascii="Calibri" w:eastAsiaTheme="minorHAnsi" w:hAnsi="Calibri" w:cs="Calibri"/>
          <w:sz w:val="22"/>
          <w:szCs w:val="22"/>
          <w:lang w:val="en-AU"/>
          <w14:ligatures w14:val="standardContextual"/>
        </w:rPr>
        <w:t>economic</w:t>
      </w:r>
      <w:r w:rsidR="00C61C6F" w:rsidRPr="00C723E0">
        <w:rPr>
          <w:rFonts w:ascii="Calibri" w:eastAsiaTheme="minorHAnsi" w:hAnsi="Calibri" w:cs="Calibri"/>
          <w:sz w:val="22"/>
          <w:szCs w:val="22"/>
          <w:lang w:val="en-AU"/>
          <w14:ligatures w14:val="standardContextual"/>
        </w:rPr>
        <w:t xml:space="preserve"> conditions and then more focused areas on legal and regulatory </w:t>
      </w:r>
      <w:r w:rsidR="002348E5" w:rsidRPr="00C723E0">
        <w:rPr>
          <w:rFonts w:ascii="Calibri" w:eastAsiaTheme="minorHAnsi" w:hAnsi="Calibri" w:cs="Calibri"/>
          <w:sz w:val="22"/>
          <w:szCs w:val="22"/>
          <w:lang w:val="en-AU"/>
          <w14:ligatures w14:val="standardContextual"/>
        </w:rPr>
        <w:t>reforms</w:t>
      </w:r>
      <w:r w:rsidR="00C61C6F" w:rsidRPr="00C723E0">
        <w:rPr>
          <w:rFonts w:ascii="Calibri" w:eastAsiaTheme="minorHAnsi" w:hAnsi="Calibri" w:cs="Calibri"/>
          <w:sz w:val="22"/>
          <w:szCs w:val="22"/>
          <w:lang w:val="en-AU"/>
          <w14:ligatures w14:val="standardContextual"/>
        </w:rPr>
        <w:t xml:space="preserve">. </w:t>
      </w:r>
      <w:r w:rsidR="002348E5" w:rsidRPr="00C723E0">
        <w:rPr>
          <w:rFonts w:ascii="Calibri" w:eastAsiaTheme="minorHAnsi" w:hAnsi="Calibri" w:cs="Calibri"/>
          <w:sz w:val="22"/>
          <w:szCs w:val="22"/>
          <w:lang w:val="en-AU"/>
          <w14:ligatures w14:val="standardContextual"/>
        </w:rPr>
        <w:t>Essentially</w:t>
      </w:r>
      <w:r w:rsidR="00C61C6F" w:rsidRPr="00C723E0">
        <w:rPr>
          <w:rFonts w:ascii="Calibri" w:eastAsiaTheme="minorHAnsi" w:hAnsi="Calibri" w:cs="Calibri"/>
          <w:sz w:val="22"/>
          <w:szCs w:val="22"/>
          <w:lang w:val="en-AU"/>
          <w14:ligatures w14:val="standardContextual"/>
        </w:rPr>
        <w:t xml:space="preserve"> a broad summary over view. This does not need t</w:t>
      </w:r>
      <w:r w:rsidR="00D1632B" w:rsidRPr="00C723E0">
        <w:rPr>
          <w:rFonts w:ascii="Calibri" w:eastAsiaTheme="minorHAnsi" w:hAnsi="Calibri" w:cs="Calibri"/>
          <w:sz w:val="22"/>
          <w:szCs w:val="22"/>
          <w:lang w:val="en-AU"/>
          <w14:ligatures w14:val="standardContextual"/>
        </w:rPr>
        <w:t>o</w:t>
      </w:r>
      <w:r w:rsidR="00C61C6F" w:rsidRPr="00C723E0">
        <w:rPr>
          <w:rFonts w:ascii="Calibri" w:eastAsiaTheme="minorHAnsi" w:hAnsi="Calibri" w:cs="Calibri"/>
          <w:sz w:val="22"/>
          <w:szCs w:val="22"/>
          <w:lang w:val="en-AU"/>
          <w14:ligatures w14:val="standardContextual"/>
        </w:rPr>
        <w:t xml:space="preserve"> be complex as the IFC and WBG have access to considerable amounts of information and data. It could potentially be a quick </w:t>
      </w:r>
      <w:r w:rsidR="002348E5" w:rsidRPr="00C723E0">
        <w:rPr>
          <w:rFonts w:ascii="Calibri" w:eastAsiaTheme="minorHAnsi" w:hAnsi="Calibri" w:cs="Calibri"/>
          <w:sz w:val="22"/>
          <w:szCs w:val="22"/>
          <w:lang w:val="en-AU"/>
          <w14:ligatures w14:val="standardContextual"/>
        </w:rPr>
        <w:t>landscape</w:t>
      </w:r>
      <w:r w:rsidR="00C61C6F" w:rsidRPr="00C723E0">
        <w:rPr>
          <w:rFonts w:ascii="Calibri" w:eastAsiaTheme="minorHAnsi" w:hAnsi="Calibri" w:cs="Calibri"/>
          <w:sz w:val="22"/>
          <w:szCs w:val="22"/>
          <w:lang w:val="en-AU"/>
          <w14:ligatures w14:val="standardContextual"/>
        </w:rPr>
        <w:t xml:space="preserve"> review of </w:t>
      </w:r>
      <w:r w:rsidR="002348E5" w:rsidRPr="00C723E0">
        <w:rPr>
          <w:rFonts w:ascii="Calibri" w:eastAsiaTheme="minorHAnsi" w:hAnsi="Calibri" w:cs="Calibri"/>
          <w:sz w:val="22"/>
          <w:szCs w:val="22"/>
          <w:lang w:val="en-AU"/>
          <w14:ligatures w14:val="standardContextual"/>
        </w:rPr>
        <w:t xml:space="preserve">available </w:t>
      </w:r>
      <w:r w:rsidR="00C61C6F" w:rsidRPr="00C723E0">
        <w:rPr>
          <w:rFonts w:ascii="Calibri" w:eastAsiaTheme="minorHAnsi" w:hAnsi="Calibri" w:cs="Calibri"/>
          <w:sz w:val="22"/>
          <w:szCs w:val="22"/>
          <w:lang w:val="en-AU"/>
          <w14:ligatures w14:val="standardContextual"/>
        </w:rPr>
        <w:t xml:space="preserve">documents to present and </w:t>
      </w:r>
      <w:r w:rsidR="002348E5" w:rsidRPr="00C723E0">
        <w:rPr>
          <w:rFonts w:ascii="Calibri" w:eastAsiaTheme="minorHAnsi" w:hAnsi="Calibri" w:cs="Calibri"/>
          <w:sz w:val="22"/>
          <w:szCs w:val="22"/>
          <w:lang w:val="en-AU"/>
          <w14:ligatures w14:val="standardContextual"/>
        </w:rPr>
        <w:t>overall</w:t>
      </w:r>
      <w:r w:rsidR="00C61C6F" w:rsidRPr="00C723E0">
        <w:rPr>
          <w:rFonts w:ascii="Calibri" w:eastAsiaTheme="minorHAnsi" w:hAnsi="Calibri" w:cs="Calibri"/>
          <w:sz w:val="22"/>
          <w:szCs w:val="22"/>
          <w:lang w:val="en-AU"/>
          <w14:ligatures w14:val="standardContextual"/>
        </w:rPr>
        <w:t xml:space="preserve"> picture of current </w:t>
      </w:r>
      <w:r w:rsidR="002348E5" w:rsidRPr="00C723E0">
        <w:rPr>
          <w:rFonts w:ascii="Calibri" w:eastAsiaTheme="minorHAnsi" w:hAnsi="Calibri" w:cs="Calibri"/>
          <w:sz w:val="22"/>
          <w:szCs w:val="22"/>
          <w:lang w:val="en-AU"/>
          <w14:ligatures w14:val="standardContextual"/>
        </w:rPr>
        <w:t>issues</w:t>
      </w:r>
      <w:r w:rsidR="00C61C6F" w:rsidRPr="00C723E0">
        <w:rPr>
          <w:rFonts w:ascii="Calibri" w:eastAsiaTheme="minorHAnsi" w:hAnsi="Calibri" w:cs="Calibri"/>
          <w:sz w:val="22"/>
          <w:szCs w:val="22"/>
          <w:lang w:val="en-AU"/>
          <w14:ligatures w14:val="standardContextual"/>
        </w:rPr>
        <w:t xml:space="preserve"> and emerg</w:t>
      </w:r>
      <w:r w:rsidR="002348E5" w:rsidRPr="00C723E0">
        <w:rPr>
          <w:rFonts w:ascii="Calibri" w:eastAsiaTheme="minorHAnsi" w:hAnsi="Calibri" w:cs="Calibri"/>
          <w:sz w:val="22"/>
          <w:szCs w:val="22"/>
          <w:lang w:val="en-AU"/>
          <w14:ligatures w14:val="standardContextual"/>
        </w:rPr>
        <w:t>ing</w:t>
      </w:r>
      <w:r w:rsidR="00C61C6F" w:rsidRPr="00C723E0">
        <w:rPr>
          <w:rFonts w:ascii="Calibri" w:eastAsiaTheme="minorHAnsi" w:hAnsi="Calibri" w:cs="Calibri"/>
          <w:sz w:val="22"/>
          <w:szCs w:val="22"/>
          <w:lang w:val="en-AU"/>
          <w14:ligatures w14:val="standardContextual"/>
        </w:rPr>
        <w:t xml:space="preserve"> trends </w:t>
      </w:r>
      <w:r w:rsidR="002348E5" w:rsidRPr="00C723E0">
        <w:rPr>
          <w:rFonts w:ascii="Calibri" w:eastAsiaTheme="minorHAnsi" w:hAnsi="Calibri" w:cs="Calibri"/>
          <w:sz w:val="22"/>
          <w:szCs w:val="22"/>
          <w:lang w:val="en-AU"/>
          <w14:ligatures w14:val="standardContextual"/>
        </w:rPr>
        <w:t>based on</w:t>
      </w:r>
      <w:r w:rsidR="00C61C6F" w:rsidRPr="00C723E0">
        <w:rPr>
          <w:rFonts w:ascii="Calibri" w:eastAsiaTheme="minorHAnsi" w:hAnsi="Calibri" w:cs="Calibri"/>
          <w:sz w:val="22"/>
          <w:szCs w:val="22"/>
          <w:lang w:val="en-AU"/>
          <w14:ligatures w14:val="standardContextual"/>
        </w:rPr>
        <w:t xml:space="preserve"> the context.</w:t>
      </w:r>
      <w:r w:rsidRPr="00C723E0">
        <w:rPr>
          <w:rFonts w:ascii="Calibri" w:eastAsiaTheme="minorHAnsi" w:hAnsi="Calibri" w:cs="Calibri"/>
          <w:sz w:val="22"/>
          <w:szCs w:val="22"/>
          <w:lang w:val="en-AU"/>
          <w14:ligatures w14:val="standardContextual"/>
        </w:rPr>
        <w:t xml:space="preserve"> </w:t>
      </w:r>
      <w:r w:rsidR="002A4718" w:rsidRPr="00C723E0">
        <w:rPr>
          <w:rFonts w:ascii="Calibri" w:eastAsiaTheme="minorHAnsi" w:hAnsi="Calibri" w:cs="Calibri"/>
          <w:sz w:val="22"/>
          <w:szCs w:val="22"/>
          <w:lang w:val="en-AU"/>
          <w14:ligatures w14:val="standardContextual"/>
        </w:rPr>
        <w:t xml:space="preserve">At the </w:t>
      </w:r>
      <w:r w:rsidR="002039C8" w:rsidRPr="00C723E0">
        <w:rPr>
          <w:rFonts w:ascii="Calibri" w:eastAsiaTheme="minorHAnsi" w:hAnsi="Calibri" w:cs="Calibri"/>
          <w:sz w:val="22"/>
          <w:szCs w:val="22"/>
          <w:lang w:val="en-AU"/>
          <w14:ligatures w14:val="standardContextual"/>
        </w:rPr>
        <w:t>project</w:t>
      </w:r>
      <w:r w:rsidR="002A4718" w:rsidRPr="00C723E0">
        <w:rPr>
          <w:rFonts w:ascii="Calibri" w:eastAsiaTheme="minorHAnsi" w:hAnsi="Calibri" w:cs="Calibri"/>
          <w:sz w:val="22"/>
          <w:szCs w:val="22"/>
          <w:lang w:val="en-AU"/>
          <w14:ligatures w14:val="standardContextual"/>
        </w:rPr>
        <w:t xml:space="preserve"> level the current summary notes could be lengthened and expanded a little to provide more detail on the broader enabling environment and context.</w:t>
      </w:r>
    </w:p>
    <w:p w14:paraId="53FB394E" w14:textId="04910074" w:rsidR="00D62F56" w:rsidRPr="00C723E0" w:rsidRDefault="00D62F56" w:rsidP="006D5DEF">
      <w:pPr>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sz w:val="22"/>
          <w:szCs w:val="22"/>
          <w:lang w:val="en-AU"/>
          <w14:ligatures w14:val="standardContextual"/>
        </w:rPr>
        <w:t>The benefit of conte</w:t>
      </w:r>
      <w:r w:rsidR="00BD6F87" w:rsidRPr="00C723E0">
        <w:rPr>
          <w:rFonts w:ascii="Calibri" w:eastAsiaTheme="minorHAnsi" w:hAnsi="Calibri" w:cs="Calibri"/>
          <w:sz w:val="22"/>
          <w:szCs w:val="22"/>
          <w:lang w:val="en-AU"/>
          <w14:ligatures w14:val="standardContextual"/>
        </w:rPr>
        <w:t>x</w:t>
      </w:r>
      <w:r w:rsidRPr="00C723E0">
        <w:rPr>
          <w:rFonts w:ascii="Calibri" w:eastAsiaTheme="minorHAnsi" w:hAnsi="Calibri" w:cs="Calibri"/>
          <w:sz w:val="22"/>
          <w:szCs w:val="22"/>
          <w:lang w:val="en-AU"/>
          <w14:ligatures w14:val="standardContextual"/>
        </w:rPr>
        <w:t>t monitoring is that it enable</w:t>
      </w:r>
      <w:r w:rsidR="006B44C9" w:rsidRPr="00C723E0">
        <w:rPr>
          <w:rFonts w:ascii="Calibri" w:eastAsiaTheme="minorHAnsi" w:hAnsi="Calibri" w:cs="Calibri"/>
          <w:sz w:val="22"/>
          <w:szCs w:val="22"/>
          <w:lang w:val="en-AU"/>
          <w14:ligatures w14:val="standardContextual"/>
        </w:rPr>
        <w:t>s</w:t>
      </w:r>
      <w:r w:rsidRPr="00C723E0">
        <w:rPr>
          <w:rFonts w:ascii="Calibri" w:eastAsiaTheme="minorHAnsi" w:hAnsi="Calibri" w:cs="Calibri"/>
          <w:sz w:val="22"/>
          <w:szCs w:val="22"/>
          <w:lang w:val="en-AU"/>
          <w14:ligatures w14:val="standardContextual"/>
        </w:rPr>
        <w:t xml:space="preserve"> a multifaceted approach whereby the needs of clients and partners can be tested</w:t>
      </w:r>
      <w:r w:rsidR="00BD6F87" w:rsidRPr="00C723E0">
        <w:rPr>
          <w:rFonts w:ascii="Calibri" w:eastAsiaTheme="minorHAnsi" w:hAnsi="Calibri" w:cs="Calibri"/>
          <w:sz w:val="22"/>
          <w:szCs w:val="22"/>
          <w:lang w:val="en-AU"/>
          <w14:ligatures w14:val="standardContextual"/>
        </w:rPr>
        <w:t>, reaf</w:t>
      </w:r>
      <w:r w:rsidR="006D5DEF" w:rsidRPr="00C723E0">
        <w:rPr>
          <w:rFonts w:ascii="Calibri" w:eastAsiaTheme="minorHAnsi" w:hAnsi="Calibri" w:cs="Calibri"/>
          <w:sz w:val="22"/>
          <w:szCs w:val="22"/>
          <w:lang w:val="en-AU"/>
          <w14:ligatures w14:val="standardContextual"/>
        </w:rPr>
        <w:t>firmed,</w:t>
      </w:r>
      <w:r w:rsidR="00BD6F87" w:rsidRPr="00C723E0">
        <w:rPr>
          <w:rFonts w:ascii="Calibri" w:eastAsiaTheme="minorHAnsi" w:hAnsi="Calibri" w:cs="Calibri"/>
          <w:sz w:val="22"/>
          <w:szCs w:val="22"/>
          <w:lang w:val="en-AU"/>
          <w14:ligatures w14:val="standardContextual"/>
        </w:rPr>
        <w:t xml:space="preserve"> </w:t>
      </w:r>
      <w:r w:rsidR="006D5DEF" w:rsidRPr="00C723E0">
        <w:rPr>
          <w:rFonts w:ascii="Calibri" w:eastAsiaTheme="minorHAnsi" w:hAnsi="Calibri" w:cs="Calibri"/>
          <w:sz w:val="22"/>
          <w:szCs w:val="22"/>
          <w:lang w:val="en-AU"/>
          <w14:ligatures w14:val="standardContextual"/>
        </w:rPr>
        <w:t>reprioritised</w:t>
      </w:r>
      <w:r w:rsidR="00BD6F87" w:rsidRPr="00C723E0">
        <w:rPr>
          <w:rFonts w:ascii="Calibri" w:eastAsiaTheme="minorHAnsi" w:hAnsi="Calibri" w:cs="Calibri"/>
          <w:sz w:val="22"/>
          <w:szCs w:val="22"/>
          <w:lang w:val="en-AU"/>
          <w14:ligatures w14:val="standardContextual"/>
        </w:rPr>
        <w:t xml:space="preserve"> and realigned if required</w:t>
      </w:r>
      <w:r w:rsidR="00DE58CB" w:rsidRPr="00C723E0">
        <w:rPr>
          <w:rFonts w:ascii="Calibri" w:eastAsiaTheme="minorHAnsi" w:hAnsi="Calibri" w:cs="Calibri"/>
          <w:sz w:val="22"/>
          <w:szCs w:val="22"/>
          <w:lang w:val="en-AU"/>
          <w14:ligatures w14:val="standardContextual"/>
        </w:rPr>
        <w:t>. Still,</w:t>
      </w:r>
      <w:r w:rsidRPr="00C723E0">
        <w:rPr>
          <w:rFonts w:ascii="Calibri" w:eastAsiaTheme="minorHAnsi" w:hAnsi="Calibri" w:cs="Calibri"/>
          <w:sz w:val="22"/>
          <w:szCs w:val="22"/>
          <w:lang w:val="en-AU"/>
          <w14:ligatures w14:val="standardContextual"/>
        </w:rPr>
        <w:t xml:space="preserve"> there is also scope to address key issues. Meetings with the Reserve Bank indicate a fluid and evolving macro-economic situation for Fiji</w:t>
      </w:r>
      <w:r w:rsidR="00BD6F87" w:rsidRPr="00C723E0">
        <w:rPr>
          <w:rFonts w:ascii="Calibri" w:eastAsiaTheme="minorHAnsi" w:hAnsi="Calibri" w:cs="Calibri"/>
          <w:sz w:val="22"/>
          <w:szCs w:val="22"/>
          <w:lang w:val="en-AU"/>
          <w14:ligatures w14:val="standardContextual"/>
        </w:rPr>
        <w:t xml:space="preserve"> since 2020</w:t>
      </w:r>
      <w:r w:rsidR="00DE58CB"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and changing circumstances would provide </w:t>
      </w:r>
      <w:r w:rsidRPr="00C723E0">
        <w:rPr>
          <w:rFonts w:ascii="Calibri" w:eastAsiaTheme="minorHAnsi" w:hAnsi="Calibri" w:cs="Calibri"/>
          <w:sz w:val="22"/>
          <w:szCs w:val="22"/>
          <w:lang w:val="en-AU"/>
        </w:rPr>
        <w:t>opportunities</w:t>
      </w:r>
      <w:r w:rsidRPr="00C723E0">
        <w:rPr>
          <w:rFonts w:ascii="Calibri" w:eastAsiaTheme="minorHAnsi" w:hAnsi="Calibri" w:cs="Calibri"/>
          <w:sz w:val="22"/>
          <w:szCs w:val="22"/>
          <w:lang w:val="en-AU"/>
          <w14:ligatures w14:val="standardContextual"/>
        </w:rPr>
        <w:t xml:space="preserve"> for both DFAT and IFC to respond. The </w:t>
      </w:r>
      <w:r w:rsidR="00BD6F87"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locking in</w:t>
      </w:r>
      <w:r w:rsidR="00BD6F87"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of activities</w:t>
      </w:r>
      <w:r w:rsidR="00BD6F87" w:rsidRPr="00C723E0">
        <w:rPr>
          <w:rFonts w:ascii="Calibri" w:eastAsiaTheme="minorHAnsi" w:hAnsi="Calibri" w:cs="Calibri"/>
          <w:sz w:val="22"/>
          <w:szCs w:val="22"/>
          <w:lang w:val="en-AU"/>
          <w14:ligatures w14:val="standardContextual"/>
        </w:rPr>
        <w:t xml:space="preserve"> and maintaining a “full-</w:t>
      </w:r>
      <w:r w:rsidR="00BD6F87" w:rsidRPr="00C723E0">
        <w:rPr>
          <w:rFonts w:ascii="Calibri" w:eastAsiaTheme="minorHAnsi" w:hAnsi="Calibri" w:cs="Calibri"/>
          <w:sz w:val="22"/>
          <w:szCs w:val="22"/>
          <w:lang w:val="en-AU"/>
        </w:rPr>
        <w:t>pipeline</w:t>
      </w:r>
      <w:r w:rsidR="00BD6F87" w:rsidRPr="00C723E0">
        <w:rPr>
          <w:rFonts w:ascii="Calibri" w:eastAsiaTheme="minorHAnsi" w:hAnsi="Calibri" w:cs="Calibri"/>
          <w:sz w:val="22"/>
          <w:szCs w:val="22"/>
          <w:lang w:val="en-AU"/>
          <w14:ligatures w14:val="standardContextual"/>
        </w:rPr>
        <w:t>” of activities</w:t>
      </w:r>
      <w:r w:rsidRPr="00C723E0">
        <w:rPr>
          <w:rFonts w:ascii="Calibri" w:eastAsiaTheme="minorHAnsi" w:hAnsi="Calibri" w:cs="Calibri"/>
          <w:sz w:val="22"/>
          <w:szCs w:val="22"/>
          <w:lang w:val="en-AU"/>
          <w14:ligatures w14:val="standardContextual"/>
        </w:rPr>
        <w:t xml:space="preserve"> means there is limited scope to move to address potential external shocks </w:t>
      </w:r>
      <w:r w:rsidR="00BD6F87" w:rsidRPr="00C723E0">
        <w:rPr>
          <w:rFonts w:ascii="Calibri" w:eastAsiaTheme="minorHAnsi" w:hAnsi="Calibri" w:cs="Calibri"/>
          <w:sz w:val="22"/>
          <w:szCs w:val="22"/>
          <w:lang w:val="en-AU"/>
          <w14:ligatures w14:val="standardContextual"/>
        </w:rPr>
        <w:t>or rep</w:t>
      </w:r>
      <w:r w:rsidR="006D5DEF" w:rsidRPr="00C723E0">
        <w:rPr>
          <w:rFonts w:ascii="Calibri" w:eastAsiaTheme="minorHAnsi" w:hAnsi="Calibri" w:cs="Calibri"/>
          <w:sz w:val="22"/>
          <w:szCs w:val="22"/>
          <w:lang w:val="en-AU"/>
          <w14:ligatures w14:val="standardContextual"/>
        </w:rPr>
        <w:t>rioritisation</w:t>
      </w:r>
      <w:r w:rsidR="00BD6F87" w:rsidRPr="00C723E0">
        <w:rPr>
          <w:rFonts w:ascii="Calibri" w:eastAsiaTheme="minorHAnsi" w:hAnsi="Calibri" w:cs="Calibri"/>
          <w:sz w:val="22"/>
          <w:szCs w:val="22"/>
          <w:lang w:val="en-AU"/>
          <w14:ligatures w14:val="standardContextual"/>
        </w:rPr>
        <w:t xml:space="preserve">. </w:t>
      </w:r>
      <w:r w:rsidR="00262EF7" w:rsidRPr="00C723E0">
        <w:rPr>
          <w:rFonts w:ascii="Calibri" w:eastAsiaTheme="minorHAnsi" w:hAnsi="Calibri" w:cs="Calibri"/>
          <w:sz w:val="22"/>
          <w:szCs w:val="22"/>
          <w:lang w:val="en-AU"/>
          <w14:ligatures w14:val="standardContextual"/>
        </w:rPr>
        <w:t xml:space="preserve"> It is also important to note that </w:t>
      </w:r>
      <w:r w:rsidR="00262EF7" w:rsidRPr="00A26E3C">
        <w:rPr>
          <w:rFonts w:ascii="Calibri" w:eastAsiaTheme="minorHAnsi" w:hAnsi="Calibri" w:cs="Calibri"/>
          <w:color w:val="000000"/>
          <w:sz w:val="22"/>
          <w:szCs w:val="22"/>
          <w:lang w:val="en-AU"/>
          <w14:ligatures w14:val="standardContextual"/>
        </w:rPr>
        <w:t xml:space="preserve">the IFC has added additional activities over time, specifically in green finance and the new tourism and new enabling environment programs. </w:t>
      </w:r>
      <w:r w:rsidR="00BD6F87" w:rsidRPr="00C723E0">
        <w:rPr>
          <w:rFonts w:ascii="Calibri" w:eastAsiaTheme="minorHAnsi" w:hAnsi="Calibri" w:cs="Calibri"/>
          <w:sz w:val="22"/>
          <w:szCs w:val="22"/>
          <w:lang w:val="en-AU"/>
          <w14:ligatures w14:val="standardContextual"/>
        </w:rPr>
        <w:t>Further consideration needs to be provided to provide and maintain a flexible source of funding that can be ut</w:t>
      </w:r>
      <w:r w:rsidR="006D5DEF" w:rsidRPr="00C723E0">
        <w:rPr>
          <w:rFonts w:ascii="Calibri" w:eastAsiaTheme="minorHAnsi" w:hAnsi="Calibri" w:cs="Calibri"/>
          <w:sz w:val="22"/>
          <w:szCs w:val="22"/>
          <w:lang w:val="en-AU"/>
          <w14:ligatures w14:val="standardContextual"/>
        </w:rPr>
        <w:t>ilis</w:t>
      </w:r>
      <w:r w:rsidR="00BD6F87" w:rsidRPr="00C723E0">
        <w:rPr>
          <w:rFonts w:ascii="Calibri" w:eastAsiaTheme="minorHAnsi" w:hAnsi="Calibri" w:cs="Calibri"/>
          <w:sz w:val="22"/>
          <w:szCs w:val="22"/>
          <w:lang w:val="en-AU"/>
          <w14:ligatures w14:val="standardContextual"/>
        </w:rPr>
        <w:t>ed as required, partic</w:t>
      </w:r>
      <w:r w:rsidR="006D5DEF" w:rsidRPr="00C723E0">
        <w:rPr>
          <w:rFonts w:ascii="Calibri" w:eastAsiaTheme="minorHAnsi" w:hAnsi="Calibri" w:cs="Calibri"/>
          <w:sz w:val="22"/>
          <w:szCs w:val="22"/>
          <w:lang w:val="en-AU"/>
          <w14:ligatures w14:val="standardContextual"/>
        </w:rPr>
        <w:t>ul</w:t>
      </w:r>
      <w:r w:rsidR="00BD6F87" w:rsidRPr="00C723E0">
        <w:rPr>
          <w:rFonts w:ascii="Calibri" w:eastAsiaTheme="minorHAnsi" w:hAnsi="Calibri" w:cs="Calibri"/>
          <w:sz w:val="22"/>
          <w:szCs w:val="22"/>
          <w:lang w:val="en-AU"/>
          <w14:ligatures w14:val="standardContextual"/>
        </w:rPr>
        <w:t>arly if new priorities emerge o</w:t>
      </w:r>
      <w:r w:rsidR="006D5DEF" w:rsidRPr="00C723E0">
        <w:rPr>
          <w:rFonts w:ascii="Calibri" w:eastAsiaTheme="minorHAnsi" w:hAnsi="Calibri" w:cs="Calibri"/>
          <w:sz w:val="22"/>
          <w:szCs w:val="22"/>
          <w:lang w:val="en-AU"/>
          <w14:ligatures w14:val="standardContextual"/>
        </w:rPr>
        <w:t>r</w:t>
      </w:r>
      <w:r w:rsidR="00BD6F87" w:rsidRPr="00C723E0">
        <w:rPr>
          <w:rFonts w:ascii="Calibri" w:eastAsiaTheme="minorHAnsi" w:hAnsi="Calibri" w:cs="Calibri"/>
          <w:sz w:val="22"/>
          <w:szCs w:val="22"/>
          <w:lang w:val="en-AU"/>
          <w14:ligatures w14:val="standardContextual"/>
        </w:rPr>
        <w:t xml:space="preserve"> if there is a nee</w:t>
      </w:r>
      <w:r w:rsidR="006D5DEF" w:rsidRPr="00C723E0">
        <w:rPr>
          <w:rFonts w:ascii="Calibri" w:eastAsiaTheme="minorHAnsi" w:hAnsi="Calibri" w:cs="Calibri"/>
          <w:sz w:val="22"/>
          <w:szCs w:val="22"/>
          <w:lang w:val="en-AU"/>
          <w14:ligatures w14:val="standardContextual"/>
        </w:rPr>
        <w:t>d</w:t>
      </w:r>
      <w:r w:rsidR="00BD6F87" w:rsidRPr="00C723E0">
        <w:rPr>
          <w:rFonts w:ascii="Calibri" w:eastAsiaTheme="minorHAnsi" w:hAnsi="Calibri" w:cs="Calibri"/>
          <w:sz w:val="22"/>
          <w:szCs w:val="22"/>
          <w:lang w:val="en-AU"/>
          <w14:ligatures w14:val="standardContextual"/>
        </w:rPr>
        <w:t xml:space="preserve"> for immediate and/or emergency responses.</w:t>
      </w:r>
    </w:p>
    <w:p w14:paraId="2E9A6425" w14:textId="6F6E7761" w:rsidR="00F21D99" w:rsidRPr="00C723E0" w:rsidRDefault="00F21D99" w:rsidP="006D5DEF">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 xml:space="preserve">IFC </w:t>
      </w:r>
      <w:r w:rsidR="00332E18" w:rsidRPr="00C723E0">
        <w:rPr>
          <w:rFonts w:ascii="Calibri" w:eastAsiaTheme="minorHAnsi" w:hAnsi="Calibri" w:cs="Calibri"/>
          <w:b/>
          <w:bCs/>
          <w:sz w:val="22"/>
          <w:szCs w:val="22"/>
          <w:lang w:val="en-AU"/>
          <w14:ligatures w14:val="standardContextual"/>
        </w:rPr>
        <w:t xml:space="preserve">has </w:t>
      </w:r>
      <w:r w:rsidRPr="00C723E0">
        <w:rPr>
          <w:rFonts w:ascii="Calibri" w:eastAsiaTheme="minorHAnsi" w:hAnsi="Calibri" w:cs="Calibri"/>
          <w:b/>
          <w:bCs/>
          <w:sz w:val="22"/>
          <w:szCs w:val="22"/>
          <w:lang w:val="en-AU"/>
          <w14:ligatures w14:val="standardContextual"/>
        </w:rPr>
        <w:t>also respond</w:t>
      </w:r>
      <w:r w:rsidR="00332E18" w:rsidRPr="00C723E0">
        <w:rPr>
          <w:rFonts w:ascii="Calibri" w:eastAsiaTheme="minorHAnsi" w:hAnsi="Calibri" w:cs="Calibri"/>
          <w:b/>
          <w:bCs/>
          <w:sz w:val="22"/>
          <w:szCs w:val="22"/>
          <w:lang w:val="en-AU"/>
          <w14:ligatures w14:val="standardContextual"/>
        </w:rPr>
        <w:t>ed</w:t>
      </w:r>
      <w:r w:rsidRPr="00C723E0">
        <w:rPr>
          <w:rFonts w:ascii="Calibri" w:eastAsiaTheme="minorHAnsi" w:hAnsi="Calibri" w:cs="Calibri"/>
          <w:b/>
          <w:bCs/>
          <w:sz w:val="22"/>
          <w:szCs w:val="22"/>
          <w:lang w:val="en-AU"/>
          <w14:ligatures w14:val="standardContextual"/>
        </w:rPr>
        <w:t xml:space="preserve"> well to DFAT</w:t>
      </w:r>
      <w:r w:rsidR="00332E18" w:rsidRPr="00C723E0">
        <w:rPr>
          <w:rFonts w:ascii="Calibri" w:eastAsiaTheme="minorHAnsi" w:hAnsi="Calibri" w:cs="Calibri"/>
          <w:b/>
          <w:bCs/>
          <w:sz w:val="22"/>
          <w:szCs w:val="22"/>
          <w:lang w:val="en-AU"/>
          <w14:ligatures w14:val="standardContextual"/>
        </w:rPr>
        <w:t xml:space="preserve"> requests, input and feedback</w:t>
      </w:r>
      <w:r w:rsidR="00DE58CB" w:rsidRPr="00C723E0">
        <w:rPr>
          <w:rFonts w:ascii="Calibri" w:eastAsiaTheme="minorHAnsi" w:hAnsi="Calibri" w:cs="Calibri"/>
          <w:b/>
          <w:bCs/>
          <w:sz w:val="22"/>
          <w:szCs w:val="22"/>
          <w:lang w:val="en-AU"/>
          <w14:ligatures w14:val="standardContextual"/>
        </w:rPr>
        <w:t>. H</w:t>
      </w:r>
      <w:r w:rsidRPr="00C723E0">
        <w:rPr>
          <w:rFonts w:ascii="Calibri" w:eastAsiaTheme="minorHAnsi" w:hAnsi="Calibri" w:cs="Calibri"/>
          <w:b/>
          <w:bCs/>
          <w:sz w:val="22"/>
          <w:szCs w:val="22"/>
          <w:lang w:val="en-AU"/>
          <w14:ligatures w14:val="standardContextual"/>
        </w:rPr>
        <w:t>owever</w:t>
      </w:r>
      <w:r w:rsidR="00DE58CB" w:rsidRPr="00C723E0">
        <w:rPr>
          <w:rFonts w:ascii="Calibri" w:eastAsiaTheme="minorHAnsi" w:hAnsi="Calibri" w:cs="Calibri"/>
          <w:b/>
          <w:bCs/>
          <w:sz w:val="22"/>
          <w:szCs w:val="22"/>
          <w:lang w:val="en-AU"/>
          <w14:ligatures w14:val="standardContextual"/>
        </w:rPr>
        <w:t>,</w:t>
      </w:r>
      <w:r w:rsidRPr="00C723E0">
        <w:rPr>
          <w:rFonts w:ascii="Calibri" w:eastAsiaTheme="minorHAnsi" w:hAnsi="Calibri" w:cs="Calibri"/>
          <w:b/>
          <w:bCs/>
          <w:sz w:val="22"/>
          <w:szCs w:val="22"/>
          <w:lang w:val="en-AU"/>
          <w14:ligatures w14:val="standardContextual"/>
        </w:rPr>
        <w:t xml:space="preserve"> there is </w:t>
      </w:r>
      <w:r w:rsidR="00D62F56" w:rsidRPr="00C723E0">
        <w:rPr>
          <w:rFonts w:ascii="Calibri" w:eastAsiaTheme="minorHAnsi" w:hAnsi="Calibri" w:cs="Calibri"/>
          <w:b/>
          <w:bCs/>
          <w:sz w:val="22"/>
          <w:szCs w:val="22"/>
          <w:lang w:val="en-AU"/>
          <w14:ligatures w14:val="standardContextual"/>
        </w:rPr>
        <w:t>room</w:t>
      </w:r>
      <w:r w:rsidRPr="00C723E0">
        <w:rPr>
          <w:rFonts w:ascii="Calibri" w:eastAsiaTheme="minorHAnsi" w:hAnsi="Calibri" w:cs="Calibri"/>
          <w:b/>
          <w:bCs/>
          <w:sz w:val="22"/>
          <w:szCs w:val="22"/>
          <w:lang w:val="en-AU"/>
          <w14:ligatures w14:val="standardContextual"/>
        </w:rPr>
        <w:t xml:space="preserve"> for improvement.</w:t>
      </w:r>
      <w:r w:rsidRPr="00C723E0">
        <w:rPr>
          <w:rFonts w:ascii="Calibri" w:eastAsiaTheme="minorHAnsi" w:hAnsi="Calibri" w:cs="Calibri"/>
          <w:sz w:val="22"/>
          <w:szCs w:val="22"/>
          <w:lang w:val="en-AU"/>
          <w14:ligatures w14:val="standardContextual"/>
        </w:rPr>
        <w:t xml:space="preserve"> This is </w:t>
      </w:r>
      <w:r w:rsidR="00D62F56" w:rsidRPr="00C723E0">
        <w:rPr>
          <w:rFonts w:ascii="Calibri" w:eastAsiaTheme="minorHAnsi" w:hAnsi="Calibri" w:cs="Calibri"/>
          <w:sz w:val="22"/>
          <w:szCs w:val="22"/>
          <w:lang w:val="en-AU"/>
          <w14:ligatures w14:val="standardContextual"/>
        </w:rPr>
        <w:t>discussed</w:t>
      </w:r>
      <w:r w:rsidRPr="00C723E0">
        <w:rPr>
          <w:rFonts w:ascii="Calibri" w:eastAsiaTheme="minorHAnsi" w:hAnsi="Calibri" w:cs="Calibri"/>
          <w:sz w:val="22"/>
          <w:szCs w:val="22"/>
          <w:lang w:val="en-AU"/>
          <w14:ligatures w14:val="standardContextual"/>
        </w:rPr>
        <w:t xml:space="preserve"> </w:t>
      </w:r>
      <w:r w:rsidR="00D62F56" w:rsidRPr="00C723E0">
        <w:rPr>
          <w:rFonts w:ascii="Calibri" w:eastAsiaTheme="minorHAnsi" w:hAnsi="Calibri" w:cs="Calibri"/>
          <w:sz w:val="22"/>
          <w:szCs w:val="22"/>
          <w:lang w:val="en-AU"/>
          <w14:ligatures w14:val="standardContextual"/>
        </w:rPr>
        <w:t>further</w:t>
      </w:r>
      <w:r w:rsidRPr="00C723E0">
        <w:rPr>
          <w:rFonts w:ascii="Calibri" w:eastAsiaTheme="minorHAnsi" w:hAnsi="Calibri" w:cs="Calibri"/>
          <w:sz w:val="22"/>
          <w:szCs w:val="22"/>
          <w:lang w:val="en-AU"/>
          <w14:ligatures w14:val="standardContextual"/>
        </w:rPr>
        <w:t xml:space="preserve"> in the </w:t>
      </w:r>
      <w:r w:rsidR="00D62F56" w:rsidRPr="00C723E0">
        <w:rPr>
          <w:rFonts w:ascii="Calibri" w:eastAsiaTheme="minorHAnsi" w:hAnsi="Calibri" w:cs="Calibri"/>
          <w:sz w:val="22"/>
          <w:szCs w:val="22"/>
          <w:lang w:val="en-AU"/>
          <w14:ligatures w14:val="standardContextual"/>
        </w:rPr>
        <w:t>effectiveness</w:t>
      </w:r>
      <w:r w:rsidRPr="00C723E0">
        <w:rPr>
          <w:rFonts w:ascii="Calibri" w:eastAsiaTheme="minorHAnsi" w:hAnsi="Calibri" w:cs="Calibri"/>
          <w:sz w:val="22"/>
          <w:szCs w:val="22"/>
          <w:lang w:val="en-AU"/>
          <w14:ligatures w14:val="standardContextual"/>
        </w:rPr>
        <w:t xml:space="preserve"> sections. The</w:t>
      </w:r>
      <w:r w:rsidR="00DE58CB" w:rsidRPr="00C723E0">
        <w:rPr>
          <w:rFonts w:ascii="Calibri" w:eastAsiaTheme="minorHAnsi" w:hAnsi="Calibri" w:cs="Calibri"/>
          <w:sz w:val="22"/>
          <w:szCs w:val="22"/>
          <w:lang w:val="en-AU"/>
          <w14:ligatures w14:val="standardContextual"/>
        </w:rPr>
        <w:t>re</w:t>
      </w:r>
      <w:r w:rsidRPr="00C723E0">
        <w:rPr>
          <w:rFonts w:ascii="Calibri" w:eastAsiaTheme="minorHAnsi" w:hAnsi="Calibri" w:cs="Calibri"/>
          <w:sz w:val="22"/>
          <w:szCs w:val="22"/>
          <w:lang w:val="en-AU"/>
          <w14:ligatures w14:val="standardContextual"/>
        </w:rPr>
        <w:t xml:space="preserve"> is scope for </w:t>
      </w:r>
      <w:r w:rsidR="00D62F56" w:rsidRPr="00C723E0">
        <w:rPr>
          <w:rFonts w:ascii="Calibri" w:eastAsiaTheme="minorHAnsi" w:hAnsi="Calibri" w:cs="Calibri"/>
          <w:sz w:val="22"/>
          <w:szCs w:val="22"/>
          <w:lang w:val="en-AU"/>
          <w14:ligatures w14:val="standardContextual"/>
        </w:rPr>
        <w:t>IFC</w:t>
      </w:r>
      <w:r w:rsidRPr="00C723E0">
        <w:rPr>
          <w:rFonts w:ascii="Calibri" w:eastAsiaTheme="minorHAnsi" w:hAnsi="Calibri" w:cs="Calibri"/>
          <w:sz w:val="22"/>
          <w:szCs w:val="22"/>
          <w:lang w:val="en-AU"/>
          <w14:ligatures w14:val="standardContextual"/>
        </w:rPr>
        <w:t xml:space="preserve"> to better engage with </w:t>
      </w:r>
      <w:r w:rsidR="00D62F56" w:rsidRPr="00C723E0">
        <w:rPr>
          <w:rFonts w:ascii="Calibri" w:eastAsiaTheme="minorHAnsi" w:hAnsi="Calibri" w:cs="Calibri"/>
          <w:sz w:val="22"/>
          <w:szCs w:val="22"/>
          <w:lang w:val="en-AU"/>
          <w14:ligatures w14:val="standardContextual"/>
        </w:rPr>
        <w:t>DFAT</w:t>
      </w:r>
      <w:r w:rsidRPr="00C723E0">
        <w:rPr>
          <w:rFonts w:ascii="Calibri" w:eastAsiaTheme="minorHAnsi" w:hAnsi="Calibri" w:cs="Calibri"/>
          <w:sz w:val="22"/>
          <w:szCs w:val="22"/>
          <w:lang w:val="en-AU"/>
          <w14:ligatures w14:val="standardContextual"/>
        </w:rPr>
        <w:t xml:space="preserve"> and to bring them in as equal partners to address current</w:t>
      </w:r>
      <w:r w:rsidR="00DE58CB" w:rsidRPr="00C723E0">
        <w:rPr>
          <w:rFonts w:ascii="Calibri" w:eastAsiaTheme="minorHAnsi" w:hAnsi="Calibri" w:cs="Calibri"/>
          <w:sz w:val="22"/>
          <w:szCs w:val="22"/>
          <w:lang w:val="en-AU"/>
          <w14:ligatures w14:val="standardContextual"/>
        </w:rPr>
        <w:t>, new,</w:t>
      </w:r>
      <w:r w:rsidRPr="00C723E0">
        <w:rPr>
          <w:rFonts w:ascii="Calibri" w:eastAsiaTheme="minorHAnsi" w:hAnsi="Calibri" w:cs="Calibri"/>
          <w:sz w:val="22"/>
          <w:szCs w:val="22"/>
          <w:lang w:val="en-AU"/>
          <w14:ligatures w14:val="standardContextual"/>
        </w:rPr>
        <w:t xml:space="preserve"> and </w:t>
      </w:r>
      <w:r w:rsidR="00D62F56" w:rsidRPr="00C723E0">
        <w:rPr>
          <w:rFonts w:ascii="Calibri" w:eastAsiaTheme="minorHAnsi" w:hAnsi="Calibri" w:cs="Calibri"/>
          <w:sz w:val="22"/>
          <w:szCs w:val="22"/>
          <w:lang w:val="en-AU"/>
          <w14:ligatures w14:val="standardContextual"/>
        </w:rPr>
        <w:t>emerging</w:t>
      </w:r>
      <w:r w:rsidRPr="00C723E0">
        <w:rPr>
          <w:rFonts w:ascii="Calibri" w:eastAsiaTheme="minorHAnsi" w:hAnsi="Calibri" w:cs="Calibri"/>
          <w:sz w:val="22"/>
          <w:szCs w:val="22"/>
          <w:lang w:val="en-AU"/>
          <w14:ligatures w14:val="standardContextual"/>
        </w:rPr>
        <w:t xml:space="preserve"> </w:t>
      </w:r>
      <w:r w:rsidR="00D62F56" w:rsidRPr="00C723E0">
        <w:rPr>
          <w:rFonts w:ascii="Calibri" w:eastAsiaTheme="minorHAnsi" w:hAnsi="Calibri" w:cs="Calibri"/>
          <w:sz w:val="22"/>
          <w:szCs w:val="22"/>
          <w:lang w:val="en-AU"/>
          <w14:ligatures w14:val="standardContextual"/>
        </w:rPr>
        <w:t>prior</w:t>
      </w:r>
      <w:r w:rsidR="00DE58CB" w:rsidRPr="00C723E0">
        <w:rPr>
          <w:rFonts w:ascii="Calibri" w:eastAsiaTheme="minorHAnsi" w:hAnsi="Calibri" w:cs="Calibri"/>
          <w:sz w:val="22"/>
          <w:szCs w:val="22"/>
          <w:lang w:val="en-AU"/>
          <w14:ligatures w14:val="standardContextual"/>
        </w:rPr>
        <w:t>iti</w:t>
      </w:r>
      <w:r w:rsidR="00D62F56" w:rsidRPr="00C723E0">
        <w:rPr>
          <w:rFonts w:ascii="Calibri" w:eastAsiaTheme="minorHAnsi" w:hAnsi="Calibri" w:cs="Calibri"/>
          <w:sz w:val="22"/>
          <w:szCs w:val="22"/>
          <w:lang w:val="en-AU"/>
          <w14:ligatures w14:val="standardContextual"/>
        </w:rPr>
        <w:t>es</w:t>
      </w:r>
      <w:r w:rsidRPr="00C723E0">
        <w:rPr>
          <w:rFonts w:ascii="Calibri" w:eastAsiaTheme="minorHAnsi" w:hAnsi="Calibri" w:cs="Calibri"/>
          <w:sz w:val="22"/>
          <w:szCs w:val="22"/>
          <w:lang w:val="en-AU"/>
          <w14:ligatures w14:val="standardContextual"/>
        </w:rPr>
        <w:t xml:space="preserve"> and needs. Too often</w:t>
      </w:r>
      <w:r w:rsidR="00DE58CB"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w:t>
      </w:r>
      <w:r w:rsidR="00D62F56" w:rsidRPr="00C723E0">
        <w:rPr>
          <w:rFonts w:ascii="Calibri" w:eastAsiaTheme="minorHAnsi" w:hAnsi="Calibri" w:cs="Calibri"/>
          <w:sz w:val="22"/>
          <w:szCs w:val="22"/>
          <w:lang w:val="en-AU"/>
          <w14:ligatures w14:val="standardContextual"/>
        </w:rPr>
        <w:t>it</w:t>
      </w:r>
      <w:r w:rsidRPr="00C723E0">
        <w:rPr>
          <w:rFonts w:ascii="Calibri" w:eastAsiaTheme="minorHAnsi" w:hAnsi="Calibri" w:cs="Calibri"/>
          <w:sz w:val="22"/>
          <w:szCs w:val="22"/>
          <w:lang w:val="en-AU"/>
          <w14:ligatures w14:val="standardContextual"/>
        </w:rPr>
        <w:t xml:space="preserve"> is assumed that </w:t>
      </w:r>
      <w:r w:rsidR="00D62F56" w:rsidRPr="00C723E0">
        <w:rPr>
          <w:rFonts w:ascii="Calibri" w:eastAsiaTheme="minorHAnsi" w:hAnsi="Calibri" w:cs="Calibri"/>
          <w:sz w:val="22"/>
          <w:szCs w:val="22"/>
          <w:lang w:val="en-AU"/>
          <w14:ligatures w14:val="standardContextual"/>
        </w:rPr>
        <w:t>DFAT</w:t>
      </w:r>
      <w:r w:rsidRPr="00C723E0">
        <w:rPr>
          <w:rFonts w:ascii="Calibri" w:eastAsiaTheme="minorHAnsi" w:hAnsi="Calibri" w:cs="Calibri"/>
          <w:sz w:val="22"/>
          <w:szCs w:val="22"/>
          <w:lang w:val="en-AU"/>
          <w14:ligatures w14:val="standardContextual"/>
        </w:rPr>
        <w:t xml:space="preserve"> is aware of key actions and </w:t>
      </w:r>
      <w:r w:rsidR="00D62F56" w:rsidRPr="00C723E0">
        <w:rPr>
          <w:rFonts w:ascii="Calibri" w:eastAsiaTheme="minorHAnsi" w:hAnsi="Calibri" w:cs="Calibri"/>
          <w:sz w:val="22"/>
          <w:szCs w:val="22"/>
          <w:lang w:val="en-AU"/>
          <w14:ligatures w14:val="standardContextual"/>
        </w:rPr>
        <w:t>decisions</w:t>
      </w:r>
      <w:r w:rsidRPr="00C723E0">
        <w:rPr>
          <w:rFonts w:ascii="Calibri" w:eastAsiaTheme="minorHAnsi" w:hAnsi="Calibri" w:cs="Calibri"/>
          <w:sz w:val="22"/>
          <w:szCs w:val="22"/>
          <w:lang w:val="en-AU"/>
          <w14:ligatures w14:val="standardContextual"/>
        </w:rPr>
        <w:t>. Informal briefings</w:t>
      </w:r>
      <w:r w:rsidR="00332E18" w:rsidRPr="00C723E0">
        <w:rPr>
          <w:rFonts w:ascii="Calibri" w:eastAsiaTheme="minorHAnsi" w:hAnsi="Calibri" w:cs="Calibri"/>
          <w:sz w:val="22"/>
          <w:szCs w:val="22"/>
          <w:lang w:val="en-AU"/>
          <w14:ligatures w14:val="standardContextual"/>
        </w:rPr>
        <w:t>,</w:t>
      </w:r>
      <w:r w:rsidR="008C10E4" w:rsidRPr="00C723E0">
        <w:rPr>
          <w:rFonts w:ascii="Calibri" w:eastAsiaTheme="minorHAnsi" w:hAnsi="Calibri" w:cs="Calibri"/>
          <w:sz w:val="22"/>
          <w:szCs w:val="22"/>
          <w:lang w:val="en-AU"/>
          <w14:ligatures w14:val="standardContextual"/>
        </w:rPr>
        <w:t xml:space="preserve"> </w:t>
      </w:r>
      <w:r w:rsidRPr="00C723E0">
        <w:rPr>
          <w:rFonts w:ascii="Calibri" w:eastAsiaTheme="minorHAnsi" w:hAnsi="Calibri" w:cs="Calibri"/>
          <w:sz w:val="22"/>
          <w:szCs w:val="22"/>
          <w:lang w:val="en-AU"/>
          <w14:ligatures w14:val="standardContextual"/>
        </w:rPr>
        <w:t xml:space="preserve">and updates are </w:t>
      </w:r>
      <w:r w:rsidR="00332E18" w:rsidRPr="00C723E0">
        <w:rPr>
          <w:rFonts w:ascii="Calibri" w:eastAsiaTheme="minorHAnsi" w:hAnsi="Calibri" w:cs="Calibri"/>
          <w:sz w:val="22"/>
          <w:szCs w:val="22"/>
          <w:lang w:val="en-AU"/>
          <w14:ligatures w14:val="standardContextual"/>
        </w:rPr>
        <w:t>a</w:t>
      </w:r>
      <w:r w:rsidRPr="00C723E0">
        <w:rPr>
          <w:rFonts w:ascii="Calibri" w:eastAsiaTheme="minorHAnsi" w:hAnsi="Calibri" w:cs="Calibri"/>
          <w:sz w:val="22"/>
          <w:szCs w:val="22"/>
          <w:lang w:val="en-AU"/>
          <w14:ligatures w14:val="standardContextual"/>
        </w:rPr>
        <w:t xml:space="preserve">n </w:t>
      </w:r>
      <w:r w:rsidR="00D62F56" w:rsidRPr="00C723E0">
        <w:rPr>
          <w:rFonts w:ascii="Calibri" w:eastAsiaTheme="minorHAnsi" w:hAnsi="Calibri" w:cs="Calibri"/>
          <w:sz w:val="22"/>
          <w:szCs w:val="22"/>
          <w:lang w:val="en-AU"/>
          <w14:ligatures w14:val="standardContextual"/>
        </w:rPr>
        <w:t>avenue</w:t>
      </w:r>
      <w:r w:rsidRPr="00C723E0">
        <w:rPr>
          <w:rFonts w:ascii="Calibri" w:eastAsiaTheme="minorHAnsi" w:hAnsi="Calibri" w:cs="Calibri"/>
          <w:sz w:val="22"/>
          <w:szCs w:val="22"/>
          <w:lang w:val="en-AU"/>
          <w14:ligatures w14:val="standardContextual"/>
        </w:rPr>
        <w:t xml:space="preserve"> to promote engagement and ensure clear and </w:t>
      </w:r>
      <w:r w:rsidR="00D62F56" w:rsidRPr="00C723E0">
        <w:rPr>
          <w:rFonts w:ascii="Calibri" w:eastAsiaTheme="minorHAnsi" w:hAnsi="Calibri" w:cs="Calibri"/>
          <w:sz w:val="22"/>
          <w:szCs w:val="22"/>
          <w:lang w:val="en-AU"/>
          <w14:ligatures w14:val="standardContextual"/>
        </w:rPr>
        <w:t>effective</w:t>
      </w:r>
      <w:r w:rsidRPr="00C723E0">
        <w:rPr>
          <w:rFonts w:ascii="Calibri" w:eastAsiaTheme="minorHAnsi" w:hAnsi="Calibri" w:cs="Calibri"/>
          <w:sz w:val="22"/>
          <w:szCs w:val="22"/>
          <w:lang w:val="en-AU"/>
          <w14:ligatures w14:val="standardContextual"/>
        </w:rPr>
        <w:t xml:space="preserve"> communication. </w:t>
      </w:r>
    </w:p>
    <w:p w14:paraId="69C4003F" w14:textId="6D235842" w:rsidR="00DF6080" w:rsidRPr="003A36D6" w:rsidRDefault="00E75CB8" w:rsidP="003A36D6">
      <w:pPr>
        <w:pStyle w:val="BodyText"/>
        <w:rPr>
          <w:b/>
          <w:bCs/>
          <w:i/>
          <w:iCs/>
        </w:rPr>
      </w:pPr>
      <w:bookmarkStart w:id="34" w:name="_Toc201131772"/>
      <w:r w:rsidRPr="003A36D6">
        <w:rPr>
          <w:b/>
          <w:bCs/>
          <w:i/>
          <w:iCs/>
        </w:rPr>
        <w:t>Partnership</w:t>
      </w:r>
      <w:r w:rsidR="00DF6080" w:rsidRPr="003A36D6">
        <w:rPr>
          <w:b/>
          <w:bCs/>
          <w:i/>
          <w:iCs/>
        </w:rPr>
        <w:t xml:space="preserve"> Design</w:t>
      </w:r>
      <w:bookmarkEnd w:id="34"/>
    </w:p>
    <w:p w14:paraId="6E2A0DD0" w14:textId="736BDA78" w:rsidR="00A94191" w:rsidRPr="00C723E0" w:rsidRDefault="00A94191" w:rsidP="00A94191">
      <w:pPr>
        <w:spacing w:after="120"/>
        <w:jc w:val="both"/>
        <w:rPr>
          <w:rFonts w:ascii="Calibri" w:hAnsi="Calibri" w:cs="Calibri"/>
          <w:sz w:val="22"/>
          <w:szCs w:val="22"/>
          <w:lang w:val="en-AU"/>
        </w:rPr>
      </w:pPr>
      <w:r w:rsidRPr="00C723E0">
        <w:rPr>
          <w:rFonts w:ascii="Calibri" w:hAnsi="Calibri" w:cs="Calibri"/>
          <w:b/>
          <w:bCs/>
          <w:sz w:val="22"/>
          <w:szCs w:val="22"/>
          <w:lang w:val="en-AU"/>
        </w:rPr>
        <w:t>The Partnership arr</w:t>
      </w:r>
      <w:r w:rsidR="00E95293" w:rsidRPr="00C723E0">
        <w:rPr>
          <w:rFonts w:ascii="Calibri" w:hAnsi="Calibri" w:cs="Calibri"/>
          <w:b/>
          <w:bCs/>
          <w:sz w:val="22"/>
          <w:szCs w:val="22"/>
          <w:lang w:val="en-AU"/>
        </w:rPr>
        <w:t>an</w:t>
      </w:r>
      <w:r w:rsidRPr="00C723E0">
        <w:rPr>
          <w:rFonts w:ascii="Calibri" w:hAnsi="Calibri" w:cs="Calibri"/>
          <w:b/>
          <w:bCs/>
          <w:sz w:val="22"/>
          <w:szCs w:val="22"/>
          <w:lang w:val="en-AU"/>
        </w:rPr>
        <w:t>gements were highly relevant to both DFA</w:t>
      </w:r>
      <w:r w:rsidR="00E95293" w:rsidRPr="00C723E0">
        <w:rPr>
          <w:rFonts w:ascii="Calibri" w:hAnsi="Calibri" w:cs="Calibri"/>
          <w:b/>
          <w:bCs/>
          <w:sz w:val="22"/>
          <w:szCs w:val="22"/>
          <w:lang w:val="en-AU"/>
        </w:rPr>
        <w:t>T</w:t>
      </w:r>
      <w:r w:rsidRPr="00C723E0">
        <w:rPr>
          <w:rFonts w:ascii="Calibri" w:hAnsi="Calibri" w:cs="Calibri"/>
          <w:b/>
          <w:bCs/>
          <w:sz w:val="22"/>
          <w:szCs w:val="22"/>
          <w:lang w:val="en-AU"/>
        </w:rPr>
        <w:t xml:space="preserve"> and IFC</w:t>
      </w:r>
      <w:r w:rsidRPr="00C723E0">
        <w:rPr>
          <w:rFonts w:ascii="Calibri" w:hAnsi="Calibri" w:cs="Calibri"/>
          <w:sz w:val="22"/>
          <w:szCs w:val="22"/>
          <w:lang w:val="en-AU"/>
        </w:rPr>
        <w:t xml:space="preserve">. Given the focus on the private sector, DFAT was able to </w:t>
      </w:r>
      <w:r w:rsidR="00E95293" w:rsidRPr="00C723E0">
        <w:rPr>
          <w:rFonts w:ascii="Calibri" w:hAnsi="Calibri" w:cs="Calibri"/>
          <w:sz w:val="22"/>
          <w:szCs w:val="22"/>
          <w:lang w:val="en-AU"/>
        </w:rPr>
        <w:t>leverage</w:t>
      </w:r>
      <w:r w:rsidRPr="00C723E0">
        <w:rPr>
          <w:rFonts w:ascii="Calibri" w:hAnsi="Calibri" w:cs="Calibri"/>
          <w:sz w:val="22"/>
          <w:szCs w:val="22"/>
          <w:lang w:val="en-AU"/>
        </w:rPr>
        <w:t xml:space="preserve"> the strong presence and experience of</w:t>
      </w:r>
      <w:r w:rsidR="008C10E4" w:rsidRPr="00C723E0">
        <w:rPr>
          <w:rFonts w:ascii="Calibri" w:hAnsi="Calibri" w:cs="Calibri"/>
          <w:sz w:val="22"/>
          <w:szCs w:val="22"/>
          <w:lang w:val="en-AU"/>
        </w:rPr>
        <w:t xml:space="preserve"> </w:t>
      </w:r>
      <w:r w:rsidRPr="00C723E0">
        <w:rPr>
          <w:rFonts w:ascii="Calibri" w:hAnsi="Calibri" w:cs="Calibri"/>
          <w:sz w:val="22"/>
          <w:szCs w:val="22"/>
          <w:lang w:val="en-AU"/>
        </w:rPr>
        <w:t xml:space="preserve">IFC in Fiji. </w:t>
      </w:r>
      <w:r w:rsidR="00A52E50" w:rsidRPr="00C723E0">
        <w:rPr>
          <w:rFonts w:ascii="Calibri" w:hAnsi="Calibri" w:cs="Calibri"/>
          <w:sz w:val="22"/>
          <w:szCs w:val="22"/>
          <w:lang w:val="en-AU"/>
        </w:rPr>
        <w:t>IFC</w:t>
      </w:r>
      <w:r w:rsidRPr="00C723E0">
        <w:rPr>
          <w:rFonts w:ascii="Calibri" w:hAnsi="Calibri" w:cs="Calibri"/>
          <w:sz w:val="22"/>
          <w:szCs w:val="22"/>
          <w:lang w:val="en-AU"/>
        </w:rPr>
        <w:t xml:space="preserve"> has e</w:t>
      </w:r>
      <w:r w:rsidR="00E95293" w:rsidRPr="00C723E0">
        <w:rPr>
          <w:rFonts w:ascii="Calibri" w:hAnsi="Calibri" w:cs="Calibri"/>
          <w:sz w:val="22"/>
          <w:szCs w:val="22"/>
          <w:lang w:val="en-AU"/>
        </w:rPr>
        <w:t>stablis</w:t>
      </w:r>
      <w:r w:rsidRPr="00C723E0">
        <w:rPr>
          <w:rFonts w:ascii="Calibri" w:hAnsi="Calibri" w:cs="Calibri"/>
          <w:sz w:val="22"/>
          <w:szCs w:val="22"/>
          <w:lang w:val="en-AU"/>
        </w:rPr>
        <w:t xml:space="preserve">hed itself as a “trusted adviser” </w:t>
      </w:r>
      <w:r w:rsidR="00540E64" w:rsidRPr="00C723E0">
        <w:rPr>
          <w:rFonts w:ascii="Calibri" w:hAnsi="Calibri" w:cs="Calibri"/>
          <w:sz w:val="22"/>
          <w:szCs w:val="22"/>
          <w:lang w:val="en-AU"/>
        </w:rPr>
        <w:t xml:space="preserve">through </w:t>
      </w:r>
      <w:r w:rsidRPr="00C723E0">
        <w:rPr>
          <w:rFonts w:ascii="Calibri" w:hAnsi="Calibri" w:cs="Calibri"/>
          <w:sz w:val="22"/>
          <w:szCs w:val="22"/>
          <w:lang w:val="en-AU"/>
        </w:rPr>
        <w:t xml:space="preserve">many years </w:t>
      </w:r>
      <w:r w:rsidR="00540E64" w:rsidRPr="00C723E0">
        <w:rPr>
          <w:rFonts w:ascii="Calibri" w:hAnsi="Calibri" w:cs="Calibri"/>
          <w:sz w:val="22"/>
          <w:szCs w:val="22"/>
          <w:lang w:val="en-AU"/>
        </w:rPr>
        <w:t>of engagement and support</w:t>
      </w:r>
      <w:r w:rsidRPr="00C723E0">
        <w:rPr>
          <w:rFonts w:ascii="Calibri" w:hAnsi="Calibri" w:cs="Calibri"/>
          <w:sz w:val="22"/>
          <w:szCs w:val="22"/>
          <w:lang w:val="en-AU"/>
        </w:rPr>
        <w:t xml:space="preserve"> </w:t>
      </w:r>
      <w:r w:rsidR="00540E64" w:rsidRPr="00C723E0">
        <w:rPr>
          <w:rFonts w:ascii="Calibri" w:hAnsi="Calibri" w:cs="Calibri"/>
          <w:sz w:val="22"/>
          <w:szCs w:val="22"/>
          <w:lang w:val="en-AU"/>
        </w:rPr>
        <w:t xml:space="preserve">for </w:t>
      </w:r>
      <w:r w:rsidRPr="00C723E0">
        <w:rPr>
          <w:rFonts w:ascii="Calibri" w:hAnsi="Calibri" w:cs="Calibri"/>
          <w:sz w:val="22"/>
          <w:szCs w:val="22"/>
          <w:lang w:val="en-AU"/>
        </w:rPr>
        <w:t xml:space="preserve">the </w:t>
      </w:r>
      <w:r w:rsidR="00A52E50" w:rsidRPr="00C723E0">
        <w:rPr>
          <w:rFonts w:ascii="Calibri" w:hAnsi="Calibri" w:cs="Calibri"/>
          <w:sz w:val="22"/>
          <w:szCs w:val="22"/>
          <w:lang w:val="en-AU"/>
        </w:rPr>
        <w:t>GoF</w:t>
      </w:r>
      <w:r w:rsidRPr="00C723E0">
        <w:rPr>
          <w:rFonts w:ascii="Calibri" w:hAnsi="Calibri" w:cs="Calibri"/>
          <w:sz w:val="22"/>
          <w:szCs w:val="22"/>
          <w:lang w:val="en-AU"/>
        </w:rPr>
        <w:t>. The partnership</w:t>
      </w:r>
      <w:r w:rsidR="00540E64" w:rsidRPr="00C723E0">
        <w:rPr>
          <w:rFonts w:ascii="Calibri" w:hAnsi="Calibri" w:cs="Calibri"/>
          <w:sz w:val="22"/>
          <w:szCs w:val="22"/>
          <w:lang w:val="en-AU"/>
        </w:rPr>
        <w:t xml:space="preserve"> </w:t>
      </w:r>
      <w:r w:rsidR="00540E64" w:rsidRPr="00C723E0">
        <w:rPr>
          <w:rFonts w:ascii="Calibri" w:hAnsi="Calibri" w:cs="Calibri"/>
          <w:sz w:val="22"/>
          <w:szCs w:val="22"/>
          <w:lang w:val="en-AU"/>
        </w:rPr>
        <w:lastRenderedPageBreak/>
        <w:t>has</w:t>
      </w:r>
      <w:r w:rsidRPr="00C723E0">
        <w:rPr>
          <w:rFonts w:ascii="Calibri" w:hAnsi="Calibri" w:cs="Calibri"/>
          <w:sz w:val="22"/>
          <w:szCs w:val="22"/>
          <w:lang w:val="en-AU"/>
        </w:rPr>
        <w:t xml:space="preserve"> enabled </w:t>
      </w:r>
      <w:r w:rsidR="00540E64" w:rsidRPr="00C723E0">
        <w:rPr>
          <w:rFonts w:ascii="Calibri" w:hAnsi="Calibri" w:cs="Calibri"/>
          <w:sz w:val="22"/>
          <w:szCs w:val="22"/>
          <w:lang w:val="en-AU"/>
        </w:rPr>
        <w:t>IFC and DFAT</w:t>
      </w:r>
      <w:r w:rsidRPr="00C723E0">
        <w:rPr>
          <w:rFonts w:ascii="Calibri" w:hAnsi="Calibri" w:cs="Calibri"/>
          <w:sz w:val="22"/>
          <w:szCs w:val="22"/>
          <w:lang w:val="en-AU"/>
        </w:rPr>
        <w:t xml:space="preserve"> to leverage experience, knowledge and </w:t>
      </w:r>
      <w:r w:rsidR="00A52E50" w:rsidRPr="00C723E0">
        <w:rPr>
          <w:rFonts w:ascii="Calibri" w:hAnsi="Calibri" w:cs="Calibri"/>
          <w:sz w:val="22"/>
          <w:szCs w:val="22"/>
          <w:lang w:val="en-AU"/>
        </w:rPr>
        <w:t>access</w:t>
      </w:r>
      <w:r w:rsidRPr="00C723E0">
        <w:rPr>
          <w:rFonts w:ascii="Calibri" w:hAnsi="Calibri" w:cs="Calibri"/>
          <w:sz w:val="22"/>
          <w:szCs w:val="22"/>
          <w:lang w:val="en-AU"/>
        </w:rPr>
        <w:t>. DFAT’s role wa</w:t>
      </w:r>
      <w:r w:rsidR="00E95293" w:rsidRPr="00C723E0">
        <w:rPr>
          <w:rFonts w:ascii="Calibri" w:hAnsi="Calibri" w:cs="Calibri"/>
          <w:sz w:val="22"/>
          <w:szCs w:val="22"/>
          <w:lang w:val="en-AU"/>
        </w:rPr>
        <w:t xml:space="preserve">s </w:t>
      </w:r>
      <w:r w:rsidRPr="00C723E0">
        <w:rPr>
          <w:rFonts w:ascii="Calibri" w:hAnsi="Calibri" w:cs="Calibri"/>
          <w:sz w:val="22"/>
          <w:szCs w:val="22"/>
          <w:lang w:val="en-AU"/>
        </w:rPr>
        <w:t>primari</w:t>
      </w:r>
      <w:r w:rsidR="00E95293" w:rsidRPr="00C723E0">
        <w:rPr>
          <w:rFonts w:ascii="Calibri" w:hAnsi="Calibri" w:cs="Calibri"/>
          <w:sz w:val="22"/>
          <w:szCs w:val="22"/>
          <w:lang w:val="en-AU"/>
        </w:rPr>
        <w:t>ly</w:t>
      </w:r>
      <w:r w:rsidRPr="00C723E0">
        <w:rPr>
          <w:rFonts w:ascii="Calibri" w:hAnsi="Calibri" w:cs="Calibri"/>
          <w:sz w:val="22"/>
          <w:szCs w:val="22"/>
          <w:lang w:val="en-AU"/>
        </w:rPr>
        <w:t xml:space="preserve"> diplomatic</w:t>
      </w:r>
      <w:r w:rsidR="00DE58CB" w:rsidRPr="00C723E0">
        <w:rPr>
          <w:rFonts w:ascii="Calibri" w:hAnsi="Calibri" w:cs="Calibri"/>
          <w:sz w:val="22"/>
          <w:szCs w:val="22"/>
          <w:lang w:val="en-AU"/>
        </w:rPr>
        <w:t>,</w:t>
      </w:r>
      <w:r w:rsidRPr="00C723E0">
        <w:rPr>
          <w:rFonts w:ascii="Calibri" w:hAnsi="Calibri" w:cs="Calibri"/>
          <w:sz w:val="22"/>
          <w:szCs w:val="22"/>
          <w:lang w:val="en-AU"/>
        </w:rPr>
        <w:t xml:space="preserve"> ensuring alignment with other broader development, political</w:t>
      </w:r>
      <w:r w:rsidR="00DE58CB" w:rsidRPr="00C723E0">
        <w:rPr>
          <w:rFonts w:ascii="Calibri" w:hAnsi="Calibri" w:cs="Calibri"/>
          <w:sz w:val="22"/>
          <w:szCs w:val="22"/>
          <w:lang w:val="en-AU"/>
        </w:rPr>
        <w:t>,</w:t>
      </w:r>
      <w:r w:rsidRPr="00C723E0">
        <w:rPr>
          <w:rFonts w:ascii="Calibri" w:hAnsi="Calibri" w:cs="Calibri"/>
          <w:sz w:val="22"/>
          <w:szCs w:val="22"/>
          <w:lang w:val="en-AU"/>
        </w:rPr>
        <w:t xml:space="preserve"> </w:t>
      </w:r>
      <w:r w:rsidR="00E95293" w:rsidRPr="00C723E0">
        <w:rPr>
          <w:rFonts w:ascii="Calibri" w:hAnsi="Calibri" w:cs="Calibri"/>
          <w:sz w:val="22"/>
          <w:szCs w:val="22"/>
          <w:lang w:val="en-AU"/>
        </w:rPr>
        <w:t>a</w:t>
      </w:r>
      <w:r w:rsidRPr="00C723E0">
        <w:rPr>
          <w:rFonts w:ascii="Calibri" w:hAnsi="Calibri" w:cs="Calibri"/>
          <w:sz w:val="22"/>
          <w:szCs w:val="22"/>
          <w:lang w:val="en-AU"/>
        </w:rPr>
        <w:t>nd economic priorities while enabling IFC to focus on specific technical and advisory support. The m</w:t>
      </w:r>
      <w:r w:rsidR="00E95293" w:rsidRPr="00C723E0">
        <w:rPr>
          <w:rFonts w:ascii="Calibri" w:hAnsi="Calibri" w:cs="Calibri"/>
          <w:sz w:val="22"/>
          <w:szCs w:val="22"/>
          <w:lang w:val="en-AU"/>
        </w:rPr>
        <w:t>utu</w:t>
      </w:r>
      <w:r w:rsidRPr="00C723E0">
        <w:rPr>
          <w:rFonts w:ascii="Calibri" w:hAnsi="Calibri" w:cs="Calibri"/>
          <w:sz w:val="22"/>
          <w:szCs w:val="22"/>
          <w:lang w:val="en-AU"/>
        </w:rPr>
        <w:t>ally beneficial arr</w:t>
      </w:r>
      <w:r w:rsidR="00E95293" w:rsidRPr="00C723E0">
        <w:rPr>
          <w:rFonts w:ascii="Calibri" w:hAnsi="Calibri" w:cs="Calibri"/>
          <w:sz w:val="22"/>
          <w:szCs w:val="22"/>
          <w:lang w:val="en-AU"/>
        </w:rPr>
        <w:t>an</w:t>
      </w:r>
      <w:r w:rsidRPr="00C723E0">
        <w:rPr>
          <w:rFonts w:ascii="Calibri" w:hAnsi="Calibri" w:cs="Calibri"/>
          <w:sz w:val="22"/>
          <w:szCs w:val="22"/>
          <w:lang w:val="en-AU"/>
        </w:rPr>
        <w:t>gements w</w:t>
      </w:r>
      <w:r w:rsidR="00E95293" w:rsidRPr="00C723E0">
        <w:rPr>
          <w:rFonts w:ascii="Calibri" w:hAnsi="Calibri" w:cs="Calibri"/>
          <w:sz w:val="22"/>
          <w:szCs w:val="22"/>
          <w:lang w:val="en-AU"/>
        </w:rPr>
        <w:t>ere</w:t>
      </w:r>
      <w:r w:rsidRPr="00C723E0">
        <w:rPr>
          <w:rFonts w:ascii="Calibri" w:hAnsi="Calibri" w:cs="Calibri"/>
          <w:sz w:val="22"/>
          <w:szCs w:val="22"/>
          <w:lang w:val="en-AU"/>
        </w:rPr>
        <w:t xml:space="preserve"> well grounded through strong formal and informal commitments and overseen by a wel</w:t>
      </w:r>
      <w:r w:rsidR="00E95293" w:rsidRPr="00C723E0">
        <w:rPr>
          <w:rFonts w:ascii="Calibri" w:hAnsi="Calibri" w:cs="Calibri"/>
          <w:sz w:val="22"/>
          <w:szCs w:val="22"/>
          <w:lang w:val="en-AU"/>
        </w:rPr>
        <w:t>l-</w:t>
      </w:r>
      <w:r w:rsidRPr="00C723E0">
        <w:rPr>
          <w:rFonts w:ascii="Calibri" w:hAnsi="Calibri" w:cs="Calibri"/>
          <w:sz w:val="22"/>
          <w:szCs w:val="22"/>
          <w:lang w:val="en-AU"/>
        </w:rPr>
        <w:t>structured government mechanism through the Program Ste</w:t>
      </w:r>
      <w:r w:rsidR="00E95293" w:rsidRPr="00C723E0">
        <w:rPr>
          <w:rFonts w:ascii="Calibri" w:hAnsi="Calibri" w:cs="Calibri"/>
          <w:sz w:val="22"/>
          <w:szCs w:val="22"/>
          <w:lang w:val="en-AU"/>
        </w:rPr>
        <w:t>e</w:t>
      </w:r>
      <w:r w:rsidRPr="00C723E0">
        <w:rPr>
          <w:rFonts w:ascii="Calibri" w:hAnsi="Calibri" w:cs="Calibri"/>
          <w:sz w:val="22"/>
          <w:szCs w:val="22"/>
          <w:lang w:val="en-AU"/>
        </w:rPr>
        <w:t>ring Committee</w:t>
      </w:r>
      <w:r w:rsidR="00D62F56" w:rsidRPr="00C723E0">
        <w:rPr>
          <w:rFonts w:ascii="Calibri" w:hAnsi="Calibri" w:cs="Calibri"/>
          <w:sz w:val="22"/>
          <w:szCs w:val="22"/>
          <w:lang w:val="en-AU"/>
        </w:rPr>
        <w:t xml:space="preserve"> (PSC)</w:t>
      </w:r>
      <w:r w:rsidRPr="00C723E0">
        <w:rPr>
          <w:rFonts w:ascii="Calibri" w:hAnsi="Calibri" w:cs="Calibri"/>
          <w:sz w:val="22"/>
          <w:szCs w:val="22"/>
          <w:lang w:val="en-AU"/>
        </w:rPr>
        <w:t>.</w:t>
      </w:r>
    </w:p>
    <w:p w14:paraId="5D7CC903" w14:textId="49CB2008" w:rsidR="00D62F56" w:rsidRPr="00C723E0" w:rsidRDefault="00D62F56" w:rsidP="00A94191">
      <w:pPr>
        <w:spacing w:after="120"/>
        <w:jc w:val="both"/>
        <w:rPr>
          <w:rFonts w:ascii="Calibri" w:hAnsi="Calibri" w:cs="Calibri"/>
          <w:sz w:val="22"/>
          <w:szCs w:val="22"/>
          <w:lang w:val="en-AU"/>
        </w:rPr>
      </w:pPr>
      <w:r w:rsidRPr="00C723E0">
        <w:rPr>
          <w:rFonts w:ascii="Calibri" w:hAnsi="Calibri" w:cs="Calibri"/>
          <w:b/>
          <w:bCs/>
          <w:sz w:val="22"/>
          <w:szCs w:val="22"/>
          <w:lang w:val="en-AU"/>
        </w:rPr>
        <w:t>The PSC appears “fit for purpose</w:t>
      </w:r>
      <w:r w:rsidR="00DE58CB" w:rsidRPr="00C723E0">
        <w:rPr>
          <w:rFonts w:ascii="Calibri" w:hAnsi="Calibri" w:cs="Calibri"/>
          <w:b/>
          <w:bCs/>
          <w:sz w:val="22"/>
          <w:szCs w:val="22"/>
          <w:lang w:val="en-AU"/>
        </w:rPr>
        <w:t>,</w:t>
      </w:r>
      <w:r w:rsidRPr="00C723E0">
        <w:rPr>
          <w:rFonts w:ascii="Calibri" w:hAnsi="Calibri" w:cs="Calibri"/>
          <w:b/>
          <w:bCs/>
          <w:sz w:val="22"/>
          <w:szCs w:val="22"/>
          <w:lang w:val="en-AU"/>
        </w:rPr>
        <w:t>”</w:t>
      </w:r>
      <w:r w:rsidRPr="00C723E0">
        <w:rPr>
          <w:rFonts w:ascii="Calibri" w:hAnsi="Calibri" w:cs="Calibri"/>
          <w:sz w:val="22"/>
          <w:szCs w:val="22"/>
          <w:lang w:val="en-AU"/>
        </w:rPr>
        <w:t xml:space="preserve"> but to address the communication and engagement issue, there is scope for more informal briefings and discussions, particularly w</w:t>
      </w:r>
      <w:r w:rsidR="00871895" w:rsidRPr="00C723E0">
        <w:rPr>
          <w:rFonts w:ascii="Calibri" w:hAnsi="Calibri" w:cs="Calibri"/>
          <w:sz w:val="22"/>
          <w:szCs w:val="22"/>
          <w:lang w:val="en-AU"/>
        </w:rPr>
        <w:t>here</w:t>
      </w:r>
      <w:r w:rsidRPr="00C723E0">
        <w:rPr>
          <w:rFonts w:ascii="Calibri" w:hAnsi="Calibri" w:cs="Calibri"/>
          <w:sz w:val="22"/>
          <w:szCs w:val="22"/>
          <w:lang w:val="en-AU"/>
        </w:rPr>
        <w:t xml:space="preserve"> fly-in and fly-out technical assistance arrangements</w:t>
      </w:r>
      <w:r w:rsidR="00A25135" w:rsidRPr="00C723E0">
        <w:rPr>
          <w:rFonts w:ascii="Calibri" w:hAnsi="Calibri" w:cs="Calibri"/>
          <w:sz w:val="22"/>
          <w:szCs w:val="22"/>
          <w:lang w:val="en-AU"/>
        </w:rPr>
        <w:t xml:space="preserve"> are involved for project delivery</w:t>
      </w:r>
      <w:r w:rsidRPr="00C723E0">
        <w:rPr>
          <w:rFonts w:ascii="Calibri" w:hAnsi="Calibri" w:cs="Calibri"/>
          <w:sz w:val="22"/>
          <w:szCs w:val="22"/>
          <w:lang w:val="en-AU"/>
        </w:rPr>
        <w:t xml:space="preserve">. The briefings also enable and underpin effective risk management. </w:t>
      </w:r>
      <w:r w:rsidR="002039C8" w:rsidRPr="00C723E0">
        <w:rPr>
          <w:rFonts w:ascii="Calibri" w:hAnsi="Calibri" w:cs="Calibri"/>
          <w:sz w:val="22"/>
          <w:szCs w:val="22"/>
          <w:lang w:val="en-AU"/>
        </w:rPr>
        <w:t xml:space="preserve">It is important to note that this suggestion refers to the situation where fly-in and fly-out advisory support is provided. A majority of projects supported under the program have been led </w:t>
      </w:r>
      <w:r w:rsidR="002039C8" w:rsidRPr="00A26E3C">
        <w:rPr>
          <w:rFonts w:ascii="Calibri" w:eastAsiaTheme="minorHAnsi" w:hAnsi="Calibri" w:cs="Calibri"/>
          <w:color w:val="000000"/>
          <w:sz w:val="22"/>
          <w:szCs w:val="22"/>
          <w:lang w:val="en-AU"/>
          <w14:ligatures w14:val="standardContextual"/>
        </w:rPr>
        <w:t>by Suva-based staff and advisers (Payments, Green Finance, Sustainable Tourism, IVS</w:t>
      </w:r>
      <w:r w:rsidR="004D662D">
        <w:rPr>
          <w:rFonts w:ascii="Calibri" w:eastAsiaTheme="minorHAnsi" w:hAnsi="Calibri" w:cs="Calibri"/>
          <w:color w:val="000000"/>
          <w:sz w:val="22"/>
          <w:szCs w:val="22"/>
          <w:lang w:val="en-AU"/>
          <w14:ligatures w14:val="standardContextual"/>
        </w:rPr>
        <w:t>,</w:t>
      </w:r>
      <w:r w:rsidR="002039C8" w:rsidRPr="00A26E3C">
        <w:rPr>
          <w:rFonts w:ascii="Calibri" w:eastAsiaTheme="minorHAnsi" w:hAnsi="Calibri" w:cs="Calibri"/>
          <w:color w:val="000000"/>
          <w:sz w:val="22"/>
          <w:szCs w:val="22"/>
          <w:lang w:val="en-AU"/>
          <w14:ligatures w14:val="standardContextual"/>
        </w:rPr>
        <w:t xml:space="preserve"> Fiji Winvest, Fiji Investment Competitiveness</w:t>
      </w:r>
      <w:r w:rsidR="004D662D">
        <w:rPr>
          <w:rFonts w:ascii="Calibri" w:eastAsiaTheme="minorHAnsi" w:hAnsi="Calibri" w:cs="Calibri"/>
          <w:color w:val="000000"/>
          <w:sz w:val="22"/>
          <w:szCs w:val="22"/>
          <w:lang w:val="en-AU"/>
          <w14:ligatures w14:val="standardContextual"/>
        </w:rPr>
        <w:t>)</w:t>
      </w:r>
      <w:r w:rsidR="002039C8" w:rsidRPr="00A26E3C">
        <w:rPr>
          <w:rFonts w:ascii="Calibri" w:eastAsiaTheme="minorHAnsi" w:hAnsi="Calibri" w:cs="Calibri"/>
          <w:color w:val="000000"/>
          <w:sz w:val="22"/>
          <w:szCs w:val="22"/>
          <w:lang w:val="en-AU"/>
          <w14:ligatures w14:val="standardContextual"/>
        </w:rPr>
        <w:t>. Additionally, current projects (Advance2Equal, Fiji Enabling Investment Environment, and Fiji Sustainable Tourism and Investment projects</w:t>
      </w:r>
      <w:r w:rsidR="004D662D">
        <w:rPr>
          <w:rFonts w:ascii="Calibri" w:eastAsiaTheme="minorHAnsi" w:hAnsi="Calibri" w:cs="Calibri"/>
          <w:color w:val="000000"/>
          <w:sz w:val="22"/>
          <w:szCs w:val="22"/>
          <w:lang w:val="en-AU"/>
          <w14:ligatures w14:val="standardContextual"/>
        </w:rPr>
        <w:t>)</w:t>
      </w:r>
      <w:r w:rsidR="002039C8" w:rsidRPr="00A26E3C">
        <w:rPr>
          <w:rFonts w:ascii="Calibri" w:eastAsiaTheme="minorHAnsi" w:hAnsi="Calibri" w:cs="Calibri"/>
          <w:color w:val="000000"/>
          <w:sz w:val="22"/>
          <w:szCs w:val="22"/>
          <w:lang w:val="en-AU"/>
          <w14:ligatures w14:val="standardContextual"/>
        </w:rPr>
        <w:t xml:space="preserve"> have Fiji-based staff on the project teams.</w:t>
      </w:r>
    </w:p>
    <w:p w14:paraId="1B256EB6" w14:textId="051440C7" w:rsidR="00D62F56" w:rsidRDefault="00D62F56" w:rsidP="00A94191">
      <w:pPr>
        <w:spacing w:after="120"/>
        <w:jc w:val="both"/>
        <w:rPr>
          <w:rFonts w:ascii="Calibri" w:hAnsi="Calibri" w:cs="Calibri"/>
          <w:sz w:val="22"/>
          <w:szCs w:val="22"/>
          <w:lang w:val="en-AU"/>
        </w:rPr>
      </w:pPr>
      <w:r w:rsidRPr="00C723E0">
        <w:rPr>
          <w:rFonts w:ascii="Calibri" w:hAnsi="Calibri" w:cs="Calibri"/>
          <w:b/>
          <w:bCs/>
          <w:sz w:val="22"/>
          <w:szCs w:val="22"/>
          <w:lang w:val="en-AU"/>
        </w:rPr>
        <w:t>The current partnership remains relevant and appropriate</w:t>
      </w:r>
      <w:r w:rsidRPr="00C723E0">
        <w:rPr>
          <w:rFonts w:ascii="Calibri" w:hAnsi="Calibri" w:cs="Calibri"/>
          <w:sz w:val="22"/>
          <w:szCs w:val="22"/>
          <w:lang w:val="en-AU"/>
        </w:rPr>
        <w:t>. However</w:t>
      </w:r>
      <w:r w:rsidR="00DE58CB" w:rsidRPr="00C723E0">
        <w:rPr>
          <w:rFonts w:ascii="Calibri" w:hAnsi="Calibri" w:cs="Calibri"/>
          <w:sz w:val="22"/>
          <w:szCs w:val="22"/>
          <w:lang w:val="en-AU"/>
        </w:rPr>
        <w:t>,</w:t>
      </w:r>
      <w:r w:rsidRPr="00C723E0">
        <w:rPr>
          <w:rFonts w:ascii="Calibri" w:hAnsi="Calibri" w:cs="Calibri"/>
          <w:sz w:val="22"/>
          <w:szCs w:val="22"/>
          <w:lang w:val="en-AU"/>
        </w:rPr>
        <w:t xml:space="preserve"> </w:t>
      </w:r>
      <w:r w:rsidR="00540E64" w:rsidRPr="00C723E0">
        <w:rPr>
          <w:rFonts w:ascii="Calibri" w:hAnsi="Calibri" w:cs="Calibri"/>
          <w:sz w:val="22"/>
          <w:szCs w:val="22"/>
          <w:lang w:val="en-AU"/>
        </w:rPr>
        <w:t xml:space="preserve">DFAT </w:t>
      </w:r>
      <w:r w:rsidR="00332E18" w:rsidRPr="00C723E0">
        <w:rPr>
          <w:rFonts w:ascii="Calibri" w:hAnsi="Calibri" w:cs="Calibri"/>
          <w:sz w:val="22"/>
          <w:szCs w:val="22"/>
          <w:lang w:val="en-AU"/>
        </w:rPr>
        <w:t xml:space="preserve">can </w:t>
      </w:r>
      <w:r w:rsidRPr="00C723E0">
        <w:rPr>
          <w:rFonts w:ascii="Calibri" w:hAnsi="Calibri" w:cs="Calibri"/>
          <w:sz w:val="22"/>
          <w:szCs w:val="22"/>
          <w:lang w:val="en-AU"/>
        </w:rPr>
        <w:t>consider a broader partnership framework, expand implementation arrangement options</w:t>
      </w:r>
      <w:r w:rsidR="00DE58CB" w:rsidRPr="00C723E0">
        <w:rPr>
          <w:rFonts w:ascii="Calibri" w:hAnsi="Calibri" w:cs="Calibri"/>
          <w:sz w:val="22"/>
          <w:szCs w:val="22"/>
          <w:lang w:val="en-AU"/>
        </w:rPr>
        <w:t>, and</w:t>
      </w:r>
      <w:r w:rsidRPr="00C723E0">
        <w:rPr>
          <w:rFonts w:ascii="Calibri" w:hAnsi="Calibri" w:cs="Calibri"/>
          <w:sz w:val="22"/>
          <w:szCs w:val="22"/>
          <w:lang w:val="en-AU"/>
        </w:rPr>
        <w:t xml:space="preserve"> take a </w:t>
      </w:r>
      <w:r w:rsidR="00332E18" w:rsidRPr="00C723E0">
        <w:rPr>
          <w:rFonts w:ascii="Calibri" w:hAnsi="Calibri" w:cs="Calibri"/>
          <w:sz w:val="22"/>
          <w:szCs w:val="22"/>
          <w:lang w:val="en-AU"/>
        </w:rPr>
        <w:t>wi</w:t>
      </w:r>
      <w:r w:rsidRPr="00C723E0">
        <w:rPr>
          <w:rFonts w:ascii="Calibri" w:hAnsi="Calibri" w:cs="Calibri"/>
          <w:sz w:val="22"/>
          <w:szCs w:val="22"/>
          <w:lang w:val="en-AU"/>
        </w:rPr>
        <w:t xml:space="preserve">der approach to private sector engagement. </w:t>
      </w:r>
      <w:r w:rsidR="00DE58CB" w:rsidRPr="00C723E0">
        <w:rPr>
          <w:rFonts w:ascii="Calibri" w:hAnsi="Calibri" w:cs="Calibri"/>
          <w:sz w:val="22"/>
          <w:szCs w:val="22"/>
          <w:lang w:val="en-AU"/>
        </w:rPr>
        <w:t>T</w:t>
      </w:r>
      <w:r w:rsidRPr="00C723E0">
        <w:rPr>
          <w:rFonts w:ascii="Calibri" w:hAnsi="Calibri" w:cs="Calibri"/>
          <w:sz w:val="22"/>
          <w:szCs w:val="22"/>
          <w:lang w:val="en-AU"/>
        </w:rPr>
        <w:t xml:space="preserve">he </w:t>
      </w:r>
      <w:r w:rsidR="00540E64" w:rsidRPr="00C723E0">
        <w:rPr>
          <w:rFonts w:ascii="Calibri" w:hAnsi="Calibri" w:cs="Calibri"/>
          <w:sz w:val="22"/>
          <w:szCs w:val="22"/>
          <w:lang w:val="en-AU"/>
        </w:rPr>
        <w:t>s</w:t>
      </w:r>
      <w:r w:rsidRPr="00C723E0">
        <w:rPr>
          <w:rFonts w:ascii="Calibri" w:hAnsi="Calibri" w:cs="Calibri"/>
          <w:sz w:val="22"/>
          <w:szCs w:val="22"/>
          <w:lang w:val="en-AU"/>
        </w:rPr>
        <w:t>ustainability section of the report</w:t>
      </w:r>
      <w:r w:rsidR="00DE58CB" w:rsidRPr="00C723E0">
        <w:rPr>
          <w:rFonts w:ascii="Calibri" w:hAnsi="Calibri" w:cs="Calibri"/>
          <w:sz w:val="22"/>
          <w:szCs w:val="22"/>
          <w:lang w:val="en-AU"/>
        </w:rPr>
        <w:t xml:space="preserve"> includes further discussion, analysis, and proposed options</w:t>
      </w:r>
      <w:r w:rsidRPr="00C723E0">
        <w:rPr>
          <w:rFonts w:ascii="Calibri" w:hAnsi="Calibri" w:cs="Calibri"/>
          <w:sz w:val="22"/>
          <w:szCs w:val="22"/>
          <w:lang w:val="en-AU"/>
        </w:rPr>
        <w:t>.</w:t>
      </w:r>
    </w:p>
    <w:p w14:paraId="1D45CC6E" w14:textId="3CD15590" w:rsidR="008661C2" w:rsidRPr="00C723E0" w:rsidRDefault="00DF0A19" w:rsidP="00A94191">
      <w:pPr>
        <w:spacing w:after="120"/>
        <w:jc w:val="both"/>
        <w:rPr>
          <w:rFonts w:ascii="Calibri" w:hAnsi="Calibri" w:cs="Calibri"/>
          <w:sz w:val="22"/>
          <w:szCs w:val="22"/>
          <w:lang w:val="en-AU"/>
        </w:rPr>
      </w:pPr>
      <w:r>
        <w:rPr>
          <w:rFonts w:ascii="Calibri" w:hAnsi="Calibri" w:cs="Calibri"/>
          <w:sz w:val="22"/>
          <w:szCs w:val="22"/>
          <w:lang w:val="en-AU"/>
        </w:rPr>
        <w:t>C</w:t>
      </w:r>
      <w:r w:rsidR="008661C2">
        <w:rPr>
          <w:rFonts w:ascii="Calibri" w:hAnsi="Calibri" w:cs="Calibri"/>
          <w:sz w:val="22"/>
          <w:szCs w:val="22"/>
          <w:lang w:val="en-AU"/>
        </w:rPr>
        <w:t xml:space="preserve">onsidering the findings and evidence above, the evaluation assigns </w:t>
      </w:r>
      <w:r>
        <w:rPr>
          <w:rFonts w:ascii="Calibri" w:hAnsi="Calibri" w:cs="Calibri"/>
          <w:sz w:val="22"/>
          <w:szCs w:val="22"/>
          <w:lang w:val="en-AU"/>
        </w:rPr>
        <w:t xml:space="preserve">relevance and efficiency </w:t>
      </w:r>
      <w:r w:rsidR="008661C2">
        <w:rPr>
          <w:rFonts w:ascii="Calibri" w:hAnsi="Calibri" w:cs="Calibri"/>
          <w:sz w:val="22"/>
          <w:szCs w:val="22"/>
          <w:lang w:val="en-AU"/>
        </w:rPr>
        <w:t>a “highly satisfactory” rating.</w:t>
      </w:r>
    </w:p>
    <w:p w14:paraId="2CEB78C4" w14:textId="77777777" w:rsidR="008362E5" w:rsidRPr="00EB120F" w:rsidRDefault="008362E5" w:rsidP="00EB120F">
      <w:pPr>
        <w:pStyle w:val="Heading2"/>
      </w:pPr>
      <w:bookmarkStart w:id="35" w:name="_Toc201131773"/>
      <w:bookmarkStart w:id="36" w:name="_Toc206675823"/>
      <w:r w:rsidRPr="00EB120F">
        <w:t>Coherence</w:t>
      </w:r>
      <w:bookmarkEnd w:id="35"/>
      <w:bookmarkEnd w:id="36"/>
    </w:p>
    <w:p w14:paraId="6084D204" w14:textId="77777777" w:rsidR="008362E5" w:rsidRPr="00C723E0" w:rsidRDefault="008362E5" w:rsidP="008362E5">
      <w:pPr>
        <w:spacing w:after="120"/>
        <w:jc w:val="both"/>
        <w:rPr>
          <w:rFonts w:ascii="Calibri" w:hAnsi="Calibri" w:cs="Calibri"/>
          <w:sz w:val="22"/>
          <w:szCs w:val="22"/>
          <w:lang w:val="en-AU"/>
        </w:rPr>
      </w:pPr>
      <w:r w:rsidRPr="00C723E0">
        <w:rPr>
          <w:rFonts w:ascii="Calibri" w:hAnsi="Calibri" w:cs="Calibri"/>
          <w:color w:val="1F1F1F"/>
          <w:sz w:val="22"/>
          <w:szCs w:val="22"/>
          <w:shd w:val="clear" w:color="auto" w:fill="FFFFFF"/>
          <w:lang w:val="en-AU"/>
        </w:rPr>
        <w:t>Coherence </w:t>
      </w:r>
      <w:r w:rsidRPr="00C723E0">
        <w:rPr>
          <w:rFonts w:ascii="Calibri" w:hAnsi="Calibri" w:cs="Calibri"/>
          <w:sz w:val="22"/>
          <w:szCs w:val="22"/>
          <w:lang w:val="en-AU"/>
        </w:rPr>
        <w:t>evaluates how well an intervention fits within the broader context of other policies, actions, and initiatives within the same sector or cross-sectorally.</w:t>
      </w:r>
      <w:r w:rsidRPr="00C723E0">
        <w:rPr>
          <w:rStyle w:val="FootnoteReference"/>
          <w:rFonts w:ascii="Calibri" w:hAnsi="Calibri" w:cs="Calibri"/>
          <w:sz w:val="22"/>
          <w:szCs w:val="22"/>
          <w:lang w:val="en-AU"/>
        </w:rPr>
        <w:footnoteReference w:id="10"/>
      </w:r>
    </w:p>
    <w:p w14:paraId="6279C2FC" w14:textId="799CDB10" w:rsidR="008362E5" w:rsidRPr="00271484" w:rsidRDefault="008362E5" w:rsidP="008362E5">
      <w:pPr>
        <w:spacing w:after="120"/>
        <w:jc w:val="both"/>
        <w:rPr>
          <w:rFonts w:ascii="Calibri" w:hAnsi="Calibri" w:cs="Calibri"/>
          <w:b/>
          <w:bCs/>
          <w:i/>
          <w:iCs/>
          <w:color w:val="000000" w:themeColor="text1"/>
          <w:u w:val="single"/>
          <w:lang w:val="en-AU"/>
        </w:rPr>
      </w:pPr>
      <w:r w:rsidRPr="00271484">
        <w:rPr>
          <w:rFonts w:ascii="Calibri" w:hAnsi="Calibri" w:cs="Calibri"/>
          <w:b/>
          <w:bCs/>
          <w:i/>
          <w:iCs/>
          <w:color w:val="000000" w:themeColor="text1"/>
          <w:u w:val="single"/>
          <w:lang w:val="en-AU"/>
        </w:rPr>
        <w:t>KEQ 2: To what extent did the FPSDP and its interventions complement (and collaborate with) other private sector development work being undertaken in Fiji?</w:t>
      </w:r>
    </w:p>
    <w:p w14:paraId="743A2E16" w14:textId="6418E082" w:rsidR="008362E5" w:rsidRPr="00C723E0" w:rsidRDefault="008362E5" w:rsidP="008362E5">
      <w:pPr>
        <w:spacing w:after="120"/>
        <w:jc w:val="both"/>
        <w:rPr>
          <w:rFonts w:ascii="Calibri" w:hAnsi="Calibri" w:cs="Calibri"/>
          <w:color w:val="000000"/>
          <w:sz w:val="22"/>
          <w:szCs w:val="22"/>
          <w:lang w:val="en-AU"/>
        </w:rPr>
      </w:pPr>
      <w:r w:rsidRPr="00C723E0">
        <w:rPr>
          <w:rFonts w:ascii="Calibri" w:hAnsi="Calibri" w:cs="Calibri"/>
          <w:b/>
          <w:bCs/>
          <w:color w:val="000000"/>
          <w:sz w:val="22"/>
          <w:szCs w:val="22"/>
          <w:lang w:val="en-AU"/>
        </w:rPr>
        <w:t xml:space="preserve">The FPSDP is a tightly focused, structured program that aligns </w:t>
      </w:r>
      <w:r w:rsidR="006D5DEF" w:rsidRPr="00C723E0">
        <w:rPr>
          <w:rFonts w:ascii="Calibri" w:hAnsi="Calibri" w:cs="Calibri"/>
          <w:b/>
          <w:bCs/>
          <w:color w:val="000000"/>
          <w:sz w:val="22"/>
          <w:szCs w:val="22"/>
          <w:lang w:val="en-AU"/>
        </w:rPr>
        <w:t xml:space="preserve">with </w:t>
      </w:r>
      <w:r w:rsidRPr="00C723E0">
        <w:rPr>
          <w:rFonts w:ascii="Calibri" w:hAnsi="Calibri" w:cs="Calibri"/>
          <w:b/>
          <w:bCs/>
          <w:color w:val="000000"/>
          <w:sz w:val="22"/>
          <w:szCs w:val="22"/>
          <w:lang w:val="en-AU"/>
        </w:rPr>
        <w:t xml:space="preserve">and supports DFAT's broader mandate </w:t>
      </w:r>
      <w:r w:rsidR="006D5DEF" w:rsidRPr="00C723E0">
        <w:rPr>
          <w:rFonts w:ascii="Calibri" w:hAnsi="Calibri" w:cs="Calibri"/>
          <w:b/>
          <w:bCs/>
          <w:color w:val="000000"/>
          <w:sz w:val="22"/>
          <w:szCs w:val="22"/>
          <w:lang w:val="en-AU"/>
        </w:rPr>
        <w:t>to support</w:t>
      </w:r>
      <w:r w:rsidR="00540E64" w:rsidRPr="00C723E0">
        <w:rPr>
          <w:rFonts w:ascii="Calibri" w:hAnsi="Calibri" w:cs="Calibri"/>
          <w:b/>
          <w:bCs/>
          <w:color w:val="000000"/>
          <w:sz w:val="22"/>
          <w:szCs w:val="22"/>
          <w:lang w:val="en-AU"/>
        </w:rPr>
        <w:t xml:space="preserve"> Fiji</w:t>
      </w:r>
      <w:r w:rsidRPr="00C723E0">
        <w:rPr>
          <w:rFonts w:ascii="Calibri" w:hAnsi="Calibri" w:cs="Calibri"/>
          <w:color w:val="000000"/>
          <w:sz w:val="22"/>
          <w:szCs w:val="22"/>
          <w:lang w:val="en-AU"/>
        </w:rPr>
        <w:t>. As the relevance section indicates, the program is well</w:t>
      </w:r>
      <w:r w:rsidR="00332E18" w:rsidRPr="00C723E0">
        <w:rPr>
          <w:rFonts w:ascii="Calibri" w:hAnsi="Calibri" w:cs="Calibri"/>
          <w:color w:val="000000"/>
          <w:sz w:val="22"/>
          <w:szCs w:val="22"/>
          <w:lang w:val="en-AU"/>
        </w:rPr>
        <w:t>-</w:t>
      </w:r>
      <w:r w:rsidRPr="00C723E0">
        <w:rPr>
          <w:rFonts w:ascii="Calibri" w:hAnsi="Calibri" w:cs="Calibri"/>
          <w:color w:val="000000"/>
          <w:sz w:val="22"/>
          <w:szCs w:val="22"/>
          <w:lang w:val="en-AU"/>
        </w:rPr>
        <w:t>positioned to support broad policy and strategic objectives and approaches for the Go</w:t>
      </w:r>
      <w:r w:rsidR="00332E18" w:rsidRPr="00C723E0">
        <w:rPr>
          <w:rFonts w:ascii="Calibri" w:hAnsi="Calibri" w:cs="Calibri"/>
          <w:color w:val="000000"/>
          <w:sz w:val="22"/>
          <w:szCs w:val="22"/>
          <w:lang w:val="en-AU"/>
        </w:rPr>
        <w:t>F</w:t>
      </w:r>
      <w:r w:rsidRPr="00C723E0">
        <w:rPr>
          <w:rFonts w:ascii="Calibri" w:hAnsi="Calibri" w:cs="Calibri"/>
          <w:color w:val="000000"/>
          <w:sz w:val="22"/>
          <w:szCs w:val="22"/>
          <w:lang w:val="en-AU"/>
        </w:rPr>
        <w:t xml:space="preserve"> and Go</w:t>
      </w:r>
      <w:r w:rsidR="00332E18" w:rsidRPr="00C723E0">
        <w:rPr>
          <w:rFonts w:ascii="Calibri" w:hAnsi="Calibri" w:cs="Calibri"/>
          <w:color w:val="000000"/>
          <w:sz w:val="22"/>
          <w:szCs w:val="22"/>
          <w:lang w:val="en-AU"/>
        </w:rPr>
        <w:t>A</w:t>
      </w:r>
      <w:r w:rsidRPr="00C723E0">
        <w:rPr>
          <w:rFonts w:ascii="Calibri" w:hAnsi="Calibri" w:cs="Calibri"/>
          <w:color w:val="000000"/>
          <w:sz w:val="22"/>
          <w:szCs w:val="22"/>
          <w:lang w:val="en-AU"/>
        </w:rPr>
        <w:t>.</w:t>
      </w:r>
    </w:p>
    <w:p w14:paraId="7706FB73" w14:textId="35BD06B6" w:rsidR="008362E5" w:rsidRPr="00C723E0" w:rsidRDefault="008362E5" w:rsidP="008362E5">
      <w:pPr>
        <w:spacing w:after="120"/>
        <w:jc w:val="both"/>
        <w:rPr>
          <w:rFonts w:ascii="Calibri" w:hAnsi="Calibri" w:cs="Calibri"/>
          <w:color w:val="000000"/>
          <w:sz w:val="22"/>
          <w:szCs w:val="22"/>
          <w:lang w:val="en-AU"/>
        </w:rPr>
      </w:pPr>
      <w:r w:rsidRPr="00C723E0">
        <w:rPr>
          <w:rFonts w:ascii="Calibri" w:hAnsi="Calibri" w:cs="Calibri"/>
          <w:b/>
          <w:bCs/>
          <w:color w:val="000000"/>
          <w:sz w:val="22"/>
          <w:szCs w:val="22"/>
          <w:lang w:val="en-AU"/>
        </w:rPr>
        <w:t>The program's focus on "firm-</w:t>
      </w:r>
      <w:r w:rsidRPr="00C723E0">
        <w:rPr>
          <w:rFonts w:ascii="Calibri" w:hAnsi="Calibri" w:cs="Calibri"/>
          <w:b/>
          <w:bCs/>
          <w:i/>
          <w:iCs/>
          <w:color w:val="000000"/>
          <w:sz w:val="22"/>
          <w:szCs w:val="22"/>
          <w:lang w:val="en-AU"/>
        </w:rPr>
        <w:t>level</w:t>
      </w:r>
      <w:r w:rsidRPr="00C723E0">
        <w:rPr>
          <w:rStyle w:val="FootnoteReference"/>
          <w:rFonts w:ascii="Calibri" w:hAnsi="Calibri" w:cs="Calibri"/>
          <w:b/>
          <w:bCs/>
          <w:i/>
          <w:iCs/>
          <w:color w:val="000000"/>
          <w:sz w:val="22"/>
          <w:szCs w:val="22"/>
          <w:lang w:val="en-AU"/>
        </w:rPr>
        <w:footnoteReference w:id="11"/>
      </w:r>
      <w:r w:rsidRPr="00C723E0">
        <w:rPr>
          <w:rFonts w:ascii="Calibri" w:hAnsi="Calibri" w:cs="Calibri"/>
          <w:b/>
          <w:bCs/>
          <w:i/>
          <w:iCs/>
          <w:color w:val="000000"/>
          <w:sz w:val="22"/>
          <w:szCs w:val="22"/>
          <w:lang w:val="en-AU"/>
        </w:rPr>
        <w:t xml:space="preserve">” </w:t>
      </w:r>
      <w:r w:rsidRPr="00C723E0">
        <w:rPr>
          <w:rFonts w:ascii="Calibri" w:hAnsi="Calibri" w:cs="Calibri"/>
          <w:b/>
          <w:bCs/>
          <w:color w:val="000000"/>
          <w:sz w:val="22"/>
          <w:szCs w:val="22"/>
          <w:lang w:val="en-AU"/>
        </w:rPr>
        <w:t>support provides strategic advantages for IFC and DFAT.</w:t>
      </w:r>
      <w:r w:rsidRPr="00C723E0">
        <w:rPr>
          <w:rFonts w:ascii="Calibri" w:hAnsi="Calibri" w:cs="Calibri"/>
          <w:color w:val="000000"/>
          <w:sz w:val="22"/>
          <w:szCs w:val="22"/>
          <w:lang w:val="en-AU"/>
        </w:rPr>
        <w:t xml:space="preserve"> Given DFAT's </w:t>
      </w:r>
      <w:r w:rsidR="00540E64" w:rsidRPr="00C723E0">
        <w:rPr>
          <w:rFonts w:ascii="Calibri" w:hAnsi="Calibri" w:cs="Calibri"/>
          <w:color w:val="000000"/>
          <w:sz w:val="22"/>
          <w:szCs w:val="22"/>
          <w:lang w:val="en-AU"/>
        </w:rPr>
        <w:t>extensiv</w:t>
      </w:r>
      <w:r w:rsidRPr="00C723E0">
        <w:rPr>
          <w:rFonts w:ascii="Calibri" w:hAnsi="Calibri" w:cs="Calibri"/>
          <w:color w:val="000000"/>
          <w:sz w:val="22"/>
          <w:szCs w:val="22"/>
          <w:lang w:val="en-AU"/>
        </w:rPr>
        <w:t xml:space="preserve">e portfolio of support, both bilaterally and through multilateral partnerships, the focus of IFC support on firms is </w:t>
      </w:r>
      <w:r w:rsidR="00332E18" w:rsidRPr="00C723E0">
        <w:rPr>
          <w:rFonts w:ascii="Calibri" w:hAnsi="Calibri" w:cs="Calibri"/>
          <w:color w:val="000000"/>
          <w:sz w:val="22"/>
          <w:szCs w:val="22"/>
          <w:lang w:val="en-AU"/>
        </w:rPr>
        <w:t>essential</w:t>
      </w:r>
      <w:r w:rsidRPr="00C723E0">
        <w:rPr>
          <w:rFonts w:ascii="Calibri" w:hAnsi="Calibri" w:cs="Calibri"/>
          <w:color w:val="000000"/>
          <w:sz w:val="22"/>
          <w:szCs w:val="22"/>
          <w:lang w:val="en-AU"/>
        </w:rPr>
        <w:t xml:space="preserve">. The focus at this level underpins IFC’s strategic and technical advantage </w:t>
      </w:r>
      <w:r w:rsidR="000C115B" w:rsidRPr="00C723E0">
        <w:rPr>
          <w:rFonts w:ascii="Calibri" w:hAnsi="Calibri" w:cs="Calibri"/>
          <w:color w:val="000000"/>
          <w:sz w:val="22"/>
          <w:szCs w:val="22"/>
          <w:lang w:val="en-AU"/>
        </w:rPr>
        <w:t>and provides opportunities and linkages</w:t>
      </w:r>
      <w:r w:rsidRPr="00C723E0">
        <w:rPr>
          <w:rFonts w:ascii="Calibri" w:hAnsi="Calibri" w:cs="Calibri"/>
          <w:color w:val="000000"/>
          <w:sz w:val="22"/>
          <w:szCs w:val="22"/>
          <w:lang w:val="en-AU"/>
        </w:rPr>
        <w:t xml:space="preserve"> with other interventions.</w:t>
      </w:r>
      <w:r w:rsidR="000C115B" w:rsidRPr="00C723E0">
        <w:rPr>
          <w:rFonts w:ascii="Calibri" w:hAnsi="Calibri" w:cs="Calibri"/>
          <w:color w:val="000000"/>
          <w:sz w:val="22"/>
          <w:szCs w:val="22"/>
          <w:lang w:val="en-AU"/>
        </w:rPr>
        <w:t xml:space="preserve"> For example, the DFAT funded MDF (see below) also works at firm -level through co-investment models with private sector organisations and businesses and SMEs. The differentiation is that IFC tends to work with larger companies and private sector businesses. </w:t>
      </w:r>
      <w:r w:rsidR="00332E18" w:rsidRPr="00C723E0">
        <w:rPr>
          <w:rFonts w:ascii="Calibri" w:hAnsi="Calibri" w:cs="Calibri"/>
          <w:color w:val="000000"/>
          <w:sz w:val="22"/>
          <w:szCs w:val="22"/>
          <w:lang w:val="en-AU"/>
        </w:rPr>
        <w:t xml:space="preserve"> </w:t>
      </w:r>
    </w:p>
    <w:p w14:paraId="61E9558C" w14:textId="039FA219" w:rsidR="008362E5" w:rsidRPr="00C723E0" w:rsidRDefault="008362E5" w:rsidP="008362E5">
      <w:pPr>
        <w:spacing w:after="120"/>
        <w:jc w:val="both"/>
        <w:rPr>
          <w:rFonts w:ascii="Calibri" w:hAnsi="Calibri" w:cs="Calibri"/>
          <w:color w:val="000000"/>
          <w:sz w:val="22"/>
          <w:szCs w:val="22"/>
          <w:lang w:val="en-AU"/>
        </w:rPr>
      </w:pPr>
      <w:r w:rsidRPr="00C723E0">
        <w:rPr>
          <w:rFonts w:ascii="Calibri" w:hAnsi="Calibri" w:cs="Calibri"/>
          <w:b/>
          <w:bCs/>
          <w:color w:val="000000"/>
          <w:sz w:val="22"/>
          <w:szCs w:val="22"/>
          <w:lang w:val="en-AU"/>
        </w:rPr>
        <w:t>The DFAT-funded Market Development Facility (MDF)</w:t>
      </w:r>
      <w:r w:rsidRPr="00C723E0">
        <w:rPr>
          <w:rStyle w:val="FootnoteReference"/>
          <w:rFonts w:ascii="Calibri" w:hAnsi="Calibri" w:cs="Calibri"/>
          <w:b/>
          <w:bCs/>
          <w:color w:val="000000"/>
          <w:sz w:val="22"/>
          <w:szCs w:val="22"/>
          <w:lang w:val="en-AU"/>
        </w:rPr>
        <w:footnoteReference w:id="12"/>
      </w:r>
      <w:r w:rsidRPr="00C723E0">
        <w:rPr>
          <w:rFonts w:ascii="Calibri" w:hAnsi="Calibri" w:cs="Calibri"/>
          <w:b/>
          <w:bCs/>
          <w:color w:val="000000"/>
          <w:sz w:val="22"/>
          <w:szCs w:val="22"/>
          <w:lang w:val="en-AU"/>
        </w:rPr>
        <w:t xml:space="preserve"> is</w:t>
      </w:r>
      <w:r w:rsidR="00FC20AE">
        <w:rPr>
          <w:rFonts w:ascii="Calibri" w:hAnsi="Calibri" w:cs="Calibri"/>
          <w:b/>
          <w:bCs/>
          <w:color w:val="000000"/>
          <w:sz w:val="22"/>
          <w:szCs w:val="22"/>
          <w:lang w:val="en-AU"/>
        </w:rPr>
        <w:t xml:space="preserve"> a longstanding</w:t>
      </w:r>
      <w:r w:rsidRPr="00C723E0">
        <w:rPr>
          <w:rFonts w:ascii="Calibri" w:hAnsi="Calibri" w:cs="Calibri"/>
          <w:b/>
          <w:bCs/>
          <w:color w:val="000000"/>
          <w:sz w:val="22"/>
          <w:szCs w:val="22"/>
          <w:lang w:val="en-AU"/>
        </w:rPr>
        <w:t xml:space="preserve"> DFAT investment in supporting </w:t>
      </w:r>
      <w:r w:rsidRPr="00C723E0">
        <w:rPr>
          <w:rFonts w:ascii="Calibri" w:hAnsi="Calibri" w:cs="Calibri"/>
          <w:b/>
          <w:bCs/>
          <w:color w:val="000000" w:themeColor="text1"/>
          <w:sz w:val="22"/>
          <w:szCs w:val="22"/>
          <w:lang w:val="en-AU"/>
        </w:rPr>
        <w:t>private markets and community-level support</w:t>
      </w:r>
      <w:r w:rsidRPr="00C723E0">
        <w:rPr>
          <w:rFonts w:ascii="Calibri" w:hAnsi="Calibri" w:cs="Calibri"/>
          <w:color w:val="000000" w:themeColor="text1"/>
          <w:sz w:val="22"/>
          <w:szCs w:val="22"/>
          <w:lang w:val="en-AU"/>
        </w:rPr>
        <w:t xml:space="preserve">. MDF Fiji works in the key sectors of agriculture and tourism, as well as in the emerging outsourcing services sector, to facilitate growth, improve competitiveness, and increase the economic resilience of vulnerable groups. The FPSDP and the MDF offer a complementary approach that provides direct and tangible assistance at both the community and firm </w:t>
      </w:r>
      <w:r w:rsidRPr="00C723E0">
        <w:rPr>
          <w:rFonts w:ascii="Calibri" w:hAnsi="Calibri" w:cs="Calibri"/>
          <w:color w:val="000000" w:themeColor="text1"/>
          <w:sz w:val="22"/>
          <w:szCs w:val="22"/>
          <w:lang w:val="en-AU"/>
        </w:rPr>
        <w:lastRenderedPageBreak/>
        <w:t>level while also seeking to influence the broader enabling environment. Anecdotal evidence indicates that both the FPSDP and the MDF liaise closely on shared approaches and seek to promote synergies that may exist through close collaboration, engagement and information sharing.</w:t>
      </w:r>
    </w:p>
    <w:p w14:paraId="4F83D5EB" w14:textId="191744E1" w:rsidR="008362E5" w:rsidRPr="00C723E0" w:rsidRDefault="008362E5" w:rsidP="008362E5">
      <w:pPr>
        <w:spacing w:after="120"/>
        <w:jc w:val="both"/>
        <w:rPr>
          <w:rFonts w:ascii="Calibri" w:hAnsi="Calibri" w:cs="Calibri"/>
          <w:sz w:val="22"/>
          <w:szCs w:val="22"/>
          <w:lang w:val="en-AU"/>
        </w:rPr>
      </w:pPr>
      <w:r w:rsidRPr="00C723E0">
        <w:rPr>
          <w:rFonts w:ascii="Calibri" w:hAnsi="Calibri" w:cs="Calibri"/>
          <w:b/>
          <w:bCs/>
          <w:sz w:val="22"/>
          <w:szCs w:val="22"/>
          <w:lang w:val="en-AU"/>
        </w:rPr>
        <w:t xml:space="preserve">The </w:t>
      </w:r>
      <w:r w:rsidR="00332E18" w:rsidRPr="00C723E0">
        <w:rPr>
          <w:rFonts w:ascii="Calibri" w:hAnsi="Calibri" w:cs="Calibri"/>
          <w:b/>
          <w:bCs/>
          <w:sz w:val="22"/>
          <w:szCs w:val="22"/>
          <w:lang w:val="en-AU"/>
        </w:rPr>
        <w:t xml:space="preserve">FPSDP </w:t>
      </w:r>
      <w:r w:rsidRPr="00C723E0">
        <w:rPr>
          <w:rFonts w:ascii="Calibri" w:hAnsi="Calibri" w:cs="Calibri"/>
          <w:b/>
          <w:bCs/>
          <w:sz w:val="22"/>
          <w:szCs w:val="22"/>
          <w:lang w:val="en-AU"/>
        </w:rPr>
        <w:t>program also complements broader WBG work in Fiji</w:t>
      </w:r>
      <w:r w:rsidRPr="00C723E0">
        <w:rPr>
          <w:rFonts w:ascii="Calibri" w:hAnsi="Calibri" w:cs="Calibri"/>
          <w:sz w:val="22"/>
          <w:szCs w:val="22"/>
          <w:lang w:val="en-AU"/>
        </w:rPr>
        <w:t>. This is most evident with the WBG shifting to a “One World Bank” approach, whereby different organisations under the WBG (IFC included) are represented by a single leadership and management group. This approach helps streamline management engagement and provides a unified approach to engagement with both the GoF and DFAT.</w:t>
      </w:r>
      <w:r w:rsidR="000C115B" w:rsidRPr="00C723E0">
        <w:rPr>
          <w:rFonts w:ascii="Calibri" w:hAnsi="Calibri" w:cs="Calibri"/>
          <w:sz w:val="22"/>
          <w:szCs w:val="22"/>
          <w:lang w:val="en-AU"/>
        </w:rPr>
        <w:t xml:space="preserve"> In addition, it </w:t>
      </w:r>
      <w:r w:rsidR="000C115B" w:rsidRPr="00A26E3C">
        <w:rPr>
          <w:rFonts w:ascii="Calibri" w:eastAsiaTheme="minorHAnsi" w:hAnsi="Calibri" w:cs="Calibri"/>
          <w:color w:val="000000"/>
          <w:sz w:val="22"/>
          <w:szCs w:val="22"/>
          <w:lang w:val="en-AU"/>
          <w14:ligatures w14:val="standardContextual"/>
        </w:rPr>
        <w:t>also enhances the opportunity to approach development challenges by more effectively utilising the instruments of both the World Bank and the IFC.</w:t>
      </w:r>
    </w:p>
    <w:p w14:paraId="0FB26E18" w14:textId="13D28C65" w:rsidR="008362E5" w:rsidRPr="00C723E0" w:rsidRDefault="008362E5" w:rsidP="008362E5">
      <w:pPr>
        <w:spacing w:after="120"/>
        <w:jc w:val="both"/>
        <w:rPr>
          <w:rFonts w:ascii="Calibri" w:hAnsi="Calibri" w:cs="Calibri"/>
          <w:sz w:val="22"/>
          <w:szCs w:val="22"/>
          <w:lang w:val="en-AU"/>
        </w:rPr>
      </w:pPr>
      <w:r w:rsidRPr="00C723E0">
        <w:rPr>
          <w:rFonts w:ascii="Calibri" w:hAnsi="Calibri" w:cs="Calibri"/>
          <w:b/>
          <w:bCs/>
          <w:sz w:val="22"/>
          <w:szCs w:val="22"/>
          <w:lang w:val="en-AU"/>
        </w:rPr>
        <w:t>Externally, the program also aligns with DFAT’s other regional investments, such as the Private Sector Development Initiative (PDSI)</w:t>
      </w:r>
      <w:r w:rsidRPr="00C723E0">
        <w:rPr>
          <w:rFonts w:ascii="Calibri" w:hAnsi="Calibri" w:cs="Calibri"/>
          <w:sz w:val="22"/>
          <w:szCs w:val="22"/>
          <w:lang w:val="en-AU"/>
        </w:rPr>
        <w:t xml:space="preserve">. </w:t>
      </w:r>
      <w:r w:rsidR="0010305B" w:rsidRPr="00C723E0">
        <w:rPr>
          <w:rFonts w:ascii="Calibri" w:hAnsi="Calibri" w:cs="Calibri"/>
          <w:sz w:val="22"/>
          <w:szCs w:val="22"/>
          <w:lang w:val="en-AU"/>
        </w:rPr>
        <w:t>B</w:t>
      </w:r>
      <w:r w:rsidRPr="00C723E0">
        <w:rPr>
          <w:rFonts w:ascii="Calibri" w:hAnsi="Calibri" w:cs="Calibri"/>
          <w:sz w:val="22"/>
          <w:szCs w:val="22"/>
          <w:lang w:val="en-AU"/>
        </w:rPr>
        <w:t xml:space="preserve">oth investments tend to work </w:t>
      </w:r>
      <w:r w:rsidR="0010305B" w:rsidRPr="00C723E0">
        <w:rPr>
          <w:rFonts w:ascii="Calibri" w:hAnsi="Calibri" w:cs="Calibri"/>
          <w:sz w:val="22"/>
          <w:szCs w:val="22"/>
          <w:lang w:val="en-AU"/>
        </w:rPr>
        <w:t>alongside each other in similar sectors</w:t>
      </w:r>
      <w:r w:rsidRPr="00C723E0">
        <w:rPr>
          <w:rFonts w:ascii="Calibri" w:hAnsi="Calibri" w:cs="Calibri"/>
          <w:sz w:val="22"/>
          <w:szCs w:val="22"/>
          <w:lang w:val="en-AU"/>
        </w:rPr>
        <w:t xml:space="preserve">, </w:t>
      </w:r>
      <w:r w:rsidR="0010305B" w:rsidRPr="00C723E0">
        <w:rPr>
          <w:rFonts w:ascii="Calibri" w:hAnsi="Calibri" w:cs="Calibri"/>
          <w:sz w:val="22"/>
          <w:szCs w:val="22"/>
          <w:lang w:val="en-AU"/>
        </w:rPr>
        <w:t xml:space="preserve">with </w:t>
      </w:r>
      <w:r w:rsidRPr="00C723E0">
        <w:rPr>
          <w:rFonts w:ascii="Calibri" w:hAnsi="Calibri" w:cs="Calibri"/>
          <w:sz w:val="22"/>
          <w:szCs w:val="22"/>
          <w:lang w:val="en-AU"/>
        </w:rPr>
        <w:t xml:space="preserve">close collaboration, particularly around the work related </w:t>
      </w:r>
      <w:r w:rsidR="00D643FF" w:rsidRPr="00C723E0">
        <w:rPr>
          <w:rFonts w:ascii="Calibri" w:hAnsi="Calibri" w:cs="Calibri"/>
          <w:sz w:val="22"/>
          <w:szCs w:val="22"/>
          <w:lang w:val="en-AU"/>
        </w:rPr>
        <w:t>to</w:t>
      </w:r>
      <w:r w:rsidRPr="00C723E0">
        <w:rPr>
          <w:rFonts w:ascii="Calibri" w:hAnsi="Calibri" w:cs="Calibri"/>
          <w:sz w:val="22"/>
          <w:szCs w:val="22"/>
          <w:lang w:val="en-AU"/>
        </w:rPr>
        <w:t xml:space="preserve"> sustainable tourism and gender. Interviews with PSDI colleagues indicated that representees often sat on steering and reference committees to provide critical feedback on FPSDP support. PSDI also </w:t>
      </w:r>
      <w:r w:rsidR="00D643FF" w:rsidRPr="00C723E0">
        <w:rPr>
          <w:rFonts w:ascii="Calibri" w:hAnsi="Calibri" w:cs="Calibri"/>
          <w:sz w:val="22"/>
          <w:szCs w:val="22"/>
          <w:lang w:val="en-AU"/>
        </w:rPr>
        <w:t>show</w:t>
      </w:r>
      <w:r w:rsidRPr="00C723E0">
        <w:rPr>
          <w:rFonts w:ascii="Calibri" w:hAnsi="Calibri" w:cs="Calibri"/>
          <w:sz w:val="22"/>
          <w:szCs w:val="22"/>
          <w:lang w:val="en-AU"/>
        </w:rPr>
        <w:t>ed that some FPDSP technical support, research and deliverables have been utilised to inform PSDI approaches, particularly regarding the sustainable tourism framework and associated Tourism Law.</w:t>
      </w:r>
      <w:r w:rsidR="00C27CAF" w:rsidRPr="00C723E0">
        <w:rPr>
          <w:rFonts w:ascii="Calibri" w:hAnsi="Calibri" w:cs="Calibri"/>
          <w:sz w:val="22"/>
          <w:szCs w:val="22"/>
          <w:lang w:val="en-AU"/>
        </w:rPr>
        <w:t xml:space="preserve"> A key finding from engagement with PSDI </w:t>
      </w:r>
      <w:r w:rsidR="00C27CAF" w:rsidRPr="00DF0A19">
        <w:rPr>
          <w:rFonts w:ascii="Calibri" w:hAnsi="Calibri" w:cs="Calibri"/>
          <w:sz w:val="22"/>
          <w:szCs w:val="22"/>
          <w:lang w:val="en-AU"/>
        </w:rPr>
        <w:t>is the ability to share information and promote coordinated approaches to private sector engagement. Private sector engagement and support require a long time horizon for support and engagement. With DFAT as a central coordinating mechanism</w:t>
      </w:r>
      <w:r w:rsidR="0010305B" w:rsidRPr="00DF0A19">
        <w:rPr>
          <w:rFonts w:ascii="Calibri" w:hAnsi="Calibri" w:cs="Calibri"/>
          <w:sz w:val="22"/>
          <w:szCs w:val="22"/>
          <w:lang w:val="en-AU"/>
        </w:rPr>
        <w:t xml:space="preserve"> (with Suva Post managing FPSDP and DFAT Canberra managing PSDI)</w:t>
      </w:r>
      <w:r w:rsidR="00C27CAF" w:rsidRPr="00DF0A19">
        <w:rPr>
          <w:rFonts w:ascii="Calibri" w:hAnsi="Calibri" w:cs="Calibri"/>
          <w:sz w:val="22"/>
          <w:szCs w:val="22"/>
          <w:lang w:val="en-AU"/>
        </w:rPr>
        <w:t>, there is scope to ensure more detailed</w:t>
      </w:r>
      <w:r w:rsidR="0010305B" w:rsidRPr="00DF0A19">
        <w:rPr>
          <w:rFonts w:ascii="Calibri" w:hAnsi="Calibri" w:cs="Calibri"/>
          <w:sz w:val="22"/>
          <w:szCs w:val="22"/>
          <w:lang w:val="en-AU"/>
        </w:rPr>
        <w:t xml:space="preserve"> coordination to support the</w:t>
      </w:r>
      <w:r w:rsidR="00C27CAF" w:rsidRPr="00DF0A19">
        <w:rPr>
          <w:rFonts w:ascii="Calibri" w:hAnsi="Calibri" w:cs="Calibri"/>
          <w:sz w:val="22"/>
          <w:szCs w:val="22"/>
          <w:lang w:val="en-AU"/>
        </w:rPr>
        <w:t xml:space="preserve"> sequencing of efforts that approaches are aligned, do not conflict and are focused on shared outcomes and results</w:t>
      </w:r>
      <w:r w:rsidR="0010305B" w:rsidRPr="00DF0A19">
        <w:rPr>
          <w:rFonts w:ascii="Calibri" w:hAnsi="Calibri" w:cs="Calibri"/>
          <w:sz w:val="22"/>
          <w:szCs w:val="22"/>
          <w:lang w:val="en-AU"/>
        </w:rPr>
        <w:t xml:space="preserve"> and also align with national priorities of the GoF</w:t>
      </w:r>
      <w:r w:rsidR="00C27CAF" w:rsidRPr="00DF0A19">
        <w:rPr>
          <w:rFonts w:ascii="Calibri" w:hAnsi="Calibri" w:cs="Calibri"/>
          <w:sz w:val="22"/>
          <w:szCs w:val="22"/>
          <w:lang w:val="en-AU"/>
        </w:rPr>
        <w:t>.</w:t>
      </w:r>
    </w:p>
    <w:p w14:paraId="4B363A67" w14:textId="4F5A49AB" w:rsidR="008362E5" w:rsidRPr="00C723E0" w:rsidRDefault="008362E5" w:rsidP="00332E18">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hAnsi="Calibri" w:cs="Calibri"/>
          <w:b/>
          <w:bCs/>
          <w:sz w:val="22"/>
          <w:szCs w:val="22"/>
          <w:lang w:val="en-AU"/>
        </w:rPr>
        <w:t>The FPSDP has also committed itself to raising visibility and awareness</w:t>
      </w:r>
      <w:r w:rsidR="00D643FF" w:rsidRPr="00C723E0">
        <w:rPr>
          <w:rFonts w:ascii="Calibri" w:hAnsi="Calibri" w:cs="Calibri"/>
          <w:b/>
          <w:bCs/>
          <w:sz w:val="22"/>
          <w:szCs w:val="22"/>
          <w:lang w:val="en-AU"/>
        </w:rPr>
        <w:t>,</w:t>
      </w:r>
      <w:r w:rsidRPr="00C723E0">
        <w:rPr>
          <w:rFonts w:ascii="Calibri" w:hAnsi="Calibri" w:cs="Calibri"/>
          <w:b/>
          <w:bCs/>
          <w:sz w:val="22"/>
          <w:szCs w:val="22"/>
          <w:lang w:val="en-AU"/>
        </w:rPr>
        <w:t xml:space="preserve"> </w:t>
      </w:r>
      <w:r w:rsidR="006D5DEF" w:rsidRPr="00C723E0">
        <w:rPr>
          <w:rFonts w:ascii="Calibri" w:hAnsi="Calibri" w:cs="Calibri"/>
          <w:b/>
          <w:bCs/>
          <w:sz w:val="22"/>
          <w:szCs w:val="22"/>
          <w:lang w:val="en-AU"/>
        </w:rPr>
        <w:t>leading to</w:t>
      </w:r>
      <w:r w:rsidRPr="00C723E0">
        <w:rPr>
          <w:rFonts w:ascii="Calibri" w:hAnsi="Calibri" w:cs="Calibri"/>
          <w:b/>
          <w:bCs/>
          <w:sz w:val="22"/>
          <w:szCs w:val="22"/>
          <w:lang w:val="en-AU"/>
        </w:rPr>
        <w:t xml:space="preserve"> greater coherence and collaboration</w:t>
      </w:r>
      <w:r w:rsidR="006D5DEF" w:rsidRPr="00C723E0">
        <w:rPr>
          <w:rFonts w:ascii="Calibri" w:hAnsi="Calibri" w:cs="Calibri"/>
          <w:b/>
          <w:bCs/>
          <w:sz w:val="22"/>
          <w:szCs w:val="22"/>
          <w:lang w:val="en-AU"/>
        </w:rPr>
        <w:t xml:space="preserve"> opportunities</w:t>
      </w:r>
      <w:r w:rsidRPr="00C723E0">
        <w:rPr>
          <w:rFonts w:ascii="Calibri" w:hAnsi="Calibri" w:cs="Calibri"/>
          <w:b/>
          <w:bCs/>
          <w:sz w:val="22"/>
          <w:szCs w:val="22"/>
          <w:lang w:val="en-AU"/>
        </w:rPr>
        <w:t>.</w:t>
      </w:r>
      <w:r w:rsidRPr="00C723E0">
        <w:rPr>
          <w:rFonts w:ascii="Calibri" w:hAnsi="Calibri" w:cs="Calibri"/>
          <w:sz w:val="22"/>
          <w:szCs w:val="22"/>
          <w:lang w:val="en-AU"/>
        </w:rPr>
        <w:t xml:space="preserve"> </w:t>
      </w:r>
      <w:r w:rsidR="008C10E4" w:rsidRPr="00C723E0">
        <w:rPr>
          <w:rFonts w:ascii="Calibri" w:hAnsi="Calibri" w:cs="Calibri"/>
          <w:sz w:val="22"/>
          <w:szCs w:val="22"/>
          <w:lang w:val="en-AU"/>
        </w:rPr>
        <w:t>The program’s progress report mentions and reports on partner engagement in each report. For example, t</w:t>
      </w:r>
      <w:r w:rsidRPr="00C723E0">
        <w:rPr>
          <w:rFonts w:ascii="Calibri" w:hAnsi="Calibri" w:cs="Calibri"/>
          <w:sz w:val="22"/>
          <w:szCs w:val="22"/>
          <w:lang w:val="en-AU"/>
        </w:rPr>
        <w:t>he recent FPSDP Progress Report July-December 2024 provides several instances wher</w:t>
      </w:r>
      <w:r w:rsidR="008C10E4" w:rsidRPr="00C723E0">
        <w:rPr>
          <w:rFonts w:ascii="Calibri" w:hAnsi="Calibri" w:cs="Calibri"/>
          <w:sz w:val="22"/>
          <w:szCs w:val="22"/>
          <w:lang w:val="en-AU"/>
        </w:rPr>
        <w:t>e</w:t>
      </w:r>
      <w:r w:rsidRPr="00C723E0">
        <w:rPr>
          <w:rFonts w:ascii="Calibri" w:hAnsi="Calibri" w:cs="Calibri"/>
          <w:sz w:val="22"/>
          <w:szCs w:val="22"/>
          <w:lang w:val="en-AU"/>
        </w:rPr>
        <w:t xml:space="preserve"> opportunities have been facilitated</w:t>
      </w:r>
      <w:r w:rsidR="008C10E4" w:rsidRPr="00C723E0">
        <w:rPr>
          <w:rFonts w:ascii="Calibri" w:hAnsi="Calibri" w:cs="Calibri"/>
          <w:sz w:val="22"/>
          <w:szCs w:val="22"/>
          <w:lang w:val="en-AU"/>
        </w:rPr>
        <w:t xml:space="preserve"> and leveraged</w:t>
      </w:r>
      <w:r w:rsidRPr="00C723E0">
        <w:rPr>
          <w:rFonts w:ascii="Calibri" w:hAnsi="Calibri" w:cs="Calibri"/>
          <w:sz w:val="22"/>
          <w:szCs w:val="22"/>
          <w:lang w:val="en-AU"/>
        </w:rPr>
        <w:t xml:space="preserve"> for greater engagement, coherence and cooperation. For example, invitations have been supplied for DFAT representatives to open and speak at formal events, providing opportunities to highlight DFAT’s commitment to private sector development work across the entire portfolio. There have also been opportunities to promote engagement and dialogue between Australian companies and institutions to engage with Fiji. For example, FPSDP supported several</w:t>
      </w:r>
      <w:r w:rsidRPr="00C723E0">
        <w:rPr>
          <w:rFonts w:ascii="Calibri" w:eastAsiaTheme="minorHAnsi" w:hAnsi="Calibri" w:cs="Calibri"/>
          <w:sz w:val="22"/>
          <w:szCs w:val="22"/>
          <w:lang w:val="en-AU"/>
          <w14:ligatures w14:val="standardContextual"/>
        </w:rPr>
        <w:t xml:space="preserve"> formal and informal conversations </w:t>
      </w:r>
      <w:r w:rsidR="006D5DEF" w:rsidRPr="00C723E0">
        <w:rPr>
          <w:rFonts w:ascii="Calibri" w:eastAsiaTheme="minorHAnsi" w:hAnsi="Calibri" w:cs="Calibri"/>
          <w:sz w:val="22"/>
          <w:szCs w:val="22"/>
          <w:lang w:val="en-AU"/>
          <w14:ligatures w14:val="standardContextual"/>
        </w:rPr>
        <w:t xml:space="preserve">that </w:t>
      </w:r>
      <w:r w:rsidRPr="00C723E0">
        <w:rPr>
          <w:rFonts w:ascii="Calibri" w:eastAsiaTheme="minorHAnsi" w:hAnsi="Calibri" w:cs="Calibri"/>
          <w:sz w:val="22"/>
          <w:szCs w:val="22"/>
          <w:lang w:val="en-AU"/>
          <w14:ligatures w14:val="standardContextual"/>
        </w:rPr>
        <w:t>were held with DFAT and the Australian Infrastructure Financing Facility for the Pacific (AIFFP), Export Finance Australia (EFA) and Austrade regarding IFC’s PPP and infrastructure program</w:t>
      </w:r>
      <w:r w:rsidR="007B17C3"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i/>
          <w:iCs/>
          <w:sz w:val="22"/>
          <w:szCs w:val="22"/>
          <w:lang w:val="en-AU"/>
          <w14:ligatures w14:val="standardContextual"/>
        </w:rPr>
        <w:t xml:space="preserve"> </w:t>
      </w:r>
      <w:r w:rsidRPr="00C723E0">
        <w:rPr>
          <w:rFonts w:ascii="Calibri" w:eastAsiaTheme="minorHAnsi" w:hAnsi="Calibri" w:cs="Calibri"/>
          <w:sz w:val="22"/>
          <w:szCs w:val="22"/>
          <w:lang w:val="en-AU"/>
          <w14:ligatures w14:val="standardContextual"/>
        </w:rPr>
        <w:t xml:space="preserve"> There have also been opportunities to engage with other development partners on </w:t>
      </w:r>
      <w:r w:rsidR="006D5DEF" w:rsidRPr="00C723E0">
        <w:rPr>
          <w:rFonts w:ascii="Calibri" w:eastAsiaTheme="minorHAnsi" w:hAnsi="Calibri" w:cs="Calibri"/>
          <w:sz w:val="22"/>
          <w:szCs w:val="22"/>
          <w:lang w:val="en-AU"/>
          <w14:ligatures w14:val="standardContextual"/>
        </w:rPr>
        <w:t>climate infrastructure f</w:t>
      </w:r>
      <w:r w:rsidRPr="00C723E0">
        <w:rPr>
          <w:rFonts w:ascii="Calibri" w:eastAsiaTheme="minorHAnsi" w:hAnsi="Calibri" w:cs="Calibri"/>
          <w:sz w:val="22"/>
          <w:szCs w:val="22"/>
          <w:lang w:val="en-AU"/>
          <w14:ligatures w14:val="standardContextual"/>
        </w:rPr>
        <w:t xml:space="preserve">inancing and the Australian private sector on potential supply-chain and trade issues across the Indo-Pacific </w:t>
      </w:r>
      <w:r w:rsidR="006D5DEF" w:rsidRPr="00C723E0">
        <w:rPr>
          <w:rFonts w:ascii="Calibri" w:eastAsiaTheme="minorHAnsi" w:hAnsi="Calibri" w:cs="Calibri"/>
          <w:sz w:val="22"/>
          <w:szCs w:val="22"/>
          <w:lang w:val="en-AU"/>
          <w14:ligatures w14:val="standardContextual"/>
        </w:rPr>
        <w:t>r</w:t>
      </w:r>
      <w:r w:rsidRPr="00C723E0">
        <w:rPr>
          <w:rFonts w:ascii="Calibri" w:eastAsiaTheme="minorHAnsi" w:hAnsi="Calibri" w:cs="Calibri"/>
          <w:sz w:val="22"/>
          <w:szCs w:val="22"/>
          <w:lang w:val="en-AU"/>
          <w14:ligatures w14:val="standardContextual"/>
        </w:rPr>
        <w:t>egion.</w:t>
      </w:r>
    </w:p>
    <w:p w14:paraId="6229DC11" w14:textId="544517EF" w:rsidR="00332E18" w:rsidRPr="005233C7" w:rsidRDefault="00332E18" w:rsidP="00F32D53">
      <w:pPr>
        <w:pStyle w:val="BodyText"/>
        <w:rPr>
          <w:b/>
          <w:bCs/>
          <w:i/>
          <w:iCs/>
        </w:rPr>
      </w:pPr>
      <w:bookmarkStart w:id="37" w:name="_Toc201131774"/>
      <w:r w:rsidRPr="005233C7">
        <w:rPr>
          <w:b/>
          <w:bCs/>
          <w:i/>
          <w:iCs/>
        </w:rPr>
        <w:t>Brief Discussion on MEL Arrangements</w:t>
      </w:r>
      <w:bookmarkEnd w:id="37"/>
    </w:p>
    <w:p w14:paraId="03006B82" w14:textId="76B29FE0" w:rsidR="008362E5" w:rsidRPr="00C723E0" w:rsidRDefault="008362E5" w:rsidP="008362E5">
      <w:pPr>
        <w:spacing w:after="120"/>
        <w:jc w:val="both"/>
        <w:rPr>
          <w:rFonts w:ascii="Calibri" w:hAnsi="Calibri" w:cs="Calibri"/>
          <w:color w:val="000000"/>
          <w:sz w:val="22"/>
          <w:szCs w:val="22"/>
          <w:lang w:val="en-AU"/>
        </w:rPr>
      </w:pPr>
      <w:r w:rsidRPr="00C723E0">
        <w:rPr>
          <w:rFonts w:ascii="Calibri" w:hAnsi="Calibri" w:cs="Calibri"/>
          <w:color w:val="000000"/>
          <w:sz w:val="22"/>
          <w:szCs w:val="22"/>
          <w:lang w:val="en-AU"/>
        </w:rPr>
        <w:t xml:space="preserve">The FPSDP Monitoring Evaluation and Learning (MEL) Framework was </w:t>
      </w:r>
      <w:r w:rsidR="008A559D" w:rsidRPr="00C723E0">
        <w:rPr>
          <w:rFonts w:ascii="Calibri" w:hAnsi="Calibri" w:cs="Calibri"/>
          <w:color w:val="000000"/>
          <w:sz w:val="22"/>
          <w:szCs w:val="22"/>
          <w:lang w:val="en-AU"/>
        </w:rPr>
        <w:t xml:space="preserve">finalised </w:t>
      </w:r>
      <w:r w:rsidRPr="00C723E0">
        <w:rPr>
          <w:rFonts w:ascii="Calibri" w:hAnsi="Calibri" w:cs="Calibri"/>
          <w:color w:val="000000"/>
          <w:sz w:val="22"/>
          <w:szCs w:val="22"/>
          <w:lang w:val="en-AU"/>
        </w:rPr>
        <w:t>in October 2022 and refined</w:t>
      </w:r>
      <w:r w:rsidR="004F6A0E" w:rsidRPr="00C723E0">
        <w:rPr>
          <w:rFonts w:ascii="Calibri" w:hAnsi="Calibri" w:cs="Calibri"/>
          <w:color w:val="000000"/>
          <w:sz w:val="22"/>
          <w:szCs w:val="22"/>
          <w:lang w:val="en-AU"/>
        </w:rPr>
        <w:t xml:space="preserve"> further</w:t>
      </w:r>
      <w:r w:rsidRPr="00C723E0">
        <w:rPr>
          <w:rFonts w:ascii="Calibri" w:hAnsi="Calibri" w:cs="Calibri"/>
          <w:color w:val="000000"/>
          <w:sz w:val="22"/>
          <w:szCs w:val="22"/>
          <w:lang w:val="en-AU"/>
        </w:rPr>
        <w:t xml:space="preserve"> in August 2023. </w:t>
      </w:r>
      <w:r w:rsidR="008C10E4" w:rsidRPr="00A26E3C">
        <w:rPr>
          <w:rFonts w:ascii="Calibri" w:eastAsiaTheme="minorHAnsi" w:hAnsi="Calibri" w:cs="Calibri"/>
          <w:color w:val="000000"/>
          <w:sz w:val="22"/>
          <w:szCs w:val="22"/>
          <w:lang w:val="en-AU"/>
          <w14:ligatures w14:val="standardContextual"/>
        </w:rPr>
        <w:t xml:space="preserve">The October 2022 framework was a complete and positive departure from the previous partnership. The revisions in August 2023 were minor and mostly related to the bespoke visibility metrics. </w:t>
      </w:r>
      <w:r w:rsidRPr="00C723E0">
        <w:rPr>
          <w:rFonts w:ascii="Calibri" w:hAnsi="Calibri" w:cs="Calibri"/>
          <w:color w:val="000000"/>
          <w:sz w:val="22"/>
          <w:szCs w:val="22"/>
          <w:lang w:val="en-AU"/>
        </w:rPr>
        <w:t>Investments like the FPSDP often struggle with “traditional approaches” to MEL, such as simplified log</w:t>
      </w:r>
      <w:r w:rsidR="00D643FF" w:rsidRPr="00C723E0">
        <w:rPr>
          <w:rFonts w:ascii="Calibri" w:hAnsi="Calibri" w:cs="Calibri"/>
          <w:color w:val="000000"/>
          <w:sz w:val="22"/>
          <w:szCs w:val="22"/>
          <w:lang w:val="en-AU"/>
        </w:rPr>
        <w:t xml:space="preserve"> </w:t>
      </w:r>
      <w:r w:rsidRPr="00C723E0">
        <w:rPr>
          <w:rFonts w:ascii="Calibri" w:hAnsi="Calibri" w:cs="Calibri"/>
          <w:color w:val="000000"/>
          <w:sz w:val="22"/>
          <w:szCs w:val="22"/>
          <w:lang w:val="en-AU"/>
        </w:rPr>
        <w:t xml:space="preserve">frames and results frameworks with defined targets and indicators. </w:t>
      </w:r>
      <w:r w:rsidR="00D643FF" w:rsidRPr="00C723E0">
        <w:rPr>
          <w:rFonts w:ascii="Calibri" w:hAnsi="Calibri" w:cs="Calibri"/>
          <w:color w:val="000000"/>
          <w:sz w:val="22"/>
          <w:szCs w:val="22"/>
          <w:lang w:val="en-AU"/>
        </w:rPr>
        <w:t>Such modalities usually</w:t>
      </w:r>
      <w:r w:rsidRPr="00C723E0">
        <w:rPr>
          <w:rFonts w:ascii="Calibri" w:hAnsi="Calibri" w:cs="Calibri"/>
          <w:color w:val="000000"/>
          <w:sz w:val="22"/>
          <w:szCs w:val="22"/>
          <w:lang w:val="en-AU"/>
        </w:rPr>
        <w:t xml:space="preserve"> assume that results and progress are linear in nature and design. However, given the flexible and responsive mechanisms, a</w:t>
      </w:r>
      <w:r w:rsidR="00C36E0D" w:rsidRPr="00C723E0">
        <w:rPr>
          <w:rFonts w:ascii="Calibri" w:hAnsi="Calibri" w:cs="Calibri"/>
          <w:color w:val="000000"/>
          <w:sz w:val="22"/>
          <w:szCs w:val="22"/>
          <w:lang w:val="en-AU"/>
        </w:rPr>
        <w:t xml:space="preserve"> positive</w:t>
      </w:r>
      <w:r w:rsidRPr="00C723E0">
        <w:rPr>
          <w:rFonts w:ascii="Calibri" w:hAnsi="Calibri" w:cs="Calibri"/>
          <w:color w:val="000000"/>
          <w:sz w:val="22"/>
          <w:szCs w:val="22"/>
          <w:lang w:val="en-AU"/>
        </w:rPr>
        <w:t xml:space="preserve"> feature of the FPSDP design, alternative measures and methodologies are often required.</w:t>
      </w:r>
    </w:p>
    <w:p w14:paraId="3A2DD904" w14:textId="11040BBF" w:rsidR="008362E5" w:rsidRPr="00C723E0" w:rsidRDefault="008362E5" w:rsidP="008362E5">
      <w:pPr>
        <w:spacing w:after="120"/>
        <w:jc w:val="both"/>
        <w:rPr>
          <w:rFonts w:ascii="Calibri" w:hAnsi="Calibri" w:cs="Calibri"/>
          <w:color w:val="000000"/>
          <w:sz w:val="22"/>
          <w:szCs w:val="22"/>
          <w:lang w:val="en-AU"/>
        </w:rPr>
      </w:pPr>
      <w:r w:rsidRPr="00C723E0">
        <w:rPr>
          <w:rFonts w:ascii="Calibri" w:hAnsi="Calibri" w:cs="Calibri"/>
          <w:color w:val="000000"/>
          <w:sz w:val="22"/>
          <w:szCs w:val="22"/>
          <w:lang w:val="en-AU"/>
        </w:rPr>
        <w:lastRenderedPageBreak/>
        <w:t>The MEL framework included</w:t>
      </w:r>
      <w:r w:rsidR="008A559D" w:rsidRPr="00C723E0">
        <w:rPr>
          <w:rFonts w:ascii="Calibri" w:hAnsi="Calibri" w:cs="Calibri"/>
          <w:color w:val="000000"/>
          <w:sz w:val="22"/>
          <w:szCs w:val="22"/>
          <w:lang w:val="en-AU"/>
        </w:rPr>
        <w:t xml:space="preserve"> </w:t>
      </w:r>
      <w:r w:rsidRPr="00C723E0">
        <w:rPr>
          <w:rFonts w:ascii="Calibri" w:hAnsi="Calibri" w:cs="Calibri"/>
          <w:color w:val="000000"/>
          <w:sz w:val="22"/>
          <w:szCs w:val="22"/>
          <w:lang w:val="en-AU"/>
        </w:rPr>
        <w:t xml:space="preserve">program logic, which is included in Annex </w:t>
      </w:r>
      <w:r w:rsidR="006D5DEF" w:rsidRPr="00C723E0">
        <w:rPr>
          <w:rFonts w:ascii="Calibri" w:hAnsi="Calibri" w:cs="Calibri"/>
          <w:color w:val="000000"/>
          <w:sz w:val="22"/>
          <w:szCs w:val="22"/>
          <w:lang w:val="en-AU"/>
        </w:rPr>
        <w:t>4 for reference</w:t>
      </w:r>
      <w:r w:rsidRPr="00C723E0">
        <w:rPr>
          <w:rFonts w:ascii="Calibri" w:hAnsi="Calibri" w:cs="Calibri"/>
          <w:color w:val="000000"/>
          <w:sz w:val="22"/>
          <w:szCs w:val="22"/>
          <w:lang w:val="en-AU"/>
        </w:rPr>
        <w:t>.</w:t>
      </w:r>
      <w:r w:rsidR="006D5DEF" w:rsidRPr="00C723E0">
        <w:rPr>
          <w:rFonts w:ascii="Calibri" w:hAnsi="Calibri" w:cs="Calibri"/>
          <w:color w:val="000000"/>
          <w:sz w:val="22"/>
          <w:szCs w:val="22"/>
          <w:lang w:val="en-AU"/>
        </w:rPr>
        <w:t xml:space="preserve"> </w:t>
      </w:r>
      <w:r w:rsidRPr="00C723E0">
        <w:rPr>
          <w:rFonts w:ascii="Calibri" w:hAnsi="Calibri" w:cs="Calibri"/>
          <w:color w:val="000000"/>
          <w:sz w:val="22"/>
          <w:szCs w:val="22"/>
          <w:lang w:val="en-AU"/>
        </w:rPr>
        <w:t>Clear outcome statements were also presented across the three pillars. These are summarised in Table 2 below.</w:t>
      </w:r>
    </w:p>
    <w:p w14:paraId="0BEB47EC" w14:textId="77777777" w:rsidR="008362E5" w:rsidRPr="00C723E0" w:rsidRDefault="008362E5" w:rsidP="008362E5">
      <w:pPr>
        <w:pStyle w:val="Caption"/>
        <w:rPr>
          <w:rFonts w:ascii="Calibri" w:hAnsi="Calibri" w:cs="Calibri"/>
          <w:i/>
          <w:iCs/>
          <w:lang w:val="en-AU"/>
        </w:rPr>
      </w:pPr>
      <w:r w:rsidRPr="00C723E0">
        <w:rPr>
          <w:rFonts w:ascii="Calibri" w:hAnsi="Calibri" w:cs="Calibri"/>
          <w:i/>
          <w:iCs/>
          <w:lang w:val="en-AU"/>
        </w:rPr>
        <w:t>Table 2: FPSDP Pillars and Associated Outcomes</w:t>
      </w:r>
    </w:p>
    <w:tbl>
      <w:tblPr>
        <w:tblStyle w:val="TableGrid"/>
        <w:tblW w:w="0" w:type="auto"/>
        <w:tblLook w:val="04A0" w:firstRow="1" w:lastRow="0" w:firstColumn="1" w:lastColumn="0" w:noHBand="0" w:noVBand="1"/>
      </w:tblPr>
      <w:tblGrid>
        <w:gridCol w:w="3397"/>
        <w:gridCol w:w="5619"/>
      </w:tblGrid>
      <w:tr w:rsidR="008362E5" w:rsidRPr="00C723E0" w14:paraId="6B93AC0C" w14:textId="77777777" w:rsidTr="00033C5D">
        <w:tc>
          <w:tcPr>
            <w:tcW w:w="3397" w:type="dxa"/>
            <w:shd w:val="clear" w:color="auto" w:fill="CAEDFB" w:themeFill="accent4" w:themeFillTint="33"/>
          </w:tcPr>
          <w:p w14:paraId="5C32D790" w14:textId="77777777" w:rsidR="008362E5" w:rsidRPr="00C723E0" w:rsidRDefault="008362E5" w:rsidP="00033C5D">
            <w:pPr>
              <w:pStyle w:val="Heading4"/>
              <w:jc w:val="both"/>
              <w:rPr>
                <w:rFonts w:ascii="Calibri" w:hAnsi="Calibri" w:cs="Calibri"/>
                <w:b/>
                <w:bCs/>
                <w:color w:val="000000" w:themeColor="text1"/>
                <w:sz w:val="18"/>
                <w:szCs w:val="18"/>
                <w:lang w:val="en-AU"/>
              </w:rPr>
            </w:pPr>
            <w:r w:rsidRPr="00C723E0">
              <w:rPr>
                <w:rFonts w:ascii="Calibri" w:hAnsi="Calibri" w:cs="Calibri"/>
                <w:b/>
                <w:bCs/>
                <w:color w:val="000000" w:themeColor="text1"/>
                <w:sz w:val="18"/>
                <w:szCs w:val="18"/>
                <w:lang w:val="en-AU"/>
              </w:rPr>
              <w:t>FPSDP Pillar</w:t>
            </w:r>
          </w:p>
        </w:tc>
        <w:tc>
          <w:tcPr>
            <w:tcW w:w="5619" w:type="dxa"/>
            <w:shd w:val="clear" w:color="auto" w:fill="CAEDFB" w:themeFill="accent4" w:themeFillTint="33"/>
          </w:tcPr>
          <w:p w14:paraId="25849D4F" w14:textId="77777777" w:rsidR="008362E5" w:rsidRPr="00C723E0" w:rsidRDefault="008362E5" w:rsidP="00033C5D">
            <w:pPr>
              <w:pStyle w:val="Heading4"/>
              <w:jc w:val="both"/>
              <w:rPr>
                <w:rFonts w:ascii="Calibri" w:hAnsi="Calibri" w:cs="Calibri"/>
                <w:b/>
                <w:bCs/>
                <w:color w:val="000000" w:themeColor="text1"/>
                <w:sz w:val="18"/>
                <w:szCs w:val="18"/>
                <w:lang w:val="en-AU"/>
              </w:rPr>
            </w:pPr>
            <w:r w:rsidRPr="00C723E0">
              <w:rPr>
                <w:rFonts w:ascii="Calibri" w:hAnsi="Calibri" w:cs="Calibri"/>
                <w:b/>
                <w:bCs/>
                <w:color w:val="000000" w:themeColor="text1"/>
                <w:sz w:val="18"/>
                <w:szCs w:val="18"/>
                <w:lang w:val="en-AU"/>
              </w:rPr>
              <w:t>Outcomes</w:t>
            </w:r>
            <w:r w:rsidRPr="00C723E0">
              <w:rPr>
                <w:rStyle w:val="FootnoteReference"/>
                <w:rFonts w:ascii="Calibri" w:hAnsi="Calibri" w:cs="Calibri"/>
                <w:b/>
                <w:bCs/>
                <w:color w:val="000000" w:themeColor="text1"/>
                <w:sz w:val="18"/>
                <w:szCs w:val="18"/>
                <w:lang w:val="en-AU"/>
              </w:rPr>
              <w:footnoteReference w:id="13"/>
            </w:r>
          </w:p>
        </w:tc>
      </w:tr>
      <w:tr w:rsidR="008362E5" w:rsidRPr="00C723E0" w14:paraId="20BDDFF2" w14:textId="77777777" w:rsidTr="00033C5D">
        <w:tc>
          <w:tcPr>
            <w:tcW w:w="3397" w:type="dxa"/>
          </w:tcPr>
          <w:p w14:paraId="1B3C4C16" w14:textId="77777777" w:rsidR="008362E5" w:rsidRPr="00C723E0" w:rsidRDefault="008362E5" w:rsidP="00033C5D">
            <w:pPr>
              <w:jc w:val="both"/>
              <w:rPr>
                <w:rFonts w:ascii="Calibri" w:hAnsi="Calibri" w:cs="Calibri"/>
                <w:sz w:val="18"/>
                <w:szCs w:val="18"/>
                <w:lang w:val="en-AU"/>
              </w:rPr>
            </w:pPr>
            <w:r w:rsidRPr="00C723E0">
              <w:rPr>
                <w:rFonts w:ascii="Calibri" w:hAnsi="Calibri" w:cs="Calibri"/>
                <w:sz w:val="18"/>
                <w:szCs w:val="18"/>
                <w:lang w:val="en-AU"/>
              </w:rPr>
              <w:t>Enabling environment for the private sector</w:t>
            </w:r>
          </w:p>
        </w:tc>
        <w:tc>
          <w:tcPr>
            <w:tcW w:w="5619" w:type="dxa"/>
          </w:tcPr>
          <w:p w14:paraId="733FA7E7" w14:textId="77777777" w:rsidR="008362E5" w:rsidRPr="00C723E0" w:rsidRDefault="008362E5" w:rsidP="00D77455">
            <w:pPr>
              <w:pStyle w:val="ListParagraph"/>
              <w:numPr>
                <w:ilvl w:val="0"/>
                <w:numId w:val="8"/>
              </w:numPr>
              <w:ind w:left="179" w:hanging="179"/>
              <w:jc w:val="both"/>
              <w:rPr>
                <w:rFonts w:ascii="Calibri" w:hAnsi="Calibri" w:cs="Calibri"/>
                <w:sz w:val="18"/>
                <w:szCs w:val="18"/>
                <w:lang w:val="en-AU"/>
              </w:rPr>
            </w:pPr>
            <w:r w:rsidRPr="00C723E0">
              <w:rPr>
                <w:rFonts w:ascii="Calibri" w:hAnsi="Calibri" w:cs="Calibri"/>
                <w:sz w:val="18"/>
                <w:szCs w:val="18"/>
                <w:lang w:val="en-AU"/>
              </w:rPr>
              <w:t>Improved legal and regulatory environment through the implementation of reforms that respond to private sector needs.</w:t>
            </w:r>
          </w:p>
          <w:p w14:paraId="6C1946CC" w14:textId="77777777" w:rsidR="008362E5" w:rsidRPr="00C723E0" w:rsidRDefault="008362E5" w:rsidP="00D77455">
            <w:pPr>
              <w:pStyle w:val="ListParagraph"/>
              <w:numPr>
                <w:ilvl w:val="0"/>
                <w:numId w:val="8"/>
              </w:numPr>
              <w:ind w:left="179" w:hanging="179"/>
              <w:jc w:val="both"/>
              <w:rPr>
                <w:rFonts w:ascii="Calibri" w:hAnsi="Calibri" w:cs="Calibri"/>
                <w:sz w:val="18"/>
                <w:szCs w:val="18"/>
                <w:lang w:val="en-AU"/>
              </w:rPr>
            </w:pPr>
            <w:r w:rsidRPr="00C723E0">
              <w:rPr>
                <w:rFonts w:ascii="Calibri" w:hAnsi="Calibri" w:cs="Calibri"/>
                <w:sz w:val="18"/>
                <w:szCs w:val="18"/>
                <w:lang w:val="en-AU"/>
              </w:rPr>
              <w:t>Improved predictability, accountability and transparency of Government-to-Business (G2B) services that respond to private sector needs.</w:t>
            </w:r>
          </w:p>
        </w:tc>
      </w:tr>
      <w:tr w:rsidR="008362E5" w:rsidRPr="00C723E0" w14:paraId="4990CF75" w14:textId="77777777" w:rsidTr="00033C5D">
        <w:tc>
          <w:tcPr>
            <w:tcW w:w="3397" w:type="dxa"/>
          </w:tcPr>
          <w:p w14:paraId="2F4506AE" w14:textId="77777777" w:rsidR="008362E5" w:rsidRPr="00C723E0" w:rsidRDefault="008362E5" w:rsidP="00033C5D">
            <w:pPr>
              <w:jc w:val="both"/>
              <w:rPr>
                <w:rFonts w:ascii="Calibri" w:hAnsi="Calibri" w:cs="Calibri"/>
                <w:sz w:val="18"/>
                <w:szCs w:val="18"/>
                <w:lang w:val="en-AU"/>
              </w:rPr>
            </w:pPr>
            <w:r w:rsidRPr="00C723E0">
              <w:rPr>
                <w:rFonts w:ascii="Calibri" w:hAnsi="Calibri" w:cs="Calibri"/>
                <w:sz w:val="18"/>
                <w:szCs w:val="18"/>
                <w:lang w:val="en-AU"/>
              </w:rPr>
              <w:t>Accelerating inclusive and climate smart private sector investment in key growth sectors</w:t>
            </w:r>
          </w:p>
        </w:tc>
        <w:tc>
          <w:tcPr>
            <w:tcW w:w="5619" w:type="dxa"/>
          </w:tcPr>
          <w:p w14:paraId="061E0ACB" w14:textId="77777777" w:rsidR="008362E5" w:rsidRPr="00C723E0" w:rsidRDefault="008362E5" w:rsidP="00D77455">
            <w:pPr>
              <w:pStyle w:val="ListParagraph"/>
              <w:numPr>
                <w:ilvl w:val="0"/>
                <w:numId w:val="7"/>
              </w:numPr>
              <w:ind w:left="179" w:hanging="179"/>
              <w:jc w:val="both"/>
              <w:rPr>
                <w:rFonts w:ascii="Calibri" w:hAnsi="Calibri" w:cs="Calibri"/>
                <w:sz w:val="18"/>
                <w:szCs w:val="18"/>
                <w:lang w:val="en-AU"/>
              </w:rPr>
            </w:pPr>
            <w:r w:rsidRPr="00C723E0">
              <w:rPr>
                <w:rFonts w:ascii="Calibri" w:hAnsi="Calibri" w:cs="Calibri"/>
                <w:sz w:val="18"/>
                <w:szCs w:val="18"/>
                <w:lang w:val="en-AU"/>
              </w:rPr>
              <w:t>Pipeline of potentially bankable and climate smart private investments across key growth sectors including tourism, infrastructure, Agro business and finance.</w:t>
            </w:r>
          </w:p>
        </w:tc>
      </w:tr>
      <w:tr w:rsidR="008362E5" w:rsidRPr="00C723E0" w14:paraId="1FF7D429" w14:textId="77777777" w:rsidTr="00033C5D">
        <w:tc>
          <w:tcPr>
            <w:tcW w:w="3397" w:type="dxa"/>
          </w:tcPr>
          <w:p w14:paraId="5373A0CE" w14:textId="77777777" w:rsidR="008362E5" w:rsidRPr="00C723E0" w:rsidRDefault="008362E5" w:rsidP="00033C5D">
            <w:pPr>
              <w:jc w:val="both"/>
              <w:rPr>
                <w:rFonts w:ascii="Calibri" w:hAnsi="Calibri" w:cs="Calibri"/>
                <w:sz w:val="18"/>
                <w:szCs w:val="18"/>
                <w:lang w:val="en-AU"/>
              </w:rPr>
            </w:pPr>
            <w:r w:rsidRPr="00C723E0">
              <w:rPr>
                <w:rFonts w:ascii="Calibri" w:hAnsi="Calibri" w:cs="Calibri"/>
                <w:sz w:val="18"/>
                <w:szCs w:val="18"/>
                <w:lang w:val="en-AU"/>
              </w:rPr>
              <w:t>Enhancing standards and gender inclusion</w:t>
            </w:r>
          </w:p>
        </w:tc>
        <w:tc>
          <w:tcPr>
            <w:tcW w:w="5619" w:type="dxa"/>
          </w:tcPr>
          <w:p w14:paraId="15ECEEDB" w14:textId="77777777" w:rsidR="008362E5" w:rsidRPr="00C723E0" w:rsidRDefault="008362E5" w:rsidP="00D77455">
            <w:pPr>
              <w:pStyle w:val="ListParagraph"/>
              <w:numPr>
                <w:ilvl w:val="0"/>
                <w:numId w:val="6"/>
              </w:numPr>
              <w:ind w:left="179" w:hanging="179"/>
              <w:jc w:val="both"/>
              <w:rPr>
                <w:rFonts w:ascii="Calibri" w:hAnsi="Calibri" w:cs="Calibri"/>
                <w:sz w:val="18"/>
                <w:szCs w:val="18"/>
                <w:lang w:val="en-AU"/>
              </w:rPr>
            </w:pPr>
            <w:r w:rsidRPr="00C723E0">
              <w:rPr>
                <w:rFonts w:ascii="Calibri" w:hAnsi="Calibri" w:cs="Calibri"/>
                <w:sz w:val="18"/>
                <w:szCs w:val="18"/>
                <w:lang w:val="en-AU"/>
              </w:rPr>
              <w:t>New financial products and services developed including those that aim to increase access to financial services for women in women-owned enterprises.</w:t>
            </w:r>
          </w:p>
          <w:p w14:paraId="3D94103D" w14:textId="77777777" w:rsidR="008362E5" w:rsidRPr="00C723E0" w:rsidRDefault="008362E5" w:rsidP="00D77455">
            <w:pPr>
              <w:pStyle w:val="ListParagraph"/>
              <w:numPr>
                <w:ilvl w:val="0"/>
                <w:numId w:val="6"/>
              </w:numPr>
              <w:ind w:left="179" w:hanging="179"/>
              <w:jc w:val="both"/>
              <w:rPr>
                <w:rFonts w:ascii="Calibri" w:hAnsi="Calibri" w:cs="Calibri"/>
                <w:sz w:val="18"/>
                <w:szCs w:val="18"/>
                <w:lang w:val="en-AU"/>
              </w:rPr>
            </w:pPr>
            <w:r w:rsidRPr="00C723E0">
              <w:rPr>
                <w:rFonts w:ascii="Calibri" w:hAnsi="Calibri" w:cs="Calibri"/>
                <w:sz w:val="18"/>
                <w:szCs w:val="18"/>
                <w:lang w:val="en-AU"/>
              </w:rPr>
              <w:t xml:space="preserve">Adoption of climate smart solutions by companies in Fiji. </w:t>
            </w:r>
          </w:p>
          <w:p w14:paraId="743FD557" w14:textId="77777777" w:rsidR="008362E5" w:rsidRPr="00C723E0" w:rsidRDefault="008362E5" w:rsidP="00D77455">
            <w:pPr>
              <w:pStyle w:val="ListParagraph"/>
              <w:numPr>
                <w:ilvl w:val="0"/>
                <w:numId w:val="6"/>
              </w:numPr>
              <w:ind w:left="179" w:hanging="179"/>
              <w:jc w:val="both"/>
              <w:rPr>
                <w:rFonts w:ascii="Calibri" w:hAnsi="Calibri" w:cs="Calibri"/>
                <w:sz w:val="18"/>
                <w:szCs w:val="18"/>
                <w:lang w:val="en-AU"/>
              </w:rPr>
            </w:pPr>
            <w:r w:rsidRPr="00C723E0">
              <w:rPr>
                <w:rFonts w:ascii="Calibri" w:hAnsi="Calibri" w:cs="Calibri"/>
                <w:sz w:val="18"/>
                <w:szCs w:val="18"/>
                <w:lang w:val="en-AU"/>
              </w:rPr>
              <w:t>Increased uptake of gender inclusive practices by firms.</w:t>
            </w:r>
          </w:p>
          <w:p w14:paraId="4FE85AFF" w14:textId="77777777" w:rsidR="008362E5" w:rsidRPr="00C723E0" w:rsidRDefault="008362E5" w:rsidP="00D77455">
            <w:pPr>
              <w:pStyle w:val="ListParagraph"/>
              <w:numPr>
                <w:ilvl w:val="0"/>
                <w:numId w:val="6"/>
              </w:numPr>
              <w:ind w:left="179" w:hanging="179"/>
              <w:jc w:val="both"/>
              <w:rPr>
                <w:rFonts w:ascii="Calibri" w:hAnsi="Calibri" w:cs="Calibri"/>
                <w:sz w:val="18"/>
                <w:szCs w:val="18"/>
                <w:lang w:val="en-AU"/>
              </w:rPr>
            </w:pPr>
            <w:r w:rsidRPr="00C723E0">
              <w:rPr>
                <w:rFonts w:ascii="Calibri" w:hAnsi="Calibri" w:cs="Calibri"/>
                <w:sz w:val="18"/>
                <w:szCs w:val="18"/>
                <w:lang w:val="en-AU"/>
              </w:rPr>
              <w:t>Use of best practice CG and industry standards by companies.</w:t>
            </w:r>
          </w:p>
        </w:tc>
      </w:tr>
    </w:tbl>
    <w:p w14:paraId="7DDFEEDB" w14:textId="2091423D" w:rsidR="008362E5" w:rsidRPr="00C723E0" w:rsidRDefault="008362E5" w:rsidP="008362E5">
      <w:pPr>
        <w:spacing w:after="120"/>
        <w:jc w:val="both"/>
        <w:rPr>
          <w:rFonts w:ascii="Calibri" w:hAnsi="Calibri" w:cs="Calibri"/>
          <w:sz w:val="22"/>
          <w:szCs w:val="22"/>
          <w:lang w:val="en-AU"/>
        </w:rPr>
      </w:pPr>
      <w:r w:rsidRPr="00C723E0">
        <w:rPr>
          <w:rFonts w:ascii="Calibri" w:hAnsi="Calibri" w:cs="Calibri"/>
          <w:sz w:val="22"/>
          <w:szCs w:val="22"/>
          <w:lang w:val="en-AU"/>
        </w:rPr>
        <w:t>All FPSDP projects were designed with causal logic, which assumes an attributable relationship between action and result</w:t>
      </w:r>
      <w:r w:rsidRPr="00C723E0">
        <w:rPr>
          <w:rStyle w:val="FootnoteReference"/>
          <w:rFonts w:ascii="Calibri" w:eastAsiaTheme="majorEastAsia" w:hAnsi="Calibri" w:cs="Calibri"/>
          <w:sz w:val="22"/>
          <w:szCs w:val="22"/>
          <w:lang w:val="en-AU"/>
        </w:rPr>
        <w:footnoteReference w:id="14"/>
      </w:r>
      <w:r w:rsidRPr="00C723E0">
        <w:rPr>
          <w:rFonts w:ascii="Calibri" w:hAnsi="Calibri" w:cs="Calibri"/>
          <w:sz w:val="22"/>
          <w:szCs w:val="22"/>
          <w:lang w:val="en-AU"/>
        </w:rPr>
        <w:t xml:space="preserve">. In practice, this means that </w:t>
      </w:r>
      <w:r w:rsidR="00540E64" w:rsidRPr="00C723E0">
        <w:rPr>
          <w:rFonts w:ascii="Calibri" w:hAnsi="Calibri" w:cs="Calibri"/>
          <w:sz w:val="22"/>
          <w:szCs w:val="22"/>
          <w:lang w:val="en-AU"/>
        </w:rPr>
        <w:t>indicators can represent the anticipated change</w:t>
      </w:r>
      <w:r w:rsidRPr="00C723E0">
        <w:rPr>
          <w:rFonts w:ascii="Calibri" w:hAnsi="Calibri" w:cs="Calibri"/>
          <w:i/>
          <w:iCs/>
          <w:sz w:val="22"/>
          <w:szCs w:val="22"/>
          <w:lang w:val="en-AU"/>
        </w:rPr>
        <w:t>s.</w:t>
      </w:r>
      <w:r w:rsidRPr="00C723E0">
        <w:rPr>
          <w:rFonts w:ascii="Calibri" w:hAnsi="Calibri" w:cs="Calibri"/>
          <w:sz w:val="22"/>
          <w:szCs w:val="22"/>
          <w:lang w:val="en-AU"/>
        </w:rPr>
        <w:t xml:space="preserve"> Achievements against those indicators provide a strong measure that the project is proceeding as planned and that outcomes are likely to be achieved.</w:t>
      </w:r>
    </w:p>
    <w:p w14:paraId="12DB47D7" w14:textId="211B8CB5" w:rsidR="008362E5" w:rsidRPr="00C723E0" w:rsidRDefault="008362E5" w:rsidP="008362E5">
      <w:pPr>
        <w:spacing w:after="120"/>
        <w:jc w:val="both"/>
        <w:rPr>
          <w:rFonts w:ascii="Calibri" w:hAnsi="Calibri" w:cs="Calibri"/>
          <w:sz w:val="22"/>
          <w:szCs w:val="22"/>
          <w:lang w:val="en-AU"/>
        </w:rPr>
      </w:pPr>
      <w:r w:rsidRPr="00C723E0">
        <w:rPr>
          <w:rFonts w:ascii="Calibri" w:hAnsi="Calibri" w:cs="Calibri"/>
          <w:b/>
          <w:bCs/>
          <w:sz w:val="22"/>
          <w:szCs w:val="22"/>
          <w:lang w:val="en-AU"/>
        </w:rPr>
        <w:t>IFC established a project-level monitoring and evaluation system using standard and project-specific indicators</w:t>
      </w:r>
      <w:r w:rsidR="004F6A0E" w:rsidRPr="00C723E0">
        <w:rPr>
          <w:rFonts w:ascii="Calibri" w:hAnsi="Calibri" w:cs="Calibri"/>
          <w:b/>
          <w:bCs/>
          <w:sz w:val="22"/>
          <w:szCs w:val="22"/>
          <w:lang w:val="en-AU"/>
        </w:rPr>
        <w:t xml:space="preserve"> to complement the approach and align with DFAT's Design and MEL Standards</w:t>
      </w:r>
      <w:r w:rsidRPr="00C723E0">
        <w:rPr>
          <w:rFonts w:ascii="Calibri" w:hAnsi="Calibri" w:cs="Calibri"/>
          <w:sz w:val="22"/>
          <w:szCs w:val="22"/>
          <w:lang w:val="en-AU"/>
        </w:rPr>
        <w:t>. The system is supported by ongoing quality control and independent evaluation</w:t>
      </w:r>
      <w:r w:rsidRPr="00C723E0">
        <w:rPr>
          <w:rStyle w:val="FootnoteReference"/>
          <w:rFonts w:ascii="Calibri" w:eastAsiaTheme="majorEastAsia" w:hAnsi="Calibri" w:cs="Calibri"/>
          <w:sz w:val="22"/>
          <w:szCs w:val="22"/>
          <w:lang w:val="en-AU"/>
        </w:rPr>
        <w:footnoteReference w:id="15"/>
      </w:r>
      <w:r w:rsidRPr="00C723E0">
        <w:rPr>
          <w:rFonts w:ascii="Calibri" w:hAnsi="Calibri" w:cs="Calibri"/>
          <w:sz w:val="22"/>
          <w:szCs w:val="22"/>
          <w:lang w:val="en-AU"/>
        </w:rPr>
        <w:t>. Significantly</w:t>
      </w:r>
      <w:r w:rsidR="004F6A0E" w:rsidRPr="00C723E0">
        <w:rPr>
          <w:rFonts w:ascii="Calibri" w:hAnsi="Calibri" w:cs="Calibri"/>
          <w:sz w:val="22"/>
          <w:szCs w:val="22"/>
          <w:lang w:val="en-AU"/>
        </w:rPr>
        <w:t>,</w:t>
      </w:r>
      <w:r w:rsidRPr="00C723E0">
        <w:rPr>
          <w:rFonts w:ascii="Calibri" w:hAnsi="Calibri" w:cs="Calibri"/>
          <w:sz w:val="22"/>
          <w:szCs w:val="22"/>
          <w:lang w:val="en-AU"/>
        </w:rPr>
        <w:t xml:space="preserve"> for DFAT</w:t>
      </w:r>
      <w:r w:rsidR="004F6A0E" w:rsidRPr="00C723E0">
        <w:rPr>
          <w:rFonts w:ascii="Calibri" w:hAnsi="Calibri" w:cs="Calibri"/>
          <w:sz w:val="22"/>
          <w:szCs w:val="22"/>
          <w:lang w:val="en-AU"/>
        </w:rPr>
        <w:t>’s</w:t>
      </w:r>
      <w:r w:rsidRPr="00C723E0">
        <w:rPr>
          <w:rFonts w:ascii="Calibri" w:hAnsi="Calibri" w:cs="Calibri"/>
          <w:sz w:val="22"/>
          <w:szCs w:val="22"/>
          <w:lang w:val="en-AU"/>
        </w:rPr>
        <w:t xml:space="preserve"> interest, IFC also ensure</w:t>
      </w:r>
      <w:r w:rsidR="00C36E0D" w:rsidRPr="00C723E0">
        <w:rPr>
          <w:rFonts w:ascii="Calibri" w:hAnsi="Calibri" w:cs="Calibri"/>
          <w:sz w:val="22"/>
          <w:szCs w:val="22"/>
          <w:lang w:val="en-AU"/>
        </w:rPr>
        <w:t>s</w:t>
      </w:r>
      <w:r w:rsidRPr="00C723E0">
        <w:rPr>
          <w:rFonts w:ascii="Calibri" w:hAnsi="Calibri" w:cs="Calibri"/>
          <w:sz w:val="22"/>
          <w:szCs w:val="22"/>
          <w:lang w:val="en-AU"/>
        </w:rPr>
        <w:t xml:space="preserve"> gender analysis is undertaken for each project and gender indicators, where relevant, are included at a minimum at the output level. </w:t>
      </w:r>
    </w:p>
    <w:p w14:paraId="015FC0ED" w14:textId="77777777" w:rsidR="008362E5" w:rsidRPr="00C723E0" w:rsidRDefault="008362E5" w:rsidP="008362E5">
      <w:pPr>
        <w:spacing w:after="120"/>
        <w:jc w:val="both"/>
        <w:rPr>
          <w:rFonts w:ascii="Calibri" w:hAnsi="Calibri" w:cs="Calibri"/>
          <w:sz w:val="22"/>
          <w:szCs w:val="22"/>
          <w:lang w:val="en-AU"/>
        </w:rPr>
      </w:pPr>
      <w:r w:rsidRPr="00C723E0">
        <w:rPr>
          <w:rFonts w:ascii="Calibri" w:hAnsi="Calibri" w:cs="Calibri"/>
          <w:sz w:val="22"/>
          <w:szCs w:val="22"/>
          <w:lang w:val="en-AU"/>
        </w:rPr>
        <w:t xml:space="preserve">For the Program as a whole, the projects contribute in various ways, over time, to the results being sought. For this reason, the aggregation of project results alone is insufficient to understand the program's progress or support program improvement. The approach to MEL has utilised an exploratory methodology for the whole Program. This means that it will use a combination of </w:t>
      </w:r>
      <w:r w:rsidRPr="00C723E0">
        <w:rPr>
          <w:rFonts w:ascii="Calibri" w:hAnsi="Calibri" w:cs="Calibri"/>
          <w:i/>
          <w:iCs/>
          <w:sz w:val="22"/>
          <w:szCs w:val="22"/>
          <w:lang w:val="en-AU"/>
        </w:rPr>
        <w:t>indicators and evaluative questions</w:t>
      </w:r>
      <w:r w:rsidRPr="00C723E0">
        <w:rPr>
          <w:rFonts w:ascii="Calibri" w:hAnsi="Calibri" w:cs="Calibri"/>
          <w:sz w:val="22"/>
          <w:szCs w:val="22"/>
          <w:lang w:val="en-AU"/>
        </w:rPr>
        <w:t xml:space="preserve"> to understand:</w:t>
      </w:r>
    </w:p>
    <w:p w14:paraId="5178F1F4" w14:textId="77777777" w:rsidR="008362E5" w:rsidRPr="00C723E0" w:rsidRDefault="008362E5" w:rsidP="00D77455">
      <w:pPr>
        <w:pStyle w:val="ListParagraph"/>
        <w:numPr>
          <w:ilvl w:val="0"/>
          <w:numId w:val="9"/>
        </w:numPr>
        <w:spacing w:after="120"/>
        <w:jc w:val="both"/>
        <w:rPr>
          <w:rFonts w:ascii="Calibri" w:hAnsi="Calibri" w:cs="Calibri"/>
          <w:sz w:val="22"/>
          <w:szCs w:val="22"/>
          <w:lang w:val="en-AU"/>
        </w:rPr>
      </w:pPr>
      <w:r w:rsidRPr="00C723E0">
        <w:rPr>
          <w:rFonts w:ascii="Calibri" w:hAnsi="Calibri" w:cs="Calibri"/>
          <w:sz w:val="22"/>
          <w:szCs w:val="22"/>
          <w:lang w:val="en-AU"/>
        </w:rPr>
        <w:t>What change has happened?</w:t>
      </w:r>
    </w:p>
    <w:p w14:paraId="27E6FDC7" w14:textId="77777777" w:rsidR="008362E5" w:rsidRPr="00C723E0" w:rsidRDefault="008362E5" w:rsidP="00D77455">
      <w:pPr>
        <w:pStyle w:val="ListParagraph"/>
        <w:numPr>
          <w:ilvl w:val="0"/>
          <w:numId w:val="9"/>
        </w:numPr>
        <w:spacing w:after="120"/>
        <w:jc w:val="both"/>
        <w:rPr>
          <w:rFonts w:ascii="Calibri" w:hAnsi="Calibri" w:cs="Calibri"/>
          <w:sz w:val="22"/>
          <w:szCs w:val="22"/>
          <w:lang w:val="en-AU"/>
        </w:rPr>
      </w:pPr>
      <w:r w:rsidRPr="00C723E0">
        <w:rPr>
          <w:rFonts w:ascii="Calibri" w:hAnsi="Calibri" w:cs="Calibri"/>
          <w:sz w:val="22"/>
          <w:szCs w:val="22"/>
          <w:lang w:val="en-AU"/>
        </w:rPr>
        <w:t>Why (in particular, how the Program has contributed to the change)?</w:t>
      </w:r>
    </w:p>
    <w:p w14:paraId="63A27BF4" w14:textId="77777777" w:rsidR="008362E5" w:rsidRPr="00C723E0" w:rsidRDefault="008362E5" w:rsidP="00D77455">
      <w:pPr>
        <w:pStyle w:val="ListParagraph"/>
        <w:numPr>
          <w:ilvl w:val="0"/>
          <w:numId w:val="9"/>
        </w:numPr>
        <w:spacing w:after="120"/>
        <w:jc w:val="both"/>
        <w:rPr>
          <w:rFonts w:ascii="Calibri" w:hAnsi="Calibri" w:cs="Calibri"/>
          <w:sz w:val="22"/>
          <w:szCs w:val="22"/>
          <w:lang w:val="en-AU"/>
        </w:rPr>
      </w:pPr>
      <w:r w:rsidRPr="00C723E0">
        <w:rPr>
          <w:rFonts w:ascii="Calibri" w:hAnsi="Calibri" w:cs="Calibri"/>
          <w:sz w:val="22"/>
          <w:szCs w:val="22"/>
          <w:lang w:val="en-AU"/>
        </w:rPr>
        <w:t xml:space="preserve"> How can further positive change be achieved?</w:t>
      </w:r>
    </w:p>
    <w:p w14:paraId="3FBF1520" w14:textId="6C1A15FA" w:rsidR="004F6A0E" w:rsidRPr="00C723E0" w:rsidRDefault="00540E64" w:rsidP="00F4710E">
      <w:pPr>
        <w:spacing w:after="120"/>
        <w:jc w:val="both"/>
        <w:rPr>
          <w:rFonts w:ascii="Calibri" w:hAnsi="Calibri" w:cs="Calibri"/>
          <w:sz w:val="22"/>
          <w:szCs w:val="22"/>
          <w:lang w:val="en-AU"/>
        </w:rPr>
      </w:pPr>
      <w:r w:rsidRPr="00C723E0">
        <w:rPr>
          <w:rFonts w:ascii="Calibri" w:hAnsi="Calibri" w:cs="Calibri"/>
          <w:b/>
          <w:bCs/>
          <w:sz w:val="22"/>
          <w:szCs w:val="22"/>
          <w:lang w:val="en-AU"/>
        </w:rPr>
        <w:t>The restructuring of the MEL framework</w:t>
      </w:r>
      <w:r w:rsidR="0081454E" w:rsidRPr="00C723E0">
        <w:rPr>
          <w:rFonts w:ascii="Calibri" w:hAnsi="Calibri" w:cs="Calibri"/>
          <w:b/>
          <w:bCs/>
          <w:sz w:val="22"/>
          <w:szCs w:val="22"/>
          <w:lang w:val="en-AU"/>
        </w:rPr>
        <w:t>, from the former Fiji Partnership,</w:t>
      </w:r>
      <w:r w:rsidRPr="00C723E0">
        <w:rPr>
          <w:rFonts w:ascii="Calibri" w:hAnsi="Calibri" w:cs="Calibri"/>
          <w:b/>
          <w:bCs/>
          <w:sz w:val="22"/>
          <w:szCs w:val="22"/>
          <w:lang w:val="en-AU"/>
        </w:rPr>
        <w:t xml:space="preserve"> helped in this regard </w:t>
      </w:r>
      <w:r w:rsidR="00EB46EC" w:rsidRPr="00C723E0">
        <w:rPr>
          <w:rFonts w:ascii="Calibri" w:hAnsi="Calibri" w:cs="Calibri"/>
          <w:b/>
          <w:bCs/>
          <w:sz w:val="22"/>
          <w:szCs w:val="22"/>
          <w:lang w:val="en-AU"/>
        </w:rPr>
        <w:t>by introducing</w:t>
      </w:r>
      <w:r w:rsidRPr="00C723E0">
        <w:rPr>
          <w:rFonts w:ascii="Calibri" w:hAnsi="Calibri" w:cs="Calibri"/>
          <w:b/>
          <w:bCs/>
          <w:sz w:val="22"/>
          <w:szCs w:val="22"/>
          <w:lang w:val="en-AU"/>
        </w:rPr>
        <w:t xml:space="preserve"> key questions to complement</w:t>
      </w:r>
      <w:r w:rsidR="00E43041" w:rsidRPr="00C723E0">
        <w:rPr>
          <w:rFonts w:ascii="Calibri" w:hAnsi="Calibri" w:cs="Calibri"/>
          <w:b/>
          <w:bCs/>
          <w:sz w:val="22"/>
          <w:szCs w:val="22"/>
          <w:lang w:val="en-AU"/>
        </w:rPr>
        <w:t xml:space="preserve"> and</w:t>
      </w:r>
      <w:r w:rsidRPr="00C723E0">
        <w:rPr>
          <w:rFonts w:ascii="Calibri" w:hAnsi="Calibri" w:cs="Calibri"/>
          <w:b/>
          <w:bCs/>
          <w:sz w:val="22"/>
          <w:szCs w:val="22"/>
          <w:lang w:val="en-AU"/>
        </w:rPr>
        <w:t xml:space="preserve"> enhance existing indicators and targets</w:t>
      </w:r>
      <w:r w:rsidRPr="00C723E0">
        <w:rPr>
          <w:rFonts w:ascii="Calibri" w:hAnsi="Calibri" w:cs="Calibri"/>
          <w:sz w:val="22"/>
          <w:szCs w:val="22"/>
          <w:lang w:val="en-AU"/>
        </w:rPr>
        <w:t>.</w:t>
      </w:r>
      <w:r w:rsidR="004F6A0E" w:rsidRPr="00C723E0">
        <w:rPr>
          <w:rFonts w:ascii="Calibri" w:hAnsi="Calibri" w:cs="Calibri"/>
          <w:sz w:val="22"/>
          <w:szCs w:val="22"/>
          <w:lang w:val="en-AU"/>
        </w:rPr>
        <w:t xml:space="preserve"> </w:t>
      </w:r>
      <w:r w:rsidR="00E43041" w:rsidRPr="00C723E0">
        <w:rPr>
          <w:rFonts w:ascii="Calibri" w:hAnsi="Calibri" w:cs="Calibri"/>
          <w:sz w:val="22"/>
          <w:szCs w:val="22"/>
          <w:lang w:val="en-AU"/>
        </w:rPr>
        <w:t>This has be</w:t>
      </w:r>
      <w:r w:rsidR="006D5DEF" w:rsidRPr="00C723E0">
        <w:rPr>
          <w:rFonts w:ascii="Calibri" w:hAnsi="Calibri" w:cs="Calibri"/>
          <w:sz w:val="22"/>
          <w:szCs w:val="22"/>
          <w:lang w:val="en-AU"/>
        </w:rPr>
        <w:t>en</w:t>
      </w:r>
      <w:r w:rsidR="00E43041" w:rsidRPr="00C723E0">
        <w:rPr>
          <w:rFonts w:ascii="Calibri" w:hAnsi="Calibri" w:cs="Calibri"/>
          <w:sz w:val="22"/>
          <w:szCs w:val="22"/>
          <w:lang w:val="en-AU"/>
        </w:rPr>
        <w:t xml:space="preserve"> a strategically important shift and </w:t>
      </w:r>
      <w:r w:rsidR="006D5DEF" w:rsidRPr="00C723E0">
        <w:rPr>
          <w:rFonts w:ascii="Calibri" w:hAnsi="Calibri" w:cs="Calibri"/>
          <w:sz w:val="22"/>
          <w:szCs w:val="22"/>
          <w:lang w:val="en-AU"/>
        </w:rPr>
        <w:t xml:space="preserve">has </w:t>
      </w:r>
      <w:r w:rsidR="00E43041" w:rsidRPr="00C723E0">
        <w:rPr>
          <w:rFonts w:ascii="Calibri" w:hAnsi="Calibri" w:cs="Calibri"/>
          <w:sz w:val="22"/>
          <w:szCs w:val="22"/>
          <w:lang w:val="en-AU"/>
        </w:rPr>
        <w:t xml:space="preserve">promoted better use and application of MEL. </w:t>
      </w:r>
      <w:r w:rsidR="004F6A0E" w:rsidRPr="00C723E0">
        <w:rPr>
          <w:rFonts w:ascii="Calibri" w:hAnsi="Calibri" w:cs="Calibri"/>
          <w:sz w:val="22"/>
          <w:szCs w:val="22"/>
          <w:lang w:val="en-AU"/>
        </w:rPr>
        <w:t>The approach</w:t>
      </w:r>
      <w:r w:rsidR="00E43041" w:rsidRPr="00C723E0">
        <w:rPr>
          <w:rFonts w:ascii="Calibri" w:hAnsi="Calibri" w:cs="Calibri"/>
          <w:sz w:val="22"/>
          <w:szCs w:val="22"/>
          <w:lang w:val="en-AU"/>
        </w:rPr>
        <w:t xml:space="preserve"> also</w:t>
      </w:r>
      <w:r w:rsidR="004F6A0E" w:rsidRPr="00C723E0">
        <w:rPr>
          <w:rFonts w:ascii="Calibri" w:hAnsi="Calibri" w:cs="Calibri"/>
          <w:sz w:val="22"/>
          <w:szCs w:val="22"/>
          <w:lang w:val="en-AU"/>
        </w:rPr>
        <w:t xml:space="preserve"> provide</w:t>
      </w:r>
      <w:r w:rsidR="00E43041" w:rsidRPr="00C723E0">
        <w:rPr>
          <w:rFonts w:ascii="Calibri" w:hAnsi="Calibri" w:cs="Calibri"/>
          <w:sz w:val="22"/>
          <w:szCs w:val="22"/>
          <w:lang w:val="en-AU"/>
        </w:rPr>
        <w:t>d</w:t>
      </w:r>
      <w:r w:rsidR="004F6A0E" w:rsidRPr="00C723E0">
        <w:rPr>
          <w:rFonts w:ascii="Calibri" w:hAnsi="Calibri" w:cs="Calibri"/>
          <w:sz w:val="22"/>
          <w:szCs w:val="22"/>
          <w:lang w:val="en-AU"/>
        </w:rPr>
        <w:t xml:space="preserve"> for a mix of support and assessment and enables more robust </w:t>
      </w:r>
      <w:r w:rsidR="006D5DEF" w:rsidRPr="00C723E0">
        <w:rPr>
          <w:rFonts w:ascii="Calibri" w:hAnsi="Calibri" w:cs="Calibri"/>
          <w:sz w:val="22"/>
          <w:szCs w:val="22"/>
          <w:lang w:val="en-AU"/>
        </w:rPr>
        <w:t>method</w:t>
      </w:r>
      <w:r w:rsidR="004F6A0E" w:rsidRPr="00C723E0">
        <w:rPr>
          <w:rFonts w:ascii="Calibri" w:hAnsi="Calibri" w:cs="Calibri"/>
          <w:sz w:val="22"/>
          <w:szCs w:val="22"/>
          <w:lang w:val="en-AU"/>
        </w:rPr>
        <w:t>s to collect,</w:t>
      </w:r>
      <w:r w:rsidR="006D5DEF" w:rsidRPr="00C723E0">
        <w:rPr>
          <w:rFonts w:ascii="Calibri" w:hAnsi="Calibri" w:cs="Calibri"/>
          <w:sz w:val="22"/>
          <w:szCs w:val="22"/>
          <w:lang w:val="en-AU"/>
        </w:rPr>
        <w:t xml:space="preserve"> manage,</w:t>
      </w:r>
      <w:r w:rsidR="004F6A0E" w:rsidRPr="00C723E0">
        <w:rPr>
          <w:rFonts w:ascii="Calibri" w:hAnsi="Calibri" w:cs="Calibri"/>
          <w:sz w:val="22"/>
          <w:szCs w:val="22"/>
          <w:lang w:val="en-AU"/>
        </w:rPr>
        <w:t xml:space="preserve"> a</w:t>
      </w:r>
      <w:r w:rsidR="006D5DEF" w:rsidRPr="00C723E0">
        <w:rPr>
          <w:rFonts w:ascii="Calibri" w:hAnsi="Calibri" w:cs="Calibri"/>
          <w:sz w:val="22"/>
          <w:szCs w:val="22"/>
          <w:lang w:val="en-AU"/>
        </w:rPr>
        <w:t>n</w:t>
      </w:r>
      <w:r w:rsidR="004F6A0E" w:rsidRPr="00C723E0">
        <w:rPr>
          <w:rFonts w:ascii="Calibri" w:hAnsi="Calibri" w:cs="Calibri"/>
          <w:sz w:val="22"/>
          <w:szCs w:val="22"/>
          <w:lang w:val="en-AU"/>
        </w:rPr>
        <w:t>alyse and utilise information and data. Overall</w:t>
      </w:r>
      <w:r w:rsidR="006D5DEF" w:rsidRPr="00C723E0">
        <w:rPr>
          <w:rFonts w:ascii="Calibri" w:hAnsi="Calibri" w:cs="Calibri"/>
          <w:sz w:val="22"/>
          <w:szCs w:val="22"/>
          <w:lang w:val="en-AU"/>
        </w:rPr>
        <w:t>,</w:t>
      </w:r>
      <w:r w:rsidR="004F6A0E" w:rsidRPr="00C723E0">
        <w:rPr>
          <w:rFonts w:ascii="Calibri" w:hAnsi="Calibri" w:cs="Calibri"/>
          <w:sz w:val="22"/>
          <w:szCs w:val="22"/>
          <w:lang w:val="en-AU"/>
        </w:rPr>
        <w:t xml:space="preserve"> FPSDP’s MEL system is appropriate, fit</w:t>
      </w:r>
      <w:r w:rsidR="006D5DEF" w:rsidRPr="00C723E0">
        <w:rPr>
          <w:rFonts w:ascii="Calibri" w:hAnsi="Calibri" w:cs="Calibri"/>
          <w:sz w:val="22"/>
          <w:szCs w:val="22"/>
          <w:lang w:val="en-AU"/>
        </w:rPr>
        <w:t>-for-purpos</w:t>
      </w:r>
      <w:r w:rsidR="004F6A0E" w:rsidRPr="00C723E0">
        <w:rPr>
          <w:rFonts w:ascii="Calibri" w:hAnsi="Calibri" w:cs="Calibri"/>
          <w:sz w:val="22"/>
          <w:szCs w:val="22"/>
          <w:lang w:val="en-AU"/>
        </w:rPr>
        <w:t xml:space="preserve">e and generates relevant and appropriate information. </w:t>
      </w:r>
    </w:p>
    <w:p w14:paraId="393125F5" w14:textId="0E40A609" w:rsidR="006D5DEF" w:rsidRPr="00C723E0" w:rsidRDefault="006D5DEF" w:rsidP="00F4710E">
      <w:pPr>
        <w:spacing w:after="120"/>
        <w:jc w:val="both"/>
        <w:rPr>
          <w:rFonts w:ascii="Calibri" w:hAnsi="Calibri" w:cs="Calibri"/>
          <w:sz w:val="22"/>
          <w:szCs w:val="22"/>
          <w:lang w:val="en-AU"/>
        </w:rPr>
      </w:pPr>
      <w:r w:rsidRPr="00C723E0">
        <w:rPr>
          <w:rFonts w:ascii="Calibri" w:hAnsi="Calibri" w:cs="Calibri"/>
          <w:sz w:val="22"/>
          <w:szCs w:val="22"/>
          <w:lang w:val="en-AU"/>
        </w:rPr>
        <w:lastRenderedPageBreak/>
        <w:t xml:space="preserve">The evaluation considered </w:t>
      </w:r>
      <w:r w:rsidR="00EB46EC" w:rsidRPr="00C723E0">
        <w:rPr>
          <w:rFonts w:ascii="Calibri" w:hAnsi="Calibri" w:cs="Calibri"/>
          <w:sz w:val="22"/>
          <w:szCs w:val="22"/>
          <w:lang w:val="en-AU"/>
        </w:rPr>
        <w:t xml:space="preserve">the </w:t>
      </w:r>
      <w:r w:rsidRPr="00C723E0">
        <w:rPr>
          <w:rFonts w:ascii="Calibri" w:hAnsi="Calibri" w:cs="Calibri"/>
          <w:sz w:val="22"/>
          <w:szCs w:val="22"/>
          <w:lang w:val="en-AU"/>
        </w:rPr>
        <w:t>overall progress of results against pre</w:t>
      </w:r>
      <w:r w:rsidR="00EB46EC" w:rsidRPr="00C723E0">
        <w:rPr>
          <w:rFonts w:ascii="Calibri" w:hAnsi="Calibri" w:cs="Calibri"/>
          <w:sz w:val="22"/>
          <w:szCs w:val="22"/>
          <w:lang w:val="en-AU"/>
        </w:rPr>
        <w:t>-</w:t>
      </w:r>
      <w:r w:rsidRPr="00C723E0">
        <w:rPr>
          <w:rFonts w:ascii="Calibri" w:hAnsi="Calibri" w:cs="Calibri"/>
          <w:sz w:val="22"/>
          <w:szCs w:val="22"/>
          <w:lang w:val="en-AU"/>
        </w:rPr>
        <w:t xml:space="preserve">described targets. A copy of the updated results framework is included in Annex 5. </w:t>
      </w:r>
      <w:r w:rsidR="00EB46EC" w:rsidRPr="00C723E0">
        <w:rPr>
          <w:rFonts w:ascii="Calibri" w:hAnsi="Calibri" w:cs="Calibri"/>
          <w:sz w:val="22"/>
          <w:szCs w:val="22"/>
          <w:lang w:val="en-AU"/>
        </w:rPr>
        <w:t xml:space="preserve">The results framework provides a solid basis for an initial assessment of progress towards the results framework. The program </w:t>
      </w:r>
      <w:r w:rsidR="00601CB3" w:rsidRPr="00C723E0">
        <w:rPr>
          <w:rFonts w:ascii="Calibri" w:hAnsi="Calibri" w:cs="Calibri"/>
          <w:sz w:val="22"/>
          <w:szCs w:val="22"/>
          <w:lang w:val="en-AU"/>
        </w:rPr>
        <w:t>ha</w:t>
      </w:r>
      <w:r w:rsidR="00EB46EC" w:rsidRPr="00C723E0">
        <w:rPr>
          <w:rFonts w:ascii="Calibri" w:hAnsi="Calibri" w:cs="Calibri"/>
          <w:sz w:val="22"/>
          <w:szCs w:val="22"/>
          <w:lang w:val="en-AU"/>
        </w:rPr>
        <w:t>s consistently reported against progress which provides a useful base for reporting.</w:t>
      </w:r>
    </w:p>
    <w:p w14:paraId="108A83B5" w14:textId="4DE59A52" w:rsidR="008362E5" w:rsidRDefault="008362E5" w:rsidP="008362E5">
      <w:pPr>
        <w:spacing w:after="120"/>
        <w:jc w:val="both"/>
        <w:rPr>
          <w:rFonts w:ascii="Calibri" w:hAnsi="Calibri" w:cs="Calibri"/>
          <w:sz w:val="22"/>
          <w:szCs w:val="22"/>
          <w:lang w:val="en-AU"/>
        </w:rPr>
      </w:pPr>
      <w:r w:rsidRPr="00C723E0">
        <w:rPr>
          <w:rFonts w:ascii="Calibri" w:hAnsi="Calibri" w:cs="Calibri"/>
          <w:b/>
          <w:bCs/>
          <w:sz w:val="22"/>
          <w:szCs w:val="22"/>
          <w:lang w:val="en-AU"/>
        </w:rPr>
        <w:t>Looking forward, FPSDP would have benefited from having a desi</w:t>
      </w:r>
      <w:r w:rsidR="0010305B" w:rsidRPr="00C723E0">
        <w:rPr>
          <w:rFonts w:ascii="Calibri" w:hAnsi="Calibri" w:cs="Calibri"/>
          <w:b/>
          <w:bCs/>
          <w:sz w:val="22"/>
          <w:szCs w:val="22"/>
          <w:lang w:val="en-AU"/>
        </w:rPr>
        <w:t>gnated</w:t>
      </w:r>
      <w:r w:rsidRPr="00C723E0">
        <w:rPr>
          <w:rFonts w:ascii="Calibri" w:hAnsi="Calibri" w:cs="Calibri"/>
          <w:b/>
          <w:bCs/>
          <w:sz w:val="22"/>
          <w:szCs w:val="22"/>
          <w:lang w:val="en-AU"/>
        </w:rPr>
        <w:t xml:space="preserve"> MEL resource to explore and apply a more evaluative focus on the progress and achievement of specific activities.</w:t>
      </w:r>
      <w:r w:rsidRPr="00C723E0">
        <w:rPr>
          <w:rFonts w:ascii="Calibri" w:hAnsi="Calibri" w:cs="Calibri"/>
          <w:sz w:val="22"/>
          <w:szCs w:val="22"/>
          <w:lang w:val="en-AU"/>
        </w:rPr>
        <w:t xml:space="preserve"> Six-monthly and annual reporting has been completed to a very high standard. However, the focus on results frameworks and counting of numbers does not fully explain or attribute overall progress, nuance and challenges to the audience. </w:t>
      </w:r>
      <w:r w:rsidR="00C61C6F" w:rsidRPr="00C723E0">
        <w:rPr>
          <w:rFonts w:ascii="Calibri" w:hAnsi="Calibri" w:cs="Calibri"/>
          <w:sz w:val="22"/>
          <w:szCs w:val="22"/>
          <w:lang w:val="en-AU"/>
        </w:rPr>
        <w:t xml:space="preserve">The proposed enhancement would involve more bespoke evaluative efforts, and more detailed analysis of progress against outcomes </w:t>
      </w:r>
      <w:r w:rsidRPr="00C723E0">
        <w:rPr>
          <w:rFonts w:ascii="Calibri" w:hAnsi="Calibri" w:cs="Calibri"/>
          <w:sz w:val="22"/>
          <w:szCs w:val="22"/>
          <w:lang w:val="en-AU"/>
        </w:rPr>
        <w:t>would hel</w:t>
      </w:r>
      <w:r w:rsidR="00092CD0" w:rsidRPr="00C723E0">
        <w:rPr>
          <w:rFonts w:ascii="Calibri" w:hAnsi="Calibri" w:cs="Calibri"/>
          <w:sz w:val="22"/>
          <w:szCs w:val="22"/>
          <w:lang w:val="en-AU"/>
        </w:rPr>
        <w:t>p</w:t>
      </w:r>
      <w:r w:rsidRPr="00C723E0">
        <w:rPr>
          <w:rFonts w:ascii="Calibri" w:hAnsi="Calibri" w:cs="Calibri"/>
          <w:sz w:val="22"/>
          <w:szCs w:val="22"/>
          <w:lang w:val="en-AU"/>
        </w:rPr>
        <w:t xml:space="preserve"> IFC and DFAT have a more complete picture of progress and contribution to program and DFAT-level outcomes and expected results. </w:t>
      </w:r>
      <w:r w:rsidR="00C61C6F" w:rsidRPr="00C723E0">
        <w:rPr>
          <w:rFonts w:ascii="Calibri" w:hAnsi="Calibri" w:cs="Calibri"/>
          <w:sz w:val="22"/>
          <w:szCs w:val="22"/>
          <w:lang w:val="en-AU"/>
        </w:rPr>
        <w:t>These do not need to be complex o</w:t>
      </w:r>
      <w:r w:rsidR="00074D35" w:rsidRPr="00C723E0">
        <w:rPr>
          <w:rFonts w:ascii="Calibri" w:hAnsi="Calibri" w:cs="Calibri"/>
          <w:sz w:val="22"/>
          <w:szCs w:val="22"/>
          <w:lang w:val="en-AU"/>
        </w:rPr>
        <w:t>r</w:t>
      </w:r>
      <w:r w:rsidR="00C61C6F" w:rsidRPr="00C723E0">
        <w:rPr>
          <w:rFonts w:ascii="Calibri" w:hAnsi="Calibri" w:cs="Calibri"/>
          <w:sz w:val="22"/>
          <w:szCs w:val="22"/>
          <w:lang w:val="en-AU"/>
        </w:rPr>
        <w:t xml:space="preserve"> expensive. The application of a small “performance story” or “case study” on a specific work or thematic area would be one possible option for consideration. </w:t>
      </w:r>
    </w:p>
    <w:p w14:paraId="3CB72426" w14:textId="3EA0B890" w:rsidR="008661C2" w:rsidRPr="00C723E0" w:rsidRDefault="008661C2" w:rsidP="008362E5">
      <w:pPr>
        <w:spacing w:after="120"/>
        <w:jc w:val="both"/>
        <w:rPr>
          <w:rFonts w:ascii="Calibri" w:hAnsi="Calibri" w:cs="Calibri"/>
          <w:sz w:val="22"/>
          <w:szCs w:val="22"/>
          <w:lang w:val="en-AU"/>
        </w:rPr>
      </w:pPr>
      <w:r>
        <w:rPr>
          <w:rFonts w:ascii="Calibri" w:hAnsi="Calibri" w:cs="Calibri"/>
          <w:sz w:val="22"/>
          <w:szCs w:val="22"/>
          <w:lang w:val="en-AU"/>
        </w:rPr>
        <w:t>In considering the findings and evidence above, the evaluation assigns a “highly satisfactory” rating to coherence.</w:t>
      </w:r>
    </w:p>
    <w:p w14:paraId="47154D68" w14:textId="7DC8845B" w:rsidR="00F76090" w:rsidRPr="00EB120F" w:rsidRDefault="00F76090" w:rsidP="00EB120F">
      <w:pPr>
        <w:pStyle w:val="Heading2"/>
      </w:pPr>
      <w:bookmarkStart w:id="38" w:name="_Toc201131775"/>
      <w:bookmarkStart w:id="39" w:name="_Toc206675824"/>
      <w:r w:rsidRPr="00EB120F">
        <w:t>Effectiveness</w:t>
      </w:r>
      <w:bookmarkEnd w:id="38"/>
      <w:bookmarkEnd w:id="39"/>
    </w:p>
    <w:p w14:paraId="1A83A88A" w14:textId="7D595033" w:rsidR="00194D9B" w:rsidRPr="00C723E0" w:rsidRDefault="00194D9B" w:rsidP="00047C6D">
      <w:pPr>
        <w:spacing w:after="120"/>
        <w:jc w:val="both"/>
        <w:rPr>
          <w:rFonts w:ascii="Calibri" w:hAnsi="Calibri" w:cs="Calibri"/>
          <w:sz w:val="22"/>
          <w:szCs w:val="22"/>
          <w:lang w:val="en-AU"/>
        </w:rPr>
      </w:pPr>
      <w:r w:rsidRPr="00C723E0">
        <w:rPr>
          <w:rFonts w:ascii="Calibri" w:hAnsi="Calibri" w:cs="Calibri"/>
          <w:sz w:val="22"/>
          <w:szCs w:val="22"/>
          <w:lang w:val="en-AU"/>
        </w:rPr>
        <w:t xml:space="preserve">DFAT defines effectiveness as the extent to which </w:t>
      </w:r>
      <w:r w:rsidR="00DE58CB" w:rsidRPr="00C723E0">
        <w:rPr>
          <w:rFonts w:ascii="Calibri" w:hAnsi="Calibri" w:cs="Calibri"/>
          <w:sz w:val="22"/>
          <w:szCs w:val="22"/>
          <w:lang w:val="en-AU"/>
        </w:rPr>
        <w:t>an aid activity's</w:t>
      </w:r>
      <w:r w:rsidRPr="00C723E0">
        <w:rPr>
          <w:rFonts w:ascii="Calibri" w:hAnsi="Calibri" w:cs="Calibri"/>
          <w:sz w:val="22"/>
          <w:szCs w:val="22"/>
          <w:lang w:val="en-AU"/>
        </w:rPr>
        <w:t xml:space="preserve"> expected results (i.e., outputs or outcomes) have been achieved</w:t>
      </w:r>
      <w:r w:rsidRPr="00C723E0">
        <w:rPr>
          <w:rStyle w:val="FootnoteReference"/>
          <w:rFonts w:ascii="Calibri" w:eastAsiaTheme="majorEastAsia" w:hAnsi="Calibri" w:cs="Calibri"/>
          <w:sz w:val="22"/>
          <w:szCs w:val="22"/>
          <w:lang w:val="en-AU"/>
        </w:rPr>
        <w:footnoteReference w:id="16"/>
      </w:r>
      <w:r w:rsidRPr="00C723E0">
        <w:rPr>
          <w:rFonts w:ascii="Calibri" w:hAnsi="Calibri" w:cs="Calibri"/>
          <w:sz w:val="22"/>
          <w:szCs w:val="22"/>
          <w:lang w:val="en-AU"/>
        </w:rPr>
        <w:t xml:space="preserve">. At the final stage of current implementation, it is </w:t>
      </w:r>
      <w:r w:rsidR="00DE58CB" w:rsidRPr="00C723E0">
        <w:rPr>
          <w:rFonts w:ascii="Calibri" w:hAnsi="Calibri" w:cs="Calibri"/>
          <w:sz w:val="22"/>
          <w:szCs w:val="22"/>
          <w:lang w:val="en-AU"/>
        </w:rPr>
        <w:t>essential</w:t>
      </w:r>
      <w:r w:rsidRPr="00C723E0">
        <w:rPr>
          <w:rFonts w:ascii="Calibri" w:hAnsi="Calibri" w:cs="Calibri"/>
          <w:sz w:val="22"/>
          <w:szCs w:val="22"/>
          <w:lang w:val="en-AU"/>
        </w:rPr>
        <w:t xml:space="preserve"> to assess performance over the entire </w:t>
      </w:r>
      <w:r w:rsidR="00DE58CB" w:rsidRPr="00C723E0">
        <w:rPr>
          <w:rFonts w:ascii="Calibri" w:hAnsi="Calibri" w:cs="Calibri"/>
          <w:sz w:val="22"/>
          <w:szCs w:val="22"/>
          <w:lang w:val="en-AU"/>
        </w:rPr>
        <w:t>implementation period and make</w:t>
      </w:r>
      <w:r w:rsidRPr="00C723E0">
        <w:rPr>
          <w:rFonts w:ascii="Calibri" w:hAnsi="Calibri" w:cs="Calibri"/>
          <w:sz w:val="22"/>
          <w:szCs w:val="22"/>
          <w:lang w:val="en-AU"/>
        </w:rPr>
        <w:t xml:space="preserve"> clear statements and </w:t>
      </w:r>
      <w:r w:rsidR="00E95293" w:rsidRPr="00C723E0">
        <w:rPr>
          <w:rFonts w:ascii="Calibri" w:hAnsi="Calibri" w:cs="Calibri"/>
          <w:sz w:val="22"/>
          <w:szCs w:val="22"/>
          <w:lang w:val="en-AU"/>
        </w:rPr>
        <w:t>conclusions</w:t>
      </w:r>
      <w:r w:rsidRPr="00C723E0">
        <w:rPr>
          <w:rFonts w:ascii="Calibri" w:hAnsi="Calibri" w:cs="Calibri"/>
          <w:sz w:val="22"/>
          <w:szCs w:val="22"/>
          <w:lang w:val="en-AU"/>
        </w:rPr>
        <w:t xml:space="preserve"> as to whether the program </w:t>
      </w:r>
      <w:r w:rsidR="00A52E50" w:rsidRPr="00C723E0">
        <w:rPr>
          <w:rFonts w:ascii="Calibri" w:hAnsi="Calibri" w:cs="Calibri"/>
          <w:sz w:val="22"/>
          <w:szCs w:val="22"/>
          <w:lang w:val="en-AU"/>
        </w:rPr>
        <w:t>has</w:t>
      </w:r>
      <w:r w:rsidRPr="00C723E0">
        <w:rPr>
          <w:rFonts w:ascii="Calibri" w:hAnsi="Calibri" w:cs="Calibri"/>
          <w:sz w:val="22"/>
          <w:szCs w:val="22"/>
          <w:lang w:val="en-AU"/>
        </w:rPr>
        <w:t xml:space="preserve"> made significant and </w:t>
      </w:r>
      <w:r w:rsidR="00BD6839" w:rsidRPr="00C723E0">
        <w:rPr>
          <w:rFonts w:ascii="Calibri" w:hAnsi="Calibri" w:cs="Calibri"/>
          <w:sz w:val="22"/>
          <w:szCs w:val="22"/>
          <w:lang w:val="en-AU"/>
        </w:rPr>
        <w:t>tangible progress towards its</w:t>
      </w:r>
      <w:r w:rsidRPr="00C723E0">
        <w:rPr>
          <w:rFonts w:ascii="Calibri" w:hAnsi="Calibri" w:cs="Calibri"/>
          <w:sz w:val="22"/>
          <w:szCs w:val="22"/>
          <w:lang w:val="en-AU"/>
        </w:rPr>
        <w:t xml:space="preserve"> End-Of-</w:t>
      </w:r>
      <w:r w:rsidR="00BD6839" w:rsidRPr="00C723E0">
        <w:rPr>
          <w:rFonts w:ascii="Calibri" w:hAnsi="Calibri" w:cs="Calibri"/>
          <w:sz w:val="22"/>
          <w:szCs w:val="22"/>
          <w:lang w:val="en-AU"/>
        </w:rPr>
        <w:t>Program</w:t>
      </w:r>
      <w:r w:rsidRPr="00C723E0">
        <w:rPr>
          <w:rFonts w:ascii="Calibri" w:hAnsi="Calibri" w:cs="Calibri"/>
          <w:sz w:val="22"/>
          <w:szCs w:val="22"/>
          <w:lang w:val="en-AU"/>
        </w:rPr>
        <w:t>-Outcomes (EO</w:t>
      </w:r>
      <w:r w:rsidR="00DE58CB" w:rsidRPr="00C723E0">
        <w:rPr>
          <w:rFonts w:ascii="Calibri" w:hAnsi="Calibri" w:cs="Calibri"/>
          <w:sz w:val="22"/>
          <w:szCs w:val="22"/>
          <w:lang w:val="en-AU"/>
        </w:rPr>
        <w:t>P</w:t>
      </w:r>
      <w:r w:rsidRPr="00C723E0">
        <w:rPr>
          <w:rFonts w:ascii="Calibri" w:hAnsi="Calibri" w:cs="Calibri"/>
          <w:sz w:val="22"/>
          <w:szCs w:val="22"/>
          <w:lang w:val="en-AU"/>
        </w:rPr>
        <w:t xml:space="preserve">Os). This allows for </w:t>
      </w:r>
      <w:r w:rsidR="00DE58CB" w:rsidRPr="00C723E0">
        <w:rPr>
          <w:rFonts w:ascii="Calibri" w:hAnsi="Calibri" w:cs="Calibri"/>
          <w:sz w:val="22"/>
          <w:szCs w:val="22"/>
          <w:lang w:val="en-AU"/>
        </w:rPr>
        <w:t>identifying</w:t>
      </w:r>
      <w:r w:rsidRPr="00C723E0">
        <w:rPr>
          <w:rFonts w:ascii="Calibri" w:hAnsi="Calibri" w:cs="Calibri"/>
          <w:sz w:val="22"/>
          <w:szCs w:val="22"/>
          <w:lang w:val="en-AU"/>
        </w:rPr>
        <w:t xml:space="preserve"> adaptations that may be required to improve performance over the remaining years. Th</w:t>
      </w:r>
      <w:r w:rsidR="00DE58CB" w:rsidRPr="00C723E0">
        <w:rPr>
          <w:rFonts w:ascii="Calibri" w:hAnsi="Calibri" w:cs="Calibri"/>
          <w:sz w:val="22"/>
          <w:szCs w:val="22"/>
          <w:lang w:val="en-AU"/>
        </w:rPr>
        <w:t xml:space="preserve">ree secondary evaluation </w:t>
      </w:r>
      <w:r w:rsidR="00263CC4" w:rsidRPr="00C723E0">
        <w:rPr>
          <w:rFonts w:ascii="Calibri" w:hAnsi="Calibri" w:cs="Calibri"/>
          <w:sz w:val="22"/>
          <w:szCs w:val="22"/>
          <w:lang w:val="en-AU"/>
        </w:rPr>
        <w:t xml:space="preserve">areas </w:t>
      </w:r>
      <w:r w:rsidR="00DE58CB" w:rsidRPr="00C723E0">
        <w:rPr>
          <w:rFonts w:ascii="Calibri" w:hAnsi="Calibri" w:cs="Calibri"/>
          <w:sz w:val="22"/>
          <w:szCs w:val="22"/>
          <w:lang w:val="en-AU"/>
        </w:rPr>
        <w:t>supported the examination of effectivenes</w:t>
      </w:r>
      <w:r w:rsidRPr="00C723E0">
        <w:rPr>
          <w:rFonts w:ascii="Calibri" w:hAnsi="Calibri" w:cs="Calibri"/>
          <w:sz w:val="22"/>
          <w:szCs w:val="22"/>
          <w:lang w:val="en-AU"/>
        </w:rPr>
        <w:t xml:space="preserve">s, </w:t>
      </w:r>
      <w:r w:rsidR="00DE58CB" w:rsidRPr="00C723E0">
        <w:rPr>
          <w:rFonts w:ascii="Calibri" w:hAnsi="Calibri" w:cs="Calibri"/>
          <w:sz w:val="22"/>
          <w:szCs w:val="22"/>
          <w:lang w:val="en-AU"/>
        </w:rPr>
        <w:t xml:space="preserve">and </w:t>
      </w:r>
      <w:r w:rsidRPr="00C723E0">
        <w:rPr>
          <w:rFonts w:ascii="Calibri" w:hAnsi="Calibri" w:cs="Calibri"/>
          <w:sz w:val="22"/>
          <w:szCs w:val="22"/>
          <w:lang w:val="en-AU"/>
        </w:rPr>
        <w:t xml:space="preserve">these findings are presented below. </w:t>
      </w:r>
    </w:p>
    <w:p w14:paraId="4484B807" w14:textId="3703B06B" w:rsidR="00F76090" w:rsidRPr="00271484" w:rsidRDefault="00F76090" w:rsidP="005416B2">
      <w:pPr>
        <w:spacing w:after="120"/>
        <w:jc w:val="both"/>
        <w:rPr>
          <w:rFonts w:ascii="Calibri" w:hAnsi="Calibri" w:cs="Calibri"/>
          <w:b/>
          <w:bCs/>
          <w:i/>
          <w:iCs/>
          <w:color w:val="000000" w:themeColor="text1"/>
          <w:u w:val="single"/>
          <w:lang w:val="en-AU"/>
        </w:rPr>
      </w:pPr>
      <w:r w:rsidRPr="00271484">
        <w:rPr>
          <w:rFonts w:ascii="Calibri" w:hAnsi="Calibri" w:cs="Calibri"/>
          <w:b/>
          <w:bCs/>
          <w:i/>
          <w:iCs/>
          <w:color w:val="000000" w:themeColor="text1"/>
          <w:u w:val="single"/>
          <w:lang w:val="en-AU"/>
        </w:rPr>
        <w:t xml:space="preserve">KEQ </w:t>
      </w:r>
      <w:r w:rsidR="008362E5" w:rsidRPr="00271484">
        <w:rPr>
          <w:rFonts w:ascii="Calibri" w:hAnsi="Calibri" w:cs="Calibri"/>
          <w:b/>
          <w:bCs/>
          <w:i/>
          <w:iCs/>
          <w:color w:val="000000" w:themeColor="text1"/>
          <w:u w:val="single"/>
          <w:lang w:val="en-AU"/>
        </w:rPr>
        <w:t>3</w:t>
      </w:r>
      <w:r w:rsidRPr="00271484">
        <w:rPr>
          <w:rFonts w:ascii="Calibri" w:hAnsi="Calibri" w:cs="Calibri"/>
          <w:b/>
          <w:bCs/>
          <w:i/>
          <w:iCs/>
          <w:color w:val="000000" w:themeColor="text1"/>
          <w:u w:val="single"/>
          <w:lang w:val="en-AU"/>
        </w:rPr>
        <w:t>: To what extent has the FPDSP delivered its anticipated impacts, with particular reference to the evaluative questions in the M&amp;E framework?</w:t>
      </w:r>
    </w:p>
    <w:p w14:paraId="1C0DD7BB" w14:textId="5A19F407" w:rsidR="008362E5" w:rsidRPr="00EB120F" w:rsidRDefault="008362E5" w:rsidP="00EB120F">
      <w:pPr>
        <w:pStyle w:val="Heading3"/>
      </w:pPr>
      <w:bookmarkStart w:id="40" w:name="_Toc201131776"/>
      <w:r w:rsidRPr="00EB120F">
        <w:t>Adaptation and Response</w:t>
      </w:r>
      <w:bookmarkEnd w:id="40"/>
    </w:p>
    <w:p w14:paraId="30DCCD08" w14:textId="159D0CF9" w:rsidR="00146D37" w:rsidRPr="00C723E0" w:rsidRDefault="00146D37" w:rsidP="00146D37">
      <w:pPr>
        <w:spacing w:after="120"/>
        <w:jc w:val="both"/>
        <w:rPr>
          <w:rFonts w:ascii="Calibri" w:hAnsi="Calibri" w:cs="Calibri"/>
          <w:sz w:val="22"/>
          <w:szCs w:val="22"/>
          <w:lang w:val="en-AU"/>
        </w:rPr>
      </w:pPr>
      <w:r w:rsidRPr="00C723E0">
        <w:rPr>
          <w:rFonts w:ascii="Calibri" w:hAnsi="Calibri" w:cs="Calibri"/>
          <w:b/>
          <w:bCs/>
          <w:sz w:val="22"/>
          <w:szCs w:val="22"/>
          <w:lang w:val="en-AU"/>
        </w:rPr>
        <w:t>As indicated in earlier sections, the program has demonstrated an evident ability to respond and adapt to the evolving needs of the private sector.</w:t>
      </w:r>
      <w:r w:rsidRPr="00C723E0">
        <w:rPr>
          <w:rFonts w:ascii="Calibri" w:hAnsi="Calibri" w:cs="Calibri"/>
          <w:sz w:val="22"/>
          <w:szCs w:val="22"/>
          <w:lang w:val="en-AU"/>
        </w:rPr>
        <w:t xml:space="preserve"> The program has proven itself to be adaptable and responsive. This is evidenced by the type and scope of projects identified, funded and implemented. </w:t>
      </w:r>
      <w:r w:rsidR="00E5697D" w:rsidRPr="00C723E0">
        <w:rPr>
          <w:rFonts w:ascii="Calibri" w:hAnsi="Calibri" w:cs="Calibri"/>
          <w:sz w:val="22"/>
          <w:szCs w:val="22"/>
          <w:lang w:val="en-AU"/>
        </w:rPr>
        <w:t>This</w:t>
      </w:r>
      <w:r w:rsidRPr="00C723E0">
        <w:rPr>
          <w:rFonts w:ascii="Calibri" w:hAnsi="Calibri" w:cs="Calibri"/>
          <w:sz w:val="22"/>
          <w:szCs w:val="22"/>
          <w:lang w:val="en-AU"/>
        </w:rPr>
        <w:t xml:space="preserve"> is also evidenced by PSC minutes and actions t</w:t>
      </w:r>
      <w:r w:rsidR="00E5697D" w:rsidRPr="00C723E0">
        <w:rPr>
          <w:rFonts w:ascii="Calibri" w:hAnsi="Calibri" w:cs="Calibri"/>
          <w:sz w:val="22"/>
          <w:szCs w:val="22"/>
          <w:lang w:val="en-AU"/>
        </w:rPr>
        <w:t>hat</w:t>
      </w:r>
      <w:r w:rsidRPr="00C723E0">
        <w:rPr>
          <w:rFonts w:ascii="Calibri" w:hAnsi="Calibri" w:cs="Calibri"/>
          <w:sz w:val="22"/>
          <w:szCs w:val="22"/>
          <w:lang w:val="en-AU"/>
        </w:rPr>
        <w:t xml:space="preserve"> support relevant projects. Finally, the selection projects that firmly focused on private sector ends, particularly as the Go</w:t>
      </w:r>
      <w:r w:rsidR="00E5697D" w:rsidRPr="00C723E0">
        <w:rPr>
          <w:rFonts w:ascii="Calibri" w:hAnsi="Calibri" w:cs="Calibri"/>
          <w:sz w:val="22"/>
          <w:szCs w:val="22"/>
          <w:lang w:val="en-AU"/>
        </w:rPr>
        <w:t>F</w:t>
      </w:r>
      <w:r w:rsidRPr="00C723E0">
        <w:rPr>
          <w:rFonts w:ascii="Calibri" w:hAnsi="Calibri" w:cs="Calibri"/>
          <w:sz w:val="22"/>
          <w:szCs w:val="22"/>
          <w:lang w:val="en-AU"/>
        </w:rPr>
        <w:t xml:space="preserve"> has emerged from COVID-19, demonstrated the </w:t>
      </w:r>
      <w:r w:rsidR="00E5697D" w:rsidRPr="00C723E0">
        <w:rPr>
          <w:rFonts w:ascii="Calibri" w:hAnsi="Calibri" w:cs="Calibri"/>
          <w:sz w:val="22"/>
          <w:szCs w:val="22"/>
          <w:lang w:val="en-AU"/>
        </w:rPr>
        <w:t>program's ability</w:t>
      </w:r>
      <w:r w:rsidRPr="00C723E0">
        <w:rPr>
          <w:rFonts w:ascii="Calibri" w:hAnsi="Calibri" w:cs="Calibri"/>
          <w:sz w:val="22"/>
          <w:szCs w:val="22"/>
          <w:lang w:val="en-AU"/>
        </w:rPr>
        <w:t xml:space="preserve"> to adapt and respond to immediate priorities </w:t>
      </w:r>
      <w:r w:rsidR="00E5697D" w:rsidRPr="00C723E0">
        <w:rPr>
          <w:rFonts w:ascii="Calibri" w:hAnsi="Calibri" w:cs="Calibri"/>
          <w:sz w:val="22"/>
          <w:szCs w:val="22"/>
          <w:lang w:val="en-AU"/>
        </w:rPr>
        <w:t>and</w:t>
      </w:r>
      <w:r w:rsidRPr="00C723E0">
        <w:rPr>
          <w:rFonts w:ascii="Calibri" w:hAnsi="Calibri" w:cs="Calibri"/>
          <w:sz w:val="22"/>
          <w:szCs w:val="22"/>
          <w:lang w:val="en-AU"/>
        </w:rPr>
        <w:t xml:space="preserve"> needs.</w:t>
      </w:r>
    </w:p>
    <w:p w14:paraId="19F96F2F" w14:textId="7BE23EA2" w:rsidR="008362E5" w:rsidRPr="00C723E0" w:rsidRDefault="008362E5" w:rsidP="00146D37">
      <w:pPr>
        <w:spacing w:after="120"/>
        <w:jc w:val="both"/>
        <w:rPr>
          <w:rFonts w:ascii="Calibri" w:hAnsi="Calibri" w:cs="Calibri"/>
          <w:sz w:val="22"/>
          <w:szCs w:val="22"/>
          <w:lang w:val="en-AU"/>
        </w:rPr>
      </w:pPr>
      <w:r w:rsidRPr="00C723E0">
        <w:rPr>
          <w:rFonts w:ascii="Calibri" w:hAnsi="Calibri" w:cs="Calibri"/>
          <w:b/>
          <w:bCs/>
          <w:sz w:val="22"/>
          <w:szCs w:val="22"/>
          <w:lang w:val="en-AU"/>
        </w:rPr>
        <w:t xml:space="preserve">The only suggested guidance for improvement is to ensure future </w:t>
      </w:r>
      <w:r w:rsidR="00F75945" w:rsidRPr="00C723E0">
        <w:rPr>
          <w:rFonts w:ascii="Calibri" w:hAnsi="Calibri" w:cs="Calibri"/>
          <w:b/>
          <w:bCs/>
          <w:sz w:val="22"/>
          <w:szCs w:val="22"/>
          <w:lang w:val="en-AU"/>
        </w:rPr>
        <w:t xml:space="preserve">activity/investment </w:t>
      </w:r>
      <w:r w:rsidRPr="00C723E0">
        <w:rPr>
          <w:rFonts w:ascii="Calibri" w:hAnsi="Calibri" w:cs="Calibri"/>
          <w:b/>
          <w:bCs/>
          <w:sz w:val="22"/>
          <w:szCs w:val="22"/>
          <w:lang w:val="en-AU"/>
        </w:rPr>
        <w:t>designs are th</w:t>
      </w:r>
      <w:r w:rsidR="00540E64" w:rsidRPr="00C723E0">
        <w:rPr>
          <w:rFonts w:ascii="Calibri" w:hAnsi="Calibri" w:cs="Calibri"/>
          <w:b/>
          <w:bCs/>
          <w:sz w:val="22"/>
          <w:szCs w:val="22"/>
          <w:lang w:val="en-AU"/>
        </w:rPr>
        <w:t>ought</w:t>
      </w:r>
      <w:r w:rsidRPr="00C723E0">
        <w:rPr>
          <w:rFonts w:ascii="Calibri" w:hAnsi="Calibri" w:cs="Calibri"/>
          <w:b/>
          <w:bCs/>
          <w:sz w:val="22"/>
          <w:szCs w:val="22"/>
          <w:lang w:val="en-AU"/>
        </w:rPr>
        <w:t xml:space="preserve"> through and planned</w:t>
      </w:r>
      <w:r w:rsidRPr="00C723E0">
        <w:rPr>
          <w:rFonts w:ascii="Calibri" w:hAnsi="Calibri" w:cs="Calibri"/>
          <w:sz w:val="22"/>
          <w:szCs w:val="22"/>
          <w:lang w:val="en-AU"/>
        </w:rPr>
        <w:t xml:space="preserve">. In other words, activities and projects should be designed and implemented so that there is a clearly defined “end </w:t>
      </w:r>
      <w:r w:rsidR="00540E64" w:rsidRPr="00C723E0">
        <w:rPr>
          <w:rFonts w:ascii="Calibri" w:hAnsi="Calibri" w:cs="Calibri"/>
          <w:sz w:val="22"/>
          <w:szCs w:val="22"/>
          <w:lang w:val="en-AU"/>
        </w:rPr>
        <w:t>state</w:t>
      </w:r>
      <w:r w:rsidRPr="00C723E0">
        <w:rPr>
          <w:rFonts w:ascii="Calibri" w:hAnsi="Calibri" w:cs="Calibri"/>
          <w:sz w:val="22"/>
          <w:szCs w:val="22"/>
          <w:lang w:val="en-AU"/>
        </w:rPr>
        <w:t>” at which point both DFA</w:t>
      </w:r>
      <w:r w:rsidR="00540E64" w:rsidRPr="00C723E0">
        <w:rPr>
          <w:rFonts w:ascii="Calibri" w:hAnsi="Calibri" w:cs="Calibri"/>
          <w:sz w:val="22"/>
          <w:szCs w:val="22"/>
          <w:lang w:val="en-AU"/>
        </w:rPr>
        <w:t>T</w:t>
      </w:r>
      <w:r w:rsidRPr="00C723E0">
        <w:rPr>
          <w:rFonts w:ascii="Calibri" w:hAnsi="Calibri" w:cs="Calibri"/>
          <w:sz w:val="22"/>
          <w:szCs w:val="22"/>
          <w:lang w:val="en-AU"/>
        </w:rPr>
        <w:t xml:space="preserve"> and IF</w:t>
      </w:r>
      <w:r w:rsidR="00540E64" w:rsidRPr="00C723E0">
        <w:rPr>
          <w:rFonts w:ascii="Calibri" w:hAnsi="Calibri" w:cs="Calibri"/>
          <w:sz w:val="22"/>
          <w:szCs w:val="22"/>
          <w:lang w:val="en-AU"/>
        </w:rPr>
        <w:t>C</w:t>
      </w:r>
      <w:r w:rsidRPr="00C723E0">
        <w:rPr>
          <w:rFonts w:ascii="Calibri" w:hAnsi="Calibri" w:cs="Calibri"/>
          <w:sz w:val="22"/>
          <w:szCs w:val="22"/>
          <w:lang w:val="en-AU"/>
        </w:rPr>
        <w:t xml:space="preserve"> would have a clear sense (and associated evidence) th</w:t>
      </w:r>
      <w:r w:rsidR="00540E64" w:rsidRPr="00C723E0">
        <w:rPr>
          <w:rFonts w:ascii="Calibri" w:hAnsi="Calibri" w:cs="Calibri"/>
          <w:sz w:val="22"/>
          <w:szCs w:val="22"/>
          <w:lang w:val="en-AU"/>
        </w:rPr>
        <w:t>at</w:t>
      </w:r>
      <w:r w:rsidRPr="00C723E0">
        <w:rPr>
          <w:rFonts w:ascii="Calibri" w:hAnsi="Calibri" w:cs="Calibri"/>
          <w:sz w:val="22"/>
          <w:szCs w:val="22"/>
          <w:lang w:val="en-AU"/>
        </w:rPr>
        <w:t xml:space="preserve"> the project has continued to a desired outcome</w:t>
      </w:r>
      <w:r w:rsidR="0010305B" w:rsidRPr="00C723E0">
        <w:rPr>
          <w:rFonts w:ascii="Calibri" w:hAnsi="Calibri" w:cs="Calibri"/>
          <w:sz w:val="22"/>
          <w:szCs w:val="22"/>
          <w:lang w:val="en-AU"/>
        </w:rPr>
        <w:t xml:space="preserve"> and achieved a defined level of success</w:t>
      </w:r>
      <w:r w:rsidRPr="00C723E0">
        <w:rPr>
          <w:rFonts w:ascii="Calibri" w:hAnsi="Calibri" w:cs="Calibri"/>
          <w:sz w:val="22"/>
          <w:szCs w:val="22"/>
          <w:lang w:val="en-AU"/>
        </w:rPr>
        <w:t>.</w:t>
      </w:r>
      <w:r w:rsidR="00263CC4" w:rsidRPr="00C723E0">
        <w:rPr>
          <w:rFonts w:ascii="Calibri" w:hAnsi="Calibri" w:cs="Calibri"/>
          <w:sz w:val="22"/>
          <w:szCs w:val="22"/>
          <w:lang w:val="en-AU"/>
        </w:rPr>
        <w:t xml:space="preserve"> It is noted that </w:t>
      </w:r>
      <w:r w:rsidR="002348E5" w:rsidRPr="00C723E0">
        <w:rPr>
          <w:rFonts w:ascii="Calibri" w:hAnsi="Calibri" w:cs="Calibri"/>
          <w:sz w:val="22"/>
          <w:szCs w:val="22"/>
          <w:lang w:val="en-AU"/>
        </w:rPr>
        <w:t>the I</w:t>
      </w:r>
      <w:r w:rsidR="00263CC4" w:rsidRPr="00C723E0">
        <w:rPr>
          <w:rFonts w:ascii="Calibri" w:hAnsi="Calibri" w:cs="Calibri"/>
          <w:sz w:val="22"/>
          <w:szCs w:val="22"/>
          <w:lang w:val="en-AU"/>
        </w:rPr>
        <w:t xml:space="preserve">FC specifies </w:t>
      </w:r>
      <w:r w:rsidR="002348E5" w:rsidRPr="00C723E0">
        <w:rPr>
          <w:rFonts w:ascii="Calibri" w:hAnsi="Calibri" w:cs="Calibri"/>
          <w:sz w:val="22"/>
          <w:szCs w:val="22"/>
          <w:lang w:val="en-AU"/>
        </w:rPr>
        <w:t>intended</w:t>
      </w:r>
      <w:r w:rsidR="00263CC4" w:rsidRPr="00C723E0">
        <w:rPr>
          <w:rFonts w:ascii="Calibri" w:hAnsi="Calibri" w:cs="Calibri"/>
          <w:sz w:val="22"/>
          <w:szCs w:val="22"/>
          <w:lang w:val="en-AU"/>
        </w:rPr>
        <w:t xml:space="preserve"> outcomes for each project however, it is more of a conversation around what the final end state is and what evidence is required to demonstrate that.</w:t>
      </w:r>
    </w:p>
    <w:p w14:paraId="1AA3FD24" w14:textId="3937E593" w:rsidR="008362E5" w:rsidRPr="00C723E0" w:rsidRDefault="005D4005" w:rsidP="00146D37">
      <w:pPr>
        <w:spacing w:after="120"/>
        <w:jc w:val="both"/>
        <w:rPr>
          <w:rFonts w:ascii="Calibri" w:hAnsi="Calibri" w:cs="Calibri"/>
          <w:sz w:val="22"/>
          <w:szCs w:val="22"/>
          <w:lang w:val="en-AU"/>
        </w:rPr>
      </w:pPr>
      <w:r w:rsidRPr="00C723E0">
        <w:rPr>
          <w:rFonts w:ascii="Calibri" w:hAnsi="Calibri" w:cs="Calibri"/>
          <w:b/>
          <w:bCs/>
          <w:sz w:val="22"/>
          <w:szCs w:val="22"/>
          <w:lang w:val="en-AU"/>
        </w:rPr>
        <w:t xml:space="preserve">As mentioned previously, </w:t>
      </w:r>
      <w:r w:rsidR="00F4710E" w:rsidRPr="00C723E0">
        <w:rPr>
          <w:rFonts w:ascii="Calibri" w:hAnsi="Calibri" w:cs="Calibri"/>
          <w:b/>
          <w:bCs/>
          <w:sz w:val="22"/>
          <w:szCs w:val="22"/>
          <w:lang w:val="en-AU"/>
        </w:rPr>
        <w:t>applying</w:t>
      </w:r>
      <w:r w:rsidR="008362E5" w:rsidRPr="00C723E0">
        <w:rPr>
          <w:rFonts w:ascii="Calibri" w:hAnsi="Calibri" w:cs="Calibri"/>
          <w:b/>
          <w:bCs/>
          <w:sz w:val="22"/>
          <w:szCs w:val="22"/>
          <w:lang w:val="en-AU"/>
        </w:rPr>
        <w:t xml:space="preserve"> context analysis would also add sign</w:t>
      </w:r>
      <w:r w:rsidRPr="00C723E0">
        <w:rPr>
          <w:rFonts w:ascii="Calibri" w:hAnsi="Calibri" w:cs="Calibri"/>
          <w:b/>
          <w:bCs/>
          <w:sz w:val="22"/>
          <w:szCs w:val="22"/>
          <w:lang w:val="en-AU"/>
        </w:rPr>
        <w:t>ific</w:t>
      </w:r>
      <w:r w:rsidR="008362E5" w:rsidRPr="00C723E0">
        <w:rPr>
          <w:rFonts w:ascii="Calibri" w:hAnsi="Calibri" w:cs="Calibri"/>
          <w:b/>
          <w:bCs/>
          <w:sz w:val="22"/>
          <w:szCs w:val="22"/>
          <w:lang w:val="en-AU"/>
        </w:rPr>
        <w:t>ant value.</w:t>
      </w:r>
      <w:r w:rsidR="008362E5" w:rsidRPr="00C723E0">
        <w:rPr>
          <w:rFonts w:ascii="Calibri" w:hAnsi="Calibri" w:cs="Calibri"/>
          <w:sz w:val="22"/>
          <w:szCs w:val="22"/>
          <w:lang w:val="en-AU"/>
        </w:rPr>
        <w:t xml:space="preserve"> The Reserve Bank of Fiji generates a s</w:t>
      </w:r>
      <w:r w:rsidRPr="00C723E0">
        <w:rPr>
          <w:rFonts w:ascii="Calibri" w:hAnsi="Calibri" w:cs="Calibri"/>
          <w:sz w:val="22"/>
          <w:szCs w:val="22"/>
          <w:lang w:val="en-AU"/>
        </w:rPr>
        <w:t>ubstantial</w:t>
      </w:r>
      <w:r w:rsidR="008362E5" w:rsidRPr="00C723E0">
        <w:rPr>
          <w:rFonts w:ascii="Calibri" w:hAnsi="Calibri" w:cs="Calibri"/>
          <w:sz w:val="22"/>
          <w:szCs w:val="22"/>
          <w:lang w:val="en-AU"/>
        </w:rPr>
        <w:t xml:space="preserve"> amount of data and information. IFC and World Bank also generate </w:t>
      </w:r>
      <w:r w:rsidR="008362E5" w:rsidRPr="00C723E0">
        <w:rPr>
          <w:rFonts w:ascii="Calibri" w:hAnsi="Calibri" w:cs="Calibri"/>
          <w:sz w:val="22"/>
          <w:szCs w:val="22"/>
          <w:lang w:val="en-AU"/>
        </w:rPr>
        <w:lastRenderedPageBreak/>
        <w:t>significant volumes</w:t>
      </w:r>
      <w:r w:rsidRPr="00C723E0">
        <w:rPr>
          <w:rFonts w:ascii="Calibri" w:hAnsi="Calibri" w:cs="Calibri"/>
          <w:sz w:val="22"/>
          <w:szCs w:val="22"/>
          <w:lang w:val="en-AU"/>
        </w:rPr>
        <w:t xml:space="preserve"> of data and information</w:t>
      </w:r>
      <w:r w:rsidR="008362E5" w:rsidRPr="00C723E0">
        <w:rPr>
          <w:rFonts w:ascii="Calibri" w:hAnsi="Calibri" w:cs="Calibri"/>
          <w:sz w:val="22"/>
          <w:szCs w:val="22"/>
          <w:lang w:val="en-AU"/>
        </w:rPr>
        <w:t xml:space="preserve">. It would be </w:t>
      </w:r>
      <w:r w:rsidRPr="00C723E0">
        <w:rPr>
          <w:rFonts w:ascii="Calibri" w:hAnsi="Calibri" w:cs="Calibri"/>
          <w:sz w:val="22"/>
          <w:szCs w:val="22"/>
          <w:lang w:val="en-AU"/>
        </w:rPr>
        <w:t>helpful to</w:t>
      </w:r>
      <w:r w:rsidR="008362E5" w:rsidRPr="00C723E0">
        <w:rPr>
          <w:rFonts w:ascii="Calibri" w:hAnsi="Calibri" w:cs="Calibri"/>
          <w:sz w:val="22"/>
          <w:szCs w:val="22"/>
          <w:lang w:val="en-AU"/>
        </w:rPr>
        <w:t xml:space="preserve"> </w:t>
      </w:r>
      <w:r w:rsidR="00F4710E" w:rsidRPr="00C723E0">
        <w:rPr>
          <w:rFonts w:ascii="Calibri" w:hAnsi="Calibri" w:cs="Calibri"/>
          <w:sz w:val="22"/>
          <w:szCs w:val="22"/>
          <w:lang w:val="en-AU"/>
        </w:rPr>
        <w:t>clearly demonstrate</w:t>
      </w:r>
      <w:r w:rsidR="008362E5" w:rsidRPr="00C723E0">
        <w:rPr>
          <w:rFonts w:ascii="Calibri" w:hAnsi="Calibri" w:cs="Calibri"/>
          <w:sz w:val="22"/>
          <w:szCs w:val="22"/>
          <w:lang w:val="en-AU"/>
        </w:rPr>
        <w:t xml:space="preserve"> that this i</w:t>
      </w:r>
      <w:r w:rsidRPr="00C723E0">
        <w:rPr>
          <w:rFonts w:ascii="Calibri" w:hAnsi="Calibri" w:cs="Calibri"/>
          <w:sz w:val="22"/>
          <w:szCs w:val="22"/>
          <w:lang w:val="en-AU"/>
        </w:rPr>
        <w:t>nformation and data are being us</w:t>
      </w:r>
      <w:r w:rsidR="008362E5" w:rsidRPr="00C723E0">
        <w:rPr>
          <w:rFonts w:ascii="Calibri" w:hAnsi="Calibri" w:cs="Calibri"/>
          <w:sz w:val="22"/>
          <w:szCs w:val="22"/>
          <w:lang w:val="en-AU"/>
        </w:rPr>
        <w:t>ed to inform and design future in</w:t>
      </w:r>
      <w:r w:rsidRPr="00C723E0">
        <w:rPr>
          <w:rFonts w:ascii="Calibri" w:hAnsi="Calibri" w:cs="Calibri"/>
          <w:sz w:val="22"/>
          <w:szCs w:val="22"/>
          <w:lang w:val="en-AU"/>
        </w:rPr>
        <w:t>novatio</w:t>
      </w:r>
      <w:r w:rsidR="008362E5" w:rsidRPr="00C723E0">
        <w:rPr>
          <w:rFonts w:ascii="Calibri" w:hAnsi="Calibri" w:cs="Calibri"/>
          <w:sz w:val="22"/>
          <w:szCs w:val="22"/>
          <w:lang w:val="en-AU"/>
        </w:rPr>
        <w:t>ns</w:t>
      </w:r>
      <w:r w:rsidR="00146D37" w:rsidRPr="00C723E0">
        <w:rPr>
          <w:rFonts w:ascii="Calibri" w:hAnsi="Calibri" w:cs="Calibri"/>
          <w:sz w:val="22"/>
          <w:szCs w:val="22"/>
          <w:lang w:val="en-AU"/>
        </w:rPr>
        <w:t>. This process would add significant weight to demonstrate an ability to adapt and re</w:t>
      </w:r>
      <w:r w:rsidR="00A8242B" w:rsidRPr="00C723E0">
        <w:rPr>
          <w:rFonts w:ascii="Calibri" w:hAnsi="Calibri" w:cs="Calibri"/>
          <w:sz w:val="22"/>
          <w:szCs w:val="22"/>
          <w:lang w:val="en-AU"/>
        </w:rPr>
        <w:t xml:space="preserve">spond </w:t>
      </w:r>
      <w:r w:rsidR="00146D37" w:rsidRPr="00C723E0">
        <w:rPr>
          <w:rFonts w:ascii="Calibri" w:hAnsi="Calibri" w:cs="Calibri"/>
          <w:sz w:val="22"/>
          <w:szCs w:val="22"/>
          <w:lang w:val="en-AU"/>
        </w:rPr>
        <w:t>to emerging priorities and needs. It also provides a so</w:t>
      </w:r>
      <w:r w:rsidR="00E5697D" w:rsidRPr="00C723E0">
        <w:rPr>
          <w:rFonts w:ascii="Calibri" w:hAnsi="Calibri" w:cs="Calibri"/>
          <w:sz w:val="22"/>
          <w:szCs w:val="22"/>
          <w:lang w:val="en-AU"/>
        </w:rPr>
        <w:t>li</w:t>
      </w:r>
      <w:r w:rsidR="00146D37" w:rsidRPr="00C723E0">
        <w:rPr>
          <w:rFonts w:ascii="Calibri" w:hAnsi="Calibri" w:cs="Calibri"/>
          <w:sz w:val="22"/>
          <w:szCs w:val="22"/>
          <w:lang w:val="en-AU"/>
        </w:rPr>
        <w:t xml:space="preserve">d foundation upon which to </w:t>
      </w:r>
      <w:r w:rsidR="00E5697D" w:rsidRPr="00C723E0">
        <w:rPr>
          <w:rFonts w:ascii="Calibri" w:hAnsi="Calibri" w:cs="Calibri"/>
          <w:sz w:val="22"/>
          <w:szCs w:val="22"/>
          <w:lang w:val="en-AU"/>
        </w:rPr>
        <w:t>ba</w:t>
      </w:r>
      <w:r w:rsidR="00146D37" w:rsidRPr="00C723E0">
        <w:rPr>
          <w:rFonts w:ascii="Calibri" w:hAnsi="Calibri" w:cs="Calibri"/>
          <w:sz w:val="22"/>
          <w:szCs w:val="22"/>
          <w:lang w:val="en-AU"/>
        </w:rPr>
        <w:t>se decisions and helps the Program, and partners, to see the evidence and need for a</w:t>
      </w:r>
      <w:r w:rsidR="00E5697D" w:rsidRPr="00C723E0">
        <w:rPr>
          <w:rFonts w:ascii="Calibri" w:hAnsi="Calibri" w:cs="Calibri"/>
          <w:sz w:val="22"/>
          <w:szCs w:val="22"/>
          <w:lang w:val="en-AU"/>
        </w:rPr>
        <w:t>d</w:t>
      </w:r>
      <w:r w:rsidR="00146D37" w:rsidRPr="00C723E0">
        <w:rPr>
          <w:rFonts w:ascii="Calibri" w:hAnsi="Calibri" w:cs="Calibri"/>
          <w:sz w:val="22"/>
          <w:szCs w:val="22"/>
          <w:lang w:val="en-AU"/>
        </w:rPr>
        <w:t xml:space="preserve">justments and responses well in </w:t>
      </w:r>
      <w:r w:rsidR="00E5697D" w:rsidRPr="00C723E0">
        <w:rPr>
          <w:rFonts w:ascii="Calibri" w:hAnsi="Calibri" w:cs="Calibri"/>
          <w:sz w:val="22"/>
          <w:szCs w:val="22"/>
          <w:lang w:val="en-AU"/>
        </w:rPr>
        <w:t>advan</w:t>
      </w:r>
      <w:r w:rsidR="00146D37" w:rsidRPr="00C723E0">
        <w:rPr>
          <w:rFonts w:ascii="Calibri" w:hAnsi="Calibri" w:cs="Calibri"/>
          <w:sz w:val="22"/>
          <w:szCs w:val="22"/>
          <w:lang w:val="en-AU"/>
        </w:rPr>
        <w:t>ce.</w:t>
      </w:r>
    </w:p>
    <w:p w14:paraId="7B2A30EE" w14:textId="0473018E" w:rsidR="00140B4F" w:rsidRPr="00116737" w:rsidRDefault="00140B4F" w:rsidP="00116737">
      <w:pPr>
        <w:pStyle w:val="Heading3"/>
        <w:rPr>
          <w:rFonts w:ascii="Calibri" w:hAnsi="Calibri"/>
          <w:i w:val="0"/>
          <w:color w:val="0E2841" w:themeColor="text2"/>
          <w:lang w:val="en-AU"/>
        </w:rPr>
      </w:pPr>
      <w:bookmarkStart w:id="41" w:name="_Toc201131777"/>
      <w:r w:rsidRPr="00116737">
        <w:rPr>
          <w:rFonts w:ascii="Calibri" w:hAnsi="Calibri"/>
          <w:i w:val="0"/>
          <w:color w:val="0E2841" w:themeColor="text2"/>
          <w:lang w:val="en-AU"/>
        </w:rPr>
        <w:t>Project Selection, Coverage and Key Results</w:t>
      </w:r>
      <w:bookmarkEnd w:id="41"/>
    </w:p>
    <w:p w14:paraId="38AEECB9" w14:textId="1E3EF78E" w:rsidR="00EF0C80" w:rsidRPr="00C723E0" w:rsidRDefault="008362E5" w:rsidP="005416B2">
      <w:pPr>
        <w:spacing w:after="120"/>
        <w:jc w:val="both"/>
        <w:rPr>
          <w:rFonts w:ascii="Calibri" w:hAnsi="Calibri" w:cs="Calibri"/>
          <w:bCs/>
          <w:sz w:val="22"/>
          <w:szCs w:val="22"/>
          <w:lang w:val="en-AU"/>
        </w:rPr>
      </w:pPr>
      <w:r w:rsidRPr="00C723E0">
        <w:rPr>
          <w:rFonts w:ascii="Calibri" w:hAnsi="Calibri" w:cs="Calibri"/>
          <w:b/>
          <w:sz w:val="22"/>
          <w:szCs w:val="22"/>
          <w:lang w:val="en-AU"/>
        </w:rPr>
        <w:t>IFC acknowledged that, at the program level, there is some way to achiev</w:t>
      </w:r>
      <w:r w:rsidR="005D4005" w:rsidRPr="00C723E0">
        <w:rPr>
          <w:rFonts w:ascii="Calibri" w:hAnsi="Calibri" w:cs="Calibri"/>
          <w:b/>
          <w:sz w:val="22"/>
          <w:szCs w:val="22"/>
          <w:lang w:val="en-AU"/>
        </w:rPr>
        <w:t>e</w:t>
      </w:r>
      <w:r w:rsidRPr="00C723E0">
        <w:rPr>
          <w:rFonts w:ascii="Calibri" w:hAnsi="Calibri" w:cs="Calibri"/>
          <w:b/>
          <w:sz w:val="22"/>
          <w:szCs w:val="22"/>
          <w:lang w:val="en-AU"/>
        </w:rPr>
        <w:t xml:space="preserve"> the impact level target</w:t>
      </w:r>
      <w:r w:rsidR="00A8242B" w:rsidRPr="00C723E0">
        <w:rPr>
          <w:rFonts w:ascii="Calibri" w:hAnsi="Calibri" w:cs="Calibri"/>
          <w:b/>
          <w:sz w:val="22"/>
          <w:szCs w:val="22"/>
          <w:lang w:val="en-AU"/>
        </w:rPr>
        <w:t>s</w:t>
      </w:r>
      <w:r w:rsidRPr="00C723E0">
        <w:rPr>
          <w:rFonts w:ascii="Calibri" w:hAnsi="Calibri" w:cs="Calibri"/>
          <w:b/>
          <w:sz w:val="22"/>
          <w:szCs w:val="22"/>
          <w:lang w:val="en-AU"/>
        </w:rPr>
        <w:t xml:space="preserve"> for the Partnership</w:t>
      </w:r>
      <w:r w:rsidR="005D4005" w:rsidRPr="00C723E0">
        <w:rPr>
          <w:rFonts w:ascii="Calibri" w:hAnsi="Calibri" w:cs="Calibri"/>
          <w:bCs/>
          <w:sz w:val="22"/>
          <w:szCs w:val="22"/>
          <w:lang w:val="en-AU"/>
        </w:rPr>
        <w:t>,</w:t>
      </w:r>
      <w:r w:rsidRPr="00C723E0">
        <w:rPr>
          <w:rFonts w:ascii="Calibri" w:hAnsi="Calibri" w:cs="Calibri"/>
          <w:bCs/>
          <w:sz w:val="22"/>
          <w:szCs w:val="22"/>
          <w:lang w:val="en-AU"/>
        </w:rPr>
        <w:t xml:space="preserve"> but noted that there are still pipeline opportunities for achieving it, including through PPP</w:t>
      </w:r>
      <w:r w:rsidR="005D4005" w:rsidRPr="00C723E0">
        <w:rPr>
          <w:rFonts w:ascii="Calibri" w:hAnsi="Calibri" w:cs="Calibri"/>
          <w:bCs/>
          <w:sz w:val="22"/>
          <w:szCs w:val="22"/>
          <w:lang w:val="en-AU"/>
        </w:rPr>
        <w:t>s</w:t>
      </w:r>
      <w:r w:rsidRPr="00C723E0">
        <w:rPr>
          <w:rFonts w:ascii="Calibri" w:hAnsi="Calibri" w:cs="Calibri"/>
          <w:bCs/>
          <w:sz w:val="22"/>
          <w:szCs w:val="22"/>
          <w:lang w:val="en-AU"/>
        </w:rPr>
        <w:t>. The key cha</w:t>
      </w:r>
      <w:r w:rsidR="005416B2" w:rsidRPr="00C723E0">
        <w:rPr>
          <w:rFonts w:ascii="Calibri" w:hAnsi="Calibri" w:cs="Calibri"/>
          <w:bCs/>
          <w:sz w:val="22"/>
          <w:szCs w:val="22"/>
          <w:lang w:val="en-AU"/>
        </w:rPr>
        <w:t>ll</w:t>
      </w:r>
      <w:r w:rsidRPr="00C723E0">
        <w:rPr>
          <w:rFonts w:ascii="Calibri" w:hAnsi="Calibri" w:cs="Calibri"/>
          <w:bCs/>
          <w:sz w:val="22"/>
          <w:szCs w:val="22"/>
          <w:lang w:val="en-AU"/>
        </w:rPr>
        <w:t xml:space="preserve">enge with assessing </w:t>
      </w:r>
      <w:r w:rsidR="005416B2" w:rsidRPr="00C723E0">
        <w:rPr>
          <w:rFonts w:ascii="Calibri" w:hAnsi="Calibri" w:cs="Calibri"/>
          <w:bCs/>
          <w:sz w:val="22"/>
          <w:szCs w:val="22"/>
          <w:lang w:val="en-AU"/>
        </w:rPr>
        <w:t>initial</w:t>
      </w:r>
      <w:r w:rsidRPr="00C723E0">
        <w:rPr>
          <w:rFonts w:ascii="Calibri" w:hAnsi="Calibri" w:cs="Calibri"/>
          <w:bCs/>
          <w:sz w:val="22"/>
          <w:szCs w:val="22"/>
          <w:lang w:val="en-AU"/>
        </w:rPr>
        <w:t xml:space="preserve"> results was that the ToC and results framework focuse</w:t>
      </w:r>
      <w:r w:rsidR="00EF0C80" w:rsidRPr="00C723E0">
        <w:rPr>
          <w:rFonts w:ascii="Calibri" w:hAnsi="Calibri" w:cs="Calibri"/>
          <w:bCs/>
          <w:sz w:val="22"/>
          <w:szCs w:val="22"/>
          <w:lang w:val="en-AU"/>
        </w:rPr>
        <w:t>d</w:t>
      </w:r>
      <w:r w:rsidRPr="00C723E0">
        <w:rPr>
          <w:rFonts w:ascii="Calibri" w:hAnsi="Calibri" w:cs="Calibri"/>
          <w:bCs/>
          <w:sz w:val="22"/>
          <w:szCs w:val="22"/>
          <w:lang w:val="en-AU"/>
        </w:rPr>
        <w:t xml:space="preserve"> on high-level impacts. The program did not have defined EoPOs as part of the </w:t>
      </w:r>
      <w:r w:rsidR="00EF0C80" w:rsidRPr="00C723E0">
        <w:rPr>
          <w:rFonts w:ascii="Calibri" w:hAnsi="Calibri" w:cs="Calibri"/>
          <w:bCs/>
          <w:sz w:val="22"/>
          <w:szCs w:val="22"/>
          <w:lang w:val="en-AU"/>
        </w:rPr>
        <w:t>original design</w:t>
      </w:r>
      <w:r w:rsidRPr="00C723E0">
        <w:rPr>
          <w:rFonts w:ascii="Calibri" w:hAnsi="Calibri" w:cs="Calibri"/>
          <w:bCs/>
          <w:sz w:val="22"/>
          <w:szCs w:val="22"/>
          <w:lang w:val="en-AU"/>
        </w:rPr>
        <w:t>. With the results framework, outcome</w:t>
      </w:r>
      <w:r w:rsidR="00EF0C80" w:rsidRPr="00C723E0">
        <w:rPr>
          <w:rFonts w:ascii="Calibri" w:hAnsi="Calibri" w:cs="Calibri"/>
          <w:bCs/>
          <w:sz w:val="22"/>
          <w:szCs w:val="22"/>
          <w:lang w:val="en-AU"/>
        </w:rPr>
        <w:t xml:space="preserve"> statement</w:t>
      </w:r>
      <w:r w:rsidR="005D4005" w:rsidRPr="00C723E0">
        <w:rPr>
          <w:rFonts w:ascii="Calibri" w:hAnsi="Calibri" w:cs="Calibri"/>
          <w:bCs/>
          <w:sz w:val="22"/>
          <w:szCs w:val="22"/>
          <w:lang w:val="en-AU"/>
        </w:rPr>
        <w:t>s</w:t>
      </w:r>
      <w:r w:rsidR="00EF0C80" w:rsidRPr="00C723E0">
        <w:rPr>
          <w:rFonts w:ascii="Calibri" w:hAnsi="Calibri" w:cs="Calibri"/>
          <w:bCs/>
          <w:sz w:val="22"/>
          <w:szCs w:val="22"/>
          <w:lang w:val="en-AU"/>
        </w:rPr>
        <w:t xml:space="preserve"> were included (Table 2 above)</w:t>
      </w:r>
      <w:r w:rsidR="005D4005" w:rsidRPr="00C723E0">
        <w:rPr>
          <w:rFonts w:ascii="Calibri" w:hAnsi="Calibri" w:cs="Calibri"/>
          <w:bCs/>
          <w:sz w:val="22"/>
          <w:szCs w:val="22"/>
          <w:lang w:val="en-AU"/>
        </w:rPr>
        <w:t>;</w:t>
      </w:r>
      <w:r w:rsidR="00EF0C80" w:rsidRPr="00C723E0">
        <w:rPr>
          <w:rFonts w:ascii="Calibri" w:hAnsi="Calibri" w:cs="Calibri"/>
          <w:bCs/>
          <w:sz w:val="22"/>
          <w:szCs w:val="22"/>
          <w:lang w:val="en-AU"/>
        </w:rPr>
        <w:t xml:space="preserve"> however</w:t>
      </w:r>
      <w:r w:rsidR="005D4005" w:rsidRPr="00C723E0">
        <w:rPr>
          <w:rFonts w:ascii="Calibri" w:hAnsi="Calibri" w:cs="Calibri"/>
          <w:bCs/>
          <w:sz w:val="22"/>
          <w:szCs w:val="22"/>
          <w:lang w:val="en-AU"/>
        </w:rPr>
        <w:t>,</w:t>
      </w:r>
      <w:r w:rsidR="00EF0C80" w:rsidRPr="00C723E0">
        <w:rPr>
          <w:rFonts w:ascii="Calibri" w:hAnsi="Calibri" w:cs="Calibri"/>
          <w:bCs/>
          <w:sz w:val="22"/>
          <w:szCs w:val="22"/>
          <w:lang w:val="en-AU"/>
        </w:rPr>
        <w:t xml:space="preserve"> these were not </w:t>
      </w:r>
      <w:r w:rsidR="005416B2" w:rsidRPr="00C723E0">
        <w:rPr>
          <w:rFonts w:ascii="Calibri" w:hAnsi="Calibri" w:cs="Calibri"/>
          <w:bCs/>
          <w:sz w:val="22"/>
          <w:szCs w:val="22"/>
          <w:lang w:val="en-AU"/>
        </w:rPr>
        <w:t>specific</w:t>
      </w:r>
      <w:r w:rsidR="00EF0C80" w:rsidRPr="00C723E0">
        <w:rPr>
          <w:rFonts w:ascii="Calibri" w:hAnsi="Calibri" w:cs="Calibri"/>
          <w:bCs/>
          <w:sz w:val="22"/>
          <w:szCs w:val="22"/>
          <w:lang w:val="en-AU"/>
        </w:rPr>
        <w:t xml:space="preserve"> EOPO</w:t>
      </w:r>
      <w:r w:rsidR="005D4005" w:rsidRPr="00C723E0">
        <w:rPr>
          <w:rFonts w:ascii="Calibri" w:hAnsi="Calibri" w:cs="Calibri"/>
          <w:bCs/>
          <w:sz w:val="22"/>
          <w:szCs w:val="22"/>
          <w:lang w:val="en-AU"/>
        </w:rPr>
        <w:t>s</w:t>
      </w:r>
      <w:r w:rsidR="00A8242B" w:rsidRPr="00C723E0">
        <w:rPr>
          <w:rFonts w:ascii="Calibri" w:hAnsi="Calibri" w:cs="Calibri"/>
          <w:bCs/>
          <w:sz w:val="22"/>
          <w:szCs w:val="22"/>
          <w:lang w:val="en-AU"/>
        </w:rPr>
        <w:t xml:space="preserve"> that meet specific DFAT design and MEL standards</w:t>
      </w:r>
      <w:r w:rsidR="005D4005" w:rsidRPr="00C723E0">
        <w:rPr>
          <w:rFonts w:ascii="Calibri" w:hAnsi="Calibri" w:cs="Calibri"/>
          <w:bCs/>
          <w:sz w:val="22"/>
          <w:szCs w:val="22"/>
          <w:lang w:val="en-AU"/>
        </w:rPr>
        <w:t>.</w:t>
      </w:r>
      <w:r w:rsidR="00EF0C80" w:rsidRPr="00C723E0">
        <w:rPr>
          <w:rFonts w:ascii="Calibri" w:hAnsi="Calibri" w:cs="Calibri"/>
          <w:bCs/>
          <w:sz w:val="22"/>
          <w:szCs w:val="22"/>
          <w:lang w:val="en-AU"/>
        </w:rPr>
        <w:t xml:space="preserve"> In </w:t>
      </w:r>
      <w:r w:rsidR="005416B2" w:rsidRPr="00C723E0">
        <w:rPr>
          <w:rFonts w:ascii="Calibri" w:hAnsi="Calibri" w:cs="Calibri"/>
          <w:bCs/>
          <w:sz w:val="22"/>
          <w:szCs w:val="22"/>
          <w:lang w:val="en-AU"/>
        </w:rPr>
        <w:t>addition</w:t>
      </w:r>
      <w:r w:rsidR="005D4005" w:rsidRPr="00C723E0">
        <w:rPr>
          <w:rFonts w:ascii="Calibri" w:hAnsi="Calibri" w:cs="Calibri"/>
          <w:bCs/>
          <w:sz w:val="22"/>
          <w:szCs w:val="22"/>
          <w:lang w:val="en-AU"/>
        </w:rPr>
        <w:t>,</w:t>
      </w:r>
      <w:r w:rsidR="00EF0C80" w:rsidRPr="00C723E0">
        <w:rPr>
          <w:rFonts w:ascii="Calibri" w:hAnsi="Calibri" w:cs="Calibri"/>
          <w:bCs/>
          <w:sz w:val="22"/>
          <w:szCs w:val="22"/>
          <w:lang w:val="en-AU"/>
        </w:rPr>
        <w:t xml:space="preserve"> indicators and targets in the results </w:t>
      </w:r>
      <w:r w:rsidR="005416B2" w:rsidRPr="00C723E0">
        <w:rPr>
          <w:rFonts w:ascii="Calibri" w:hAnsi="Calibri" w:cs="Calibri"/>
          <w:bCs/>
          <w:sz w:val="22"/>
          <w:szCs w:val="22"/>
          <w:lang w:val="en-AU"/>
        </w:rPr>
        <w:t>framework</w:t>
      </w:r>
      <w:r w:rsidR="00EF0C80" w:rsidRPr="00C723E0">
        <w:rPr>
          <w:rFonts w:ascii="Calibri" w:hAnsi="Calibri" w:cs="Calibri"/>
          <w:bCs/>
          <w:sz w:val="22"/>
          <w:szCs w:val="22"/>
          <w:lang w:val="en-AU"/>
        </w:rPr>
        <w:t xml:space="preserve"> tended to </w:t>
      </w:r>
      <w:r w:rsidR="005416B2" w:rsidRPr="00C723E0">
        <w:rPr>
          <w:rFonts w:ascii="Calibri" w:hAnsi="Calibri" w:cs="Calibri"/>
          <w:bCs/>
          <w:sz w:val="22"/>
          <w:szCs w:val="22"/>
          <w:lang w:val="en-AU"/>
        </w:rPr>
        <w:t>focus</w:t>
      </w:r>
      <w:r w:rsidR="00EF0C80" w:rsidRPr="00C723E0">
        <w:rPr>
          <w:rFonts w:ascii="Calibri" w:hAnsi="Calibri" w:cs="Calibri"/>
          <w:bCs/>
          <w:sz w:val="22"/>
          <w:szCs w:val="22"/>
          <w:lang w:val="en-AU"/>
        </w:rPr>
        <w:t xml:space="preserve"> on numbers as opposed to the changes that were expected to be seen. This often requires an assessment and evidence of change (often a ratio or %) to demonstrate a change. The application of evaluative questions was </w:t>
      </w:r>
      <w:r w:rsidR="00A8242B" w:rsidRPr="00C723E0">
        <w:rPr>
          <w:rFonts w:ascii="Calibri" w:hAnsi="Calibri" w:cs="Calibri"/>
          <w:bCs/>
          <w:sz w:val="22"/>
          <w:szCs w:val="22"/>
          <w:lang w:val="en-AU"/>
        </w:rPr>
        <w:t>beneficia</w:t>
      </w:r>
      <w:r w:rsidR="00EF0C80" w:rsidRPr="00C723E0">
        <w:rPr>
          <w:rFonts w:ascii="Calibri" w:hAnsi="Calibri" w:cs="Calibri"/>
          <w:bCs/>
          <w:sz w:val="22"/>
          <w:szCs w:val="22"/>
          <w:lang w:val="en-AU"/>
        </w:rPr>
        <w:t>l, relevant</w:t>
      </w:r>
      <w:r w:rsidR="00E5697D" w:rsidRPr="00C723E0">
        <w:rPr>
          <w:rFonts w:ascii="Calibri" w:hAnsi="Calibri" w:cs="Calibri"/>
          <w:bCs/>
          <w:sz w:val="22"/>
          <w:szCs w:val="22"/>
          <w:lang w:val="en-AU"/>
        </w:rPr>
        <w:t>,</w:t>
      </w:r>
      <w:r w:rsidR="00EF0C80" w:rsidRPr="00C723E0">
        <w:rPr>
          <w:rFonts w:ascii="Calibri" w:hAnsi="Calibri" w:cs="Calibri"/>
          <w:bCs/>
          <w:sz w:val="22"/>
          <w:szCs w:val="22"/>
          <w:lang w:val="en-AU"/>
        </w:rPr>
        <w:t xml:space="preserve"> and appropriate</w:t>
      </w:r>
      <w:r w:rsidR="00E5697D" w:rsidRPr="00C723E0">
        <w:rPr>
          <w:rFonts w:ascii="Calibri" w:hAnsi="Calibri" w:cs="Calibri"/>
          <w:bCs/>
          <w:sz w:val="22"/>
          <w:szCs w:val="22"/>
          <w:lang w:val="en-AU"/>
        </w:rPr>
        <w:t>,</w:t>
      </w:r>
      <w:r w:rsidR="00A8242B" w:rsidRPr="00C723E0">
        <w:rPr>
          <w:rFonts w:ascii="Calibri" w:hAnsi="Calibri" w:cs="Calibri"/>
          <w:bCs/>
          <w:sz w:val="22"/>
          <w:szCs w:val="22"/>
          <w:lang w:val="en-AU"/>
        </w:rPr>
        <w:t xml:space="preserve"> and </w:t>
      </w:r>
      <w:r w:rsidR="00E5697D" w:rsidRPr="00C723E0">
        <w:rPr>
          <w:rFonts w:ascii="Calibri" w:hAnsi="Calibri" w:cs="Calibri"/>
          <w:bCs/>
          <w:sz w:val="22"/>
          <w:szCs w:val="22"/>
          <w:lang w:val="en-AU"/>
        </w:rPr>
        <w:t>it demonstrated</w:t>
      </w:r>
      <w:r w:rsidR="00A8242B" w:rsidRPr="00C723E0">
        <w:rPr>
          <w:rFonts w:ascii="Calibri" w:hAnsi="Calibri" w:cs="Calibri"/>
          <w:bCs/>
          <w:sz w:val="22"/>
          <w:szCs w:val="22"/>
          <w:lang w:val="en-AU"/>
        </w:rPr>
        <w:t xml:space="preserve"> good practice </w:t>
      </w:r>
      <w:r w:rsidR="00E5697D" w:rsidRPr="00C723E0">
        <w:rPr>
          <w:rFonts w:ascii="Calibri" w:hAnsi="Calibri" w:cs="Calibri"/>
          <w:bCs/>
          <w:sz w:val="22"/>
          <w:szCs w:val="22"/>
          <w:lang w:val="en-AU"/>
        </w:rPr>
        <w:t>in</w:t>
      </w:r>
      <w:r w:rsidR="00A8242B" w:rsidRPr="00C723E0">
        <w:rPr>
          <w:rFonts w:ascii="Calibri" w:hAnsi="Calibri" w:cs="Calibri"/>
          <w:bCs/>
          <w:sz w:val="22"/>
          <w:szCs w:val="22"/>
          <w:lang w:val="en-AU"/>
        </w:rPr>
        <w:t xml:space="preserve"> support</w:t>
      </w:r>
      <w:r w:rsidR="00E5697D" w:rsidRPr="00C723E0">
        <w:rPr>
          <w:rFonts w:ascii="Calibri" w:hAnsi="Calibri" w:cs="Calibri"/>
          <w:bCs/>
          <w:sz w:val="22"/>
          <w:szCs w:val="22"/>
          <w:lang w:val="en-AU"/>
        </w:rPr>
        <w:t>ing</w:t>
      </w:r>
      <w:r w:rsidR="00A8242B" w:rsidRPr="00C723E0">
        <w:rPr>
          <w:rFonts w:ascii="Calibri" w:hAnsi="Calibri" w:cs="Calibri"/>
          <w:bCs/>
          <w:sz w:val="22"/>
          <w:szCs w:val="22"/>
          <w:lang w:val="en-AU"/>
        </w:rPr>
        <w:t xml:space="preserve"> effective MEL.</w:t>
      </w:r>
    </w:p>
    <w:p w14:paraId="3252ED29" w14:textId="70ABC9B1" w:rsidR="00EF0C80" w:rsidRPr="00C723E0" w:rsidRDefault="005D4005" w:rsidP="005416B2">
      <w:pPr>
        <w:spacing w:after="120"/>
        <w:jc w:val="both"/>
        <w:rPr>
          <w:rFonts w:ascii="Calibri" w:hAnsi="Calibri" w:cs="Calibri"/>
          <w:bCs/>
          <w:sz w:val="22"/>
          <w:szCs w:val="22"/>
          <w:lang w:val="en-AU"/>
        </w:rPr>
      </w:pPr>
      <w:r w:rsidRPr="00C723E0">
        <w:rPr>
          <w:rFonts w:ascii="Calibri" w:hAnsi="Calibri" w:cs="Calibri"/>
          <w:b/>
          <w:sz w:val="22"/>
          <w:szCs w:val="22"/>
          <w:lang w:val="en-AU"/>
        </w:rPr>
        <w:t>Notab</w:t>
      </w:r>
      <w:r w:rsidR="005416B2" w:rsidRPr="00C723E0">
        <w:rPr>
          <w:rFonts w:ascii="Calibri" w:hAnsi="Calibri" w:cs="Calibri"/>
          <w:b/>
          <w:sz w:val="22"/>
          <w:szCs w:val="22"/>
          <w:lang w:val="en-AU"/>
        </w:rPr>
        <w:t>ly</w:t>
      </w:r>
      <w:r w:rsidR="00EF0C80" w:rsidRPr="00C723E0">
        <w:rPr>
          <w:rFonts w:ascii="Calibri" w:hAnsi="Calibri" w:cs="Calibri"/>
          <w:b/>
          <w:sz w:val="22"/>
          <w:szCs w:val="22"/>
          <w:lang w:val="en-AU"/>
        </w:rPr>
        <w:t>, IF</w:t>
      </w:r>
      <w:r w:rsidR="005416B2" w:rsidRPr="00C723E0">
        <w:rPr>
          <w:rFonts w:ascii="Calibri" w:hAnsi="Calibri" w:cs="Calibri"/>
          <w:b/>
          <w:sz w:val="22"/>
          <w:szCs w:val="22"/>
          <w:lang w:val="en-AU"/>
        </w:rPr>
        <w:t>C</w:t>
      </w:r>
      <w:r w:rsidR="00EF0C80" w:rsidRPr="00C723E0">
        <w:rPr>
          <w:rFonts w:ascii="Calibri" w:hAnsi="Calibri" w:cs="Calibri"/>
          <w:b/>
          <w:sz w:val="22"/>
          <w:szCs w:val="22"/>
          <w:lang w:val="en-AU"/>
        </w:rPr>
        <w:t xml:space="preserve"> implemented </w:t>
      </w:r>
      <w:r w:rsidRPr="00C723E0">
        <w:rPr>
          <w:rFonts w:ascii="Calibri" w:hAnsi="Calibri" w:cs="Calibri"/>
          <w:b/>
          <w:sz w:val="22"/>
          <w:szCs w:val="22"/>
          <w:lang w:val="en-AU"/>
        </w:rPr>
        <w:t xml:space="preserve">a </w:t>
      </w:r>
      <w:r w:rsidR="00EF0C80" w:rsidRPr="00C723E0">
        <w:rPr>
          <w:rFonts w:ascii="Calibri" w:hAnsi="Calibri" w:cs="Calibri"/>
          <w:b/>
          <w:sz w:val="22"/>
          <w:szCs w:val="22"/>
          <w:lang w:val="en-AU"/>
        </w:rPr>
        <w:t>multi</w:t>
      </w:r>
      <w:r w:rsidR="00A8242B" w:rsidRPr="00C723E0">
        <w:rPr>
          <w:rFonts w:ascii="Calibri" w:hAnsi="Calibri" w:cs="Calibri"/>
          <w:b/>
          <w:sz w:val="22"/>
          <w:szCs w:val="22"/>
          <w:lang w:val="en-AU"/>
        </w:rPr>
        <w:t>-</w:t>
      </w:r>
      <w:r w:rsidR="00EF0C80" w:rsidRPr="00C723E0">
        <w:rPr>
          <w:rFonts w:ascii="Calibri" w:hAnsi="Calibri" w:cs="Calibri"/>
          <w:b/>
          <w:sz w:val="22"/>
          <w:szCs w:val="22"/>
          <w:lang w:val="en-AU"/>
        </w:rPr>
        <w:t xml:space="preserve">faceted approach that sought </w:t>
      </w:r>
      <w:r w:rsidRPr="00C723E0">
        <w:rPr>
          <w:rFonts w:ascii="Calibri" w:hAnsi="Calibri" w:cs="Calibri"/>
          <w:b/>
          <w:sz w:val="22"/>
          <w:szCs w:val="22"/>
          <w:lang w:val="en-AU"/>
        </w:rPr>
        <w:t xml:space="preserve">to </w:t>
      </w:r>
      <w:r w:rsidR="00EF0C80" w:rsidRPr="00C723E0">
        <w:rPr>
          <w:rFonts w:ascii="Calibri" w:hAnsi="Calibri" w:cs="Calibri"/>
          <w:b/>
          <w:sz w:val="22"/>
          <w:szCs w:val="22"/>
          <w:lang w:val="en-AU"/>
        </w:rPr>
        <w:t>support the enabling private sector environment while also focus</w:t>
      </w:r>
      <w:r w:rsidRPr="00C723E0">
        <w:rPr>
          <w:rFonts w:ascii="Calibri" w:hAnsi="Calibri" w:cs="Calibri"/>
          <w:b/>
          <w:sz w:val="22"/>
          <w:szCs w:val="22"/>
          <w:lang w:val="en-AU"/>
        </w:rPr>
        <w:t>ing</w:t>
      </w:r>
      <w:r w:rsidR="00EF0C80" w:rsidRPr="00C723E0">
        <w:rPr>
          <w:rFonts w:ascii="Calibri" w:hAnsi="Calibri" w:cs="Calibri"/>
          <w:b/>
          <w:sz w:val="22"/>
          <w:szCs w:val="22"/>
          <w:lang w:val="en-AU"/>
        </w:rPr>
        <w:t xml:space="preserve"> on key sector investments</w:t>
      </w:r>
      <w:r w:rsidR="00EF0C80" w:rsidRPr="00C723E0">
        <w:rPr>
          <w:rFonts w:ascii="Calibri" w:hAnsi="Calibri" w:cs="Calibri"/>
          <w:bCs/>
          <w:sz w:val="22"/>
          <w:szCs w:val="22"/>
          <w:lang w:val="en-AU"/>
        </w:rPr>
        <w:t>. Align</w:t>
      </w:r>
      <w:r w:rsidR="00E5697D" w:rsidRPr="00C723E0">
        <w:rPr>
          <w:rFonts w:ascii="Calibri" w:hAnsi="Calibri" w:cs="Calibri"/>
          <w:bCs/>
          <w:sz w:val="22"/>
          <w:szCs w:val="22"/>
          <w:lang w:val="en-AU"/>
        </w:rPr>
        <w:t>ing</w:t>
      </w:r>
      <w:r w:rsidR="00EF0C80" w:rsidRPr="00C723E0">
        <w:rPr>
          <w:rFonts w:ascii="Calibri" w:hAnsi="Calibri" w:cs="Calibri"/>
          <w:bCs/>
          <w:sz w:val="22"/>
          <w:szCs w:val="22"/>
          <w:lang w:val="en-AU"/>
        </w:rPr>
        <w:t xml:space="preserve"> activities to each pillar was also </w:t>
      </w:r>
      <w:r w:rsidRPr="00C723E0">
        <w:rPr>
          <w:rFonts w:ascii="Calibri" w:hAnsi="Calibri" w:cs="Calibri"/>
          <w:bCs/>
          <w:sz w:val="22"/>
          <w:szCs w:val="22"/>
          <w:lang w:val="en-AU"/>
        </w:rPr>
        <w:t>valuable</w:t>
      </w:r>
      <w:r w:rsidR="001C72B6" w:rsidRPr="00C723E0">
        <w:rPr>
          <w:rFonts w:ascii="Calibri" w:hAnsi="Calibri" w:cs="Calibri"/>
          <w:bCs/>
          <w:sz w:val="22"/>
          <w:szCs w:val="22"/>
          <w:lang w:val="en-AU"/>
        </w:rPr>
        <w:t>, enabling</w:t>
      </w:r>
      <w:r w:rsidR="00EF0C80" w:rsidRPr="00C723E0">
        <w:rPr>
          <w:rFonts w:ascii="Calibri" w:hAnsi="Calibri" w:cs="Calibri"/>
          <w:bCs/>
          <w:sz w:val="22"/>
          <w:szCs w:val="22"/>
          <w:lang w:val="en-AU"/>
        </w:rPr>
        <w:t xml:space="preserve"> better assessment of progress towards Pillar out</w:t>
      </w:r>
      <w:r w:rsidRPr="00C723E0">
        <w:rPr>
          <w:rFonts w:ascii="Calibri" w:hAnsi="Calibri" w:cs="Calibri"/>
          <w:bCs/>
          <w:sz w:val="22"/>
          <w:szCs w:val="22"/>
          <w:lang w:val="en-AU"/>
        </w:rPr>
        <w:t>co</w:t>
      </w:r>
      <w:r w:rsidR="00EF0C80" w:rsidRPr="00C723E0">
        <w:rPr>
          <w:rFonts w:ascii="Calibri" w:hAnsi="Calibri" w:cs="Calibri"/>
          <w:bCs/>
          <w:sz w:val="22"/>
          <w:szCs w:val="22"/>
          <w:lang w:val="en-AU"/>
        </w:rPr>
        <w:t>mes and results</w:t>
      </w:r>
      <w:r w:rsidR="00A8242B" w:rsidRPr="00C723E0">
        <w:rPr>
          <w:rFonts w:ascii="Calibri" w:hAnsi="Calibri" w:cs="Calibri"/>
          <w:bCs/>
          <w:sz w:val="22"/>
          <w:szCs w:val="22"/>
          <w:lang w:val="en-AU"/>
        </w:rPr>
        <w:t>. I</w:t>
      </w:r>
      <w:r w:rsidR="00EF0C80" w:rsidRPr="00C723E0">
        <w:rPr>
          <w:rFonts w:ascii="Calibri" w:hAnsi="Calibri" w:cs="Calibri"/>
          <w:bCs/>
          <w:sz w:val="22"/>
          <w:szCs w:val="22"/>
          <w:lang w:val="en-AU"/>
        </w:rPr>
        <w:t>t also ensured a r</w:t>
      </w:r>
      <w:r w:rsidRPr="00C723E0">
        <w:rPr>
          <w:rFonts w:ascii="Calibri" w:hAnsi="Calibri" w:cs="Calibri"/>
          <w:bCs/>
          <w:sz w:val="22"/>
          <w:szCs w:val="22"/>
          <w:lang w:val="en-AU"/>
        </w:rPr>
        <w:t>elatively equal we</w:t>
      </w:r>
      <w:r w:rsidR="00EF0C80" w:rsidRPr="00C723E0">
        <w:rPr>
          <w:rFonts w:ascii="Calibri" w:hAnsi="Calibri" w:cs="Calibri"/>
          <w:bCs/>
          <w:sz w:val="22"/>
          <w:szCs w:val="22"/>
          <w:lang w:val="en-AU"/>
        </w:rPr>
        <w:t>ighting and re</w:t>
      </w:r>
      <w:r w:rsidRPr="00C723E0">
        <w:rPr>
          <w:rFonts w:ascii="Calibri" w:hAnsi="Calibri" w:cs="Calibri"/>
          <w:bCs/>
          <w:sz w:val="22"/>
          <w:szCs w:val="22"/>
          <w:lang w:val="en-AU"/>
        </w:rPr>
        <w:t>presentati</w:t>
      </w:r>
      <w:r w:rsidR="00EF0C80" w:rsidRPr="00C723E0">
        <w:rPr>
          <w:rFonts w:ascii="Calibri" w:hAnsi="Calibri" w:cs="Calibri"/>
          <w:bCs/>
          <w:sz w:val="22"/>
          <w:szCs w:val="22"/>
          <w:lang w:val="en-AU"/>
        </w:rPr>
        <w:t xml:space="preserve">on of activities across the portfolio. </w:t>
      </w:r>
      <w:r w:rsidR="00E5697D" w:rsidRPr="00C723E0">
        <w:rPr>
          <w:rFonts w:ascii="Calibri" w:hAnsi="Calibri" w:cs="Calibri"/>
          <w:bCs/>
          <w:sz w:val="22"/>
          <w:szCs w:val="22"/>
          <w:lang w:val="en-AU"/>
        </w:rPr>
        <w:t>Assessment derived from the document review indicates sufficient</w:t>
      </w:r>
      <w:r w:rsidR="001C72B6" w:rsidRPr="00C723E0">
        <w:rPr>
          <w:rFonts w:ascii="Calibri" w:hAnsi="Calibri" w:cs="Calibri"/>
          <w:bCs/>
          <w:sz w:val="22"/>
          <w:szCs w:val="22"/>
          <w:lang w:val="en-AU"/>
        </w:rPr>
        <w:t xml:space="preserve"> and</w:t>
      </w:r>
      <w:r w:rsidR="00E5697D" w:rsidRPr="00C723E0">
        <w:rPr>
          <w:rFonts w:ascii="Calibri" w:hAnsi="Calibri" w:cs="Calibri"/>
          <w:bCs/>
          <w:sz w:val="22"/>
          <w:szCs w:val="22"/>
          <w:lang w:val="en-AU"/>
        </w:rPr>
        <w:t xml:space="preserve"> adequate coverage and </w:t>
      </w:r>
      <w:r w:rsidR="001C72B6" w:rsidRPr="00C723E0">
        <w:rPr>
          <w:rFonts w:ascii="Calibri" w:hAnsi="Calibri" w:cs="Calibri"/>
          <w:bCs/>
          <w:sz w:val="22"/>
          <w:szCs w:val="22"/>
          <w:lang w:val="en-AU"/>
        </w:rPr>
        <w:t xml:space="preserve">a considered </w:t>
      </w:r>
      <w:r w:rsidR="00E5697D" w:rsidRPr="00C723E0">
        <w:rPr>
          <w:rFonts w:ascii="Calibri" w:hAnsi="Calibri" w:cs="Calibri"/>
          <w:bCs/>
          <w:sz w:val="22"/>
          <w:szCs w:val="22"/>
          <w:lang w:val="en-AU"/>
        </w:rPr>
        <w:t>balance across the portfolio and pillars</w:t>
      </w:r>
      <w:r w:rsidR="001C72B6" w:rsidRPr="00C723E0">
        <w:rPr>
          <w:rFonts w:ascii="Calibri" w:hAnsi="Calibri" w:cs="Calibri"/>
          <w:bCs/>
          <w:sz w:val="22"/>
          <w:szCs w:val="22"/>
          <w:lang w:val="en-AU"/>
        </w:rPr>
        <w:t>. Overall,</w:t>
      </w:r>
      <w:r w:rsidR="00E5697D" w:rsidRPr="00C723E0">
        <w:rPr>
          <w:rFonts w:ascii="Calibri" w:hAnsi="Calibri" w:cs="Calibri"/>
          <w:bCs/>
          <w:sz w:val="22"/>
          <w:szCs w:val="22"/>
          <w:lang w:val="en-AU"/>
        </w:rPr>
        <w:t xml:space="preserve"> the</w:t>
      </w:r>
      <w:r w:rsidR="001C72B6" w:rsidRPr="00C723E0">
        <w:rPr>
          <w:rFonts w:ascii="Calibri" w:hAnsi="Calibri" w:cs="Calibri"/>
          <w:bCs/>
          <w:sz w:val="22"/>
          <w:szCs w:val="22"/>
          <w:lang w:val="en-AU"/>
        </w:rPr>
        <w:t xml:space="preserve"> final</w:t>
      </w:r>
      <w:r w:rsidR="00E5697D" w:rsidRPr="00C723E0">
        <w:rPr>
          <w:rFonts w:ascii="Calibri" w:hAnsi="Calibri" w:cs="Calibri"/>
          <w:bCs/>
          <w:sz w:val="22"/>
          <w:szCs w:val="22"/>
          <w:lang w:val="en-AU"/>
        </w:rPr>
        <w:t xml:space="preserve"> </w:t>
      </w:r>
      <w:r w:rsidR="001C72B6" w:rsidRPr="00C723E0">
        <w:rPr>
          <w:rFonts w:ascii="Calibri" w:hAnsi="Calibri" w:cs="Calibri"/>
          <w:bCs/>
          <w:sz w:val="22"/>
          <w:szCs w:val="22"/>
          <w:lang w:val="en-AU"/>
        </w:rPr>
        <w:t>evaluation deemed the selected activities</w:t>
      </w:r>
      <w:r w:rsidR="00E5697D" w:rsidRPr="00C723E0">
        <w:rPr>
          <w:rFonts w:ascii="Calibri" w:hAnsi="Calibri" w:cs="Calibri"/>
          <w:bCs/>
          <w:sz w:val="22"/>
          <w:szCs w:val="22"/>
          <w:lang w:val="en-AU"/>
        </w:rPr>
        <w:t xml:space="preserve"> to be appropriate. </w:t>
      </w:r>
      <w:r w:rsidR="00F32608" w:rsidRPr="00C723E0">
        <w:rPr>
          <w:rFonts w:ascii="Calibri" w:hAnsi="Calibri" w:cs="Calibri"/>
          <w:bCs/>
          <w:sz w:val="22"/>
          <w:szCs w:val="22"/>
          <w:lang w:val="en-AU"/>
        </w:rPr>
        <w:t xml:space="preserve">The following sections report on </w:t>
      </w:r>
      <w:r w:rsidRPr="00C723E0">
        <w:rPr>
          <w:rFonts w:ascii="Calibri" w:hAnsi="Calibri" w:cs="Calibri"/>
          <w:bCs/>
          <w:sz w:val="22"/>
          <w:szCs w:val="22"/>
          <w:lang w:val="en-AU"/>
        </w:rPr>
        <w:t xml:space="preserve">the </w:t>
      </w:r>
      <w:r w:rsidR="00F32608" w:rsidRPr="00C723E0">
        <w:rPr>
          <w:rFonts w:ascii="Calibri" w:hAnsi="Calibri" w:cs="Calibri"/>
          <w:bCs/>
          <w:sz w:val="22"/>
          <w:szCs w:val="22"/>
          <w:lang w:val="en-AU"/>
        </w:rPr>
        <w:t>progress of each pillar and the projects that are grouped within them.</w:t>
      </w:r>
      <w:r w:rsidR="00E5697D" w:rsidRPr="00C723E0">
        <w:rPr>
          <w:rFonts w:ascii="Calibri" w:hAnsi="Calibri" w:cs="Calibri"/>
          <w:bCs/>
          <w:sz w:val="22"/>
          <w:szCs w:val="22"/>
          <w:lang w:val="en-AU"/>
        </w:rPr>
        <w:t xml:space="preserve"> The analysis highlights respective benefits </w:t>
      </w:r>
      <w:r w:rsidR="001C72B6" w:rsidRPr="00C723E0">
        <w:rPr>
          <w:rFonts w:ascii="Calibri" w:hAnsi="Calibri" w:cs="Calibri"/>
          <w:bCs/>
          <w:sz w:val="22"/>
          <w:szCs w:val="22"/>
          <w:lang w:val="en-AU"/>
        </w:rPr>
        <w:t>and</w:t>
      </w:r>
      <w:r w:rsidR="00E5697D" w:rsidRPr="00C723E0">
        <w:rPr>
          <w:rFonts w:ascii="Calibri" w:hAnsi="Calibri" w:cs="Calibri"/>
          <w:bCs/>
          <w:sz w:val="22"/>
          <w:szCs w:val="22"/>
          <w:lang w:val="en-AU"/>
        </w:rPr>
        <w:t xml:space="preserve"> outlines some key challenges and guidance for the future. </w:t>
      </w:r>
    </w:p>
    <w:p w14:paraId="188AB423" w14:textId="5C2B4487" w:rsidR="00F32608" w:rsidRPr="00116737" w:rsidRDefault="00F32608" w:rsidP="00271484">
      <w:pPr>
        <w:pStyle w:val="Heading4"/>
        <w:rPr>
          <w:rFonts w:ascii="Calibri" w:eastAsiaTheme="minorHAnsi" w:hAnsi="Calibri"/>
          <w:b/>
          <w:color w:val="000000" w:themeColor="text1"/>
          <w:lang w:val="en-AU"/>
        </w:rPr>
      </w:pPr>
      <w:r w:rsidRPr="00116737">
        <w:rPr>
          <w:rFonts w:ascii="Calibri" w:hAnsi="Calibri"/>
          <w:b/>
          <w:color w:val="000000" w:themeColor="text1"/>
          <w:lang w:val="en-AU"/>
        </w:rPr>
        <w:t xml:space="preserve">Pillar 1 </w:t>
      </w:r>
      <w:r w:rsidR="00620356" w:rsidRPr="00116737">
        <w:rPr>
          <w:rFonts w:ascii="Calibri" w:hAnsi="Calibri"/>
          <w:b/>
          <w:color w:val="000000" w:themeColor="text1"/>
          <w:lang w:val="en-AU"/>
        </w:rPr>
        <w:t>–</w:t>
      </w:r>
      <w:r w:rsidRPr="00116737">
        <w:rPr>
          <w:rFonts w:ascii="Calibri" w:hAnsi="Calibri"/>
          <w:b/>
          <w:color w:val="000000" w:themeColor="text1"/>
          <w:lang w:val="en-AU"/>
        </w:rPr>
        <w:t xml:space="preserve"> </w:t>
      </w:r>
      <w:r w:rsidR="00620356" w:rsidRPr="00116737">
        <w:rPr>
          <w:rFonts w:ascii="Calibri" w:eastAsiaTheme="minorHAnsi" w:hAnsi="Calibri"/>
          <w:b/>
          <w:color w:val="000000" w:themeColor="text1"/>
          <w:lang w:val="en-AU"/>
        </w:rPr>
        <w:t xml:space="preserve">Enabling Environment for the Private </w:t>
      </w:r>
      <w:r w:rsidR="005D4005" w:rsidRPr="00116737">
        <w:rPr>
          <w:rFonts w:ascii="Calibri" w:eastAsiaTheme="minorHAnsi" w:hAnsi="Calibri"/>
          <w:b/>
          <w:color w:val="000000" w:themeColor="text1"/>
          <w:lang w:val="en-AU"/>
        </w:rPr>
        <w:t>S</w:t>
      </w:r>
      <w:r w:rsidR="00620356" w:rsidRPr="00116737">
        <w:rPr>
          <w:rFonts w:ascii="Calibri" w:eastAsiaTheme="minorHAnsi" w:hAnsi="Calibri"/>
          <w:b/>
          <w:color w:val="000000" w:themeColor="text1"/>
          <w:lang w:val="en-AU"/>
        </w:rPr>
        <w:t>ector</w:t>
      </w:r>
    </w:p>
    <w:p w14:paraId="02799814" w14:textId="0965739B" w:rsidR="005D4005" w:rsidRPr="00C723E0" w:rsidRDefault="005D4005" w:rsidP="007B17C3">
      <w:pPr>
        <w:pStyle w:val="BodyText"/>
        <w:jc w:val="both"/>
        <w:rPr>
          <w:rFonts w:eastAsiaTheme="minorHAnsi" w:cs="Calibri"/>
          <w:szCs w:val="22"/>
          <w:lang w:val="en-AU"/>
        </w:rPr>
      </w:pPr>
      <w:r w:rsidRPr="00C723E0">
        <w:rPr>
          <w:rFonts w:eastAsiaTheme="minorHAnsi" w:cs="Calibri"/>
          <w:b/>
          <w:bCs/>
          <w:szCs w:val="22"/>
          <w:lang w:val="en-AU"/>
        </w:rPr>
        <w:t>The program has been high</w:t>
      </w:r>
      <w:r w:rsidR="003E33AD" w:rsidRPr="00C723E0">
        <w:rPr>
          <w:rFonts w:eastAsiaTheme="minorHAnsi" w:cs="Calibri"/>
          <w:b/>
          <w:bCs/>
          <w:szCs w:val="22"/>
          <w:lang w:val="en-AU"/>
        </w:rPr>
        <w:t>ly</w:t>
      </w:r>
      <w:r w:rsidRPr="00C723E0">
        <w:rPr>
          <w:rFonts w:eastAsiaTheme="minorHAnsi" w:cs="Calibri"/>
          <w:b/>
          <w:bCs/>
          <w:szCs w:val="22"/>
          <w:lang w:val="en-AU"/>
        </w:rPr>
        <w:t xml:space="preserve"> visible and </w:t>
      </w:r>
      <w:r w:rsidR="00A8242B" w:rsidRPr="00C723E0">
        <w:rPr>
          <w:rFonts w:eastAsiaTheme="minorHAnsi" w:cs="Calibri"/>
          <w:b/>
          <w:bCs/>
          <w:szCs w:val="22"/>
          <w:lang w:val="en-AU"/>
        </w:rPr>
        <w:t xml:space="preserve">has </w:t>
      </w:r>
      <w:r w:rsidRPr="00C723E0">
        <w:rPr>
          <w:rFonts w:eastAsiaTheme="minorHAnsi" w:cs="Calibri"/>
          <w:b/>
          <w:bCs/>
          <w:szCs w:val="22"/>
          <w:lang w:val="en-AU"/>
        </w:rPr>
        <w:t>made significant progress in supporting the enabling environment for the private sector in Fiji.</w:t>
      </w:r>
      <w:r w:rsidRPr="00C723E0">
        <w:rPr>
          <w:rFonts w:eastAsiaTheme="minorHAnsi" w:cs="Calibri"/>
          <w:szCs w:val="22"/>
          <w:lang w:val="en-AU"/>
        </w:rPr>
        <w:t xml:space="preserve"> Through a suite of activities, IFC has demonstrated its capacity and willingness to respond to the needs of the </w:t>
      </w:r>
      <w:r w:rsidR="003E33AD" w:rsidRPr="00C723E0">
        <w:rPr>
          <w:rFonts w:eastAsiaTheme="minorHAnsi" w:cs="Calibri"/>
          <w:szCs w:val="22"/>
          <w:lang w:val="en-AU"/>
        </w:rPr>
        <w:t>Go</w:t>
      </w:r>
      <w:r w:rsidR="00A8242B" w:rsidRPr="00C723E0">
        <w:rPr>
          <w:rFonts w:eastAsiaTheme="minorHAnsi" w:cs="Calibri"/>
          <w:szCs w:val="22"/>
          <w:lang w:val="en-AU"/>
        </w:rPr>
        <w:t>F</w:t>
      </w:r>
      <w:r w:rsidRPr="00C723E0">
        <w:rPr>
          <w:rFonts w:eastAsiaTheme="minorHAnsi" w:cs="Calibri"/>
          <w:szCs w:val="22"/>
          <w:lang w:val="en-AU"/>
        </w:rPr>
        <w:t xml:space="preserve"> by tailoring responses and building on key </w:t>
      </w:r>
      <w:r w:rsidR="003E33AD" w:rsidRPr="00C723E0">
        <w:rPr>
          <w:rFonts w:eastAsiaTheme="minorHAnsi" w:cs="Calibri"/>
          <w:szCs w:val="22"/>
          <w:lang w:val="en-AU"/>
        </w:rPr>
        <w:t>investment</w:t>
      </w:r>
      <w:r w:rsidRPr="00C723E0">
        <w:rPr>
          <w:rFonts w:eastAsiaTheme="minorHAnsi" w:cs="Calibri"/>
          <w:szCs w:val="22"/>
          <w:lang w:val="en-AU"/>
        </w:rPr>
        <w:t xml:space="preserve"> in</w:t>
      </w:r>
      <w:r w:rsidR="00A8242B" w:rsidRPr="00C723E0">
        <w:rPr>
          <w:rFonts w:eastAsiaTheme="minorHAnsi" w:cs="Calibri"/>
          <w:szCs w:val="22"/>
          <w:lang w:val="en-AU"/>
        </w:rPr>
        <w:t>itiati</w:t>
      </w:r>
      <w:r w:rsidRPr="00C723E0">
        <w:rPr>
          <w:rFonts w:eastAsiaTheme="minorHAnsi" w:cs="Calibri"/>
          <w:szCs w:val="22"/>
          <w:lang w:val="en-AU"/>
        </w:rPr>
        <w:t>ves.</w:t>
      </w:r>
      <w:r w:rsidR="00D643FF" w:rsidRPr="00C723E0">
        <w:rPr>
          <w:rFonts w:eastAsiaTheme="minorHAnsi" w:cs="Calibri"/>
          <w:szCs w:val="22"/>
          <w:lang w:val="en-AU"/>
        </w:rPr>
        <w:t xml:space="preserve"> The program has focused on supporting a r</w:t>
      </w:r>
      <w:r w:rsidR="001C72B6" w:rsidRPr="00C723E0">
        <w:rPr>
          <w:rFonts w:eastAsiaTheme="minorHAnsi" w:cs="Calibri"/>
          <w:szCs w:val="22"/>
          <w:lang w:val="en-AU"/>
        </w:rPr>
        <w:t>an</w:t>
      </w:r>
      <w:r w:rsidR="00D643FF" w:rsidRPr="00C723E0">
        <w:rPr>
          <w:rFonts w:eastAsiaTheme="minorHAnsi" w:cs="Calibri"/>
          <w:szCs w:val="22"/>
          <w:lang w:val="en-AU"/>
        </w:rPr>
        <w:t>ge of projects that are targeted, cost-effective and focused.</w:t>
      </w:r>
    </w:p>
    <w:p w14:paraId="07D2CA92" w14:textId="099FAECC" w:rsidR="00263CC4" w:rsidRPr="00C723E0" w:rsidRDefault="00263CC4" w:rsidP="00263CC4">
      <w:pPr>
        <w:autoSpaceDE w:val="0"/>
        <w:autoSpaceDN w:val="0"/>
        <w:adjustRightInd w:val="0"/>
        <w:spacing w:after="120"/>
        <w:jc w:val="both"/>
        <w:rPr>
          <w:rFonts w:ascii="Calibri" w:eastAsiaTheme="minorHAnsi" w:hAnsi="Calibri" w:cs="Calibri"/>
          <w:color w:val="000000"/>
          <w:sz w:val="22"/>
          <w:szCs w:val="22"/>
          <w:lang w:val="en-AU"/>
          <w14:ligatures w14:val="standardContextual"/>
        </w:rPr>
      </w:pPr>
      <w:r w:rsidRPr="00C723E0">
        <w:rPr>
          <w:rFonts w:ascii="Calibri" w:eastAsiaTheme="minorHAnsi" w:hAnsi="Calibri" w:cs="Calibri"/>
          <w:color w:val="000000"/>
          <w:sz w:val="22"/>
          <w:szCs w:val="22"/>
          <w:lang w:val="en-AU"/>
          <w14:ligatures w14:val="standardContextual"/>
        </w:rPr>
        <w:t>The IFC has contributed towards significant gains in reforming Fiji’s national payment system, which went live in November 2022. The project has sought to increase the</w:t>
      </w:r>
      <w:r w:rsidR="000900CA" w:rsidRPr="00C723E0">
        <w:rPr>
          <w:rFonts w:ascii="Calibri" w:eastAsiaTheme="minorHAnsi" w:hAnsi="Calibri" w:cs="Calibri"/>
          <w:color w:val="000000"/>
          <w:sz w:val="22"/>
          <w:szCs w:val="22"/>
          <w:lang w:val="en-AU"/>
          <w14:ligatures w14:val="standardContextual"/>
        </w:rPr>
        <w:t xml:space="preserve"> digitalisation and interoperability of</w:t>
      </w:r>
      <w:r w:rsidRPr="00C723E0">
        <w:rPr>
          <w:rFonts w:ascii="Calibri" w:eastAsiaTheme="minorHAnsi" w:hAnsi="Calibri" w:cs="Calibri"/>
          <w:color w:val="000000"/>
          <w:sz w:val="22"/>
          <w:szCs w:val="22"/>
          <w:lang w:val="en-AU"/>
          <w14:ligatures w14:val="standardContextual"/>
        </w:rPr>
        <w:t xml:space="preserve"> financial access points around the country, which include access and proximity to financial services for all, including persons with disabilities. The real-time payment system </w:t>
      </w:r>
      <w:r w:rsidR="0010305B" w:rsidRPr="00C723E0">
        <w:rPr>
          <w:rFonts w:ascii="Calibri" w:eastAsiaTheme="minorHAnsi" w:hAnsi="Calibri" w:cs="Calibri"/>
          <w:color w:val="000000"/>
          <w:sz w:val="22"/>
          <w:szCs w:val="22"/>
          <w:lang w:val="en-AU"/>
          <w14:ligatures w14:val="standardContextual"/>
        </w:rPr>
        <w:t>has the potential to</w:t>
      </w:r>
      <w:r w:rsidRPr="00C723E0">
        <w:rPr>
          <w:rFonts w:ascii="Calibri" w:eastAsiaTheme="minorHAnsi" w:hAnsi="Calibri" w:cs="Calibri"/>
          <w:color w:val="000000"/>
          <w:sz w:val="22"/>
          <w:szCs w:val="22"/>
          <w:lang w:val="en-AU"/>
          <w14:ligatures w14:val="standardContextual"/>
        </w:rPr>
        <w:t xml:space="preserve"> pave the way </w:t>
      </w:r>
      <w:r w:rsidR="00092CD0" w:rsidRPr="00C723E0">
        <w:rPr>
          <w:rFonts w:ascii="Calibri" w:eastAsiaTheme="minorHAnsi" w:hAnsi="Calibri" w:cs="Calibri"/>
          <w:color w:val="000000"/>
          <w:sz w:val="22"/>
          <w:szCs w:val="22"/>
          <w:lang w:val="en-AU"/>
          <w14:ligatures w14:val="standardContextual"/>
        </w:rPr>
        <w:t xml:space="preserve">for </w:t>
      </w:r>
      <w:r w:rsidRPr="00C723E0">
        <w:rPr>
          <w:rFonts w:ascii="Calibri" w:eastAsiaTheme="minorHAnsi" w:hAnsi="Calibri" w:cs="Calibri"/>
          <w:color w:val="000000"/>
          <w:sz w:val="22"/>
          <w:szCs w:val="22"/>
          <w:lang w:val="en-AU"/>
          <w14:ligatures w14:val="standardContextual"/>
        </w:rPr>
        <w:t>banks</w:t>
      </w:r>
      <w:r w:rsidR="000900CA" w:rsidRPr="00C723E0">
        <w:rPr>
          <w:rFonts w:ascii="Calibri" w:eastAsiaTheme="minorHAnsi" w:hAnsi="Calibri" w:cs="Calibri"/>
          <w:color w:val="000000"/>
          <w:sz w:val="22"/>
          <w:szCs w:val="22"/>
          <w:lang w:val="en-AU"/>
          <w14:ligatures w14:val="standardContextual"/>
        </w:rPr>
        <w:t>, FinTechs,</w:t>
      </w:r>
      <w:r w:rsidRPr="00C723E0">
        <w:rPr>
          <w:rFonts w:ascii="Calibri" w:eastAsiaTheme="minorHAnsi" w:hAnsi="Calibri" w:cs="Calibri"/>
          <w:color w:val="000000"/>
          <w:sz w:val="22"/>
          <w:szCs w:val="22"/>
          <w:lang w:val="en-AU"/>
          <w14:ligatures w14:val="standardContextual"/>
        </w:rPr>
        <w:t xml:space="preserve"> and mobile network operators to increase their digital products and services. </w:t>
      </w:r>
    </w:p>
    <w:p w14:paraId="3A1E570C" w14:textId="4B727001" w:rsidR="00C97632" w:rsidRPr="00C723E0" w:rsidRDefault="00263CC4" w:rsidP="00C97632">
      <w:pPr>
        <w:autoSpaceDE w:val="0"/>
        <w:autoSpaceDN w:val="0"/>
        <w:adjustRightInd w:val="0"/>
        <w:spacing w:after="120"/>
        <w:jc w:val="both"/>
        <w:rPr>
          <w:rFonts w:ascii="Calibri" w:hAnsi="Calibri" w:cs="Calibri"/>
          <w:color w:val="000000"/>
          <w:sz w:val="22"/>
          <w:szCs w:val="22"/>
          <w:lang w:val="en-AU"/>
        </w:rPr>
      </w:pPr>
      <w:r w:rsidRPr="00C723E0">
        <w:rPr>
          <w:rFonts w:ascii="Calibri" w:eastAsiaTheme="minorHAnsi" w:hAnsi="Calibri" w:cs="Calibri"/>
          <w:sz w:val="22"/>
          <w:szCs w:val="22"/>
          <w:lang w:val="en-AU"/>
        </w:rPr>
        <w:t xml:space="preserve">The </w:t>
      </w:r>
      <w:r w:rsidR="00C97632" w:rsidRPr="00C723E0">
        <w:rPr>
          <w:rFonts w:ascii="Calibri" w:eastAsiaTheme="minorHAnsi" w:hAnsi="Calibri" w:cs="Calibri"/>
          <w:sz w:val="22"/>
          <w:szCs w:val="22"/>
          <w:lang w:val="en-AU"/>
        </w:rPr>
        <w:t xml:space="preserve">IFC supported the </w:t>
      </w:r>
      <w:r w:rsidR="00C97632" w:rsidRPr="00C723E0">
        <w:rPr>
          <w:rFonts w:ascii="Calibri" w:eastAsiaTheme="minorHAnsi" w:hAnsi="Calibri" w:cs="Calibri"/>
          <w:color w:val="000000"/>
          <w:sz w:val="22"/>
          <w:szCs w:val="22"/>
          <w:lang w:val="en-AU"/>
        </w:rPr>
        <w:t xml:space="preserve">Ministry of Tourism and Civil Aviation (MTCA) to develop the 10-year strategy for Fiji’s tourism sector, the National Sustainable Tourism Framework, and accompanying Action Plan. </w:t>
      </w:r>
      <w:r w:rsidR="00C97632" w:rsidRPr="00C723E0">
        <w:rPr>
          <w:rFonts w:ascii="Calibri" w:eastAsiaTheme="minorHAnsi" w:hAnsi="Calibri" w:cs="Calibri"/>
          <w:sz w:val="22"/>
          <w:szCs w:val="22"/>
          <w:lang w:val="en-AU"/>
        </w:rPr>
        <w:t xml:space="preserve">Interviews with </w:t>
      </w:r>
      <w:r w:rsidR="00340484" w:rsidRPr="00C723E0">
        <w:rPr>
          <w:rFonts w:ascii="Calibri" w:eastAsiaTheme="minorHAnsi" w:hAnsi="Calibri" w:cs="Calibri"/>
          <w:sz w:val="22"/>
          <w:szCs w:val="22"/>
          <w:lang w:val="en-AU"/>
        </w:rPr>
        <w:t>MTCA</w:t>
      </w:r>
      <w:r w:rsidR="00C97632" w:rsidRPr="00C723E0">
        <w:rPr>
          <w:rFonts w:ascii="Calibri" w:hAnsi="Calibri" w:cs="Calibri"/>
          <w:color w:val="000000"/>
          <w:sz w:val="22"/>
          <w:szCs w:val="22"/>
          <w:lang w:val="en-AU"/>
        </w:rPr>
        <w:t xml:space="preserve"> revealed they are actively utilising the </w:t>
      </w:r>
      <w:r w:rsidR="00340484" w:rsidRPr="00C723E0">
        <w:rPr>
          <w:rFonts w:ascii="Calibri" w:hAnsi="Calibri" w:cs="Calibri"/>
          <w:color w:val="000000"/>
          <w:sz w:val="22"/>
          <w:szCs w:val="22"/>
          <w:lang w:val="en-AU"/>
        </w:rPr>
        <w:t>A</w:t>
      </w:r>
      <w:r w:rsidR="00C97632" w:rsidRPr="00C723E0">
        <w:rPr>
          <w:rFonts w:ascii="Calibri" w:hAnsi="Calibri" w:cs="Calibri"/>
          <w:color w:val="000000"/>
          <w:sz w:val="22"/>
          <w:szCs w:val="22"/>
          <w:lang w:val="en-AU"/>
        </w:rPr>
        <w:t xml:space="preserve">ction </w:t>
      </w:r>
      <w:r w:rsidR="00340484" w:rsidRPr="00C723E0">
        <w:rPr>
          <w:rFonts w:ascii="Calibri" w:hAnsi="Calibri" w:cs="Calibri"/>
          <w:color w:val="000000"/>
          <w:sz w:val="22"/>
          <w:szCs w:val="22"/>
          <w:lang w:val="en-AU"/>
        </w:rPr>
        <w:t>P</w:t>
      </w:r>
      <w:r w:rsidR="00C97632" w:rsidRPr="00C723E0">
        <w:rPr>
          <w:rFonts w:ascii="Calibri" w:hAnsi="Calibri" w:cs="Calibri"/>
          <w:color w:val="000000"/>
          <w:sz w:val="22"/>
          <w:szCs w:val="22"/>
          <w:lang w:val="en-AU"/>
        </w:rPr>
        <w:t xml:space="preserve">lan and intend to speak with different development partners around funding priorities to support the plan. Consultations with PSDI indicate that they, too, are referring and using the </w:t>
      </w:r>
      <w:r w:rsidR="00340484" w:rsidRPr="00C723E0">
        <w:rPr>
          <w:rFonts w:ascii="Calibri" w:hAnsi="Calibri" w:cs="Calibri"/>
          <w:color w:val="000000"/>
          <w:sz w:val="22"/>
          <w:szCs w:val="22"/>
          <w:lang w:val="en-AU"/>
        </w:rPr>
        <w:t>A</w:t>
      </w:r>
      <w:r w:rsidR="00C97632" w:rsidRPr="00C723E0">
        <w:rPr>
          <w:rFonts w:ascii="Calibri" w:hAnsi="Calibri" w:cs="Calibri"/>
          <w:color w:val="000000"/>
          <w:sz w:val="22"/>
          <w:szCs w:val="22"/>
          <w:lang w:val="en-AU"/>
        </w:rPr>
        <w:t xml:space="preserve">ction </w:t>
      </w:r>
      <w:r w:rsidR="00340484" w:rsidRPr="00C723E0">
        <w:rPr>
          <w:rFonts w:ascii="Calibri" w:hAnsi="Calibri" w:cs="Calibri"/>
          <w:color w:val="000000"/>
          <w:sz w:val="22"/>
          <w:szCs w:val="22"/>
          <w:lang w:val="en-AU"/>
        </w:rPr>
        <w:t>P</w:t>
      </w:r>
      <w:r w:rsidR="00C97632" w:rsidRPr="00C723E0">
        <w:rPr>
          <w:rFonts w:ascii="Calibri" w:hAnsi="Calibri" w:cs="Calibri"/>
          <w:color w:val="000000"/>
          <w:sz w:val="22"/>
          <w:szCs w:val="22"/>
          <w:lang w:val="en-AU"/>
        </w:rPr>
        <w:t xml:space="preserve">lan, which demonstrates strong cohesion and alignment. </w:t>
      </w:r>
    </w:p>
    <w:p w14:paraId="4169F28C" w14:textId="37FD62B5" w:rsidR="00F32608" w:rsidRPr="00C723E0" w:rsidRDefault="005D4005" w:rsidP="007B17C3">
      <w:pPr>
        <w:spacing w:after="120"/>
        <w:jc w:val="both"/>
        <w:rPr>
          <w:rFonts w:ascii="Calibri" w:eastAsiaTheme="minorHAnsi" w:hAnsi="Calibri" w:cs="Calibri"/>
          <w:color w:val="000000"/>
          <w:sz w:val="22"/>
          <w:szCs w:val="22"/>
          <w:lang w:val="en-AU"/>
        </w:rPr>
      </w:pPr>
      <w:r w:rsidRPr="00DF0A19">
        <w:rPr>
          <w:rFonts w:ascii="Calibri" w:eastAsiaTheme="minorHAnsi" w:hAnsi="Calibri" w:cs="Calibri"/>
          <w:b/>
          <w:bCs/>
          <w:color w:val="000000"/>
          <w:sz w:val="22"/>
          <w:szCs w:val="22"/>
          <w:lang w:val="en-AU"/>
        </w:rPr>
        <w:t xml:space="preserve">Through the Fiji </w:t>
      </w:r>
      <w:r w:rsidR="000900CA" w:rsidRPr="00DF0A19">
        <w:rPr>
          <w:rFonts w:ascii="Calibri" w:eastAsiaTheme="minorHAnsi" w:hAnsi="Calibri" w:cs="Calibri"/>
          <w:b/>
          <w:bCs/>
          <w:color w:val="000000"/>
          <w:sz w:val="22"/>
          <w:szCs w:val="22"/>
          <w:lang w:val="en-AU"/>
        </w:rPr>
        <w:t>S</w:t>
      </w:r>
      <w:r w:rsidRPr="00DF0A19">
        <w:rPr>
          <w:rFonts w:ascii="Calibri" w:eastAsiaTheme="minorHAnsi" w:hAnsi="Calibri" w:cs="Calibri"/>
          <w:b/>
          <w:bCs/>
          <w:color w:val="000000"/>
          <w:sz w:val="22"/>
          <w:szCs w:val="22"/>
          <w:lang w:val="en-AU"/>
        </w:rPr>
        <w:t xml:space="preserve">ustainable </w:t>
      </w:r>
      <w:r w:rsidR="000900CA" w:rsidRPr="00DF0A19">
        <w:rPr>
          <w:rFonts w:ascii="Calibri" w:eastAsiaTheme="minorHAnsi" w:hAnsi="Calibri" w:cs="Calibri"/>
          <w:b/>
          <w:bCs/>
          <w:color w:val="000000"/>
          <w:sz w:val="22"/>
          <w:szCs w:val="22"/>
          <w:lang w:val="en-AU"/>
        </w:rPr>
        <w:t>T</w:t>
      </w:r>
      <w:r w:rsidRPr="00DF0A19">
        <w:rPr>
          <w:rFonts w:ascii="Calibri" w:eastAsiaTheme="minorHAnsi" w:hAnsi="Calibri" w:cs="Calibri"/>
          <w:b/>
          <w:bCs/>
          <w:color w:val="000000"/>
          <w:sz w:val="22"/>
          <w:szCs w:val="22"/>
          <w:lang w:val="en-AU"/>
        </w:rPr>
        <w:t>ourism</w:t>
      </w:r>
      <w:r w:rsidR="000900CA" w:rsidRPr="00DF0A19">
        <w:rPr>
          <w:rFonts w:ascii="Calibri" w:eastAsiaTheme="minorHAnsi" w:hAnsi="Calibri" w:cs="Calibri"/>
          <w:b/>
          <w:bCs/>
          <w:color w:val="000000"/>
          <w:sz w:val="22"/>
          <w:szCs w:val="22"/>
          <w:lang w:val="en-AU"/>
        </w:rPr>
        <w:t xml:space="preserve"> and Investment</w:t>
      </w:r>
      <w:r w:rsidRPr="00DF0A19">
        <w:rPr>
          <w:rFonts w:ascii="Calibri" w:eastAsiaTheme="minorHAnsi" w:hAnsi="Calibri" w:cs="Calibri"/>
          <w:b/>
          <w:bCs/>
          <w:color w:val="000000"/>
          <w:sz w:val="22"/>
          <w:szCs w:val="22"/>
          <w:lang w:val="en-AU"/>
        </w:rPr>
        <w:t xml:space="preserve"> project, </w:t>
      </w:r>
      <w:r w:rsidR="00263CC4" w:rsidRPr="00DF0A19">
        <w:rPr>
          <w:rFonts w:ascii="Calibri" w:eastAsiaTheme="minorHAnsi" w:hAnsi="Calibri" w:cs="Calibri"/>
          <w:b/>
          <w:bCs/>
          <w:color w:val="000000"/>
          <w:sz w:val="22"/>
          <w:szCs w:val="22"/>
          <w:lang w:val="en-AU"/>
        </w:rPr>
        <w:t xml:space="preserve">the </w:t>
      </w:r>
      <w:r w:rsidRPr="00DF0A19">
        <w:rPr>
          <w:rFonts w:ascii="Calibri" w:eastAsiaTheme="minorHAnsi" w:hAnsi="Calibri" w:cs="Calibri"/>
          <w:b/>
          <w:bCs/>
          <w:color w:val="000000"/>
          <w:sz w:val="22"/>
          <w:szCs w:val="22"/>
          <w:lang w:val="en-AU"/>
        </w:rPr>
        <w:t>IFC</w:t>
      </w:r>
      <w:r w:rsidR="00F32608" w:rsidRPr="00DF0A19">
        <w:rPr>
          <w:rFonts w:ascii="Calibri" w:eastAsiaTheme="minorHAnsi" w:hAnsi="Calibri" w:cs="Calibri"/>
          <w:b/>
          <w:bCs/>
          <w:color w:val="000000"/>
          <w:sz w:val="22"/>
          <w:szCs w:val="22"/>
          <w:lang w:val="en-AU"/>
        </w:rPr>
        <w:t xml:space="preserve"> </w:t>
      </w:r>
      <w:r w:rsidR="00EC49CE" w:rsidRPr="00DF0A19">
        <w:rPr>
          <w:rFonts w:ascii="Calibri" w:eastAsiaTheme="minorHAnsi" w:hAnsi="Calibri" w:cs="Calibri"/>
          <w:b/>
          <w:bCs/>
          <w:color w:val="000000"/>
          <w:sz w:val="22"/>
          <w:szCs w:val="22"/>
          <w:lang w:val="en-AU"/>
        </w:rPr>
        <w:t>i</w:t>
      </w:r>
      <w:r w:rsidR="00F32608" w:rsidRPr="00DF0A19">
        <w:rPr>
          <w:rFonts w:ascii="Calibri" w:eastAsiaTheme="minorHAnsi" w:hAnsi="Calibri" w:cs="Calibri"/>
          <w:b/>
          <w:bCs/>
          <w:color w:val="000000"/>
          <w:sz w:val="22"/>
          <w:szCs w:val="22"/>
          <w:lang w:val="en-AU"/>
        </w:rPr>
        <w:t xml:space="preserve">s </w:t>
      </w:r>
      <w:r w:rsidRPr="00DF0A19">
        <w:rPr>
          <w:rFonts w:ascii="Calibri" w:eastAsiaTheme="minorHAnsi" w:hAnsi="Calibri" w:cs="Calibri"/>
          <w:b/>
          <w:bCs/>
          <w:color w:val="000000"/>
          <w:sz w:val="22"/>
          <w:szCs w:val="22"/>
          <w:lang w:val="en-AU"/>
        </w:rPr>
        <w:t>support</w:t>
      </w:r>
      <w:r w:rsidR="00EC49CE" w:rsidRPr="00DF0A19">
        <w:rPr>
          <w:rFonts w:ascii="Calibri" w:eastAsiaTheme="minorHAnsi" w:hAnsi="Calibri" w:cs="Calibri"/>
          <w:b/>
          <w:bCs/>
          <w:color w:val="000000"/>
          <w:sz w:val="22"/>
          <w:szCs w:val="22"/>
          <w:lang w:val="en-AU"/>
        </w:rPr>
        <w:t>ing</w:t>
      </w:r>
      <w:r w:rsidR="00F32608" w:rsidRPr="00DF0A19">
        <w:rPr>
          <w:rFonts w:ascii="Calibri" w:eastAsiaTheme="minorHAnsi" w:hAnsi="Calibri" w:cs="Calibri"/>
          <w:b/>
          <w:bCs/>
          <w:color w:val="000000"/>
          <w:sz w:val="22"/>
          <w:szCs w:val="22"/>
          <w:lang w:val="en-AU"/>
        </w:rPr>
        <w:t xml:space="preserve"> MTCA </w:t>
      </w:r>
      <w:r w:rsidR="00A8242B" w:rsidRPr="00DF0A19">
        <w:rPr>
          <w:rFonts w:ascii="Calibri" w:eastAsiaTheme="minorHAnsi" w:hAnsi="Calibri" w:cs="Calibri"/>
          <w:b/>
          <w:bCs/>
          <w:color w:val="000000"/>
          <w:sz w:val="22"/>
          <w:szCs w:val="22"/>
          <w:lang w:val="en-AU"/>
        </w:rPr>
        <w:t>in</w:t>
      </w:r>
      <w:r w:rsidR="00F32608" w:rsidRPr="00DF0A19">
        <w:rPr>
          <w:rFonts w:ascii="Calibri" w:eastAsiaTheme="minorHAnsi" w:hAnsi="Calibri" w:cs="Calibri"/>
          <w:b/>
          <w:bCs/>
          <w:color w:val="000000"/>
          <w:sz w:val="22"/>
          <w:szCs w:val="22"/>
          <w:lang w:val="en-AU"/>
        </w:rPr>
        <w:t xml:space="preserve"> develop</w:t>
      </w:r>
      <w:r w:rsidR="00A8242B" w:rsidRPr="00DF0A19">
        <w:rPr>
          <w:rFonts w:ascii="Calibri" w:eastAsiaTheme="minorHAnsi" w:hAnsi="Calibri" w:cs="Calibri"/>
          <w:b/>
          <w:bCs/>
          <w:color w:val="000000"/>
          <w:sz w:val="22"/>
          <w:szCs w:val="22"/>
          <w:lang w:val="en-AU"/>
        </w:rPr>
        <w:t>ing</w:t>
      </w:r>
      <w:r w:rsidR="00F32608" w:rsidRPr="00DF0A19">
        <w:rPr>
          <w:rFonts w:ascii="Calibri" w:eastAsiaTheme="minorHAnsi" w:hAnsi="Calibri" w:cs="Calibri"/>
          <w:b/>
          <w:bCs/>
          <w:color w:val="000000"/>
          <w:sz w:val="22"/>
          <w:szCs w:val="22"/>
          <w:lang w:val="en-AU"/>
        </w:rPr>
        <w:t xml:space="preserve"> a new Tourism Law (and associated Tourism Act</w:t>
      </w:r>
      <w:r w:rsidR="00F32608" w:rsidRPr="00C723E0">
        <w:rPr>
          <w:rFonts w:ascii="Calibri" w:eastAsiaTheme="minorHAnsi" w:hAnsi="Calibri" w:cs="Calibri"/>
          <w:color w:val="000000"/>
          <w:sz w:val="22"/>
          <w:szCs w:val="22"/>
          <w:lang w:val="en-AU"/>
        </w:rPr>
        <w:t xml:space="preserve">). IFC has been working closely with the Ministry to discuss the various provisions of the law so that the legislation </w:t>
      </w:r>
      <w:r w:rsidR="001C72B6" w:rsidRPr="00C723E0">
        <w:rPr>
          <w:rFonts w:ascii="Calibri" w:eastAsiaTheme="minorHAnsi" w:hAnsi="Calibri" w:cs="Calibri"/>
          <w:color w:val="000000"/>
          <w:sz w:val="22"/>
          <w:szCs w:val="22"/>
          <w:lang w:val="en-AU"/>
        </w:rPr>
        <w:t>can</w:t>
      </w:r>
      <w:r w:rsidR="00F32608" w:rsidRPr="00C723E0">
        <w:rPr>
          <w:rFonts w:ascii="Calibri" w:eastAsiaTheme="minorHAnsi" w:hAnsi="Calibri" w:cs="Calibri"/>
          <w:color w:val="000000"/>
          <w:sz w:val="22"/>
          <w:szCs w:val="22"/>
          <w:lang w:val="en-AU"/>
        </w:rPr>
        <w:t xml:space="preserve"> achieve</w:t>
      </w:r>
      <w:r w:rsidRPr="00C723E0">
        <w:rPr>
          <w:rFonts w:ascii="Calibri" w:eastAsiaTheme="minorHAnsi" w:hAnsi="Calibri" w:cs="Calibri"/>
          <w:color w:val="000000"/>
          <w:sz w:val="22"/>
          <w:szCs w:val="22"/>
          <w:lang w:val="en-AU"/>
        </w:rPr>
        <w:t xml:space="preserve"> </w:t>
      </w:r>
      <w:r w:rsidR="00F32608" w:rsidRPr="00C723E0">
        <w:rPr>
          <w:rFonts w:ascii="Calibri" w:eastAsiaTheme="minorHAnsi" w:hAnsi="Calibri" w:cs="Calibri"/>
          <w:color w:val="000000"/>
          <w:sz w:val="22"/>
          <w:szCs w:val="22"/>
          <w:lang w:val="en-AU"/>
        </w:rPr>
        <w:t xml:space="preserve">its objectives of enhancing </w:t>
      </w:r>
      <w:r w:rsidR="00F32608" w:rsidRPr="00C723E0">
        <w:rPr>
          <w:rFonts w:ascii="Calibri" w:eastAsiaTheme="minorHAnsi" w:hAnsi="Calibri" w:cs="Calibri"/>
          <w:color w:val="000000"/>
          <w:sz w:val="22"/>
          <w:szCs w:val="22"/>
          <w:lang w:val="en-AU"/>
        </w:rPr>
        <w:lastRenderedPageBreak/>
        <w:t xml:space="preserve">sustainable practices in tourism without adding to the regulatory burden faced by tourism businesses by adopting modern approaches to regulation. IFC has most recently provided technical input </w:t>
      </w:r>
      <w:r w:rsidR="008244A3" w:rsidRPr="00C723E0">
        <w:rPr>
          <w:rFonts w:ascii="Calibri" w:eastAsiaTheme="minorHAnsi" w:hAnsi="Calibri" w:cs="Calibri"/>
          <w:color w:val="000000"/>
          <w:sz w:val="22"/>
          <w:szCs w:val="22"/>
          <w:lang w:val="en-AU"/>
        </w:rPr>
        <w:t>to the Ministry to support the development of</w:t>
      </w:r>
      <w:r w:rsidR="00F32608" w:rsidRPr="00C723E0">
        <w:rPr>
          <w:rFonts w:ascii="Calibri" w:eastAsiaTheme="minorHAnsi" w:hAnsi="Calibri" w:cs="Calibri"/>
          <w:color w:val="000000"/>
          <w:sz w:val="22"/>
          <w:szCs w:val="22"/>
          <w:lang w:val="en-AU"/>
        </w:rPr>
        <w:t xml:space="preserve"> a Cabinet paper seeking endorsement for developing the law and broad principles, for which approval was received in February 2025.</w:t>
      </w:r>
      <w:r w:rsidRPr="00C723E0">
        <w:rPr>
          <w:rFonts w:ascii="Calibri" w:eastAsiaTheme="minorHAnsi" w:hAnsi="Calibri" w:cs="Calibri"/>
          <w:color w:val="000000"/>
          <w:sz w:val="22"/>
          <w:szCs w:val="22"/>
          <w:lang w:val="en-AU"/>
        </w:rPr>
        <w:t xml:space="preserve"> </w:t>
      </w:r>
      <w:r w:rsidR="002D71F5" w:rsidRPr="00C723E0">
        <w:rPr>
          <w:rFonts w:ascii="Calibri" w:eastAsiaTheme="minorHAnsi" w:hAnsi="Calibri" w:cs="Calibri"/>
          <w:color w:val="000000"/>
          <w:sz w:val="22"/>
          <w:szCs w:val="22"/>
          <w:lang w:val="en-AU"/>
        </w:rPr>
        <w:t xml:space="preserve">The program’s work in supporting regulatory and legal reforms is </w:t>
      </w:r>
      <w:r w:rsidR="001C72B6" w:rsidRPr="00C723E0">
        <w:rPr>
          <w:rFonts w:ascii="Calibri" w:eastAsiaTheme="minorHAnsi" w:hAnsi="Calibri" w:cs="Calibri"/>
          <w:color w:val="000000"/>
          <w:sz w:val="22"/>
          <w:szCs w:val="22"/>
          <w:lang w:val="en-AU"/>
        </w:rPr>
        <w:t>essential</w:t>
      </w:r>
      <w:r w:rsidRPr="00C723E0">
        <w:rPr>
          <w:rFonts w:ascii="Calibri" w:eastAsiaTheme="minorHAnsi" w:hAnsi="Calibri" w:cs="Calibri"/>
          <w:color w:val="000000"/>
          <w:sz w:val="22"/>
          <w:szCs w:val="22"/>
          <w:lang w:val="en-AU"/>
        </w:rPr>
        <w:t>,</w:t>
      </w:r>
      <w:r w:rsidR="002D71F5" w:rsidRPr="00C723E0">
        <w:rPr>
          <w:rFonts w:ascii="Calibri" w:eastAsiaTheme="minorHAnsi" w:hAnsi="Calibri" w:cs="Calibri"/>
          <w:color w:val="000000"/>
          <w:sz w:val="22"/>
          <w:szCs w:val="22"/>
          <w:lang w:val="en-AU"/>
        </w:rPr>
        <w:t xml:space="preserve"> given the importance of the tourism sector </w:t>
      </w:r>
      <w:r w:rsidR="00EA72CD" w:rsidRPr="00C723E0">
        <w:rPr>
          <w:rFonts w:ascii="Calibri" w:eastAsiaTheme="minorHAnsi" w:hAnsi="Calibri" w:cs="Calibri"/>
          <w:color w:val="000000"/>
          <w:sz w:val="22"/>
          <w:szCs w:val="22"/>
          <w:lang w:val="en-AU"/>
        </w:rPr>
        <w:t>to Fiji’s economy.</w:t>
      </w:r>
    </w:p>
    <w:p w14:paraId="16CB1895" w14:textId="232C607C" w:rsidR="00CF0EA7" w:rsidRPr="00A26E3C" w:rsidRDefault="00EF3526" w:rsidP="003233AD">
      <w:pPr>
        <w:spacing w:after="120"/>
        <w:jc w:val="both"/>
        <w:rPr>
          <w:rFonts w:ascii="Calibri" w:eastAsiaTheme="minorHAnsi" w:hAnsi="Calibri" w:cs="Calibri"/>
          <w:color w:val="000000"/>
          <w:sz w:val="22"/>
          <w:szCs w:val="22"/>
          <w:lang w:val="en-AU"/>
        </w:rPr>
      </w:pPr>
      <w:r w:rsidRPr="00DF0A19">
        <w:rPr>
          <w:rFonts w:ascii="Calibri" w:eastAsiaTheme="minorHAnsi" w:hAnsi="Calibri" w:cs="Calibri"/>
          <w:b/>
          <w:bCs/>
          <w:color w:val="000000"/>
          <w:sz w:val="22"/>
          <w:szCs w:val="22"/>
          <w:lang w:val="en-AU"/>
        </w:rPr>
        <w:t xml:space="preserve">Under the Fiji </w:t>
      </w:r>
      <w:r w:rsidR="00C5138B" w:rsidRPr="00DF0A19">
        <w:rPr>
          <w:rFonts w:ascii="Calibri" w:eastAsiaTheme="minorHAnsi" w:hAnsi="Calibri" w:cs="Calibri"/>
          <w:b/>
          <w:bCs/>
          <w:color w:val="000000"/>
          <w:sz w:val="22"/>
          <w:szCs w:val="22"/>
          <w:lang w:val="en-AU"/>
        </w:rPr>
        <w:t xml:space="preserve">Investment </w:t>
      </w:r>
      <w:r w:rsidRPr="00DF0A19">
        <w:rPr>
          <w:rFonts w:ascii="Calibri" w:eastAsiaTheme="minorHAnsi" w:hAnsi="Calibri" w:cs="Calibri"/>
          <w:b/>
          <w:bCs/>
          <w:color w:val="000000"/>
          <w:sz w:val="22"/>
          <w:szCs w:val="22"/>
          <w:lang w:val="en-AU"/>
        </w:rPr>
        <w:t xml:space="preserve">Competitiveness project, </w:t>
      </w:r>
      <w:r w:rsidR="00263CC4" w:rsidRPr="00DF0A19">
        <w:rPr>
          <w:rFonts w:ascii="Calibri" w:eastAsiaTheme="minorHAnsi" w:hAnsi="Calibri" w:cs="Calibri"/>
          <w:b/>
          <w:bCs/>
          <w:color w:val="000000"/>
          <w:sz w:val="22"/>
          <w:szCs w:val="22"/>
          <w:lang w:val="en-AU"/>
        </w:rPr>
        <w:t xml:space="preserve">the </w:t>
      </w:r>
      <w:r w:rsidR="00C71871" w:rsidRPr="00DF0A19">
        <w:rPr>
          <w:rFonts w:ascii="Calibri" w:eastAsiaTheme="minorHAnsi" w:hAnsi="Calibri" w:cs="Calibri"/>
          <w:b/>
          <w:bCs/>
          <w:color w:val="000000"/>
          <w:sz w:val="22"/>
          <w:szCs w:val="22"/>
          <w:lang w:val="en-AU"/>
        </w:rPr>
        <w:t xml:space="preserve">IFC provided technical expertise to the Ministry of Trade, Co-operatives, </w:t>
      </w:r>
      <w:r w:rsidR="002348E5" w:rsidRPr="00DF0A19">
        <w:rPr>
          <w:rFonts w:ascii="Calibri" w:eastAsiaTheme="minorHAnsi" w:hAnsi="Calibri" w:cs="Calibri"/>
          <w:b/>
          <w:bCs/>
          <w:sz w:val="22"/>
          <w:szCs w:val="22"/>
          <w:lang w:val="en-AU"/>
        </w:rPr>
        <w:t>Medium, Small and Micro Enterprises (</w:t>
      </w:r>
      <w:r w:rsidR="00C71871" w:rsidRPr="00DF0A19">
        <w:rPr>
          <w:rFonts w:ascii="Calibri" w:eastAsiaTheme="minorHAnsi" w:hAnsi="Calibri" w:cs="Calibri"/>
          <w:b/>
          <w:bCs/>
          <w:color w:val="000000"/>
          <w:sz w:val="22"/>
          <w:szCs w:val="22"/>
          <w:lang w:val="en-AU"/>
        </w:rPr>
        <w:t>MSMEs</w:t>
      </w:r>
      <w:r w:rsidR="002348E5" w:rsidRPr="00DF0A19">
        <w:rPr>
          <w:rFonts w:ascii="Calibri" w:eastAsiaTheme="minorHAnsi" w:hAnsi="Calibri" w:cs="Calibri"/>
          <w:b/>
          <w:bCs/>
          <w:color w:val="000000"/>
          <w:sz w:val="22"/>
          <w:szCs w:val="22"/>
          <w:lang w:val="en-AU"/>
        </w:rPr>
        <w:t>)</w:t>
      </w:r>
      <w:r w:rsidR="00C71871" w:rsidRPr="00DF0A19">
        <w:rPr>
          <w:rFonts w:ascii="Calibri" w:eastAsiaTheme="minorHAnsi" w:hAnsi="Calibri" w:cs="Calibri"/>
          <w:b/>
          <w:bCs/>
          <w:color w:val="000000"/>
          <w:sz w:val="22"/>
          <w:szCs w:val="22"/>
          <w:lang w:val="en-AU"/>
        </w:rPr>
        <w:t xml:space="preserve"> and Communications (MTCMSMEC) to support drafting of new laws and regulations to replace the </w:t>
      </w:r>
      <w:r w:rsidR="00C71871" w:rsidRPr="00DF0A19">
        <w:rPr>
          <w:rFonts w:ascii="Calibri" w:eastAsiaTheme="minorHAnsi" w:hAnsi="Calibri" w:cs="Calibri"/>
          <w:b/>
          <w:bCs/>
          <w:i/>
          <w:iCs/>
          <w:color w:val="000000"/>
          <w:sz w:val="22"/>
          <w:szCs w:val="22"/>
          <w:lang w:val="en-AU"/>
        </w:rPr>
        <w:t xml:space="preserve">Foreign Investment Act (1999) </w:t>
      </w:r>
      <w:r w:rsidR="001E5A0F" w:rsidRPr="00DF0A19">
        <w:rPr>
          <w:rFonts w:ascii="Calibri" w:eastAsiaTheme="minorHAnsi" w:hAnsi="Calibri" w:cs="Calibri"/>
          <w:b/>
          <w:bCs/>
          <w:color w:val="000000"/>
          <w:sz w:val="22"/>
          <w:szCs w:val="22"/>
          <w:lang w:val="en-AU"/>
        </w:rPr>
        <w:t xml:space="preserve">with the </w:t>
      </w:r>
      <w:r w:rsidR="001E5A0F" w:rsidRPr="00DF0A19">
        <w:rPr>
          <w:rFonts w:ascii="Calibri" w:eastAsiaTheme="minorHAnsi" w:hAnsi="Calibri" w:cs="Calibri"/>
          <w:b/>
          <w:bCs/>
          <w:i/>
          <w:iCs/>
          <w:color w:val="000000"/>
          <w:sz w:val="22"/>
          <w:szCs w:val="22"/>
          <w:lang w:val="en-AU"/>
        </w:rPr>
        <w:t xml:space="preserve">Investment Act (2021) </w:t>
      </w:r>
      <w:r w:rsidR="00C71871" w:rsidRPr="00DF0A19">
        <w:rPr>
          <w:rFonts w:ascii="Calibri" w:eastAsiaTheme="minorHAnsi" w:hAnsi="Calibri" w:cs="Calibri"/>
          <w:b/>
          <w:bCs/>
          <w:color w:val="000000"/>
          <w:sz w:val="22"/>
          <w:szCs w:val="22"/>
          <w:lang w:val="en-AU"/>
        </w:rPr>
        <w:t>and to</w:t>
      </w:r>
      <w:r w:rsidR="00FB43A0" w:rsidRPr="00DF0A19">
        <w:rPr>
          <w:rFonts w:ascii="Calibri" w:eastAsiaTheme="minorHAnsi" w:hAnsi="Calibri" w:cs="Calibri"/>
          <w:b/>
          <w:bCs/>
          <w:color w:val="000000"/>
          <w:sz w:val="22"/>
          <w:szCs w:val="22"/>
          <w:lang w:val="en-AU"/>
        </w:rPr>
        <w:t xml:space="preserve"> repeal the </w:t>
      </w:r>
      <w:r w:rsidR="00FB43A0" w:rsidRPr="00DF0A19">
        <w:rPr>
          <w:rFonts w:ascii="Calibri" w:eastAsiaTheme="minorHAnsi" w:hAnsi="Calibri" w:cs="Calibri"/>
          <w:b/>
          <w:bCs/>
          <w:i/>
          <w:iCs/>
          <w:color w:val="000000"/>
          <w:sz w:val="22"/>
          <w:szCs w:val="22"/>
          <w:lang w:val="en-AU"/>
        </w:rPr>
        <w:t xml:space="preserve">Investment Fiji Act (1980) </w:t>
      </w:r>
      <w:r w:rsidR="00FB43A0" w:rsidRPr="00DF0A19">
        <w:rPr>
          <w:rFonts w:ascii="Calibri" w:eastAsiaTheme="minorHAnsi" w:hAnsi="Calibri" w:cs="Calibri"/>
          <w:b/>
          <w:bCs/>
          <w:color w:val="000000"/>
          <w:sz w:val="22"/>
          <w:szCs w:val="22"/>
          <w:lang w:val="en-AU"/>
        </w:rPr>
        <w:t>and</w:t>
      </w:r>
      <w:r w:rsidR="00C71871" w:rsidRPr="00DF0A19">
        <w:rPr>
          <w:rFonts w:ascii="Calibri" w:eastAsiaTheme="minorHAnsi" w:hAnsi="Calibri" w:cs="Calibri"/>
          <w:b/>
          <w:bCs/>
          <w:color w:val="000000"/>
          <w:sz w:val="22"/>
          <w:szCs w:val="22"/>
          <w:lang w:val="en-AU"/>
        </w:rPr>
        <w:t xml:space="preserve"> establish the </w:t>
      </w:r>
      <w:r w:rsidR="00C71871" w:rsidRPr="00DF0A19">
        <w:rPr>
          <w:rFonts w:ascii="Calibri" w:eastAsiaTheme="minorHAnsi" w:hAnsi="Calibri" w:cs="Calibri"/>
          <w:b/>
          <w:bCs/>
          <w:i/>
          <w:iCs/>
          <w:color w:val="000000"/>
          <w:sz w:val="22"/>
          <w:szCs w:val="22"/>
          <w:lang w:val="en-AU"/>
        </w:rPr>
        <w:t>Investment Fiji Act (2022)</w:t>
      </w:r>
      <w:r w:rsidR="00C71871" w:rsidRPr="00DF0A19">
        <w:rPr>
          <w:rFonts w:ascii="Calibri" w:eastAsiaTheme="minorHAnsi" w:hAnsi="Calibri" w:cs="Calibri"/>
          <w:b/>
          <w:bCs/>
          <w:color w:val="000000"/>
          <w:sz w:val="22"/>
          <w:szCs w:val="22"/>
          <w:lang w:val="en-AU"/>
        </w:rPr>
        <w:t>.</w:t>
      </w:r>
      <w:r w:rsidR="00C71871" w:rsidRPr="00A26E3C">
        <w:rPr>
          <w:rFonts w:ascii="Calibri" w:eastAsiaTheme="minorHAnsi" w:hAnsi="Calibri" w:cs="Calibri"/>
          <w:color w:val="000000"/>
          <w:sz w:val="22"/>
          <w:szCs w:val="22"/>
          <w:lang w:val="en-AU"/>
        </w:rPr>
        <w:t xml:space="preserve"> The </w:t>
      </w:r>
      <w:r w:rsidR="00C71871" w:rsidRPr="00A26E3C">
        <w:rPr>
          <w:rFonts w:ascii="Calibri" w:eastAsiaTheme="minorHAnsi" w:hAnsi="Calibri" w:cs="Calibri"/>
          <w:i/>
          <w:iCs/>
          <w:color w:val="000000"/>
          <w:sz w:val="22"/>
          <w:szCs w:val="22"/>
          <w:lang w:val="en-AU"/>
        </w:rPr>
        <w:t xml:space="preserve">Investment Act (2021) </w:t>
      </w:r>
      <w:r w:rsidR="00FC1B05" w:rsidRPr="00A26E3C">
        <w:rPr>
          <w:rFonts w:ascii="Calibri" w:eastAsiaTheme="minorHAnsi" w:hAnsi="Calibri" w:cs="Calibri"/>
          <w:color w:val="000000"/>
          <w:sz w:val="22"/>
          <w:szCs w:val="22"/>
          <w:lang w:val="en-AU"/>
        </w:rPr>
        <w:t xml:space="preserve">is an updated legal framework for foreign investment </w:t>
      </w:r>
      <w:r w:rsidR="00DF0A19">
        <w:rPr>
          <w:rFonts w:ascii="Calibri" w:eastAsiaTheme="minorHAnsi" w:hAnsi="Calibri" w:cs="Calibri"/>
          <w:color w:val="000000"/>
          <w:sz w:val="22"/>
          <w:szCs w:val="22"/>
          <w:lang w:val="en-AU"/>
        </w:rPr>
        <w:t>that</w:t>
      </w:r>
      <w:r w:rsidR="00FC1B05" w:rsidRPr="00A26E3C">
        <w:rPr>
          <w:rFonts w:ascii="Calibri" w:eastAsiaTheme="minorHAnsi" w:hAnsi="Calibri" w:cs="Calibri"/>
          <w:color w:val="000000"/>
          <w:sz w:val="22"/>
          <w:szCs w:val="22"/>
          <w:lang w:val="en-AU"/>
        </w:rPr>
        <w:t xml:space="preserve"> p</w:t>
      </w:r>
      <w:r w:rsidR="00C71871" w:rsidRPr="00A26E3C">
        <w:rPr>
          <w:rFonts w:ascii="Calibri" w:eastAsiaTheme="minorHAnsi" w:hAnsi="Calibri" w:cs="Calibri"/>
          <w:color w:val="000000"/>
          <w:sz w:val="22"/>
          <w:szCs w:val="22"/>
          <w:lang w:val="en-AU"/>
        </w:rPr>
        <w:t>rovides investors with transparent and fair rules and procedures for investment</w:t>
      </w:r>
      <w:r w:rsidR="001830AE" w:rsidRPr="00A26E3C">
        <w:rPr>
          <w:rFonts w:ascii="Calibri" w:eastAsiaTheme="minorHAnsi" w:hAnsi="Calibri" w:cs="Calibri"/>
          <w:color w:val="000000"/>
          <w:sz w:val="22"/>
          <w:szCs w:val="22"/>
          <w:lang w:val="en-AU"/>
        </w:rPr>
        <w:t xml:space="preserve">, </w:t>
      </w:r>
      <w:r w:rsidR="00FC1B05" w:rsidRPr="00A26E3C">
        <w:rPr>
          <w:rFonts w:ascii="Calibri" w:eastAsiaTheme="minorHAnsi" w:hAnsi="Calibri" w:cs="Calibri"/>
          <w:color w:val="000000"/>
          <w:sz w:val="22"/>
          <w:szCs w:val="22"/>
          <w:lang w:val="en-AU"/>
        </w:rPr>
        <w:t>for example</w:t>
      </w:r>
      <w:r w:rsidR="00DF0A19">
        <w:rPr>
          <w:rFonts w:ascii="Calibri" w:eastAsiaTheme="minorHAnsi" w:hAnsi="Calibri" w:cs="Calibri"/>
          <w:color w:val="000000"/>
          <w:sz w:val="22"/>
          <w:szCs w:val="22"/>
          <w:lang w:val="en-AU"/>
        </w:rPr>
        <w:t>,</w:t>
      </w:r>
      <w:r w:rsidR="00310459" w:rsidRPr="00A26E3C">
        <w:rPr>
          <w:rFonts w:ascii="Calibri" w:eastAsiaTheme="minorHAnsi" w:hAnsi="Calibri" w:cs="Calibri"/>
          <w:color w:val="000000"/>
          <w:sz w:val="22"/>
          <w:szCs w:val="22"/>
          <w:lang w:val="en-AU"/>
        </w:rPr>
        <w:t xml:space="preserve"> streamlined reporting processes and </w:t>
      </w:r>
      <w:r w:rsidR="0085782E" w:rsidRPr="00A26E3C">
        <w:rPr>
          <w:rFonts w:ascii="Calibri" w:eastAsiaTheme="minorHAnsi" w:hAnsi="Calibri" w:cs="Calibri"/>
          <w:color w:val="000000"/>
          <w:sz w:val="22"/>
          <w:szCs w:val="22"/>
          <w:lang w:val="en-AU"/>
        </w:rPr>
        <w:t xml:space="preserve">stronger protections for investor rights with provisions for legal recourse. </w:t>
      </w:r>
      <w:r w:rsidR="00466BCD" w:rsidRPr="00A26E3C">
        <w:rPr>
          <w:rFonts w:ascii="Calibri" w:eastAsiaTheme="minorHAnsi" w:hAnsi="Calibri" w:cs="Calibri"/>
          <w:color w:val="000000"/>
          <w:sz w:val="22"/>
          <w:szCs w:val="22"/>
          <w:lang w:val="en-AU"/>
        </w:rPr>
        <w:t>The</w:t>
      </w:r>
      <w:r w:rsidR="00FB43A0" w:rsidRPr="00A26E3C">
        <w:rPr>
          <w:rFonts w:ascii="Calibri" w:eastAsiaTheme="minorHAnsi" w:hAnsi="Calibri" w:cs="Calibri"/>
          <w:color w:val="000000"/>
          <w:sz w:val="22"/>
          <w:szCs w:val="22"/>
          <w:lang w:val="en-AU"/>
        </w:rPr>
        <w:t xml:space="preserve"> </w:t>
      </w:r>
      <w:r w:rsidR="00FB43A0" w:rsidRPr="00A26E3C">
        <w:rPr>
          <w:rFonts w:ascii="Calibri" w:eastAsiaTheme="minorHAnsi" w:hAnsi="Calibri" w:cs="Calibri"/>
          <w:i/>
          <w:iCs/>
          <w:color w:val="000000"/>
          <w:sz w:val="22"/>
          <w:szCs w:val="22"/>
          <w:lang w:val="en-AU"/>
        </w:rPr>
        <w:t xml:space="preserve">Investment Fiji Act (2022) </w:t>
      </w:r>
      <w:r w:rsidR="00FB43A0" w:rsidRPr="00A26E3C">
        <w:rPr>
          <w:rFonts w:ascii="Calibri" w:eastAsiaTheme="minorHAnsi" w:hAnsi="Calibri" w:cs="Calibri"/>
          <w:color w:val="000000"/>
          <w:sz w:val="22"/>
          <w:szCs w:val="22"/>
          <w:lang w:val="en-AU"/>
        </w:rPr>
        <w:t>repeals the</w:t>
      </w:r>
      <w:r w:rsidR="003233AD" w:rsidRPr="00A26E3C">
        <w:rPr>
          <w:rFonts w:ascii="Calibri" w:eastAsiaTheme="minorHAnsi" w:hAnsi="Calibri" w:cs="Calibri"/>
          <w:color w:val="000000"/>
          <w:sz w:val="22"/>
          <w:szCs w:val="22"/>
          <w:lang w:val="en-AU"/>
        </w:rPr>
        <w:t xml:space="preserve"> </w:t>
      </w:r>
      <w:r w:rsidR="00FB43A0" w:rsidRPr="00A26E3C">
        <w:rPr>
          <w:rFonts w:ascii="Calibri" w:eastAsiaTheme="minorHAnsi" w:hAnsi="Calibri" w:cs="Calibri"/>
          <w:i/>
          <w:iCs/>
          <w:color w:val="000000"/>
          <w:sz w:val="22"/>
          <w:szCs w:val="22"/>
          <w:lang w:val="en-AU"/>
        </w:rPr>
        <w:t xml:space="preserve">Investment Fiji Act (1980) </w:t>
      </w:r>
      <w:r w:rsidR="00FB43A0" w:rsidRPr="00A26E3C">
        <w:rPr>
          <w:rFonts w:ascii="Calibri" w:eastAsiaTheme="minorHAnsi" w:hAnsi="Calibri" w:cs="Calibri"/>
          <w:color w:val="000000"/>
          <w:sz w:val="22"/>
          <w:szCs w:val="22"/>
          <w:lang w:val="en-AU"/>
        </w:rPr>
        <w:t>and provides Investment Fiji with</w:t>
      </w:r>
      <w:r w:rsidR="003233AD" w:rsidRPr="00A26E3C">
        <w:rPr>
          <w:rFonts w:ascii="Calibri" w:eastAsiaTheme="minorHAnsi" w:hAnsi="Calibri" w:cs="Calibri"/>
          <w:color w:val="000000"/>
          <w:sz w:val="22"/>
          <w:szCs w:val="22"/>
          <w:lang w:val="en-AU"/>
        </w:rPr>
        <w:t xml:space="preserve"> </w:t>
      </w:r>
      <w:r w:rsidR="00FB43A0" w:rsidRPr="00A26E3C">
        <w:rPr>
          <w:rFonts w:ascii="Calibri" w:eastAsiaTheme="minorHAnsi" w:hAnsi="Calibri" w:cs="Calibri"/>
          <w:color w:val="000000"/>
          <w:sz w:val="22"/>
          <w:szCs w:val="22"/>
          <w:lang w:val="en-AU"/>
        </w:rPr>
        <w:t>an investment promotion mandate.</w:t>
      </w:r>
      <w:r w:rsidR="00263CC4" w:rsidRPr="00A26E3C">
        <w:rPr>
          <w:rFonts w:ascii="Calibri" w:eastAsiaTheme="minorHAnsi" w:hAnsi="Calibri" w:cs="Calibri"/>
          <w:color w:val="000000"/>
          <w:sz w:val="22"/>
          <w:szCs w:val="22"/>
          <w:lang w:val="en-AU"/>
        </w:rPr>
        <w:t xml:space="preserve"> </w:t>
      </w:r>
      <w:r w:rsidR="00906827" w:rsidRPr="00A26E3C">
        <w:rPr>
          <w:rFonts w:ascii="Calibri" w:eastAsiaTheme="minorHAnsi" w:hAnsi="Calibri" w:cs="Calibri"/>
          <w:color w:val="000000"/>
          <w:sz w:val="22"/>
          <w:szCs w:val="22"/>
          <w:lang w:val="en-AU"/>
        </w:rPr>
        <w:t xml:space="preserve">Support </w:t>
      </w:r>
      <w:r w:rsidR="00EF5CCE" w:rsidRPr="00A26E3C">
        <w:rPr>
          <w:rFonts w:ascii="Calibri" w:eastAsiaTheme="minorHAnsi" w:hAnsi="Calibri" w:cs="Calibri"/>
          <w:color w:val="000000"/>
          <w:sz w:val="22"/>
          <w:szCs w:val="22"/>
          <w:lang w:val="en-AU"/>
        </w:rPr>
        <w:t>around</w:t>
      </w:r>
      <w:r w:rsidR="00906827" w:rsidRPr="00A26E3C">
        <w:rPr>
          <w:rFonts w:ascii="Calibri" w:eastAsiaTheme="minorHAnsi" w:hAnsi="Calibri" w:cs="Calibri"/>
          <w:color w:val="000000"/>
          <w:sz w:val="22"/>
          <w:szCs w:val="22"/>
          <w:lang w:val="en-AU"/>
        </w:rPr>
        <w:t xml:space="preserve"> the enabling environment</w:t>
      </w:r>
      <w:r w:rsidR="00CF0EA7" w:rsidRPr="00A26E3C">
        <w:rPr>
          <w:rFonts w:ascii="Calibri" w:eastAsiaTheme="minorHAnsi" w:hAnsi="Calibri" w:cs="Calibri"/>
          <w:color w:val="000000"/>
          <w:sz w:val="22"/>
          <w:szCs w:val="22"/>
          <w:lang w:val="en-AU"/>
        </w:rPr>
        <w:t xml:space="preserve"> is continuing throu</w:t>
      </w:r>
      <w:r w:rsidR="00906827" w:rsidRPr="00A26E3C">
        <w:rPr>
          <w:rFonts w:ascii="Calibri" w:eastAsiaTheme="minorHAnsi" w:hAnsi="Calibri" w:cs="Calibri"/>
          <w:color w:val="000000"/>
          <w:sz w:val="22"/>
          <w:szCs w:val="22"/>
          <w:lang w:val="en-AU"/>
        </w:rPr>
        <w:t>gh</w:t>
      </w:r>
      <w:r w:rsidR="0012758E" w:rsidRPr="00A26E3C">
        <w:rPr>
          <w:rFonts w:ascii="Calibri" w:eastAsiaTheme="minorHAnsi" w:hAnsi="Calibri" w:cs="Calibri"/>
          <w:color w:val="000000"/>
          <w:sz w:val="22"/>
          <w:szCs w:val="22"/>
          <w:lang w:val="en-AU"/>
        </w:rPr>
        <w:t xml:space="preserve"> a follow-on project. This will include a number of reforms, including finali</w:t>
      </w:r>
      <w:r w:rsidR="00263CC4" w:rsidRPr="00A26E3C">
        <w:rPr>
          <w:rFonts w:ascii="Calibri" w:eastAsiaTheme="minorHAnsi" w:hAnsi="Calibri" w:cs="Calibri"/>
          <w:color w:val="000000"/>
          <w:sz w:val="22"/>
          <w:szCs w:val="22"/>
          <w:lang w:val="en-AU"/>
        </w:rPr>
        <w:t>s</w:t>
      </w:r>
      <w:r w:rsidR="0012758E" w:rsidRPr="00A26E3C">
        <w:rPr>
          <w:rFonts w:ascii="Calibri" w:eastAsiaTheme="minorHAnsi" w:hAnsi="Calibri" w:cs="Calibri"/>
          <w:color w:val="000000"/>
          <w:sz w:val="22"/>
          <w:szCs w:val="22"/>
          <w:lang w:val="en-AU"/>
        </w:rPr>
        <w:t xml:space="preserve">ing outstanding regulations for the </w:t>
      </w:r>
      <w:r w:rsidR="0012758E" w:rsidRPr="00A26E3C">
        <w:rPr>
          <w:rFonts w:ascii="Calibri" w:eastAsiaTheme="minorHAnsi" w:hAnsi="Calibri" w:cs="Calibri"/>
          <w:i/>
          <w:iCs/>
          <w:color w:val="000000"/>
          <w:sz w:val="22"/>
          <w:szCs w:val="22"/>
          <w:lang w:val="en-AU"/>
        </w:rPr>
        <w:t xml:space="preserve">Investment Act (2021) </w:t>
      </w:r>
      <w:r w:rsidR="0012758E" w:rsidRPr="00A26E3C">
        <w:rPr>
          <w:rFonts w:ascii="Calibri" w:eastAsiaTheme="minorHAnsi" w:hAnsi="Calibri" w:cs="Calibri"/>
          <w:color w:val="000000"/>
          <w:sz w:val="22"/>
          <w:szCs w:val="22"/>
          <w:lang w:val="en-AU"/>
        </w:rPr>
        <w:t xml:space="preserve">and </w:t>
      </w:r>
      <w:r w:rsidR="009E4AE9" w:rsidRPr="00A26E3C">
        <w:rPr>
          <w:rFonts w:ascii="Calibri" w:eastAsiaTheme="minorHAnsi" w:hAnsi="Calibri" w:cs="Calibri"/>
          <w:color w:val="000000"/>
          <w:sz w:val="22"/>
          <w:szCs w:val="22"/>
          <w:lang w:val="en-AU"/>
        </w:rPr>
        <w:t xml:space="preserve">updating the </w:t>
      </w:r>
      <w:r w:rsidR="00EF5CCE" w:rsidRPr="00A26E3C">
        <w:rPr>
          <w:rFonts w:ascii="Calibri" w:eastAsiaTheme="minorHAnsi" w:hAnsi="Calibri" w:cs="Calibri"/>
          <w:i/>
          <w:iCs/>
          <w:color w:val="000000"/>
          <w:sz w:val="22"/>
          <w:szCs w:val="22"/>
          <w:lang w:val="en-AU"/>
        </w:rPr>
        <w:t xml:space="preserve">Bankruptcy Act (1944). </w:t>
      </w:r>
      <w:r w:rsidR="00EF5CCE" w:rsidRPr="00A26E3C">
        <w:rPr>
          <w:rFonts w:ascii="Calibri" w:eastAsiaTheme="minorHAnsi" w:hAnsi="Calibri" w:cs="Calibri"/>
          <w:color w:val="000000"/>
          <w:sz w:val="22"/>
          <w:szCs w:val="22"/>
          <w:lang w:val="en-AU"/>
        </w:rPr>
        <w:t>Multiple stakeholders</w:t>
      </w:r>
      <w:r w:rsidR="00263CC4" w:rsidRPr="00A26E3C">
        <w:rPr>
          <w:rFonts w:ascii="Calibri" w:eastAsiaTheme="minorHAnsi" w:hAnsi="Calibri" w:cs="Calibri"/>
          <w:color w:val="000000"/>
          <w:sz w:val="22"/>
          <w:szCs w:val="22"/>
          <w:lang w:val="en-AU"/>
        </w:rPr>
        <w:t xml:space="preserve"> </w:t>
      </w:r>
      <w:r w:rsidR="00EF5CCE" w:rsidRPr="00A26E3C">
        <w:rPr>
          <w:rFonts w:ascii="Calibri" w:eastAsiaTheme="minorHAnsi" w:hAnsi="Calibri" w:cs="Calibri"/>
          <w:color w:val="000000"/>
          <w:sz w:val="22"/>
          <w:szCs w:val="22"/>
          <w:lang w:val="en-AU"/>
        </w:rPr>
        <w:t xml:space="preserve">from both the public and private sectors mentioned the importance of continued reforms to facilitate investment. </w:t>
      </w:r>
      <w:r w:rsidR="00263CC4" w:rsidRPr="00A26E3C">
        <w:rPr>
          <w:rFonts w:ascii="Calibri" w:eastAsiaTheme="minorHAnsi" w:hAnsi="Calibri" w:cs="Calibri"/>
          <w:color w:val="000000"/>
          <w:sz w:val="22"/>
          <w:szCs w:val="22"/>
          <w:lang w:val="en-AU"/>
        </w:rPr>
        <w:t>This work has been significant in enabling reforms</w:t>
      </w:r>
      <w:r w:rsidR="00DF0A19">
        <w:rPr>
          <w:rFonts w:ascii="Calibri" w:eastAsiaTheme="minorHAnsi" w:hAnsi="Calibri" w:cs="Calibri"/>
          <w:color w:val="000000"/>
          <w:sz w:val="22"/>
          <w:szCs w:val="22"/>
          <w:lang w:val="en-AU"/>
        </w:rPr>
        <w:t>,</w:t>
      </w:r>
      <w:r w:rsidR="00263CC4" w:rsidRPr="00A26E3C">
        <w:rPr>
          <w:rFonts w:ascii="Calibri" w:eastAsiaTheme="minorHAnsi" w:hAnsi="Calibri" w:cs="Calibri"/>
          <w:color w:val="000000"/>
          <w:sz w:val="22"/>
          <w:szCs w:val="22"/>
          <w:lang w:val="en-AU"/>
        </w:rPr>
        <w:t xml:space="preserve"> and much of the work is attributable directly to the IFC and DFAT’s engagement and support.</w:t>
      </w:r>
    </w:p>
    <w:p w14:paraId="59AF0274" w14:textId="0EC07EEB" w:rsidR="002D71F5" w:rsidRPr="00C723E0" w:rsidRDefault="005D4005" w:rsidP="00BD4BE0">
      <w:pPr>
        <w:spacing w:after="120"/>
        <w:jc w:val="both"/>
        <w:rPr>
          <w:rFonts w:ascii="Calibri" w:eastAsiaTheme="minorHAnsi" w:hAnsi="Calibri" w:cs="Calibri"/>
          <w:color w:val="000000"/>
          <w:sz w:val="22"/>
          <w:szCs w:val="22"/>
          <w:lang w:val="en-AU"/>
        </w:rPr>
      </w:pPr>
      <w:r w:rsidRPr="00DF0A19">
        <w:rPr>
          <w:rFonts w:ascii="Calibri" w:eastAsiaTheme="minorHAnsi" w:hAnsi="Calibri" w:cs="Calibri"/>
          <w:b/>
          <w:bCs/>
          <w:color w:val="000000"/>
          <w:sz w:val="22"/>
          <w:szCs w:val="22"/>
          <w:lang w:val="en-AU"/>
        </w:rPr>
        <w:t xml:space="preserve">Through </w:t>
      </w:r>
      <w:r w:rsidR="00361683" w:rsidRPr="00DF0A19">
        <w:rPr>
          <w:rFonts w:ascii="Calibri" w:eastAsiaTheme="minorEastAsia" w:hAnsi="Calibri" w:cs="Calibri"/>
          <w:b/>
          <w:bCs/>
          <w:color w:val="000000" w:themeColor="text1"/>
          <w:sz w:val="22"/>
          <w:szCs w:val="22"/>
          <w:lang w:val="en-AU"/>
        </w:rPr>
        <w:t>the Fiji Winvest project and continuing through Advance2Equal</w:t>
      </w:r>
      <w:r w:rsidRPr="00DF0A19">
        <w:rPr>
          <w:rFonts w:ascii="Calibri" w:eastAsiaTheme="minorHAnsi" w:hAnsi="Calibri" w:cs="Calibri"/>
          <w:b/>
          <w:bCs/>
          <w:color w:val="000000"/>
          <w:sz w:val="22"/>
          <w:szCs w:val="22"/>
          <w:lang w:val="en-AU"/>
        </w:rPr>
        <w:t xml:space="preserve">, IFC </w:t>
      </w:r>
      <w:r w:rsidR="002D71F5" w:rsidRPr="00DF0A19">
        <w:rPr>
          <w:rFonts w:ascii="Calibri" w:eastAsiaTheme="minorHAnsi" w:hAnsi="Calibri" w:cs="Calibri"/>
          <w:b/>
          <w:bCs/>
          <w:color w:val="000000"/>
          <w:sz w:val="22"/>
          <w:szCs w:val="22"/>
          <w:lang w:val="en-AU"/>
        </w:rPr>
        <w:t xml:space="preserve">has been advocating for </w:t>
      </w:r>
      <w:r w:rsidRPr="00DF0A19">
        <w:rPr>
          <w:rFonts w:ascii="Calibri" w:eastAsiaTheme="minorHAnsi" w:hAnsi="Calibri" w:cs="Calibri"/>
          <w:b/>
          <w:bCs/>
          <w:color w:val="000000"/>
          <w:sz w:val="22"/>
          <w:szCs w:val="22"/>
          <w:lang w:val="en-AU"/>
        </w:rPr>
        <w:t>creating</w:t>
      </w:r>
      <w:r w:rsidR="002D71F5" w:rsidRPr="00DF0A19">
        <w:rPr>
          <w:rFonts w:ascii="Calibri" w:eastAsiaTheme="minorHAnsi" w:hAnsi="Calibri" w:cs="Calibri"/>
          <w:b/>
          <w:bCs/>
          <w:color w:val="000000"/>
          <w:sz w:val="22"/>
          <w:szCs w:val="22"/>
          <w:lang w:val="en-AU"/>
        </w:rPr>
        <w:t xml:space="preserve"> an enabling environment for childcare in Fiji.</w:t>
      </w:r>
      <w:r w:rsidR="002D71F5" w:rsidRPr="00C723E0">
        <w:rPr>
          <w:rFonts w:ascii="Calibri" w:eastAsiaTheme="minorHAnsi" w:hAnsi="Calibri" w:cs="Calibri"/>
          <w:color w:val="000000"/>
          <w:sz w:val="22"/>
          <w:szCs w:val="22"/>
          <w:lang w:val="en-AU"/>
        </w:rPr>
        <w:t xml:space="preserve"> </w:t>
      </w:r>
      <w:r w:rsidR="001C72B6" w:rsidRPr="00C723E0">
        <w:rPr>
          <w:rFonts w:ascii="Calibri" w:eastAsiaTheme="minorHAnsi" w:hAnsi="Calibri" w:cs="Calibri"/>
          <w:color w:val="000000"/>
          <w:sz w:val="22"/>
          <w:szCs w:val="22"/>
          <w:lang w:val="en-AU"/>
        </w:rPr>
        <w:t>A</w:t>
      </w:r>
      <w:r w:rsidR="002D71F5" w:rsidRPr="00C723E0">
        <w:rPr>
          <w:rFonts w:ascii="Calibri" w:eastAsiaTheme="minorHAnsi" w:hAnsi="Calibri" w:cs="Calibri"/>
          <w:color w:val="000000"/>
          <w:sz w:val="22"/>
          <w:szCs w:val="22"/>
          <w:lang w:val="en-AU"/>
        </w:rPr>
        <w:t>t face</w:t>
      </w:r>
      <w:r w:rsidRPr="00C723E0">
        <w:rPr>
          <w:rFonts w:ascii="Calibri" w:eastAsiaTheme="minorHAnsi" w:hAnsi="Calibri" w:cs="Calibri"/>
          <w:color w:val="000000"/>
          <w:sz w:val="22"/>
          <w:szCs w:val="22"/>
          <w:lang w:val="en-AU"/>
        </w:rPr>
        <w:t xml:space="preserve"> value,</w:t>
      </w:r>
      <w:r w:rsidR="002D71F5" w:rsidRPr="00C723E0">
        <w:rPr>
          <w:rFonts w:ascii="Calibri" w:eastAsiaTheme="minorHAnsi" w:hAnsi="Calibri" w:cs="Calibri"/>
          <w:color w:val="000000"/>
          <w:sz w:val="22"/>
          <w:szCs w:val="22"/>
          <w:lang w:val="en-AU"/>
        </w:rPr>
        <w:t xml:space="preserve"> </w:t>
      </w:r>
      <w:r w:rsidR="001C72B6" w:rsidRPr="00C723E0">
        <w:rPr>
          <w:rFonts w:ascii="Calibri" w:eastAsiaTheme="minorHAnsi" w:hAnsi="Calibri" w:cs="Calibri"/>
          <w:color w:val="000000"/>
          <w:sz w:val="22"/>
          <w:szCs w:val="22"/>
          <w:lang w:val="en-AU"/>
        </w:rPr>
        <w:t xml:space="preserve">this project </w:t>
      </w:r>
      <w:r w:rsidR="002D71F5" w:rsidRPr="00C723E0">
        <w:rPr>
          <w:rFonts w:ascii="Calibri" w:eastAsiaTheme="minorHAnsi" w:hAnsi="Calibri" w:cs="Calibri"/>
          <w:color w:val="000000"/>
          <w:sz w:val="22"/>
          <w:szCs w:val="22"/>
          <w:lang w:val="en-AU"/>
        </w:rPr>
        <w:t>tends to sit outside the scope of formal private sector engagement</w:t>
      </w:r>
      <w:r w:rsidR="001C72B6" w:rsidRPr="00C723E0">
        <w:rPr>
          <w:rFonts w:ascii="Calibri" w:eastAsiaTheme="minorHAnsi" w:hAnsi="Calibri" w:cs="Calibri"/>
          <w:color w:val="000000"/>
          <w:sz w:val="22"/>
          <w:szCs w:val="22"/>
          <w:lang w:val="en-AU"/>
        </w:rPr>
        <w:t>,</w:t>
      </w:r>
      <w:r w:rsidR="002D71F5" w:rsidRPr="00C723E0">
        <w:rPr>
          <w:rFonts w:ascii="Calibri" w:eastAsiaTheme="minorHAnsi" w:hAnsi="Calibri" w:cs="Calibri"/>
          <w:color w:val="000000"/>
          <w:sz w:val="22"/>
          <w:szCs w:val="22"/>
          <w:lang w:val="en-AU"/>
        </w:rPr>
        <w:t xml:space="preserve"> but is a clear demonstration of the </w:t>
      </w:r>
      <w:r w:rsidRPr="00C723E0">
        <w:rPr>
          <w:rFonts w:ascii="Calibri" w:eastAsiaTheme="minorHAnsi" w:hAnsi="Calibri" w:cs="Calibri"/>
          <w:color w:val="000000"/>
          <w:sz w:val="22"/>
          <w:szCs w:val="22"/>
          <w:lang w:val="en-AU"/>
        </w:rPr>
        <w:t>ne</w:t>
      </w:r>
      <w:r w:rsidR="002D71F5" w:rsidRPr="00C723E0">
        <w:rPr>
          <w:rFonts w:ascii="Calibri" w:eastAsiaTheme="minorHAnsi" w:hAnsi="Calibri" w:cs="Calibri"/>
          <w:color w:val="000000"/>
          <w:sz w:val="22"/>
          <w:szCs w:val="22"/>
          <w:lang w:val="en-AU"/>
        </w:rPr>
        <w:t>ed to support famil</w:t>
      </w:r>
      <w:r w:rsidRPr="00C723E0">
        <w:rPr>
          <w:rFonts w:ascii="Calibri" w:eastAsiaTheme="minorHAnsi" w:hAnsi="Calibri" w:cs="Calibri"/>
          <w:color w:val="000000"/>
          <w:sz w:val="22"/>
          <w:szCs w:val="22"/>
          <w:lang w:val="en-AU"/>
        </w:rPr>
        <w:t>i</w:t>
      </w:r>
      <w:r w:rsidR="002D71F5" w:rsidRPr="00C723E0">
        <w:rPr>
          <w:rFonts w:ascii="Calibri" w:eastAsiaTheme="minorHAnsi" w:hAnsi="Calibri" w:cs="Calibri"/>
          <w:color w:val="000000"/>
          <w:sz w:val="22"/>
          <w:szCs w:val="22"/>
          <w:lang w:val="en-AU"/>
        </w:rPr>
        <w:t>es, with a particular impact upon women, to engage and participate in the private sector. Given the high repres</w:t>
      </w:r>
      <w:r w:rsidRPr="00C723E0">
        <w:rPr>
          <w:rFonts w:ascii="Calibri" w:eastAsiaTheme="minorHAnsi" w:hAnsi="Calibri" w:cs="Calibri"/>
          <w:color w:val="000000"/>
          <w:sz w:val="22"/>
          <w:szCs w:val="22"/>
          <w:lang w:val="en-AU"/>
        </w:rPr>
        <w:t>en</w:t>
      </w:r>
      <w:r w:rsidR="002D71F5" w:rsidRPr="00C723E0">
        <w:rPr>
          <w:rFonts w:ascii="Calibri" w:eastAsiaTheme="minorHAnsi" w:hAnsi="Calibri" w:cs="Calibri"/>
          <w:color w:val="000000"/>
          <w:sz w:val="22"/>
          <w:szCs w:val="22"/>
          <w:lang w:val="en-AU"/>
        </w:rPr>
        <w:t xml:space="preserve">tation of females employed in the tourism sector, </w:t>
      </w:r>
      <w:r w:rsidR="001C72B6" w:rsidRPr="00C723E0">
        <w:rPr>
          <w:rFonts w:ascii="Calibri" w:eastAsiaTheme="minorHAnsi" w:hAnsi="Calibri" w:cs="Calibri"/>
          <w:color w:val="000000"/>
          <w:sz w:val="22"/>
          <w:szCs w:val="22"/>
          <w:lang w:val="en-AU"/>
        </w:rPr>
        <w:t>there must be</w:t>
      </w:r>
      <w:r w:rsidR="002D71F5" w:rsidRPr="00C723E0">
        <w:rPr>
          <w:rFonts w:ascii="Calibri" w:eastAsiaTheme="minorHAnsi" w:hAnsi="Calibri" w:cs="Calibri"/>
          <w:color w:val="000000"/>
          <w:sz w:val="22"/>
          <w:szCs w:val="22"/>
          <w:lang w:val="en-AU"/>
        </w:rPr>
        <w:t xml:space="preserve"> effective, cost</w:t>
      </w:r>
      <w:r w:rsidRPr="00C723E0">
        <w:rPr>
          <w:rFonts w:ascii="Calibri" w:eastAsiaTheme="minorHAnsi" w:hAnsi="Calibri" w:cs="Calibri"/>
          <w:color w:val="000000"/>
          <w:sz w:val="22"/>
          <w:szCs w:val="22"/>
          <w:lang w:val="en-AU"/>
        </w:rPr>
        <w:t>-</w:t>
      </w:r>
      <w:r w:rsidR="002D71F5" w:rsidRPr="00C723E0">
        <w:rPr>
          <w:rFonts w:ascii="Calibri" w:eastAsiaTheme="minorHAnsi" w:hAnsi="Calibri" w:cs="Calibri"/>
          <w:color w:val="000000"/>
          <w:sz w:val="22"/>
          <w:szCs w:val="22"/>
          <w:lang w:val="en-AU"/>
        </w:rPr>
        <w:t>efficient and accessible childcare.</w:t>
      </w:r>
      <w:r w:rsidR="001C72B6" w:rsidRPr="00C723E0">
        <w:rPr>
          <w:rFonts w:ascii="Calibri" w:eastAsiaTheme="minorHAnsi" w:hAnsi="Calibri" w:cs="Calibri"/>
          <w:color w:val="000000"/>
          <w:sz w:val="22"/>
          <w:szCs w:val="22"/>
          <w:lang w:val="en-AU"/>
        </w:rPr>
        <w:t xml:space="preserve"> </w:t>
      </w:r>
      <w:r w:rsidR="002D71F5" w:rsidRPr="00C723E0">
        <w:rPr>
          <w:rFonts w:ascii="Calibri" w:eastAsiaTheme="minorHAnsi" w:hAnsi="Calibri" w:cs="Calibri"/>
          <w:color w:val="000000"/>
          <w:sz w:val="22"/>
          <w:szCs w:val="22"/>
          <w:lang w:val="en-AU"/>
        </w:rPr>
        <w:t>Th</w:t>
      </w:r>
      <w:r w:rsidR="00886EC2" w:rsidRPr="00C723E0">
        <w:rPr>
          <w:rFonts w:ascii="Calibri" w:eastAsiaTheme="minorHAnsi" w:hAnsi="Calibri" w:cs="Calibri"/>
          <w:color w:val="000000"/>
          <w:sz w:val="22"/>
          <w:szCs w:val="22"/>
          <w:lang w:val="en-AU"/>
        </w:rPr>
        <w:t xml:space="preserve">is work included </w:t>
      </w:r>
      <w:r w:rsidR="002D71F5" w:rsidRPr="00C723E0">
        <w:rPr>
          <w:rFonts w:ascii="Calibri" w:eastAsiaTheme="minorHAnsi" w:hAnsi="Calibri" w:cs="Calibri"/>
          <w:color w:val="000000"/>
          <w:sz w:val="22"/>
          <w:szCs w:val="22"/>
          <w:lang w:val="en-AU"/>
        </w:rPr>
        <w:t>init</w:t>
      </w:r>
      <w:r w:rsidRPr="00C723E0">
        <w:rPr>
          <w:rFonts w:ascii="Calibri" w:eastAsiaTheme="minorHAnsi" w:hAnsi="Calibri" w:cs="Calibri"/>
          <w:color w:val="000000"/>
          <w:sz w:val="22"/>
          <w:szCs w:val="22"/>
          <w:lang w:val="en-AU"/>
        </w:rPr>
        <w:t>iat</w:t>
      </w:r>
      <w:r w:rsidR="00886EC2" w:rsidRPr="00C723E0">
        <w:rPr>
          <w:rFonts w:ascii="Calibri" w:eastAsiaTheme="minorHAnsi" w:hAnsi="Calibri" w:cs="Calibri"/>
          <w:color w:val="000000"/>
          <w:sz w:val="22"/>
          <w:szCs w:val="22"/>
          <w:lang w:val="en-AU"/>
        </w:rPr>
        <w:t>ing</w:t>
      </w:r>
      <w:r w:rsidR="002D71F5" w:rsidRPr="00C723E0">
        <w:rPr>
          <w:rFonts w:ascii="Calibri" w:eastAsiaTheme="minorHAnsi" w:hAnsi="Calibri" w:cs="Calibri"/>
          <w:color w:val="000000"/>
          <w:sz w:val="22"/>
          <w:szCs w:val="22"/>
          <w:lang w:val="en-AU"/>
        </w:rPr>
        <w:t xml:space="preserve"> and support</w:t>
      </w:r>
      <w:r w:rsidR="00886EC2" w:rsidRPr="00C723E0">
        <w:rPr>
          <w:rFonts w:ascii="Calibri" w:eastAsiaTheme="minorHAnsi" w:hAnsi="Calibri" w:cs="Calibri"/>
          <w:color w:val="000000"/>
          <w:sz w:val="22"/>
          <w:szCs w:val="22"/>
          <w:lang w:val="en-AU"/>
        </w:rPr>
        <w:t>ing</w:t>
      </w:r>
      <w:r w:rsidR="002D71F5" w:rsidRPr="00C723E0">
        <w:rPr>
          <w:rFonts w:ascii="Calibri" w:eastAsiaTheme="minorHAnsi" w:hAnsi="Calibri" w:cs="Calibri"/>
          <w:color w:val="000000"/>
          <w:sz w:val="22"/>
          <w:szCs w:val="22"/>
          <w:lang w:val="en-AU"/>
        </w:rPr>
        <w:t xml:space="preserve"> the establishment of </w:t>
      </w:r>
      <w:r w:rsidR="00886EC2" w:rsidRPr="00C723E0">
        <w:rPr>
          <w:rFonts w:ascii="Calibri" w:eastAsiaTheme="minorHAnsi" w:hAnsi="Calibri" w:cs="Calibri"/>
          <w:color w:val="000000"/>
          <w:sz w:val="22"/>
          <w:szCs w:val="22"/>
          <w:lang w:val="en-AU"/>
        </w:rPr>
        <w:t>G</w:t>
      </w:r>
      <w:r w:rsidR="002D71F5" w:rsidRPr="00C723E0">
        <w:rPr>
          <w:rFonts w:ascii="Calibri" w:eastAsiaTheme="minorHAnsi" w:hAnsi="Calibri" w:cs="Calibri"/>
          <w:color w:val="000000"/>
          <w:sz w:val="22"/>
          <w:szCs w:val="22"/>
          <w:lang w:val="en-AU"/>
        </w:rPr>
        <w:t xml:space="preserve">uidelines </w:t>
      </w:r>
      <w:r w:rsidRPr="00C723E0">
        <w:rPr>
          <w:rFonts w:ascii="Calibri" w:eastAsiaTheme="minorHAnsi" w:hAnsi="Calibri" w:cs="Calibri"/>
          <w:color w:val="000000"/>
          <w:sz w:val="22"/>
          <w:szCs w:val="22"/>
          <w:lang w:val="en-AU"/>
        </w:rPr>
        <w:t>that seek</w:t>
      </w:r>
      <w:r w:rsidR="002D71F5" w:rsidRPr="00C723E0">
        <w:rPr>
          <w:rFonts w:ascii="Calibri" w:eastAsiaTheme="minorHAnsi" w:hAnsi="Calibri" w:cs="Calibri"/>
          <w:color w:val="000000"/>
          <w:sz w:val="22"/>
          <w:szCs w:val="22"/>
          <w:lang w:val="en-AU"/>
        </w:rPr>
        <w:t xml:space="preserve"> to </w:t>
      </w:r>
      <w:r w:rsidR="005B1EE6" w:rsidRPr="00C723E0">
        <w:rPr>
          <w:rFonts w:ascii="Calibri" w:eastAsiaTheme="minorHAnsi" w:hAnsi="Calibri" w:cs="Calibri"/>
          <w:color w:val="000000"/>
          <w:sz w:val="22"/>
          <w:szCs w:val="22"/>
          <w:lang w:val="en-AU"/>
        </w:rPr>
        <w:t>provide the foundation for</w:t>
      </w:r>
      <w:r w:rsidR="002D71F5" w:rsidRPr="00C723E0">
        <w:rPr>
          <w:rFonts w:ascii="Calibri" w:eastAsiaTheme="minorHAnsi" w:hAnsi="Calibri" w:cs="Calibri"/>
          <w:color w:val="000000"/>
          <w:sz w:val="22"/>
          <w:szCs w:val="22"/>
          <w:lang w:val="en-AU"/>
        </w:rPr>
        <w:t xml:space="preserve"> </w:t>
      </w:r>
      <w:r w:rsidR="002348E5" w:rsidRPr="00C723E0">
        <w:rPr>
          <w:rFonts w:ascii="Calibri" w:eastAsiaTheme="minorHAnsi" w:hAnsi="Calibri" w:cs="Calibri"/>
          <w:color w:val="000000"/>
          <w:sz w:val="22"/>
          <w:szCs w:val="22"/>
          <w:lang w:val="en-AU"/>
        </w:rPr>
        <w:t>E</w:t>
      </w:r>
      <w:r w:rsidR="005B1EE6" w:rsidRPr="00C723E0">
        <w:rPr>
          <w:rFonts w:ascii="Calibri" w:eastAsiaTheme="minorHAnsi" w:hAnsi="Calibri" w:cs="Calibri"/>
          <w:color w:val="000000"/>
          <w:sz w:val="22"/>
          <w:szCs w:val="22"/>
          <w:lang w:val="en-AU"/>
        </w:rPr>
        <w:t xml:space="preserve">arly </w:t>
      </w:r>
      <w:r w:rsidR="002348E5" w:rsidRPr="00C723E0">
        <w:rPr>
          <w:rFonts w:ascii="Calibri" w:eastAsiaTheme="minorHAnsi" w:hAnsi="Calibri" w:cs="Calibri"/>
          <w:color w:val="000000"/>
          <w:sz w:val="22"/>
          <w:szCs w:val="22"/>
          <w:lang w:val="en-AU"/>
        </w:rPr>
        <w:t>C</w:t>
      </w:r>
      <w:r w:rsidR="005B1EE6" w:rsidRPr="00C723E0">
        <w:rPr>
          <w:rFonts w:ascii="Calibri" w:eastAsiaTheme="minorHAnsi" w:hAnsi="Calibri" w:cs="Calibri"/>
          <w:color w:val="000000"/>
          <w:sz w:val="22"/>
          <w:szCs w:val="22"/>
          <w:lang w:val="en-AU"/>
        </w:rPr>
        <w:t xml:space="preserve">hildhood </w:t>
      </w:r>
      <w:r w:rsidR="002348E5" w:rsidRPr="00C723E0">
        <w:rPr>
          <w:rFonts w:ascii="Calibri" w:eastAsiaTheme="minorHAnsi" w:hAnsi="Calibri" w:cs="Calibri"/>
          <w:color w:val="000000"/>
          <w:sz w:val="22"/>
          <w:szCs w:val="22"/>
          <w:lang w:val="en-AU"/>
        </w:rPr>
        <w:t>C</w:t>
      </w:r>
      <w:r w:rsidR="005B1EE6" w:rsidRPr="00C723E0">
        <w:rPr>
          <w:rFonts w:ascii="Calibri" w:eastAsiaTheme="minorHAnsi" w:hAnsi="Calibri" w:cs="Calibri"/>
          <w:color w:val="000000"/>
          <w:sz w:val="22"/>
          <w:szCs w:val="22"/>
          <w:lang w:val="en-AU"/>
        </w:rPr>
        <w:t xml:space="preserve">are and </w:t>
      </w:r>
      <w:r w:rsidR="002348E5" w:rsidRPr="00C723E0">
        <w:rPr>
          <w:rFonts w:ascii="Calibri" w:eastAsiaTheme="minorHAnsi" w:hAnsi="Calibri" w:cs="Calibri"/>
          <w:color w:val="000000"/>
          <w:sz w:val="22"/>
          <w:szCs w:val="22"/>
          <w:lang w:val="en-AU"/>
        </w:rPr>
        <w:t>E</w:t>
      </w:r>
      <w:r w:rsidR="005B1EE6" w:rsidRPr="00C723E0">
        <w:rPr>
          <w:rFonts w:ascii="Calibri" w:eastAsiaTheme="minorHAnsi" w:hAnsi="Calibri" w:cs="Calibri"/>
          <w:color w:val="000000"/>
          <w:sz w:val="22"/>
          <w:szCs w:val="22"/>
          <w:lang w:val="en-AU"/>
        </w:rPr>
        <w:t>ducation (ECCE)</w:t>
      </w:r>
      <w:r w:rsidRPr="00C723E0">
        <w:rPr>
          <w:rFonts w:ascii="Calibri" w:eastAsiaTheme="minorHAnsi" w:hAnsi="Calibri" w:cs="Calibri"/>
          <w:color w:val="000000"/>
          <w:sz w:val="22"/>
          <w:szCs w:val="22"/>
          <w:lang w:val="en-AU"/>
        </w:rPr>
        <w:t xml:space="preserve"> government policies</w:t>
      </w:r>
      <w:r w:rsidR="002D71F5" w:rsidRPr="00C723E0">
        <w:rPr>
          <w:rFonts w:ascii="Calibri" w:eastAsiaTheme="minorHAnsi" w:hAnsi="Calibri" w:cs="Calibri"/>
          <w:color w:val="000000"/>
          <w:sz w:val="22"/>
          <w:szCs w:val="22"/>
          <w:lang w:val="en-AU"/>
        </w:rPr>
        <w:t xml:space="preserve">. An </w:t>
      </w:r>
      <w:r w:rsidR="001C72B6" w:rsidRPr="00C723E0">
        <w:rPr>
          <w:rFonts w:ascii="Calibri" w:eastAsiaTheme="minorHAnsi" w:hAnsi="Calibri" w:cs="Calibri"/>
          <w:color w:val="000000"/>
          <w:sz w:val="22"/>
          <w:szCs w:val="22"/>
          <w:lang w:val="en-AU"/>
        </w:rPr>
        <w:t>essential</w:t>
      </w:r>
      <w:r w:rsidR="002D71F5" w:rsidRPr="00C723E0">
        <w:rPr>
          <w:rFonts w:ascii="Calibri" w:eastAsiaTheme="minorHAnsi" w:hAnsi="Calibri" w:cs="Calibri"/>
          <w:color w:val="000000"/>
          <w:sz w:val="22"/>
          <w:szCs w:val="22"/>
          <w:lang w:val="en-AU"/>
        </w:rPr>
        <w:t xml:space="preserve"> next step is to </w:t>
      </w:r>
      <w:r w:rsidR="001C72B6" w:rsidRPr="00C723E0">
        <w:rPr>
          <w:rFonts w:ascii="Calibri" w:eastAsiaTheme="minorHAnsi" w:hAnsi="Calibri" w:cs="Calibri"/>
          <w:color w:val="000000"/>
          <w:sz w:val="22"/>
          <w:szCs w:val="22"/>
          <w:lang w:val="en-AU"/>
        </w:rPr>
        <w:t>recognise private childcare operators under the law</w:t>
      </w:r>
      <w:r w:rsidR="002D71F5" w:rsidRPr="00C723E0">
        <w:rPr>
          <w:rFonts w:ascii="Calibri" w:eastAsiaTheme="minorHAnsi" w:hAnsi="Calibri" w:cs="Calibri"/>
          <w:color w:val="000000"/>
          <w:sz w:val="22"/>
          <w:szCs w:val="22"/>
          <w:lang w:val="en-AU"/>
        </w:rPr>
        <w:t xml:space="preserve">. Within this </w:t>
      </w:r>
      <w:r w:rsidR="001C72B6" w:rsidRPr="00C723E0">
        <w:rPr>
          <w:rFonts w:ascii="Calibri" w:eastAsiaTheme="minorHAnsi" w:hAnsi="Calibri" w:cs="Calibri"/>
          <w:color w:val="000000"/>
          <w:sz w:val="22"/>
          <w:szCs w:val="22"/>
          <w:lang w:val="en-AU"/>
        </w:rPr>
        <w:t>critical</w:t>
      </w:r>
      <w:r w:rsidR="002D71F5" w:rsidRPr="00C723E0">
        <w:rPr>
          <w:rFonts w:ascii="Calibri" w:eastAsiaTheme="minorHAnsi" w:hAnsi="Calibri" w:cs="Calibri"/>
          <w:color w:val="000000"/>
          <w:sz w:val="22"/>
          <w:szCs w:val="22"/>
          <w:lang w:val="en-AU"/>
        </w:rPr>
        <w:t xml:space="preserve"> “next step</w:t>
      </w:r>
      <w:r w:rsidRPr="00C723E0">
        <w:rPr>
          <w:rFonts w:ascii="Calibri" w:eastAsiaTheme="minorHAnsi" w:hAnsi="Calibri" w:cs="Calibri"/>
          <w:color w:val="000000"/>
          <w:sz w:val="22"/>
          <w:szCs w:val="22"/>
          <w:lang w:val="en-AU"/>
        </w:rPr>
        <w:t>,”</w:t>
      </w:r>
      <w:r w:rsidR="002D71F5" w:rsidRPr="00C723E0">
        <w:rPr>
          <w:rFonts w:ascii="Calibri" w:eastAsiaTheme="minorHAnsi" w:hAnsi="Calibri" w:cs="Calibri"/>
          <w:color w:val="000000"/>
          <w:sz w:val="22"/>
          <w:szCs w:val="22"/>
          <w:lang w:val="en-AU"/>
        </w:rPr>
        <w:t xml:space="preserve"> the ind</w:t>
      </w:r>
      <w:r w:rsidRPr="00C723E0">
        <w:rPr>
          <w:rFonts w:ascii="Calibri" w:eastAsiaTheme="minorHAnsi" w:hAnsi="Calibri" w:cs="Calibri"/>
          <w:color w:val="000000"/>
          <w:sz w:val="22"/>
          <w:szCs w:val="22"/>
          <w:lang w:val="en-AU"/>
        </w:rPr>
        <w:t>us</w:t>
      </w:r>
      <w:r w:rsidR="002D71F5" w:rsidRPr="00C723E0">
        <w:rPr>
          <w:rFonts w:ascii="Calibri" w:eastAsiaTheme="minorHAnsi" w:hAnsi="Calibri" w:cs="Calibri"/>
          <w:color w:val="000000"/>
          <w:sz w:val="22"/>
          <w:szCs w:val="22"/>
          <w:lang w:val="en-AU"/>
        </w:rPr>
        <w:t xml:space="preserve">try </w:t>
      </w:r>
      <w:r w:rsidRPr="00C723E0">
        <w:rPr>
          <w:rFonts w:ascii="Calibri" w:eastAsiaTheme="minorHAnsi" w:hAnsi="Calibri" w:cs="Calibri"/>
          <w:color w:val="000000"/>
          <w:sz w:val="22"/>
          <w:szCs w:val="22"/>
          <w:lang w:val="en-AU"/>
        </w:rPr>
        <w:t>risks</w:t>
      </w:r>
      <w:r w:rsidR="002D71F5" w:rsidRPr="00C723E0">
        <w:rPr>
          <w:rFonts w:ascii="Calibri" w:eastAsiaTheme="minorHAnsi" w:hAnsi="Calibri" w:cs="Calibri"/>
          <w:color w:val="000000"/>
          <w:sz w:val="22"/>
          <w:szCs w:val="22"/>
          <w:lang w:val="en-AU"/>
        </w:rPr>
        <w:t xml:space="preserve"> remaining somewhat frag</w:t>
      </w:r>
      <w:r w:rsidRPr="00C723E0">
        <w:rPr>
          <w:rFonts w:ascii="Calibri" w:eastAsiaTheme="minorHAnsi" w:hAnsi="Calibri" w:cs="Calibri"/>
          <w:color w:val="000000"/>
          <w:sz w:val="22"/>
          <w:szCs w:val="22"/>
          <w:lang w:val="en-AU"/>
        </w:rPr>
        <w:t>mented</w:t>
      </w:r>
      <w:r w:rsidR="002D71F5" w:rsidRPr="00C723E0">
        <w:rPr>
          <w:rFonts w:ascii="Calibri" w:eastAsiaTheme="minorHAnsi" w:hAnsi="Calibri" w:cs="Calibri"/>
          <w:color w:val="000000"/>
          <w:sz w:val="22"/>
          <w:szCs w:val="22"/>
          <w:lang w:val="en-AU"/>
        </w:rPr>
        <w:t xml:space="preserve"> and unregulated</w:t>
      </w:r>
      <w:r w:rsidRPr="00C723E0">
        <w:rPr>
          <w:rFonts w:ascii="Calibri" w:eastAsiaTheme="minorHAnsi" w:hAnsi="Calibri" w:cs="Calibri"/>
          <w:color w:val="000000"/>
          <w:sz w:val="22"/>
          <w:szCs w:val="22"/>
          <w:lang w:val="en-AU"/>
        </w:rPr>
        <w:t>,</w:t>
      </w:r>
      <w:r w:rsidR="002D71F5" w:rsidRPr="00C723E0">
        <w:rPr>
          <w:rFonts w:ascii="Calibri" w:eastAsiaTheme="minorHAnsi" w:hAnsi="Calibri" w:cs="Calibri"/>
          <w:color w:val="000000"/>
          <w:sz w:val="22"/>
          <w:szCs w:val="22"/>
          <w:lang w:val="en-AU"/>
        </w:rPr>
        <w:t xml:space="preserve"> which poses potential risks, particularly in dealing with children. </w:t>
      </w:r>
    </w:p>
    <w:p w14:paraId="7F9F18B6" w14:textId="787E2C7E" w:rsidR="00620356" w:rsidRPr="00C723E0" w:rsidRDefault="00BD4BE0" w:rsidP="001C72B6">
      <w:pPr>
        <w:autoSpaceDE w:val="0"/>
        <w:autoSpaceDN w:val="0"/>
        <w:adjustRightInd w:val="0"/>
        <w:spacing w:after="120"/>
        <w:jc w:val="both"/>
        <w:rPr>
          <w:rFonts w:ascii="Calibri" w:hAnsi="Calibri" w:cs="Calibri"/>
          <w:color w:val="000000"/>
          <w:sz w:val="22"/>
          <w:szCs w:val="22"/>
          <w:lang w:val="en-AU"/>
        </w:rPr>
      </w:pPr>
      <w:r w:rsidRPr="00C723E0">
        <w:rPr>
          <w:rFonts w:ascii="Calibri" w:hAnsi="Calibri" w:cs="Calibri"/>
          <w:b/>
          <w:bCs/>
          <w:sz w:val="22"/>
          <w:szCs w:val="22"/>
          <w:lang w:val="en-AU"/>
        </w:rPr>
        <w:t>A</w:t>
      </w:r>
      <w:r w:rsidR="00D643FF" w:rsidRPr="00C723E0">
        <w:rPr>
          <w:rFonts w:ascii="Calibri" w:hAnsi="Calibri" w:cs="Calibri"/>
          <w:b/>
          <w:bCs/>
          <w:sz w:val="22"/>
          <w:szCs w:val="22"/>
          <w:lang w:val="en-AU"/>
        </w:rPr>
        <w:t xml:space="preserve"> signific</w:t>
      </w:r>
      <w:r w:rsidRPr="00C723E0">
        <w:rPr>
          <w:rFonts w:ascii="Calibri" w:hAnsi="Calibri" w:cs="Calibri"/>
          <w:b/>
          <w:bCs/>
          <w:sz w:val="22"/>
          <w:szCs w:val="22"/>
          <w:lang w:val="en-AU"/>
        </w:rPr>
        <w:t xml:space="preserve">ant </w:t>
      </w:r>
      <w:r w:rsidR="00D43CA9" w:rsidRPr="00C723E0">
        <w:rPr>
          <w:rFonts w:ascii="Calibri" w:hAnsi="Calibri" w:cs="Calibri"/>
          <w:b/>
          <w:bCs/>
          <w:sz w:val="22"/>
          <w:szCs w:val="22"/>
          <w:lang w:val="en-AU"/>
        </w:rPr>
        <w:t>advantage</w:t>
      </w:r>
      <w:r w:rsidRPr="00C723E0">
        <w:rPr>
          <w:rFonts w:ascii="Calibri" w:hAnsi="Calibri" w:cs="Calibri"/>
          <w:b/>
          <w:bCs/>
          <w:sz w:val="22"/>
          <w:szCs w:val="22"/>
          <w:lang w:val="en-AU"/>
        </w:rPr>
        <w:t xml:space="preserve"> of </w:t>
      </w:r>
      <w:r w:rsidR="003E33AD" w:rsidRPr="00C723E0">
        <w:rPr>
          <w:rFonts w:ascii="Calibri" w:hAnsi="Calibri" w:cs="Calibri"/>
          <w:b/>
          <w:bCs/>
          <w:sz w:val="22"/>
          <w:szCs w:val="22"/>
          <w:lang w:val="en-AU"/>
        </w:rPr>
        <w:t>Pillar</w:t>
      </w:r>
      <w:r w:rsidRPr="00C723E0">
        <w:rPr>
          <w:rFonts w:ascii="Calibri" w:hAnsi="Calibri" w:cs="Calibri"/>
          <w:b/>
          <w:bCs/>
          <w:sz w:val="22"/>
          <w:szCs w:val="22"/>
          <w:lang w:val="en-AU"/>
        </w:rPr>
        <w:t xml:space="preserve"> 1 has been to link specific interventions.</w:t>
      </w:r>
      <w:r w:rsidRPr="00C723E0">
        <w:rPr>
          <w:rFonts w:ascii="Calibri" w:hAnsi="Calibri" w:cs="Calibri"/>
          <w:sz w:val="22"/>
          <w:szCs w:val="22"/>
          <w:lang w:val="en-AU"/>
        </w:rPr>
        <w:t xml:space="preserve"> For </w:t>
      </w:r>
      <w:r w:rsidR="003E33AD" w:rsidRPr="00C723E0">
        <w:rPr>
          <w:rFonts w:ascii="Calibri" w:hAnsi="Calibri" w:cs="Calibri"/>
          <w:sz w:val="22"/>
          <w:szCs w:val="22"/>
          <w:lang w:val="en-AU"/>
        </w:rPr>
        <w:t>example</w:t>
      </w:r>
      <w:r w:rsidRPr="00C723E0">
        <w:rPr>
          <w:rFonts w:ascii="Calibri" w:hAnsi="Calibri" w:cs="Calibri"/>
          <w:sz w:val="22"/>
          <w:szCs w:val="22"/>
          <w:lang w:val="en-AU"/>
        </w:rPr>
        <w:t xml:space="preserve">, </w:t>
      </w:r>
      <w:r w:rsidR="00620356" w:rsidRPr="00C723E0">
        <w:rPr>
          <w:rFonts w:ascii="Calibri" w:eastAsiaTheme="minorHAnsi" w:hAnsi="Calibri" w:cs="Calibri"/>
          <w:sz w:val="22"/>
          <w:szCs w:val="22"/>
          <w:lang w:val="en-AU"/>
        </w:rPr>
        <w:t xml:space="preserve">IFC </w:t>
      </w:r>
      <w:r w:rsidR="001B6340" w:rsidRPr="00C723E0">
        <w:rPr>
          <w:rFonts w:ascii="Calibri" w:eastAsiaTheme="minorHAnsi" w:hAnsi="Calibri" w:cs="Calibri"/>
          <w:sz w:val="22"/>
          <w:szCs w:val="22"/>
          <w:lang w:val="en-AU"/>
        </w:rPr>
        <w:t xml:space="preserve">will </w:t>
      </w:r>
      <w:r w:rsidRPr="00C723E0">
        <w:rPr>
          <w:rFonts w:ascii="Calibri" w:eastAsiaTheme="minorHAnsi" w:hAnsi="Calibri" w:cs="Calibri"/>
          <w:sz w:val="22"/>
          <w:szCs w:val="22"/>
          <w:lang w:val="en-AU"/>
        </w:rPr>
        <w:t xml:space="preserve">complete </w:t>
      </w:r>
      <w:r w:rsidR="00620356" w:rsidRPr="00C723E0">
        <w:rPr>
          <w:rFonts w:ascii="Calibri" w:eastAsiaTheme="minorHAnsi" w:hAnsi="Calibri" w:cs="Calibri"/>
          <w:sz w:val="22"/>
          <w:szCs w:val="22"/>
          <w:lang w:val="en-AU"/>
        </w:rPr>
        <w:t>an Investible Opportunities diagnostic to help Investment Fiji identify investment opportunities</w:t>
      </w:r>
      <w:r w:rsidR="00DF0A19">
        <w:rPr>
          <w:rFonts w:ascii="Calibri" w:eastAsiaTheme="minorHAnsi" w:hAnsi="Calibri" w:cs="Calibri"/>
          <w:sz w:val="22"/>
          <w:szCs w:val="22"/>
          <w:lang w:val="en-AU"/>
        </w:rPr>
        <w:t>,</w:t>
      </w:r>
      <w:r w:rsidR="00A46373" w:rsidRPr="00C723E0">
        <w:rPr>
          <w:rFonts w:ascii="Calibri" w:eastAsiaTheme="minorHAnsi" w:hAnsi="Calibri" w:cs="Calibri"/>
          <w:sz w:val="22"/>
          <w:szCs w:val="22"/>
          <w:lang w:val="en-AU"/>
        </w:rPr>
        <w:t xml:space="preserve"> including those</w:t>
      </w:r>
      <w:r w:rsidR="00620356" w:rsidRPr="00C723E0">
        <w:rPr>
          <w:rFonts w:ascii="Calibri" w:eastAsiaTheme="minorHAnsi" w:hAnsi="Calibri" w:cs="Calibri"/>
          <w:sz w:val="22"/>
          <w:szCs w:val="22"/>
          <w:lang w:val="en-AU"/>
        </w:rPr>
        <w:t xml:space="preserve"> aligned with the sustainable tourism action items from the National Sustainable Tourism Framework (NSTF) Action Plan</w:t>
      </w:r>
      <w:r w:rsidR="00D643FF" w:rsidRPr="00C723E0">
        <w:rPr>
          <w:rFonts w:ascii="Calibri" w:eastAsiaTheme="minorHAnsi" w:hAnsi="Calibri" w:cs="Calibri"/>
          <w:sz w:val="22"/>
          <w:szCs w:val="22"/>
          <w:lang w:val="en-AU"/>
        </w:rPr>
        <w:t xml:space="preserve"> and</w:t>
      </w:r>
      <w:r w:rsidR="00620356" w:rsidRPr="00C723E0">
        <w:rPr>
          <w:rFonts w:ascii="Calibri" w:eastAsiaTheme="minorHAnsi" w:hAnsi="Calibri" w:cs="Calibri"/>
          <w:sz w:val="22"/>
          <w:szCs w:val="22"/>
          <w:lang w:val="en-AU"/>
        </w:rPr>
        <w:t xml:space="preserve"> broader green/climate infrastructure opportunities.</w:t>
      </w:r>
      <w:r w:rsidRPr="00C723E0">
        <w:rPr>
          <w:rFonts w:ascii="Calibri" w:eastAsiaTheme="minorHAnsi" w:hAnsi="Calibri" w:cs="Calibri"/>
          <w:sz w:val="22"/>
          <w:szCs w:val="22"/>
          <w:lang w:val="en-AU"/>
        </w:rPr>
        <w:t xml:space="preserve"> </w:t>
      </w:r>
      <w:r w:rsidR="00AF3323" w:rsidRPr="00C723E0">
        <w:rPr>
          <w:rFonts w:ascii="Calibri" w:eastAsiaTheme="minorHAnsi" w:hAnsi="Calibri" w:cs="Calibri"/>
          <w:sz w:val="22"/>
          <w:szCs w:val="22"/>
          <w:lang w:val="en-AU"/>
        </w:rPr>
        <w:t xml:space="preserve">Through the diagnostic work, </w:t>
      </w:r>
      <w:r w:rsidR="00620356" w:rsidRPr="00C723E0">
        <w:rPr>
          <w:rFonts w:ascii="Calibri" w:eastAsiaTheme="minorHAnsi" w:hAnsi="Calibri" w:cs="Calibri"/>
          <w:sz w:val="22"/>
          <w:szCs w:val="22"/>
          <w:lang w:val="en-AU"/>
        </w:rPr>
        <w:t xml:space="preserve">IFC </w:t>
      </w:r>
      <w:r w:rsidR="00AF3323" w:rsidRPr="00C723E0">
        <w:rPr>
          <w:rFonts w:ascii="Calibri" w:eastAsiaTheme="minorHAnsi" w:hAnsi="Calibri" w:cs="Calibri"/>
          <w:sz w:val="22"/>
          <w:szCs w:val="22"/>
          <w:lang w:val="en-AU"/>
        </w:rPr>
        <w:t>will</w:t>
      </w:r>
      <w:r w:rsidR="00620356" w:rsidRPr="00C723E0">
        <w:rPr>
          <w:rFonts w:ascii="Calibri" w:eastAsiaTheme="minorHAnsi" w:hAnsi="Calibri" w:cs="Calibri"/>
          <w:sz w:val="22"/>
          <w:szCs w:val="22"/>
          <w:lang w:val="en-AU"/>
        </w:rPr>
        <w:t xml:space="preserve"> </w:t>
      </w:r>
      <w:r w:rsidR="00D643FF" w:rsidRPr="00C723E0">
        <w:rPr>
          <w:rFonts w:ascii="Calibri" w:eastAsiaTheme="minorHAnsi" w:hAnsi="Calibri" w:cs="Calibri"/>
          <w:sz w:val="22"/>
          <w:szCs w:val="22"/>
          <w:lang w:val="en-AU"/>
        </w:rPr>
        <w:t>assist</w:t>
      </w:r>
      <w:r w:rsidR="00AF3323" w:rsidRPr="00C723E0">
        <w:rPr>
          <w:rFonts w:ascii="Calibri" w:eastAsiaTheme="minorHAnsi" w:hAnsi="Calibri" w:cs="Calibri"/>
          <w:sz w:val="22"/>
          <w:szCs w:val="22"/>
          <w:lang w:val="en-AU"/>
        </w:rPr>
        <w:t xml:space="preserve"> Investment Fiji</w:t>
      </w:r>
      <w:r w:rsidR="00620356" w:rsidRPr="00C723E0">
        <w:rPr>
          <w:rFonts w:ascii="Calibri" w:eastAsiaTheme="minorHAnsi" w:hAnsi="Calibri" w:cs="Calibri"/>
          <w:sz w:val="22"/>
          <w:szCs w:val="22"/>
          <w:lang w:val="en-AU"/>
        </w:rPr>
        <w:t xml:space="preserve"> </w:t>
      </w:r>
      <w:r w:rsidR="005D4005" w:rsidRPr="00C723E0">
        <w:rPr>
          <w:rFonts w:ascii="Calibri" w:eastAsiaTheme="minorHAnsi" w:hAnsi="Calibri" w:cs="Calibri"/>
          <w:sz w:val="22"/>
          <w:szCs w:val="22"/>
          <w:lang w:val="en-AU"/>
        </w:rPr>
        <w:t>in</w:t>
      </w:r>
      <w:r w:rsidR="00620356" w:rsidRPr="00C723E0">
        <w:rPr>
          <w:rFonts w:ascii="Calibri" w:eastAsiaTheme="minorHAnsi" w:hAnsi="Calibri" w:cs="Calibri"/>
          <w:sz w:val="22"/>
          <w:szCs w:val="22"/>
          <w:lang w:val="en-AU"/>
        </w:rPr>
        <w:t xml:space="preserve"> develop</w:t>
      </w:r>
      <w:r w:rsidR="005D4005" w:rsidRPr="00C723E0">
        <w:rPr>
          <w:rFonts w:ascii="Calibri" w:eastAsiaTheme="minorHAnsi" w:hAnsi="Calibri" w:cs="Calibri"/>
          <w:sz w:val="22"/>
          <w:szCs w:val="22"/>
          <w:lang w:val="en-AU"/>
        </w:rPr>
        <w:t>ing</w:t>
      </w:r>
      <w:r w:rsidR="00620356" w:rsidRPr="00C723E0">
        <w:rPr>
          <w:rFonts w:ascii="Calibri" w:eastAsiaTheme="minorHAnsi" w:hAnsi="Calibri" w:cs="Calibri"/>
          <w:sz w:val="22"/>
          <w:szCs w:val="22"/>
          <w:lang w:val="en-AU"/>
        </w:rPr>
        <w:t xml:space="preserve"> targeted investor lists, target action plans, and investment promotion strategies for these opportunities. The study will commence following the signing of the Cooperation Agreement with the MTCMSMEC, which covers investment promotion support to Investment Fiji.</w:t>
      </w:r>
      <w:r w:rsidRPr="00C723E0">
        <w:rPr>
          <w:rFonts w:ascii="Calibri" w:eastAsiaTheme="minorHAnsi" w:hAnsi="Calibri" w:cs="Calibri"/>
          <w:sz w:val="22"/>
          <w:szCs w:val="22"/>
          <w:lang w:val="en-AU"/>
        </w:rPr>
        <w:t xml:space="preserve"> </w:t>
      </w:r>
    </w:p>
    <w:p w14:paraId="262384E6" w14:textId="1435E114" w:rsidR="001C72B6" w:rsidRPr="00C723E0" w:rsidRDefault="001C72B6" w:rsidP="001C72B6">
      <w:pPr>
        <w:autoSpaceDE w:val="0"/>
        <w:autoSpaceDN w:val="0"/>
        <w:adjustRightInd w:val="0"/>
        <w:spacing w:after="120"/>
        <w:jc w:val="both"/>
        <w:rPr>
          <w:rFonts w:ascii="Calibri" w:eastAsiaTheme="minorHAnsi" w:hAnsi="Calibri" w:cs="Calibri"/>
          <w:sz w:val="22"/>
          <w:szCs w:val="22"/>
          <w:lang w:val="en-AU"/>
        </w:rPr>
      </w:pPr>
      <w:r w:rsidRPr="00C723E0">
        <w:rPr>
          <w:rFonts w:ascii="Calibri" w:hAnsi="Calibri" w:cs="Calibri"/>
          <w:b/>
          <w:bCs/>
          <w:color w:val="000000"/>
          <w:sz w:val="22"/>
          <w:szCs w:val="22"/>
          <w:lang w:val="en-AU"/>
        </w:rPr>
        <w:t>The overall conclusion is that the projects under Pillar 1 have evolved from initial pilots to solid targeted investments that underpin the entire program</w:t>
      </w:r>
      <w:r w:rsidRPr="00C723E0">
        <w:rPr>
          <w:rFonts w:ascii="Calibri" w:hAnsi="Calibri" w:cs="Calibri"/>
          <w:color w:val="000000"/>
          <w:sz w:val="22"/>
          <w:szCs w:val="22"/>
          <w:lang w:val="en-AU"/>
        </w:rPr>
        <w:t xml:space="preserve">. Activities under Pillar 1 have emerged as core foundational investments, given their critical role in supporting the development of Fiji. The Sustainable Tourism Framework supports the sector that employs </w:t>
      </w:r>
      <w:r w:rsidR="002348E5" w:rsidRPr="00C723E0">
        <w:rPr>
          <w:rFonts w:ascii="Calibri" w:hAnsi="Calibri" w:cs="Calibri"/>
          <w:color w:val="000000"/>
          <w:sz w:val="22"/>
          <w:szCs w:val="22"/>
          <w:lang w:val="en-AU"/>
        </w:rPr>
        <w:t xml:space="preserve">the </w:t>
      </w:r>
      <w:r w:rsidRPr="00C723E0">
        <w:rPr>
          <w:rFonts w:ascii="Calibri" w:hAnsi="Calibri" w:cs="Calibri"/>
          <w:color w:val="000000"/>
          <w:sz w:val="22"/>
          <w:szCs w:val="22"/>
          <w:lang w:val="en-AU"/>
        </w:rPr>
        <w:t>most individuals. Associate childcare work complements this, and the national payments systems were an initial investment that has the potential to drive further growth and development and support an immediate priority of digitisation in Fiji.</w:t>
      </w:r>
      <w:r w:rsidR="00DA389F" w:rsidRPr="00C723E0">
        <w:rPr>
          <w:rFonts w:ascii="Calibri" w:hAnsi="Calibri" w:cs="Calibri"/>
          <w:color w:val="000000"/>
          <w:sz w:val="22"/>
          <w:szCs w:val="22"/>
          <w:lang w:val="en-AU"/>
        </w:rPr>
        <w:t xml:space="preserve"> </w:t>
      </w:r>
      <w:r w:rsidR="001D6B70" w:rsidRPr="00C723E0">
        <w:rPr>
          <w:rFonts w:ascii="Calibri" w:hAnsi="Calibri" w:cs="Calibri"/>
          <w:color w:val="000000"/>
          <w:sz w:val="22"/>
          <w:szCs w:val="22"/>
          <w:lang w:val="en-AU"/>
        </w:rPr>
        <w:t>Enabling environment reforms have also improved the</w:t>
      </w:r>
      <w:r w:rsidR="00EC4F95" w:rsidRPr="00C723E0">
        <w:rPr>
          <w:rFonts w:ascii="Calibri" w:hAnsi="Calibri" w:cs="Calibri"/>
          <w:color w:val="000000"/>
          <w:sz w:val="22"/>
          <w:szCs w:val="22"/>
          <w:lang w:val="en-AU"/>
        </w:rPr>
        <w:t xml:space="preserve"> guiding infrastructure for facilitating investment. </w:t>
      </w:r>
      <w:r w:rsidR="00263CC4" w:rsidRPr="00C723E0">
        <w:rPr>
          <w:rFonts w:ascii="Calibri" w:hAnsi="Calibri" w:cs="Calibri"/>
          <w:color w:val="000000"/>
          <w:sz w:val="22"/>
          <w:szCs w:val="22"/>
          <w:lang w:val="en-AU"/>
        </w:rPr>
        <w:t xml:space="preserve">A final example is the program’s support to strengthen </w:t>
      </w:r>
      <w:r w:rsidR="00263CC4" w:rsidRPr="00A26E3C">
        <w:rPr>
          <w:rFonts w:ascii="Calibri" w:eastAsiaTheme="minorHAnsi" w:hAnsi="Calibri" w:cs="Calibri"/>
          <w:color w:val="000000"/>
          <w:sz w:val="22"/>
          <w:szCs w:val="22"/>
          <w:lang w:val="en-AU"/>
          <w14:ligatures w14:val="standardContextual"/>
        </w:rPr>
        <w:t>Investment Fiji as an Investment Promotion Agency (IPA) and streamlining the legislative framework to support increased trade and investment.</w:t>
      </w:r>
    </w:p>
    <w:p w14:paraId="338912C7" w14:textId="71ADC173" w:rsidR="00620356" w:rsidRPr="00116737" w:rsidRDefault="00620356" w:rsidP="00116737">
      <w:pPr>
        <w:pStyle w:val="Heading4"/>
        <w:rPr>
          <w:rFonts w:ascii="Calibri" w:hAnsi="Calibri"/>
          <w:b/>
          <w:color w:val="000000" w:themeColor="text1"/>
          <w:lang w:val="en-AU"/>
        </w:rPr>
      </w:pPr>
      <w:r w:rsidRPr="00116737">
        <w:rPr>
          <w:rFonts w:ascii="Calibri" w:hAnsi="Calibri"/>
          <w:b/>
          <w:color w:val="000000" w:themeColor="text1"/>
          <w:lang w:val="en-AU"/>
        </w:rPr>
        <w:lastRenderedPageBreak/>
        <w:t>Pillar 2: Accelerating Private Sector Investment</w:t>
      </w:r>
    </w:p>
    <w:p w14:paraId="0FB7814A" w14:textId="220D99B9" w:rsidR="00DE5C7A" w:rsidRPr="00C723E0" w:rsidRDefault="007876B1" w:rsidP="00D643FF">
      <w:pPr>
        <w:pStyle w:val="BodyText"/>
        <w:jc w:val="both"/>
        <w:rPr>
          <w:rFonts w:cs="Calibri"/>
          <w:szCs w:val="22"/>
          <w:lang w:val="en-AU"/>
        </w:rPr>
      </w:pPr>
      <w:r w:rsidRPr="00C723E0">
        <w:rPr>
          <w:rFonts w:cs="Calibri"/>
          <w:szCs w:val="22"/>
          <w:lang w:val="en-AU"/>
        </w:rPr>
        <w:t xml:space="preserve">The primary focus of Pillar 2 is to advance private sector investment. </w:t>
      </w:r>
      <w:r w:rsidR="001C72B6" w:rsidRPr="00C723E0">
        <w:rPr>
          <w:rFonts w:eastAsiaTheme="minorHAnsi" w:cs="Calibri"/>
          <w:szCs w:val="22"/>
          <w:lang w:val="en-AU"/>
        </w:rPr>
        <w:t>A</w:t>
      </w:r>
      <w:r w:rsidR="00620356" w:rsidRPr="00C723E0">
        <w:rPr>
          <w:rFonts w:eastAsiaTheme="minorHAnsi" w:cs="Calibri"/>
          <w:szCs w:val="22"/>
          <w:lang w:val="en-AU"/>
        </w:rPr>
        <w:t xml:space="preserve"> key </w:t>
      </w:r>
      <w:r w:rsidR="00D643FF" w:rsidRPr="00C723E0">
        <w:rPr>
          <w:rFonts w:eastAsiaTheme="minorHAnsi" w:cs="Calibri"/>
          <w:szCs w:val="22"/>
          <w:lang w:val="en-AU"/>
        </w:rPr>
        <w:t>Pillar</w:t>
      </w:r>
      <w:r w:rsidR="00620356" w:rsidRPr="00C723E0">
        <w:rPr>
          <w:rFonts w:eastAsiaTheme="minorHAnsi" w:cs="Calibri"/>
          <w:szCs w:val="22"/>
          <w:lang w:val="en-AU"/>
        </w:rPr>
        <w:t xml:space="preserve"> </w:t>
      </w:r>
      <w:r w:rsidR="001C72B6" w:rsidRPr="00C723E0">
        <w:rPr>
          <w:rFonts w:eastAsiaTheme="minorHAnsi" w:cs="Calibri"/>
          <w:szCs w:val="22"/>
          <w:lang w:val="en-AU"/>
        </w:rPr>
        <w:t xml:space="preserve">2 </w:t>
      </w:r>
      <w:r w:rsidR="00620356" w:rsidRPr="00C723E0">
        <w:rPr>
          <w:rFonts w:eastAsiaTheme="minorHAnsi" w:cs="Calibri"/>
          <w:szCs w:val="22"/>
          <w:lang w:val="en-AU"/>
        </w:rPr>
        <w:t>outcome is</w:t>
      </w:r>
      <w:r w:rsidR="00DE5C7A" w:rsidRPr="00C723E0">
        <w:rPr>
          <w:rFonts w:eastAsiaTheme="minorHAnsi" w:cs="Calibri"/>
          <w:szCs w:val="22"/>
          <w:lang w:val="en-AU"/>
        </w:rPr>
        <w:t xml:space="preserve"> to generate and facilitate </w:t>
      </w:r>
      <w:r w:rsidR="00620356" w:rsidRPr="00C723E0">
        <w:rPr>
          <w:rFonts w:eastAsiaTheme="minorHAnsi" w:cs="Calibri"/>
          <w:szCs w:val="22"/>
          <w:lang w:val="en-AU"/>
        </w:rPr>
        <w:t xml:space="preserve">US$100 </w:t>
      </w:r>
      <w:r w:rsidR="003E33AD" w:rsidRPr="00C723E0">
        <w:rPr>
          <w:rFonts w:eastAsiaTheme="minorHAnsi" w:cs="Calibri"/>
          <w:szCs w:val="22"/>
          <w:lang w:val="en-AU"/>
        </w:rPr>
        <w:t>million in</w:t>
      </w:r>
      <w:r w:rsidR="00DE5C7A" w:rsidRPr="00C723E0">
        <w:rPr>
          <w:rFonts w:eastAsiaTheme="minorHAnsi" w:cs="Calibri"/>
          <w:szCs w:val="22"/>
          <w:lang w:val="en-AU"/>
        </w:rPr>
        <w:t xml:space="preserve"> </w:t>
      </w:r>
      <w:r w:rsidR="00620356" w:rsidRPr="00C723E0">
        <w:rPr>
          <w:rFonts w:eastAsiaTheme="minorHAnsi" w:cs="Calibri"/>
          <w:szCs w:val="22"/>
          <w:lang w:val="en-AU"/>
        </w:rPr>
        <w:t xml:space="preserve">financing by December 2025. </w:t>
      </w:r>
      <w:r w:rsidR="00C9009E" w:rsidRPr="00C723E0">
        <w:rPr>
          <w:rFonts w:eastAsiaTheme="minorHAnsi" w:cs="Calibri"/>
          <w:szCs w:val="22"/>
          <w:lang w:val="en-AU"/>
        </w:rPr>
        <w:t>As of May 2025</w:t>
      </w:r>
      <w:r w:rsidR="00620356" w:rsidRPr="00C723E0">
        <w:rPr>
          <w:rFonts w:eastAsiaTheme="minorHAnsi" w:cs="Calibri"/>
          <w:szCs w:val="22"/>
          <w:lang w:val="en-AU"/>
        </w:rPr>
        <w:t>, US$</w:t>
      </w:r>
      <w:r w:rsidR="00C9009E" w:rsidRPr="00C723E0">
        <w:rPr>
          <w:rFonts w:eastAsiaTheme="minorHAnsi" w:cs="Calibri"/>
          <w:szCs w:val="22"/>
          <w:lang w:val="en-AU"/>
        </w:rPr>
        <w:t>37.5</w:t>
      </w:r>
      <w:r w:rsidR="00DE5C7A" w:rsidRPr="00C723E0">
        <w:rPr>
          <w:rFonts w:eastAsiaTheme="minorHAnsi" w:cs="Calibri"/>
          <w:szCs w:val="22"/>
          <w:lang w:val="en-AU"/>
        </w:rPr>
        <w:t xml:space="preserve"> </w:t>
      </w:r>
      <w:r w:rsidR="00620356" w:rsidRPr="00C723E0">
        <w:rPr>
          <w:rFonts w:eastAsiaTheme="minorHAnsi" w:cs="Calibri"/>
          <w:szCs w:val="22"/>
          <w:lang w:val="en-AU"/>
        </w:rPr>
        <w:t>million</w:t>
      </w:r>
      <w:r w:rsidR="00DE5C7A" w:rsidRPr="00C723E0">
        <w:rPr>
          <w:rStyle w:val="FootnoteReference"/>
          <w:rFonts w:eastAsiaTheme="minorHAnsi" w:cs="Calibri"/>
          <w:szCs w:val="22"/>
          <w:lang w:val="en-AU"/>
        </w:rPr>
        <w:footnoteReference w:id="17"/>
      </w:r>
      <w:r w:rsidR="00620356" w:rsidRPr="00C723E0">
        <w:rPr>
          <w:rFonts w:eastAsiaTheme="minorHAnsi" w:cs="Calibri"/>
          <w:szCs w:val="22"/>
          <w:lang w:val="en-AU"/>
        </w:rPr>
        <w:t xml:space="preserve"> in financing has been facilitated through the </w:t>
      </w:r>
      <w:r w:rsidR="00DE5C7A" w:rsidRPr="00C723E0">
        <w:rPr>
          <w:rFonts w:eastAsiaTheme="minorHAnsi" w:cs="Calibri"/>
          <w:szCs w:val="22"/>
          <w:lang w:val="en-AU"/>
        </w:rPr>
        <w:t>program</w:t>
      </w:r>
      <w:r w:rsidR="00620356" w:rsidRPr="00C723E0">
        <w:rPr>
          <w:rFonts w:eastAsiaTheme="minorHAnsi" w:cs="Calibri"/>
          <w:szCs w:val="22"/>
          <w:lang w:val="en-AU"/>
        </w:rPr>
        <w:t>.</w:t>
      </w:r>
      <w:r w:rsidR="0010305B" w:rsidRPr="00C723E0">
        <w:rPr>
          <w:rFonts w:eastAsiaTheme="minorHAnsi" w:cs="Calibri"/>
          <w:szCs w:val="22"/>
          <w:lang w:val="en-AU"/>
        </w:rPr>
        <w:t xml:space="preserve"> </w:t>
      </w:r>
      <w:r w:rsidR="0010305B" w:rsidRPr="00A26E3C">
        <w:rPr>
          <w:rFonts w:eastAsiaTheme="minorHAnsi" w:cs="Calibri"/>
          <w:color w:val="000000"/>
          <w:szCs w:val="22"/>
          <w:lang w:val="en-AU"/>
          <w14:ligatures w14:val="standardContextual"/>
        </w:rPr>
        <w:t xml:space="preserve">There are still pipeline opportunities for achieving it this target, including through the Health PPP but </w:t>
      </w:r>
      <w:r w:rsidR="0010305B" w:rsidRPr="00C723E0">
        <w:rPr>
          <w:rFonts w:eastAsiaTheme="minorHAnsi" w:cs="Calibri"/>
          <w:szCs w:val="22"/>
          <w:lang w:val="en-AU"/>
        </w:rPr>
        <w:t>i</w:t>
      </w:r>
      <w:r w:rsidR="00D643FF" w:rsidRPr="00C723E0">
        <w:rPr>
          <w:rFonts w:eastAsiaTheme="minorHAnsi" w:cs="Calibri"/>
          <w:szCs w:val="22"/>
          <w:lang w:val="en-AU"/>
        </w:rPr>
        <w:t>t is unlikely that this target will be achieved in the rem</w:t>
      </w:r>
      <w:r w:rsidR="001C72B6" w:rsidRPr="00C723E0">
        <w:rPr>
          <w:rFonts w:eastAsiaTheme="minorHAnsi" w:cs="Calibri"/>
          <w:szCs w:val="22"/>
          <w:lang w:val="en-AU"/>
        </w:rPr>
        <w:t>a</w:t>
      </w:r>
      <w:r w:rsidR="00D643FF" w:rsidRPr="00C723E0">
        <w:rPr>
          <w:rFonts w:eastAsiaTheme="minorHAnsi" w:cs="Calibri"/>
          <w:szCs w:val="22"/>
          <w:lang w:val="en-AU"/>
        </w:rPr>
        <w:t>ining timeframe</w:t>
      </w:r>
      <w:r w:rsidR="0010305B" w:rsidRPr="00C723E0">
        <w:rPr>
          <w:rFonts w:eastAsiaTheme="minorHAnsi" w:cs="Calibri"/>
          <w:szCs w:val="22"/>
          <w:lang w:val="en-AU"/>
        </w:rPr>
        <w:t xml:space="preserve"> (based on the current situation and information)</w:t>
      </w:r>
      <w:r w:rsidR="00C36C94" w:rsidRPr="00C723E0">
        <w:rPr>
          <w:rFonts w:eastAsiaTheme="minorHAnsi" w:cs="Calibri"/>
          <w:szCs w:val="22"/>
          <w:lang w:val="en-AU"/>
        </w:rPr>
        <w:t>, unless the Health PPP reaches financial close</w:t>
      </w:r>
      <w:r w:rsidR="00D643FF" w:rsidRPr="00C723E0">
        <w:rPr>
          <w:rFonts w:eastAsiaTheme="minorHAnsi" w:cs="Calibri"/>
          <w:szCs w:val="22"/>
          <w:lang w:val="en-AU"/>
        </w:rPr>
        <w:t xml:space="preserve">. </w:t>
      </w:r>
      <w:r w:rsidRPr="00C723E0">
        <w:rPr>
          <w:rFonts w:eastAsiaTheme="minorHAnsi" w:cs="Calibri"/>
          <w:szCs w:val="22"/>
          <w:lang w:val="en-AU"/>
        </w:rPr>
        <w:t>Progress under this pillar has been problematic and has not reached its full potential, primarily due to complexities and challenges with the Public Private Partnership (PPP)</w:t>
      </w:r>
      <w:r w:rsidR="00825AE9" w:rsidRPr="00C723E0">
        <w:rPr>
          <w:rFonts w:eastAsiaTheme="minorHAnsi" w:cs="Calibri"/>
          <w:szCs w:val="22"/>
          <w:lang w:val="en-AU"/>
        </w:rPr>
        <w:t xml:space="preserve"> projects</w:t>
      </w:r>
      <w:r w:rsidRPr="00C723E0">
        <w:rPr>
          <w:rFonts w:eastAsiaTheme="minorHAnsi" w:cs="Calibri"/>
          <w:szCs w:val="22"/>
          <w:lang w:val="en-AU"/>
        </w:rPr>
        <w:t>.</w:t>
      </w:r>
    </w:p>
    <w:p w14:paraId="1B24052E" w14:textId="358E6CE6" w:rsidR="00CA3E54" w:rsidRPr="00C723E0" w:rsidRDefault="00DE5C7A" w:rsidP="00D643FF">
      <w:pPr>
        <w:autoSpaceDE w:val="0"/>
        <w:autoSpaceDN w:val="0"/>
        <w:adjustRightInd w:val="0"/>
        <w:spacing w:after="120"/>
        <w:jc w:val="both"/>
        <w:rPr>
          <w:rFonts w:ascii="Calibri" w:eastAsiaTheme="minorHAnsi" w:hAnsi="Calibri" w:cs="Calibri"/>
          <w:sz w:val="22"/>
          <w:szCs w:val="22"/>
          <w:lang w:val="en-AU"/>
        </w:rPr>
      </w:pPr>
      <w:r w:rsidRPr="00C723E0">
        <w:rPr>
          <w:rFonts w:ascii="Calibri" w:eastAsiaTheme="minorHAnsi" w:hAnsi="Calibri" w:cs="Calibri"/>
          <w:sz w:val="22"/>
          <w:szCs w:val="22"/>
          <w:lang w:val="en-AU"/>
        </w:rPr>
        <w:t xml:space="preserve">PPP work for the program has been challenging. </w:t>
      </w:r>
      <w:r w:rsidR="00D43CA9" w:rsidRPr="00C723E0">
        <w:rPr>
          <w:rFonts w:ascii="Calibri" w:eastAsiaTheme="minorHAnsi" w:hAnsi="Calibri" w:cs="Calibri"/>
          <w:sz w:val="22"/>
          <w:szCs w:val="22"/>
          <w:lang w:val="en-AU"/>
        </w:rPr>
        <w:t xml:space="preserve">However, </w:t>
      </w:r>
      <w:r w:rsidR="00D43CA9" w:rsidRPr="00A26E3C">
        <w:rPr>
          <w:rFonts w:ascii="Calibri" w:eastAsiaTheme="minorHAnsi" w:hAnsi="Calibri" w:cs="Calibri"/>
          <w:color w:val="000000"/>
          <w:sz w:val="22"/>
          <w:szCs w:val="22"/>
          <w:lang w:val="en-AU"/>
          <w14:ligatures w14:val="standardContextual"/>
        </w:rPr>
        <w:t xml:space="preserve">PPPs are important instruments to develop private-sector led solutions. While complex - requiring multiple interventions at the project and financing level that take time to come to fruition - PPPs, as a tool, are critical to addressing infrastructure bottlenecks that hamper economic growth by leveraging the contribution of private sector expertise, incentives and investment to deliver much better outcomes than can be achieved through purely public </w:t>
      </w:r>
      <w:r w:rsidR="00C723E0" w:rsidRPr="00C723E0">
        <w:rPr>
          <w:rFonts w:ascii="Calibri" w:eastAsiaTheme="minorHAnsi" w:hAnsi="Calibri" w:cs="Calibri"/>
          <w:color w:val="000000"/>
          <w:sz w:val="22"/>
          <w:szCs w:val="22"/>
          <w:lang w:val="en-AU"/>
          <w14:ligatures w14:val="standardContextual"/>
        </w:rPr>
        <w:t>solutions</w:t>
      </w:r>
      <w:r w:rsidR="00C723E0" w:rsidRPr="00C723E0">
        <w:rPr>
          <w:rFonts w:ascii="Helvetica Neue" w:eastAsiaTheme="minorHAnsi" w:hAnsi="Helvetica Neue" w:cs="Helvetica Neue"/>
          <w:i/>
          <w:iCs/>
          <w:color w:val="000000"/>
          <w:sz w:val="26"/>
          <w:szCs w:val="26"/>
          <w:lang w:val="en-AU"/>
          <w14:ligatures w14:val="standardContextual"/>
        </w:rPr>
        <w:t>.</w:t>
      </w:r>
      <w:r w:rsidR="00C723E0" w:rsidRPr="00C723E0">
        <w:rPr>
          <w:rFonts w:ascii="Calibri" w:eastAsiaTheme="minorHAnsi" w:hAnsi="Calibri" w:cs="Calibri"/>
          <w:sz w:val="22"/>
          <w:szCs w:val="22"/>
          <w:lang w:val="en-AU"/>
        </w:rPr>
        <w:t xml:space="preserve"> Through</w:t>
      </w:r>
      <w:r w:rsidRPr="00C723E0">
        <w:rPr>
          <w:rFonts w:ascii="Calibri" w:eastAsiaTheme="minorHAnsi" w:hAnsi="Calibri" w:cs="Calibri"/>
          <w:sz w:val="22"/>
          <w:szCs w:val="22"/>
          <w:lang w:val="en-AU"/>
        </w:rPr>
        <w:t xml:space="preserve"> the program</w:t>
      </w:r>
      <w:r w:rsidR="007876B1" w:rsidRPr="00C723E0">
        <w:rPr>
          <w:rFonts w:ascii="Calibri" w:eastAsiaTheme="minorHAnsi" w:hAnsi="Calibri" w:cs="Calibri"/>
          <w:sz w:val="22"/>
          <w:szCs w:val="22"/>
          <w:lang w:val="en-AU"/>
        </w:rPr>
        <w:t>,</w:t>
      </w:r>
      <w:r w:rsidRPr="00C723E0">
        <w:rPr>
          <w:rFonts w:ascii="Calibri" w:eastAsiaTheme="minorHAnsi" w:hAnsi="Calibri" w:cs="Calibri"/>
          <w:sz w:val="22"/>
          <w:szCs w:val="22"/>
          <w:lang w:val="en-AU"/>
        </w:rPr>
        <w:t xml:space="preserve"> t</w:t>
      </w:r>
      <w:r w:rsidR="006959DB" w:rsidRPr="00C723E0">
        <w:rPr>
          <w:rFonts w:ascii="Calibri" w:eastAsiaTheme="minorHAnsi" w:hAnsi="Calibri" w:cs="Calibri"/>
          <w:sz w:val="22"/>
          <w:szCs w:val="22"/>
          <w:lang w:val="en-AU"/>
        </w:rPr>
        <w:t>wo</w:t>
      </w:r>
      <w:r w:rsidRPr="00C723E0">
        <w:rPr>
          <w:rFonts w:ascii="Calibri" w:eastAsiaTheme="minorHAnsi" w:hAnsi="Calibri" w:cs="Calibri"/>
          <w:sz w:val="22"/>
          <w:szCs w:val="22"/>
          <w:lang w:val="en-AU"/>
        </w:rPr>
        <w:t xml:space="preserve"> PPP </w:t>
      </w:r>
      <w:r w:rsidR="003E33AD" w:rsidRPr="00C723E0">
        <w:rPr>
          <w:rFonts w:ascii="Calibri" w:eastAsiaTheme="minorHAnsi" w:hAnsi="Calibri" w:cs="Calibri"/>
          <w:sz w:val="22"/>
          <w:szCs w:val="22"/>
          <w:lang w:val="en-AU"/>
        </w:rPr>
        <w:t>investments</w:t>
      </w:r>
      <w:r w:rsidRPr="00C723E0">
        <w:rPr>
          <w:rFonts w:ascii="Calibri" w:eastAsiaTheme="minorHAnsi" w:hAnsi="Calibri" w:cs="Calibri"/>
          <w:sz w:val="22"/>
          <w:szCs w:val="22"/>
          <w:lang w:val="en-AU"/>
        </w:rPr>
        <w:t xml:space="preserve"> have been </w:t>
      </w:r>
      <w:r w:rsidR="00F06EA4" w:rsidRPr="00C723E0">
        <w:rPr>
          <w:rFonts w:ascii="Calibri" w:eastAsiaTheme="minorHAnsi" w:hAnsi="Calibri" w:cs="Calibri"/>
          <w:sz w:val="22"/>
          <w:szCs w:val="22"/>
          <w:lang w:val="en-AU"/>
        </w:rPr>
        <w:t>supported</w:t>
      </w:r>
      <w:r w:rsidR="006959DB" w:rsidRPr="00C723E0">
        <w:rPr>
          <w:rFonts w:ascii="Calibri" w:eastAsiaTheme="minorHAnsi" w:hAnsi="Calibri" w:cs="Calibri"/>
          <w:sz w:val="22"/>
          <w:szCs w:val="22"/>
          <w:lang w:val="en-AU"/>
        </w:rPr>
        <w:t>:</w:t>
      </w:r>
      <w:r w:rsidRPr="00C723E0">
        <w:rPr>
          <w:rFonts w:ascii="Calibri" w:eastAsiaTheme="minorHAnsi" w:hAnsi="Calibri" w:cs="Calibri"/>
          <w:sz w:val="22"/>
          <w:szCs w:val="22"/>
          <w:lang w:val="en-AU"/>
        </w:rPr>
        <w:t xml:space="preserve"> (i) a</w:t>
      </w:r>
      <w:r w:rsidR="00F06EA4" w:rsidRPr="00C723E0">
        <w:rPr>
          <w:rFonts w:ascii="Calibri" w:eastAsiaTheme="minorHAnsi" w:hAnsi="Calibri" w:cs="Calibri"/>
          <w:sz w:val="22"/>
          <w:szCs w:val="22"/>
          <w:lang w:val="en-AU"/>
        </w:rPr>
        <w:t xml:space="preserve"> </w:t>
      </w:r>
      <w:r w:rsidRPr="00C723E0">
        <w:rPr>
          <w:rFonts w:ascii="Calibri" w:eastAsiaTheme="minorHAnsi" w:hAnsi="Calibri" w:cs="Calibri"/>
          <w:sz w:val="22"/>
          <w:szCs w:val="22"/>
          <w:lang w:val="en-AU"/>
        </w:rPr>
        <w:t xml:space="preserve">Fiji </w:t>
      </w:r>
      <w:r w:rsidR="003E33AD" w:rsidRPr="00C723E0">
        <w:rPr>
          <w:rFonts w:ascii="Calibri" w:eastAsiaTheme="minorHAnsi" w:hAnsi="Calibri" w:cs="Calibri"/>
          <w:sz w:val="22"/>
          <w:szCs w:val="22"/>
          <w:lang w:val="en-AU"/>
        </w:rPr>
        <w:t>Affordable</w:t>
      </w:r>
      <w:r w:rsidRPr="00C723E0">
        <w:rPr>
          <w:rFonts w:ascii="Calibri" w:eastAsiaTheme="minorHAnsi" w:hAnsi="Calibri" w:cs="Calibri"/>
          <w:sz w:val="22"/>
          <w:szCs w:val="22"/>
          <w:lang w:val="en-AU"/>
        </w:rPr>
        <w:t xml:space="preserve"> Housing PPP; </w:t>
      </w:r>
      <w:r w:rsidR="006959DB" w:rsidRPr="00C723E0">
        <w:rPr>
          <w:rFonts w:ascii="Calibri" w:eastAsiaTheme="minorHAnsi" w:hAnsi="Calibri" w:cs="Calibri"/>
          <w:sz w:val="22"/>
          <w:szCs w:val="22"/>
          <w:lang w:val="en-AU"/>
        </w:rPr>
        <w:t xml:space="preserve">and </w:t>
      </w:r>
      <w:r w:rsidRPr="00C723E0">
        <w:rPr>
          <w:rFonts w:ascii="Calibri" w:eastAsiaTheme="minorHAnsi" w:hAnsi="Calibri" w:cs="Calibri"/>
          <w:sz w:val="22"/>
          <w:szCs w:val="22"/>
          <w:lang w:val="en-AU"/>
        </w:rPr>
        <w:t>(ii) the Fiji Health PPP</w:t>
      </w:r>
      <w:r w:rsidR="006959DB" w:rsidRPr="00C723E0">
        <w:rPr>
          <w:rFonts w:ascii="Calibri" w:eastAsiaTheme="minorHAnsi" w:hAnsi="Calibri" w:cs="Calibri"/>
          <w:sz w:val="22"/>
          <w:szCs w:val="22"/>
          <w:lang w:val="en-AU"/>
        </w:rPr>
        <w:t>. With a third, the Fiji</w:t>
      </w:r>
      <w:r w:rsidRPr="00C723E0">
        <w:rPr>
          <w:rFonts w:ascii="Calibri" w:eastAsiaTheme="minorHAnsi" w:hAnsi="Calibri" w:cs="Calibri"/>
          <w:sz w:val="22"/>
          <w:szCs w:val="22"/>
          <w:lang w:val="en-AU"/>
        </w:rPr>
        <w:t xml:space="preserve"> </w:t>
      </w:r>
      <w:r w:rsidR="003E33AD" w:rsidRPr="00C723E0">
        <w:rPr>
          <w:rFonts w:ascii="Calibri" w:eastAsiaTheme="minorHAnsi" w:hAnsi="Calibri" w:cs="Calibri"/>
          <w:sz w:val="22"/>
          <w:szCs w:val="22"/>
          <w:lang w:val="en-AU"/>
        </w:rPr>
        <w:t>Solar</w:t>
      </w:r>
      <w:r w:rsidRPr="00C723E0">
        <w:rPr>
          <w:rFonts w:ascii="Calibri" w:eastAsiaTheme="minorHAnsi" w:hAnsi="Calibri" w:cs="Calibri"/>
          <w:sz w:val="22"/>
          <w:szCs w:val="22"/>
          <w:lang w:val="en-AU"/>
        </w:rPr>
        <w:t xml:space="preserve"> PPP</w:t>
      </w:r>
      <w:r w:rsidR="006959DB" w:rsidRPr="00C723E0">
        <w:rPr>
          <w:rFonts w:ascii="Calibri" w:eastAsiaTheme="minorHAnsi" w:hAnsi="Calibri" w:cs="Calibri"/>
          <w:sz w:val="22"/>
          <w:szCs w:val="22"/>
          <w:lang w:val="en-AU"/>
        </w:rPr>
        <w:t>, ongoing and having been supported by</w:t>
      </w:r>
      <w:r w:rsidR="00AC649A" w:rsidRPr="00C723E0">
        <w:rPr>
          <w:rFonts w:ascii="Calibri" w:eastAsiaTheme="minorHAnsi" w:hAnsi="Calibri" w:cs="Calibri"/>
          <w:sz w:val="22"/>
          <w:szCs w:val="22"/>
          <w:lang w:val="en-AU"/>
        </w:rPr>
        <w:t xml:space="preserve"> DFAT through</w:t>
      </w:r>
      <w:r w:rsidR="006959DB" w:rsidRPr="00C723E0">
        <w:rPr>
          <w:rFonts w:ascii="Calibri" w:eastAsiaTheme="minorHAnsi" w:hAnsi="Calibri" w:cs="Calibri"/>
          <w:sz w:val="22"/>
          <w:szCs w:val="22"/>
          <w:lang w:val="en-AU"/>
        </w:rPr>
        <w:t xml:space="preserve"> the former Fiji Partnership</w:t>
      </w:r>
      <w:r w:rsidR="00F06EA4" w:rsidRPr="00C723E0">
        <w:rPr>
          <w:rFonts w:ascii="Calibri" w:eastAsiaTheme="minorHAnsi" w:hAnsi="Calibri" w:cs="Calibri"/>
          <w:sz w:val="22"/>
          <w:szCs w:val="22"/>
          <w:lang w:val="en-AU"/>
        </w:rPr>
        <w:t xml:space="preserve">. </w:t>
      </w:r>
      <w:r w:rsidRPr="00C723E0">
        <w:rPr>
          <w:rFonts w:ascii="Calibri" w:eastAsiaTheme="minorHAnsi" w:hAnsi="Calibri" w:cs="Calibri"/>
          <w:sz w:val="22"/>
          <w:szCs w:val="22"/>
          <w:lang w:val="en-AU"/>
        </w:rPr>
        <w:t xml:space="preserve">Six-monthly and annual progress reporting provide regular updates </w:t>
      </w:r>
      <w:r w:rsidR="00F06EA4" w:rsidRPr="00C723E0">
        <w:rPr>
          <w:rFonts w:ascii="Calibri" w:eastAsiaTheme="minorHAnsi" w:hAnsi="Calibri" w:cs="Calibri"/>
          <w:sz w:val="22"/>
          <w:szCs w:val="22"/>
          <w:lang w:val="en-AU"/>
        </w:rPr>
        <w:t xml:space="preserve">on the progress of these </w:t>
      </w:r>
      <w:r w:rsidR="003E33AD" w:rsidRPr="00C723E0">
        <w:rPr>
          <w:rFonts w:ascii="Calibri" w:eastAsiaTheme="minorHAnsi" w:hAnsi="Calibri" w:cs="Calibri"/>
          <w:sz w:val="22"/>
          <w:szCs w:val="22"/>
          <w:lang w:val="en-AU"/>
        </w:rPr>
        <w:t>interventions</w:t>
      </w:r>
      <w:r w:rsidR="00F06EA4" w:rsidRPr="00C723E0">
        <w:rPr>
          <w:rFonts w:ascii="Calibri" w:eastAsiaTheme="minorHAnsi" w:hAnsi="Calibri" w:cs="Calibri"/>
          <w:sz w:val="22"/>
          <w:szCs w:val="22"/>
          <w:lang w:val="en-AU"/>
        </w:rPr>
        <w:t xml:space="preserve">. At the time of reporting, the Fiji </w:t>
      </w:r>
      <w:r w:rsidR="003E33AD" w:rsidRPr="00C723E0">
        <w:rPr>
          <w:rFonts w:ascii="Calibri" w:eastAsiaTheme="minorHAnsi" w:hAnsi="Calibri" w:cs="Calibri"/>
          <w:sz w:val="22"/>
          <w:szCs w:val="22"/>
          <w:lang w:val="en-AU"/>
        </w:rPr>
        <w:t>Affordable</w:t>
      </w:r>
      <w:r w:rsidR="00F06EA4" w:rsidRPr="00C723E0">
        <w:rPr>
          <w:rFonts w:ascii="Calibri" w:eastAsiaTheme="minorHAnsi" w:hAnsi="Calibri" w:cs="Calibri"/>
          <w:sz w:val="22"/>
          <w:szCs w:val="22"/>
          <w:lang w:val="en-AU"/>
        </w:rPr>
        <w:t xml:space="preserve"> Housing PPP</w:t>
      </w:r>
      <w:r w:rsidR="0045638A" w:rsidRPr="00C723E0">
        <w:rPr>
          <w:rFonts w:ascii="Calibri" w:eastAsiaTheme="minorHAnsi" w:hAnsi="Calibri" w:cs="Calibri"/>
          <w:sz w:val="22"/>
          <w:szCs w:val="22"/>
          <w:lang w:val="en-AU"/>
        </w:rPr>
        <w:t xml:space="preserve"> is in the process of closing</w:t>
      </w:r>
      <w:r w:rsidR="003941B4">
        <w:rPr>
          <w:rFonts w:ascii="Calibri" w:eastAsiaTheme="minorHAnsi" w:hAnsi="Calibri" w:cs="Calibri"/>
          <w:sz w:val="22"/>
          <w:szCs w:val="22"/>
          <w:lang w:val="en-AU"/>
        </w:rPr>
        <w:t xml:space="preserve">. </w:t>
      </w:r>
      <w:r w:rsidR="003941B4" w:rsidRPr="00A26E3C">
        <w:rPr>
          <w:rFonts w:ascii="Calibri" w:eastAsiaTheme="minorHAnsi" w:hAnsi="Calibri" w:cs="Calibri"/>
          <w:sz w:val="22"/>
          <w:szCs w:val="22"/>
          <w:lang w:val="en-US"/>
          <w14:ligatures w14:val="standardContextual"/>
        </w:rPr>
        <w:t>A lack of competitive and suitable local financing instruments continues to be a challenge for PPPs</w:t>
      </w:r>
      <w:r w:rsidR="00F06EA4" w:rsidRPr="00C723E0">
        <w:rPr>
          <w:rFonts w:ascii="Calibri" w:eastAsiaTheme="minorHAnsi" w:hAnsi="Calibri" w:cs="Calibri"/>
          <w:sz w:val="22"/>
          <w:szCs w:val="22"/>
          <w:lang w:val="en-AU"/>
        </w:rPr>
        <w:t>.</w:t>
      </w:r>
      <w:r w:rsidR="00D643FF" w:rsidRPr="00C723E0">
        <w:rPr>
          <w:rFonts w:ascii="Calibri" w:eastAsiaTheme="minorHAnsi" w:hAnsi="Calibri" w:cs="Calibri"/>
          <w:sz w:val="22"/>
          <w:szCs w:val="22"/>
          <w:lang w:val="en-AU"/>
        </w:rPr>
        <w:t xml:space="preserve"> </w:t>
      </w:r>
      <w:r w:rsidR="00CA3E54" w:rsidRPr="00C723E0">
        <w:rPr>
          <w:rFonts w:ascii="Calibri" w:eastAsiaTheme="minorHAnsi" w:hAnsi="Calibri" w:cs="Calibri"/>
          <w:sz w:val="22"/>
          <w:szCs w:val="22"/>
          <w:lang w:val="en-AU"/>
        </w:rPr>
        <w:t>Key elements of each P</w:t>
      </w:r>
      <w:r w:rsidR="001C72B6" w:rsidRPr="00C723E0">
        <w:rPr>
          <w:rFonts w:ascii="Calibri" w:eastAsiaTheme="minorHAnsi" w:hAnsi="Calibri" w:cs="Calibri"/>
          <w:sz w:val="22"/>
          <w:szCs w:val="22"/>
          <w:lang w:val="en-AU"/>
        </w:rPr>
        <w:t>P</w:t>
      </w:r>
      <w:r w:rsidR="00CA3E54" w:rsidRPr="00C723E0">
        <w:rPr>
          <w:rFonts w:ascii="Calibri" w:eastAsiaTheme="minorHAnsi" w:hAnsi="Calibri" w:cs="Calibri"/>
          <w:sz w:val="22"/>
          <w:szCs w:val="22"/>
          <w:lang w:val="en-AU"/>
        </w:rPr>
        <w:t>P include:</w:t>
      </w:r>
    </w:p>
    <w:p w14:paraId="73687DE3" w14:textId="71B73F95" w:rsidR="00D643FF" w:rsidRPr="00C723E0" w:rsidRDefault="00CA3E54" w:rsidP="00D77455">
      <w:pPr>
        <w:pStyle w:val="ListParagraph"/>
        <w:numPr>
          <w:ilvl w:val="0"/>
          <w:numId w:val="10"/>
        </w:numPr>
        <w:autoSpaceDE w:val="0"/>
        <w:autoSpaceDN w:val="0"/>
        <w:adjustRightInd w:val="0"/>
        <w:spacing w:after="120"/>
        <w:jc w:val="both"/>
        <w:rPr>
          <w:rFonts w:ascii="Calibri" w:eastAsiaTheme="minorHAnsi" w:hAnsi="Calibri" w:cs="Calibri"/>
          <w:sz w:val="22"/>
          <w:szCs w:val="22"/>
          <w:lang w:val="en-AU"/>
        </w:rPr>
      </w:pPr>
      <w:r w:rsidRPr="00C723E0">
        <w:rPr>
          <w:rFonts w:ascii="Calibri" w:eastAsiaTheme="minorHAnsi" w:hAnsi="Calibri" w:cs="Calibri"/>
          <w:b/>
          <w:bCs/>
          <w:sz w:val="22"/>
          <w:szCs w:val="22"/>
          <w:u w:val="single"/>
          <w:lang w:val="en-AU"/>
        </w:rPr>
        <w:t>Fiji Affor</w:t>
      </w:r>
      <w:r w:rsidR="001C72B6" w:rsidRPr="00C723E0">
        <w:rPr>
          <w:rFonts w:ascii="Calibri" w:eastAsiaTheme="minorHAnsi" w:hAnsi="Calibri" w:cs="Calibri"/>
          <w:b/>
          <w:bCs/>
          <w:sz w:val="22"/>
          <w:szCs w:val="22"/>
          <w:u w:val="single"/>
          <w:lang w:val="en-AU"/>
        </w:rPr>
        <w:t>d</w:t>
      </w:r>
      <w:r w:rsidRPr="00C723E0">
        <w:rPr>
          <w:rFonts w:ascii="Calibri" w:eastAsiaTheme="minorHAnsi" w:hAnsi="Calibri" w:cs="Calibri"/>
          <w:b/>
          <w:bCs/>
          <w:sz w:val="22"/>
          <w:szCs w:val="22"/>
          <w:u w:val="single"/>
          <w:lang w:val="en-AU"/>
        </w:rPr>
        <w:t>able Housing PPP:</w:t>
      </w:r>
      <w:r w:rsidRPr="00C723E0">
        <w:rPr>
          <w:rFonts w:ascii="Calibri" w:eastAsiaTheme="minorHAnsi" w:hAnsi="Calibri" w:cs="Calibri"/>
          <w:sz w:val="22"/>
          <w:szCs w:val="22"/>
          <w:lang w:val="en-AU"/>
        </w:rPr>
        <w:t xml:space="preserve"> </w:t>
      </w:r>
      <w:r w:rsidRPr="00C723E0">
        <w:rPr>
          <w:rFonts w:ascii="Calibri" w:eastAsiaTheme="minorHAnsi" w:hAnsi="Calibri" w:cs="Calibri"/>
          <w:color w:val="000000"/>
          <w:sz w:val="22"/>
          <w:szCs w:val="22"/>
          <w:lang w:val="en-AU"/>
        </w:rPr>
        <w:t xml:space="preserve">IFC </w:t>
      </w:r>
      <w:r w:rsidR="001C72B6" w:rsidRPr="00C723E0">
        <w:rPr>
          <w:rFonts w:ascii="Calibri" w:eastAsiaTheme="minorHAnsi" w:hAnsi="Calibri" w:cs="Calibri"/>
          <w:color w:val="000000"/>
          <w:sz w:val="22"/>
          <w:szCs w:val="22"/>
          <w:lang w:val="en-AU"/>
        </w:rPr>
        <w:t>anticipated</w:t>
      </w:r>
      <w:r w:rsidRPr="00C723E0">
        <w:rPr>
          <w:rFonts w:ascii="Calibri" w:eastAsiaTheme="minorHAnsi" w:hAnsi="Calibri" w:cs="Calibri"/>
          <w:color w:val="000000"/>
          <w:sz w:val="22"/>
          <w:szCs w:val="22"/>
          <w:lang w:val="en-AU"/>
        </w:rPr>
        <w:t xml:space="preserve"> this project would facilitate between US$180-200 million in private financing (US$189 million target) and improve access to affordable, green, and climate</w:t>
      </w:r>
      <w:r w:rsidR="001C72B6" w:rsidRPr="00C723E0">
        <w:rPr>
          <w:rFonts w:ascii="Calibri" w:eastAsiaTheme="minorHAnsi" w:hAnsi="Calibri" w:cs="Calibri"/>
          <w:color w:val="000000"/>
          <w:sz w:val="22"/>
          <w:szCs w:val="22"/>
          <w:lang w:val="en-AU"/>
        </w:rPr>
        <w:t>-</w:t>
      </w:r>
      <w:r w:rsidRPr="00C723E0">
        <w:rPr>
          <w:rFonts w:ascii="Calibri" w:eastAsiaTheme="minorHAnsi" w:hAnsi="Calibri" w:cs="Calibri"/>
          <w:color w:val="000000"/>
          <w:sz w:val="22"/>
          <w:szCs w:val="22"/>
          <w:lang w:val="en-AU"/>
        </w:rPr>
        <w:t>resilient housing for low-</w:t>
      </w:r>
      <w:r w:rsidR="001C72B6" w:rsidRPr="00C723E0">
        <w:rPr>
          <w:rFonts w:ascii="Calibri" w:eastAsiaTheme="minorHAnsi" w:hAnsi="Calibri" w:cs="Calibri"/>
          <w:color w:val="000000"/>
          <w:sz w:val="22"/>
          <w:szCs w:val="22"/>
          <w:lang w:val="en-AU"/>
        </w:rPr>
        <w:t xml:space="preserve"> and middle-</w:t>
      </w:r>
      <w:r w:rsidRPr="00C723E0">
        <w:rPr>
          <w:rFonts w:ascii="Calibri" w:eastAsiaTheme="minorHAnsi" w:hAnsi="Calibri" w:cs="Calibri"/>
          <w:color w:val="000000"/>
          <w:sz w:val="22"/>
          <w:szCs w:val="22"/>
          <w:lang w:val="en-AU"/>
        </w:rPr>
        <w:t xml:space="preserve">income households. This financing will not materialise as, in December 2024, the Government decided to annul the bid process. </w:t>
      </w:r>
      <w:r w:rsidR="00613D94" w:rsidRPr="00A26E3C">
        <w:rPr>
          <w:rFonts w:ascii="Calibri" w:eastAsiaTheme="minorHAnsi" w:hAnsi="Calibri" w:cs="Calibri"/>
          <w:color w:val="3F3F3F"/>
          <w:sz w:val="22"/>
          <w:szCs w:val="22"/>
          <w:lang w:val="en-AU"/>
          <w14:ligatures w14:val="standardContextual"/>
        </w:rPr>
        <w:t>As part of its project close work IFC will be conducting a full review of project and lessons learned.</w:t>
      </w:r>
    </w:p>
    <w:p w14:paraId="335369A6" w14:textId="33F47425" w:rsidR="002D1AF1" w:rsidRPr="00C723E0" w:rsidRDefault="00CA3E54" w:rsidP="00D77455">
      <w:pPr>
        <w:pStyle w:val="ListParagraph"/>
        <w:numPr>
          <w:ilvl w:val="0"/>
          <w:numId w:val="10"/>
        </w:numPr>
        <w:autoSpaceDE w:val="0"/>
        <w:autoSpaceDN w:val="0"/>
        <w:adjustRightInd w:val="0"/>
        <w:spacing w:after="120"/>
        <w:jc w:val="both"/>
        <w:rPr>
          <w:rFonts w:ascii="Calibri" w:eastAsiaTheme="minorHAnsi" w:hAnsi="Calibri" w:cs="Calibri"/>
          <w:sz w:val="22"/>
          <w:szCs w:val="22"/>
          <w:lang w:val="en-AU"/>
        </w:rPr>
      </w:pPr>
      <w:r w:rsidRPr="00C723E0">
        <w:rPr>
          <w:rFonts w:ascii="Calibri" w:eastAsiaTheme="minorHAnsi" w:hAnsi="Calibri" w:cs="Calibri"/>
          <w:b/>
          <w:bCs/>
          <w:sz w:val="22"/>
          <w:szCs w:val="22"/>
          <w:u w:val="single"/>
          <w:lang w:val="en-AU"/>
        </w:rPr>
        <w:t xml:space="preserve">Fiji Health PPP: </w:t>
      </w:r>
      <w:r w:rsidRPr="00C723E0">
        <w:rPr>
          <w:rFonts w:ascii="Calibri" w:eastAsiaTheme="minorHAnsi" w:hAnsi="Calibri" w:cs="Calibri"/>
          <w:color w:val="000000"/>
          <w:sz w:val="22"/>
          <w:szCs w:val="22"/>
          <w:lang w:val="en-AU"/>
        </w:rPr>
        <w:t xml:space="preserve">IFC advised </w:t>
      </w:r>
      <w:r w:rsidR="001C72B6" w:rsidRPr="00C723E0">
        <w:rPr>
          <w:rFonts w:ascii="Calibri" w:eastAsiaTheme="minorHAnsi" w:hAnsi="Calibri" w:cs="Calibri"/>
          <w:color w:val="000000"/>
          <w:sz w:val="22"/>
          <w:szCs w:val="22"/>
          <w:lang w:val="en-AU"/>
        </w:rPr>
        <w:t xml:space="preserve">the </w:t>
      </w:r>
      <w:r w:rsidRPr="00C723E0">
        <w:rPr>
          <w:rFonts w:ascii="Calibri" w:eastAsiaTheme="minorHAnsi" w:hAnsi="Calibri" w:cs="Calibri"/>
          <w:color w:val="000000"/>
          <w:sz w:val="22"/>
          <w:szCs w:val="22"/>
          <w:lang w:val="en-AU"/>
        </w:rPr>
        <w:t xml:space="preserve">GoF on a PPP to improve </w:t>
      </w:r>
      <w:r w:rsidR="001C72B6" w:rsidRPr="00C723E0">
        <w:rPr>
          <w:rFonts w:ascii="Calibri" w:eastAsiaTheme="minorHAnsi" w:hAnsi="Calibri" w:cs="Calibri"/>
          <w:color w:val="000000"/>
          <w:sz w:val="22"/>
          <w:szCs w:val="22"/>
          <w:lang w:val="en-AU"/>
        </w:rPr>
        <w:t>healthcare provision</w:t>
      </w:r>
      <w:r w:rsidRPr="00C723E0">
        <w:rPr>
          <w:rFonts w:ascii="Calibri" w:eastAsiaTheme="minorHAnsi" w:hAnsi="Calibri" w:cs="Calibri"/>
          <w:color w:val="000000"/>
          <w:sz w:val="22"/>
          <w:szCs w:val="22"/>
          <w:lang w:val="en-AU"/>
        </w:rPr>
        <w:t xml:space="preserve"> at Lautoka and Ba hospitals. This project was the first health PPP in the Pacific Islands. The project achieved commercial close in January 2019</w:t>
      </w:r>
      <w:r w:rsidR="00D643FF" w:rsidRPr="00C723E0">
        <w:rPr>
          <w:rFonts w:ascii="Calibri" w:eastAsiaTheme="minorHAnsi" w:hAnsi="Calibri" w:cs="Calibri"/>
          <w:color w:val="000000"/>
          <w:sz w:val="22"/>
          <w:szCs w:val="22"/>
          <w:lang w:val="en-AU"/>
        </w:rPr>
        <w:t>.</w:t>
      </w:r>
      <w:r w:rsidRPr="00C723E0">
        <w:rPr>
          <w:rFonts w:ascii="Calibri" w:eastAsiaTheme="minorHAnsi" w:hAnsi="Calibri" w:cs="Calibri"/>
          <w:color w:val="000000"/>
          <w:sz w:val="22"/>
          <w:szCs w:val="22"/>
          <w:lang w:val="en-AU"/>
        </w:rPr>
        <w:t xml:space="preserve"> IFC has continued to assist the Ministry of Finance with post</w:t>
      </w:r>
      <w:r w:rsidR="00D643FF" w:rsidRPr="00C723E0">
        <w:rPr>
          <w:rFonts w:ascii="Calibri" w:eastAsiaTheme="minorHAnsi" w:hAnsi="Calibri" w:cs="Calibri"/>
          <w:color w:val="000000"/>
          <w:sz w:val="22"/>
          <w:szCs w:val="22"/>
          <w:lang w:val="en-AU"/>
        </w:rPr>
        <w:t>-</w:t>
      </w:r>
      <w:r w:rsidRPr="00C723E0">
        <w:rPr>
          <w:rFonts w:ascii="Calibri" w:eastAsiaTheme="minorHAnsi" w:hAnsi="Calibri" w:cs="Calibri"/>
          <w:color w:val="000000"/>
          <w:sz w:val="22"/>
          <w:szCs w:val="22"/>
          <w:lang w:val="en-AU"/>
        </w:rPr>
        <w:t xml:space="preserve">transaction advisory support for the management and oversight of the Concession Agreement to advance the </w:t>
      </w:r>
      <w:r w:rsidR="006E0C5B" w:rsidRPr="00C723E0">
        <w:rPr>
          <w:rFonts w:ascii="Calibri" w:eastAsiaTheme="minorHAnsi" w:hAnsi="Calibri" w:cs="Calibri"/>
          <w:color w:val="000000"/>
          <w:sz w:val="22"/>
          <w:szCs w:val="22"/>
          <w:lang w:val="en-AU"/>
        </w:rPr>
        <w:t>project's implementation</w:t>
      </w:r>
      <w:r w:rsidRPr="00C723E0">
        <w:rPr>
          <w:rFonts w:ascii="Calibri" w:eastAsiaTheme="minorHAnsi" w:hAnsi="Calibri" w:cs="Calibri"/>
          <w:color w:val="000000"/>
          <w:sz w:val="22"/>
          <w:szCs w:val="22"/>
          <w:lang w:val="en-AU"/>
        </w:rPr>
        <w:t>.</w:t>
      </w:r>
      <w:r w:rsidR="00613D94" w:rsidRPr="00C723E0">
        <w:rPr>
          <w:rFonts w:ascii="Calibri" w:eastAsiaTheme="minorHAnsi" w:hAnsi="Calibri" w:cs="Calibri"/>
          <w:color w:val="000000"/>
          <w:sz w:val="22"/>
          <w:szCs w:val="22"/>
          <w:lang w:val="en-AU"/>
        </w:rPr>
        <w:t xml:space="preserve"> </w:t>
      </w:r>
      <w:r w:rsidR="00613D94" w:rsidRPr="00A26E3C">
        <w:rPr>
          <w:rFonts w:ascii="Calibri" w:eastAsiaTheme="minorHAnsi" w:hAnsi="Calibri" w:cs="Calibri"/>
          <w:color w:val="3F3F3F"/>
          <w:sz w:val="22"/>
          <w:szCs w:val="22"/>
          <w:lang w:val="en-AU"/>
          <w14:ligatures w14:val="standardContextual"/>
        </w:rPr>
        <w:t>The project has already delivered marked improvements in healthcare at the hospital, facilitated by US$26.5 million in private investment</w:t>
      </w:r>
      <w:r w:rsidR="00613D94" w:rsidRPr="00A26E3C">
        <w:rPr>
          <w:rFonts w:ascii="Helvetica Neue" w:eastAsiaTheme="minorHAnsi" w:hAnsi="Helvetica Neue" w:cs="Helvetica Neue"/>
          <w:i/>
          <w:iCs/>
          <w:color w:val="3F3F3F"/>
          <w:sz w:val="26"/>
          <w:szCs w:val="26"/>
          <w:lang w:val="en-AU"/>
          <w14:ligatures w14:val="standardContextual"/>
        </w:rPr>
        <w:t>.</w:t>
      </w:r>
      <w:r w:rsidRPr="00C723E0">
        <w:rPr>
          <w:rFonts w:ascii="Calibri" w:eastAsiaTheme="minorHAnsi" w:hAnsi="Calibri" w:cs="Calibri"/>
          <w:color w:val="000000"/>
          <w:sz w:val="22"/>
          <w:szCs w:val="22"/>
          <w:lang w:val="en-AU"/>
        </w:rPr>
        <w:t xml:space="preserve"> However, the project has not </w:t>
      </w:r>
      <w:r w:rsidR="009F130F" w:rsidRPr="00C723E0">
        <w:rPr>
          <w:rFonts w:ascii="Calibri" w:eastAsiaTheme="minorHAnsi" w:hAnsi="Calibri" w:cs="Calibri"/>
          <w:color w:val="000000"/>
          <w:sz w:val="22"/>
          <w:szCs w:val="22"/>
          <w:lang w:val="en-AU"/>
        </w:rPr>
        <w:t xml:space="preserve">yet </w:t>
      </w:r>
      <w:r w:rsidRPr="00C723E0">
        <w:rPr>
          <w:rFonts w:ascii="Calibri" w:eastAsiaTheme="minorHAnsi" w:hAnsi="Calibri" w:cs="Calibri"/>
          <w:color w:val="000000"/>
          <w:sz w:val="22"/>
          <w:szCs w:val="22"/>
          <w:lang w:val="en-AU"/>
        </w:rPr>
        <w:t>reached financial close and is faci</w:t>
      </w:r>
      <w:r w:rsidR="00D643FF" w:rsidRPr="00C723E0">
        <w:rPr>
          <w:rFonts w:ascii="Calibri" w:eastAsiaTheme="minorHAnsi" w:hAnsi="Calibri" w:cs="Calibri"/>
          <w:color w:val="000000"/>
          <w:sz w:val="22"/>
          <w:szCs w:val="22"/>
          <w:lang w:val="en-AU"/>
        </w:rPr>
        <w:t>ng several challenges</w:t>
      </w:r>
      <w:r w:rsidR="002C372C" w:rsidRPr="00C723E0">
        <w:rPr>
          <w:rFonts w:ascii="Calibri" w:eastAsiaTheme="minorHAnsi" w:hAnsi="Calibri" w:cs="Calibri"/>
          <w:color w:val="000000"/>
          <w:sz w:val="22"/>
          <w:szCs w:val="22"/>
          <w:lang w:val="en-AU"/>
        </w:rPr>
        <w:t xml:space="preserve"> </w:t>
      </w:r>
      <w:r w:rsidR="002C372C" w:rsidRPr="00A26E3C">
        <w:rPr>
          <w:rFonts w:ascii="Calibri" w:eastAsiaTheme="minorHAnsi" w:hAnsi="Calibri" w:cs="Calibri"/>
          <w:color w:val="3F3F3F"/>
          <w:sz w:val="22"/>
          <w:szCs w:val="22"/>
          <w:lang w:val="en-AU"/>
          <w14:ligatures w14:val="standardContextual"/>
        </w:rPr>
        <w:t xml:space="preserve">with IFC supporting GoF through a complex commercial and legal negotiation </w:t>
      </w:r>
      <w:r w:rsidR="00C723E0" w:rsidRPr="00C723E0">
        <w:rPr>
          <w:rFonts w:ascii="Calibri" w:eastAsiaTheme="minorHAnsi" w:hAnsi="Calibri" w:cs="Calibri"/>
          <w:color w:val="3F3F3F"/>
          <w:sz w:val="22"/>
          <w:szCs w:val="22"/>
          <w:lang w:val="en-AU"/>
          <w14:ligatures w14:val="standardContextual"/>
        </w:rPr>
        <w:t>process</w:t>
      </w:r>
      <w:r w:rsidR="00C723E0" w:rsidRPr="00C723E0">
        <w:rPr>
          <w:rFonts w:ascii="Helvetica Neue" w:eastAsiaTheme="minorHAnsi" w:hAnsi="Helvetica Neue" w:cs="Helvetica Neue"/>
          <w:i/>
          <w:iCs/>
          <w:color w:val="3F3F3F"/>
          <w:sz w:val="26"/>
          <w:szCs w:val="26"/>
          <w:lang w:val="en-AU"/>
          <w14:ligatures w14:val="standardContextual"/>
        </w:rPr>
        <w:t>.</w:t>
      </w:r>
    </w:p>
    <w:p w14:paraId="5AC5BCBD" w14:textId="441878F2" w:rsidR="00CA3E54" w:rsidRPr="00C723E0" w:rsidRDefault="00CA3E54" w:rsidP="00D77455">
      <w:pPr>
        <w:pStyle w:val="ListParagraph"/>
        <w:numPr>
          <w:ilvl w:val="0"/>
          <w:numId w:val="10"/>
        </w:numPr>
        <w:autoSpaceDE w:val="0"/>
        <w:autoSpaceDN w:val="0"/>
        <w:adjustRightInd w:val="0"/>
        <w:spacing w:after="120"/>
        <w:jc w:val="both"/>
        <w:rPr>
          <w:rFonts w:ascii="Calibri" w:eastAsiaTheme="minorHAnsi" w:hAnsi="Calibri" w:cs="Calibri"/>
          <w:sz w:val="22"/>
          <w:szCs w:val="22"/>
          <w:lang w:val="en-AU"/>
        </w:rPr>
      </w:pPr>
      <w:r w:rsidRPr="00C723E0">
        <w:rPr>
          <w:rFonts w:ascii="Calibri" w:eastAsiaTheme="minorHAnsi" w:hAnsi="Calibri" w:cs="Calibri"/>
          <w:b/>
          <w:bCs/>
          <w:sz w:val="22"/>
          <w:szCs w:val="22"/>
          <w:u w:val="single"/>
          <w:lang w:val="en-AU"/>
        </w:rPr>
        <w:t>Solar PPP</w:t>
      </w:r>
      <w:r w:rsidRPr="00C723E0">
        <w:rPr>
          <w:rFonts w:ascii="Calibri" w:eastAsiaTheme="minorHAnsi" w:hAnsi="Calibri" w:cs="Calibri"/>
          <w:sz w:val="22"/>
          <w:szCs w:val="22"/>
          <w:lang w:val="en-AU"/>
        </w:rPr>
        <w:t xml:space="preserve">: </w:t>
      </w:r>
      <w:r w:rsidR="007936C6" w:rsidRPr="00C723E0">
        <w:rPr>
          <w:rFonts w:ascii="Calibri" w:eastAsiaTheme="minorHAnsi" w:hAnsi="Calibri" w:cs="Calibri"/>
          <w:sz w:val="22"/>
          <w:szCs w:val="22"/>
          <w:lang w:val="en-AU"/>
        </w:rPr>
        <w:t xml:space="preserve">IFC is providing transaction advice to Energy Fiji Limited (EFL) to attract private investment </w:t>
      </w:r>
      <w:r w:rsidR="006E0C5B" w:rsidRPr="00C723E0">
        <w:rPr>
          <w:rFonts w:ascii="Calibri" w:eastAsiaTheme="minorHAnsi" w:hAnsi="Calibri" w:cs="Calibri"/>
          <w:sz w:val="22"/>
          <w:szCs w:val="22"/>
          <w:lang w:val="en-AU"/>
        </w:rPr>
        <w:t>in</w:t>
      </w:r>
      <w:r w:rsidR="002808DB" w:rsidRPr="00C723E0">
        <w:rPr>
          <w:rFonts w:ascii="Calibri" w:eastAsiaTheme="minorHAnsi" w:hAnsi="Calibri" w:cs="Calibri"/>
          <w:sz w:val="22"/>
          <w:szCs w:val="22"/>
          <w:lang w:val="en-AU"/>
        </w:rPr>
        <w:t xml:space="preserve"> t</w:t>
      </w:r>
      <w:r w:rsidR="007936C6" w:rsidRPr="00C723E0">
        <w:rPr>
          <w:rFonts w:ascii="Calibri" w:eastAsiaTheme="minorHAnsi" w:hAnsi="Calibri" w:cs="Calibri"/>
          <w:sz w:val="22"/>
          <w:szCs w:val="22"/>
          <w:lang w:val="en-AU"/>
        </w:rPr>
        <w:t>he development of solar energy generation on Viti Levu (22</w:t>
      </w:r>
      <w:r w:rsidR="002348E5" w:rsidRPr="00C723E0">
        <w:rPr>
          <w:rFonts w:ascii="Calibri" w:eastAsiaTheme="minorHAnsi" w:hAnsi="Calibri" w:cs="Calibri"/>
          <w:sz w:val="22"/>
          <w:szCs w:val="22"/>
          <w:lang w:val="en-AU"/>
        </w:rPr>
        <w:t xml:space="preserve"> </w:t>
      </w:r>
      <w:r w:rsidR="007936C6" w:rsidRPr="00C723E0">
        <w:rPr>
          <w:rFonts w:ascii="Calibri" w:eastAsiaTheme="minorHAnsi" w:hAnsi="Calibri" w:cs="Calibri"/>
          <w:sz w:val="22"/>
          <w:szCs w:val="22"/>
          <w:lang w:val="en-AU"/>
        </w:rPr>
        <w:t>M</w:t>
      </w:r>
      <w:r w:rsidR="002348E5" w:rsidRPr="00C723E0">
        <w:rPr>
          <w:rFonts w:ascii="Calibri" w:eastAsiaTheme="minorHAnsi" w:hAnsi="Calibri" w:cs="Calibri"/>
          <w:sz w:val="22"/>
          <w:szCs w:val="22"/>
          <w:lang w:val="en-AU"/>
        </w:rPr>
        <w:t>w</w:t>
      </w:r>
      <w:r w:rsidR="007936C6" w:rsidRPr="00C723E0">
        <w:rPr>
          <w:rFonts w:ascii="Calibri" w:eastAsiaTheme="minorHAnsi" w:hAnsi="Calibri" w:cs="Calibri"/>
          <w:sz w:val="22"/>
          <w:szCs w:val="22"/>
          <w:lang w:val="en-AU"/>
        </w:rPr>
        <w:t>).</w:t>
      </w:r>
      <w:r w:rsidR="002808DB" w:rsidRPr="00C723E0">
        <w:rPr>
          <w:rFonts w:ascii="Calibri" w:eastAsiaTheme="minorHAnsi" w:hAnsi="Calibri" w:cs="Calibri"/>
          <w:sz w:val="22"/>
          <w:szCs w:val="22"/>
          <w:lang w:val="en-AU"/>
        </w:rPr>
        <w:t xml:space="preserve"> </w:t>
      </w:r>
      <w:r w:rsidR="006E0C5B" w:rsidRPr="00C723E0">
        <w:rPr>
          <w:rFonts w:ascii="Calibri" w:eastAsiaTheme="minorHAnsi" w:hAnsi="Calibri" w:cs="Calibri"/>
          <w:sz w:val="22"/>
          <w:szCs w:val="22"/>
          <w:lang w:val="en-AU"/>
        </w:rPr>
        <w:t>The project is anticipated to</w:t>
      </w:r>
      <w:r w:rsidR="007936C6" w:rsidRPr="00C723E0">
        <w:rPr>
          <w:rFonts w:ascii="Calibri" w:eastAsiaTheme="minorHAnsi" w:hAnsi="Calibri" w:cs="Calibri"/>
          <w:sz w:val="22"/>
          <w:szCs w:val="22"/>
          <w:lang w:val="en-AU"/>
        </w:rPr>
        <w:t xml:space="preserve"> be the first competitively tendered solar independent power producer</w:t>
      </w:r>
      <w:r w:rsidR="002808DB" w:rsidRPr="00C723E0">
        <w:rPr>
          <w:rFonts w:ascii="Calibri" w:eastAsiaTheme="minorHAnsi" w:hAnsi="Calibri" w:cs="Calibri"/>
          <w:sz w:val="22"/>
          <w:szCs w:val="22"/>
          <w:lang w:val="en-AU"/>
        </w:rPr>
        <w:t xml:space="preserve"> </w:t>
      </w:r>
      <w:r w:rsidR="007936C6" w:rsidRPr="00C723E0">
        <w:rPr>
          <w:rFonts w:ascii="Calibri" w:eastAsiaTheme="minorHAnsi" w:hAnsi="Calibri" w:cs="Calibri"/>
          <w:sz w:val="22"/>
          <w:szCs w:val="22"/>
          <w:lang w:val="en-AU"/>
        </w:rPr>
        <w:t>project in</w:t>
      </w:r>
      <w:r w:rsidR="002808DB" w:rsidRPr="00C723E0">
        <w:rPr>
          <w:rFonts w:ascii="Calibri" w:eastAsiaTheme="minorHAnsi" w:hAnsi="Calibri" w:cs="Calibri"/>
          <w:sz w:val="22"/>
          <w:szCs w:val="22"/>
          <w:lang w:val="en-AU"/>
        </w:rPr>
        <w:t xml:space="preserve"> Fiji. </w:t>
      </w:r>
      <w:r w:rsidR="00CC359E" w:rsidRPr="00C723E0">
        <w:rPr>
          <w:rFonts w:ascii="Calibri" w:eastAsiaTheme="minorHAnsi" w:hAnsi="Calibri" w:cs="Calibri"/>
          <w:sz w:val="22"/>
          <w:szCs w:val="22"/>
          <w:lang w:val="en-AU"/>
        </w:rPr>
        <w:t xml:space="preserve">IFC is currently supporting EFL in tendering the </w:t>
      </w:r>
      <w:r w:rsidR="0048014C" w:rsidRPr="00C723E0">
        <w:rPr>
          <w:rFonts w:ascii="Calibri" w:eastAsiaTheme="minorHAnsi" w:hAnsi="Calibri" w:cs="Calibri"/>
          <w:sz w:val="22"/>
          <w:szCs w:val="22"/>
          <w:lang w:val="en-AU"/>
        </w:rPr>
        <w:t xml:space="preserve">project </w:t>
      </w:r>
      <w:r w:rsidR="0048014C" w:rsidRPr="00A26E3C">
        <w:rPr>
          <w:rFonts w:ascii="Calibri" w:eastAsiaTheme="minorEastAsia" w:hAnsi="Calibri" w:cs="Calibri"/>
          <w:sz w:val="22"/>
          <w:szCs w:val="22"/>
          <w:lang w:val="en-AU"/>
        </w:rPr>
        <w:t>with bid evaluation underway and the bid process expected to be concluded before year end</w:t>
      </w:r>
      <w:r w:rsidR="0048014C" w:rsidRPr="00C723E0">
        <w:rPr>
          <w:rFonts w:ascii="Calibri" w:eastAsiaTheme="minorHAnsi" w:hAnsi="Calibri" w:cs="Calibri"/>
          <w:sz w:val="22"/>
          <w:szCs w:val="22"/>
          <w:lang w:val="en-AU"/>
        </w:rPr>
        <w:t xml:space="preserve"> </w:t>
      </w:r>
      <w:r w:rsidR="00CC359E" w:rsidRPr="00C723E0">
        <w:rPr>
          <w:rFonts w:ascii="Calibri" w:eastAsiaTheme="minorHAnsi" w:hAnsi="Calibri" w:cs="Calibri"/>
          <w:sz w:val="22"/>
          <w:szCs w:val="22"/>
          <w:lang w:val="en-AU"/>
        </w:rPr>
        <w:t xml:space="preserve">t. </w:t>
      </w:r>
      <w:r w:rsidR="00CC359E" w:rsidRPr="00C723E0" w:rsidDel="007936C6">
        <w:rPr>
          <w:rFonts w:ascii="Calibri" w:eastAsiaTheme="minorHAnsi" w:hAnsi="Calibri" w:cs="Calibri"/>
          <w:sz w:val="22"/>
          <w:szCs w:val="22"/>
          <w:highlight w:val="yellow"/>
          <w:lang w:val="en-AU"/>
        </w:rPr>
        <w:t xml:space="preserve"> </w:t>
      </w:r>
    </w:p>
    <w:p w14:paraId="74DA2A83" w14:textId="5734523D" w:rsidR="00F06EA4" w:rsidRPr="00C723E0" w:rsidRDefault="003E33AD" w:rsidP="00D643FF">
      <w:pPr>
        <w:autoSpaceDE w:val="0"/>
        <w:autoSpaceDN w:val="0"/>
        <w:adjustRightInd w:val="0"/>
        <w:spacing w:after="120"/>
        <w:jc w:val="both"/>
        <w:rPr>
          <w:rFonts w:ascii="Calibri" w:hAnsi="Calibri" w:cs="Calibri"/>
          <w:sz w:val="22"/>
          <w:szCs w:val="22"/>
          <w:shd w:val="clear" w:color="auto" w:fill="FFFFFF"/>
          <w:lang w:val="en-AU"/>
        </w:rPr>
      </w:pPr>
      <w:r w:rsidRPr="00C723E0">
        <w:rPr>
          <w:rFonts w:ascii="Calibri" w:eastAsiaTheme="minorHAnsi" w:hAnsi="Calibri" w:cs="Calibri"/>
          <w:b/>
          <w:bCs/>
          <w:sz w:val="22"/>
          <w:szCs w:val="22"/>
          <w:lang w:val="en-AU"/>
        </w:rPr>
        <w:t>Consultations</w:t>
      </w:r>
      <w:r w:rsidR="00F06EA4" w:rsidRPr="00C723E0">
        <w:rPr>
          <w:rFonts w:ascii="Calibri" w:eastAsiaTheme="minorHAnsi" w:hAnsi="Calibri" w:cs="Calibri"/>
          <w:b/>
          <w:bCs/>
          <w:sz w:val="22"/>
          <w:szCs w:val="22"/>
          <w:lang w:val="en-AU"/>
        </w:rPr>
        <w:t xml:space="preserve"> with external </w:t>
      </w:r>
      <w:r w:rsidRPr="00C723E0">
        <w:rPr>
          <w:rFonts w:ascii="Calibri" w:eastAsiaTheme="minorHAnsi" w:hAnsi="Calibri" w:cs="Calibri"/>
          <w:b/>
          <w:bCs/>
          <w:sz w:val="22"/>
          <w:szCs w:val="22"/>
          <w:lang w:val="en-AU"/>
        </w:rPr>
        <w:t>stakeholders</w:t>
      </w:r>
      <w:r w:rsidR="00F06EA4" w:rsidRPr="00C723E0">
        <w:rPr>
          <w:rFonts w:ascii="Calibri" w:eastAsiaTheme="minorHAnsi" w:hAnsi="Calibri" w:cs="Calibri"/>
          <w:b/>
          <w:bCs/>
          <w:sz w:val="22"/>
          <w:szCs w:val="22"/>
          <w:lang w:val="en-AU"/>
        </w:rPr>
        <w:t xml:space="preserve"> reveal a mix of </w:t>
      </w:r>
      <w:r w:rsidRPr="00C723E0">
        <w:rPr>
          <w:rFonts w:ascii="Calibri" w:eastAsiaTheme="minorHAnsi" w:hAnsi="Calibri" w:cs="Calibri"/>
          <w:b/>
          <w:bCs/>
          <w:sz w:val="22"/>
          <w:szCs w:val="22"/>
          <w:lang w:val="en-AU"/>
        </w:rPr>
        <w:t>reasons</w:t>
      </w:r>
      <w:r w:rsidR="00F06EA4" w:rsidRPr="00C723E0">
        <w:rPr>
          <w:rFonts w:ascii="Calibri" w:eastAsiaTheme="minorHAnsi" w:hAnsi="Calibri" w:cs="Calibri"/>
          <w:b/>
          <w:bCs/>
          <w:sz w:val="22"/>
          <w:szCs w:val="22"/>
          <w:lang w:val="en-AU"/>
        </w:rPr>
        <w:t xml:space="preserve"> and explanations for the </w:t>
      </w:r>
      <w:r w:rsidRPr="00C723E0">
        <w:rPr>
          <w:rFonts w:ascii="Calibri" w:eastAsiaTheme="minorHAnsi" w:hAnsi="Calibri" w:cs="Calibri"/>
          <w:b/>
          <w:bCs/>
          <w:sz w:val="22"/>
          <w:szCs w:val="22"/>
          <w:lang w:val="en-AU"/>
        </w:rPr>
        <w:t>challenges</w:t>
      </w:r>
      <w:r w:rsidR="00F06EA4" w:rsidRPr="00C723E0">
        <w:rPr>
          <w:rFonts w:ascii="Calibri" w:eastAsiaTheme="minorHAnsi" w:hAnsi="Calibri" w:cs="Calibri"/>
          <w:b/>
          <w:bCs/>
          <w:sz w:val="22"/>
          <w:szCs w:val="22"/>
          <w:lang w:val="en-AU"/>
        </w:rPr>
        <w:t xml:space="preserve"> </w:t>
      </w:r>
      <w:r w:rsidR="004F7A7B" w:rsidRPr="00C723E0">
        <w:rPr>
          <w:rFonts w:ascii="Calibri" w:eastAsiaTheme="minorHAnsi" w:hAnsi="Calibri" w:cs="Calibri"/>
          <w:b/>
          <w:bCs/>
          <w:sz w:val="22"/>
          <w:szCs w:val="22"/>
          <w:lang w:val="en-AU"/>
        </w:rPr>
        <w:t>of</w:t>
      </w:r>
      <w:r w:rsidR="00233581" w:rsidRPr="00C723E0">
        <w:rPr>
          <w:rFonts w:ascii="Calibri" w:eastAsiaTheme="minorHAnsi" w:hAnsi="Calibri" w:cs="Calibri"/>
          <w:b/>
          <w:bCs/>
          <w:sz w:val="22"/>
          <w:szCs w:val="22"/>
          <w:lang w:val="en-AU"/>
        </w:rPr>
        <w:t xml:space="preserve"> </w:t>
      </w:r>
      <w:r w:rsidR="00F06EA4" w:rsidRPr="00C723E0">
        <w:rPr>
          <w:rFonts w:ascii="Calibri" w:eastAsiaTheme="minorHAnsi" w:hAnsi="Calibri" w:cs="Calibri"/>
          <w:b/>
          <w:bCs/>
          <w:sz w:val="22"/>
          <w:szCs w:val="22"/>
          <w:lang w:val="en-AU"/>
        </w:rPr>
        <w:t>th</w:t>
      </w:r>
      <w:r w:rsidR="007876B1" w:rsidRPr="00C723E0">
        <w:rPr>
          <w:rFonts w:ascii="Calibri" w:eastAsiaTheme="minorHAnsi" w:hAnsi="Calibri" w:cs="Calibri"/>
          <w:b/>
          <w:bCs/>
          <w:sz w:val="22"/>
          <w:szCs w:val="22"/>
          <w:lang w:val="en-AU"/>
        </w:rPr>
        <w:t xml:space="preserve">is </w:t>
      </w:r>
      <w:r w:rsidR="00D643FF" w:rsidRPr="00C723E0">
        <w:rPr>
          <w:rFonts w:ascii="Calibri" w:eastAsiaTheme="minorHAnsi" w:hAnsi="Calibri" w:cs="Calibri"/>
          <w:b/>
          <w:bCs/>
          <w:sz w:val="22"/>
          <w:szCs w:val="22"/>
          <w:lang w:val="en-AU"/>
        </w:rPr>
        <w:t>work component</w:t>
      </w:r>
      <w:r w:rsidR="00F06EA4" w:rsidRPr="00C723E0">
        <w:rPr>
          <w:rFonts w:ascii="Calibri" w:eastAsiaTheme="minorHAnsi" w:hAnsi="Calibri" w:cs="Calibri"/>
          <w:sz w:val="22"/>
          <w:szCs w:val="22"/>
          <w:lang w:val="en-AU"/>
        </w:rPr>
        <w:t>.</w:t>
      </w:r>
      <w:r w:rsidR="004F7A7B" w:rsidRPr="00C723E0">
        <w:rPr>
          <w:rFonts w:ascii="Calibri" w:eastAsiaTheme="minorHAnsi" w:hAnsi="Calibri" w:cs="Calibri"/>
          <w:sz w:val="22"/>
          <w:szCs w:val="22"/>
          <w:lang w:val="en-AU"/>
        </w:rPr>
        <w:t xml:space="preserve"> The Permanent Secretary for Finance was highly </w:t>
      </w:r>
      <w:r w:rsidR="006810C4" w:rsidRPr="00C723E0">
        <w:rPr>
          <w:rFonts w:ascii="Calibri" w:eastAsiaTheme="minorHAnsi" w:hAnsi="Calibri" w:cs="Calibri"/>
          <w:sz w:val="22"/>
          <w:szCs w:val="22"/>
          <w:lang w:val="en-AU"/>
        </w:rPr>
        <w:t>complementary</w:t>
      </w:r>
      <w:r w:rsidR="004F7A7B" w:rsidRPr="00C723E0">
        <w:rPr>
          <w:rFonts w:ascii="Calibri" w:eastAsiaTheme="minorHAnsi" w:hAnsi="Calibri" w:cs="Calibri"/>
          <w:sz w:val="22"/>
          <w:szCs w:val="22"/>
          <w:lang w:val="en-AU"/>
        </w:rPr>
        <w:t xml:space="preserve"> of the work of </w:t>
      </w:r>
      <w:r w:rsidR="006810C4" w:rsidRPr="00C723E0">
        <w:rPr>
          <w:rFonts w:ascii="Calibri" w:eastAsiaTheme="minorHAnsi" w:hAnsi="Calibri" w:cs="Calibri"/>
          <w:sz w:val="22"/>
          <w:szCs w:val="22"/>
          <w:lang w:val="en-AU"/>
        </w:rPr>
        <w:t>IFC,</w:t>
      </w:r>
      <w:r w:rsidR="004F7A7B" w:rsidRPr="00C723E0">
        <w:rPr>
          <w:rFonts w:ascii="Calibri" w:eastAsiaTheme="minorHAnsi" w:hAnsi="Calibri" w:cs="Calibri"/>
          <w:sz w:val="22"/>
          <w:szCs w:val="22"/>
          <w:lang w:val="en-AU"/>
        </w:rPr>
        <w:t xml:space="preserve"> and the Chief Executive </w:t>
      </w:r>
      <w:r w:rsidR="0048014C" w:rsidRPr="00C723E0">
        <w:rPr>
          <w:rFonts w:ascii="Calibri" w:eastAsiaTheme="minorHAnsi" w:hAnsi="Calibri" w:cs="Calibri"/>
          <w:sz w:val="22"/>
          <w:szCs w:val="22"/>
          <w:lang w:val="en-AU"/>
        </w:rPr>
        <w:t xml:space="preserve">Officer </w:t>
      </w:r>
      <w:r w:rsidR="004F7A7B" w:rsidRPr="00C723E0">
        <w:rPr>
          <w:rFonts w:ascii="Calibri" w:eastAsiaTheme="minorHAnsi" w:hAnsi="Calibri" w:cs="Calibri"/>
          <w:sz w:val="22"/>
          <w:szCs w:val="22"/>
          <w:lang w:val="en-AU"/>
        </w:rPr>
        <w:t>of Fiji Airports Corporation was also positive on the support received by IFC to date.</w:t>
      </w:r>
      <w:r w:rsidR="00F06EA4" w:rsidRPr="00C723E0">
        <w:rPr>
          <w:rFonts w:ascii="Calibri" w:eastAsiaTheme="minorHAnsi" w:hAnsi="Calibri" w:cs="Calibri"/>
          <w:sz w:val="22"/>
          <w:szCs w:val="22"/>
          <w:lang w:val="en-AU"/>
        </w:rPr>
        <w:t xml:space="preserve"> </w:t>
      </w:r>
      <w:r w:rsidR="002C372C" w:rsidRPr="00C723E0">
        <w:rPr>
          <w:rFonts w:ascii="Calibri" w:eastAsiaTheme="minorHAnsi" w:hAnsi="Calibri" w:cs="Calibri"/>
          <w:sz w:val="22"/>
          <w:szCs w:val="22"/>
          <w:lang w:val="en-AU"/>
        </w:rPr>
        <w:t xml:space="preserve">The CEO also acknowledged that </w:t>
      </w:r>
      <w:r w:rsidR="002C372C" w:rsidRPr="00A26E3C">
        <w:rPr>
          <w:rFonts w:ascii="Calibri" w:eastAsiaTheme="minorHAnsi" w:hAnsi="Calibri" w:cs="Calibri"/>
          <w:color w:val="000000"/>
          <w:sz w:val="22"/>
          <w:szCs w:val="22"/>
          <w:lang w:val="en-AU"/>
          <w14:ligatures w14:val="standardContextual"/>
        </w:rPr>
        <w:t xml:space="preserve">the CEO </w:t>
      </w:r>
      <w:r w:rsidR="002C372C" w:rsidRPr="00A26E3C">
        <w:rPr>
          <w:rFonts w:ascii="Calibri" w:eastAsiaTheme="minorHAnsi" w:hAnsi="Calibri" w:cs="Calibri"/>
          <w:i/>
          <w:iCs/>
          <w:color w:val="000000"/>
          <w:sz w:val="22"/>
          <w:szCs w:val="22"/>
          <w:lang w:val="en-AU"/>
          <w14:ligatures w14:val="standardContextual"/>
        </w:rPr>
        <w:t>“the infrastructure burden for Fiji cannot be met with public funds alone”.</w:t>
      </w:r>
      <w:r w:rsidR="002C372C" w:rsidRPr="00A26E3C">
        <w:rPr>
          <w:rFonts w:ascii="Helvetica Neue" w:eastAsiaTheme="minorHAnsi" w:hAnsi="Helvetica Neue" w:cs="Helvetica Neue"/>
          <w:i/>
          <w:iCs/>
          <w:color w:val="000000"/>
          <w:sz w:val="26"/>
          <w:szCs w:val="26"/>
          <w:lang w:val="en-AU"/>
          <w14:ligatures w14:val="standardContextual"/>
        </w:rPr>
        <w:t xml:space="preserve"> </w:t>
      </w:r>
      <w:r w:rsidR="00F06EA4" w:rsidRPr="00C723E0">
        <w:rPr>
          <w:rFonts w:ascii="Calibri" w:eastAsiaTheme="minorHAnsi" w:hAnsi="Calibri" w:cs="Calibri"/>
          <w:sz w:val="22"/>
          <w:szCs w:val="22"/>
          <w:lang w:val="en-AU"/>
        </w:rPr>
        <w:t xml:space="preserve">It is </w:t>
      </w:r>
      <w:r w:rsidR="00D643FF" w:rsidRPr="00C723E0">
        <w:rPr>
          <w:rFonts w:ascii="Calibri" w:eastAsiaTheme="minorHAnsi" w:hAnsi="Calibri" w:cs="Calibri"/>
          <w:sz w:val="22"/>
          <w:szCs w:val="22"/>
          <w:lang w:val="en-AU"/>
        </w:rPr>
        <w:t>essential</w:t>
      </w:r>
      <w:r w:rsidR="00F06EA4" w:rsidRPr="00C723E0">
        <w:rPr>
          <w:rFonts w:ascii="Calibri" w:eastAsiaTheme="minorHAnsi" w:hAnsi="Calibri" w:cs="Calibri"/>
          <w:sz w:val="22"/>
          <w:szCs w:val="22"/>
          <w:lang w:val="en-AU"/>
        </w:rPr>
        <w:t xml:space="preserve"> to </w:t>
      </w:r>
      <w:r w:rsidRPr="00C723E0">
        <w:rPr>
          <w:rFonts w:ascii="Calibri" w:eastAsiaTheme="minorHAnsi" w:hAnsi="Calibri" w:cs="Calibri"/>
          <w:sz w:val="22"/>
          <w:szCs w:val="22"/>
          <w:lang w:val="en-AU"/>
        </w:rPr>
        <w:t>acknowledge</w:t>
      </w:r>
      <w:r w:rsidR="00F06EA4" w:rsidRPr="00C723E0">
        <w:rPr>
          <w:rFonts w:ascii="Calibri" w:eastAsiaTheme="minorHAnsi" w:hAnsi="Calibri" w:cs="Calibri"/>
          <w:sz w:val="22"/>
          <w:szCs w:val="22"/>
          <w:lang w:val="en-AU"/>
        </w:rPr>
        <w:t xml:space="preserve"> that the GoF does have a PPP </w:t>
      </w:r>
      <w:r w:rsidR="001C72B6" w:rsidRPr="00C723E0">
        <w:rPr>
          <w:rFonts w:ascii="Calibri" w:eastAsiaTheme="minorHAnsi" w:hAnsi="Calibri" w:cs="Calibri"/>
          <w:sz w:val="22"/>
          <w:szCs w:val="22"/>
          <w:lang w:val="en-AU"/>
        </w:rPr>
        <w:t>P</w:t>
      </w:r>
      <w:r w:rsidR="00F06EA4" w:rsidRPr="00C723E0">
        <w:rPr>
          <w:rFonts w:ascii="Calibri" w:eastAsiaTheme="minorHAnsi" w:hAnsi="Calibri" w:cs="Calibri"/>
          <w:sz w:val="22"/>
          <w:szCs w:val="22"/>
          <w:lang w:val="en-AU"/>
        </w:rPr>
        <w:t xml:space="preserve">olicy (2019). </w:t>
      </w:r>
      <w:r w:rsidR="00F06EA4" w:rsidRPr="00C723E0">
        <w:rPr>
          <w:rFonts w:ascii="Calibri" w:hAnsi="Calibri" w:cs="Calibri"/>
          <w:sz w:val="22"/>
          <w:szCs w:val="22"/>
          <w:shd w:val="clear" w:color="auto" w:fill="FFFFFF"/>
          <w:lang w:val="en-AU"/>
        </w:rPr>
        <w:t xml:space="preserve">Clause 9.2 of the Policy </w:t>
      </w:r>
      <w:r w:rsidR="00F06EA4" w:rsidRPr="00C723E0">
        <w:rPr>
          <w:rFonts w:ascii="Calibri" w:hAnsi="Calibri" w:cs="Calibri"/>
          <w:i/>
          <w:iCs/>
          <w:sz w:val="22"/>
          <w:szCs w:val="22"/>
          <w:shd w:val="clear" w:color="auto" w:fill="FFFFFF"/>
          <w:lang w:val="en-AU"/>
        </w:rPr>
        <w:t>states</w:t>
      </w:r>
      <w:r w:rsidR="007876B1" w:rsidRPr="00C723E0">
        <w:rPr>
          <w:rFonts w:ascii="Calibri" w:hAnsi="Calibri" w:cs="Calibri"/>
          <w:i/>
          <w:iCs/>
          <w:sz w:val="22"/>
          <w:szCs w:val="22"/>
          <w:shd w:val="clear" w:color="auto" w:fill="FFFFFF"/>
          <w:lang w:val="en-AU"/>
        </w:rPr>
        <w:t>,</w:t>
      </w:r>
      <w:r w:rsidR="00F06EA4" w:rsidRPr="00C723E0">
        <w:rPr>
          <w:rFonts w:ascii="Calibri" w:hAnsi="Calibri" w:cs="Calibri"/>
          <w:i/>
          <w:iCs/>
          <w:sz w:val="22"/>
          <w:szCs w:val="22"/>
          <w:shd w:val="clear" w:color="auto" w:fill="FFFFFF"/>
          <w:lang w:val="en-AU"/>
        </w:rPr>
        <w:t xml:space="preserve"> "Detailed guidance and tools will be prepared and adopted to support responsible </w:t>
      </w:r>
      <w:r w:rsidR="00F06EA4" w:rsidRPr="00C723E0">
        <w:rPr>
          <w:rFonts w:ascii="Calibri" w:hAnsi="Calibri" w:cs="Calibri"/>
          <w:i/>
          <w:iCs/>
          <w:sz w:val="22"/>
          <w:szCs w:val="22"/>
          <w:shd w:val="clear" w:color="auto" w:fill="FFFFFF"/>
          <w:lang w:val="en-AU"/>
        </w:rPr>
        <w:lastRenderedPageBreak/>
        <w:t>Government decisions at each stage"</w:t>
      </w:r>
      <w:r w:rsidR="00F06EA4" w:rsidRPr="00C723E0">
        <w:rPr>
          <w:rFonts w:ascii="Calibri" w:hAnsi="Calibri" w:cs="Calibri"/>
          <w:sz w:val="22"/>
          <w:szCs w:val="22"/>
          <w:shd w:val="clear" w:color="auto" w:fill="FFFFFF"/>
          <w:lang w:val="en-AU"/>
        </w:rPr>
        <w:t xml:space="preserve"> </w:t>
      </w:r>
      <w:r w:rsidR="00D643FF" w:rsidRPr="00C723E0">
        <w:rPr>
          <w:rFonts w:ascii="Calibri" w:hAnsi="Calibri" w:cs="Calibri"/>
          <w:sz w:val="22"/>
          <w:szCs w:val="22"/>
          <w:shd w:val="clear" w:color="auto" w:fill="FFFFFF"/>
          <w:lang w:val="en-AU"/>
        </w:rPr>
        <w:t>Subsequently,</w:t>
      </w:r>
      <w:r w:rsidR="00F06EA4" w:rsidRPr="00C723E0">
        <w:rPr>
          <w:rFonts w:ascii="Calibri" w:hAnsi="Calibri" w:cs="Calibri"/>
          <w:sz w:val="22"/>
          <w:szCs w:val="22"/>
          <w:shd w:val="clear" w:color="auto" w:fill="FFFFFF"/>
          <w:lang w:val="en-AU"/>
        </w:rPr>
        <w:t xml:space="preserve"> a PPP Implementation Guideline </w:t>
      </w:r>
      <w:r w:rsidR="00D643FF" w:rsidRPr="00C723E0">
        <w:rPr>
          <w:rFonts w:ascii="Calibri" w:hAnsi="Calibri" w:cs="Calibri"/>
          <w:sz w:val="22"/>
          <w:szCs w:val="22"/>
          <w:shd w:val="clear" w:color="auto" w:fill="FFFFFF"/>
          <w:lang w:val="en-AU"/>
        </w:rPr>
        <w:t>(</w:t>
      </w:r>
      <w:r w:rsidR="00F06EA4" w:rsidRPr="00C723E0">
        <w:rPr>
          <w:rFonts w:ascii="Calibri" w:hAnsi="Calibri" w:cs="Calibri"/>
          <w:sz w:val="22"/>
          <w:szCs w:val="22"/>
          <w:shd w:val="clear" w:color="auto" w:fill="FFFFFF"/>
          <w:lang w:val="en-AU"/>
        </w:rPr>
        <w:t>2020</w:t>
      </w:r>
      <w:r w:rsidR="00D643FF" w:rsidRPr="00C723E0">
        <w:rPr>
          <w:rFonts w:ascii="Calibri" w:hAnsi="Calibri" w:cs="Calibri"/>
          <w:sz w:val="22"/>
          <w:szCs w:val="22"/>
          <w:shd w:val="clear" w:color="auto" w:fill="FFFFFF"/>
          <w:lang w:val="en-AU"/>
        </w:rPr>
        <w:t>)</w:t>
      </w:r>
      <w:r w:rsidR="00F06EA4" w:rsidRPr="00C723E0">
        <w:rPr>
          <w:rFonts w:ascii="Calibri" w:hAnsi="Calibri" w:cs="Calibri"/>
          <w:sz w:val="22"/>
          <w:szCs w:val="22"/>
          <w:shd w:val="clear" w:color="auto" w:fill="FFFFFF"/>
          <w:lang w:val="en-AU"/>
        </w:rPr>
        <w:t xml:space="preserve"> was prepared and released. </w:t>
      </w:r>
      <w:r w:rsidR="00D643FF" w:rsidRPr="00C723E0">
        <w:rPr>
          <w:rFonts w:ascii="Calibri" w:hAnsi="Calibri" w:cs="Calibri"/>
          <w:sz w:val="22"/>
          <w:szCs w:val="22"/>
          <w:shd w:val="clear" w:color="auto" w:fill="FFFFFF"/>
          <w:lang w:val="en-AU"/>
        </w:rPr>
        <w:t xml:space="preserve">The guideline is </w:t>
      </w:r>
      <w:r w:rsidR="00F06EA4" w:rsidRPr="00C723E0">
        <w:rPr>
          <w:rFonts w:ascii="Calibri" w:hAnsi="Calibri" w:cs="Calibri"/>
          <w:sz w:val="22"/>
          <w:szCs w:val="22"/>
          <w:shd w:val="clear" w:color="auto" w:fill="FFFFFF"/>
          <w:lang w:val="en-AU"/>
        </w:rPr>
        <w:t>a reasonable first effort at writing an implementation guideline</w:t>
      </w:r>
      <w:r w:rsidR="00D643FF" w:rsidRPr="00C723E0">
        <w:rPr>
          <w:rFonts w:ascii="Calibri" w:hAnsi="Calibri" w:cs="Calibri"/>
          <w:sz w:val="22"/>
          <w:szCs w:val="22"/>
          <w:shd w:val="clear" w:color="auto" w:fill="FFFFFF"/>
          <w:lang w:val="en-AU"/>
        </w:rPr>
        <w:t>,</w:t>
      </w:r>
      <w:r w:rsidR="00F06EA4" w:rsidRPr="00C723E0">
        <w:rPr>
          <w:rFonts w:ascii="Calibri" w:hAnsi="Calibri" w:cs="Calibri"/>
          <w:sz w:val="22"/>
          <w:szCs w:val="22"/>
          <w:shd w:val="clear" w:color="auto" w:fill="FFFFFF"/>
          <w:lang w:val="en-AU"/>
        </w:rPr>
        <w:t xml:space="preserve"> but </w:t>
      </w:r>
      <w:r w:rsidR="001C72B6" w:rsidRPr="00C723E0">
        <w:rPr>
          <w:rFonts w:ascii="Calibri" w:hAnsi="Calibri" w:cs="Calibri"/>
          <w:sz w:val="22"/>
          <w:szCs w:val="22"/>
          <w:shd w:val="clear" w:color="auto" w:fill="FFFFFF"/>
          <w:lang w:val="en-AU"/>
        </w:rPr>
        <w:t xml:space="preserve">it </w:t>
      </w:r>
      <w:r w:rsidR="00F06EA4" w:rsidRPr="00C723E0">
        <w:rPr>
          <w:rFonts w:ascii="Calibri" w:hAnsi="Calibri" w:cs="Calibri"/>
          <w:sz w:val="22"/>
          <w:szCs w:val="22"/>
          <w:shd w:val="clear" w:color="auto" w:fill="FFFFFF"/>
          <w:lang w:val="en-AU"/>
        </w:rPr>
        <w:t>i</w:t>
      </w:r>
      <w:r w:rsidR="00D643FF" w:rsidRPr="00C723E0">
        <w:rPr>
          <w:rFonts w:ascii="Calibri" w:hAnsi="Calibri" w:cs="Calibri"/>
          <w:sz w:val="22"/>
          <w:szCs w:val="22"/>
          <w:shd w:val="clear" w:color="auto" w:fill="FFFFFF"/>
          <w:lang w:val="en-AU"/>
        </w:rPr>
        <w:t xml:space="preserve">s </w:t>
      </w:r>
      <w:r w:rsidR="00F06EA4" w:rsidRPr="00C723E0">
        <w:rPr>
          <w:rFonts w:ascii="Calibri" w:hAnsi="Calibri" w:cs="Calibri"/>
          <w:sz w:val="22"/>
          <w:szCs w:val="22"/>
          <w:shd w:val="clear" w:color="auto" w:fill="FFFFFF"/>
          <w:lang w:val="en-AU"/>
        </w:rPr>
        <w:t>short in content</w:t>
      </w:r>
      <w:r w:rsidR="00D643FF" w:rsidRPr="00C723E0">
        <w:rPr>
          <w:rFonts w:ascii="Calibri" w:hAnsi="Calibri" w:cs="Calibri"/>
          <w:sz w:val="22"/>
          <w:szCs w:val="22"/>
          <w:shd w:val="clear" w:color="auto" w:fill="FFFFFF"/>
          <w:lang w:val="en-AU"/>
        </w:rPr>
        <w:t xml:space="preserve"> and</w:t>
      </w:r>
      <w:r w:rsidR="001C72B6" w:rsidRPr="00C723E0">
        <w:rPr>
          <w:rFonts w:ascii="Calibri" w:hAnsi="Calibri" w:cs="Calibri"/>
          <w:sz w:val="22"/>
          <w:szCs w:val="22"/>
          <w:shd w:val="clear" w:color="auto" w:fill="FFFFFF"/>
          <w:lang w:val="en-AU"/>
        </w:rPr>
        <w:t xml:space="preserve"> overall</w:t>
      </w:r>
      <w:r w:rsidR="00D643FF" w:rsidRPr="00C723E0">
        <w:rPr>
          <w:rFonts w:ascii="Calibri" w:hAnsi="Calibri" w:cs="Calibri"/>
          <w:sz w:val="22"/>
          <w:szCs w:val="22"/>
          <w:shd w:val="clear" w:color="auto" w:fill="FFFFFF"/>
          <w:lang w:val="en-AU"/>
        </w:rPr>
        <w:t xml:space="preserve"> guidance.</w:t>
      </w:r>
      <w:r w:rsidR="00F06EA4" w:rsidRPr="00C723E0">
        <w:rPr>
          <w:rFonts w:ascii="Calibri" w:hAnsi="Calibri" w:cs="Calibri"/>
          <w:sz w:val="22"/>
          <w:szCs w:val="22"/>
          <w:shd w:val="clear" w:color="auto" w:fill="FFFFFF"/>
          <w:lang w:val="en-AU"/>
        </w:rPr>
        <w:t xml:space="preserve"> It is assumed that IFC has referred to and </w:t>
      </w:r>
      <w:r w:rsidRPr="00C723E0">
        <w:rPr>
          <w:rFonts w:ascii="Calibri" w:hAnsi="Calibri" w:cs="Calibri"/>
          <w:sz w:val="22"/>
          <w:szCs w:val="22"/>
          <w:shd w:val="clear" w:color="auto" w:fill="FFFFFF"/>
          <w:lang w:val="en-AU"/>
        </w:rPr>
        <w:t>utilised</w:t>
      </w:r>
      <w:r w:rsidR="00F06EA4" w:rsidRPr="00C723E0">
        <w:rPr>
          <w:rFonts w:ascii="Calibri" w:hAnsi="Calibri" w:cs="Calibri"/>
          <w:sz w:val="22"/>
          <w:szCs w:val="22"/>
          <w:shd w:val="clear" w:color="auto" w:fill="FFFFFF"/>
          <w:lang w:val="en-AU"/>
        </w:rPr>
        <w:t xml:space="preserve"> the policies and guidance as part of </w:t>
      </w:r>
      <w:r w:rsidR="00D643FF" w:rsidRPr="00C723E0">
        <w:rPr>
          <w:rFonts w:ascii="Calibri" w:hAnsi="Calibri" w:cs="Calibri"/>
          <w:sz w:val="22"/>
          <w:szCs w:val="22"/>
          <w:shd w:val="clear" w:color="auto" w:fill="FFFFFF"/>
          <w:lang w:val="en-AU"/>
        </w:rPr>
        <w:t xml:space="preserve">its work and guidance under the PPP portfolio. </w:t>
      </w:r>
      <w:r w:rsidR="00F06EA4" w:rsidRPr="00C723E0">
        <w:rPr>
          <w:rFonts w:ascii="Calibri" w:hAnsi="Calibri" w:cs="Calibri"/>
          <w:sz w:val="22"/>
          <w:szCs w:val="22"/>
          <w:shd w:val="clear" w:color="auto" w:fill="FFFFFF"/>
          <w:lang w:val="en-AU"/>
        </w:rPr>
        <w:t>IFC</w:t>
      </w:r>
      <w:r w:rsidR="009449FE" w:rsidRPr="00C723E0">
        <w:rPr>
          <w:rFonts w:ascii="Calibri" w:hAnsi="Calibri" w:cs="Calibri"/>
          <w:sz w:val="22"/>
          <w:szCs w:val="22"/>
          <w:shd w:val="clear" w:color="auto" w:fill="FFFFFF"/>
          <w:lang w:val="en-AU"/>
        </w:rPr>
        <w:t xml:space="preserve"> has a clear ma</w:t>
      </w:r>
      <w:r w:rsidR="00D643FF" w:rsidRPr="00C723E0">
        <w:rPr>
          <w:rFonts w:ascii="Calibri" w:hAnsi="Calibri" w:cs="Calibri"/>
          <w:sz w:val="22"/>
          <w:szCs w:val="22"/>
          <w:shd w:val="clear" w:color="auto" w:fill="FFFFFF"/>
          <w:lang w:val="en-AU"/>
        </w:rPr>
        <w:t>n</w:t>
      </w:r>
      <w:r w:rsidR="009449FE" w:rsidRPr="00C723E0">
        <w:rPr>
          <w:rFonts w:ascii="Calibri" w:hAnsi="Calibri" w:cs="Calibri"/>
          <w:sz w:val="22"/>
          <w:szCs w:val="22"/>
          <w:shd w:val="clear" w:color="auto" w:fill="FFFFFF"/>
          <w:lang w:val="en-AU"/>
        </w:rPr>
        <w:t xml:space="preserve">date and approach to technical advisory support </w:t>
      </w:r>
      <w:r w:rsidR="00D643FF" w:rsidRPr="00C723E0">
        <w:rPr>
          <w:rFonts w:ascii="Calibri" w:hAnsi="Calibri" w:cs="Calibri"/>
          <w:sz w:val="22"/>
          <w:szCs w:val="22"/>
          <w:shd w:val="clear" w:color="auto" w:fill="FFFFFF"/>
          <w:lang w:val="en-AU"/>
        </w:rPr>
        <w:t>for</w:t>
      </w:r>
      <w:r w:rsidR="009449FE" w:rsidRPr="00C723E0">
        <w:rPr>
          <w:rFonts w:ascii="Calibri" w:hAnsi="Calibri" w:cs="Calibri"/>
          <w:sz w:val="22"/>
          <w:szCs w:val="22"/>
          <w:shd w:val="clear" w:color="auto" w:fill="FFFFFF"/>
          <w:lang w:val="en-AU"/>
        </w:rPr>
        <w:t xml:space="preserve"> PPP implementation. Di</w:t>
      </w:r>
      <w:r w:rsidR="00D643FF" w:rsidRPr="00C723E0">
        <w:rPr>
          <w:rFonts w:ascii="Calibri" w:hAnsi="Calibri" w:cs="Calibri"/>
          <w:sz w:val="22"/>
          <w:szCs w:val="22"/>
          <w:shd w:val="clear" w:color="auto" w:fill="FFFFFF"/>
          <w:lang w:val="en-AU"/>
        </w:rPr>
        <w:t>a</w:t>
      </w:r>
      <w:r w:rsidR="009449FE" w:rsidRPr="00C723E0">
        <w:rPr>
          <w:rFonts w:ascii="Calibri" w:hAnsi="Calibri" w:cs="Calibri"/>
          <w:sz w:val="22"/>
          <w:szCs w:val="22"/>
          <w:shd w:val="clear" w:color="auto" w:fill="FFFFFF"/>
          <w:lang w:val="en-AU"/>
        </w:rPr>
        <w:t>gram 1 below sum</w:t>
      </w:r>
      <w:r w:rsidR="00D643FF" w:rsidRPr="00C723E0">
        <w:rPr>
          <w:rFonts w:ascii="Calibri" w:hAnsi="Calibri" w:cs="Calibri"/>
          <w:sz w:val="22"/>
          <w:szCs w:val="22"/>
          <w:shd w:val="clear" w:color="auto" w:fill="FFFFFF"/>
          <w:lang w:val="en-AU"/>
        </w:rPr>
        <w:t>maris</w:t>
      </w:r>
      <w:r w:rsidR="009449FE" w:rsidRPr="00C723E0">
        <w:rPr>
          <w:rFonts w:ascii="Calibri" w:hAnsi="Calibri" w:cs="Calibri"/>
          <w:sz w:val="22"/>
          <w:szCs w:val="22"/>
          <w:shd w:val="clear" w:color="auto" w:fill="FFFFFF"/>
          <w:lang w:val="en-AU"/>
        </w:rPr>
        <w:t xml:space="preserve">es the approach. </w:t>
      </w:r>
    </w:p>
    <w:p w14:paraId="603DC0C4" w14:textId="382E26FC" w:rsidR="007876B1" w:rsidRPr="00C723E0" w:rsidRDefault="007876B1" w:rsidP="00F82C22">
      <w:pPr>
        <w:pStyle w:val="Caption"/>
        <w:spacing w:after="120"/>
        <w:rPr>
          <w:rFonts w:ascii="Calibri" w:eastAsiaTheme="minorHAnsi" w:hAnsi="Calibri" w:cs="Calibri"/>
          <w:i/>
          <w:iCs/>
          <w:lang w:val="en-AU"/>
        </w:rPr>
      </w:pPr>
      <w:r w:rsidRPr="00C723E0">
        <w:rPr>
          <w:rFonts w:ascii="Calibri" w:eastAsiaTheme="minorHAnsi" w:hAnsi="Calibri" w:cs="Calibri"/>
          <w:i/>
          <w:iCs/>
          <w:lang w:val="en-AU"/>
        </w:rPr>
        <w:t>Diagram 1: IFC’s Approach to PPPs</w:t>
      </w:r>
    </w:p>
    <w:p w14:paraId="5634494A" w14:textId="270FCF52" w:rsidR="00DE5C7A" w:rsidRPr="00C723E0" w:rsidRDefault="00F06EA4" w:rsidP="00D643FF">
      <w:pPr>
        <w:autoSpaceDE w:val="0"/>
        <w:autoSpaceDN w:val="0"/>
        <w:adjustRightInd w:val="0"/>
        <w:spacing w:after="120"/>
        <w:jc w:val="center"/>
        <w:rPr>
          <w:rFonts w:ascii="Calibri" w:eastAsiaTheme="minorHAnsi" w:hAnsi="Calibri" w:cs="Calibri"/>
          <w:sz w:val="22"/>
          <w:szCs w:val="22"/>
          <w:lang w:val="en-AU"/>
        </w:rPr>
      </w:pPr>
      <w:r w:rsidRPr="00C723E0">
        <w:rPr>
          <w:rFonts w:ascii="Calibri" w:hAnsi="Calibri" w:cs="Calibri"/>
          <w:noProof/>
          <w:sz w:val="20"/>
          <w:szCs w:val="20"/>
          <w:lang w:val="en-AU"/>
          <w14:ligatures w14:val="standardContextual"/>
        </w:rPr>
        <w:drawing>
          <wp:inline distT="0" distB="0" distL="0" distR="0" wp14:anchorId="24913330" wp14:editId="632E5F1A">
            <wp:extent cx="4978400" cy="2382749"/>
            <wp:effectExtent l="0" t="0" r="0" b="5080"/>
            <wp:docPr id="1966546136" name="Picture 3" descr="This picture is replicated in an accessible format in the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46136" name="Picture 3" descr="This picture is replicated in an accessible format in the annex."/>
                    <pic:cNvPicPr/>
                  </pic:nvPicPr>
                  <pic:blipFill>
                    <a:blip r:embed="rId21">
                      <a:extLst>
                        <a:ext uri="{28A0092B-C50C-407E-A947-70E740481C1C}">
                          <a14:useLocalDpi xmlns:a14="http://schemas.microsoft.com/office/drawing/2010/main" val="0"/>
                        </a:ext>
                      </a:extLst>
                    </a:blip>
                    <a:stretch>
                      <a:fillRect/>
                    </a:stretch>
                  </pic:blipFill>
                  <pic:spPr>
                    <a:xfrm>
                      <a:off x="0" y="0"/>
                      <a:ext cx="5005543" cy="2395740"/>
                    </a:xfrm>
                    <a:prstGeom prst="rect">
                      <a:avLst/>
                    </a:prstGeom>
                  </pic:spPr>
                </pic:pic>
              </a:graphicData>
            </a:graphic>
          </wp:inline>
        </w:drawing>
      </w:r>
    </w:p>
    <w:p w14:paraId="5A88C3CA" w14:textId="66E9D038" w:rsidR="00CA3E54" w:rsidRPr="00C723E0" w:rsidRDefault="003221AD" w:rsidP="00F82C22">
      <w:pPr>
        <w:autoSpaceDE w:val="0"/>
        <w:autoSpaceDN w:val="0"/>
        <w:adjustRightInd w:val="0"/>
        <w:spacing w:after="120"/>
        <w:jc w:val="both"/>
        <w:rPr>
          <w:rFonts w:ascii="Calibri" w:eastAsiaTheme="minorHAnsi" w:hAnsi="Calibri" w:cs="Calibri"/>
          <w:sz w:val="22"/>
          <w:szCs w:val="22"/>
          <w:lang w:val="en-AU"/>
        </w:rPr>
      </w:pPr>
      <w:r w:rsidRPr="00C723E0">
        <w:rPr>
          <w:rFonts w:ascii="Calibri" w:eastAsiaTheme="minorHAnsi" w:hAnsi="Calibri" w:cs="Calibri"/>
          <w:sz w:val="22"/>
          <w:szCs w:val="22"/>
          <w:lang w:val="en-AU"/>
        </w:rPr>
        <w:t>Acknowledging</w:t>
      </w:r>
      <w:r w:rsidR="00CA3E54" w:rsidRPr="00C723E0">
        <w:rPr>
          <w:rFonts w:ascii="Calibri" w:eastAsiaTheme="minorHAnsi" w:hAnsi="Calibri" w:cs="Calibri"/>
          <w:sz w:val="22"/>
          <w:szCs w:val="22"/>
          <w:lang w:val="en-AU"/>
        </w:rPr>
        <w:t xml:space="preserve"> that </w:t>
      </w:r>
      <w:r w:rsidR="001C72B6" w:rsidRPr="00C723E0">
        <w:rPr>
          <w:rFonts w:ascii="Calibri" w:eastAsiaTheme="minorHAnsi" w:hAnsi="Calibri" w:cs="Calibri"/>
          <w:sz w:val="22"/>
          <w:szCs w:val="22"/>
          <w:lang w:val="en-AU"/>
        </w:rPr>
        <w:t>prerequisites are</w:t>
      </w:r>
      <w:r w:rsidR="00CA3E54" w:rsidRPr="00C723E0">
        <w:rPr>
          <w:rFonts w:ascii="Calibri" w:eastAsiaTheme="minorHAnsi" w:hAnsi="Calibri" w:cs="Calibri"/>
          <w:sz w:val="22"/>
          <w:szCs w:val="22"/>
          <w:lang w:val="en-AU"/>
        </w:rPr>
        <w:t xml:space="preserve"> required in the enabling and operating environments for PPP</w:t>
      </w:r>
      <w:r w:rsidRPr="00C723E0">
        <w:rPr>
          <w:rFonts w:ascii="Calibri" w:eastAsiaTheme="minorHAnsi" w:hAnsi="Calibri" w:cs="Calibri"/>
          <w:sz w:val="22"/>
          <w:szCs w:val="22"/>
          <w:lang w:val="en-AU"/>
        </w:rPr>
        <w:t>s</w:t>
      </w:r>
      <w:r w:rsidR="00CA3E54" w:rsidRPr="00C723E0">
        <w:rPr>
          <w:rFonts w:ascii="Calibri" w:eastAsiaTheme="minorHAnsi" w:hAnsi="Calibri" w:cs="Calibri"/>
          <w:sz w:val="22"/>
          <w:szCs w:val="22"/>
          <w:lang w:val="en-AU"/>
        </w:rPr>
        <w:t xml:space="preserve"> to </w:t>
      </w:r>
      <w:r w:rsidR="001C72B6" w:rsidRPr="00C723E0">
        <w:rPr>
          <w:rFonts w:ascii="Calibri" w:eastAsiaTheme="minorHAnsi" w:hAnsi="Calibri" w:cs="Calibri"/>
          <w:sz w:val="22"/>
          <w:szCs w:val="22"/>
          <w:lang w:val="en-AU"/>
        </w:rPr>
        <w:t>succeed</w:t>
      </w:r>
      <w:r w:rsidRPr="00C723E0">
        <w:rPr>
          <w:rFonts w:ascii="Calibri" w:eastAsiaTheme="minorHAnsi" w:hAnsi="Calibri" w:cs="Calibri"/>
          <w:sz w:val="22"/>
          <w:szCs w:val="22"/>
          <w:lang w:val="en-AU"/>
        </w:rPr>
        <w:t xml:space="preserve"> is essential</w:t>
      </w:r>
      <w:r w:rsidR="00CA3E54" w:rsidRPr="00C723E0">
        <w:rPr>
          <w:rFonts w:ascii="Calibri" w:eastAsiaTheme="minorHAnsi" w:hAnsi="Calibri" w:cs="Calibri"/>
          <w:sz w:val="22"/>
          <w:szCs w:val="22"/>
          <w:lang w:val="en-AU"/>
        </w:rPr>
        <w:t>. Thes</w:t>
      </w:r>
      <w:r w:rsidR="001C72B6" w:rsidRPr="00C723E0">
        <w:rPr>
          <w:rFonts w:ascii="Calibri" w:eastAsiaTheme="minorHAnsi" w:hAnsi="Calibri" w:cs="Calibri"/>
          <w:sz w:val="22"/>
          <w:szCs w:val="22"/>
          <w:lang w:val="en-AU"/>
        </w:rPr>
        <w:t>e</w:t>
      </w:r>
      <w:r w:rsidR="00CA3E54" w:rsidRPr="00C723E0">
        <w:rPr>
          <w:rFonts w:ascii="Calibri" w:eastAsiaTheme="minorHAnsi" w:hAnsi="Calibri" w:cs="Calibri"/>
          <w:sz w:val="22"/>
          <w:szCs w:val="22"/>
          <w:lang w:val="en-AU"/>
        </w:rPr>
        <w:t xml:space="preserve"> </w:t>
      </w:r>
      <w:r w:rsidR="00D643FF" w:rsidRPr="00C723E0">
        <w:rPr>
          <w:rFonts w:ascii="Calibri" w:eastAsiaTheme="minorHAnsi" w:hAnsi="Calibri" w:cs="Calibri"/>
          <w:sz w:val="22"/>
          <w:szCs w:val="22"/>
          <w:lang w:val="en-AU"/>
        </w:rPr>
        <w:t>includ</w:t>
      </w:r>
      <w:r w:rsidR="00CA3E54" w:rsidRPr="00C723E0">
        <w:rPr>
          <w:rFonts w:ascii="Calibri" w:eastAsiaTheme="minorHAnsi" w:hAnsi="Calibri" w:cs="Calibri"/>
          <w:sz w:val="22"/>
          <w:szCs w:val="22"/>
          <w:lang w:val="en-AU"/>
        </w:rPr>
        <w:t>e:</w:t>
      </w:r>
    </w:p>
    <w:p w14:paraId="1A817E3D" w14:textId="7D59D68F" w:rsidR="000C4E5D" w:rsidRPr="00C723E0" w:rsidRDefault="000C4E5D" w:rsidP="00D77455">
      <w:pPr>
        <w:pStyle w:val="ListParagraph"/>
        <w:numPr>
          <w:ilvl w:val="0"/>
          <w:numId w:val="11"/>
        </w:numPr>
        <w:shd w:val="clear" w:color="auto" w:fill="FFFFFF"/>
        <w:spacing w:after="120"/>
        <w:jc w:val="both"/>
        <w:rPr>
          <w:rFonts w:ascii="Calibri" w:hAnsi="Calibri" w:cs="Calibri"/>
          <w:sz w:val="22"/>
          <w:szCs w:val="22"/>
          <w:lang w:val="en-AU"/>
        </w:rPr>
      </w:pPr>
      <w:r w:rsidRPr="00C723E0">
        <w:rPr>
          <w:rFonts w:ascii="Calibri" w:hAnsi="Calibri" w:cs="Calibri"/>
          <w:b/>
          <w:bCs/>
          <w:sz w:val="22"/>
          <w:szCs w:val="22"/>
          <w:lang w:val="en-AU"/>
        </w:rPr>
        <w:t>Funding and Affordability</w:t>
      </w:r>
      <w:r w:rsidR="001C72B6" w:rsidRPr="00C723E0">
        <w:rPr>
          <w:rFonts w:ascii="Calibri" w:hAnsi="Calibri" w:cs="Calibri"/>
          <w:sz w:val="22"/>
          <w:szCs w:val="22"/>
          <w:lang w:val="en-AU"/>
        </w:rPr>
        <w:t>—</w:t>
      </w:r>
      <w:r w:rsidRPr="00C723E0">
        <w:rPr>
          <w:rFonts w:ascii="Calibri" w:hAnsi="Calibri" w:cs="Calibri"/>
          <w:sz w:val="22"/>
          <w:szCs w:val="22"/>
          <w:lang w:val="en-AU"/>
        </w:rPr>
        <w:t>Access to long-term financing at reasonable cost is crucial to ensur</w:t>
      </w:r>
      <w:r w:rsidR="001C72B6" w:rsidRPr="00C723E0">
        <w:rPr>
          <w:rFonts w:ascii="Calibri" w:hAnsi="Calibri" w:cs="Calibri"/>
          <w:sz w:val="22"/>
          <w:szCs w:val="22"/>
          <w:lang w:val="en-AU"/>
        </w:rPr>
        <w:t>ing</w:t>
      </w:r>
      <w:r w:rsidRPr="00C723E0">
        <w:rPr>
          <w:rFonts w:ascii="Calibri" w:hAnsi="Calibri" w:cs="Calibri"/>
          <w:sz w:val="22"/>
          <w:szCs w:val="22"/>
          <w:lang w:val="en-AU"/>
        </w:rPr>
        <w:t xml:space="preserve"> </w:t>
      </w:r>
      <w:r w:rsidR="001C72B6" w:rsidRPr="00C723E0">
        <w:rPr>
          <w:rFonts w:ascii="Calibri" w:hAnsi="Calibri" w:cs="Calibri"/>
          <w:sz w:val="22"/>
          <w:szCs w:val="22"/>
          <w:lang w:val="en-AU"/>
        </w:rPr>
        <w:t xml:space="preserve">the </w:t>
      </w:r>
      <w:r w:rsidRPr="00C723E0">
        <w:rPr>
          <w:rFonts w:ascii="Calibri" w:hAnsi="Calibri" w:cs="Calibri"/>
          <w:sz w:val="22"/>
          <w:szCs w:val="22"/>
          <w:lang w:val="en-AU"/>
        </w:rPr>
        <w:t>financial sustainability of projects. Balancing the affordability of services for users while providing adequate returns to private sector partners can also be challenging</w:t>
      </w:r>
      <w:r w:rsidR="001C72B6" w:rsidRPr="00C723E0">
        <w:rPr>
          <w:rFonts w:ascii="Calibri" w:hAnsi="Calibri" w:cs="Calibri"/>
          <w:sz w:val="22"/>
          <w:szCs w:val="22"/>
          <w:lang w:val="en-AU"/>
        </w:rPr>
        <w:t>,</w:t>
      </w:r>
      <w:r w:rsidRPr="00C723E0">
        <w:rPr>
          <w:rFonts w:ascii="Calibri" w:hAnsi="Calibri" w:cs="Calibri"/>
          <w:sz w:val="22"/>
          <w:szCs w:val="22"/>
          <w:lang w:val="en-AU"/>
        </w:rPr>
        <w:t xml:space="preserve"> particularly where tariffs or user fees may be politically sensitive. </w:t>
      </w:r>
    </w:p>
    <w:p w14:paraId="26C716D7" w14:textId="6E360B76" w:rsidR="000C4E5D" w:rsidRPr="00C723E0" w:rsidRDefault="000C4E5D" w:rsidP="00D77455">
      <w:pPr>
        <w:pStyle w:val="ListParagraph"/>
        <w:numPr>
          <w:ilvl w:val="0"/>
          <w:numId w:val="11"/>
        </w:numPr>
        <w:shd w:val="clear" w:color="auto" w:fill="FFFFFF"/>
        <w:spacing w:after="120"/>
        <w:jc w:val="both"/>
        <w:rPr>
          <w:rFonts w:ascii="Calibri" w:hAnsi="Calibri" w:cs="Calibri"/>
          <w:sz w:val="22"/>
          <w:szCs w:val="22"/>
          <w:lang w:val="en-AU"/>
        </w:rPr>
      </w:pPr>
      <w:r w:rsidRPr="00C723E0">
        <w:rPr>
          <w:rFonts w:ascii="Calibri" w:hAnsi="Calibri" w:cs="Calibri"/>
          <w:b/>
          <w:bCs/>
          <w:sz w:val="22"/>
          <w:szCs w:val="22"/>
          <w:lang w:val="en-AU"/>
        </w:rPr>
        <w:t>Hedging Markets</w:t>
      </w:r>
      <w:r w:rsidRPr="00C723E0">
        <w:rPr>
          <w:rFonts w:ascii="Calibri" w:hAnsi="Calibri" w:cs="Calibri"/>
          <w:sz w:val="22"/>
          <w:szCs w:val="22"/>
          <w:lang w:val="en-AU"/>
        </w:rPr>
        <w:t xml:space="preserve"> - Access to mature currency and interest rate hedging markets</w:t>
      </w:r>
      <w:r w:rsidR="00D643FF" w:rsidRPr="00C723E0">
        <w:rPr>
          <w:rFonts w:ascii="Calibri" w:hAnsi="Calibri" w:cs="Calibri"/>
          <w:sz w:val="22"/>
          <w:szCs w:val="22"/>
          <w:lang w:val="en-AU"/>
        </w:rPr>
        <w:t xml:space="preserve"> to minimise and reduce risk</w:t>
      </w:r>
      <w:r w:rsidR="001E1FE9" w:rsidRPr="00C723E0">
        <w:rPr>
          <w:rFonts w:ascii="Calibri" w:hAnsi="Calibri" w:cs="Calibri"/>
          <w:sz w:val="22"/>
          <w:szCs w:val="22"/>
          <w:lang w:val="en-AU"/>
        </w:rPr>
        <w:t>.</w:t>
      </w:r>
    </w:p>
    <w:p w14:paraId="67066C7A" w14:textId="77777777" w:rsidR="000C4E5D" w:rsidRPr="00C723E0" w:rsidRDefault="000C4E5D" w:rsidP="00D77455">
      <w:pPr>
        <w:pStyle w:val="ListParagraph"/>
        <w:numPr>
          <w:ilvl w:val="0"/>
          <w:numId w:val="11"/>
        </w:numPr>
        <w:shd w:val="clear" w:color="auto" w:fill="FFFFFF"/>
        <w:spacing w:after="120"/>
        <w:jc w:val="both"/>
        <w:rPr>
          <w:rStyle w:val="size"/>
          <w:rFonts w:ascii="Calibri" w:hAnsi="Calibri" w:cs="Calibri"/>
          <w:sz w:val="22"/>
          <w:szCs w:val="22"/>
          <w:lang w:val="en-AU"/>
        </w:rPr>
      </w:pPr>
      <w:r w:rsidRPr="00C723E0">
        <w:rPr>
          <w:rFonts w:ascii="Calibri" w:hAnsi="Calibri" w:cs="Calibri"/>
          <w:b/>
          <w:bCs/>
          <w:sz w:val="22"/>
          <w:szCs w:val="22"/>
          <w:lang w:val="en-AU"/>
        </w:rPr>
        <w:t>Regulatory Framework</w:t>
      </w:r>
      <w:r w:rsidRPr="00C723E0">
        <w:rPr>
          <w:rFonts w:ascii="Calibri" w:hAnsi="Calibri" w:cs="Calibri"/>
          <w:sz w:val="22"/>
          <w:szCs w:val="22"/>
          <w:lang w:val="en-AU"/>
        </w:rPr>
        <w:t xml:space="preserve"> - </w:t>
      </w:r>
      <w:r w:rsidRPr="00C723E0">
        <w:rPr>
          <w:rStyle w:val="size"/>
          <w:rFonts w:ascii="Calibri" w:eastAsiaTheme="majorEastAsia" w:hAnsi="Calibri" w:cs="Calibri"/>
          <w:sz w:val="22"/>
          <w:szCs w:val="22"/>
          <w:lang w:val="en-AU"/>
        </w:rPr>
        <w:t>An effective legal and regulatory framework is crucial for the success of PPPs. Fiji’s PPP framework has undergone several iterations, including the repeal of the underlying law. Ensuring a clear and consistent legal framework that governs PPPs will provide stability and engender confidence in the process. This includes laws, regulations, and policies related to procurement, contract enforcement, dispute resolution, and risk allocation. A robust and transparent regulatory environment provides certainty for investors and reduces the likelihood of project delays and legal conflicts.</w:t>
      </w:r>
    </w:p>
    <w:p w14:paraId="7F23821F" w14:textId="77777777" w:rsidR="001C72B6" w:rsidRPr="00C723E0" w:rsidRDefault="000C4E5D" w:rsidP="00D77455">
      <w:pPr>
        <w:pStyle w:val="ListParagraph"/>
        <w:numPr>
          <w:ilvl w:val="0"/>
          <w:numId w:val="11"/>
        </w:numPr>
        <w:shd w:val="clear" w:color="auto" w:fill="FFFFFF"/>
        <w:spacing w:after="120"/>
        <w:jc w:val="both"/>
        <w:rPr>
          <w:rStyle w:val="size"/>
          <w:rFonts w:ascii="Calibri" w:hAnsi="Calibri" w:cs="Calibri"/>
          <w:sz w:val="22"/>
          <w:szCs w:val="22"/>
          <w:lang w:val="en-AU"/>
        </w:rPr>
      </w:pPr>
      <w:r w:rsidRPr="00C723E0">
        <w:rPr>
          <w:rStyle w:val="size"/>
          <w:rFonts w:ascii="Calibri" w:eastAsiaTheme="majorEastAsia" w:hAnsi="Calibri" w:cs="Calibri"/>
          <w:b/>
          <w:bCs/>
          <w:sz w:val="22"/>
          <w:szCs w:val="22"/>
          <w:lang w:val="en-AU"/>
        </w:rPr>
        <w:t xml:space="preserve">Political and Policy Stability </w:t>
      </w:r>
      <w:r w:rsidRPr="00C723E0">
        <w:rPr>
          <w:rStyle w:val="size"/>
          <w:rFonts w:ascii="Calibri" w:eastAsiaTheme="majorEastAsia" w:hAnsi="Calibri" w:cs="Calibri"/>
          <w:sz w:val="22"/>
          <w:szCs w:val="22"/>
          <w:lang w:val="en-AU"/>
        </w:rPr>
        <w:t>- Political stability and consistent policy support are vital for the long-term success of PPPs. Changes in government or shifts in policy priorities can impact the continuity of PPP projects and create uncertainty for investors. Maintaining stability in political and policy environments, along with bipartisan support for PPP initiatives, is crucial to attract private sector participation and ensure the sustainability of projects.</w:t>
      </w:r>
    </w:p>
    <w:p w14:paraId="1F2BA7DB" w14:textId="52185ABA" w:rsidR="000C4E5D" w:rsidRPr="00C723E0" w:rsidRDefault="000C4E5D" w:rsidP="00D77455">
      <w:pPr>
        <w:pStyle w:val="ListParagraph"/>
        <w:numPr>
          <w:ilvl w:val="0"/>
          <w:numId w:val="11"/>
        </w:numPr>
        <w:shd w:val="clear" w:color="auto" w:fill="FFFFFF"/>
        <w:spacing w:after="120"/>
        <w:jc w:val="both"/>
        <w:rPr>
          <w:rStyle w:val="size"/>
          <w:rFonts w:ascii="Calibri" w:hAnsi="Calibri" w:cs="Calibri"/>
          <w:sz w:val="22"/>
          <w:szCs w:val="22"/>
          <w:lang w:val="en-AU"/>
        </w:rPr>
      </w:pPr>
      <w:r w:rsidRPr="00C723E0">
        <w:rPr>
          <w:rFonts w:ascii="Calibri" w:hAnsi="Calibri" w:cs="Calibri"/>
          <w:b/>
          <w:bCs/>
          <w:sz w:val="22"/>
          <w:szCs w:val="22"/>
          <w:lang w:val="en-AU"/>
        </w:rPr>
        <w:t>Capacity and Expertise</w:t>
      </w:r>
      <w:r w:rsidRPr="00C723E0">
        <w:rPr>
          <w:rFonts w:ascii="Calibri" w:hAnsi="Calibri" w:cs="Calibri"/>
          <w:sz w:val="22"/>
          <w:szCs w:val="22"/>
          <w:lang w:val="en-AU"/>
        </w:rPr>
        <w:t xml:space="preserve"> - </w:t>
      </w:r>
      <w:r w:rsidRPr="00C723E0">
        <w:rPr>
          <w:rStyle w:val="size"/>
          <w:rFonts w:ascii="Calibri" w:eastAsiaTheme="majorEastAsia" w:hAnsi="Calibri" w:cs="Calibri"/>
          <w:sz w:val="22"/>
          <w:szCs w:val="22"/>
          <w:lang w:val="en-AU"/>
        </w:rPr>
        <w:t>Successful execution of PPP</w:t>
      </w:r>
      <w:r w:rsidR="001E1FE9" w:rsidRPr="00C723E0">
        <w:rPr>
          <w:rStyle w:val="size"/>
          <w:rFonts w:ascii="Calibri" w:eastAsiaTheme="majorEastAsia" w:hAnsi="Calibri" w:cs="Calibri"/>
          <w:sz w:val="22"/>
          <w:szCs w:val="22"/>
          <w:lang w:val="en-AU"/>
        </w:rPr>
        <w:t>s</w:t>
      </w:r>
      <w:r w:rsidRPr="00C723E0">
        <w:rPr>
          <w:rStyle w:val="size"/>
          <w:rFonts w:ascii="Calibri" w:eastAsiaTheme="majorEastAsia" w:hAnsi="Calibri" w:cs="Calibri"/>
          <w:sz w:val="22"/>
          <w:szCs w:val="22"/>
          <w:lang w:val="en-AU"/>
        </w:rPr>
        <w:t xml:space="preserve"> requires specialised skills in project structuring, contract negotiation, risk assessment, and financial </w:t>
      </w:r>
      <w:r w:rsidRPr="00A26E3C">
        <w:rPr>
          <w:rStyle w:val="size"/>
          <w:rFonts w:ascii="Calibri" w:eastAsiaTheme="majorEastAsia" w:hAnsi="Calibri" w:cs="Calibri"/>
          <w:sz w:val="22"/>
          <w:szCs w:val="22"/>
          <w:lang w:val="en-AU"/>
        </w:rPr>
        <w:t>model</w:t>
      </w:r>
      <w:r w:rsidR="00D643FF" w:rsidRPr="00A26E3C">
        <w:rPr>
          <w:rStyle w:val="size"/>
          <w:rFonts w:ascii="Calibri" w:eastAsiaTheme="majorEastAsia" w:hAnsi="Calibri" w:cs="Calibri"/>
          <w:sz w:val="22"/>
          <w:szCs w:val="22"/>
          <w:lang w:val="en-AU"/>
        </w:rPr>
        <w:t>l</w:t>
      </w:r>
      <w:r w:rsidRPr="00A26E3C">
        <w:rPr>
          <w:rStyle w:val="size"/>
          <w:rFonts w:ascii="Calibri" w:eastAsiaTheme="majorEastAsia" w:hAnsi="Calibri" w:cs="Calibri"/>
          <w:sz w:val="22"/>
          <w:szCs w:val="22"/>
          <w:lang w:val="en-AU"/>
        </w:rPr>
        <w:t>ing</w:t>
      </w:r>
      <w:r w:rsidRPr="00C723E0">
        <w:rPr>
          <w:rStyle w:val="size"/>
          <w:rFonts w:ascii="Calibri" w:eastAsiaTheme="majorEastAsia" w:hAnsi="Calibri" w:cs="Calibri"/>
          <w:sz w:val="22"/>
          <w:szCs w:val="22"/>
          <w:lang w:val="en-AU"/>
        </w:rPr>
        <w:t xml:space="preserve">. Building and retaining a skilled workforce within the government and relevant agencies can be </w:t>
      </w:r>
      <w:r w:rsidR="001C72B6" w:rsidRPr="00C723E0">
        <w:rPr>
          <w:rStyle w:val="size"/>
          <w:rFonts w:ascii="Calibri" w:eastAsiaTheme="majorEastAsia" w:hAnsi="Calibri" w:cs="Calibri"/>
          <w:sz w:val="22"/>
          <w:szCs w:val="22"/>
          <w:lang w:val="en-AU"/>
        </w:rPr>
        <w:t>challenging</w:t>
      </w:r>
      <w:r w:rsidRPr="00C723E0">
        <w:rPr>
          <w:rStyle w:val="size"/>
          <w:rFonts w:ascii="Calibri" w:eastAsiaTheme="majorEastAsia" w:hAnsi="Calibri" w:cs="Calibri"/>
          <w:sz w:val="22"/>
          <w:szCs w:val="22"/>
          <w:lang w:val="en-AU"/>
        </w:rPr>
        <w:t>, which may affect the quality and efficiency of PPP projects.</w:t>
      </w:r>
    </w:p>
    <w:p w14:paraId="00D6DD81" w14:textId="138D6463" w:rsidR="000C4E5D" w:rsidRPr="00A26E3C" w:rsidRDefault="000C4E5D" w:rsidP="00D77455">
      <w:pPr>
        <w:pStyle w:val="ListParagraph"/>
        <w:numPr>
          <w:ilvl w:val="0"/>
          <w:numId w:val="11"/>
        </w:numPr>
        <w:shd w:val="clear" w:color="auto" w:fill="FFFFFF"/>
        <w:spacing w:after="120"/>
        <w:jc w:val="both"/>
        <w:rPr>
          <w:rStyle w:val="size"/>
          <w:rFonts w:ascii="Calibri" w:hAnsi="Calibri" w:cs="Calibri"/>
          <w:sz w:val="22"/>
          <w:szCs w:val="22"/>
          <w:lang w:val="en-AU"/>
        </w:rPr>
      </w:pPr>
      <w:r w:rsidRPr="00C723E0">
        <w:rPr>
          <w:rFonts w:ascii="Calibri" w:hAnsi="Calibri" w:cs="Calibri"/>
          <w:b/>
          <w:bCs/>
          <w:sz w:val="22"/>
          <w:szCs w:val="22"/>
          <w:lang w:val="en-AU"/>
        </w:rPr>
        <w:t>Market Appetite</w:t>
      </w:r>
      <w:r w:rsidRPr="00C723E0">
        <w:rPr>
          <w:rFonts w:ascii="Calibri" w:hAnsi="Calibri" w:cs="Calibri"/>
          <w:sz w:val="22"/>
          <w:szCs w:val="22"/>
          <w:lang w:val="en-AU"/>
        </w:rPr>
        <w:t xml:space="preserve"> - A PPP </w:t>
      </w:r>
      <w:r w:rsidRPr="00C723E0">
        <w:rPr>
          <w:rStyle w:val="font"/>
          <w:rFonts w:ascii="Calibri" w:eastAsiaTheme="majorEastAsia" w:hAnsi="Calibri" w:cs="Calibri"/>
          <w:sz w:val="22"/>
          <w:szCs w:val="22"/>
          <w:lang w:val="en-AU"/>
        </w:rPr>
        <w:t xml:space="preserve">project must create a genuine business opportunity </w:t>
      </w:r>
      <w:r w:rsidR="001C72B6" w:rsidRPr="00C723E0">
        <w:rPr>
          <w:rStyle w:val="font"/>
          <w:rFonts w:ascii="Calibri" w:eastAsiaTheme="majorEastAsia" w:hAnsi="Calibri" w:cs="Calibri"/>
          <w:sz w:val="22"/>
          <w:szCs w:val="22"/>
          <w:lang w:val="en-AU"/>
        </w:rPr>
        <w:t>that</w:t>
      </w:r>
      <w:r w:rsidRPr="00C723E0">
        <w:rPr>
          <w:rStyle w:val="font"/>
          <w:rFonts w:ascii="Calibri" w:eastAsiaTheme="majorEastAsia" w:hAnsi="Calibri" w:cs="Calibri"/>
          <w:sz w:val="22"/>
          <w:szCs w:val="22"/>
          <w:lang w:val="en-AU"/>
        </w:rPr>
        <w:t xml:space="preserve"> </w:t>
      </w:r>
      <w:r w:rsidR="003221AD" w:rsidRPr="00C723E0">
        <w:rPr>
          <w:rStyle w:val="font"/>
          <w:rFonts w:ascii="Calibri" w:eastAsiaTheme="majorEastAsia" w:hAnsi="Calibri" w:cs="Calibri"/>
          <w:sz w:val="22"/>
          <w:szCs w:val="22"/>
          <w:lang w:val="en-AU"/>
        </w:rPr>
        <w:t>will likely</w:t>
      </w:r>
      <w:r w:rsidRPr="00C723E0">
        <w:rPr>
          <w:rStyle w:val="font"/>
          <w:rFonts w:ascii="Calibri" w:eastAsiaTheme="majorEastAsia" w:hAnsi="Calibri" w:cs="Calibri"/>
          <w:sz w:val="22"/>
          <w:szCs w:val="22"/>
          <w:lang w:val="en-AU"/>
        </w:rPr>
        <w:t> </w:t>
      </w:r>
      <w:r w:rsidRPr="00C723E0">
        <w:rPr>
          <w:rFonts w:ascii="Calibri" w:hAnsi="Calibri" w:cs="Calibri"/>
          <w:sz w:val="22"/>
          <w:szCs w:val="22"/>
          <w:lang w:val="en-AU"/>
        </w:rPr>
        <w:t>attract a sufficient number of private parties and create a</w:t>
      </w:r>
      <w:r w:rsidR="001C72B6" w:rsidRPr="00C723E0">
        <w:rPr>
          <w:rFonts w:ascii="Calibri" w:hAnsi="Calibri" w:cs="Calibri"/>
          <w:sz w:val="22"/>
          <w:szCs w:val="22"/>
          <w:lang w:val="en-AU"/>
        </w:rPr>
        <w:t xml:space="preserve"> compelling</w:t>
      </w:r>
      <w:r w:rsidRPr="00C723E0">
        <w:rPr>
          <w:rFonts w:ascii="Calibri" w:hAnsi="Calibri" w:cs="Calibri"/>
          <w:sz w:val="22"/>
          <w:szCs w:val="22"/>
          <w:lang w:val="en-AU"/>
        </w:rPr>
        <w:t xml:space="preserve"> and competitive </w:t>
      </w:r>
      <w:r w:rsidRPr="00C723E0">
        <w:rPr>
          <w:rFonts w:ascii="Calibri" w:hAnsi="Calibri" w:cs="Calibri"/>
          <w:sz w:val="22"/>
          <w:szCs w:val="22"/>
          <w:lang w:val="en-AU"/>
        </w:rPr>
        <w:lastRenderedPageBreak/>
        <w:t>bidding process. </w:t>
      </w:r>
      <w:r w:rsidRPr="00C723E0">
        <w:rPr>
          <w:rStyle w:val="size"/>
          <w:rFonts w:ascii="Calibri" w:eastAsiaTheme="majorEastAsia" w:hAnsi="Calibri" w:cs="Calibri"/>
          <w:sz w:val="22"/>
          <w:szCs w:val="22"/>
          <w:lang w:val="en-AU"/>
        </w:rPr>
        <w:t xml:space="preserve">PPP projects must be financially viable and attractive to private sector investors. Ensuring bankability requires careful project selection, rigorous feasibility studies, and realistic financial projections. Challenges can arise when projects have insufficient revenue potential, lack market demand, or face difficulties securing long-term funding. </w:t>
      </w:r>
      <w:r w:rsidR="001C72B6" w:rsidRPr="00C723E0">
        <w:rPr>
          <w:rStyle w:val="size"/>
          <w:rFonts w:ascii="Calibri" w:eastAsiaTheme="majorEastAsia" w:hAnsi="Calibri" w:cs="Calibri"/>
          <w:sz w:val="22"/>
          <w:szCs w:val="22"/>
          <w:lang w:val="en-AU"/>
        </w:rPr>
        <w:t>Conducting</w:t>
      </w:r>
      <w:r w:rsidRPr="00C723E0">
        <w:rPr>
          <w:rStyle w:val="size"/>
          <w:rFonts w:ascii="Calibri" w:eastAsiaTheme="majorEastAsia" w:hAnsi="Calibri" w:cs="Calibri"/>
          <w:sz w:val="22"/>
          <w:szCs w:val="22"/>
          <w:lang w:val="en-AU"/>
        </w:rPr>
        <w:t xml:space="preserve"> thorough due diligence and ensur</w:t>
      </w:r>
      <w:r w:rsidR="001C72B6" w:rsidRPr="00C723E0">
        <w:rPr>
          <w:rStyle w:val="size"/>
          <w:rFonts w:ascii="Calibri" w:eastAsiaTheme="majorEastAsia" w:hAnsi="Calibri" w:cs="Calibri"/>
          <w:sz w:val="22"/>
          <w:szCs w:val="22"/>
          <w:lang w:val="en-AU"/>
        </w:rPr>
        <w:t>ing</w:t>
      </w:r>
      <w:r w:rsidRPr="00C723E0">
        <w:rPr>
          <w:rStyle w:val="size"/>
          <w:rFonts w:ascii="Calibri" w:eastAsiaTheme="majorEastAsia" w:hAnsi="Calibri" w:cs="Calibri"/>
          <w:sz w:val="22"/>
          <w:szCs w:val="22"/>
          <w:lang w:val="en-AU"/>
        </w:rPr>
        <w:t xml:space="preserve"> that projects have a sound business case to attract private sector partners</w:t>
      </w:r>
      <w:r w:rsidR="001C72B6" w:rsidRPr="00C723E0">
        <w:rPr>
          <w:rStyle w:val="size"/>
          <w:rFonts w:ascii="Calibri" w:eastAsiaTheme="majorEastAsia" w:hAnsi="Calibri" w:cs="Calibri"/>
          <w:sz w:val="22"/>
          <w:szCs w:val="22"/>
          <w:lang w:val="en-AU"/>
        </w:rPr>
        <w:t xml:space="preserve"> is essential.</w:t>
      </w:r>
    </w:p>
    <w:p w14:paraId="46CCF0E2" w14:textId="7FA3D3E8" w:rsidR="0028084C" w:rsidRPr="000E47A9" w:rsidRDefault="0028084C" w:rsidP="00D77455">
      <w:pPr>
        <w:pStyle w:val="ListParagraph"/>
        <w:numPr>
          <w:ilvl w:val="0"/>
          <w:numId w:val="11"/>
        </w:numPr>
        <w:shd w:val="clear" w:color="auto" w:fill="FFFFFF"/>
        <w:spacing w:after="120"/>
        <w:jc w:val="both"/>
        <w:rPr>
          <w:rFonts w:ascii="Calibri" w:hAnsi="Calibri" w:cs="Calibri"/>
          <w:sz w:val="22"/>
          <w:szCs w:val="22"/>
          <w:lang w:val="en-AU"/>
        </w:rPr>
      </w:pPr>
      <w:r w:rsidRPr="000E47A9">
        <w:rPr>
          <w:rFonts w:ascii="Calibri" w:hAnsi="Calibri" w:cs="Calibri"/>
          <w:b/>
          <w:bCs/>
          <w:sz w:val="22"/>
          <w:szCs w:val="22"/>
          <w:lang w:val="en-AU"/>
        </w:rPr>
        <w:t>E&amp;S</w:t>
      </w:r>
      <w:r w:rsidRPr="00A26E3C">
        <w:rPr>
          <w:rFonts w:ascii="Calibri" w:hAnsi="Calibri" w:cs="Calibri"/>
          <w:b/>
          <w:bCs/>
          <w:sz w:val="22"/>
          <w:szCs w:val="22"/>
          <w:lang w:val="en-AU"/>
        </w:rPr>
        <w:t xml:space="preserve"> – </w:t>
      </w:r>
      <w:r w:rsidR="00CF0907" w:rsidRPr="00A26E3C">
        <w:rPr>
          <w:rFonts w:ascii="Calibri" w:hAnsi="Calibri" w:cs="Calibri"/>
          <w:sz w:val="22"/>
          <w:szCs w:val="22"/>
          <w:lang w:val="en-AU"/>
        </w:rPr>
        <w:t>A PPP must</w:t>
      </w:r>
      <w:r w:rsidR="000A3B8F" w:rsidRPr="00A26E3C">
        <w:rPr>
          <w:rFonts w:ascii="Calibri" w:hAnsi="Calibri" w:cs="Calibri"/>
          <w:sz w:val="22"/>
          <w:szCs w:val="22"/>
          <w:lang w:val="en-AU"/>
        </w:rPr>
        <w:t xml:space="preserve"> identify and be structured to mitigate environmental and social</w:t>
      </w:r>
      <w:r w:rsidR="00CF0907" w:rsidRPr="00A26E3C">
        <w:rPr>
          <w:rFonts w:ascii="Calibri" w:hAnsi="Calibri" w:cs="Calibri"/>
          <w:sz w:val="22"/>
          <w:szCs w:val="22"/>
          <w:lang w:val="en-AU"/>
        </w:rPr>
        <w:t xml:space="preserve"> </w:t>
      </w:r>
      <w:r w:rsidR="000A3B8F" w:rsidRPr="00A26E3C">
        <w:rPr>
          <w:rFonts w:ascii="Calibri" w:hAnsi="Calibri" w:cs="Calibri"/>
          <w:sz w:val="22"/>
          <w:szCs w:val="22"/>
          <w:lang w:val="en-AU"/>
        </w:rPr>
        <w:t>risks, as well as identify opportunities for implementing good international practices.</w:t>
      </w:r>
      <w:r w:rsidR="000A3B8F" w:rsidRPr="00A26E3C">
        <w:rPr>
          <w:rFonts w:ascii="Calibri" w:hAnsi="Calibri" w:cs="Calibri"/>
          <w:b/>
          <w:bCs/>
          <w:sz w:val="22"/>
          <w:szCs w:val="22"/>
          <w:lang w:val="en-AU"/>
        </w:rPr>
        <w:t xml:space="preserve"> </w:t>
      </w:r>
    </w:p>
    <w:p w14:paraId="4AB15D7C" w14:textId="3CE9DBC2" w:rsidR="000C4E5D" w:rsidRPr="00C723E0" w:rsidRDefault="000C4E5D" w:rsidP="009C67B6">
      <w:pPr>
        <w:shd w:val="clear" w:color="auto" w:fill="FFFFFF"/>
        <w:spacing w:after="120"/>
        <w:jc w:val="both"/>
        <w:rPr>
          <w:rFonts w:ascii="Calibri" w:hAnsi="Calibri" w:cs="Calibri"/>
          <w:sz w:val="22"/>
          <w:szCs w:val="22"/>
          <w:lang w:val="en-AU"/>
        </w:rPr>
      </w:pPr>
      <w:r w:rsidRPr="00C723E0">
        <w:rPr>
          <w:rFonts w:ascii="Calibri" w:hAnsi="Calibri" w:cs="Calibri"/>
          <w:sz w:val="22"/>
          <w:szCs w:val="22"/>
          <w:lang w:val="en-AU"/>
        </w:rPr>
        <w:t xml:space="preserve">For potential PPP projects must have (i) adequate scale; (ii) measurable service outputs, (iii) the ability to </w:t>
      </w:r>
      <w:r w:rsidR="001C72B6" w:rsidRPr="00C723E0">
        <w:rPr>
          <w:rFonts w:ascii="Calibri" w:hAnsi="Calibri" w:cs="Calibri"/>
          <w:sz w:val="22"/>
          <w:szCs w:val="22"/>
          <w:lang w:val="en-AU"/>
        </w:rPr>
        <w:t>transfer</w:t>
      </w:r>
      <w:r w:rsidRPr="00C723E0">
        <w:rPr>
          <w:rFonts w:ascii="Calibri" w:hAnsi="Calibri" w:cs="Calibri"/>
          <w:sz w:val="22"/>
          <w:szCs w:val="22"/>
          <w:lang w:val="en-AU"/>
        </w:rPr>
        <w:t xml:space="preserve"> risk (</w:t>
      </w:r>
      <w:r w:rsidRPr="00C723E0">
        <w:rPr>
          <w:rStyle w:val="font"/>
          <w:rFonts w:ascii="Calibri" w:eastAsiaTheme="majorEastAsia" w:hAnsi="Calibri" w:cs="Calibri"/>
          <w:sz w:val="22"/>
          <w:szCs w:val="22"/>
          <w:lang w:val="en-AU"/>
        </w:rPr>
        <w:t xml:space="preserve">if sufficient risk cannot be transferred to private parties, </w:t>
      </w:r>
      <w:r w:rsidR="001C72B6" w:rsidRPr="00C723E0">
        <w:rPr>
          <w:rStyle w:val="font"/>
          <w:rFonts w:ascii="Calibri" w:eastAsiaTheme="majorEastAsia" w:hAnsi="Calibri" w:cs="Calibri"/>
          <w:sz w:val="22"/>
          <w:szCs w:val="22"/>
          <w:lang w:val="en-AU"/>
        </w:rPr>
        <w:t>likely,</w:t>
      </w:r>
      <w:r w:rsidRPr="00C723E0">
        <w:rPr>
          <w:rStyle w:val="font"/>
          <w:rFonts w:ascii="Calibri" w:eastAsiaTheme="majorEastAsia" w:hAnsi="Calibri" w:cs="Calibri"/>
          <w:sz w:val="22"/>
          <w:szCs w:val="22"/>
          <w:lang w:val="en-AU"/>
        </w:rPr>
        <w:t xml:space="preserve"> a PPP</w:t>
      </w:r>
      <w:r w:rsidRPr="00C723E0">
        <w:rPr>
          <w:rStyle w:val="size"/>
          <w:rFonts w:ascii="Calibri" w:eastAsiaTheme="majorEastAsia" w:hAnsi="Calibri" w:cs="Calibri"/>
          <w:sz w:val="22"/>
          <w:szCs w:val="22"/>
          <w:lang w:val="en-AU"/>
        </w:rPr>
        <w:t> </w:t>
      </w:r>
      <w:r w:rsidRPr="00C723E0">
        <w:rPr>
          <w:rFonts w:ascii="Calibri" w:hAnsi="Calibri" w:cs="Calibri"/>
          <w:sz w:val="22"/>
          <w:szCs w:val="22"/>
          <w:lang w:val="en-AU"/>
        </w:rPr>
        <w:t xml:space="preserve">approach will not deliver value for money), (iv) a long-term time and financing horizon, (v) appropriate market appetite; and (vi) </w:t>
      </w:r>
      <w:r w:rsidR="001C72B6" w:rsidRPr="00C723E0">
        <w:rPr>
          <w:rFonts w:ascii="Calibri" w:hAnsi="Calibri" w:cs="Calibri"/>
          <w:sz w:val="22"/>
          <w:szCs w:val="22"/>
          <w:lang w:val="en-AU"/>
        </w:rPr>
        <w:t>innovations</w:t>
      </w:r>
      <w:r w:rsidRPr="00C723E0">
        <w:rPr>
          <w:rFonts w:ascii="Calibri" w:hAnsi="Calibri" w:cs="Calibri"/>
          <w:sz w:val="22"/>
          <w:szCs w:val="22"/>
          <w:lang w:val="en-AU"/>
        </w:rPr>
        <w:t xml:space="preserve"> to reflect demand and the market.</w:t>
      </w:r>
    </w:p>
    <w:p w14:paraId="3CF7C89A" w14:textId="49511523" w:rsidR="000C4E5D" w:rsidRPr="00C723E0" w:rsidRDefault="000C4E5D" w:rsidP="009C67B6">
      <w:pPr>
        <w:spacing w:after="120"/>
        <w:jc w:val="both"/>
        <w:rPr>
          <w:rFonts w:ascii="Calibri" w:hAnsi="Calibri" w:cs="Calibri"/>
          <w:sz w:val="22"/>
          <w:szCs w:val="22"/>
          <w:lang w:val="en-AU"/>
        </w:rPr>
      </w:pPr>
      <w:r w:rsidRPr="00577D45">
        <w:rPr>
          <w:rFonts w:ascii="Calibri" w:hAnsi="Calibri" w:cs="Calibri"/>
          <w:b/>
          <w:bCs/>
          <w:sz w:val="22"/>
          <w:szCs w:val="22"/>
          <w:lang w:val="en-AU"/>
        </w:rPr>
        <w:t>In assessing the performance of PPPs unde</w:t>
      </w:r>
      <w:r w:rsidR="001C72B6" w:rsidRPr="00577D45">
        <w:rPr>
          <w:rFonts w:ascii="Calibri" w:hAnsi="Calibri" w:cs="Calibri"/>
          <w:b/>
          <w:bCs/>
          <w:sz w:val="22"/>
          <w:szCs w:val="22"/>
          <w:lang w:val="en-AU"/>
        </w:rPr>
        <w:t>r the pro</w:t>
      </w:r>
      <w:r w:rsidRPr="00577D45">
        <w:rPr>
          <w:rFonts w:ascii="Calibri" w:hAnsi="Calibri" w:cs="Calibri"/>
          <w:b/>
          <w:bCs/>
          <w:sz w:val="22"/>
          <w:szCs w:val="22"/>
          <w:lang w:val="en-AU"/>
        </w:rPr>
        <w:t xml:space="preserve">gram, while the policy and regulatory framework is in </w:t>
      </w:r>
      <w:r w:rsidR="001C72B6" w:rsidRPr="00577D45">
        <w:rPr>
          <w:rFonts w:ascii="Calibri" w:hAnsi="Calibri" w:cs="Calibri"/>
          <w:b/>
          <w:bCs/>
          <w:sz w:val="22"/>
          <w:szCs w:val="22"/>
          <w:lang w:val="en-AU"/>
        </w:rPr>
        <w:t>place</w:t>
      </w:r>
      <w:r w:rsidRPr="00577D45">
        <w:rPr>
          <w:rFonts w:ascii="Calibri" w:hAnsi="Calibri" w:cs="Calibri"/>
          <w:b/>
          <w:bCs/>
          <w:sz w:val="22"/>
          <w:szCs w:val="22"/>
          <w:lang w:val="en-AU"/>
        </w:rPr>
        <w:t>, the</w:t>
      </w:r>
      <w:r w:rsidRPr="003941B4">
        <w:rPr>
          <w:rFonts w:ascii="Calibri" w:hAnsi="Calibri" w:cs="Calibri"/>
          <w:b/>
          <w:bCs/>
          <w:sz w:val="22"/>
          <w:szCs w:val="22"/>
          <w:lang w:val="en-AU"/>
        </w:rPr>
        <w:t xml:space="preserve"> ability to advise and generate </w:t>
      </w:r>
      <w:r w:rsidR="001C72B6" w:rsidRPr="003941B4">
        <w:rPr>
          <w:rFonts w:ascii="Calibri" w:hAnsi="Calibri" w:cs="Calibri"/>
          <w:b/>
          <w:bCs/>
          <w:sz w:val="22"/>
          <w:szCs w:val="22"/>
          <w:lang w:val="en-AU"/>
        </w:rPr>
        <w:t>adequate</w:t>
      </w:r>
      <w:r w:rsidRPr="003941B4">
        <w:rPr>
          <w:rFonts w:ascii="Calibri" w:hAnsi="Calibri" w:cs="Calibri"/>
          <w:b/>
          <w:bCs/>
          <w:sz w:val="22"/>
          <w:szCs w:val="22"/>
          <w:lang w:val="en-AU"/>
        </w:rPr>
        <w:t xml:space="preserve"> market interest and appetite meant that inv</w:t>
      </w:r>
      <w:r w:rsidR="00F82C22" w:rsidRPr="003941B4">
        <w:rPr>
          <w:rFonts w:ascii="Calibri" w:hAnsi="Calibri" w:cs="Calibri"/>
          <w:b/>
          <w:bCs/>
          <w:sz w:val="22"/>
          <w:szCs w:val="22"/>
          <w:lang w:val="en-AU"/>
        </w:rPr>
        <w:t>est</w:t>
      </w:r>
      <w:r w:rsidRPr="003941B4">
        <w:rPr>
          <w:rFonts w:ascii="Calibri" w:hAnsi="Calibri" w:cs="Calibri"/>
          <w:b/>
          <w:bCs/>
          <w:sz w:val="22"/>
          <w:szCs w:val="22"/>
          <w:lang w:val="en-AU"/>
        </w:rPr>
        <w:t xml:space="preserve">ments </w:t>
      </w:r>
      <w:r w:rsidR="006E0C5B" w:rsidRPr="003941B4">
        <w:rPr>
          <w:rFonts w:ascii="Calibri" w:hAnsi="Calibri" w:cs="Calibri"/>
          <w:b/>
          <w:bCs/>
          <w:sz w:val="22"/>
          <w:szCs w:val="22"/>
          <w:lang w:val="en-AU"/>
        </w:rPr>
        <w:t>may potentially have been</w:t>
      </w:r>
      <w:r w:rsidRPr="003941B4">
        <w:rPr>
          <w:rFonts w:ascii="Calibri" w:hAnsi="Calibri" w:cs="Calibri"/>
          <w:b/>
          <w:bCs/>
          <w:sz w:val="22"/>
          <w:szCs w:val="22"/>
          <w:lang w:val="en-AU"/>
        </w:rPr>
        <w:t xml:space="preserve"> designed in </w:t>
      </w:r>
      <w:r w:rsidR="00572F6A" w:rsidRPr="003941B4">
        <w:rPr>
          <w:rFonts w:ascii="Calibri" w:hAnsi="Calibri" w:cs="Calibri"/>
          <w:b/>
          <w:bCs/>
          <w:sz w:val="22"/>
          <w:szCs w:val="22"/>
          <w:lang w:val="en-AU"/>
        </w:rPr>
        <w:t>a manner that was</w:t>
      </w:r>
      <w:r w:rsidRPr="003941B4">
        <w:rPr>
          <w:rFonts w:ascii="Calibri" w:hAnsi="Calibri" w:cs="Calibri"/>
          <w:b/>
          <w:bCs/>
          <w:sz w:val="22"/>
          <w:szCs w:val="22"/>
          <w:lang w:val="en-AU"/>
        </w:rPr>
        <w:t xml:space="preserve"> not appealing to the </w:t>
      </w:r>
      <w:r w:rsidR="0033437A" w:rsidRPr="003941B4">
        <w:rPr>
          <w:rFonts w:ascii="Calibri" w:hAnsi="Calibri" w:cs="Calibri"/>
          <w:b/>
          <w:bCs/>
          <w:sz w:val="22"/>
          <w:szCs w:val="22"/>
          <w:lang w:val="en-AU"/>
        </w:rPr>
        <w:t>market.</w:t>
      </w:r>
      <w:r w:rsidR="0028084C" w:rsidRPr="00A26E3C">
        <w:rPr>
          <w:rFonts w:ascii="Calibri" w:hAnsi="Calibri" w:cs="Calibri"/>
          <w:color w:val="000000" w:themeColor="text1"/>
          <w:sz w:val="22"/>
          <w:szCs w:val="22"/>
          <w:lang w:val="en-AU"/>
        </w:rPr>
        <w:t xml:space="preserve"> </w:t>
      </w:r>
      <w:r w:rsidR="00C723E0" w:rsidRPr="00A26E3C">
        <w:rPr>
          <w:rFonts w:ascii="Calibri" w:hAnsi="Calibri" w:cs="Calibri"/>
          <w:color w:val="000000" w:themeColor="text1"/>
          <w:sz w:val="22"/>
          <w:szCs w:val="22"/>
          <w:lang w:val="en-AU"/>
        </w:rPr>
        <w:t>However</w:t>
      </w:r>
      <w:r w:rsidR="0028084C" w:rsidRPr="00A26E3C">
        <w:rPr>
          <w:rFonts w:ascii="Calibri" w:hAnsi="Calibri" w:cs="Calibri"/>
          <w:color w:val="000000" w:themeColor="text1"/>
          <w:sz w:val="22"/>
          <w:szCs w:val="22"/>
          <w:lang w:val="en-AU"/>
        </w:rPr>
        <w:t xml:space="preserve">, it is important to clearly state that </w:t>
      </w:r>
      <w:r w:rsidR="0028084C" w:rsidRPr="00A26E3C">
        <w:rPr>
          <w:rFonts w:ascii="Calibri" w:eastAsiaTheme="minorHAnsi" w:hAnsi="Calibri" w:cs="Calibri"/>
          <w:color w:val="000000" w:themeColor="text1"/>
          <w:sz w:val="22"/>
          <w:szCs w:val="22"/>
          <w:lang w:val="en-AU"/>
          <w14:ligatures w14:val="standardContextual"/>
        </w:rPr>
        <w:t>PPPs are high</w:t>
      </w:r>
      <w:r w:rsidR="000E47A9">
        <w:rPr>
          <w:rFonts w:ascii="Calibri" w:eastAsiaTheme="minorHAnsi" w:hAnsi="Calibri" w:cs="Calibri"/>
          <w:color w:val="000000" w:themeColor="text1"/>
          <w:sz w:val="22"/>
          <w:szCs w:val="22"/>
          <w:lang w:val="en-AU"/>
          <w14:ligatures w14:val="standardContextual"/>
        </w:rPr>
        <w:t>-</w:t>
      </w:r>
      <w:r w:rsidR="0028084C" w:rsidRPr="00A26E3C">
        <w:rPr>
          <w:rFonts w:ascii="Calibri" w:eastAsiaTheme="minorHAnsi" w:hAnsi="Calibri" w:cs="Calibri"/>
          <w:color w:val="000000" w:themeColor="text1"/>
          <w:sz w:val="22"/>
          <w:szCs w:val="22"/>
          <w:lang w:val="en-AU"/>
          <w14:ligatures w14:val="standardContextual"/>
        </w:rPr>
        <w:t>risk, high</w:t>
      </w:r>
      <w:r w:rsidR="000E47A9">
        <w:rPr>
          <w:rFonts w:ascii="Calibri" w:eastAsiaTheme="minorHAnsi" w:hAnsi="Calibri" w:cs="Calibri"/>
          <w:color w:val="000000" w:themeColor="text1"/>
          <w:sz w:val="22"/>
          <w:szCs w:val="22"/>
          <w:lang w:val="en-AU"/>
          <w14:ligatures w14:val="standardContextual"/>
        </w:rPr>
        <w:t>-</w:t>
      </w:r>
      <w:r w:rsidR="0028084C" w:rsidRPr="00A26E3C">
        <w:rPr>
          <w:rFonts w:ascii="Calibri" w:eastAsiaTheme="minorHAnsi" w:hAnsi="Calibri" w:cs="Calibri"/>
          <w:color w:val="000000" w:themeColor="text1"/>
          <w:sz w:val="22"/>
          <w:szCs w:val="22"/>
          <w:lang w:val="en-AU"/>
          <w14:ligatures w14:val="standardContextual"/>
        </w:rPr>
        <w:t xml:space="preserve">return endeavours. Attracting private sector investment for PPPs in smaller markets is a challenge, which IFC is addressing through structured and patient support. Whilst all three PPP projects supported by DFAT have attracted multiple bidders, one (Fiji Affordable Housing PPP) did not generate an acceptable outcome for GoF, whilst the two others (Fiji Health and Fiji Solar PPPs) are ongoing. Whilst the payoffs are substantial, the timelines in each case have been lengthy (4-7 years), and the processes not straightforward. </w:t>
      </w:r>
      <w:r w:rsidR="000E47A9" w:rsidRPr="002C2EE4">
        <w:rPr>
          <w:rFonts w:ascii="Calibri" w:hAnsi="Calibri" w:cs="Calibri"/>
          <w:sz w:val="22"/>
          <w:szCs w:val="22"/>
          <w:lang w:val="en-AU"/>
        </w:rPr>
        <w:t xml:space="preserve">It is also important to </w:t>
      </w:r>
      <w:r w:rsidR="000E47A9" w:rsidRPr="00636576">
        <w:rPr>
          <w:rFonts w:ascii="Calibri" w:hAnsi="Calibri" w:cs="Calibri"/>
          <w:color w:val="000000" w:themeColor="text1"/>
          <w:sz w:val="22"/>
          <w:szCs w:val="22"/>
          <w:lang w:val="en-AU"/>
        </w:rPr>
        <w:t>acknowledge that DFAT does not always possess all the necessary experience to manage and oversee PPP interventions and investments</w:t>
      </w:r>
      <w:r w:rsidR="00DC6B53">
        <w:rPr>
          <w:rFonts w:ascii="Calibri" w:hAnsi="Calibri" w:cs="Calibri"/>
          <w:color w:val="000000" w:themeColor="text1"/>
          <w:sz w:val="22"/>
          <w:szCs w:val="22"/>
          <w:lang w:val="en-AU"/>
        </w:rPr>
        <w:t>.</w:t>
      </w:r>
    </w:p>
    <w:p w14:paraId="515AD489" w14:textId="771D9FD0" w:rsidR="000C4E5D" w:rsidRPr="00C723E0" w:rsidRDefault="000C4E5D" w:rsidP="009C67B6">
      <w:pPr>
        <w:spacing w:after="120"/>
        <w:jc w:val="both"/>
        <w:rPr>
          <w:rFonts w:ascii="Calibri" w:hAnsi="Calibri" w:cs="Calibri"/>
          <w:sz w:val="22"/>
          <w:szCs w:val="22"/>
          <w:lang w:val="en-AU"/>
        </w:rPr>
      </w:pPr>
      <w:r w:rsidRPr="000E47A9">
        <w:rPr>
          <w:rFonts w:ascii="Calibri" w:hAnsi="Calibri" w:cs="Calibri"/>
          <w:b/>
          <w:bCs/>
          <w:sz w:val="22"/>
          <w:szCs w:val="22"/>
          <w:lang w:val="en-AU"/>
        </w:rPr>
        <w:t xml:space="preserve">The key result is that valuable </w:t>
      </w:r>
      <w:r w:rsidR="009C67B6" w:rsidRPr="000E47A9">
        <w:rPr>
          <w:rFonts w:ascii="Calibri" w:hAnsi="Calibri" w:cs="Calibri"/>
          <w:b/>
          <w:bCs/>
          <w:sz w:val="22"/>
          <w:szCs w:val="22"/>
          <w:lang w:val="en-AU"/>
        </w:rPr>
        <w:t>lessons have been le</w:t>
      </w:r>
      <w:r w:rsidRPr="000E47A9">
        <w:rPr>
          <w:rFonts w:ascii="Calibri" w:hAnsi="Calibri" w:cs="Calibri"/>
          <w:b/>
          <w:bCs/>
          <w:sz w:val="22"/>
          <w:szCs w:val="22"/>
          <w:lang w:val="en-AU"/>
        </w:rPr>
        <w:t xml:space="preserve">arned, </w:t>
      </w:r>
      <w:r w:rsidR="000E47A9" w:rsidRPr="00A26E3C">
        <w:rPr>
          <w:rFonts w:ascii="Calibri" w:hAnsi="Calibri" w:cs="Calibri"/>
          <w:sz w:val="22"/>
          <w:szCs w:val="22"/>
          <w:lang w:val="en-AU"/>
        </w:rPr>
        <w:t>and</w:t>
      </w:r>
      <w:r w:rsidRPr="000E47A9">
        <w:rPr>
          <w:rFonts w:ascii="Calibri" w:hAnsi="Calibri" w:cs="Calibri"/>
          <w:sz w:val="22"/>
          <w:szCs w:val="22"/>
          <w:lang w:val="en-AU"/>
        </w:rPr>
        <w:t xml:space="preserve"> that </w:t>
      </w:r>
      <w:r w:rsidR="001C72B6" w:rsidRPr="000E47A9">
        <w:rPr>
          <w:rFonts w:ascii="Calibri" w:hAnsi="Calibri" w:cs="Calibri"/>
          <w:sz w:val="22"/>
          <w:szCs w:val="22"/>
          <w:lang w:val="en-AU"/>
        </w:rPr>
        <w:t>DFAT</w:t>
      </w:r>
      <w:r w:rsidRPr="000E47A9">
        <w:rPr>
          <w:rFonts w:ascii="Calibri" w:hAnsi="Calibri" w:cs="Calibri"/>
          <w:sz w:val="22"/>
          <w:szCs w:val="22"/>
          <w:lang w:val="en-AU"/>
        </w:rPr>
        <w:t xml:space="preserve"> consider alternative options for future funding and support</w:t>
      </w:r>
      <w:r w:rsidR="006E0C5B" w:rsidRPr="000E47A9">
        <w:rPr>
          <w:rFonts w:ascii="Calibri" w:hAnsi="Calibri" w:cs="Calibri"/>
          <w:sz w:val="22"/>
          <w:szCs w:val="22"/>
          <w:lang w:val="en-AU"/>
        </w:rPr>
        <w:t xml:space="preserve"> and carefully consider the conditions under which they would support additional PPP investments</w:t>
      </w:r>
      <w:r w:rsidRPr="000E47A9">
        <w:rPr>
          <w:rFonts w:ascii="Calibri" w:hAnsi="Calibri" w:cs="Calibri"/>
          <w:sz w:val="22"/>
          <w:szCs w:val="22"/>
          <w:lang w:val="en-AU"/>
        </w:rPr>
        <w:t xml:space="preserve">. </w:t>
      </w:r>
      <w:r w:rsidR="006E0C5B" w:rsidRPr="000E47A9">
        <w:rPr>
          <w:rFonts w:ascii="Calibri" w:hAnsi="Calibri" w:cs="Calibri"/>
          <w:sz w:val="22"/>
          <w:szCs w:val="22"/>
          <w:lang w:val="en-AU"/>
        </w:rPr>
        <w:t>Consultations</w:t>
      </w:r>
      <w:r w:rsidR="006E0C5B" w:rsidRPr="00C723E0">
        <w:rPr>
          <w:rFonts w:ascii="Calibri" w:hAnsi="Calibri" w:cs="Calibri"/>
          <w:sz w:val="22"/>
          <w:szCs w:val="22"/>
          <w:lang w:val="en-AU"/>
        </w:rPr>
        <w:t xml:space="preserve"> with the IFC, WBG and Go</w:t>
      </w:r>
      <w:r w:rsidR="002348E5" w:rsidRPr="00C723E0">
        <w:rPr>
          <w:rFonts w:ascii="Calibri" w:hAnsi="Calibri" w:cs="Calibri"/>
          <w:sz w:val="22"/>
          <w:szCs w:val="22"/>
          <w:lang w:val="en-AU"/>
        </w:rPr>
        <w:t>F</w:t>
      </w:r>
      <w:r w:rsidR="006E0C5B" w:rsidRPr="00C723E0">
        <w:rPr>
          <w:rFonts w:ascii="Calibri" w:hAnsi="Calibri" w:cs="Calibri"/>
          <w:sz w:val="22"/>
          <w:szCs w:val="22"/>
          <w:lang w:val="en-AU"/>
        </w:rPr>
        <w:t xml:space="preserve"> indicate a strong desire to continue searching for potential </w:t>
      </w:r>
      <w:r w:rsidR="006E0C5B" w:rsidRPr="00577D45">
        <w:rPr>
          <w:rFonts w:ascii="Calibri" w:hAnsi="Calibri" w:cs="Calibri"/>
          <w:sz w:val="22"/>
          <w:szCs w:val="22"/>
          <w:lang w:val="en-AU"/>
        </w:rPr>
        <w:t>fina</w:t>
      </w:r>
      <w:r w:rsidR="002348E5" w:rsidRPr="00577D45">
        <w:rPr>
          <w:rFonts w:ascii="Calibri" w:hAnsi="Calibri" w:cs="Calibri"/>
          <w:sz w:val="22"/>
          <w:szCs w:val="22"/>
          <w:lang w:val="en-AU"/>
        </w:rPr>
        <w:t>n</w:t>
      </w:r>
      <w:r w:rsidR="006E0C5B" w:rsidRPr="00577D45">
        <w:rPr>
          <w:rFonts w:ascii="Calibri" w:hAnsi="Calibri" w:cs="Calibri"/>
          <w:sz w:val="22"/>
          <w:szCs w:val="22"/>
          <w:lang w:val="en-AU"/>
        </w:rPr>
        <w:t>cing and investment opportun</w:t>
      </w:r>
      <w:r w:rsidR="002348E5" w:rsidRPr="00577D45">
        <w:rPr>
          <w:rFonts w:ascii="Calibri" w:hAnsi="Calibri" w:cs="Calibri"/>
          <w:sz w:val="22"/>
          <w:szCs w:val="22"/>
          <w:lang w:val="en-AU"/>
        </w:rPr>
        <w:t>it</w:t>
      </w:r>
      <w:r w:rsidR="006E0C5B" w:rsidRPr="00577D45">
        <w:rPr>
          <w:rFonts w:ascii="Calibri" w:hAnsi="Calibri" w:cs="Calibri"/>
          <w:sz w:val="22"/>
          <w:szCs w:val="22"/>
          <w:lang w:val="en-AU"/>
        </w:rPr>
        <w:t>ies. The GoF indicat</w:t>
      </w:r>
      <w:r w:rsidR="00424295" w:rsidRPr="00577D45">
        <w:rPr>
          <w:rFonts w:ascii="Calibri" w:hAnsi="Calibri" w:cs="Calibri"/>
          <w:sz w:val="22"/>
          <w:szCs w:val="22"/>
          <w:lang w:val="en-AU"/>
        </w:rPr>
        <w:t>ed</w:t>
      </w:r>
      <w:r w:rsidR="006E0C5B" w:rsidRPr="00577D45">
        <w:rPr>
          <w:rFonts w:ascii="Calibri" w:hAnsi="Calibri" w:cs="Calibri"/>
          <w:sz w:val="22"/>
          <w:szCs w:val="22"/>
          <w:lang w:val="en-AU"/>
        </w:rPr>
        <w:t xml:space="preserve"> that </w:t>
      </w:r>
      <w:r w:rsidR="006E0C5B" w:rsidRPr="00A26E3C">
        <w:rPr>
          <w:rFonts w:ascii="Calibri" w:eastAsiaTheme="minorHAnsi" w:hAnsi="Calibri" w:cs="Calibri"/>
          <w:color w:val="000000"/>
          <w:sz w:val="22"/>
          <w:szCs w:val="22"/>
          <w:lang w:val="en-AU"/>
          <w14:ligatures w14:val="standardContextual"/>
        </w:rPr>
        <w:t>public infrastructure is a critical bottleneck to private sector growth (waste, water, roads, ports). The issue will continue to be raised, therefor</w:t>
      </w:r>
      <w:r w:rsidR="002348E5" w:rsidRPr="00A26E3C">
        <w:rPr>
          <w:rFonts w:ascii="Calibri" w:eastAsiaTheme="minorHAnsi" w:hAnsi="Calibri" w:cs="Calibri"/>
          <w:color w:val="000000"/>
          <w:sz w:val="22"/>
          <w:szCs w:val="22"/>
          <w:lang w:val="en-AU"/>
          <w14:ligatures w14:val="standardContextual"/>
        </w:rPr>
        <w:t>e</w:t>
      </w:r>
      <w:r w:rsidR="006E0C5B" w:rsidRPr="00A26E3C">
        <w:rPr>
          <w:rFonts w:ascii="Calibri" w:eastAsiaTheme="minorHAnsi" w:hAnsi="Calibri" w:cs="Calibri"/>
          <w:color w:val="000000"/>
          <w:sz w:val="22"/>
          <w:szCs w:val="22"/>
          <w:lang w:val="en-AU"/>
          <w14:ligatures w14:val="standardContextual"/>
        </w:rPr>
        <w:t xml:space="preserve"> it is important for DFA</w:t>
      </w:r>
      <w:r w:rsidR="002348E5" w:rsidRPr="00A26E3C">
        <w:rPr>
          <w:rFonts w:ascii="Calibri" w:eastAsiaTheme="minorHAnsi" w:hAnsi="Calibri" w:cs="Calibri"/>
          <w:color w:val="000000"/>
          <w:sz w:val="22"/>
          <w:szCs w:val="22"/>
          <w:lang w:val="en-AU"/>
          <w14:ligatures w14:val="standardContextual"/>
        </w:rPr>
        <w:t>T</w:t>
      </w:r>
      <w:r w:rsidR="006E0C5B" w:rsidRPr="00A26E3C">
        <w:rPr>
          <w:rFonts w:ascii="Calibri" w:eastAsiaTheme="minorHAnsi" w:hAnsi="Calibri" w:cs="Calibri"/>
          <w:color w:val="000000"/>
          <w:sz w:val="22"/>
          <w:szCs w:val="22"/>
          <w:lang w:val="en-AU"/>
          <w14:ligatures w14:val="standardContextual"/>
        </w:rPr>
        <w:t xml:space="preserve"> to decide how best to engage</w:t>
      </w:r>
      <w:r w:rsidR="0028084C" w:rsidRPr="00A26E3C">
        <w:rPr>
          <w:rFonts w:ascii="Calibri" w:eastAsiaTheme="minorHAnsi" w:hAnsi="Calibri" w:cs="Calibri"/>
          <w:color w:val="000000"/>
          <w:sz w:val="22"/>
          <w:szCs w:val="22"/>
          <w:lang w:val="en-AU"/>
          <w14:ligatures w14:val="standardContextual"/>
        </w:rPr>
        <w:t xml:space="preserve"> and </w:t>
      </w:r>
      <w:r w:rsidR="006E0C5B" w:rsidRPr="00A26E3C">
        <w:rPr>
          <w:rFonts w:ascii="Calibri" w:eastAsiaTheme="minorHAnsi" w:hAnsi="Calibri" w:cs="Calibri"/>
          <w:color w:val="000000"/>
          <w:sz w:val="22"/>
          <w:szCs w:val="22"/>
          <w:lang w:val="en-AU"/>
          <w14:ligatures w14:val="standardContextual"/>
        </w:rPr>
        <w:t>support</w:t>
      </w:r>
      <w:r w:rsidR="0028084C" w:rsidRPr="00A26E3C">
        <w:rPr>
          <w:rFonts w:ascii="Calibri" w:eastAsiaTheme="minorHAnsi" w:hAnsi="Calibri" w:cs="Calibri"/>
          <w:color w:val="000000"/>
          <w:sz w:val="22"/>
          <w:szCs w:val="22"/>
          <w:lang w:val="en-AU"/>
          <w14:ligatures w14:val="standardContextual"/>
        </w:rPr>
        <w:t xml:space="preserve"> PPP investments and work</w:t>
      </w:r>
      <w:r w:rsidR="006E0C5B" w:rsidRPr="00A26E3C">
        <w:rPr>
          <w:rFonts w:ascii="Calibri" w:eastAsiaTheme="minorHAnsi" w:hAnsi="Calibri" w:cs="Calibri"/>
          <w:color w:val="000000"/>
          <w:sz w:val="22"/>
          <w:szCs w:val="22"/>
          <w:lang w:val="en-AU"/>
          <w14:ligatures w14:val="standardContextual"/>
        </w:rPr>
        <w:t xml:space="preserve"> to meet these future demand</w:t>
      </w:r>
      <w:r w:rsidR="002348E5" w:rsidRPr="00A26E3C">
        <w:rPr>
          <w:rFonts w:ascii="Calibri" w:eastAsiaTheme="minorHAnsi" w:hAnsi="Calibri" w:cs="Calibri"/>
          <w:color w:val="000000"/>
          <w:sz w:val="22"/>
          <w:szCs w:val="22"/>
          <w:lang w:val="en-AU"/>
          <w14:ligatures w14:val="standardContextual"/>
        </w:rPr>
        <w:t>s</w:t>
      </w:r>
      <w:r w:rsidR="006E0C5B" w:rsidRPr="00A26E3C">
        <w:rPr>
          <w:rFonts w:ascii="Calibri" w:eastAsiaTheme="minorHAnsi" w:hAnsi="Calibri" w:cs="Calibri"/>
          <w:color w:val="000000"/>
          <w:sz w:val="22"/>
          <w:szCs w:val="22"/>
          <w:lang w:val="en-AU"/>
          <w14:ligatures w14:val="standardContextual"/>
        </w:rPr>
        <w:t xml:space="preserve"> </w:t>
      </w:r>
      <w:r w:rsidR="002348E5" w:rsidRPr="00A26E3C">
        <w:rPr>
          <w:rFonts w:ascii="Calibri" w:eastAsiaTheme="minorHAnsi" w:hAnsi="Calibri" w:cs="Calibri"/>
          <w:color w:val="000000"/>
          <w:sz w:val="22"/>
          <w:szCs w:val="22"/>
          <w:lang w:val="en-AU"/>
          <w14:ligatures w14:val="standardContextual"/>
        </w:rPr>
        <w:t xml:space="preserve">and </w:t>
      </w:r>
      <w:r w:rsidR="006E0C5B" w:rsidRPr="00A26E3C">
        <w:rPr>
          <w:rFonts w:ascii="Calibri" w:eastAsiaTheme="minorHAnsi" w:hAnsi="Calibri" w:cs="Calibri"/>
          <w:color w:val="000000"/>
          <w:sz w:val="22"/>
          <w:szCs w:val="22"/>
          <w:lang w:val="en-AU"/>
          <w14:ligatures w14:val="standardContextual"/>
        </w:rPr>
        <w:t>priorities.</w:t>
      </w:r>
    </w:p>
    <w:p w14:paraId="053330C8" w14:textId="0D599118" w:rsidR="00620356" w:rsidRPr="00C723E0" w:rsidRDefault="009C67B6" w:rsidP="009C67B6">
      <w:pPr>
        <w:autoSpaceDE w:val="0"/>
        <w:autoSpaceDN w:val="0"/>
        <w:adjustRightInd w:val="0"/>
        <w:spacing w:after="120"/>
        <w:jc w:val="both"/>
        <w:rPr>
          <w:rFonts w:ascii="Calibri" w:eastAsiaTheme="minorHAnsi" w:hAnsi="Calibri" w:cs="Calibri"/>
          <w:color w:val="000000"/>
          <w:sz w:val="22"/>
          <w:szCs w:val="22"/>
          <w:lang w:val="en-AU"/>
        </w:rPr>
      </w:pPr>
      <w:r w:rsidRPr="00C723E0">
        <w:rPr>
          <w:rFonts w:ascii="Calibri" w:eastAsiaTheme="minorHAnsi" w:hAnsi="Calibri" w:cs="Calibri"/>
          <w:b/>
          <w:bCs/>
          <w:sz w:val="22"/>
          <w:szCs w:val="22"/>
          <w:lang w:val="en-AU"/>
        </w:rPr>
        <w:t>One area where the Program has made significant progress</w:t>
      </w:r>
      <w:r w:rsidR="00863FFD" w:rsidRPr="00C723E0">
        <w:rPr>
          <w:rFonts w:ascii="Calibri" w:eastAsiaTheme="minorHAnsi" w:hAnsi="Calibri" w:cs="Calibri"/>
          <w:b/>
          <w:bCs/>
          <w:sz w:val="22"/>
          <w:szCs w:val="22"/>
          <w:lang w:val="en-AU"/>
        </w:rPr>
        <w:t xml:space="preserve"> under this Pillar</w:t>
      </w:r>
      <w:r w:rsidRPr="00C723E0">
        <w:rPr>
          <w:rFonts w:ascii="Calibri" w:eastAsiaTheme="minorHAnsi" w:hAnsi="Calibri" w:cs="Calibri"/>
          <w:b/>
          <w:bCs/>
          <w:sz w:val="22"/>
          <w:szCs w:val="22"/>
          <w:lang w:val="en-AU"/>
        </w:rPr>
        <w:t xml:space="preserve"> is through the work on Fiji Green Finance.</w:t>
      </w:r>
      <w:r w:rsidRPr="00C723E0">
        <w:rPr>
          <w:rFonts w:ascii="Calibri" w:eastAsiaTheme="minorHAnsi" w:hAnsi="Calibri" w:cs="Calibri"/>
          <w:sz w:val="22"/>
          <w:szCs w:val="22"/>
          <w:lang w:val="en-AU"/>
        </w:rPr>
        <w:t xml:space="preserve"> The development of the green finance taxonomy is an important foundational step to support </w:t>
      </w:r>
      <w:r w:rsidR="00572F6A" w:rsidRPr="00C723E0">
        <w:rPr>
          <w:rFonts w:ascii="Calibri" w:eastAsiaTheme="minorHAnsi" w:hAnsi="Calibri" w:cs="Calibri"/>
          <w:sz w:val="22"/>
          <w:szCs w:val="22"/>
          <w:lang w:val="en-AU"/>
        </w:rPr>
        <w:t xml:space="preserve">the </w:t>
      </w:r>
      <w:r w:rsidRPr="00C723E0">
        <w:rPr>
          <w:rFonts w:ascii="Calibri" w:eastAsiaTheme="minorHAnsi" w:hAnsi="Calibri" w:cs="Calibri"/>
          <w:sz w:val="22"/>
          <w:szCs w:val="22"/>
          <w:lang w:val="en-AU"/>
        </w:rPr>
        <w:t>Go</w:t>
      </w:r>
      <w:r w:rsidR="001C72B6" w:rsidRPr="00C723E0">
        <w:rPr>
          <w:rFonts w:ascii="Calibri" w:eastAsiaTheme="minorHAnsi" w:hAnsi="Calibri" w:cs="Calibri"/>
          <w:sz w:val="22"/>
          <w:szCs w:val="22"/>
          <w:lang w:val="en-AU"/>
        </w:rPr>
        <w:t>F</w:t>
      </w:r>
      <w:r w:rsidRPr="00C723E0">
        <w:rPr>
          <w:rFonts w:ascii="Calibri" w:eastAsiaTheme="minorHAnsi" w:hAnsi="Calibri" w:cs="Calibri"/>
          <w:sz w:val="22"/>
          <w:szCs w:val="22"/>
          <w:lang w:val="en-AU"/>
        </w:rPr>
        <w:t xml:space="preserve">’s interest in attracting </w:t>
      </w:r>
      <w:r w:rsidR="00350C5F" w:rsidRPr="00C723E0">
        <w:rPr>
          <w:rFonts w:ascii="Calibri" w:eastAsiaTheme="minorHAnsi" w:hAnsi="Calibri" w:cs="Calibri"/>
          <w:sz w:val="22"/>
          <w:szCs w:val="22"/>
          <w:lang w:val="en-AU"/>
        </w:rPr>
        <w:t>sustainable</w:t>
      </w:r>
      <w:r w:rsidRPr="00C723E0">
        <w:rPr>
          <w:rFonts w:ascii="Calibri" w:eastAsiaTheme="minorHAnsi" w:hAnsi="Calibri" w:cs="Calibri"/>
          <w:sz w:val="22"/>
          <w:szCs w:val="22"/>
          <w:lang w:val="en-AU"/>
        </w:rPr>
        <w:t xml:space="preserve"> finance. It is also position</w:t>
      </w:r>
      <w:r w:rsidR="001C72B6" w:rsidRPr="00C723E0">
        <w:rPr>
          <w:rFonts w:ascii="Calibri" w:eastAsiaTheme="minorHAnsi" w:hAnsi="Calibri" w:cs="Calibri"/>
          <w:sz w:val="22"/>
          <w:szCs w:val="22"/>
          <w:lang w:val="en-AU"/>
        </w:rPr>
        <w:t>ed</w:t>
      </w:r>
      <w:r w:rsidRPr="00C723E0">
        <w:rPr>
          <w:rFonts w:ascii="Calibri" w:eastAsiaTheme="minorHAnsi" w:hAnsi="Calibri" w:cs="Calibri"/>
          <w:sz w:val="22"/>
          <w:szCs w:val="22"/>
          <w:lang w:val="en-AU"/>
        </w:rPr>
        <w:t xml:space="preserve"> DFAT well to support foundational work that can be picked up by other development partners who can </w:t>
      </w:r>
      <w:r w:rsidR="003221AD" w:rsidRPr="00C723E0">
        <w:rPr>
          <w:rFonts w:ascii="Calibri" w:eastAsiaTheme="minorHAnsi" w:hAnsi="Calibri" w:cs="Calibri"/>
          <w:sz w:val="22"/>
          <w:szCs w:val="22"/>
          <w:lang w:val="en-AU"/>
        </w:rPr>
        <w:t>help</w:t>
      </w:r>
      <w:r w:rsidRPr="00C723E0">
        <w:rPr>
          <w:rFonts w:ascii="Calibri" w:eastAsiaTheme="minorHAnsi" w:hAnsi="Calibri" w:cs="Calibri"/>
          <w:sz w:val="22"/>
          <w:szCs w:val="22"/>
          <w:lang w:val="en-AU"/>
        </w:rPr>
        <w:t xml:space="preserve"> </w:t>
      </w:r>
      <w:r w:rsidR="00572F6A" w:rsidRPr="00C723E0">
        <w:rPr>
          <w:rFonts w:ascii="Calibri" w:eastAsiaTheme="minorHAnsi" w:hAnsi="Calibri" w:cs="Calibri"/>
          <w:sz w:val="22"/>
          <w:szCs w:val="22"/>
          <w:lang w:val="en-AU"/>
        </w:rPr>
        <w:t xml:space="preserve">the </w:t>
      </w:r>
      <w:r w:rsidRPr="00C723E0">
        <w:rPr>
          <w:rFonts w:ascii="Calibri" w:eastAsiaTheme="minorHAnsi" w:hAnsi="Calibri" w:cs="Calibri"/>
          <w:sz w:val="22"/>
          <w:szCs w:val="22"/>
          <w:lang w:val="en-AU"/>
        </w:rPr>
        <w:t>Go</w:t>
      </w:r>
      <w:r w:rsidR="00572F6A" w:rsidRPr="00C723E0">
        <w:rPr>
          <w:rFonts w:ascii="Calibri" w:eastAsiaTheme="minorHAnsi" w:hAnsi="Calibri" w:cs="Calibri"/>
          <w:sz w:val="22"/>
          <w:szCs w:val="22"/>
          <w:lang w:val="en-AU"/>
        </w:rPr>
        <w:t>F</w:t>
      </w:r>
      <w:r w:rsidRPr="00C723E0">
        <w:rPr>
          <w:rFonts w:ascii="Calibri" w:eastAsiaTheme="minorHAnsi" w:hAnsi="Calibri" w:cs="Calibri"/>
          <w:sz w:val="22"/>
          <w:szCs w:val="22"/>
          <w:lang w:val="en-AU"/>
        </w:rPr>
        <w:t xml:space="preserve"> with potential market-sounding and investment finance. IFC can also leverage its support</w:t>
      </w:r>
      <w:r w:rsidR="00AA0C8C" w:rsidRPr="00C723E0">
        <w:rPr>
          <w:rFonts w:ascii="Calibri" w:eastAsiaTheme="minorHAnsi" w:hAnsi="Calibri" w:cs="Calibri"/>
          <w:sz w:val="22"/>
          <w:szCs w:val="22"/>
          <w:lang w:val="en-AU"/>
        </w:rPr>
        <w:t>,</w:t>
      </w:r>
      <w:r w:rsidRPr="00C723E0">
        <w:rPr>
          <w:rFonts w:ascii="Calibri" w:eastAsiaTheme="minorHAnsi" w:hAnsi="Calibri" w:cs="Calibri"/>
          <w:sz w:val="22"/>
          <w:szCs w:val="22"/>
          <w:lang w:val="en-AU"/>
        </w:rPr>
        <w:t xml:space="preserve"> and there are plans to provide </w:t>
      </w:r>
      <w:r w:rsidR="00620356" w:rsidRPr="00C723E0">
        <w:rPr>
          <w:rFonts w:ascii="Calibri" w:eastAsiaTheme="minorHAnsi" w:hAnsi="Calibri" w:cs="Calibri"/>
          <w:color w:val="000000"/>
          <w:sz w:val="22"/>
          <w:szCs w:val="22"/>
          <w:lang w:val="en-AU"/>
        </w:rPr>
        <w:t>capacity-building support to financial institutions on</w:t>
      </w:r>
      <w:r w:rsidR="00350C5F" w:rsidRPr="00C723E0">
        <w:rPr>
          <w:rFonts w:ascii="Calibri" w:eastAsiaTheme="minorHAnsi" w:hAnsi="Calibri" w:cs="Calibri"/>
          <w:color w:val="000000"/>
          <w:sz w:val="22"/>
          <w:szCs w:val="22"/>
          <w:lang w:val="en-AU"/>
        </w:rPr>
        <w:t xml:space="preserve"> developing,</w:t>
      </w:r>
      <w:r w:rsidR="00620356" w:rsidRPr="00C723E0">
        <w:rPr>
          <w:rFonts w:ascii="Calibri" w:eastAsiaTheme="minorHAnsi" w:hAnsi="Calibri" w:cs="Calibri"/>
          <w:color w:val="000000"/>
          <w:sz w:val="22"/>
          <w:szCs w:val="22"/>
          <w:lang w:val="en-AU"/>
        </w:rPr>
        <w:t xml:space="preserve"> identifying and reporting on sustainable financing opportunities</w:t>
      </w:r>
      <w:r w:rsidR="00572F6A" w:rsidRPr="00C723E0">
        <w:rPr>
          <w:rFonts w:ascii="Calibri" w:eastAsiaTheme="minorHAnsi" w:hAnsi="Calibri" w:cs="Calibri"/>
          <w:color w:val="000000"/>
          <w:sz w:val="22"/>
          <w:szCs w:val="22"/>
          <w:lang w:val="en-AU"/>
        </w:rPr>
        <w:t>, which</w:t>
      </w:r>
      <w:r w:rsidR="00620356" w:rsidRPr="00C723E0">
        <w:rPr>
          <w:rFonts w:ascii="Calibri" w:hAnsi="Calibri" w:cs="Calibri"/>
          <w:color w:val="000000"/>
          <w:sz w:val="22"/>
          <w:szCs w:val="22"/>
          <w:lang w:val="en-AU"/>
        </w:rPr>
        <w:t xml:space="preserve"> </w:t>
      </w:r>
      <w:r w:rsidR="00620356" w:rsidRPr="00C723E0">
        <w:rPr>
          <w:rFonts w:ascii="Calibri" w:eastAsiaTheme="minorHAnsi" w:hAnsi="Calibri" w:cs="Calibri"/>
          <w:color w:val="000000"/>
          <w:sz w:val="22"/>
          <w:szCs w:val="22"/>
          <w:lang w:val="en-AU"/>
        </w:rPr>
        <w:t>will result in at least US$5-30 million investment in green, sustainable, or sustainability-linked financial instruments</w:t>
      </w:r>
      <w:r w:rsidRPr="00C723E0">
        <w:rPr>
          <w:rFonts w:ascii="Calibri" w:eastAsiaTheme="minorHAnsi" w:hAnsi="Calibri" w:cs="Calibri"/>
          <w:sz w:val="22"/>
          <w:szCs w:val="22"/>
          <w:lang w:val="en-AU"/>
        </w:rPr>
        <w:t xml:space="preserve"> </w:t>
      </w:r>
      <w:r w:rsidR="00620356" w:rsidRPr="00C723E0">
        <w:rPr>
          <w:rFonts w:ascii="Calibri" w:eastAsiaTheme="minorHAnsi" w:hAnsi="Calibri" w:cs="Calibri"/>
          <w:color w:val="000000"/>
          <w:sz w:val="22"/>
          <w:szCs w:val="22"/>
          <w:lang w:val="en-AU"/>
        </w:rPr>
        <w:t>following project completion (June 2026)</w:t>
      </w:r>
      <w:r w:rsidR="00466A66">
        <w:rPr>
          <w:rFonts w:ascii="Calibri" w:eastAsiaTheme="minorHAnsi" w:hAnsi="Calibri" w:cs="Calibri"/>
          <w:color w:val="000000"/>
          <w:sz w:val="22"/>
          <w:szCs w:val="22"/>
          <w:lang w:val="en-AU"/>
        </w:rPr>
        <w:t>.</w:t>
      </w:r>
    </w:p>
    <w:p w14:paraId="694DBCEA" w14:textId="3DB72A67" w:rsidR="004F2DA2" w:rsidRPr="00C723E0" w:rsidRDefault="0047162A" w:rsidP="009C67B6">
      <w:pPr>
        <w:autoSpaceDE w:val="0"/>
        <w:autoSpaceDN w:val="0"/>
        <w:adjustRightInd w:val="0"/>
        <w:spacing w:after="120"/>
        <w:jc w:val="both"/>
        <w:rPr>
          <w:rFonts w:ascii="Calibri" w:eastAsiaTheme="minorHAnsi" w:hAnsi="Calibri" w:cs="Calibri"/>
          <w:color w:val="000000"/>
          <w:sz w:val="22"/>
          <w:szCs w:val="22"/>
          <w:lang w:val="en-AU"/>
        </w:rPr>
      </w:pPr>
      <w:r w:rsidRPr="00C723E0">
        <w:rPr>
          <w:rFonts w:ascii="Calibri" w:eastAsiaTheme="minorHAnsi" w:hAnsi="Calibri" w:cs="Calibri"/>
          <w:b/>
          <w:bCs/>
          <w:color w:val="000000"/>
          <w:sz w:val="22"/>
          <w:szCs w:val="22"/>
          <w:lang w:val="en-AU"/>
        </w:rPr>
        <w:t>Additionally, support to Investment Fiji to build their capacity to operate as an investment promotion agency has been important in developing local skills to increase and convert foreign investment opportunities.</w:t>
      </w:r>
      <w:r w:rsidRPr="00C723E0">
        <w:rPr>
          <w:rFonts w:ascii="Calibri" w:eastAsiaTheme="minorHAnsi" w:hAnsi="Calibri" w:cs="Calibri"/>
          <w:color w:val="000000"/>
          <w:sz w:val="22"/>
          <w:szCs w:val="22"/>
          <w:lang w:val="en-AU"/>
        </w:rPr>
        <w:t xml:space="preserve"> </w:t>
      </w:r>
      <w:r w:rsidR="00012699" w:rsidRPr="00C723E0">
        <w:rPr>
          <w:rFonts w:ascii="Calibri" w:eastAsiaTheme="minorHAnsi" w:hAnsi="Calibri" w:cs="Calibri"/>
          <w:color w:val="000000"/>
          <w:sz w:val="22"/>
          <w:szCs w:val="22"/>
          <w:lang w:val="en-AU"/>
        </w:rPr>
        <w:t xml:space="preserve">During the consultations, Investment Fiji Chair and CEO </w:t>
      </w:r>
      <w:r w:rsidR="001618B6" w:rsidRPr="00C723E0">
        <w:rPr>
          <w:rFonts w:ascii="Calibri" w:eastAsiaTheme="minorHAnsi" w:hAnsi="Calibri" w:cs="Calibri"/>
          <w:color w:val="000000"/>
          <w:sz w:val="22"/>
          <w:szCs w:val="22"/>
          <w:lang w:val="en-AU"/>
        </w:rPr>
        <w:t>emphasised the support</w:t>
      </w:r>
      <w:r w:rsidR="002A21B3" w:rsidRPr="00C723E0">
        <w:rPr>
          <w:rFonts w:ascii="Calibri" w:eastAsiaTheme="minorHAnsi" w:hAnsi="Calibri" w:cs="Calibri"/>
          <w:color w:val="000000"/>
          <w:sz w:val="22"/>
          <w:szCs w:val="22"/>
          <w:lang w:val="en-AU"/>
        </w:rPr>
        <w:t xml:space="preserve"> and tools</w:t>
      </w:r>
      <w:r w:rsidR="001618B6" w:rsidRPr="00C723E0">
        <w:rPr>
          <w:rFonts w:ascii="Calibri" w:eastAsiaTheme="minorHAnsi" w:hAnsi="Calibri" w:cs="Calibri"/>
          <w:color w:val="000000"/>
          <w:sz w:val="22"/>
          <w:szCs w:val="22"/>
          <w:lang w:val="en-AU"/>
        </w:rPr>
        <w:t xml:space="preserve"> provided by IFC, including to identify appropriate investor-tracking software</w:t>
      </w:r>
      <w:r w:rsidR="00BC79BD" w:rsidRPr="00C723E0">
        <w:rPr>
          <w:rFonts w:ascii="Calibri" w:eastAsiaTheme="minorHAnsi" w:hAnsi="Calibri" w:cs="Calibri"/>
          <w:color w:val="000000"/>
          <w:sz w:val="22"/>
          <w:szCs w:val="22"/>
          <w:lang w:val="en-AU"/>
        </w:rPr>
        <w:t xml:space="preserve">, engage with investors, and </w:t>
      </w:r>
      <w:r w:rsidR="002A21B3" w:rsidRPr="00C723E0">
        <w:rPr>
          <w:rFonts w:ascii="Calibri" w:eastAsiaTheme="minorHAnsi" w:hAnsi="Calibri" w:cs="Calibri"/>
          <w:color w:val="000000"/>
          <w:sz w:val="22"/>
          <w:szCs w:val="22"/>
          <w:lang w:val="en-AU"/>
        </w:rPr>
        <w:t>develop sector value propositions, continues to be utilised in their day-to-day operations.</w:t>
      </w:r>
    </w:p>
    <w:p w14:paraId="7DB4E112" w14:textId="41B305CD" w:rsidR="00572F6A" w:rsidRPr="00A26E3C" w:rsidRDefault="00572F6A" w:rsidP="0DBC5DA3">
      <w:pPr>
        <w:autoSpaceDE w:val="0"/>
        <w:autoSpaceDN w:val="0"/>
        <w:adjustRightInd w:val="0"/>
        <w:spacing w:after="120"/>
        <w:jc w:val="both"/>
        <w:rPr>
          <w:rFonts w:ascii="Calibri" w:hAnsi="Calibri" w:cs="Calibri"/>
          <w:sz w:val="22"/>
          <w:szCs w:val="22"/>
          <w:lang w:val="en-AU"/>
        </w:rPr>
      </w:pPr>
      <w:r w:rsidRPr="00A26E3C">
        <w:rPr>
          <w:rFonts w:ascii="Calibri" w:eastAsiaTheme="minorEastAsia" w:hAnsi="Calibri" w:cs="Calibri"/>
          <w:b/>
          <w:bCs/>
          <w:color w:val="000000" w:themeColor="text1"/>
          <w:sz w:val="22"/>
          <w:szCs w:val="22"/>
          <w:lang w:val="en-AU"/>
        </w:rPr>
        <w:t>Overall</w:t>
      </w:r>
      <w:r w:rsidR="00AA0C8C" w:rsidRPr="00A26E3C">
        <w:rPr>
          <w:rFonts w:ascii="Calibri" w:eastAsiaTheme="minorEastAsia" w:hAnsi="Calibri" w:cs="Calibri"/>
          <w:b/>
          <w:bCs/>
          <w:color w:val="000000" w:themeColor="text1"/>
          <w:sz w:val="22"/>
          <w:szCs w:val="22"/>
          <w:lang w:val="en-AU"/>
        </w:rPr>
        <w:t>,</w:t>
      </w:r>
      <w:r w:rsidRPr="00A26E3C">
        <w:rPr>
          <w:rFonts w:ascii="Calibri" w:eastAsiaTheme="minorEastAsia" w:hAnsi="Calibri" w:cs="Calibri"/>
          <w:b/>
          <w:bCs/>
          <w:color w:val="000000" w:themeColor="text1"/>
          <w:sz w:val="22"/>
          <w:szCs w:val="22"/>
          <w:lang w:val="en-AU"/>
        </w:rPr>
        <w:t xml:space="preserve"> Pillar 2 has presented some key achievements (Green Finance</w:t>
      </w:r>
      <w:r w:rsidR="00233581" w:rsidRPr="00A26E3C">
        <w:rPr>
          <w:rFonts w:ascii="Calibri" w:eastAsiaTheme="minorEastAsia" w:hAnsi="Calibri" w:cs="Calibri"/>
          <w:b/>
          <w:bCs/>
          <w:color w:val="000000" w:themeColor="text1"/>
          <w:sz w:val="22"/>
          <w:szCs w:val="22"/>
          <w:lang w:val="en-AU"/>
        </w:rPr>
        <w:t xml:space="preserve"> and s</w:t>
      </w:r>
      <w:r w:rsidR="00E2172D" w:rsidRPr="00A26E3C">
        <w:rPr>
          <w:rFonts w:ascii="Calibri" w:eastAsiaTheme="minorEastAsia" w:hAnsi="Calibri" w:cs="Calibri"/>
          <w:b/>
          <w:bCs/>
          <w:color w:val="000000" w:themeColor="text1"/>
          <w:sz w:val="22"/>
          <w:szCs w:val="22"/>
          <w:lang w:val="en-AU"/>
        </w:rPr>
        <w:t>upport to Investment Fiji</w:t>
      </w:r>
      <w:r w:rsidRPr="00A26E3C">
        <w:rPr>
          <w:rFonts w:ascii="Calibri" w:eastAsiaTheme="minorEastAsia" w:hAnsi="Calibri" w:cs="Calibri"/>
          <w:b/>
          <w:bCs/>
          <w:color w:val="000000" w:themeColor="text1"/>
          <w:sz w:val="22"/>
          <w:szCs w:val="22"/>
          <w:lang w:val="en-AU"/>
        </w:rPr>
        <w:t>) and important lessons (PPP</w:t>
      </w:r>
      <w:r w:rsidR="00AA0C8C" w:rsidRPr="00A26E3C">
        <w:rPr>
          <w:rFonts w:ascii="Calibri" w:eastAsiaTheme="minorEastAsia" w:hAnsi="Calibri" w:cs="Calibri"/>
          <w:b/>
          <w:bCs/>
          <w:color w:val="000000" w:themeColor="text1"/>
          <w:sz w:val="22"/>
          <w:szCs w:val="22"/>
          <w:lang w:val="en-AU"/>
        </w:rPr>
        <w:t>s</w:t>
      </w:r>
      <w:r w:rsidRPr="00A26E3C">
        <w:rPr>
          <w:rFonts w:ascii="Calibri" w:eastAsiaTheme="minorEastAsia" w:hAnsi="Calibri" w:cs="Calibri"/>
          <w:color w:val="000000" w:themeColor="text1"/>
          <w:sz w:val="22"/>
          <w:szCs w:val="22"/>
          <w:lang w:val="en-AU"/>
        </w:rPr>
        <w:t>). The key take</w:t>
      </w:r>
      <w:r w:rsidR="00AA0C8C" w:rsidRPr="00A26E3C">
        <w:rPr>
          <w:rFonts w:ascii="Calibri" w:eastAsiaTheme="minorEastAsia" w:hAnsi="Calibri" w:cs="Calibri"/>
          <w:color w:val="000000" w:themeColor="text1"/>
          <w:sz w:val="22"/>
          <w:szCs w:val="22"/>
          <w:lang w:val="en-AU"/>
        </w:rPr>
        <w:t>a</w:t>
      </w:r>
      <w:r w:rsidRPr="00A26E3C">
        <w:rPr>
          <w:rFonts w:ascii="Calibri" w:eastAsiaTheme="minorEastAsia" w:hAnsi="Calibri" w:cs="Calibri"/>
          <w:color w:val="000000" w:themeColor="text1"/>
          <w:sz w:val="22"/>
          <w:szCs w:val="22"/>
          <w:lang w:val="en-AU"/>
        </w:rPr>
        <w:t>way from the eval</w:t>
      </w:r>
      <w:r w:rsidR="00AA0C8C" w:rsidRPr="00A26E3C">
        <w:rPr>
          <w:rFonts w:ascii="Calibri" w:eastAsiaTheme="minorEastAsia" w:hAnsi="Calibri" w:cs="Calibri"/>
          <w:color w:val="000000" w:themeColor="text1"/>
          <w:sz w:val="22"/>
          <w:szCs w:val="22"/>
          <w:lang w:val="en-AU"/>
        </w:rPr>
        <w:t>uati</w:t>
      </w:r>
      <w:r w:rsidRPr="00A26E3C">
        <w:rPr>
          <w:rFonts w:ascii="Calibri" w:eastAsiaTheme="minorEastAsia" w:hAnsi="Calibri" w:cs="Calibri"/>
          <w:color w:val="000000" w:themeColor="text1"/>
          <w:sz w:val="22"/>
          <w:szCs w:val="22"/>
          <w:lang w:val="en-AU"/>
        </w:rPr>
        <w:t xml:space="preserve">on is the importance of trial approaches </w:t>
      </w:r>
      <w:r w:rsidRPr="00A26E3C">
        <w:rPr>
          <w:rFonts w:ascii="Calibri" w:eastAsiaTheme="minorEastAsia" w:hAnsi="Calibri" w:cs="Calibri"/>
          <w:color w:val="000000" w:themeColor="text1"/>
          <w:sz w:val="22"/>
          <w:szCs w:val="22"/>
          <w:lang w:val="en-AU"/>
        </w:rPr>
        <w:lastRenderedPageBreak/>
        <w:t>and pilots</w:t>
      </w:r>
      <w:r w:rsidR="00AA0C8C" w:rsidRPr="00A26E3C">
        <w:rPr>
          <w:rFonts w:ascii="Calibri" w:eastAsiaTheme="minorEastAsia" w:hAnsi="Calibri" w:cs="Calibri"/>
          <w:color w:val="000000" w:themeColor="text1"/>
          <w:sz w:val="22"/>
          <w:szCs w:val="22"/>
          <w:lang w:val="en-AU"/>
        </w:rPr>
        <w:t>,</w:t>
      </w:r>
      <w:r w:rsidRPr="00A26E3C">
        <w:rPr>
          <w:rFonts w:ascii="Calibri" w:eastAsiaTheme="minorEastAsia" w:hAnsi="Calibri" w:cs="Calibri"/>
          <w:color w:val="000000" w:themeColor="text1"/>
          <w:sz w:val="22"/>
          <w:szCs w:val="22"/>
          <w:lang w:val="en-AU"/>
        </w:rPr>
        <w:t xml:space="preserve"> but also to reco</w:t>
      </w:r>
      <w:r w:rsidR="00AA0C8C" w:rsidRPr="00A26E3C">
        <w:rPr>
          <w:rFonts w:ascii="Calibri" w:eastAsiaTheme="minorEastAsia" w:hAnsi="Calibri" w:cs="Calibri"/>
          <w:color w:val="000000" w:themeColor="text1"/>
          <w:sz w:val="22"/>
          <w:szCs w:val="22"/>
          <w:lang w:val="en-AU"/>
        </w:rPr>
        <w:t>gnis</w:t>
      </w:r>
      <w:r w:rsidRPr="00A26E3C">
        <w:rPr>
          <w:rFonts w:ascii="Calibri" w:eastAsiaTheme="minorEastAsia" w:hAnsi="Calibri" w:cs="Calibri"/>
          <w:color w:val="000000" w:themeColor="text1"/>
          <w:sz w:val="22"/>
          <w:szCs w:val="22"/>
          <w:lang w:val="en-AU"/>
        </w:rPr>
        <w:t>e and prioritise inve</w:t>
      </w:r>
      <w:r w:rsidR="00AA0C8C" w:rsidRPr="00A26E3C">
        <w:rPr>
          <w:rFonts w:ascii="Calibri" w:eastAsiaTheme="minorEastAsia" w:hAnsi="Calibri" w:cs="Calibri"/>
          <w:color w:val="000000" w:themeColor="text1"/>
          <w:sz w:val="22"/>
          <w:szCs w:val="22"/>
          <w:lang w:val="en-AU"/>
        </w:rPr>
        <w:t>st</w:t>
      </w:r>
      <w:r w:rsidRPr="00A26E3C">
        <w:rPr>
          <w:rFonts w:ascii="Calibri" w:eastAsiaTheme="minorEastAsia" w:hAnsi="Calibri" w:cs="Calibri"/>
          <w:color w:val="000000" w:themeColor="text1"/>
          <w:sz w:val="22"/>
          <w:szCs w:val="22"/>
          <w:lang w:val="en-AU"/>
        </w:rPr>
        <w:t xml:space="preserve">ments that </w:t>
      </w:r>
      <w:r w:rsidR="00AA0C8C" w:rsidRPr="00A26E3C">
        <w:rPr>
          <w:rFonts w:ascii="Calibri" w:eastAsiaTheme="minorEastAsia" w:hAnsi="Calibri" w:cs="Calibri"/>
          <w:color w:val="000000" w:themeColor="text1"/>
          <w:sz w:val="22"/>
          <w:szCs w:val="22"/>
          <w:lang w:val="en-AU"/>
        </w:rPr>
        <w:t>minimise</w:t>
      </w:r>
      <w:r w:rsidR="0028084C" w:rsidRPr="00A26E3C">
        <w:rPr>
          <w:rFonts w:ascii="Calibri" w:eastAsiaTheme="minorEastAsia" w:hAnsi="Calibri" w:cs="Calibri"/>
          <w:color w:val="000000" w:themeColor="text1"/>
          <w:sz w:val="22"/>
          <w:szCs w:val="22"/>
          <w:lang w:val="en-AU"/>
        </w:rPr>
        <w:t xml:space="preserve"> social and </w:t>
      </w:r>
      <w:r w:rsidR="00C723E0" w:rsidRPr="00C723E0">
        <w:rPr>
          <w:rFonts w:ascii="Calibri" w:eastAsiaTheme="minorEastAsia" w:hAnsi="Calibri" w:cs="Calibri"/>
          <w:color w:val="000000" w:themeColor="text1"/>
          <w:sz w:val="22"/>
          <w:szCs w:val="22"/>
          <w:lang w:val="en-AU"/>
        </w:rPr>
        <w:t>economic</w:t>
      </w:r>
      <w:r w:rsidR="0028084C" w:rsidRPr="00A26E3C">
        <w:rPr>
          <w:rFonts w:ascii="Calibri" w:eastAsiaTheme="minorEastAsia" w:hAnsi="Calibri" w:cs="Calibri"/>
          <w:color w:val="000000" w:themeColor="text1"/>
          <w:sz w:val="22"/>
          <w:szCs w:val="22"/>
          <w:lang w:val="en-AU"/>
        </w:rPr>
        <w:t xml:space="preserve"> impact, within a level of risk tolerance and uncertainty that </w:t>
      </w:r>
      <w:r w:rsidR="00C723E0" w:rsidRPr="00C723E0">
        <w:rPr>
          <w:rFonts w:ascii="Calibri" w:eastAsiaTheme="minorEastAsia" w:hAnsi="Calibri" w:cs="Calibri"/>
          <w:color w:val="000000" w:themeColor="text1"/>
          <w:sz w:val="22"/>
          <w:szCs w:val="22"/>
          <w:lang w:val="en-AU"/>
        </w:rPr>
        <w:t>DFAT</w:t>
      </w:r>
      <w:r w:rsidR="0028084C" w:rsidRPr="00A26E3C">
        <w:rPr>
          <w:rFonts w:ascii="Calibri" w:eastAsiaTheme="minorEastAsia" w:hAnsi="Calibri" w:cs="Calibri"/>
          <w:color w:val="000000" w:themeColor="text1"/>
          <w:sz w:val="22"/>
          <w:szCs w:val="22"/>
          <w:lang w:val="en-AU"/>
        </w:rPr>
        <w:t xml:space="preserve"> is </w:t>
      </w:r>
      <w:r w:rsidR="00C723E0" w:rsidRPr="00C723E0">
        <w:rPr>
          <w:rFonts w:ascii="Calibri" w:eastAsiaTheme="minorEastAsia" w:hAnsi="Calibri" w:cs="Calibri"/>
          <w:color w:val="000000" w:themeColor="text1"/>
          <w:sz w:val="22"/>
          <w:szCs w:val="22"/>
          <w:lang w:val="en-AU"/>
        </w:rPr>
        <w:t>comfortable</w:t>
      </w:r>
      <w:r w:rsidR="0028084C" w:rsidRPr="00A26E3C">
        <w:rPr>
          <w:rFonts w:ascii="Calibri" w:eastAsiaTheme="minorEastAsia" w:hAnsi="Calibri" w:cs="Calibri"/>
          <w:color w:val="000000" w:themeColor="text1"/>
          <w:sz w:val="22"/>
          <w:szCs w:val="22"/>
          <w:lang w:val="en-AU"/>
        </w:rPr>
        <w:t xml:space="preserve"> to accept </w:t>
      </w:r>
      <w:r w:rsidR="00AA0C8C" w:rsidRPr="00A26E3C">
        <w:rPr>
          <w:rFonts w:ascii="Calibri" w:eastAsiaTheme="minorEastAsia" w:hAnsi="Calibri" w:cs="Calibri"/>
          <w:color w:val="000000" w:themeColor="text1"/>
          <w:sz w:val="22"/>
          <w:szCs w:val="22"/>
          <w:lang w:val="en-AU"/>
        </w:rPr>
        <w:t xml:space="preserve"> </w:t>
      </w:r>
      <w:r w:rsidR="0028084C" w:rsidRPr="00A26E3C">
        <w:rPr>
          <w:rFonts w:ascii="Calibri" w:eastAsiaTheme="minorEastAsia" w:hAnsi="Calibri" w:cs="Calibri"/>
          <w:color w:val="000000" w:themeColor="text1"/>
          <w:sz w:val="22"/>
          <w:szCs w:val="22"/>
          <w:lang w:val="en-AU"/>
        </w:rPr>
        <w:t>for the use of its resources</w:t>
      </w:r>
      <w:r w:rsidR="00AA0C8C" w:rsidRPr="00A26E3C">
        <w:rPr>
          <w:rFonts w:ascii="Calibri" w:eastAsiaTheme="minorEastAsia" w:hAnsi="Calibri" w:cs="Calibri"/>
          <w:color w:val="000000" w:themeColor="text1"/>
          <w:sz w:val="22"/>
          <w:szCs w:val="22"/>
          <w:lang w:val="en-AU"/>
        </w:rPr>
        <w:t xml:space="preserve">. </w:t>
      </w:r>
      <w:r w:rsidR="004F7A7B" w:rsidRPr="00A26E3C">
        <w:rPr>
          <w:rFonts w:ascii="Calibri" w:hAnsi="Calibri" w:cs="Calibri"/>
          <w:sz w:val="22"/>
          <w:szCs w:val="22"/>
          <w:lang w:val="en-AU"/>
        </w:rPr>
        <w:t>This enables DFAT to focus on priority areas where it has leverage and expertise, and seek</w:t>
      </w:r>
      <w:r w:rsidR="00233581" w:rsidRPr="00A26E3C">
        <w:rPr>
          <w:rFonts w:ascii="Calibri" w:hAnsi="Calibri" w:cs="Calibri"/>
          <w:sz w:val="22"/>
          <w:szCs w:val="22"/>
          <w:lang w:val="en-AU"/>
        </w:rPr>
        <w:t>s</w:t>
      </w:r>
      <w:r w:rsidR="004F7A7B" w:rsidRPr="00A26E3C">
        <w:rPr>
          <w:rFonts w:ascii="Calibri" w:hAnsi="Calibri" w:cs="Calibri"/>
          <w:sz w:val="22"/>
          <w:szCs w:val="22"/>
          <w:lang w:val="en-AU"/>
        </w:rPr>
        <w:t xml:space="preserve"> to outsource complex financing and investment mechanisms to other partners and donors. </w:t>
      </w:r>
      <w:r w:rsidR="006810C4" w:rsidRPr="00A26E3C">
        <w:rPr>
          <w:rFonts w:ascii="Calibri" w:hAnsi="Calibri" w:cs="Calibri"/>
          <w:sz w:val="22"/>
          <w:szCs w:val="22"/>
          <w:lang w:val="en-AU"/>
        </w:rPr>
        <w:t>The key risk</w:t>
      </w:r>
      <w:r w:rsidR="004F7A7B" w:rsidRPr="00A26E3C">
        <w:rPr>
          <w:rFonts w:ascii="Calibri" w:hAnsi="Calibri" w:cs="Calibri"/>
          <w:sz w:val="22"/>
          <w:szCs w:val="22"/>
          <w:lang w:val="en-AU"/>
        </w:rPr>
        <w:t xml:space="preserve"> is that consultation and engagement may not be sufficient</w:t>
      </w:r>
      <w:r w:rsidR="00233581" w:rsidRPr="00A26E3C">
        <w:rPr>
          <w:rFonts w:ascii="Calibri" w:hAnsi="Calibri" w:cs="Calibri"/>
          <w:sz w:val="22"/>
          <w:szCs w:val="22"/>
          <w:lang w:val="en-AU"/>
        </w:rPr>
        <w:t xml:space="preserve"> without financing options</w:t>
      </w:r>
      <w:r w:rsidR="004F7A7B" w:rsidRPr="00A26E3C">
        <w:rPr>
          <w:rFonts w:ascii="Calibri" w:hAnsi="Calibri" w:cs="Calibri"/>
          <w:sz w:val="22"/>
          <w:szCs w:val="22"/>
          <w:lang w:val="en-AU"/>
        </w:rPr>
        <w:t xml:space="preserve">. It may also mean “missing out” on infrastructure </w:t>
      </w:r>
      <w:r w:rsidR="006810C4" w:rsidRPr="00A26E3C">
        <w:rPr>
          <w:rFonts w:ascii="Calibri" w:hAnsi="Calibri" w:cs="Calibri"/>
          <w:sz w:val="22"/>
          <w:szCs w:val="22"/>
          <w:lang w:val="en-AU"/>
        </w:rPr>
        <w:t>financing</w:t>
      </w:r>
      <w:r w:rsidR="004F7A7B" w:rsidRPr="00A26E3C">
        <w:rPr>
          <w:rFonts w:ascii="Calibri" w:hAnsi="Calibri" w:cs="Calibri"/>
          <w:sz w:val="22"/>
          <w:szCs w:val="22"/>
          <w:lang w:val="en-AU"/>
        </w:rPr>
        <w:t xml:space="preserve"> options that can be implemented with other partner donors and stakeholders. </w:t>
      </w:r>
      <w:r w:rsidR="004F7A7B" w:rsidRPr="00A26E3C">
        <w:rPr>
          <w:rFonts w:ascii="Calibri" w:eastAsiaTheme="minorEastAsia" w:hAnsi="Calibri" w:cs="Calibri"/>
          <w:color w:val="000000" w:themeColor="text1"/>
          <w:sz w:val="22"/>
          <w:szCs w:val="22"/>
          <w:lang w:val="en-AU"/>
        </w:rPr>
        <w:t xml:space="preserve"> </w:t>
      </w:r>
      <w:r w:rsidR="00AA0C8C" w:rsidRPr="00C723E0">
        <w:rPr>
          <w:rFonts w:ascii="Calibri" w:eastAsiaTheme="minorEastAsia" w:hAnsi="Calibri" w:cs="Calibri"/>
          <w:color w:val="000000" w:themeColor="text1"/>
          <w:sz w:val="22"/>
          <w:szCs w:val="22"/>
          <w:lang w:val="en-AU"/>
        </w:rPr>
        <w:t xml:space="preserve">DFAT should also engage internally with its financing colleagues </w:t>
      </w:r>
      <w:r w:rsidR="003221AD" w:rsidRPr="00C723E0">
        <w:rPr>
          <w:rFonts w:ascii="Calibri" w:eastAsiaTheme="minorEastAsia" w:hAnsi="Calibri" w:cs="Calibri"/>
          <w:color w:val="000000" w:themeColor="text1"/>
          <w:sz w:val="22"/>
          <w:szCs w:val="22"/>
          <w:lang w:val="en-AU"/>
        </w:rPr>
        <w:t>early</w:t>
      </w:r>
      <w:r w:rsidR="00AA0C8C" w:rsidRPr="00C723E0">
        <w:rPr>
          <w:rFonts w:ascii="Calibri" w:eastAsiaTheme="minorEastAsia" w:hAnsi="Calibri" w:cs="Calibri"/>
          <w:color w:val="000000" w:themeColor="text1"/>
          <w:sz w:val="22"/>
          <w:szCs w:val="22"/>
          <w:lang w:val="en-AU"/>
        </w:rPr>
        <w:t xml:space="preserve"> to provide advice and support</w:t>
      </w:r>
      <w:r w:rsidR="004F7A7B" w:rsidRPr="00C723E0">
        <w:rPr>
          <w:rFonts w:ascii="Calibri" w:eastAsiaTheme="minorEastAsia" w:hAnsi="Calibri" w:cs="Calibri"/>
          <w:color w:val="000000" w:themeColor="text1"/>
          <w:sz w:val="22"/>
          <w:szCs w:val="22"/>
          <w:lang w:val="en-AU"/>
        </w:rPr>
        <w:t xml:space="preserve"> around priority options going forward</w:t>
      </w:r>
      <w:r w:rsidR="0028084C" w:rsidRPr="00A26E3C">
        <w:rPr>
          <w:rFonts w:ascii="Calibri" w:eastAsiaTheme="minorEastAsia" w:hAnsi="Calibri" w:cs="Calibri"/>
          <w:color w:val="000000" w:themeColor="text1"/>
          <w:sz w:val="22"/>
          <w:szCs w:val="22"/>
          <w:lang w:val="en-AU"/>
        </w:rPr>
        <w:t xml:space="preserve">, including innovative financing options to meet local </w:t>
      </w:r>
      <w:r w:rsidR="00C723E0" w:rsidRPr="00C723E0">
        <w:rPr>
          <w:rFonts w:ascii="Calibri" w:eastAsiaTheme="minorEastAsia" w:hAnsi="Calibri" w:cs="Calibri"/>
          <w:color w:val="000000" w:themeColor="text1"/>
          <w:sz w:val="22"/>
          <w:szCs w:val="22"/>
          <w:lang w:val="en-AU"/>
        </w:rPr>
        <w:t>currency</w:t>
      </w:r>
      <w:r w:rsidR="0028084C" w:rsidRPr="00A26E3C">
        <w:rPr>
          <w:rFonts w:ascii="Calibri" w:eastAsiaTheme="minorEastAsia" w:hAnsi="Calibri" w:cs="Calibri"/>
          <w:color w:val="000000" w:themeColor="text1"/>
          <w:sz w:val="22"/>
          <w:szCs w:val="22"/>
          <w:lang w:val="en-AU"/>
        </w:rPr>
        <w:t xml:space="preserve"> financing </w:t>
      </w:r>
      <w:r w:rsidR="00C723E0" w:rsidRPr="00C723E0">
        <w:rPr>
          <w:rFonts w:ascii="Calibri" w:eastAsiaTheme="minorEastAsia" w:hAnsi="Calibri" w:cs="Calibri"/>
          <w:color w:val="000000" w:themeColor="text1"/>
          <w:sz w:val="22"/>
          <w:szCs w:val="22"/>
          <w:lang w:val="en-AU"/>
        </w:rPr>
        <w:t>requirements.</w:t>
      </w:r>
    </w:p>
    <w:p w14:paraId="5809DCCA" w14:textId="77777777" w:rsidR="009C67B6" w:rsidRPr="00116737" w:rsidRDefault="009C67B6" w:rsidP="00116737">
      <w:pPr>
        <w:pStyle w:val="Heading4"/>
        <w:rPr>
          <w:rFonts w:ascii="Calibri" w:hAnsi="Calibri"/>
          <w:b/>
          <w:color w:val="000000" w:themeColor="text1"/>
          <w:lang w:val="en-AU"/>
        </w:rPr>
      </w:pPr>
      <w:r w:rsidRPr="00116737">
        <w:rPr>
          <w:rFonts w:ascii="Calibri" w:hAnsi="Calibri"/>
          <w:b/>
          <w:color w:val="000000" w:themeColor="text1"/>
          <w:lang w:val="en-AU"/>
        </w:rPr>
        <w:t>Pillar 3: Enhancing Standards and Gender Inclusion</w:t>
      </w:r>
    </w:p>
    <w:p w14:paraId="23F2BA97" w14:textId="541E5CDA" w:rsidR="00FA180C" w:rsidRPr="00C723E0" w:rsidRDefault="009C67B6" w:rsidP="00FA180C">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hAnsi="Calibri" w:cs="Calibri"/>
          <w:color w:val="000000"/>
          <w:sz w:val="22"/>
          <w:szCs w:val="22"/>
          <w:lang w:val="en-AU"/>
        </w:rPr>
        <w:t>The program has made significant progress in supporting work under Pillar</w:t>
      </w:r>
      <w:r w:rsidR="00AA0C8C" w:rsidRPr="00C723E0">
        <w:rPr>
          <w:rFonts w:ascii="Calibri" w:hAnsi="Calibri" w:cs="Calibri"/>
          <w:color w:val="000000"/>
          <w:sz w:val="22"/>
          <w:szCs w:val="22"/>
          <w:lang w:val="en-AU"/>
        </w:rPr>
        <w:t xml:space="preserve"> 3</w:t>
      </w:r>
      <w:r w:rsidRPr="00C723E0">
        <w:rPr>
          <w:rFonts w:ascii="Calibri" w:hAnsi="Calibri" w:cs="Calibri"/>
          <w:color w:val="000000"/>
          <w:sz w:val="22"/>
          <w:szCs w:val="22"/>
          <w:lang w:val="en-AU"/>
        </w:rPr>
        <w:t xml:space="preserve">. </w:t>
      </w:r>
      <w:r w:rsidR="006E2C48" w:rsidRPr="00C723E0">
        <w:rPr>
          <w:rFonts w:ascii="Calibri" w:hAnsi="Calibri" w:cs="Calibri"/>
          <w:color w:val="000000"/>
          <w:sz w:val="22"/>
          <w:szCs w:val="22"/>
          <w:lang w:val="en-AU"/>
        </w:rPr>
        <w:t xml:space="preserve">The Program has a solid representation of gender across all activities. In the latest progress report, </w:t>
      </w:r>
      <w:r w:rsidR="006E2C48" w:rsidRPr="00C723E0">
        <w:rPr>
          <w:rFonts w:ascii="Calibri" w:eastAsiaTheme="minorHAnsi" w:hAnsi="Calibri" w:cs="Calibri"/>
          <w:sz w:val="22"/>
          <w:szCs w:val="22"/>
          <w:lang w:val="en-AU"/>
          <w14:ligatures w14:val="standardContextual"/>
        </w:rPr>
        <w:t>62 per</w:t>
      </w:r>
      <w:r w:rsidR="005226B4" w:rsidRPr="00C723E0">
        <w:rPr>
          <w:rFonts w:ascii="Calibri" w:eastAsiaTheme="minorHAnsi" w:hAnsi="Calibri" w:cs="Calibri"/>
          <w:sz w:val="22"/>
          <w:szCs w:val="22"/>
          <w:lang w:val="en-AU"/>
          <w14:ligatures w14:val="standardContextual"/>
        </w:rPr>
        <w:t xml:space="preserve"> </w:t>
      </w:r>
      <w:r w:rsidR="006E2C48" w:rsidRPr="00C723E0">
        <w:rPr>
          <w:rFonts w:ascii="Calibri" w:eastAsiaTheme="minorHAnsi" w:hAnsi="Calibri" w:cs="Calibri"/>
          <w:sz w:val="22"/>
          <w:szCs w:val="22"/>
          <w:lang w:val="en-AU"/>
          <w14:ligatures w14:val="standardContextual"/>
        </w:rPr>
        <w:t xml:space="preserve">cent of all portfolio projects (active and closed) have a gender flag. This exceeds the </w:t>
      </w:r>
      <w:r w:rsidR="00FA180C" w:rsidRPr="00C723E0">
        <w:rPr>
          <w:rFonts w:ascii="Calibri" w:eastAsiaTheme="minorHAnsi" w:hAnsi="Calibri" w:cs="Calibri"/>
          <w:sz w:val="22"/>
          <w:szCs w:val="22"/>
          <w:lang w:val="en-AU"/>
          <w14:ligatures w14:val="standardContextual"/>
        </w:rPr>
        <w:t xml:space="preserve">portfolio's </w:t>
      </w:r>
      <w:r w:rsidR="006E2C48" w:rsidRPr="00C723E0">
        <w:rPr>
          <w:rFonts w:ascii="Calibri" w:eastAsiaTheme="minorHAnsi" w:hAnsi="Calibri" w:cs="Calibri"/>
          <w:sz w:val="22"/>
          <w:szCs w:val="22"/>
          <w:lang w:val="en-AU"/>
          <w14:ligatures w14:val="standardContextual"/>
        </w:rPr>
        <w:t>target of 50 per</w:t>
      </w:r>
      <w:r w:rsidR="005226B4" w:rsidRPr="00C723E0">
        <w:rPr>
          <w:rFonts w:ascii="Calibri" w:eastAsiaTheme="minorHAnsi" w:hAnsi="Calibri" w:cs="Calibri"/>
          <w:sz w:val="22"/>
          <w:szCs w:val="22"/>
          <w:lang w:val="en-AU"/>
          <w14:ligatures w14:val="standardContextual"/>
        </w:rPr>
        <w:t xml:space="preserve"> </w:t>
      </w:r>
      <w:r w:rsidR="006E2C48" w:rsidRPr="00C723E0">
        <w:rPr>
          <w:rFonts w:ascii="Calibri" w:eastAsiaTheme="minorHAnsi" w:hAnsi="Calibri" w:cs="Calibri"/>
          <w:sz w:val="22"/>
          <w:szCs w:val="22"/>
          <w:lang w:val="en-AU"/>
          <w14:ligatures w14:val="standardContextual"/>
        </w:rPr>
        <w:t>cent.</w:t>
      </w:r>
    </w:p>
    <w:p w14:paraId="5F18F92D" w14:textId="101CCFF0" w:rsidR="006E2C48" w:rsidRPr="00C723E0" w:rsidRDefault="006E2C48" w:rsidP="00FA180C">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 xml:space="preserve">IFC assesses gender risk across </w:t>
      </w:r>
      <w:r w:rsidR="00627C79" w:rsidRPr="00C723E0">
        <w:rPr>
          <w:rFonts w:ascii="Calibri" w:eastAsiaTheme="minorHAnsi" w:hAnsi="Calibri" w:cs="Calibri"/>
          <w:b/>
          <w:bCs/>
          <w:sz w:val="22"/>
          <w:szCs w:val="22"/>
          <w:lang w:val="en-AU"/>
          <w14:ligatures w14:val="standardContextual"/>
        </w:rPr>
        <w:t>all</w:t>
      </w:r>
      <w:r w:rsidRPr="00C723E0">
        <w:rPr>
          <w:rFonts w:ascii="Calibri" w:eastAsiaTheme="minorHAnsi" w:hAnsi="Calibri" w:cs="Calibri"/>
          <w:b/>
          <w:bCs/>
          <w:sz w:val="22"/>
          <w:szCs w:val="22"/>
          <w:lang w:val="en-AU"/>
          <w14:ligatures w14:val="standardContextual"/>
        </w:rPr>
        <w:t xml:space="preserve"> project</w:t>
      </w:r>
      <w:r w:rsidR="00627C79" w:rsidRPr="00C723E0">
        <w:rPr>
          <w:rFonts w:ascii="Calibri" w:eastAsiaTheme="minorHAnsi" w:hAnsi="Calibri" w:cs="Calibri"/>
          <w:b/>
          <w:bCs/>
          <w:sz w:val="22"/>
          <w:szCs w:val="22"/>
          <w:lang w:val="en-AU"/>
          <w14:ligatures w14:val="standardContextual"/>
        </w:rPr>
        <w:t xml:space="preserve"> </w:t>
      </w:r>
      <w:r w:rsidR="003221AD" w:rsidRPr="00C723E0">
        <w:rPr>
          <w:rFonts w:ascii="Calibri" w:eastAsiaTheme="minorHAnsi" w:hAnsi="Calibri" w:cs="Calibri"/>
          <w:b/>
          <w:bCs/>
          <w:sz w:val="22"/>
          <w:szCs w:val="22"/>
          <w:lang w:val="en-AU"/>
          <w14:ligatures w14:val="standardContextual"/>
        </w:rPr>
        <w:t>investments</w:t>
      </w:r>
      <w:r w:rsidRPr="00C723E0">
        <w:rPr>
          <w:rFonts w:ascii="Calibri" w:eastAsiaTheme="minorHAnsi" w:hAnsi="Calibri" w:cs="Calibri"/>
          <w:b/>
          <w:bCs/>
          <w:sz w:val="22"/>
          <w:szCs w:val="22"/>
          <w:lang w:val="en-AU"/>
          <w14:ligatures w14:val="standardContextual"/>
        </w:rPr>
        <w:t>. IFC projects are subject to IFC’s Sustainability Framework</w:t>
      </w:r>
      <w:r w:rsidR="00FA180C"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which requires efforts to </w:t>
      </w:r>
      <w:r w:rsidRPr="00C723E0">
        <w:rPr>
          <w:rFonts w:ascii="Calibri" w:eastAsiaTheme="minorHAnsi" w:hAnsi="Calibri" w:cs="Calibri"/>
          <w:i/>
          <w:iCs/>
          <w:sz w:val="22"/>
          <w:szCs w:val="22"/>
          <w:lang w:val="en-AU"/>
          <w14:ligatures w14:val="standardContextual"/>
        </w:rPr>
        <w:t>“minimi</w:t>
      </w:r>
      <w:r w:rsidR="00FA180C" w:rsidRPr="00C723E0">
        <w:rPr>
          <w:rFonts w:ascii="Calibri" w:eastAsiaTheme="minorHAnsi" w:hAnsi="Calibri" w:cs="Calibri"/>
          <w:i/>
          <w:iCs/>
          <w:sz w:val="22"/>
          <w:szCs w:val="22"/>
          <w:lang w:val="en-AU"/>
          <w14:ligatures w14:val="standardContextual"/>
        </w:rPr>
        <w:t>s</w:t>
      </w:r>
      <w:r w:rsidRPr="00C723E0">
        <w:rPr>
          <w:rFonts w:ascii="Calibri" w:eastAsiaTheme="minorHAnsi" w:hAnsi="Calibri" w:cs="Calibri"/>
          <w:i/>
          <w:iCs/>
          <w:sz w:val="22"/>
          <w:szCs w:val="22"/>
          <w:lang w:val="en-AU"/>
          <w14:ligatures w14:val="standardContextual"/>
        </w:rPr>
        <w:t>e gender-related risks from business activities and unintended gender differentiated impacts.”</w:t>
      </w:r>
      <w:r w:rsidRPr="00C723E0">
        <w:rPr>
          <w:rFonts w:ascii="Calibri" w:eastAsiaTheme="minorHAnsi" w:hAnsi="Calibri" w:cs="Calibri"/>
          <w:sz w:val="22"/>
          <w:szCs w:val="22"/>
          <w:lang w:val="en-AU"/>
          <w14:ligatures w14:val="standardContextual"/>
        </w:rPr>
        <w:t xml:space="preserve"> This assessment is conducted at </w:t>
      </w:r>
      <w:r w:rsidR="005226B4" w:rsidRPr="00C723E0">
        <w:rPr>
          <w:rFonts w:ascii="Calibri" w:eastAsiaTheme="minorHAnsi" w:hAnsi="Calibri" w:cs="Calibri"/>
          <w:sz w:val="22"/>
          <w:szCs w:val="22"/>
          <w:lang w:val="en-AU"/>
          <w14:ligatures w14:val="standardContextual"/>
        </w:rPr>
        <w:t xml:space="preserve">the </w:t>
      </w:r>
      <w:r w:rsidRPr="00C723E0">
        <w:rPr>
          <w:rFonts w:ascii="Calibri" w:eastAsiaTheme="minorHAnsi" w:hAnsi="Calibri" w:cs="Calibri"/>
          <w:sz w:val="22"/>
          <w:szCs w:val="22"/>
          <w:lang w:val="en-AU"/>
          <w14:ligatures w14:val="standardContextual"/>
        </w:rPr>
        <w:t>project outset</w:t>
      </w:r>
      <w:r w:rsidR="005226B4"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with risks updated every six months</w:t>
      </w:r>
      <w:r w:rsidR="005226B4"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and at any point a new client is engaged for advisory services. In addition, some projects are “gender flagged”, which means a specific opportunity for gender related interventions has been identified.</w:t>
      </w:r>
    </w:p>
    <w:p w14:paraId="1B07EE7A" w14:textId="0F917BCB" w:rsidR="005226B4" w:rsidRPr="00C723E0" w:rsidRDefault="006E2C48" w:rsidP="00FA180C">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sz w:val="22"/>
          <w:szCs w:val="22"/>
          <w:lang w:val="en-AU"/>
          <w14:ligatures w14:val="standardContextual"/>
        </w:rPr>
        <w:t>The program has promoted Env</w:t>
      </w:r>
      <w:r w:rsidR="005226B4" w:rsidRPr="00C723E0">
        <w:rPr>
          <w:rFonts w:ascii="Calibri" w:eastAsiaTheme="minorHAnsi" w:hAnsi="Calibri" w:cs="Calibri"/>
          <w:sz w:val="22"/>
          <w:szCs w:val="22"/>
          <w:lang w:val="en-AU"/>
          <w14:ligatures w14:val="standardContextual"/>
        </w:rPr>
        <w:t>ironment</w:t>
      </w:r>
      <w:r w:rsidRPr="00C723E0">
        <w:rPr>
          <w:rFonts w:ascii="Calibri" w:eastAsiaTheme="minorHAnsi" w:hAnsi="Calibri" w:cs="Calibri"/>
          <w:sz w:val="22"/>
          <w:szCs w:val="22"/>
          <w:lang w:val="en-AU"/>
          <w14:ligatures w14:val="standardContextual"/>
        </w:rPr>
        <w:t xml:space="preserve">, </w:t>
      </w:r>
      <w:r w:rsidR="005226B4" w:rsidRPr="00C723E0">
        <w:rPr>
          <w:rFonts w:ascii="Calibri" w:eastAsiaTheme="minorHAnsi" w:hAnsi="Calibri" w:cs="Calibri"/>
          <w:sz w:val="22"/>
          <w:szCs w:val="22"/>
          <w:lang w:val="en-AU"/>
          <w14:ligatures w14:val="standardContextual"/>
        </w:rPr>
        <w:t>S</w:t>
      </w:r>
      <w:r w:rsidRPr="00C723E0">
        <w:rPr>
          <w:rFonts w:ascii="Calibri" w:eastAsiaTheme="minorHAnsi" w:hAnsi="Calibri" w:cs="Calibri"/>
          <w:sz w:val="22"/>
          <w:szCs w:val="22"/>
          <w:lang w:val="en-AU"/>
          <w14:ligatures w14:val="standardContextual"/>
        </w:rPr>
        <w:t>ocial</w:t>
      </w:r>
      <w:r w:rsidR="003221AD"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and Governance (ESG) training across the portfolio. ESG work has been integrated into practices in Fiji’s financial sector and the development of a green finance taxonomy.</w:t>
      </w:r>
      <w:r w:rsidR="005226B4" w:rsidRPr="00C723E0">
        <w:rPr>
          <w:rFonts w:ascii="Calibri" w:eastAsiaTheme="minorHAnsi" w:hAnsi="Calibri" w:cs="Calibri"/>
          <w:sz w:val="22"/>
          <w:szCs w:val="22"/>
          <w:lang w:val="en-AU"/>
          <w14:ligatures w14:val="standardContextual"/>
        </w:rPr>
        <w:t xml:space="preserve"> ESG work is critical and cuts across both public and private sector work. This is a necessary strategy as change within the private sector requires the </w:t>
      </w:r>
      <w:r w:rsidR="003221AD" w:rsidRPr="00C723E0">
        <w:rPr>
          <w:rFonts w:ascii="Calibri" w:eastAsiaTheme="minorHAnsi" w:hAnsi="Calibri" w:cs="Calibri"/>
          <w:sz w:val="22"/>
          <w:szCs w:val="22"/>
          <w:lang w:val="en-AU"/>
          <w14:ligatures w14:val="standardContextual"/>
        </w:rPr>
        <w:t xml:space="preserve">public sector's </w:t>
      </w:r>
      <w:r w:rsidR="005226B4" w:rsidRPr="00C723E0">
        <w:rPr>
          <w:rFonts w:ascii="Calibri" w:eastAsiaTheme="minorHAnsi" w:hAnsi="Calibri" w:cs="Calibri"/>
          <w:sz w:val="22"/>
          <w:szCs w:val="22"/>
          <w:lang w:val="en-AU"/>
          <w14:ligatures w14:val="standardContextual"/>
        </w:rPr>
        <w:t>support, oversight</w:t>
      </w:r>
      <w:r w:rsidR="003221AD" w:rsidRPr="00C723E0">
        <w:rPr>
          <w:rFonts w:ascii="Calibri" w:eastAsiaTheme="minorHAnsi" w:hAnsi="Calibri" w:cs="Calibri"/>
          <w:sz w:val="22"/>
          <w:szCs w:val="22"/>
          <w:lang w:val="en-AU"/>
          <w14:ligatures w14:val="standardContextual"/>
        </w:rPr>
        <w:t>,</w:t>
      </w:r>
      <w:r w:rsidR="005226B4" w:rsidRPr="00C723E0">
        <w:rPr>
          <w:rFonts w:ascii="Calibri" w:eastAsiaTheme="minorHAnsi" w:hAnsi="Calibri" w:cs="Calibri"/>
          <w:sz w:val="22"/>
          <w:szCs w:val="22"/>
          <w:lang w:val="en-AU"/>
          <w14:ligatures w14:val="standardContextual"/>
        </w:rPr>
        <w:t xml:space="preserve"> and regulatory influence. </w:t>
      </w:r>
    </w:p>
    <w:p w14:paraId="58A1F391" w14:textId="6C7FA9BE" w:rsidR="009C67B6" w:rsidRPr="00C723E0" w:rsidRDefault="005226B4" w:rsidP="00442125">
      <w:pPr>
        <w:autoSpaceDE w:val="0"/>
        <w:autoSpaceDN w:val="0"/>
        <w:adjustRightInd w:val="0"/>
        <w:spacing w:after="120"/>
        <w:jc w:val="both"/>
        <w:rPr>
          <w:rFonts w:ascii="Calibri" w:eastAsiaTheme="minorHAnsi" w:hAnsi="Calibri" w:cs="Calibri"/>
          <w:sz w:val="22"/>
          <w:szCs w:val="22"/>
          <w:lang w:val="en-AU"/>
          <w14:ligatures w14:val="standardContextual"/>
        </w:rPr>
      </w:pPr>
      <w:r w:rsidRPr="00C723E0">
        <w:rPr>
          <w:rFonts w:ascii="Calibri" w:eastAsiaTheme="minorHAnsi" w:hAnsi="Calibri" w:cs="Calibri"/>
          <w:b/>
          <w:bCs/>
          <w:sz w:val="22"/>
          <w:szCs w:val="22"/>
          <w:lang w:val="en-AU"/>
          <w14:ligatures w14:val="standardContextual"/>
        </w:rPr>
        <w:t xml:space="preserve">Most of the work has focused on governance, </w:t>
      </w:r>
      <w:r w:rsidR="00286654" w:rsidRPr="00C723E0">
        <w:rPr>
          <w:rFonts w:ascii="Calibri" w:eastAsiaTheme="minorHAnsi" w:hAnsi="Calibri" w:cs="Calibri"/>
          <w:b/>
          <w:bCs/>
          <w:sz w:val="22"/>
          <w:szCs w:val="22"/>
          <w:lang w:val="en-AU"/>
          <w14:ligatures w14:val="standardContextual"/>
        </w:rPr>
        <w:t>with an increased demand for</w:t>
      </w:r>
      <w:r w:rsidRPr="00C723E0">
        <w:rPr>
          <w:rFonts w:ascii="Calibri" w:eastAsiaTheme="minorHAnsi" w:hAnsi="Calibri" w:cs="Calibri"/>
          <w:b/>
          <w:bCs/>
          <w:sz w:val="22"/>
          <w:szCs w:val="22"/>
          <w:lang w:val="en-AU"/>
          <w14:ligatures w14:val="standardContextual"/>
        </w:rPr>
        <w:t xml:space="preserve"> “board governance”.</w:t>
      </w:r>
      <w:r w:rsidRPr="00C723E0">
        <w:rPr>
          <w:rFonts w:ascii="Calibri" w:eastAsiaTheme="minorHAnsi" w:hAnsi="Calibri" w:cs="Calibri"/>
          <w:sz w:val="22"/>
          <w:szCs w:val="22"/>
          <w:lang w:val="en-AU"/>
          <w14:ligatures w14:val="standardContextual"/>
        </w:rPr>
        <w:t xml:space="preserve"> This is most eviden</w:t>
      </w:r>
      <w:r w:rsidR="00627C79" w:rsidRPr="00C723E0">
        <w:rPr>
          <w:rFonts w:ascii="Calibri" w:eastAsiaTheme="minorHAnsi" w:hAnsi="Calibri" w:cs="Calibri"/>
          <w:sz w:val="22"/>
          <w:szCs w:val="22"/>
          <w:lang w:val="en-AU"/>
          <w14:ligatures w14:val="standardContextual"/>
        </w:rPr>
        <w:t>t</w:t>
      </w:r>
      <w:r w:rsidRPr="00C723E0">
        <w:rPr>
          <w:rFonts w:ascii="Calibri" w:eastAsiaTheme="minorHAnsi" w:hAnsi="Calibri" w:cs="Calibri"/>
          <w:sz w:val="22"/>
          <w:szCs w:val="22"/>
          <w:lang w:val="en-AU"/>
          <w14:ligatures w14:val="standardContextual"/>
        </w:rPr>
        <w:t xml:space="preserve"> in large “family companies” where exis</w:t>
      </w:r>
      <w:r w:rsidR="00627C79" w:rsidRPr="00C723E0">
        <w:rPr>
          <w:rFonts w:ascii="Calibri" w:eastAsiaTheme="minorHAnsi" w:hAnsi="Calibri" w:cs="Calibri"/>
          <w:sz w:val="22"/>
          <w:szCs w:val="22"/>
          <w:lang w:val="en-AU"/>
          <w14:ligatures w14:val="standardContextual"/>
        </w:rPr>
        <w:t>ting governan</w:t>
      </w:r>
      <w:r w:rsidRPr="00C723E0">
        <w:rPr>
          <w:rFonts w:ascii="Calibri" w:eastAsiaTheme="minorHAnsi" w:hAnsi="Calibri" w:cs="Calibri"/>
          <w:sz w:val="22"/>
          <w:szCs w:val="22"/>
          <w:lang w:val="en-AU"/>
          <w14:ligatures w14:val="standardContextual"/>
        </w:rPr>
        <w:t>ce</w:t>
      </w:r>
      <w:r w:rsidR="00627C79" w:rsidRPr="00C723E0">
        <w:rPr>
          <w:rFonts w:ascii="Calibri" w:eastAsiaTheme="minorHAnsi" w:hAnsi="Calibri" w:cs="Calibri"/>
          <w:sz w:val="22"/>
          <w:szCs w:val="22"/>
          <w:lang w:val="en-AU"/>
          <w14:ligatures w14:val="standardContextual"/>
        </w:rPr>
        <w:t xml:space="preserve"> and</w:t>
      </w:r>
      <w:r w:rsidRPr="00C723E0">
        <w:rPr>
          <w:rFonts w:ascii="Calibri" w:eastAsiaTheme="minorHAnsi" w:hAnsi="Calibri" w:cs="Calibri"/>
          <w:sz w:val="22"/>
          <w:szCs w:val="22"/>
          <w:lang w:val="en-AU"/>
          <w14:ligatures w14:val="standardContextual"/>
        </w:rPr>
        <w:t xml:space="preserve"> management mechan</w:t>
      </w:r>
      <w:r w:rsidR="00627C79" w:rsidRPr="00C723E0">
        <w:rPr>
          <w:rFonts w:ascii="Calibri" w:eastAsiaTheme="minorHAnsi" w:hAnsi="Calibri" w:cs="Calibri"/>
          <w:sz w:val="22"/>
          <w:szCs w:val="22"/>
          <w:lang w:val="en-AU"/>
          <w14:ligatures w14:val="standardContextual"/>
        </w:rPr>
        <w:t>isms</w:t>
      </w:r>
      <w:r w:rsidRPr="00C723E0">
        <w:rPr>
          <w:rFonts w:ascii="Calibri" w:eastAsiaTheme="minorHAnsi" w:hAnsi="Calibri" w:cs="Calibri"/>
          <w:sz w:val="22"/>
          <w:szCs w:val="22"/>
          <w:lang w:val="en-AU"/>
          <w14:ligatures w14:val="standardContextual"/>
        </w:rPr>
        <w:t xml:space="preserve"> </w:t>
      </w:r>
      <w:r w:rsidR="003E2F3F" w:rsidRPr="00C723E0">
        <w:rPr>
          <w:rFonts w:ascii="Calibri" w:eastAsiaTheme="minorHAnsi" w:hAnsi="Calibri" w:cs="Calibri"/>
          <w:sz w:val="22"/>
          <w:szCs w:val="22"/>
          <w:lang w:val="en-AU"/>
          <w14:ligatures w14:val="standardContextual"/>
        </w:rPr>
        <w:t>may not meet international good-practices</w:t>
      </w:r>
      <w:r w:rsidRPr="00C723E0">
        <w:rPr>
          <w:rFonts w:ascii="Calibri" w:eastAsiaTheme="minorHAnsi" w:hAnsi="Calibri" w:cs="Calibri"/>
          <w:sz w:val="22"/>
          <w:szCs w:val="22"/>
          <w:lang w:val="en-AU"/>
          <w14:ligatures w14:val="standardContextual"/>
        </w:rPr>
        <w:t>. All stakeho</w:t>
      </w:r>
      <w:r w:rsidR="00627C79" w:rsidRPr="00C723E0">
        <w:rPr>
          <w:rFonts w:ascii="Calibri" w:eastAsiaTheme="minorHAnsi" w:hAnsi="Calibri" w:cs="Calibri"/>
          <w:sz w:val="22"/>
          <w:szCs w:val="22"/>
          <w:lang w:val="en-AU"/>
          <w14:ligatures w14:val="standardContextual"/>
        </w:rPr>
        <w:t>ld</w:t>
      </w:r>
      <w:r w:rsidRPr="00C723E0">
        <w:rPr>
          <w:rFonts w:ascii="Calibri" w:eastAsiaTheme="minorHAnsi" w:hAnsi="Calibri" w:cs="Calibri"/>
          <w:sz w:val="22"/>
          <w:szCs w:val="22"/>
          <w:lang w:val="en-AU"/>
          <w14:ligatures w14:val="standardContextual"/>
        </w:rPr>
        <w:t>ers engaged through the ev</w:t>
      </w:r>
      <w:r w:rsidR="00627C79" w:rsidRPr="00C723E0">
        <w:rPr>
          <w:rFonts w:ascii="Calibri" w:eastAsiaTheme="minorHAnsi" w:hAnsi="Calibri" w:cs="Calibri"/>
          <w:sz w:val="22"/>
          <w:szCs w:val="22"/>
          <w:lang w:val="en-AU"/>
          <w14:ligatures w14:val="standardContextual"/>
        </w:rPr>
        <w:t>aluati</w:t>
      </w:r>
      <w:r w:rsidRPr="00C723E0">
        <w:rPr>
          <w:rFonts w:ascii="Calibri" w:eastAsiaTheme="minorHAnsi" w:hAnsi="Calibri" w:cs="Calibri"/>
          <w:sz w:val="22"/>
          <w:szCs w:val="22"/>
          <w:lang w:val="en-AU"/>
          <w14:ligatures w14:val="standardContextual"/>
        </w:rPr>
        <w:t>on process acknowle</w:t>
      </w:r>
      <w:r w:rsidR="00627C79" w:rsidRPr="00C723E0">
        <w:rPr>
          <w:rFonts w:ascii="Calibri" w:eastAsiaTheme="minorHAnsi" w:hAnsi="Calibri" w:cs="Calibri"/>
          <w:sz w:val="22"/>
          <w:szCs w:val="22"/>
          <w:lang w:val="en-AU"/>
          <w14:ligatures w14:val="standardContextual"/>
        </w:rPr>
        <w:t>d</w:t>
      </w:r>
      <w:r w:rsidRPr="00C723E0">
        <w:rPr>
          <w:rFonts w:ascii="Calibri" w:eastAsiaTheme="minorHAnsi" w:hAnsi="Calibri" w:cs="Calibri"/>
          <w:sz w:val="22"/>
          <w:szCs w:val="22"/>
          <w:lang w:val="en-AU"/>
          <w14:ligatures w14:val="standardContextual"/>
        </w:rPr>
        <w:t>ged that governance issues remain a high priority. The program’s approach to continue ESG is critical. The training-of-trainer (To</w:t>
      </w:r>
      <w:r w:rsidR="00627C79" w:rsidRPr="00C723E0">
        <w:rPr>
          <w:rFonts w:ascii="Calibri" w:eastAsiaTheme="minorHAnsi" w:hAnsi="Calibri" w:cs="Calibri"/>
          <w:sz w:val="22"/>
          <w:szCs w:val="22"/>
          <w:lang w:val="en-AU"/>
          <w14:ligatures w14:val="standardContextual"/>
        </w:rPr>
        <w:t>T</w:t>
      </w:r>
      <w:r w:rsidRPr="00C723E0">
        <w:rPr>
          <w:rFonts w:ascii="Calibri" w:eastAsiaTheme="minorHAnsi" w:hAnsi="Calibri" w:cs="Calibri"/>
          <w:sz w:val="22"/>
          <w:szCs w:val="22"/>
          <w:lang w:val="en-AU"/>
          <w14:ligatures w14:val="standardContextual"/>
        </w:rPr>
        <w:t>) approach is a strategic shift towards building longer-term sustainability. The only challenge is that “individual champions” are required to drive the process forward. The eval</w:t>
      </w:r>
      <w:r w:rsidR="00627C79" w:rsidRPr="00C723E0">
        <w:rPr>
          <w:rFonts w:ascii="Calibri" w:eastAsiaTheme="minorHAnsi" w:hAnsi="Calibri" w:cs="Calibri"/>
          <w:sz w:val="22"/>
          <w:szCs w:val="22"/>
          <w:lang w:val="en-AU"/>
          <w14:ligatures w14:val="standardContextual"/>
        </w:rPr>
        <w:t>uati</w:t>
      </w:r>
      <w:r w:rsidRPr="00C723E0">
        <w:rPr>
          <w:rFonts w:ascii="Calibri" w:eastAsiaTheme="minorHAnsi" w:hAnsi="Calibri" w:cs="Calibri"/>
          <w:sz w:val="22"/>
          <w:szCs w:val="22"/>
          <w:lang w:val="en-AU"/>
          <w14:ligatures w14:val="standardContextual"/>
        </w:rPr>
        <w:t>on met with two ind</w:t>
      </w:r>
      <w:r w:rsidR="00627C79" w:rsidRPr="00C723E0">
        <w:rPr>
          <w:rFonts w:ascii="Calibri" w:eastAsiaTheme="minorHAnsi" w:hAnsi="Calibri" w:cs="Calibri"/>
          <w:sz w:val="22"/>
          <w:szCs w:val="22"/>
          <w:lang w:val="en-AU"/>
          <w14:ligatures w14:val="standardContextual"/>
        </w:rPr>
        <w:t>ividu</w:t>
      </w:r>
      <w:r w:rsidRPr="00C723E0">
        <w:rPr>
          <w:rFonts w:ascii="Calibri" w:eastAsiaTheme="minorHAnsi" w:hAnsi="Calibri" w:cs="Calibri"/>
          <w:sz w:val="22"/>
          <w:szCs w:val="22"/>
          <w:lang w:val="en-AU"/>
          <w14:ligatures w14:val="standardContextual"/>
        </w:rPr>
        <w:t>als who demonstrated strong capacity and willin</w:t>
      </w:r>
      <w:r w:rsidR="00627C79" w:rsidRPr="00C723E0">
        <w:rPr>
          <w:rFonts w:ascii="Calibri" w:eastAsiaTheme="minorHAnsi" w:hAnsi="Calibri" w:cs="Calibri"/>
          <w:sz w:val="22"/>
          <w:szCs w:val="22"/>
          <w:lang w:val="en-AU"/>
          <w14:ligatures w14:val="standardContextual"/>
        </w:rPr>
        <w:t>gne</w:t>
      </w:r>
      <w:r w:rsidRPr="00C723E0">
        <w:rPr>
          <w:rFonts w:ascii="Calibri" w:eastAsiaTheme="minorHAnsi" w:hAnsi="Calibri" w:cs="Calibri"/>
          <w:sz w:val="22"/>
          <w:szCs w:val="22"/>
          <w:lang w:val="en-AU"/>
          <w14:ligatures w14:val="standardContextual"/>
        </w:rPr>
        <w:t>ss to drive governance (and ESG more generally). However, the process will take time</w:t>
      </w:r>
      <w:r w:rsidR="003221AD"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and there is a corresponding need to drive changes and reforms in the public sector</w:t>
      </w:r>
      <w:r w:rsidR="003221AD" w:rsidRPr="00C723E0">
        <w:rPr>
          <w:rFonts w:ascii="Calibri" w:eastAsiaTheme="minorHAnsi" w:hAnsi="Calibri" w:cs="Calibri"/>
          <w:sz w:val="22"/>
          <w:szCs w:val="22"/>
          <w:lang w:val="en-AU"/>
          <w14:ligatures w14:val="standardContextual"/>
        </w:rPr>
        <w:t>,</w:t>
      </w:r>
      <w:r w:rsidRPr="00C723E0">
        <w:rPr>
          <w:rFonts w:ascii="Calibri" w:eastAsiaTheme="minorHAnsi" w:hAnsi="Calibri" w:cs="Calibri"/>
          <w:sz w:val="22"/>
          <w:szCs w:val="22"/>
          <w:lang w:val="en-AU"/>
          <w14:ligatures w14:val="standardContextual"/>
        </w:rPr>
        <w:t xml:space="preserve"> as ultimately, change will occur when mandated. </w:t>
      </w:r>
      <w:r w:rsidR="006C6EBB" w:rsidRPr="00C723E0">
        <w:rPr>
          <w:rFonts w:ascii="Calibri" w:eastAsiaTheme="minorHAnsi" w:hAnsi="Calibri" w:cs="Calibri"/>
          <w:sz w:val="22"/>
          <w:szCs w:val="22"/>
          <w:lang w:val="en-AU"/>
          <w14:ligatures w14:val="standardContextual"/>
        </w:rPr>
        <w:t xml:space="preserve">Outside of the real sector, the ESG Guidelines being developed </w:t>
      </w:r>
      <w:r w:rsidR="006C6EBB" w:rsidRPr="00A26E3C">
        <w:rPr>
          <w:rFonts w:ascii="Calibri" w:eastAsiaTheme="minorHAnsi" w:hAnsi="Calibri" w:cs="Calibri"/>
          <w:sz w:val="22"/>
          <w:szCs w:val="22"/>
          <w:lang w:val="en-AU"/>
          <w14:ligatures w14:val="standardContextual"/>
        </w:rPr>
        <w:t>for the financial sector</w:t>
      </w:r>
      <w:r w:rsidR="00BF2B6A" w:rsidRPr="00A26E3C">
        <w:rPr>
          <w:rFonts w:ascii="Calibri" w:eastAsiaTheme="minorHAnsi" w:hAnsi="Calibri" w:cs="Calibri"/>
          <w:sz w:val="22"/>
          <w:szCs w:val="22"/>
          <w:lang w:val="en-AU"/>
          <w14:ligatures w14:val="standardContextual"/>
        </w:rPr>
        <w:t xml:space="preserve"> will help financial institutions</w:t>
      </w:r>
      <w:r w:rsidR="006C6EBB" w:rsidRPr="00A26E3C">
        <w:rPr>
          <w:rFonts w:ascii="Calibri" w:eastAsiaTheme="minorHAnsi" w:hAnsi="Calibri" w:cs="Calibri"/>
          <w:sz w:val="22"/>
          <w:szCs w:val="22"/>
          <w:lang w:val="en-AU"/>
          <w14:ligatures w14:val="standardContextual"/>
        </w:rPr>
        <w:t xml:space="preserve"> to</w:t>
      </w:r>
      <w:r w:rsidR="00442125" w:rsidRPr="00A26E3C">
        <w:rPr>
          <w:rFonts w:ascii="Calibri" w:eastAsiaTheme="minorHAnsi" w:hAnsi="Calibri" w:cs="Calibri"/>
          <w:sz w:val="22"/>
          <w:szCs w:val="22"/>
          <w:lang w:val="en-AU"/>
          <w14:ligatures w14:val="standardContextual"/>
        </w:rPr>
        <w:t xml:space="preserve"> clearly define </w:t>
      </w:r>
      <w:r w:rsidR="00BF2B6A" w:rsidRPr="00A26E3C">
        <w:rPr>
          <w:rFonts w:ascii="Calibri" w:eastAsiaTheme="minorHAnsi" w:hAnsi="Calibri" w:cs="Calibri"/>
          <w:sz w:val="22"/>
          <w:szCs w:val="22"/>
          <w:lang w:val="en-AU"/>
          <w14:ligatures w14:val="standardContextual"/>
        </w:rPr>
        <w:t>sustainable</w:t>
      </w:r>
      <w:r w:rsidR="00442125" w:rsidRPr="00A26E3C">
        <w:rPr>
          <w:rFonts w:ascii="Calibri" w:eastAsiaTheme="minorHAnsi" w:hAnsi="Calibri" w:cs="Calibri"/>
          <w:sz w:val="22"/>
          <w:szCs w:val="22"/>
          <w:lang w:val="en-AU"/>
          <w14:ligatures w14:val="standardContextual"/>
        </w:rPr>
        <w:t xml:space="preserve"> assets,</w:t>
      </w:r>
      <w:r w:rsidR="00BF2B6A" w:rsidRPr="00A26E3C">
        <w:rPr>
          <w:rFonts w:ascii="Calibri" w:eastAsiaTheme="minorHAnsi" w:hAnsi="Calibri" w:cs="Calibri"/>
          <w:sz w:val="22"/>
          <w:szCs w:val="22"/>
          <w:lang w:val="en-AU"/>
          <w14:ligatures w14:val="standardContextual"/>
        </w:rPr>
        <w:t xml:space="preserve"> </w:t>
      </w:r>
      <w:r w:rsidR="00736849" w:rsidRPr="00A26E3C">
        <w:rPr>
          <w:rFonts w:ascii="Calibri" w:eastAsiaTheme="minorHAnsi" w:hAnsi="Calibri" w:cs="Calibri"/>
          <w:sz w:val="22"/>
          <w:szCs w:val="22"/>
          <w:lang w:val="en-AU"/>
          <w14:ligatures w14:val="standardContextual"/>
        </w:rPr>
        <w:t xml:space="preserve">which </w:t>
      </w:r>
      <w:r w:rsidR="00BF2B6A" w:rsidRPr="00A26E3C">
        <w:rPr>
          <w:rFonts w:ascii="Calibri" w:eastAsiaTheme="minorHAnsi" w:hAnsi="Calibri" w:cs="Calibri"/>
          <w:sz w:val="22"/>
          <w:szCs w:val="22"/>
          <w:lang w:val="en-AU"/>
          <w14:ligatures w14:val="standardContextual"/>
        </w:rPr>
        <w:t xml:space="preserve">will ultimately </w:t>
      </w:r>
      <w:r w:rsidR="00736849" w:rsidRPr="00A26E3C">
        <w:rPr>
          <w:rFonts w:ascii="Calibri" w:eastAsiaTheme="minorHAnsi" w:hAnsi="Calibri" w:cs="Calibri"/>
          <w:sz w:val="22"/>
          <w:szCs w:val="22"/>
          <w:lang w:val="en-AU"/>
          <w14:ligatures w14:val="standardContextual"/>
        </w:rPr>
        <w:t>support quality climate</w:t>
      </w:r>
      <w:r w:rsidR="00442125" w:rsidRPr="00A26E3C">
        <w:rPr>
          <w:rFonts w:ascii="Calibri" w:eastAsiaTheme="minorHAnsi" w:hAnsi="Calibri" w:cs="Calibri"/>
          <w:sz w:val="22"/>
          <w:szCs w:val="22"/>
          <w:lang w:val="en-AU"/>
          <w14:ligatures w14:val="standardContextual"/>
        </w:rPr>
        <w:t xml:space="preserve"> investments and support </w:t>
      </w:r>
      <w:r w:rsidR="00BF2B6A" w:rsidRPr="00A26E3C">
        <w:rPr>
          <w:rFonts w:ascii="Calibri" w:eastAsiaTheme="minorHAnsi" w:hAnsi="Calibri" w:cs="Calibri"/>
          <w:sz w:val="22"/>
          <w:szCs w:val="22"/>
          <w:lang w:val="en-AU"/>
          <w14:ligatures w14:val="standardContextual"/>
        </w:rPr>
        <w:t>Fiji’s</w:t>
      </w:r>
      <w:r w:rsidR="00442125" w:rsidRPr="00A26E3C">
        <w:rPr>
          <w:rFonts w:ascii="Calibri" w:eastAsiaTheme="minorHAnsi" w:hAnsi="Calibri" w:cs="Calibri"/>
          <w:sz w:val="22"/>
          <w:szCs w:val="22"/>
          <w:lang w:val="en-AU"/>
          <w14:ligatures w14:val="standardContextual"/>
        </w:rPr>
        <w:t xml:space="preserve"> mitigation and</w:t>
      </w:r>
      <w:r w:rsidR="00736849" w:rsidRPr="00A26E3C">
        <w:rPr>
          <w:rFonts w:ascii="Calibri" w:eastAsiaTheme="minorHAnsi" w:hAnsi="Calibri" w:cs="Calibri"/>
          <w:sz w:val="22"/>
          <w:szCs w:val="22"/>
          <w:lang w:val="en-AU"/>
          <w14:ligatures w14:val="standardContextual"/>
        </w:rPr>
        <w:t xml:space="preserve"> </w:t>
      </w:r>
      <w:r w:rsidR="00442125" w:rsidRPr="00A26E3C">
        <w:rPr>
          <w:rFonts w:ascii="Calibri" w:eastAsiaTheme="minorHAnsi" w:hAnsi="Calibri" w:cs="Calibri"/>
          <w:sz w:val="22"/>
          <w:szCs w:val="22"/>
          <w:lang w:val="en-AU"/>
          <w14:ligatures w14:val="standardContextual"/>
        </w:rPr>
        <w:t>adaptation goals.</w:t>
      </w:r>
    </w:p>
    <w:p w14:paraId="23850922" w14:textId="724BC78B" w:rsidR="006E2C48" w:rsidRDefault="00627C79" w:rsidP="00FA180C">
      <w:pPr>
        <w:autoSpaceDE w:val="0"/>
        <w:autoSpaceDN w:val="0"/>
        <w:adjustRightInd w:val="0"/>
        <w:spacing w:after="120"/>
        <w:jc w:val="both"/>
        <w:rPr>
          <w:rFonts w:ascii="Calibri" w:eastAsiaTheme="minorHAnsi" w:hAnsi="Calibri" w:cs="Calibri"/>
          <w:color w:val="000000"/>
          <w:sz w:val="22"/>
          <w:szCs w:val="22"/>
          <w:lang w:val="en-AU"/>
          <w14:ligatures w14:val="standardContextual"/>
        </w:rPr>
      </w:pPr>
      <w:r w:rsidRPr="00C723E0">
        <w:rPr>
          <w:rFonts w:ascii="Calibri" w:eastAsiaTheme="minorHAnsi" w:hAnsi="Calibri" w:cs="Calibri"/>
          <w:b/>
          <w:bCs/>
          <w:color w:val="000000"/>
          <w:sz w:val="22"/>
          <w:szCs w:val="22"/>
          <w:lang w:val="en-AU"/>
          <w14:ligatures w14:val="standardContextual"/>
        </w:rPr>
        <w:t>An example of the flexibility and responsiveness of the program under this pillar is the support provided to the Fiji International Visitor Survey</w:t>
      </w:r>
      <w:r w:rsidRPr="00C723E0">
        <w:rPr>
          <w:rFonts w:ascii="Calibri" w:eastAsiaTheme="minorHAnsi" w:hAnsi="Calibri" w:cs="Calibri"/>
          <w:color w:val="000000"/>
          <w:sz w:val="22"/>
          <w:szCs w:val="22"/>
          <w:lang w:val="en-AU"/>
          <w14:ligatures w14:val="standardContextual"/>
        </w:rPr>
        <w:t xml:space="preserve">. This investment was essentially a “quick win” for the Program and DFAT and has </w:t>
      </w:r>
      <w:r w:rsidR="003221AD" w:rsidRPr="00C723E0">
        <w:rPr>
          <w:rFonts w:ascii="Calibri" w:eastAsiaTheme="minorHAnsi" w:hAnsi="Calibri" w:cs="Calibri"/>
          <w:color w:val="000000"/>
          <w:sz w:val="22"/>
          <w:szCs w:val="22"/>
          <w:lang w:val="en-AU"/>
          <w14:ligatures w14:val="standardContextual"/>
        </w:rPr>
        <w:t>significantly impacted</w:t>
      </w:r>
      <w:r w:rsidRPr="00C723E0">
        <w:rPr>
          <w:rFonts w:ascii="Calibri" w:eastAsiaTheme="minorHAnsi" w:hAnsi="Calibri" w:cs="Calibri"/>
          <w:color w:val="000000"/>
          <w:sz w:val="22"/>
          <w:szCs w:val="22"/>
          <w:lang w:val="en-AU"/>
          <w14:ligatures w14:val="standardContextual"/>
        </w:rPr>
        <w:t xml:space="preserve"> the GoF as various sections of </w:t>
      </w:r>
      <w:r w:rsidR="003221AD" w:rsidRPr="00C723E0">
        <w:rPr>
          <w:rFonts w:ascii="Calibri" w:eastAsiaTheme="minorHAnsi" w:hAnsi="Calibri" w:cs="Calibri"/>
          <w:color w:val="000000"/>
          <w:sz w:val="22"/>
          <w:szCs w:val="22"/>
          <w:lang w:val="en-AU"/>
          <w14:ligatures w14:val="standardContextual"/>
        </w:rPr>
        <w:t xml:space="preserve">the </w:t>
      </w:r>
      <w:r w:rsidRPr="00C723E0">
        <w:rPr>
          <w:rFonts w:ascii="Calibri" w:eastAsiaTheme="minorHAnsi" w:hAnsi="Calibri" w:cs="Calibri"/>
          <w:color w:val="000000"/>
          <w:sz w:val="22"/>
          <w:szCs w:val="22"/>
          <w:lang w:val="en-AU"/>
          <w14:ligatures w14:val="standardContextual"/>
        </w:rPr>
        <w:t xml:space="preserve">Government utilise it and generate information and data </w:t>
      </w:r>
      <w:r w:rsidR="003221AD" w:rsidRPr="00C723E0">
        <w:rPr>
          <w:rFonts w:ascii="Calibri" w:eastAsiaTheme="minorHAnsi" w:hAnsi="Calibri" w:cs="Calibri"/>
          <w:color w:val="000000"/>
          <w:sz w:val="22"/>
          <w:szCs w:val="22"/>
          <w:lang w:val="en-AU"/>
          <w14:ligatures w14:val="standardContextual"/>
        </w:rPr>
        <w:t>for</w:t>
      </w:r>
      <w:r w:rsidRPr="00C723E0">
        <w:rPr>
          <w:rFonts w:ascii="Calibri" w:eastAsiaTheme="minorHAnsi" w:hAnsi="Calibri" w:cs="Calibri"/>
          <w:color w:val="000000"/>
          <w:sz w:val="22"/>
          <w:szCs w:val="22"/>
          <w:lang w:val="en-AU"/>
          <w14:ligatures w14:val="standardContextual"/>
        </w:rPr>
        <w:t xml:space="preserve"> planning and operational decisions. The survey </w:t>
      </w:r>
      <w:r w:rsidR="006E2C48" w:rsidRPr="00C723E0">
        <w:rPr>
          <w:rFonts w:ascii="Calibri" w:eastAsiaTheme="minorHAnsi" w:hAnsi="Calibri" w:cs="Calibri"/>
          <w:color w:val="000000"/>
          <w:sz w:val="22"/>
          <w:szCs w:val="22"/>
          <w:lang w:val="en-AU"/>
          <w14:ligatures w14:val="standardContextual"/>
        </w:rPr>
        <w:t xml:space="preserve">now includes specific questions relating to persons living with a disability, to capture data on their visitor experience. These questions include the degree to which </w:t>
      </w:r>
      <w:r w:rsidRPr="00C723E0">
        <w:rPr>
          <w:rFonts w:ascii="Calibri" w:eastAsiaTheme="minorHAnsi" w:hAnsi="Calibri" w:cs="Calibri"/>
          <w:color w:val="000000"/>
          <w:sz w:val="22"/>
          <w:szCs w:val="22"/>
          <w:lang w:val="en-AU"/>
          <w14:ligatures w14:val="standardContextual"/>
        </w:rPr>
        <w:t>service providers make necessary accommodation</w:t>
      </w:r>
      <w:r w:rsidR="006E2C48" w:rsidRPr="00C723E0">
        <w:rPr>
          <w:rFonts w:ascii="Calibri" w:eastAsiaTheme="minorHAnsi" w:hAnsi="Calibri" w:cs="Calibri"/>
          <w:color w:val="000000"/>
          <w:sz w:val="22"/>
          <w:szCs w:val="22"/>
          <w:lang w:val="en-AU"/>
          <w14:ligatures w14:val="standardContextual"/>
        </w:rPr>
        <w:t>s and the extent to which Fiji is considered a desirable destination by this segment</w:t>
      </w:r>
      <w:r w:rsidR="00FA180C" w:rsidRPr="00C723E0">
        <w:rPr>
          <w:rFonts w:ascii="Calibri" w:eastAsiaTheme="minorHAnsi" w:hAnsi="Calibri" w:cs="Calibri"/>
          <w:color w:val="000000"/>
          <w:sz w:val="22"/>
          <w:szCs w:val="22"/>
          <w:lang w:val="en-AU"/>
          <w14:ligatures w14:val="standardContextual"/>
        </w:rPr>
        <w:t xml:space="preserve"> </w:t>
      </w:r>
      <w:r w:rsidR="006E2C48" w:rsidRPr="00C723E0">
        <w:rPr>
          <w:rFonts w:ascii="Calibri" w:eastAsiaTheme="minorHAnsi" w:hAnsi="Calibri" w:cs="Calibri"/>
          <w:color w:val="000000"/>
          <w:sz w:val="22"/>
          <w:szCs w:val="22"/>
          <w:lang w:val="en-AU"/>
          <w14:ligatures w14:val="standardContextual"/>
        </w:rPr>
        <w:t xml:space="preserve">of consumers. Specifically, </w:t>
      </w:r>
      <w:r w:rsidRPr="00C723E0">
        <w:rPr>
          <w:rFonts w:ascii="Calibri" w:eastAsiaTheme="minorHAnsi" w:hAnsi="Calibri" w:cs="Calibri"/>
          <w:color w:val="000000"/>
          <w:sz w:val="22"/>
          <w:szCs w:val="22"/>
          <w:lang w:val="en-AU"/>
          <w14:ligatures w14:val="standardContextual"/>
        </w:rPr>
        <w:t>including</w:t>
      </w:r>
      <w:r w:rsidR="006E2C48" w:rsidRPr="00C723E0">
        <w:rPr>
          <w:rFonts w:ascii="Calibri" w:eastAsiaTheme="minorHAnsi" w:hAnsi="Calibri" w:cs="Calibri"/>
          <w:color w:val="000000"/>
          <w:sz w:val="22"/>
          <w:szCs w:val="22"/>
          <w:lang w:val="en-AU"/>
          <w14:ligatures w14:val="standardContextual"/>
        </w:rPr>
        <w:t xml:space="preserve"> these questions helps raise awareness among tourism providers of the</w:t>
      </w:r>
      <w:r w:rsidR="00FA180C" w:rsidRPr="00C723E0">
        <w:rPr>
          <w:rFonts w:ascii="Calibri" w:eastAsiaTheme="minorHAnsi" w:hAnsi="Calibri" w:cs="Calibri"/>
          <w:color w:val="000000"/>
          <w:sz w:val="22"/>
          <w:szCs w:val="22"/>
          <w:lang w:val="en-AU"/>
          <w14:ligatures w14:val="standardContextual"/>
        </w:rPr>
        <w:t xml:space="preserve"> </w:t>
      </w:r>
      <w:r w:rsidR="006E2C48" w:rsidRPr="00C723E0">
        <w:rPr>
          <w:rFonts w:ascii="Calibri" w:eastAsiaTheme="minorHAnsi" w:hAnsi="Calibri" w:cs="Calibri"/>
          <w:color w:val="000000"/>
          <w:sz w:val="22"/>
          <w:szCs w:val="22"/>
          <w:lang w:val="en-AU"/>
          <w14:ligatures w14:val="standardContextual"/>
        </w:rPr>
        <w:t xml:space="preserve">need to accommodate guests with </w:t>
      </w:r>
      <w:r w:rsidR="006E2C48" w:rsidRPr="00C723E0">
        <w:rPr>
          <w:rFonts w:ascii="Calibri" w:eastAsiaTheme="minorHAnsi" w:hAnsi="Calibri" w:cs="Calibri"/>
          <w:color w:val="000000"/>
          <w:sz w:val="22"/>
          <w:szCs w:val="22"/>
          <w:lang w:val="en-AU"/>
          <w14:ligatures w14:val="standardContextual"/>
        </w:rPr>
        <w:lastRenderedPageBreak/>
        <w:t>‘invisible’ disabilities and think beyond wheelchair accessibility when considering</w:t>
      </w:r>
      <w:r w:rsidR="00FA180C" w:rsidRPr="00C723E0">
        <w:rPr>
          <w:rFonts w:ascii="Calibri" w:eastAsiaTheme="minorHAnsi" w:hAnsi="Calibri" w:cs="Calibri"/>
          <w:color w:val="000000"/>
          <w:sz w:val="22"/>
          <w:szCs w:val="22"/>
          <w:lang w:val="en-AU"/>
          <w14:ligatures w14:val="standardContextual"/>
        </w:rPr>
        <w:t xml:space="preserve"> </w:t>
      </w:r>
      <w:r w:rsidR="006E2C48" w:rsidRPr="00C723E0">
        <w:rPr>
          <w:rFonts w:ascii="Calibri" w:eastAsiaTheme="minorHAnsi" w:hAnsi="Calibri" w:cs="Calibri"/>
          <w:color w:val="000000"/>
          <w:sz w:val="22"/>
          <w:szCs w:val="22"/>
          <w:lang w:val="en-AU"/>
          <w14:ligatures w14:val="standardContextual"/>
        </w:rPr>
        <w:t>the diverse needs of visitors.</w:t>
      </w:r>
    </w:p>
    <w:p w14:paraId="032CC5CB" w14:textId="099CC047" w:rsidR="00DA633F" w:rsidRDefault="00DA633F">
      <w:pPr>
        <w:spacing w:after="120"/>
        <w:jc w:val="both"/>
        <w:rPr>
          <w:rFonts w:ascii="Calibri" w:hAnsi="Calibri" w:cs="Calibri"/>
          <w:color w:val="000000"/>
          <w:sz w:val="22"/>
          <w:szCs w:val="22"/>
        </w:rPr>
      </w:pPr>
      <w:r w:rsidRPr="00A26E3C">
        <w:rPr>
          <w:rFonts w:ascii="Calibri" w:hAnsi="Calibri" w:cs="Calibri"/>
          <w:b/>
          <w:bCs/>
          <w:color w:val="000000"/>
          <w:sz w:val="22"/>
          <w:szCs w:val="22"/>
        </w:rPr>
        <w:t>IFC’s gender and inclusion team supports the private sector to drive a more inclusive allocation of capital, create more inclusive employment and leadership, and support inclusive supply chains.</w:t>
      </w:r>
      <w:r w:rsidRPr="00A26E3C">
        <w:rPr>
          <w:rFonts w:ascii="Calibri" w:hAnsi="Calibri" w:cs="Calibri"/>
          <w:color w:val="000000"/>
          <w:sz w:val="22"/>
          <w:szCs w:val="22"/>
        </w:rPr>
        <w:t xml:space="preserve"> IFC’s gender and inclusion lens is systemically integrated into operations through the following mechanisms. Advisory and investment opportunities are assessed across sectors for potential inclusive interventions, with the aim of increasing the development impact. Additionally, standalone gender and inclusion advisory projects provide targeted interventions, such as peer learning platforms to address country-specific inclusion gaps. These projects also address a lack of localised data or tools to build the business case for gender equality and disability inclusion in the private sector</w:t>
      </w:r>
      <w:r>
        <w:rPr>
          <w:rFonts w:ascii="Calibri" w:hAnsi="Calibri" w:cs="Calibri"/>
          <w:color w:val="000000"/>
          <w:sz w:val="22"/>
          <w:szCs w:val="22"/>
        </w:rPr>
        <w:t>.</w:t>
      </w:r>
    </w:p>
    <w:p w14:paraId="2BEA9C7F" w14:textId="77777777" w:rsidR="00217980" w:rsidRPr="00C723E0" w:rsidRDefault="00217980" w:rsidP="00217980">
      <w:pPr>
        <w:pStyle w:val="Default"/>
        <w:spacing w:after="120"/>
        <w:jc w:val="both"/>
        <w:rPr>
          <w:sz w:val="22"/>
          <w:szCs w:val="22"/>
          <w:lang w:val="en-AU"/>
        </w:rPr>
      </w:pPr>
      <w:r w:rsidRPr="00C723E0">
        <w:rPr>
          <w:sz w:val="22"/>
          <w:szCs w:val="22"/>
          <w:lang w:val="en-AU"/>
        </w:rPr>
        <w:t xml:space="preserve">More importantly, the project seeks to provide avenues and opportunities for women to return to the workforce and address the barriers they face. The Advance2Equal project is a good example that continues to build upon the Fiji Winvest Project (a predecessor project also supported by the Fiji Partnership) to address workplace barriers to gender equality, such as Gender Based Violence (GBV) and childcare, which impact staff retention and absenteeism. </w:t>
      </w:r>
      <w:r w:rsidRPr="00A26E3C">
        <w:rPr>
          <w:sz w:val="22"/>
          <w:szCs w:val="22"/>
          <w:lang w:val="en-AU"/>
        </w:rPr>
        <w:t>The Rakorako peer-learning platform, delivered under the Fiji Winvest project, had 28 participating firms, of which: 14 reported introducing/improving at least 1 policy on GBV; 12 reported introducing/improving at least 1 childcare related policy; 11 introduced anti-sexual harassment policies; 8 introduced anti-bullying and GBV policies, and 7 introduced flexible workplace policies. One of these clients interviewed through the evaluation noted that the policies developed as part of the program are still in use and form the basis of one of their five day staff induction.</w:t>
      </w:r>
    </w:p>
    <w:p w14:paraId="1C83ADA0" w14:textId="6CFF3A98" w:rsidR="00217980" w:rsidRPr="00A26E3C" w:rsidRDefault="00217980" w:rsidP="00A26E3C">
      <w:pPr>
        <w:spacing w:after="120"/>
        <w:jc w:val="both"/>
        <w:rPr>
          <w:rFonts w:ascii="Calibri" w:hAnsi="Calibri" w:cs="Calibri"/>
          <w:sz w:val="22"/>
          <w:szCs w:val="22"/>
          <w:lang w:val="en-AU"/>
        </w:rPr>
      </w:pPr>
      <w:r w:rsidRPr="4EF1951E">
        <w:rPr>
          <w:rFonts w:ascii="Calibri" w:hAnsi="Calibri" w:cs="Calibri"/>
          <w:sz w:val="22"/>
          <w:szCs w:val="22"/>
          <w:lang w:val="en-AU"/>
        </w:rPr>
        <w:t xml:space="preserve">Under the Fiji Winvest project, business cases were developed that have created the evidence base for private sector and firm-level responses. The published deliverables include: </w:t>
      </w:r>
      <w:r w:rsidRPr="4EF1951E">
        <w:rPr>
          <w:rFonts w:ascii="Calibri" w:hAnsi="Calibri" w:cs="Calibri"/>
          <w:i/>
          <w:iCs/>
          <w:sz w:val="22"/>
          <w:szCs w:val="22"/>
          <w:lang w:val="en-AU"/>
        </w:rPr>
        <w:t xml:space="preserve">The </w:t>
      </w:r>
      <w:hyperlink r:id="rId22">
        <w:r w:rsidRPr="4EF1951E">
          <w:rPr>
            <w:rStyle w:val="Hyperlink"/>
            <w:rFonts w:ascii="Calibri" w:hAnsi="Calibri" w:cs="Calibri"/>
            <w:b/>
            <w:bCs/>
            <w:i/>
            <w:iCs/>
            <w:color w:val="156082" w:themeColor="accent1"/>
            <w:sz w:val="22"/>
            <w:szCs w:val="22"/>
            <w:lang w:val="en-AU"/>
          </w:rPr>
          <w:t>Business Case for Employer-Supported Childcare in Fiji</w:t>
        </w:r>
      </w:hyperlink>
      <w:r w:rsidRPr="4EF1951E">
        <w:rPr>
          <w:rFonts w:ascii="Calibri" w:hAnsi="Calibri" w:cs="Calibri"/>
          <w:i/>
          <w:iCs/>
          <w:color w:val="156082" w:themeColor="accent1"/>
          <w:sz w:val="22"/>
          <w:szCs w:val="22"/>
          <w:lang w:val="en-AU"/>
        </w:rPr>
        <w:t xml:space="preserve"> </w:t>
      </w:r>
      <w:r w:rsidRPr="4EF1951E">
        <w:rPr>
          <w:rFonts w:ascii="Calibri" w:hAnsi="Calibri" w:cs="Calibri"/>
          <w:sz w:val="22"/>
          <w:szCs w:val="22"/>
          <w:lang w:val="en-AU"/>
        </w:rPr>
        <w:t>and</w:t>
      </w:r>
      <w:r w:rsidRPr="4EF1951E">
        <w:rPr>
          <w:rFonts w:ascii="Calibri" w:hAnsi="Calibri" w:cs="Calibri"/>
          <w:i/>
          <w:iCs/>
          <w:sz w:val="22"/>
          <w:szCs w:val="22"/>
          <w:lang w:val="en-AU"/>
        </w:rPr>
        <w:t xml:space="preserve"> </w:t>
      </w:r>
      <w:hyperlink r:id="rId23">
        <w:r w:rsidRPr="4EF1951E">
          <w:rPr>
            <w:rStyle w:val="Hyperlink"/>
            <w:rFonts w:ascii="Calibri" w:hAnsi="Calibri" w:cs="Calibri"/>
            <w:b/>
            <w:bCs/>
            <w:i/>
            <w:iCs/>
            <w:color w:val="156082" w:themeColor="accent1"/>
            <w:sz w:val="22"/>
            <w:szCs w:val="22"/>
            <w:lang w:val="en-AU"/>
          </w:rPr>
          <w:t>The Business Case for Workplace Responses to Domestic and Sexual Violence in Fiji</w:t>
        </w:r>
      </w:hyperlink>
      <w:r w:rsidRPr="4EF1951E">
        <w:rPr>
          <w:rFonts w:ascii="Calibri" w:hAnsi="Calibri" w:cs="Calibri"/>
          <w:b/>
          <w:bCs/>
          <w:i/>
          <w:iCs/>
          <w:color w:val="156082" w:themeColor="accent1"/>
          <w:sz w:val="22"/>
          <w:szCs w:val="22"/>
          <w:lang w:val="en-AU"/>
        </w:rPr>
        <w:t>.</w:t>
      </w:r>
      <w:r w:rsidRPr="4EF1951E">
        <w:rPr>
          <w:rFonts w:ascii="Calibri" w:hAnsi="Calibri" w:cs="Calibri"/>
          <w:b/>
          <w:bCs/>
          <w:i/>
          <w:iCs/>
          <w:sz w:val="22"/>
          <w:szCs w:val="22"/>
          <w:lang w:val="en-AU"/>
        </w:rPr>
        <w:t xml:space="preserve"> </w:t>
      </w:r>
      <w:r w:rsidRPr="4EF1951E">
        <w:rPr>
          <w:rFonts w:ascii="Calibri" w:hAnsi="Calibri" w:cs="Calibri"/>
          <w:sz w:val="22"/>
          <w:szCs w:val="22"/>
          <w:lang w:val="en-AU"/>
        </w:rPr>
        <w:t xml:space="preserve">Under Advance2Equal, IFC is developing an additional diagnostic to develop a Guide on Inclusive Climate Action for companies in the tourism sector. </w:t>
      </w:r>
      <w:r w:rsidRPr="4EF1951E">
        <w:rPr>
          <w:rFonts w:ascii="Calibri" w:hAnsi="Calibri" w:cs="Calibri"/>
          <w:i/>
          <w:iCs/>
          <w:sz w:val="22"/>
          <w:szCs w:val="22"/>
          <w:lang w:val="en-AU"/>
        </w:rPr>
        <w:t xml:space="preserve"> </w:t>
      </w:r>
      <w:r w:rsidRPr="4EF1951E">
        <w:rPr>
          <w:rFonts w:ascii="Calibri" w:hAnsi="Calibri" w:cs="Calibri"/>
          <w:sz w:val="22"/>
          <w:szCs w:val="22"/>
          <w:lang w:val="en-AU"/>
        </w:rPr>
        <w:t xml:space="preserve"> </w:t>
      </w:r>
    </w:p>
    <w:p w14:paraId="2B710C97" w14:textId="1BB2B98F" w:rsidR="00DA633F" w:rsidRPr="00A26E3C" w:rsidRDefault="00DA633F" w:rsidP="00A26E3C">
      <w:pPr>
        <w:spacing w:after="120"/>
        <w:jc w:val="both"/>
        <w:rPr>
          <w:rFonts w:ascii="Calibri" w:hAnsi="Calibri" w:cs="Calibri"/>
          <w:color w:val="000000"/>
        </w:rPr>
      </w:pPr>
      <w:r w:rsidRPr="00A26E3C">
        <w:rPr>
          <w:rFonts w:ascii="Calibri" w:hAnsi="Calibri" w:cs="Calibri"/>
          <w:b/>
          <w:bCs/>
          <w:color w:val="000000"/>
          <w:sz w:val="22"/>
          <w:szCs w:val="22"/>
        </w:rPr>
        <w:t>The program has also adequately addressed di</w:t>
      </w:r>
      <w:r w:rsidR="0073555D">
        <w:rPr>
          <w:rFonts w:ascii="Calibri" w:hAnsi="Calibri" w:cs="Calibri"/>
          <w:b/>
          <w:bCs/>
          <w:color w:val="000000"/>
          <w:sz w:val="22"/>
          <w:szCs w:val="22"/>
        </w:rPr>
        <w:t>s</w:t>
      </w:r>
      <w:r w:rsidRPr="00A26E3C">
        <w:rPr>
          <w:rFonts w:ascii="Calibri" w:hAnsi="Calibri" w:cs="Calibri"/>
          <w:b/>
          <w:bCs/>
          <w:color w:val="000000"/>
          <w:sz w:val="22"/>
          <w:szCs w:val="22"/>
        </w:rPr>
        <w:t>ability inclusive approaches.</w:t>
      </w:r>
      <w:r>
        <w:rPr>
          <w:rFonts w:ascii="Calibri" w:hAnsi="Calibri" w:cs="Calibri"/>
          <w:color w:val="000000"/>
          <w:sz w:val="22"/>
          <w:szCs w:val="22"/>
        </w:rPr>
        <w:t xml:space="preserve"> </w:t>
      </w:r>
      <w:r w:rsidRPr="00A26E3C">
        <w:rPr>
          <w:rFonts w:ascii="Calibri" w:hAnsi="Calibri" w:cs="Calibri"/>
          <w:color w:val="000000"/>
          <w:sz w:val="22"/>
          <w:szCs w:val="22"/>
        </w:rPr>
        <w:t xml:space="preserve">Already through the Partnership disability inclusion considerations have informed: the development of the International Visitor Survey (now includes questions relating to persons living with a disability); the National Sustainable Tourism Framework (incorporates disability-inclusive outcomes and actions across all four of its goals); a diagnostic assessment for a large company on setting up a child care </w:t>
      </w:r>
      <w:r w:rsidR="0033437A" w:rsidRPr="00A26E3C">
        <w:rPr>
          <w:rFonts w:ascii="Calibri" w:hAnsi="Calibri" w:cs="Calibri"/>
          <w:color w:val="000000"/>
          <w:sz w:val="22"/>
          <w:szCs w:val="22"/>
        </w:rPr>
        <w:t>centre</w:t>
      </w:r>
      <w:r w:rsidRPr="00A26E3C">
        <w:rPr>
          <w:rFonts w:ascii="Calibri" w:hAnsi="Calibri" w:cs="Calibri"/>
          <w:color w:val="000000"/>
          <w:sz w:val="22"/>
          <w:szCs w:val="22"/>
        </w:rPr>
        <w:t xml:space="preserve"> (included questions relating to disability inclusion in the staff survey); and the inclusion of disability-friendly design aspects as part of the Fiji Affordable Housing PPP transaction structure. In addition, the new national payment system will enhance access and ease of using payment services for all Fijians, including persons with a disability. IFC will also embed gender and disability inclusion considerations in the collection of data and development of a Practical Guide for Inclusive Climate Action in Fiji’s Tourism Sector (under the Advance2Equal project).  </w:t>
      </w:r>
    </w:p>
    <w:p w14:paraId="481B0938" w14:textId="7BA0DDE7" w:rsidR="00627C79" w:rsidRPr="00C723E0" w:rsidRDefault="00627C79" w:rsidP="00FA180C">
      <w:pPr>
        <w:autoSpaceDE w:val="0"/>
        <w:autoSpaceDN w:val="0"/>
        <w:adjustRightInd w:val="0"/>
        <w:spacing w:after="120"/>
        <w:jc w:val="both"/>
        <w:rPr>
          <w:rFonts w:ascii="Calibri" w:eastAsiaTheme="minorHAnsi" w:hAnsi="Calibri" w:cs="Calibri"/>
          <w:color w:val="000000"/>
          <w:sz w:val="22"/>
          <w:szCs w:val="22"/>
          <w:lang w:val="en-AU"/>
          <w14:ligatures w14:val="standardContextual"/>
        </w:rPr>
      </w:pPr>
      <w:r w:rsidRPr="00C723E0">
        <w:rPr>
          <w:rFonts w:ascii="Calibri" w:eastAsiaTheme="minorHAnsi" w:hAnsi="Calibri" w:cs="Calibri"/>
          <w:b/>
          <w:bCs/>
          <w:color w:val="000000"/>
          <w:sz w:val="22"/>
          <w:szCs w:val="22"/>
          <w:lang w:val="en-AU"/>
          <w14:ligatures w14:val="standardContextual"/>
        </w:rPr>
        <w:t>Overall</w:t>
      </w:r>
      <w:r w:rsidR="003221AD" w:rsidRPr="00C723E0">
        <w:rPr>
          <w:rFonts w:ascii="Calibri" w:eastAsiaTheme="minorHAnsi" w:hAnsi="Calibri" w:cs="Calibri"/>
          <w:b/>
          <w:bCs/>
          <w:color w:val="000000"/>
          <w:sz w:val="22"/>
          <w:szCs w:val="22"/>
          <w:lang w:val="en-AU"/>
          <w14:ligatures w14:val="standardContextual"/>
        </w:rPr>
        <w:t>,</w:t>
      </w:r>
      <w:r w:rsidRPr="00C723E0">
        <w:rPr>
          <w:rFonts w:ascii="Calibri" w:eastAsiaTheme="minorHAnsi" w:hAnsi="Calibri" w:cs="Calibri"/>
          <w:b/>
          <w:bCs/>
          <w:color w:val="000000"/>
          <w:sz w:val="22"/>
          <w:szCs w:val="22"/>
          <w:lang w:val="en-AU"/>
          <w14:ligatures w14:val="standardContextual"/>
        </w:rPr>
        <w:t xml:space="preserve"> Pillar 3 activities are critical in supporting the broader enabling environment (under Pillar 1) and help</w:t>
      </w:r>
      <w:r w:rsidR="003221AD" w:rsidRPr="00C723E0">
        <w:rPr>
          <w:rFonts w:ascii="Calibri" w:eastAsiaTheme="minorHAnsi" w:hAnsi="Calibri" w:cs="Calibri"/>
          <w:b/>
          <w:bCs/>
          <w:color w:val="000000"/>
          <w:sz w:val="22"/>
          <w:szCs w:val="22"/>
          <w:lang w:val="en-AU"/>
          <w14:ligatures w14:val="standardContextual"/>
        </w:rPr>
        <w:t>ing</w:t>
      </w:r>
      <w:r w:rsidRPr="00C723E0">
        <w:rPr>
          <w:rFonts w:ascii="Calibri" w:eastAsiaTheme="minorHAnsi" w:hAnsi="Calibri" w:cs="Calibri"/>
          <w:b/>
          <w:bCs/>
          <w:color w:val="000000"/>
          <w:sz w:val="22"/>
          <w:szCs w:val="22"/>
          <w:lang w:val="en-AU"/>
          <w14:ligatures w14:val="standardContextual"/>
        </w:rPr>
        <w:t xml:space="preserve"> support potential financing options (under Pillar 2)</w:t>
      </w:r>
      <w:r w:rsidRPr="00C723E0">
        <w:rPr>
          <w:rFonts w:ascii="Calibri" w:eastAsiaTheme="minorHAnsi" w:hAnsi="Calibri" w:cs="Calibri"/>
          <w:color w:val="000000"/>
          <w:sz w:val="22"/>
          <w:szCs w:val="22"/>
          <w:lang w:val="en-AU"/>
          <w14:ligatures w14:val="standardContextual"/>
        </w:rPr>
        <w:t xml:space="preserve">. The </w:t>
      </w:r>
      <w:r w:rsidR="003221AD" w:rsidRPr="00C723E0">
        <w:rPr>
          <w:rFonts w:ascii="Calibri" w:eastAsiaTheme="minorHAnsi" w:hAnsi="Calibri" w:cs="Calibri"/>
          <w:color w:val="000000"/>
          <w:sz w:val="22"/>
          <w:szCs w:val="22"/>
          <w:lang w:val="en-AU"/>
          <w14:ligatures w14:val="standardContextual"/>
        </w:rPr>
        <w:t>investments</w:t>
      </w:r>
      <w:r w:rsidRPr="00C723E0">
        <w:rPr>
          <w:rFonts w:ascii="Calibri" w:eastAsiaTheme="minorHAnsi" w:hAnsi="Calibri" w:cs="Calibri"/>
          <w:color w:val="000000"/>
          <w:sz w:val="22"/>
          <w:szCs w:val="22"/>
          <w:lang w:val="en-AU"/>
          <w14:ligatures w14:val="standardContextual"/>
        </w:rPr>
        <w:t xml:space="preserve"> supported under the pillar are strategic in nature but provide opportunities and additional entry points to </w:t>
      </w:r>
      <w:r w:rsidR="003221AD" w:rsidRPr="00C723E0">
        <w:rPr>
          <w:rFonts w:ascii="Calibri" w:eastAsiaTheme="minorHAnsi" w:hAnsi="Calibri" w:cs="Calibri"/>
          <w:color w:val="000000"/>
          <w:sz w:val="22"/>
          <w:szCs w:val="22"/>
          <w:lang w:val="en-AU"/>
          <w14:ligatures w14:val="standardContextual"/>
        </w:rPr>
        <w:t>provide</w:t>
      </w:r>
      <w:r w:rsidRPr="00C723E0">
        <w:rPr>
          <w:rFonts w:ascii="Calibri" w:eastAsiaTheme="minorHAnsi" w:hAnsi="Calibri" w:cs="Calibri"/>
          <w:color w:val="000000"/>
          <w:sz w:val="22"/>
          <w:szCs w:val="22"/>
          <w:lang w:val="en-AU"/>
          <w14:ligatures w14:val="standardContextual"/>
        </w:rPr>
        <w:t xml:space="preserve"> targeted support that address</w:t>
      </w:r>
      <w:r w:rsidR="003221AD" w:rsidRPr="00C723E0">
        <w:rPr>
          <w:rFonts w:ascii="Calibri" w:eastAsiaTheme="minorHAnsi" w:hAnsi="Calibri" w:cs="Calibri"/>
          <w:color w:val="000000"/>
          <w:sz w:val="22"/>
          <w:szCs w:val="22"/>
          <w:lang w:val="en-AU"/>
          <w14:ligatures w14:val="standardContextual"/>
        </w:rPr>
        <w:t>es</w:t>
      </w:r>
      <w:r w:rsidRPr="00C723E0">
        <w:rPr>
          <w:rFonts w:ascii="Calibri" w:eastAsiaTheme="minorHAnsi" w:hAnsi="Calibri" w:cs="Calibri"/>
          <w:color w:val="000000"/>
          <w:sz w:val="22"/>
          <w:szCs w:val="22"/>
          <w:lang w:val="en-AU"/>
          <w14:ligatures w14:val="standardContextual"/>
        </w:rPr>
        <w:t xml:space="preserve"> specific needs and priorities in both the public and private sectors.</w:t>
      </w:r>
    </w:p>
    <w:p w14:paraId="521D8712" w14:textId="7E79A422" w:rsidR="00EB46EC" w:rsidRPr="00C723E0" w:rsidRDefault="00DF0A19" w:rsidP="00FA180C">
      <w:pPr>
        <w:autoSpaceDE w:val="0"/>
        <w:autoSpaceDN w:val="0"/>
        <w:adjustRightInd w:val="0"/>
        <w:spacing w:after="120"/>
        <w:jc w:val="both"/>
        <w:rPr>
          <w:rFonts w:ascii="Calibri" w:eastAsiaTheme="minorHAnsi" w:hAnsi="Calibri" w:cs="Calibri"/>
          <w:color w:val="000000"/>
          <w:sz w:val="22"/>
          <w:szCs w:val="22"/>
          <w:lang w:val="en-AU"/>
          <w14:ligatures w14:val="standardContextual"/>
        </w:rPr>
      </w:pPr>
      <w:r>
        <w:rPr>
          <w:rFonts w:ascii="Calibri" w:eastAsiaTheme="minorHAnsi" w:hAnsi="Calibri" w:cs="Calibri"/>
          <w:color w:val="000000"/>
          <w:sz w:val="22"/>
          <w:szCs w:val="22"/>
          <w:lang w:val="en-AU"/>
          <w14:ligatures w14:val="standardContextual"/>
        </w:rPr>
        <w:t>A</w:t>
      </w:r>
      <w:r w:rsidR="00EB46EC" w:rsidRPr="00C723E0">
        <w:rPr>
          <w:rFonts w:ascii="Calibri" w:eastAsiaTheme="minorHAnsi" w:hAnsi="Calibri" w:cs="Calibri"/>
          <w:color w:val="000000"/>
          <w:sz w:val="22"/>
          <w:szCs w:val="22"/>
          <w:lang w:val="en-AU"/>
          <w14:ligatures w14:val="standardContextual"/>
        </w:rPr>
        <w:t xml:space="preserve"> series of impact stories</w:t>
      </w:r>
      <w:r w:rsidR="00736849" w:rsidRPr="00C723E0">
        <w:rPr>
          <w:rFonts w:ascii="Calibri" w:eastAsiaTheme="minorHAnsi" w:hAnsi="Calibri" w:cs="Calibri"/>
          <w:color w:val="000000"/>
          <w:sz w:val="22"/>
          <w:szCs w:val="22"/>
          <w:lang w:val="en-AU"/>
          <w14:ligatures w14:val="standardContextual"/>
        </w:rPr>
        <w:t xml:space="preserve"> and press releases</w:t>
      </w:r>
      <w:r w:rsidR="00EB46EC" w:rsidRPr="00C723E0">
        <w:rPr>
          <w:rFonts w:ascii="Calibri" w:eastAsiaTheme="minorHAnsi" w:hAnsi="Calibri" w:cs="Calibri"/>
          <w:color w:val="000000"/>
          <w:sz w:val="22"/>
          <w:szCs w:val="22"/>
          <w:lang w:val="en-AU"/>
          <w14:ligatures w14:val="standardContextual"/>
        </w:rPr>
        <w:t xml:space="preserve"> ha</w:t>
      </w:r>
      <w:r w:rsidR="00021BA2" w:rsidRPr="00C723E0">
        <w:rPr>
          <w:rFonts w:ascii="Calibri" w:eastAsiaTheme="minorHAnsi" w:hAnsi="Calibri" w:cs="Calibri"/>
          <w:color w:val="000000"/>
          <w:sz w:val="22"/>
          <w:szCs w:val="22"/>
          <w:lang w:val="en-AU"/>
          <w14:ligatures w14:val="standardContextual"/>
        </w:rPr>
        <w:t>ve</w:t>
      </w:r>
      <w:r w:rsidR="00EB46EC" w:rsidRPr="00C723E0">
        <w:rPr>
          <w:rFonts w:ascii="Calibri" w:eastAsiaTheme="minorHAnsi" w:hAnsi="Calibri" w:cs="Calibri"/>
          <w:color w:val="000000"/>
          <w:sz w:val="22"/>
          <w:szCs w:val="22"/>
          <w:lang w:val="en-AU"/>
          <w14:ligatures w14:val="standardContextual"/>
        </w:rPr>
        <w:t xml:space="preserve"> been included </w:t>
      </w:r>
      <w:r>
        <w:rPr>
          <w:rFonts w:ascii="Calibri" w:eastAsiaTheme="minorHAnsi" w:hAnsi="Calibri" w:cs="Calibri"/>
          <w:color w:val="000000"/>
          <w:sz w:val="22"/>
          <w:szCs w:val="22"/>
          <w:lang w:val="en-AU"/>
          <w14:ligatures w14:val="standardContextual"/>
        </w:rPr>
        <w:t xml:space="preserve">to complement the reported results, </w:t>
      </w:r>
      <w:r w:rsidR="00EB46EC" w:rsidRPr="00C723E0">
        <w:rPr>
          <w:rFonts w:ascii="Calibri" w:eastAsiaTheme="minorHAnsi" w:hAnsi="Calibri" w:cs="Calibri"/>
          <w:color w:val="000000"/>
          <w:sz w:val="22"/>
          <w:szCs w:val="22"/>
          <w:lang w:val="en-AU"/>
          <w14:ligatures w14:val="standardContextual"/>
        </w:rPr>
        <w:t xml:space="preserve">as Annex 6 to support the evidence base for key findings and results. </w:t>
      </w:r>
    </w:p>
    <w:p w14:paraId="42BEE115" w14:textId="5DF24D03" w:rsidR="00140B4F" w:rsidRPr="00116737" w:rsidRDefault="00140B4F" w:rsidP="00116737">
      <w:pPr>
        <w:pStyle w:val="Heading3"/>
        <w:rPr>
          <w:rFonts w:ascii="Calibri" w:hAnsi="Calibri"/>
          <w:i w:val="0"/>
          <w:color w:val="0E2841" w:themeColor="text2"/>
          <w:lang w:val="en-AU"/>
        </w:rPr>
      </w:pPr>
      <w:bookmarkStart w:id="42" w:name="_Toc201131778"/>
      <w:r w:rsidRPr="00116737">
        <w:rPr>
          <w:rFonts w:ascii="Calibri" w:hAnsi="Calibri"/>
          <w:i w:val="0"/>
          <w:color w:val="0E2841" w:themeColor="text2"/>
          <w:lang w:val="en-AU"/>
        </w:rPr>
        <w:lastRenderedPageBreak/>
        <w:t>Challenges and Barriers</w:t>
      </w:r>
      <w:bookmarkEnd w:id="42"/>
    </w:p>
    <w:p w14:paraId="37B6AA86" w14:textId="7A468A24" w:rsidR="006E2C48" w:rsidRPr="00C723E0" w:rsidRDefault="006E2C48" w:rsidP="00FA180C">
      <w:pPr>
        <w:spacing w:after="120"/>
        <w:jc w:val="both"/>
        <w:rPr>
          <w:rFonts w:ascii="Calibri" w:hAnsi="Calibri" w:cs="Calibri"/>
          <w:sz w:val="22"/>
          <w:szCs w:val="22"/>
          <w:lang w:val="en-AU"/>
        </w:rPr>
      </w:pPr>
      <w:r w:rsidRPr="00C723E0">
        <w:rPr>
          <w:rFonts w:ascii="Calibri" w:hAnsi="Calibri" w:cs="Calibri"/>
          <w:sz w:val="22"/>
          <w:szCs w:val="22"/>
          <w:lang w:val="en-AU"/>
        </w:rPr>
        <w:t xml:space="preserve">The </w:t>
      </w:r>
      <w:r w:rsidR="00FA180C" w:rsidRPr="00C723E0">
        <w:rPr>
          <w:rFonts w:ascii="Calibri" w:hAnsi="Calibri" w:cs="Calibri"/>
          <w:sz w:val="22"/>
          <w:szCs w:val="22"/>
          <w:lang w:val="en-AU"/>
        </w:rPr>
        <w:t>p</w:t>
      </w:r>
      <w:r w:rsidRPr="00C723E0">
        <w:rPr>
          <w:rFonts w:ascii="Calibri" w:hAnsi="Calibri" w:cs="Calibri"/>
          <w:sz w:val="22"/>
          <w:szCs w:val="22"/>
          <w:lang w:val="en-AU"/>
        </w:rPr>
        <w:t>rogram con</w:t>
      </w:r>
      <w:r w:rsidR="00FA180C" w:rsidRPr="00C723E0">
        <w:rPr>
          <w:rFonts w:ascii="Calibri" w:hAnsi="Calibri" w:cs="Calibri"/>
          <w:sz w:val="22"/>
          <w:szCs w:val="22"/>
          <w:lang w:val="en-AU"/>
        </w:rPr>
        <w:t>ti</w:t>
      </w:r>
      <w:r w:rsidRPr="00C723E0">
        <w:rPr>
          <w:rFonts w:ascii="Calibri" w:hAnsi="Calibri" w:cs="Calibri"/>
          <w:sz w:val="22"/>
          <w:szCs w:val="22"/>
          <w:lang w:val="en-AU"/>
        </w:rPr>
        <w:t>nues to operate in a d</w:t>
      </w:r>
      <w:r w:rsidR="00FA180C" w:rsidRPr="00C723E0">
        <w:rPr>
          <w:rFonts w:ascii="Calibri" w:hAnsi="Calibri" w:cs="Calibri"/>
          <w:sz w:val="22"/>
          <w:szCs w:val="22"/>
          <w:lang w:val="en-AU"/>
        </w:rPr>
        <w:t>ynamic and</w:t>
      </w:r>
      <w:r w:rsidRPr="00C723E0">
        <w:rPr>
          <w:rFonts w:ascii="Calibri" w:hAnsi="Calibri" w:cs="Calibri"/>
          <w:sz w:val="22"/>
          <w:szCs w:val="22"/>
          <w:lang w:val="en-AU"/>
        </w:rPr>
        <w:t xml:space="preserve"> fluid context. Chal</w:t>
      </w:r>
      <w:r w:rsidR="00FA180C" w:rsidRPr="00C723E0">
        <w:rPr>
          <w:rFonts w:ascii="Calibri" w:hAnsi="Calibri" w:cs="Calibri"/>
          <w:sz w:val="22"/>
          <w:szCs w:val="22"/>
          <w:lang w:val="en-AU"/>
        </w:rPr>
        <w:t>l</w:t>
      </w:r>
      <w:r w:rsidRPr="00C723E0">
        <w:rPr>
          <w:rFonts w:ascii="Calibri" w:hAnsi="Calibri" w:cs="Calibri"/>
          <w:sz w:val="22"/>
          <w:szCs w:val="22"/>
          <w:lang w:val="en-AU"/>
        </w:rPr>
        <w:t>enges have been minimised given the solid partnership arrangement a</w:t>
      </w:r>
      <w:r w:rsidR="00FA180C" w:rsidRPr="00C723E0">
        <w:rPr>
          <w:rFonts w:ascii="Calibri" w:hAnsi="Calibri" w:cs="Calibri"/>
          <w:sz w:val="22"/>
          <w:szCs w:val="22"/>
          <w:lang w:val="en-AU"/>
        </w:rPr>
        <w:t>nd</w:t>
      </w:r>
      <w:r w:rsidRPr="00C723E0">
        <w:rPr>
          <w:rFonts w:ascii="Calibri" w:hAnsi="Calibri" w:cs="Calibri"/>
          <w:sz w:val="22"/>
          <w:szCs w:val="22"/>
          <w:lang w:val="en-AU"/>
        </w:rPr>
        <w:t xml:space="preserve"> the </w:t>
      </w:r>
      <w:r w:rsidR="00627C79" w:rsidRPr="00C723E0">
        <w:rPr>
          <w:rFonts w:ascii="Calibri" w:hAnsi="Calibri" w:cs="Calibri"/>
          <w:sz w:val="22"/>
          <w:szCs w:val="22"/>
          <w:lang w:val="en-AU"/>
        </w:rPr>
        <w:t>support targeting</w:t>
      </w:r>
      <w:r w:rsidRPr="00C723E0">
        <w:rPr>
          <w:rFonts w:ascii="Calibri" w:hAnsi="Calibri" w:cs="Calibri"/>
          <w:sz w:val="22"/>
          <w:szCs w:val="22"/>
          <w:lang w:val="en-AU"/>
        </w:rPr>
        <w:t xml:space="preserve"> based on previous experience and technical expertise. How</w:t>
      </w:r>
      <w:r w:rsidR="00FA180C" w:rsidRPr="00C723E0">
        <w:rPr>
          <w:rFonts w:ascii="Calibri" w:hAnsi="Calibri" w:cs="Calibri"/>
          <w:sz w:val="22"/>
          <w:szCs w:val="22"/>
          <w:lang w:val="en-AU"/>
        </w:rPr>
        <w:t>ev</w:t>
      </w:r>
      <w:r w:rsidRPr="00C723E0">
        <w:rPr>
          <w:rFonts w:ascii="Calibri" w:hAnsi="Calibri" w:cs="Calibri"/>
          <w:sz w:val="22"/>
          <w:szCs w:val="22"/>
          <w:lang w:val="en-AU"/>
        </w:rPr>
        <w:t xml:space="preserve">er, it is </w:t>
      </w:r>
      <w:r w:rsidR="00FA180C" w:rsidRPr="00C723E0">
        <w:rPr>
          <w:rFonts w:ascii="Calibri" w:hAnsi="Calibri" w:cs="Calibri"/>
          <w:sz w:val="22"/>
          <w:szCs w:val="22"/>
          <w:lang w:val="en-AU"/>
        </w:rPr>
        <w:t>crucial</w:t>
      </w:r>
      <w:r w:rsidRPr="00C723E0">
        <w:rPr>
          <w:rFonts w:ascii="Calibri" w:hAnsi="Calibri" w:cs="Calibri"/>
          <w:sz w:val="22"/>
          <w:szCs w:val="22"/>
          <w:lang w:val="en-AU"/>
        </w:rPr>
        <w:t xml:space="preserve"> to no</w:t>
      </w:r>
      <w:r w:rsidR="00FA180C" w:rsidRPr="00C723E0">
        <w:rPr>
          <w:rFonts w:ascii="Calibri" w:hAnsi="Calibri" w:cs="Calibri"/>
          <w:sz w:val="22"/>
          <w:szCs w:val="22"/>
          <w:lang w:val="en-AU"/>
        </w:rPr>
        <w:t>t</w:t>
      </w:r>
      <w:r w:rsidRPr="00C723E0">
        <w:rPr>
          <w:rFonts w:ascii="Calibri" w:hAnsi="Calibri" w:cs="Calibri"/>
          <w:sz w:val="22"/>
          <w:szCs w:val="22"/>
          <w:lang w:val="en-AU"/>
        </w:rPr>
        <w:t>e that consultations and interviews indicated several potential barriers and cha</w:t>
      </w:r>
      <w:r w:rsidR="00FA180C" w:rsidRPr="00C723E0">
        <w:rPr>
          <w:rFonts w:ascii="Calibri" w:hAnsi="Calibri" w:cs="Calibri"/>
          <w:sz w:val="22"/>
          <w:szCs w:val="22"/>
          <w:lang w:val="en-AU"/>
        </w:rPr>
        <w:t>nge</w:t>
      </w:r>
      <w:r w:rsidRPr="00C723E0">
        <w:rPr>
          <w:rFonts w:ascii="Calibri" w:hAnsi="Calibri" w:cs="Calibri"/>
          <w:sz w:val="22"/>
          <w:szCs w:val="22"/>
          <w:lang w:val="en-AU"/>
        </w:rPr>
        <w:t>s that may impede and</w:t>
      </w:r>
      <w:r w:rsidR="00FA180C" w:rsidRPr="00C723E0">
        <w:rPr>
          <w:rFonts w:ascii="Calibri" w:hAnsi="Calibri" w:cs="Calibri"/>
          <w:sz w:val="22"/>
          <w:szCs w:val="22"/>
          <w:lang w:val="en-AU"/>
        </w:rPr>
        <w:t>,</w:t>
      </w:r>
      <w:r w:rsidRPr="00C723E0">
        <w:rPr>
          <w:rFonts w:ascii="Calibri" w:hAnsi="Calibri" w:cs="Calibri"/>
          <w:sz w:val="22"/>
          <w:szCs w:val="22"/>
          <w:lang w:val="en-AU"/>
        </w:rPr>
        <w:t xml:space="preserve"> to a certain degree, undermine the gains made to date. These include:</w:t>
      </w:r>
    </w:p>
    <w:p w14:paraId="02879E1F" w14:textId="77777777" w:rsidR="00DF0A19" w:rsidRDefault="006E2C48" w:rsidP="00D77455">
      <w:pPr>
        <w:pStyle w:val="ListParagraph"/>
        <w:numPr>
          <w:ilvl w:val="0"/>
          <w:numId w:val="5"/>
        </w:numPr>
        <w:spacing w:after="120"/>
        <w:jc w:val="both"/>
        <w:rPr>
          <w:rFonts w:ascii="Calibri" w:hAnsi="Calibri" w:cs="Calibri"/>
          <w:sz w:val="22"/>
          <w:szCs w:val="22"/>
          <w:lang w:val="en-AU"/>
        </w:rPr>
      </w:pPr>
      <w:r w:rsidRPr="00C723E0">
        <w:rPr>
          <w:rFonts w:ascii="Calibri" w:hAnsi="Calibri" w:cs="Calibri"/>
          <w:sz w:val="22"/>
          <w:szCs w:val="22"/>
          <w:lang w:val="en-AU"/>
        </w:rPr>
        <w:t xml:space="preserve">The </w:t>
      </w:r>
      <w:r w:rsidR="00627C79" w:rsidRPr="00C723E0">
        <w:rPr>
          <w:rFonts w:ascii="Calibri" w:hAnsi="Calibri" w:cs="Calibri"/>
          <w:sz w:val="22"/>
          <w:szCs w:val="22"/>
          <w:lang w:val="en-AU"/>
        </w:rPr>
        <w:t>GoF</w:t>
      </w:r>
      <w:r w:rsidRPr="00C723E0">
        <w:rPr>
          <w:rFonts w:ascii="Calibri" w:hAnsi="Calibri" w:cs="Calibri"/>
          <w:sz w:val="22"/>
          <w:szCs w:val="22"/>
          <w:lang w:val="en-AU"/>
        </w:rPr>
        <w:t xml:space="preserve"> continues to face critical capacity shortages across </w:t>
      </w:r>
      <w:r w:rsidR="00FA180C" w:rsidRPr="00C723E0">
        <w:rPr>
          <w:rFonts w:ascii="Calibri" w:hAnsi="Calibri" w:cs="Calibri"/>
          <w:sz w:val="22"/>
          <w:szCs w:val="22"/>
          <w:lang w:val="en-AU"/>
        </w:rPr>
        <w:t>various</w:t>
      </w:r>
      <w:r w:rsidRPr="00C723E0">
        <w:rPr>
          <w:rFonts w:ascii="Calibri" w:hAnsi="Calibri" w:cs="Calibri"/>
          <w:sz w:val="22"/>
          <w:szCs w:val="22"/>
          <w:lang w:val="en-AU"/>
        </w:rPr>
        <w:t xml:space="preserve"> government fu</w:t>
      </w:r>
      <w:r w:rsidR="00FA180C" w:rsidRPr="00C723E0">
        <w:rPr>
          <w:rFonts w:ascii="Calibri" w:hAnsi="Calibri" w:cs="Calibri"/>
          <w:sz w:val="22"/>
          <w:szCs w:val="22"/>
          <w:lang w:val="en-AU"/>
        </w:rPr>
        <w:t>nc</w:t>
      </w:r>
      <w:r w:rsidRPr="00C723E0">
        <w:rPr>
          <w:rFonts w:ascii="Calibri" w:hAnsi="Calibri" w:cs="Calibri"/>
          <w:sz w:val="22"/>
          <w:szCs w:val="22"/>
          <w:lang w:val="en-AU"/>
        </w:rPr>
        <w:t>tions. Key staff are often recruited by the private sector or move abroad. While this provides significant benefits for individuals</w:t>
      </w:r>
      <w:r w:rsidR="00627C79" w:rsidRPr="00C723E0">
        <w:rPr>
          <w:rFonts w:ascii="Calibri" w:hAnsi="Calibri" w:cs="Calibri"/>
          <w:sz w:val="22"/>
          <w:szCs w:val="22"/>
          <w:lang w:val="en-AU"/>
        </w:rPr>
        <w:t xml:space="preserve"> individually</w:t>
      </w:r>
      <w:r w:rsidRPr="00C723E0">
        <w:rPr>
          <w:rFonts w:ascii="Calibri" w:hAnsi="Calibri" w:cs="Calibri"/>
          <w:sz w:val="22"/>
          <w:szCs w:val="22"/>
          <w:lang w:val="en-AU"/>
        </w:rPr>
        <w:t>, it acts as a potential block for progress in government to initiate and oversee critical reforms. Go</w:t>
      </w:r>
      <w:r w:rsidR="00FA180C" w:rsidRPr="00C723E0">
        <w:rPr>
          <w:rFonts w:ascii="Calibri" w:hAnsi="Calibri" w:cs="Calibri"/>
          <w:sz w:val="22"/>
          <w:szCs w:val="22"/>
          <w:lang w:val="en-AU"/>
        </w:rPr>
        <w:t>F</w:t>
      </w:r>
      <w:r w:rsidRPr="00C723E0">
        <w:rPr>
          <w:rFonts w:ascii="Calibri" w:hAnsi="Calibri" w:cs="Calibri"/>
          <w:sz w:val="22"/>
          <w:szCs w:val="22"/>
          <w:lang w:val="en-AU"/>
        </w:rPr>
        <w:t xml:space="preserve"> stakeho</w:t>
      </w:r>
      <w:r w:rsidR="00FA180C" w:rsidRPr="00C723E0">
        <w:rPr>
          <w:rFonts w:ascii="Calibri" w:hAnsi="Calibri" w:cs="Calibri"/>
          <w:sz w:val="22"/>
          <w:szCs w:val="22"/>
          <w:lang w:val="en-AU"/>
        </w:rPr>
        <w:t>ld</w:t>
      </w:r>
      <w:r w:rsidRPr="00C723E0">
        <w:rPr>
          <w:rFonts w:ascii="Calibri" w:hAnsi="Calibri" w:cs="Calibri"/>
          <w:sz w:val="22"/>
          <w:szCs w:val="22"/>
          <w:lang w:val="en-AU"/>
        </w:rPr>
        <w:t>ers highlighted significant capacity g</w:t>
      </w:r>
      <w:r w:rsidR="00FA180C" w:rsidRPr="00C723E0">
        <w:rPr>
          <w:rFonts w:ascii="Calibri" w:hAnsi="Calibri" w:cs="Calibri"/>
          <w:sz w:val="22"/>
          <w:szCs w:val="22"/>
          <w:lang w:val="en-AU"/>
        </w:rPr>
        <w:t>aps</w:t>
      </w:r>
      <w:r w:rsidRPr="00C723E0">
        <w:rPr>
          <w:rFonts w:ascii="Calibri" w:hAnsi="Calibri" w:cs="Calibri"/>
          <w:sz w:val="22"/>
          <w:szCs w:val="22"/>
          <w:lang w:val="en-AU"/>
        </w:rPr>
        <w:t xml:space="preserve"> in </w:t>
      </w:r>
      <w:r w:rsidR="00FA180C" w:rsidRPr="00C723E0">
        <w:rPr>
          <w:rFonts w:ascii="Calibri" w:hAnsi="Calibri" w:cs="Calibri"/>
          <w:sz w:val="22"/>
          <w:szCs w:val="22"/>
          <w:lang w:val="en-AU"/>
        </w:rPr>
        <w:t>vit</w:t>
      </w:r>
      <w:r w:rsidRPr="00C723E0">
        <w:rPr>
          <w:rFonts w:ascii="Calibri" w:hAnsi="Calibri" w:cs="Calibri"/>
          <w:sz w:val="22"/>
          <w:szCs w:val="22"/>
          <w:lang w:val="en-AU"/>
        </w:rPr>
        <w:t>al areas such as procurement, leadership and project management.</w:t>
      </w:r>
    </w:p>
    <w:p w14:paraId="00F5DA3B" w14:textId="121D20FF" w:rsidR="006E2C48" w:rsidRPr="00DF0A19" w:rsidRDefault="006E2C48" w:rsidP="00D77455">
      <w:pPr>
        <w:pStyle w:val="ListParagraph"/>
        <w:numPr>
          <w:ilvl w:val="0"/>
          <w:numId w:val="5"/>
        </w:numPr>
        <w:spacing w:after="120"/>
        <w:jc w:val="both"/>
        <w:rPr>
          <w:rFonts w:ascii="Calibri" w:hAnsi="Calibri" w:cs="Calibri"/>
          <w:sz w:val="22"/>
          <w:szCs w:val="22"/>
          <w:lang w:val="en-AU"/>
        </w:rPr>
      </w:pPr>
      <w:r w:rsidRPr="00DF0A19">
        <w:rPr>
          <w:rFonts w:ascii="Calibri" w:hAnsi="Calibri" w:cs="Calibri"/>
          <w:sz w:val="22"/>
          <w:szCs w:val="22"/>
          <w:lang w:val="en-AU"/>
        </w:rPr>
        <w:t>With ma</w:t>
      </w:r>
      <w:r w:rsidR="00FA180C" w:rsidRPr="00DF0A19">
        <w:rPr>
          <w:rFonts w:ascii="Calibri" w:hAnsi="Calibri" w:cs="Calibri"/>
          <w:sz w:val="22"/>
          <w:szCs w:val="22"/>
          <w:lang w:val="en-AU"/>
        </w:rPr>
        <w:t>ny Fijians seeking employment oversea</w:t>
      </w:r>
      <w:r w:rsidRPr="00DF0A19">
        <w:rPr>
          <w:rFonts w:ascii="Calibri" w:hAnsi="Calibri" w:cs="Calibri"/>
          <w:sz w:val="22"/>
          <w:szCs w:val="22"/>
          <w:lang w:val="en-AU"/>
        </w:rPr>
        <w:t>s and some sectors facing labour shortages, the issue of immigration has been raised. The impact i</w:t>
      </w:r>
      <w:r w:rsidR="00FA180C" w:rsidRPr="00DF0A19">
        <w:rPr>
          <w:rFonts w:ascii="Calibri" w:hAnsi="Calibri" w:cs="Calibri"/>
          <w:sz w:val="22"/>
          <w:szCs w:val="22"/>
          <w:lang w:val="en-AU"/>
        </w:rPr>
        <w:t xml:space="preserve">s </w:t>
      </w:r>
      <w:r w:rsidR="003221AD" w:rsidRPr="00DF0A19">
        <w:rPr>
          <w:rFonts w:ascii="Calibri" w:hAnsi="Calibri" w:cs="Calibri"/>
          <w:sz w:val="22"/>
          <w:szCs w:val="22"/>
          <w:lang w:val="en-AU"/>
        </w:rPr>
        <w:t>that</w:t>
      </w:r>
      <w:r w:rsidR="00FA180C" w:rsidRPr="00DF0A19">
        <w:rPr>
          <w:rFonts w:ascii="Calibri" w:hAnsi="Calibri" w:cs="Calibri"/>
          <w:sz w:val="22"/>
          <w:szCs w:val="22"/>
          <w:lang w:val="en-AU"/>
        </w:rPr>
        <w:t xml:space="preserve"> du</w:t>
      </w:r>
      <w:r w:rsidRPr="00DF0A19">
        <w:rPr>
          <w:rFonts w:ascii="Calibri" w:hAnsi="Calibri" w:cs="Calibri"/>
          <w:sz w:val="22"/>
          <w:szCs w:val="22"/>
          <w:lang w:val="en-AU"/>
        </w:rPr>
        <w:t>e to government “red</w:t>
      </w:r>
      <w:r w:rsidR="00FA180C" w:rsidRPr="00DF0A19">
        <w:rPr>
          <w:rFonts w:ascii="Calibri" w:hAnsi="Calibri" w:cs="Calibri"/>
          <w:sz w:val="22"/>
          <w:szCs w:val="22"/>
          <w:lang w:val="en-AU"/>
        </w:rPr>
        <w:t xml:space="preserve"> tape,</w:t>
      </w:r>
      <w:r w:rsidRPr="00DF0A19">
        <w:rPr>
          <w:rFonts w:ascii="Calibri" w:hAnsi="Calibri" w:cs="Calibri"/>
          <w:sz w:val="22"/>
          <w:szCs w:val="22"/>
          <w:lang w:val="en-AU"/>
        </w:rPr>
        <w:t xml:space="preserve">” seeking work and residency visas is complex and time-consuming. Private sector agencies, </w:t>
      </w:r>
      <w:r w:rsidR="00FA180C" w:rsidRPr="00DF0A19">
        <w:rPr>
          <w:rFonts w:ascii="Calibri" w:hAnsi="Calibri" w:cs="Calibri"/>
          <w:sz w:val="22"/>
          <w:szCs w:val="22"/>
          <w:lang w:val="en-AU"/>
        </w:rPr>
        <w:t xml:space="preserve">particularly tourism officers, </w:t>
      </w:r>
      <w:r w:rsidR="00627C79" w:rsidRPr="00DF0A19">
        <w:rPr>
          <w:rFonts w:ascii="Calibri" w:hAnsi="Calibri" w:cs="Calibri"/>
          <w:sz w:val="22"/>
          <w:szCs w:val="22"/>
          <w:lang w:val="en-AU"/>
        </w:rPr>
        <w:t>cannot</w:t>
      </w:r>
      <w:r w:rsidRPr="00DF0A19">
        <w:rPr>
          <w:rFonts w:ascii="Calibri" w:hAnsi="Calibri" w:cs="Calibri"/>
          <w:sz w:val="22"/>
          <w:szCs w:val="22"/>
          <w:lang w:val="en-AU"/>
        </w:rPr>
        <w:t xml:space="preserve"> access quality staff to fill critical gaps.</w:t>
      </w:r>
    </w:p>
    <w:p w14:paraId="4A811CFC" w14:textId="435AF38F" w:rsidR="006E2C48" w:rsidRPr="00C723E0" w:rsidRDefault="006E2C48" w:rsidP="00D77455">
      <w:pPr>
        <w:pStyle w:val="ListParagraph"/>
        <w:numPr>
          <w:ilvl w:val="0"/>
          <w:numId w:val="5"/>
        </w:numPr>
        <w:spacing w:after="120"/>
        <w:jc w:val="both"/>
        <w:rPr>
          <w:rFonts w:ascii="Calibri" w:hAnsi="Calibri" w:cs="Calibri"/>
          <w:sz w:val="22"/>
          <w:szCs w:val="22"/>
          <w:lang w:val="en-AU"/>
        </w:rPr>
      </w:pPr>
      <w:r w:rsidRPr="00C723E0">
        <w:rPr>
          <w:rFonts w:ascii="Calibri" w:hAnsi="Calibri" w:cs="Calibri"/>
          <w:sz w:val="22"/>
          <w:szCs w:val="22"/>
          <w:lang w:val="en-AU"/>
        </w:rPr>
        <w:t xml:space="preserve">Economic </w:t>
      </w:r>
      <w:r w:rsidR="0028084C" w:rsidRPr="00C723E0">
        <w:rPr>
          <w:rFonts w:ascii="Calibri" w:hAnsi="Calibri" w:cs="Calibri"/>
          <w:sz w:val="22"/>
          <w:szCs w:val="22"/>
          <w:lang w:val="en-AU"/>
        </w:rPr>
        <w:t>uncertainty,</w:t>
      </w:r>
      <w:r w:rsidRPr="00C723E0">
        <w:rPr>
          <w:rFonts w:ascii="Calibri" w:hAnsi="Calibri" w:cs="Calibri"/>
          <w:sz w:val="22"/>
          <w:szCs w:val="22"/>
          <w:lang w:val="en-AU"/>
        </w:rPr>
        <w:t xml:space="preserve"> including inflation, economic growth</w:t>
      </w:r>
      <w:r w:rsidR="00FA180C" w:rsidRPr="00C723E0">
        <w:rPr>
          <w:rFonts w:ascii="Calibri" w:hAnsi="Calibri" w:cs="Calibri"/>
          <w:sz w:val="22"/>
          <w:szCs w:val="22"/>
          <w:lang w:val="en-AU"/>
        </w:rPr>
        <w:t>,</w:t>
      </w:r>
      <w:r w:rsidRPr="00C723E0">
        <w:rPr>
          <w:rFonts w:ascii="Calibri" w:hAnsi="Calibri" w:cs="Calibri"/>
          <w:sz w:val="22"/>
          <w:szCs w:val="22"/>
          <w:lang w:val="en-AU"/>
        </w:rPr>
        <w:t xml:space="preserve"> and the</w:t>
      </w:r>
      <w:r w:rsidR="00EB66D0" w:rsidRPr="00C723E0">
        <w:rPr>
          <w:rFonts w:ascii="Calibri" w:hAnsi="Calibri" w:cs="Calibri"/>
          <w:sz w:val="22"/>
          <w:szCs w:val="22"/>
          <w:lang w:val="en-AU"/>
        </w:rPr>
        <w:t xml:space="preserve"> potential</w:t>
      </w:r>
      <w:r w:rsidRPr="00C723E0">
        <w:rPr>
          <w:rFonts w:ascii="Calibri" w:hAnsi="Calibri" w:cs="Calibri"/>
          <w:sz w:val="22"/>
          <w:szCs w:val="22"/>
          <w:lang w:val="en-AU"/>
        </w:rPr>
        <w:t xml:space="preserve"> impact of </w:t>
      </w:r>
      <w:r w:rsidR="00EB66D0" w:rsidRPr="00C723E0">
        <w:rPr>
          <w:rFonts w:ascii="Calibri" w:hAnsi="Calibri" w:cs="Calibri"/>
          <w:sz w:val="22"/>
          <w:szCs w:val="22"/>
          <w:lang w:val="en-AU"/>
        </w:rPr>
        <w:t xml:space="preserve">US </w:t>
      </w:r>
      <w:r w:rsidRPr="00C723E0">
        <w:rPr>
          <w:rFonts w:ascii="Calibri" w:hAnsi="Calibri" w:cs="Calibri"/>
          <w:sz w:val="22"/>
          <w:szCs w:val="22"/>
          <w:lang w:val="en-AU"/>
        </w:rPr>
        <w:t>tariffs</w:t>
      </w:r>
      <w:r w:rsidR="00FA180C" w:rsidRPr="00C723E0">
        <w:rPr>
          <w:rFonts w:ascii="Calibri" w:hAnsi="Calibri" w:cs="Calibri"/>
          <w:sz w:val="22"/>
          <w:szCs w:val="22"/>
          <w:lang w:val="en-AU"/>
        </w:rPr>
        <w:t>, are potential issues that impede</w:t>
      </w:r>
      <w:r w:rsidRPr="00C723E0">
        <w:rPr>
          <w:rFonts w:ascii="Calibri" w:hAnsi="Calibri" w:cs="Calibri"/>
          <w:sz w:val="22"/>
          <w:szCs w:val="22"/>
          <w:lang w:val="en-AU"/>
        </w:rPr>
        <w:t xml:space="preserve"> necessary reforms and </w:t>
      </w:r>
      <w:r w:rsidR="00627C79" w:rsidRPr="00C723E0">
        <w:rPr>
          <w:rFonts w:ascii="Calibri" w:hAnsi="Calibri" w:cs="Calibri"/>
          <w:sz w:val="22"/>
          <w:szCs w:val="22"/>
          <w:lang w:val="en-AU"/>
        </w:rPr>
        <w:t>hinder</w:t>
      </w:r>
      <w:r w:rsidRPr="00C723E0">
        <w:rPr>
          <w:rFonts w:ascii="Calibri" w:hAnsi="Calibri" w:cs="Calibri"/>
          <w:sz w:val="22"/>
          <w:szCs w:val="22"/>
          <w:lang w:val="en-AU"/>
        </w:rPr>
        <w:t xml:space="preserve"> economic growth oppor</w:t>
      </w:r>
      <w:r w:rsidR="00FA180C" w:rsidRPr="00C723E0">
        <w:rPr>
          <w:rFonts w:ascii="Calibri" w:hAnsi="Calibri" w:cs="Calibri"/>
          <w:sz w:val="22"/>
          <w:szCs w:val="22"/>
          <w:lang w:val="en-AU"/>
        </w:rPr>
        <w:t>tunit</w:t>
      </w:r>
      <w:r w:rsidRPr="00C723E0">
        <w:rPr>
          <w:rFonts w:ascii="Calibri" w:hAnsi="Calibri" w:cs="Calibri"/>
          <w:sz w:val="22"/>
          <w:szCs w:val="22"/>
          <w:lang w:val="en-AU"/>
        </w:rPr>
        <w:t>ies</w:t>
      </w:r>
      <w:r w:rsidR="0028084C" w:rsidRPr="00C723E0">
        <w:rPr>
          <w:rFonts w:ascii="Calibri" w:hAnsi="Calibri" w:cs="Calibri"/>
          <w:sz w:val="22"/>
          <w:szCs w:val="22"/>
          <w:lang w:val="en-AU"/>
        </w:rPr>
        <w:t xml:space="preserve"> in key sectors important to Fiji (e.g. tourism).</w:t>
      </w:r>
    </w:p>
    <w:p w14:paraId="4BCA1194" w14:textId="28427FD4" w:rsidR="006E2C48" w:rsidRPr="00C723E0" w:rsidRDefault="006E2C48" w:rsidP="00D77455">
      <w:pPr>
        <w:pStyle w:val="ListParagraph"/>
        <w:numPr>
          <w:ilvl w:val="0"/>
          <w:numId w:val="5"/>
        </w:numPr>
        <w:spacing w:after="120"/>
        <w:jc w:val="both"/>
        <w:rPr>
          <w:rFonts w:ascii="Calibri" w:hAnsi="Calibri" w:cs="Calibri"/>
          <w:sz w:val="22"/>
          <w:szCs w:val="22"/>
          <w:lang w:val="en-AU"/>
        </w:rPr>
      </w:pPr>
      <w:r w:rsidRPr="00C723E0">
        <w:rPr>
          <w:rFonts w:ascii="Calibri" w:hAnsi="Calibri" w:cs="Calibri"/>
          <w:sz w:val="22"/>
          <w:szCs w:val="22"/>
          <w:lang w:val="en-AU"/>
        </w:rPr>
        <w:t>Rel</w:t>
      </w:r>
      <w:r w:rsidR="00FA180C" w:rsidRPr="00C723E0">
        <w:rPr>
          <w:rFonts w:ascii="Calibri" w:hAnsi="Calibri" w:cs="Calibri"/>
          <w:sz w:val="22"/>
          <w:szCs w:val="22"/>
          <w:lang w:val="en-AU"/>
        </w:rPr>
        <w:t>atively sm</w:t>
      </w:r>
      <w:r w:rsidRPr="00C723E0">
        <w:rPr>
          <w:rFonts w:ascii="Calibri" w:hAnsi="Calibri" w:cs="Calibri"/>
          <w:sz w:val="22"/>
          <w:szCs w:val="22"/>
          <w:lang w:val="en-AU"/>
        </w:rPr>
        <w:t>all market for inve</w:t>
      </w:r>
      <w:r w:rsidR="00FA180C" w:rsidRPr="00C723E0">
        <w:rPr>
          <w:rFonts w:ascii="Calibri" w:hAnsi="Calibri" w:cs="Calibri"/>
          <w:sz w:val="22"/>
          <w:szCs w:val="22"/>
          <w:lang w:val="en-AU"/>
        </w:rPr>
        <w:t>st</w:t>
      </w:r>
      <w:r w:rsidRPr="00C723E0">
        <w:rPr>
          <w:rFonts w:ascii="Calibri" w:hAnsi="Calibri" w:cs="Calibri"/>
          <w:sz w:val="22"/>
          <w:szCs w:val="22"/>
          <w:lang w:val="en-AU"/>
        </w:rPr>
        <w:t>ment and trade</w:t>
      </w:r>
      <w:r w:rsidR="003221AD" w:rsidRPr="00C723E0">
        <w:rPr>
          <w:rFonts w:ascii="Calibri" w:hAnsi="Calibri" w:cs="Calibri"/>
          <w:sz w:val="22"/>
          <w:szCs w:val="22"/>
          <w:lang w:val="en-AU"/>
        </w:rPr>
        <w:t>,</w:t>
      </w:r>
      <w:r w:rsidRPr="00C723E0">
        <w:rPr>
          <w:rFonts w:ascii="Calibri" w:hAnsi="Calibri" w:cs="Calibri"/>
          <w:sz w:val="22"/>
          <w:szCs w:val="22"/>
          <w:lang w:val="en-AU"/>
        </w:rPr>
        <w:t xml:space="preserve"> a</w:t>
      </w:r>
      <w:r w:rsidR="00627C79" w:rsidRPr="00C723E0">
        <w:rPr>
          <w:rFonts w:ascii="Calibri" w:hAnsi="Calibri" w:cs="Calibri"/>
          <w:sz w:val="22"/>
          <w:szCs w:val="22"/>
          <w:lang w:val="en-AU"/>
        </w:rPr>
        <w:t>nd</w:t>
      </w:r>
      <w:r w:rsidRPr="00C723E0">
        <w:rPr>
          <w:rFonts w:ascii="Calibri" w:hAnsi="Calibri" w:cs="Calibri"/>
          <w:sz w:val="22"/>
          <w:szCs w:val="22"/>
          <w:lang w:val="en-AU"/>
        </w:rPr>
        <w:t xml:space="preserve"> a restrictive market for </w:t>
      </w:r>
      <w:r w:rsidR="00EB66D0" w:rsidRPr="00C723E0">
        <w:rPr>
          <w:rFonts w:ascii="Calibri" w:hAnsi="Calibri" w:cs="Calibri"/>
          <w:sz w:val="22"/>
          <w:szCs w:val="22"/>
          <w:lang w:val="en-AU"/>
        </w:rPr>
        <w:t xml:space="preserve">outbound </w:t>
      </w:r>
      <w:r w:rsidRPr="00C723E0">
        <w:rPr>
          <w:rFonts w:ascii="Calibri" w:hAnsi="Calibri" w:cs="Calibri"/>
          <w:sz w:val="22"/>
          <w:szCs w:val="22"/>
          <w:lang w:val="en-AU"/>
        </w:rPr>
        <w:t>investment and overs</w:t>
      </w:r>
      <w:r w:rsidR="00FA180C" w:rsidRPr="00C723E0">
        <w:rPr>
          <w:rFonts w:ascii="Calibri" w:hAnsi="Calibri" w:cs="Calibri"/>
          <w:sz w:val="22"/>
          <w:szCs w:val="22"/>
          <w:lang w:val="en-AU"/>
        </w:rPr>
        <w:t>eas shipping</w:t>
      </w:r>
      <w:r w:rsidRPr="00C723E0">
        <w:rPr>
          <w:rFonts w:ascii="Calibri" w:hAnsi="Calibri" w:cs="Calibri"/>
          <w:sz w:val="22"/>
          <w:szCs w:val="22"/>
          <w:lang w:val="en-AU"/>
        </w:rPr>
        <w:t>.</w:t>
      </w:r>
    </w:p>
    <w:p w14:paraId="6D0AF98B" w14:textId="1A2E9F51" w:rsidR="006E2C48" w:rsidRDefault="006E2C48" w:rsidP="00FA180C">
      <w:pPr>
        <w:spacing w:after="120"/>
        <w:jc w:val="both"/>
        <w:rPr>
          <w:rFonts w:ascii="Calibri" w:hAnsi="Calibri" w:cs="Calibri"/>
          <w:sz w:val="22"/>
          <w:szCs w:val="22"/>
          <w:lang w:val="en-AU"/>
        </w:rPr>
      </w:pPr>
      <w:r w:rsidRPr="00C723E0">
        <w:rPr>
          <w:rFonts w:ascii="Calibri" w:hAnsi="Calibri" w:cs="Calibri"/>
          <w:sz w:val="22"/>
          <w:szCs w:val="22"/>
          <w:lang w:val="en-AU"/>
        </w:rPr>
        <w:t>Many of the barr</w:t>
      </w:r>
      <w:r w:rsidR="00FA180C" w:rsidRPr="00C723E0">
        <w:rPr>
          <w:rFonts w:ascii="Calibri" w:hAnsi="Calibri" w:cs="Calibri"/>
          <w:sz w:val="22"/>
          <w:szCs w:val="22"/>
          <w:lang w:val="en-AU"/>
        </w:rPr>
        <w:t>i</w:t>
      </w:r>
      <w:r w:rsidRPr="00C723E0">
        <w:rPr>
          <w:rFonts w:ascii="Calibri" w:hAnsi="Calibri" w:cs="Calibri"/>
          <w:sz w:val="22"/>
          <w:szCs w:val="22"/>
          <w:lang w:val="en-AU"/>
        </w:rPr>
        <w:t>ers and cha</w:t>
      </w:r>
      <w:r w:rsidR="00FA180C" w:rsidRPr="00C723E0">
        <w:rPr>
          <w:rFonts w:ascii="Calibri" w:hAnsi="Calibri" w:cs="Calibri"/>
          <w:sz w:val="22"/>
          <w:szCs w:val="22"/>
          <w:lang w:val="en-AU"/>
        </w:rPr>
        <w:t>ll</w:t>
      </w:r>
      <w:r w:rsidRPr="00C723E0">
        <w:rPr>
          <w:rFonts w:ascii="Calibri" w:hAnsi="Calibri" w:cs="Calibri"/>
          <w:sz w:val="22"/>
          <w:szCs w:val="22"/>
          <w:lang w:val="en-AU"/>
        </w:rPr>
        <w:t>en</w:t>
      </w:r>
      <w:r w:rsidR="00FA180C" w:rsidRPr="00C723E0">
        <w:rPr>
          <w:rFonts w:ascii="Calibri" w:hAnsi="Calibri" w:cs="Calibri"/>
          <w:sz w:val="22"/>
          <w:szCs w:val="22"/>
          <w:lang w:val="en-AU"/>
        </w:rPr>
        <w:t>ge</w:t>
      </w:r>
      <w:r w:rsidRPr="00C723E0">
        <w:rPr>
          <w:rFonts w:ascii="Calibri" w:hAnsi="Calibri" w:cs="Calibri"/>
          <w:sz w:val="22"/>
          <w:szCs w:val="22"/>
          <w:lang w:val="en-AU"/>
        </w:rPr>
        <w:t>s are external to Fiji</w:t>
      </w:r>
      <w:r w:rsidR="003221AD" w:rsidRPr="00C723E0">
        <w:rPr>
          <w:rFonts w:ascii="Calibri" w:hAnsi="Calibri" w:cs="Calibri"/>
          <w:sz w:val="22"/>
          <w:szCs w:val="22"/>
          <w:lang w:val="en-AU"/>
        </w:rPr>
        <w:t>. H</w:t>
      </w:r>
      <w:r w:rsidRPr="00C723E0">
        <w:rPr>
          <w:rFonts w:ascii="Calibri" w:hAnsi="Calibri" w:cs="Calibri"/>
          <w:sz w:val="22"/>
          <w:szCs w:val="22"/>
          <w:lang w:val="en-AU"/>
        </w:rPr>
        <w:t>o</w:t>
      </w:r>
      <w:r w:rsidR="00FA180C" w:rsidRPr="00C723E0">
        <w:rPr>
          <w:rFonts w:ascii="Calibri" w:hAnsi="Calibri" w:cs="Calibri"/>
          <w:sz w:val="22"/>
          <w:szCs w:val="22"/>
          <w:lang w:val="en-AU"/>
        </w:rPr>
        <w:t>w</w:t>
      </w:r>
      <w:r w:rsidRPr="00C723E0">
        <w:rPr>
          <w:rFonts w:ascii="Calibri" w:hAnsi="Calibri" w:cs="Calibri"/>
          <w:sz w:val="22"/>
          <w:szCs w:val="22"/>
          <w:lang w:val="en-AU"/>
        </w:rPr>
        <w:t>ever</w:t>
      </w:r>
      <w:r w:rsidR="00FA180C" w:rsidRPr="00C723E0">
        <w:rPr>
          <w:rFonts w:ascii="Calibri" w:hAnsi="Calibri" w:cs="Calibri"/>
          <w:sz w:val="22"/>
          <w:szCs w:val="22"/>
          <w:lang w:val="en-AU"/>
        </w:rPr>
        <w:t>,</w:t>
      </w:r>
      <w:r w:rsidRPr="00C723E0">
        <w:rPr>
          <w:rFonts w:ascii="Calibri" w:hAnsi="Calibri" w:cs="Calibri"/>
          <w:sz w:val="22"/>
          <w:szCs w:val="22"/>
          <w:lang w:val="en-AU"/>
        </w:rPr>
        <w:t xml:space="preserve"> i</w:t>
      </w:r>
      <w:r w:rsidR="00627C79" w:rsidRPr="00C723E0">
        <w:rPr>
          <w:rFonts w:ascii="Calibri" w:hAnsi="Calibri" w:cs="Calibri"/>
          <w:sz w:val="22"/>
          <w:szCs w:val="22"/>
          <w:lang w:val="en-AU"/>
        </w:rPr>
        <w:t>ncremental changes and reforms must</w:t>
      </w:r>
      <w:r w:rsidRPr="00C723E0">
        <w:rPr>
          <w:rFonts w:ascii="Calibri" w:hAnsi="Calibri" w:cs="Calibri"/>
          <w:sz w:val="22"/>
          <w:szCs w:val="22"/>
          <w:lang w:val="en-AU"/>
        </w:rPr>
        <w:t xml:space="preserve"> continue, particularly in areas where the Program (and </w:t>
      </w:r>
      <w:r w:rsidR="00FA180C" w:rsidRPr="00C723E0">
        <w:rPr>
          <w:rFonts w:ascii="Calibri" w:hAnsi="Calibri" w:cs="Calibri"/>
          <w:sz w:val="22"/>
          <w:szCs w:val="22"/>
          <w:lang w:val="en-AU"/>
        </w:rPr>
        <w:t>DFAT</w:t>
      </w:r>
      <w:r w:rsidRPr="00C723E0">
        <w:rPr>
          <w:rFonts w:ascii="Calibri" w:hAnsi="Calibri" w:cs="Calibri"/>
          <w:sz w:val="22"/>
          <w:szCs w:val="22"/>
          <w:lang w:val="en-AU"/>
        </w:rPr>
        <w:t xml:space="preserve"> and IFC) can play a role in supporting and guiding </w:t>
      </w:r>
      <w:r w:rsidR="00627C79" w:rsidRPr="00C723E0">
        <w:rPr>
          <w:rFonts w:ascii="Calibri" w:hAnsi="Calibri" w:cs="Calibri"/>
          <w:sz w:val="22"/>
          <w:szCs w:val="22"/>
          <w:lang w:val="en-AU"/>
        </w:rPr>
        <w:t>the GoF to maintain i</w:t>
      </w:r>
      <w:r w:rsidR="003221AD" w:rsidRPr="00C723E0">
        <w:rPr>
          <w:rFonts w:ascii="Calibri" w:hAnsi="Calibri" w:cs="Calibri"/>
          <w:sz w:val="22"/>
          <w:szCs w:val="22"/>
          <w:lang w:val="en-AU"/>
        </w:rPr>
        <w:t>t</w:t>
      </w:r>
      <w:r w:rsidR="00627C79" w:rsidRPr="00C723E0">
        <w:rPr>
          <w:rFonts w:ascii="Calibri" w:hAnsi="Calibri" w:cs="Calibri"/>
          <w:sz w:val="22"/>
          <w:szCs w:val="22"/>
          <w:lang w:val="en-AU"/>
        </w:rPr>
        <w:t xml:space="preserve">s current course of reforms and </w:t>
      </w:r>
      <w:r w:rsidR="003221AD" w:rsidRPr="00C723E0">
        <w:rPr>
          <w:rFonts w:ascii="Calibri" w:hAnsi="Calibri" w:cs="Calibri"/>
          <w:sz w:val="22"/>
          <w:szCs w:val="22"/>
          <w:lang w:val="en-AU"/>
        </w:rPr>
        <w:t>remain responsive to the government's needs</w:t>
      </w:r>
      <w:r w:rsidR="00627C79" w:rsidRPr="00C723E0">
        <w:rPr>
          <w:rFonts w:ascii="Calibri" w:hAnsi="Calibri" w:cs="Calibri"/>
          <w:sz w:val="22"/>
          <w:szCs w:val="22"/>
          <w:lang w:val="en-AU"/>
        </w:rPr>
        <w:t xml:space="preserve"> while also maintaining high visibility and engagement, where financial and reputational risks are minimised.</w:t>
      </w:r>
    </w:p>
    <w:p w14:paraId="72C9238A" w14:textId="3C12F94F" w:rsidR="008661C2" w:rsidRPr="00C723E0" w:rsidRDefault="00DF0A19" w:rsidP="00FA180C">
      <w:pPr>
        <w:spacing w:after="120"/>
        <w:jc w:val="both"/>
        <w:rPr>
          <w:rFonts w:ascii="Calibri" w:hAnsi="Calibri" w:cs="Calibri"/>
          <w:sz w:val="22"/>
          <w:szCs w:val="22"/>
          <w:lang w:val="en-AU"/>
        </w:rPr>
      </w:pPr>
      <w:r>
        <w:rPr>
          <w:rFonts w:ascii="Calibri" w:hAnsi="Calibri" w:cs="Calibri"/>
          <w:sz w:val="22"/>
          <w:szCs w:val="22"/>
          <w:lang w:val="en-AU"/>
        </w:rPr>
        <w:t>C</w:t>
      </w:r>
      <w:r w:rsidR="008661C2">
        <w:rPr>
          <w:rFonts w:ascii="Calibri" w:hAnsi="Calibri" w:cs="Calibri"/>
          <w:sz w:val="22"/>
          <w:szCs w:val="22"/>
          <w:lang w:val="en-AU"/>
        </w:rPr>
        <w:t>onsidering the findings and evidence above, the evaluation assigns a “satisfactory” rating to effectiveness.</w:t>
      </w:r>
    </w:p>
    <w:p w14:paraId="170A21E5" w14:textId="47E00AA6" w:rsidR="00F76090" w:rsidRPr="00606B9D" w:rsidRDefault="00F76090" w:rsidP="4EF1951E">
      <w:pPr>
        <w:pStyle w:val="Heading2"/>
        <w:rPr>
          <w:b w:val="0"/>
          <w:bCs/>
          <w:lang w:val="en-AU"/>
        </w:rPr>
      </w:pPr>
      <w:bookmarkStart w:id="43" w:name="_Toc201131779"/>
      <w:bookmarkStart w:id="44" w:name="_Toc206675825"/>
      <w:r w:rsidRPr="4EF1951E">
        <w:rPr>
          <w:b w:val="0"/>
          <w:bCs/>
          <w:lang w:val="en-AU"/>
        </w:rPr>
        <w:t>Sustainability</w:t>
      </w:r>
      <w:bookmarkEnd w:id="43"/>
      <w:bookmarkEnd w:id="44"/>
    </w:p>
    <w:p w14:paraId="0B8EFDFB" w14:textId="1DE0D0E0" w:rsidR="00C61A13" w:rsidRPr="00C723E0" w:rsidRDefault="0067380D" w:rsidP="0067380D">
      <w:pPr>
        <w:pStyle w:val="BodyText2"/>
        <w:spacing w:line="240" w:lineRule="auto"/>
        <w:jc w:val="both"/>
        <w:rPr>
          <w:rFonts w:ascii="Calibri" w:hAnsi="Calibri" w:cs="Calibri"/>
          <w:sz w:val="22"/>
          <w:szCs w:val="22"/>
          <w:lang w:val="en-AU"/>
        </w:rPr>
      </w:pPr>
      <w:r w:rsidRPr="00C723E0">
        <w:rPr>
          <w:rFonts w:ascii="Calibri" w:hAnsi="Calibri" w:cs="Calibri"/>
          <w:color w:val="001D35"/>
          <w:sz w:val="22"/>
          <w:szCs w:val="22"/>
          <w:shd w:val="clear" w:color="auto" w:fill="FFFFFF"/>
          <w:lang w:val="en-AU"/>
        </w:rPr>
        <w:t>A</w:t>
      </w:r>
      <w:r w:rsidR="00C61A13" w:rsidRPr="00C723E0">
        <w:rPr>
          <w:rFonts w:ascii="Calibri" w:hAnsi="Calibri" w:cs="Calibri"/>
          <w:color w:val="001D35"/>
          <w:sz w:val="22"/>
          <w:szCs w:val="22"/>
          <w:shd w:val="clear" w:color="auto" w:fill="FFFFFF"/>
          <w:lang w:val="en-AU"/>
        </w:rPr>
        <w:t>ccording to the OECD-DAC</w:t>
      </w:r>
      <w:r w:rsidR="00313F80" w:rsidRPr="00C723E0">
        <w:rPr>
          <w:rFonts w:ascii="Calibri" w:hAnsi="Calibri" w:cs="Calibri"/>
          <w:color w:val="001D35"/>
          <w:sz w:val="22"/>
          <w:szCs w:val="22"/>
          <w:shd w:val="clear" w:color="auto" w:fill="FFFFFF"/>
          <w:lang w:val="en-AU"/>
        </w:rPr>
        <w:t>,</w:t>
      </w:r>
      <w:r w:rsidR="00C61A13" w:rsidRPr="00C723E0">
        <w:rPr>
          <w:rFonts w:ascii="Calibri" w:hAnsi="Calibri" w:cs="Calibri"/>
          <w:color w:val="001D35"/>
          <w:sz w:val="22"/>
          <w:szCs w:val="22"/>
          <w:shd w:val="clear" w:color="auto" w:fill="FFFFFF"/>
          <w:lang w:val="en-AU"/>
        </w:rPr>
        <w:t xml:space="preserve"> </w:t>
      </w:r>
      <w:r w:rsidRPr="00C723E0">
        <w:rPr>
          <w:rFonts w:ascii="Calibri" w:hAnsi="Calibri" w:cs="Calibri"/>
          <w:color w:val="001D35"/>
          <w:sz w:val="22"/>
          <w:szCs w:val="22"/>
          <w:shd w:val="clear" w:color="auto" w:fill="FFFFFF"/>
          <w:lang w:val="en-AU"/>
        </w:rPr>
        <w:t>sustainability is defined</w:t>
      </w:r>
      <w:r w:rsidR="00C61A13" w:rsidRPr="00C723E0">
        <w:rPr>
          <w:rFonts w:ascii="Calibri" w:hAnsi="Calibri" w:cs="Calibri"/>
          <w:color w:val="001D35"/>
          <w:sz w:val="22"/>
          <w:szCs w:val="22"/>
          <w:shd w:val="clear" w:color="auto" w:fill="FFFFFF"/>
          <w:lang w:val="en-AU"/>
        </w:rPr>
        <w:t xml:space="preserve"> as </w:t>
      </w:r>
      <w:r w:rsidR="00C61A13" w:rsidRPr="00C723E0">
        <w:rPr>
          <w:rFonts w:ascii="Calibri" w:hAnsi="Calibri" w:cs="Calibri"/>
          <w:sz w:val="22"/>
          <w:szCs w:val="22"/>
          <w:lang w:val="en-AU"/>
        </w:rPr>
        <w:t>the extent to which the net benefits of the intervention continue or are likely to continue</w:t>
      </w:r>
      <w:r w:rsidR="00313F80" w:rsidRPr="00C723E0">
        <w:rPr>
          <w:rFonts w:ascii="Calibri" w:hAnsi="Calibri" w:cs="Calibri"/>
          <w:sz w:val="22"/>
          <w:szCs w:val="22"/>
          <w:lang w:val="en-AU"/>
        </w:rPr>
        <w:t>. Given th</w:t>
      </w:r>
      <w:r w:rsidRPr="00C723E0">
        <w:rPr>
          <w:rFonts w:ascii="Calibri" w:hAnsi="Calibri" w:cs="Calibri"/>
          <w:sz w:val="22"/>
          <w:szCs w:val="22"/>
          <w:lang w:val="en-AU"/>
        </w:rPr>
        <w:t>at the FPSDP will continue</w:t>
      </w:r>
      <w:r w:rsidR="00313F80" w:rsidRPr="00C723E0">
        <w:rPr>
          <w:rFonts w:ascii="Calibri" w:hAnsi="Calibri" w:cs="Calibri"/>
          <w:sz w:val="22"/>
          <w:szCs w:val="22"/>
          <w:lang w:val="en-AU"/>
        </w:rPr>
        <w:t xml:space="preserve"> until December 2025, the following analysis is based upon evidence from secondary data sources, interviews</w:t>
      </w:r>
      <w:r w:rsidRPr="00C723E0">
        <w:rPr>
          <w:rFonts w:ascii="Calibri" w:hAnsi="Calibri" w:cs="Calibri"/>
          <w:sz w:val="22"/>
          <w:szCs w:val="22"/>
          <w:lang w:val="en-AU"/>
        </w:rPr>
        <w:t>,</w:t>
      </w:r>
      <w:r w:rsidR="00313F80" w:rsidRPr="00C723E0">
        <w:rPr>
          <w:rFonts w:ascii="Calibri" w:hAnsi="Calibri" w:cs="Calibri"/>
          <w:sz w:val="22"/>
          <w:szCs w:val="22"/>
          <w:lang w:val="en-AU"/>
        </w:rPr>
        <w:t xml:space="preserve"> and professional judgements.</w:t>
      </w:r>
    </w:p>
    <w:p w14:paraId="18A32D80" w14:textId="19E587DA" w:rsidR="00F76090" w:rsidRPr="00271484" w:rsidRDefault="00F76090" w:rsidP="0067380D">
      <w:pPr>
        <w:spacing w:after="120"/>
        <w:jc w:val="both"/>
        <w:rPr>
          <w:rFonts w:ascii="Calibri" w:hAnsi="Calibri" w:cs="Calibri"/>
          <w:b/>
          <w:bCs/>
          <w:i/>
          <w:iCs/>
          <w:color w:val="000000" w:themeColor="text1"/>
          <w:u w:val="single"/>
          <w:lang w:val="en-AU"/>
        </w:rPr>
      </w:pPr>
      <w:r w:rsidRPr="00271484">
        <w:rPr>
          <w:rFonts w:ascii="Calibri" w:hAnsi="Calibri" w:cs="Calibri"/>
          <w:b/>
          <w:bCs/>
          <w:i/>
          <w:iCs/>
          <w:color w:val="000000" w:themeColor="text1"/>
          <w:u w:val="single"/>
          <w:lang w:val="en-AU"/>
        </w:rPr>
        <w:t xml:space="preserve">KEQ 4: What are the overall highlights and lessons learned for the Partnership in terms of </w:t>
      </w:r>
      <w:r w:rsidR="00DE58CB" w:rsidRPr="00271484">
        <w:rPr>
          <w:rFonts w:ascii="Calibri" w:hAnsi="Calibri" w:cs="Calibri"/>
          <w:b/>
          <w:bCs/>
          <w:i/>
          <w:iCs/>
          <w:color w:val="000000" w:themeColor="text1"/>
          <w:u w:val="single"/>
          <w:lang w:val="en-AU"/>
        </w:rPr>
        <w:t xml:space="preserve">the </w:t>
      </w:r>
      <w:r w:rsidRPr="00271484">
        <w:rPr>
          <w:rFonts w:ascii="Calibri" w:hAnsi="Calibri" w:cs="Calibri"/>
          <w:b/>
          <w:bCs/>
          <w:i/>
          <w:iCs/>
          <w:color w:val="000000" w:themeColor="text1"/>
          <w:u w:val="single"/>
          <w:lang w:val="en-AU"/>
        </w:rPr>
        <w:t>design of private sector development and investment programming in Fiji?</w:t>
      </w:r>
    </w:p>
    <w:p w14:paraId="38F85E9E" w14:textId="27076E6D" w:rsidR="00313F80" w:rsidRPr="00C723E0" w:rsidRDefault="00313F80" w:rsidP="0067380D">
      <w:pPr>
        <w:pStyle w:val="BodyText"/>
        <w:jc w:val="both"/>
        <w:rPr>
          <w:rFonts w:cs="Calibri"/>
          <w:szCs w:val="22"/>
          <w:lang w:val="en-AU"/>
        </w:rPr>
      </w:pPr>
      <w:r w:rsidRPr="00C723E0">
        <w:rPr>
          <w:rFonts w:cs="Calibri"/>
          <w:b/>
          <w:bCs/>
          <w:szCs w:val="22"/>
          <w:lang w:val="en-AU"/>
        </w:rPr>
        <w:t xml:space="preserve">Overall, the projects and investments funded under the </w:t>
      </w:r>
      <w:r w:rsidR="0065517E" w:rsidRPr="00C723E0">
        <w:rPr>
          <w:rFonts w:cs="Calibri"/>
          <w:b/>
          <w:bCs/>
          <w:szCs w:val="22"/>
          <w:lang w:val="en-AU"/>
        </w:rPr>
        <w:t>program</w:t>
      </w:r>
      <w:r w:rsidRPr="00C723E0">
        <w:rPr>
          <w:rFonts w:cs="Calibri"/>
          <w:b/>
          <w:bCs/>
          <w:szCs w:val="22"/>
          <w:lang w:val="en-AU"/>
        </w:rPr>
        <w:t xml:space="preserve"> have a high likelihood of sustainability, given tha</w:t>
      </w:r>
      <w:r w:rsidR="0067380D" w:rsidRPr="00C723E0">
        <w:rPr>
          <w:rFonts w:cs="Calibri"/>
          <w:b/>
          <w:bCs/>
          <w:szCs w:val="22"/>
          <w:lang w:val="en-AU"/>
        </w:rPr>
        <w:t>t th</w:t>
      </w:r>
      <w:r w:rsidRPr="00C723E0">
        <w:rPr>
          <w:rFonts w:cs="Calibri"/>
          <w:b/>
          <w:bCs/>
          <w:szCs w:val="22"/>
          <w:lang w:val="en-AU"/>
        </w:rPr>
        <w:t>ey have been primarily designed and implemented in a staged and considered manner and respond to immediate Go</w:t>
      </w:r>
      <w:r w:rsidR="0057250F" w:rsidRPr="00C723E0">
        <w:rPr>
          <w:rFonts w:cs="Calibri"/>
          <w:b/>
          <w:bCs/>
          <w:szCs w:val="22"/>
          <w:lang w:val="en-AU"/>
        </w:rPr>
        <w:t>F</w:t>
      </w:r>
      <w:r w:rsidRPr="00C723E0">
        <w:rPr>
          <w:rFonts w:cs="Calibri"/>
          <w:b/>
          <w:bCs/>
          <w:szCs w:val="22"/>
          <w:lang w:val="en-AU"/>
        </w:rPr>
        <w:t xml:space="preserve"> pri</w:t>
      </w:r>
      <w:r w:rsidR="0067380D" w:rsidRPr="00C723E0">
        <w:rPr>
          <w:rFonts w:cs="Calibri"/>
          <w:b/>
          <w:bCs/>
          <w:szCs w:val="22"/>
          <w:lang w:val="en-AU"/>
        </w:rPr>
        <w:t>o</w:t>
      </w:r>
      <w:r w:rsidRPr="00C723E0">
        <w:rPr>
          <w:rFonts w:cs="Calibri"/>
          <w:b/>
          <w:bCs/>
          <w:szCs w:val="22"/>
          <w:lang w:val="en-AU"/>
        </w:rPr>
        <w:t>rities and needs.</w:t>
      </w:r>
      <w:r w:rsidRPr="00C723E0">
        <w:rPr>
          <w:rFonts w:cs="Calibri"/>
          <w:szCs w:val="22"/>
          <w:lang w:val="en-AU"/>
        </w:rPr>
        <w:t xml:space="preserve"> The only outstanding question</w:t>
      </w:r>
      <w:r w:rsidR="00DE58CB" w:rsidRPr="00C723E0">
        <w:rPr>
          <w:rFonts w:cs="Calibri"/>
          <w:szCs w:val="22"/>
          <w:lang w:val="en-AU"/>
        </w:rPr>
        <w:t>s</w:t>
      </w:r>
      <w:r w:rsidRPr="00C723E0">
        <w:rPr>
          <w:rFonts w:cs="Calibri"/>
          <w:szCs w:val="22"/>
          <w:lang w:val="en-AU"/>
        </w:rPr>
        <w:t xml:space="preserve"> </w:t>
      </w:r>
      <w:r w:rsidR="00DE58CB" w:rsidRPr="00C723E0">
        <w:rPr>
          <w:rFonts w:cs="Calibri"/>
          <w:szCs w:val="22"/>
          <w:lang w:val="en-AU"/>
        </w:rPr>
        <w:t>regarding</w:t>
      </w:r>
      <w:r w:rsidRPr="00C723E0">
        <w:rPr>
          <w:rFonts w:cs="Calibri"/>
          <w:szCs w:val="22"/>
          <w:lang w:val="en-AU"/>
        </w:rPr>
        <w:t xml:space="preserve"> sustainability </w:t>
      </w:r>
      <w:r w:rsidR="00DE58CB" w:rsidRPr="00C723E0">
        <w:rPr>
          <w:rFonts w:cs="Calibri"/>
          <w:szCs w:val="22"/>
          <w:lang w:val="en-AU"/>
        </w:rPr>
        <w:t>are related</w:t>
      </w:r>
      <w:r w:rsidRPr="00C723E0">
        <w:rPr>
          <w:rFonts w:cs="Calibri"/>
          <w:szCs w:val="22"/>
          <w:lang w:val="en-AU"/>
        </w:rPr>
        <w:t xml:space="preserve"> </w:t>
      </w:r>
      <w:r w:rsidR="00DE58CB" w:rsidRPr="00C723E0">
        <w:rPr>
          <w:rFonts w:cs="Calibri"/>
          <w:szCs w:val="22"/>
          <w:lang w:val="en-AU"/>
        </w:rPr>
        <w:t>to</w:t>
      </w:r>
      <w:r w:rsidRPr="00C723E0">
        <w:rPr>
          <w:rFonts w:cs="Calibri"/>
          <w:szCs w:val="22"/>
          <w:lang w:val="en-AU"/>
        </w:rPr>
        <w:t xml:space="preserve"> PPP inve</w:t>
      </w:r>
      <w:r w:rsidR="0057250F" w:rsidRPr="00C723E0">
        <w:rPr>
          <w:rFonts w:cs="Calibri"/>
          <w:szCs w:val="22"/>
          <w:lang w:val="en-AU"/>
        </w:rPr>
        <w:t>stme</w:t>
      </w:r>
      <w:r w:rsidRPr="00C723E0">
        <w:rPr>
          <w:rFonts w:cs="Calibri"/>
          <w:szCs w:val="22"/>
          <w:lang w:val="en-AU"/>
        </w:rPr>
        <w:t>nts and advisory support. However, several key lessons have been learned and derived here that should provide a sound foundation for fu</w:t>
      </w:r>
      <w:r w:rsidR="0057250F" w:rsidRPr="00C723E0">
        <w:rPr>
          <w:rFonts w:cs="Calibri"/>
          <w:szCs w:val="22"/>
          <w:lang w:val="en-AU"/>
        </w:rPr>
        <w:t>rther decision-ma</w:t>
      </w:r>
      <w:r w:rsidRPr="00C723E0">
        <w:rPr>
          <w:rFonts w:cs="Calibri"/>
          <w:szCs w:val="22"/>
          <w:lang w:val="en-AU"/>
        </w:rPr>
        <w:t xml:space="preserve">king </w:t>
      </w:r>
      <w:r w:rsidR="0057250F" w:rsidRPr="00C723E0">
        <w:rPr>
          <w:rFonts w:cs="Calibri"/>
          <w:szCs w:val="22"/>
          <w:lang w:val="en-AU"/>
        </w:rPr>
        <w:t>for the future</w:t>
      </w:r>
      <w:r w:rsidRPr="00C723E0">
        <w:rPr>
          <w:rFonts w:cs="Calibri"/>
          <w:szCs w:val="22"/>
          <w:lang w:val="en-AU"/>
        </w:rPr>
        <w:t xml:space="preserve">. </w:t>
      </w:r>
    </w:p>
    <w:p w14:paraId="2184CF93" w14:textId="0F232D95" w:rsidR="0065517E" w:rsidRPr="00C723E0" w:rsidRDefault="0065517E" w:rsidP="0067380D">
      <w:pPr>
        <w:pStyle w:val="BodyText"/>
        <w:jc w:val="both"/>
        <w:rPr>
          <w:rFonts w:cs="Calibri"/>
          <w:szCs w:val="22"/>
          <w:lang w:val="en-AU"/>
        </w:rPr>
      </w:pPr>
      <w:r w:rsidRPr="00C723E0">
        <w:rPr>
          <w:rFonts w:cs="Calibri"/>
          <w:b/>
          <w:bCs/>
          <w:szCs w:val="22"/>
          <w:lang w:val="en-AU"/>
        </w:rPr>
        <w:t>A</w:t>
      </w:r>
      <w:r w:rsidR="003221AD" w:rsidRPr="00C723E0">
        <w:rPr>
          <w:rFonts w:cs="Calibri"/>
          <w:b/>
          <w:bCs/>
          <w:szCs w:val="22"/>
          <w:lang w:val="en-AU"/>
        </w:rPr>
        <w:t>s previously indicated, a</w:t>
      </w:r>
      <w:r w:rsidRPr="00C723E0">
        <w:rPr>
          <w:rFonts w:cs="Calibri"/>
          <w:b/>
          <w:bCs/>
          <w:szCs w:val="22"/>
          <w:lang w:val="en-AU"/>
        </w:rPr>
        <w:t xml:space="preserve"> key feature of the program is the staged approach to implementation and management.</w:t>
      </w:r>
      <w:r w:rsidRPr="00C723E0">
        <w:rPr>
          <w:rFonts w:cs="Calibri"/>
          <w:szCs w:val="22"/>
          <w:lang w:val="en-AU"/>
        </w:rPr>
        <w:t xml:space="preserve"> All projects funded under the program have been designed and prioritised through close consultation with both the </w:t>
      </w:r>
      <w:r w:rsidR="003221AD" w:rsidRPr="00C723E0">
        <w:rPr>
          <w:rFonts w:cs="Calibri"/>
          <w:szCs w:val="22"/>
          <w:lang w:val="en-AU"/>
        </w:rPr>
        <w:t>GoF</w:t>
      </w:r>
      <w:r w:rsidRPr="00C723E0">
        <w:rPr>
          <w:rFonts w:cs="Calibri"/>
          <w:szCs w:val="22"/>
          <w:lang w:val="en-AU"/>
        </w:rPr>
        <w:t xml:space="preserve"> and</w:t>
      </w:r>
      <w:r w:rsidR="007B32B6" w:rsidRPr="00C723E0">
        <w:rPr>
          <w:rFonts w:cs="Calibri"/>
          <w:szCs w:val="22"/>
          <w:lang w:val="en-AU"/>
        </w:rPr>
        <w:t>,</w:t>
      </w:r>
      <w:r w:rsidRPr="00C723E0">
        <w:rPr>
          <w:rFonts w:cs="Calibri"/>
          <w:szCs w:val="22"/>
          <w:lang w:val="en-AU"/>
        </w:rPr>
        <w:t xml:space="preserve"> to a lesser degree</w:t>
      </w:r>
      <w:r w:rsidR="007B32B6" w:rsidRPr="00C723E0">
        <w:rPr>
          <w:rFonts w:cs="Calibri"/>
          <w:szCs w:val="22"/>
          <w:lang w:val="en-AU"/>
        </w:rPr>
        <w:t>,</w:t>
      </w:r>
      <w:r w:rsidRPr="00C723E0">
        <w:rPr>
          <w:rFonts w:cs="Calibri"/>
          <w:szCs w:val="22"/>
          <w:lang w:val="en-AU"/>
        </w:rPr>
        <w:t xml:space="preserve"> with DFAT. </w:t>
      </w:r>
      <w:r w:rsidR="007B32B6" w:rsidRPr="00C723E0">
        <w:rPr>
          <w:rFonts w:cs="Calibri"/>
          <w:szCs w:val="22"/>
          <w:lang w:val="en-AU"/>
        </w:rPr>
        <w:t xml:space="preserve">This finding is not a criticism but provides an opportunity for potential future investments to have clear selection criteria and consultation </w:t>
      </w:r>
      <w:r w:rsidR="007B32B6" w:rsidRPr="00C723E0">
        <w:rPr>
          <w:rFonts w:cs="Calibri"/>
          <w:szCs w:val="22"/>
          <w:lang w:val="en-AU"/>
        </w:rPr>
        <w:lastRenderedPageBreak/>
        <w:t xml:space="preserve">processes that enable </w:t>
      </w:r>
      <w:r w:rsidR="003221AD" w:rsidRPr="00C723E0">
        <w:rPr>
          <w:rFonts w:cs="Calibri"/>
          <w:szCs w:val="22"/>
          <w:lang w:val="en-AU"/>
        </w:rPr>
        <w:t>selecting</w:t>
      </w:r>
      <w:r w:rsidR="007B32B6" w:rsidRPr="00C723E0">
        <w:rPr>
          <w:rFonts w:cs="Calibri"/>
          <w:szCs w:val="22"/>
          <w:lang w:val="en-AU"/>
        </w:rPr>
        <w:t xml:space="preserve"> priority projects. </w:t>
      </w:r>
      <w:r w:rsidR="003221AD" w:rsidRPr="00C723E0">
        <w:rPr>
          <w:rFonts w:cs="Calibri"/>
          <w:szCs w:val="22"/>
          <w:lang w:val="en-AU"/>
        </w:rPr>
        <w:t>The program'</w:t>
      </w:r>
      <w:r w:rsidR="007B32B6" w:rsidRPr="00C723E0">
        <w:rPr>
          <w:rFonts w:cs="Calibri"/>
          <w:szCs w:val="22"/>
          <w:lang w:val="en-AU"/>
        </w:rPr>
        <w:t>s ability to evolve and prioritise projects that build on successive iterations</w:t>
      </w:r>
      <w:r w:rsidR="003221AD" w:rsidRPr="00C723E0">
        <w:rPr>
          <w:rFonts w:cs="Calibri"/>
          <w:szCs w:val="22"/>
          <w:lang w:val="en-AU"/>
        </w:rPr>
        <w:t xml:space="preserve"> is crucial</w:t>
      </w:r>
      <w:r w:rsidR="007B32B6" w:rsidRPr="00C723E0">
        <w:rPr>
          <w:rFonts w:cs="Calibri"/>
          <w:szCs w:val="22"/>
          <w:lang w:val="en-AU"/>
        </w:rPr>
        <w:t>. This is evident through regulatory work under Pillar 1 and the ESG and GEDSI work under Pillar 3.</w:t>
      </w:r>
    </w:p>
    <w:p w14:paraId="79201651" w14:textId="17D95458" w:rsidR="007E77CE" w:rsidRPr="00DF0A19" w:rsidRDefault="007B32B6" w:rsidP="00DF0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hAnsi="Calibri" w:cs="Calibri"/>
          <w:sz w:val="22"/>
          <w:szCs w:val="22"/>
          <w:lang w:val="en-AU"/>
        </w:rPr>
      </w:pPr>
      <w:r w:rsidRPr="00C723E0">
        <w:rPr>
          <w:rFonts w:ascii="Calibri" w:hAnsi="Calibri" w:cs="Calibri"/>
          <w:b/>
          <w:bCs/>
          <w:sz w:val="22"/>
          <w:szCs w:val="22"/>
          <w:lang w:val="en-AU"/>
        </w:rPr>
        <w:t xml:space="preserve">A possible solution is for future iterations of the program to prioritise and design longer-term projects from the outset </w:t>
      </w:r>
      <w:r w:rsidR="003221AD" w:rsidRPr="00C723E0">
        <w:rPr>
          <w:rFonts w:ascii="Calibri" w:hAnsi="Calibri" w:cs="Calibri"/>
          <w:b/>
          <w:bCs/>
          <w:sz w:val="22"/>
          <w:szCs w:val="22"/>
          <w:lang w:val="en-AU"/>
        </w:rPr>
        <w:t>with</w:t>
      </w:r>
      <w:r w:rsidRPr="00C723E0">
        <w:rPr>
          <w:rFonts w:ascii="Calibri" w:hAnsi="Calibri" w:cs="Calibri"/>
          <w:b/>
          <w:bCs/>
          <w:sz w:val="22"/>
          <w:szCs w:val="22"/>
          <w:lang w:val="en-AU"/>
        </w:rPr>
        <w:t xml:space="preserve"> clear stages </w:t>
      </w:r>
      <w:r w:rsidR="003221AD" w:rsidRPr="00C723E0">
        <w:rPr>
          <w:rFonts w:ascii="Calibri" w:hAnsi="Calibri" w:cs="Calibri"/>
          <w:b/>
          <w:bCs/>
          <w:sz w:val="22"/>
          <w:szCs w:val="22"/>
          <w:lang w:val="en-AU"/>
        </w:rPr>
        <w:t>that</w:t>
      </w:r>
      <w:r w:rsidRPr="00C723E0">
        <w:rPr>
          <w:rFonts w:ascii="Calibri" w:hAnsi="Calibri" w:cs="Calibri"/>
          <w:b/>
          <w:bCs/>
          <w:sz w:val="22"/>
          <w:szCs w:val="22"/>
          <w:lang w:val="en-AU"/>
        </w:rPr>
        <w:t xml:space="preserve"> can be programmed, monitored</w:t>
      </w:r>
      <w:r w:rsidR="003221AD" w:rsidRPr="00C723E0">
        <w:rPr>
          <w:rFonts w:ascii="Calibri" w:hAnsi="Calibri" w:cs="Calibri"/>
          <w:b/>
          <w:bCs/>
          <w:sz w:val="22"/>
          <w:szCs w:val="22"/>
          <w:lang w:val="en-AU"/>
        </w:rPr>
        <w:t>,</w:t>
      </w:r>
      <w:r w:rsidRPr="00C723E0">
        <w:rPr>
          <w:rFonts w:ascii="Calibri" w:hAnsi="Calibri" w:cs="Calibri"/>
          <w:b/>
          <w:bCs/>
          <w:sz w:val="22"/>
          <w:szCs w:val="22"/>
          <w:lang w:val="en-AU"/>
        </w:rPr>
        <w:t xml:space="preserve"> and assessed over time.</w:t>
      </w:r>
      <w:r w:rsidRPr="00C723E0">
        <w:rPr>
          <w:rFonts w:ascii="Calibri" w:hAnsi="Calibri" w:cs="Calibri"/>
          <w:sz w:val="22"/>
          <w:szCs w:val="22"/>
          <w:lang w:val="en-AU"/>
        </w:rPr>
        <w:t xml:space="preserve"> This removes potential challenges and risks of short-term projects and investments and provides a higher degree of continuity for IFC and DFAT going forward. </w:t>
      </w:r>
      <w:r w:rsidR="007E77CE" w:rsidRPr="00A26E3C">
        <w:rPr>
          <w:rFonts w:ascii="Calibri" w:eastAsiaTheme="minorHAnsi" w:hAnsi="Calibri" w:cs="Calibri"/>
          <w:color w:val="000000"/>
          <w:sz w:val="22"/>
          <w:szCs w:val="22"/>
          <w:lang w:val="en-AU"/>
          <w14:ligatures w14:val="standardContextual"/>
        </w:rPr>
        <w:t>Most projects supported under FPSDP have been long</w:t>
      </w:r>
      <w:r w:rsidR="00DF0A19">
        <w:rPr>
          <w:rFonts w:ascii="Calibri" w:eastAsiaTheme="minorHAnsi" w:hAnsi="Calibri" w:cs="Calibri"/>
          <w:color w:val="000000"/>
          <w:sz w:val="22"/>
          <w:szCs w:val="22"/>
          <w:lang w:val="en-AU"/>
          <w14:ligatures w14:val="standardContextual"/>
        </w:rPr>
        <w:t>-</w:t>
      </w:r>
      <w:r w:rsidR="007E77CE" w:rsidRPr="00A26E3C">
        <w:rPr>
          <w:rFonts w:ascii="Calibri" w:eastAsiaTheme="minorHAnsi" w:hAnsi="Calibri" w:cs="Calibri"/>
          <w:color w:val="000000"/>
          <w:sz w:val="22"/>
          <w:szCs w:val="22"/>
          <w:lang w:val="en-AU"/>
          <w14:ligatures w14:val="standardContextual"/>
        </w:rPr>
        <w:t xml:space="preserve">term in nature, with implementation periods of two years or more (e.g. payment system, gender, competitiveness, and PPP projects all fit into this category). IFC conducts a pre-implementation period, in which the project is scoped with the client to define clear development indicators </w:t>
      </w:r>
      <w:r w:rsidR="00DF0A19">
        <w:rPr>
          <w:rFonts w:ascii="Calibri" w:eastAsiaTheme="minorHAnsi" w:hAnsi="Calibri" w:cs="Calibri"/>
          <w:color w:val="000000"/>
          <w:sz w:val="22"/>
          <w:szCs w:val="22"/>
          <w:lang w:val="en-AU"/>
          <w14:ligatures w14:val="standardContextual"/>
        </w:rPr>
        <w:t>that</w:t>
      </w:r>
      <w:r w:rsidR="007E77CE" w:rsidRPr="00A26E3C">
        <w:rPr>
          <w:rFonts w:ascii="Calibri" w:eastAsiaTheme="minorHAnsi" w:hAnsi="Calibri" w:cs="Calibri"/>
          <w:color w:val="000000"/>
          <w:sz w:val="22"/>
          <w:szCs w:val="22"/>
          <w:lang w:val="en-AU"/>
          <w14:ligatures w14:val="standardContextual"/>
        </w:rPr>
        <w:t xml:space="preserve"> are then embedded in legal agreements (Letters of Engagement or Agreement) with the client</w:t>
      </w:r>
      <w:r w:rsidR="00C723E0">
        <w:rPr>
          <w:rFonts w:ascii="Calibri" w:eastAsiaTheme="minorHAnsi" w:hAnsi="Calibri" w:cs="Calibri"/>
          <w:color w:val="000000"/>
          <w:sz w:val="22"/>
          <w:szCs w:val="22"/>
          <w:lang w:val="en-AU"/>
          <w14:ligatures w14:val="standardContextual"/>
        </w:rPr>
        <w:t xml:space="preserve">. </w:t>
      </w:r>
      <w:r w:rsidR="007E77CE" w:rsidRPr="00A26E3C">
        <w:rPr>
          <w:rFonts w:ascii="Calibri" w:eastAsiaTheme="minorHAnsi" w:hAnsi="Calibri" w:cs="Calibri"/>
          <w:color w:val="000000"/>
          <w:sz w:val="22"/>
          <w:szCs w:val="22"/>
          <w:lang w:val="en-AU"/>
          <w14:ligatures w14:val="standardContextual"/>
        </w:rPr>
        <w:t>Additionally, working with private sector clients and government means that there will always need to be a certain level of flexibility in order to be demand</w:t>
      </w:r>
      <w:r w:rsidR="00DF0A19">
        <w:rPr>
          <w:rFonts w:ascii="Calibri" w:eastAsiaTheme="minorHAnsi" w:hAnsi="Calibri" w:cs="Calibri"/>
          <w:color w:val="000000"/>
          <w:sz w:val="22"/>
          <w:szCs w:val="22"/>
          <w:lang w:val="en-AU"/>
          <w14:ligatures w14:val="standardContextual"/>
        </w:rPr>
        <w:t>-</w:t>
      </w:r>
      <w:r w:rsidR="007E77CE" w:rsidRPr="00A26E3C">
        <w:rPr>
          <w:rFonts w:ascii="Calibri" w:eastAsiaTheme="minorHAnsi" w:hAnsi="Calibri" w:cs="Calibri"/>
          <w:color w:val="000000"/>
          <w:sz w:val="22"/>
          <w:szCs w:val="22"/>
          <w:lang w:val="en-AU"/>
          <w14:ligatures w14:val="standardContextual"/>
        </w:rPr>
        <w:t xml:space="preserve">driven. Otherwise there will be missed </w:t>
      </w:r>
      <w:r w:rsidR="00C723E0" w:rsidRPr="00C723E0">
        <w:rPr>
          <w:rFonts w:ascii="Calibri" w:eastAsiaTheme="minorHAnsi" w:hAnsi="Calibri" w:cs="Calibri"/>
          <w:color w:val="000000"/>
          <w:sz w:val="22"/>
          <w:szCs w:val="22"/>
          <w:lang w:val="en-AU"/>
          <w14:ligatures w14:val="standardContextual"/>
        </w:rPr>
        <w:t>opportunities.</w:t>
      </w:r>
      <w:r w:rsidR="007E77CE" w:rsidRPr="00A26E3C">
        <w:rPr>
          <w:rFonts w:ascii="Calibri" w:eastAsiaTheme="minorHAnsi" w:hAnsi="Calibri" w:cs="Calibri"/>
          <w:color w:val="000000"/>
          <w:sz w:val="22"/>
          <w:szCs w:val="22"/>
          <w:lang w:val="en-AU"/>
          <w14:ligatures w14:val="standardContextual"/>
        </w:rPr>
        <w:t xml:space="preserve"> </w:t>
      </w:r>
      <w:r w:rsidRPr="00C723E0">
        <w:rPr>
          <w:rFonts w:ascii="Calibri" w:hAnsi="Calibri" w:cs="Calibri"/>
          <w:sz w:val="22"/>
          <w:szCs w:val="22"/>
          <w:lang w:val="en-AU"/>
        </w:rPr>
        <w:t>It also aids in better monitoring and evaluation arrangements</w:t>
      </w:r>
      <w:r w:rsidR="003221AD" w:rsidRPr="00C723E0">
        <w:rPr>
          <w:rFonts w:ascii="Calibri" w:hAnsi="Calibri" w:cs="Calibri"/>
          <w:sz w:val="22"/>
          <w:szCs w:val="22"/>
          <w:lang w:val="en-AU"/>
        </w:rPr>
        <w:t>,</w:t>
      </w:r>
      <w:r w:rsidRPr="00C723E0">
        <w:rPr>
          <w:rFonts w:ascii="Calibri" w:hAnsi="Calibri" w:cs="Calibri"/>
          <w:sz w:val="22"/>
          <w:szCs w:val="22"/>
          <w:lang w:val="en-AU"/>
        </w:rPr>
        <w:t xml:space="preserve"> where changes can be assessed over time rather than simple counting of key results and deliverables.</w:t>
      </w:r>
      <w:r w:rsidR="008423DA" w:rsidRPr="00C723E0">
        <w:rPr>
          <w:rFonts w:ascii="Calibri" w:hAnsi="Calibri" w:cs="Calibri"/>
          <w:sz w:val="22"/>
          <w:szCs w:val="22"/>
          <w:lang w:val="en-AU"/>
        </w:rPr>
        <w:t xml:space="preserve"> </w:t>
      </w:r>
    </w:p>
    <w:p w14:paraId="0202144D" w14:textId="56D6F21D" w:rsidR="007B32B6" w:rsidRPr="00C723E0" w:rsidRDefault="007B32B6" w:rsidP="00DF0A19">
      <w:pPr>
        <w:pStyle w:val="BodyText"/>
        <w:jc w:val="both"/>
        <w:rPr>
          <w:rFonts w:cs="Calibri"/>
          <w:szCs w:val="22"/>
          <w:lang w:val="en-AU"/>
        </w:rPr>
      </w:pPr>
      <w:r w:rsidRPr="00C723E0">
        <w:rPr>
          <w:rFonts w:cs="Calibri"/>
          <w:b/>
          <w:bCs/>
          <w:szCs w:val="22"/>
          <w:lang w:val="en-AU"/>
        </w:rPr>
        <w:t>Evidence from interviews highlight</w:t>
      </w:r>
      <w:r w:rsidR="003221AD" w:rsidRPr="00C723E0">
        <w:rPr>
          <w:rFonts w:cs="Calibri"/>
          <w:b/>
          <w:bCs/>
          <w:szCs w:val="22"/>
          <w:lang w:val="en-AU"/>
        </w:rPr>
        <w:t>s</w:t>
      </w:r>
      <w:r w:rsidRPr="00C723E0">
        <w:rPr>
          <w:rFonts w:cs="Calibri"/>
          <w:b/>
          <w:bCs/>
          <w:szCs w:val="22"/>
          <w:lang w:val="en-AU"/>
        </w:rPr>
        <w:t xml:space="preserve"> key buy-in and interest from GoF partners.</w:t>
      </w:r>
      <w:r w:rsidRPr="00C723E0">
        <w:rPr>
          <w:rFonts w:cs="Calibri"/>
          <w:szCs w:val="22"/>
          <w:lang w:val="en-AU"/>
        </w:rPr>
        <w:t xml:space="preserve"> However, this also needs to be grounded in context and regularly tested to ensure adequate capacity and willingness to progress projects and activities. It is recognised that IFC is identified and viewed as a “trusted partner</w:t>
      </w:r>
      <w:r w:rsidR="003221AD" w:rsidRPr="00C723E0">
        <w:rPr>
          <w:rFonts w:cs="Calibri"/>
          <w:szCs w:val="22"/>
          <w:lang w:val="en-AU"/>
        </w:rPr>
        <w:t>.</w:t>
      </w:r>
      <w:r w:rsidRPr="00C723E0">
        <w:rPr>
          <w:rFonts w:cs="Calibri"/>
          <w:szCs w:val="22"/>
          <w:lang w:val="en-AU"/>
        </w:rPr>
        <w:t>”</w:t>
      </w:r>
      <w:r w:rsidR="003221AD" w:rsidRPr="00C723E0">
        <w:rPr>
          <w:rFonts w:cs="Calibri"/>
          <w:szCs w:val="22"/>
          <w:lang w:val="en-AU"/>
        </w:rPr>
        <w:t xml:space="preserve"> H</w:t>
      </w:r>
      <w:r w:rsidRPr="00C723E0">
        <w:rPr>
          <w:rFonts w:cs="Calibri"/>
          <w:szCs w:val="22"/>
          <w:lang w:val="en-AU"/>
        </w:rPr>
        <w:t>owever</w:t>
      </w:r>
      <w:r w:rsidR="00B05D6A" w:rsidRPr="00C723E0">
        <w:rPr>
          <w:rFonts w:cs="Calibri"/>
          <w:szCs w:val="22"/>
          <w:lang w:val="en-AU"/>
        </w:rPr>
        <w:t>,</w:t>
      </w:r>
      <w:r w:rsidRPr="00C723E0">
        <w:rPr>
          <w:rFonts w:cs="Calibri"/>
          <w:szCs w:val="22"/>
          <w:lang w:val="en-AU"/>
        </w:rPr>
        <w:t xml:space="preserve"> it is also </w:t>
      </w:r>
      <w:r w:rsidR="003221AD" w:rsidRPr="00C723E0">
        <w:rPr>
          <w:rFonts w:cs="Calibri"/>
          <w:szCs w:val="22"/>
          <w:lang w:val="en-AU"/>
        </w:rPr>
        <w:t>essential</w:t>
      </w:r>
      <w:r w:rsidRPr="00C723E0">
        <w:rPr>
          <w:rFonts w:cs="Calibri"/>
          <w:szCs w:val="22"/>
          <w:lang w:val="en-AU"/>
        </w:rPr>
        <w:t xml:space="preserve"> to</w:t>
      </w:r>
      <w:r w:rsidR="008423DA" w:rsidRPr="00C723E0">
        <w:rPr>
          <w:rFonts w:cs="Calibri"/>
          <w:szCs w:val="22"/>
          <w:lang w:val="en-AU"/>
        </w:rPr>
        <w:t xml:space="preserve"> continue to</w:t>
      </w:r>
      <w:r w:rsidRPr="00C723E0">
        <w:rPr>
          <w:rFonts w:cs="Calibri"/>
          <w:szCs w:val="22"/>
          <w:lang w:val="en-AU"/>
        </w:rPr>
        <w:t xml:space="preserve"> test </w:t>
      </w:r>
      <w:r w:rsidR="008423DA" w:rsidRPr="00C723E0">
        <w:rPr>
          <w:rFonts w:cs="Calibri"/>
          <w:szCs w:val="22"/>
          <w:lang w:val="en-AU"/>
        </w:rPr>
        <w:t xml:space="preserve">and reflect on selected </w:t>
      </w:r>
      <w:r w:rsidRPr="00C723E0">
        <w:rPr>
          <w:rFonts w:cs="Calibri"/>
          <w:szCs w:val="22"/>
          <w:lang w:val="en-AU"/>
        </w:rPr>
        <w:t>activities</w:t>
      </w:r>
      <w:r w:rsidR="008423DA" w:rsidRPr="00C723E0">
        <w:rPr>
          <w:rFonts w:cs="Calibri"/>
          <w:szCs w:val="22"/>
          <w:lang w:val="en-AU"/>
        </w:rPr>
        <w:t xml:space="preserve"> to ensure they remain aligned and provide </w:t>
      </w:r>
      <w:r w:rsidRPr="00C723E0">
        <w:rPr>
          <w:rFonts w:cs="Calibri"/>
          <w:szCs w:val="22"/>
          <w:lang w:val="en-AU"/>
        </w:rPr>
        <w:t>demon</w:t>
      </w:r>
      <w:r w:rsidR="00B05D6A" w:rsidRPr="00C723E0">
        <w:rPr>
          <w:rFonts w:cs="Calibri"/>
          <w:szCs w:val="22"/>
          <w:lang w:val="en-AU"/>
        </w:rPr>
        <w:t>strable results</w:t>
      </w:r>
      <w:r w:rsidRPr="00C723E0">
        <w:rPr>
          <w:rFonts w:cs="Calibri"/>
          <w:szCs w:val="22"/>
          <w:lang w:val="en-AU"/>
        </w:rPr>
        <w:t xml:space="preserve"> that benefit both IFC and DFAT.</w:t>
      </w:r>
    </w:p>
    <w:p w14:paraId="2AD44EF9" w14:textId="58E04F53" w:rsidR="007B32B6" w:rsidRPr="00C723E0" w:rsidRDefault="007B32B6" w:rsidP="0067380D">
      <w:pPr>
        <w:pStyle w:val="BodyText"/>
        <w:jc w:val="both"/>
        <w:rPr>
          <w:rFonts w:cs="Calibri"/>
          <w:szCs w:val="22"/>
          <w:lang w:val="en-AU"/>
        </w:rPr>
      </w:pPr>
      <w:r w:rsidRPr="00C723E0">
        <w:rPr>
          <w:rFonts w:cs="Calibri"/>
          <w:b/>
          <w:bCs/>
          <w:szCs w:val="22"/>
          <w:lang w:val="en-AU"/>
        </w:rPr>
        <w:t>Further iterations of the program should continue to support and implement similar projects across the pillars.</w:t>
      </w:r>
      <w:r w:rsidRPr="00C723E0">
        <w:rPr>
          <w:rFonts w:cs="Calibri"/>
          <w:szCs w:val="22"/>
          <w:lang w:val="en-AU"/>
        </w:rPr>
        <w:t xml:space="preserve"> This approach provides </w:t>
      </w:r>
      <w:r w:rsidR="00B05D6A" w:rsidRPr="00C723E0">
        <w:rPr>
          <w:rFonts w:cs="Calibri"/>
          <w:szCs w:val="22"/>
          <w:lang w:val="en-AU"/>
        </w:rPr>
        <w:t xml:space="preserve">a </w:t>
      </w:r>
      <w:r w:rsidRPr="00C723E0">
        <w:rPr>
          <w:rFonts w:cs="Calibri"/>
          <w:szCs w:val="22"/>
          <w:lang w:val="en-AU"/>
        </w:rPr>
        <w:t>greater guar</w:t>
      </w:r>
      <w:r w:rsidR="00B05D6A" w:rsidRPr="00C723E0">
        <w:rPr>
          <w:rFonts w:cs="Calibri"/>
          <w:szCs w:val="22"/>
          <w:lang w:val="en-AU"/>
        </w:rPr>
        <w:t>antee</w:t>
      </w:r>
      <w:r w:rsidRPr="00C723E0">
        <w:rPr>
          <w:rFonts w:cs="Calibri"/>
          <w:szCs w:val="22"/>
          <w:lang w:val="en-AU"/>
        </w:rPr>
        <w:t xml:space="preserve"> of p</w:t>
      </w:r>
      <w:r w:rsidR="00B05D6A" w:rsidRPr="00C723E0">
        <w:rPr>
          <w:rFonts w:cs="Calibri"/>
          <w:szCs w:val="22"/>
          <w:lang w:val="en-AU"/>
        </w:rPr>
        <w:t>oten</w:t>
      </w:r>
      <w:r w:rsidRPr="00C723E0">
        <w:rPr>
          <w:rFonts w:cs="Calibri"/>
          <w:szCs w:val="22"/>
          <w:lang w:val="en-AU"/>
        </w:rPr>
        <w:t>tial sustainability. A key risk is that future programming could result in the funding and support of a series of ad hoc activities and projects that, while potentially beneficial, become difficult to aggre</w:t>
      </w:r>
      <w:r w:rsidR="00B05D6A" w:rsidRPr="00C723E0">
        <w:rPr>
          <w:rFonts w:cs="Calibri"/>
          <w:szCs w:val="22"/>
          <w:lang w:val="en-AU"/>
        </w:rPr>
        <w:t>gat</w:t>
      </w:r>
      <w:r w:rsidRPr="00C723E0">
        <w:rPr>
          <w:rFonts w:cs="Calibri"/>
          <w:szCs w:val="22"/>
          <w:lang w:val="en-AU"/>
        </w:rPr>
        <w:t xml:space="preserve">e and assess. </w:t>
      </w:r>
      <w:r w:rsidR="003221AD" w:rsidRPr="00C723E0">
        <w:rPr>
          <w:rFonts w:cs="Calibri"/>
          <w:szCs w:val="22"/>
          <w:lang w:val="en-AU"/>
        </w:rPr>
        <w:t>Maintaining</w:t>
      </w:r>
      <w:r w:rsidRPr="00C723E0">
        <w:rPr>
          <w:rFonts w:cs="Calibri"/>
          <w:szCs w:val="22"/>
          <w:lang w:val="en-AU"/>
        </w:rPr>
        <w:t xml:space="preserve"> a focused program th</w:t>
      </w:r>
      <w:r w:rsidR="00B05D6A" w:rsidRPr="00C723E0">
        <w:rPr>
          <w:rFonts w:cs="Calibri"/>
          <w:szCs w:val="22"/>
          <w:lang w:val="en-AU"/>
        </w:rPr>
        <w:t>at</w:t>
      </w:r>
      <w:r w:rsidRPr="00C723E0">
        <w:rPr>
          <w:rFonts w:cs="Calibri"/>
          <w:szCs w:val="22"/>
          <w:lang w:val="en-AU"/>
        </w:rPr>
        <w:t xml:space="preserve"> builds on previous learni</w:t>
      </w:r>
      <w:r w:rsidR="00B05D6A" w:rsidRPr="00C723E0">
        <w:rPr>
          <w:rFonts w:cs="Calibri"/>
          <w:szCs w:val="22"/>
          <w:lang w:val="en-AU"/>
        </w:rPr>
        <w:t>ng</w:t>
      </w:r>
      <w:r w:rsidRPr="00C723E0">
        <w:rPr>
          <w:rFonts w:cs="Calibri"/>
          <w:szCs w:val="22"/>
          <w:lang w:val="en-AU"/>
        </w:rPr>
        <w:t>s and s</w:t>
      </w:r>
      <w:r w:rsidR="00B05D6A" w:rsidRPr="00C723E0">
        <w:rPr>
          <w:rFonts w:cs="Calibri"/>
          <w:szCs w:val="22"/>
          <w:lang w:val="en-AU"/>
        </w:rPr>
        <w:t>uc</w:t>
      </w:r>
      <w:r w:rsidRPr="00C723E0">
        <w:rPr>
          <w:rFonts w:cs="Calibri"/>
          <w:szCs w:val="22"/>
          <w:lang w:val="en-AU"/>
        </w:rPr>
        <w:t xml:space="preserve">cesses and maintains commitments that benefit both the </w:t>
      </w:r>
      <w:r w:rsidR="003221AD" w:rsidRPr="00C723E0">
        <w:rPr>
          <w:rFonts w:cs="Calibri"/>
          <w:szCs w:val="22"/>
          <w:lang w:val="en-AU"/>
        </w:rPr>
        <w:t>GoF</w:t>
      </w:r>
      <w:r w:rsidRPr="00C723E0">
        <w:rPr>
          <w:rFonts w:cs="Calibri"/>
          <w:szCs w:val="22"/>
          <w:lang w:val="en-AU"/>
        </w:rPr>
        <w:t xml:space="preserve"> and Go</w:t>
      </w:r>
      <w:r w:rsidR="003221AD" w:rsidRPr="00C723E0">
        <w:rPr>
          <w:rFonts w:cs="Calibri"/>
          <w:szCs w:val="22"/>
          <w:lang w:val="en-AU"/>
        </w:rPr>
        <w:t>A is essential</w:t>
      </w:r>
      <w:r w:rsidRPr="00C723E0">
        <w:rPr>
          <w:rFonts w:cs="Calibri"/>
          <w:szCs w:val="22"/>
          <w:lang w:val="en-AU"/>
        </w:rPr>
        <w:t>.</w:t>
      </w:r>
    </w:p>
    <w:p w14:paraId="1F442C9C" w14:textId="0A8E9836" w:rsidR="007B32B6" w:rsidRPr="00C723E0" w:rsidRDefault="007B32B6" w:rsidP="0067380D">
      <w:pPr>
        <w:pStyle w:val="BodyText"/>
        <w:jc w:val="both"/>
        <w:rPr>
          <w:rFonts w:cs="Calibri"/>
          <w:szCs w:val="22"/>
          <w:lang w:val="en-AU"/>
        </w:rPr>
      </w:pPr>
      <w:r w:rsidRPr="00C723E0">
        <w:rPr>
          <w:rFonts w:cs="Calibri"/>
          <w:b/>
          <w:bCs/>
          <w:szCs w:val="22"/>
          <w:lang w:val="en-AU"/>
        </w:rPr>
        <w:t>Future inve</w:t>
      </w:r>
      <w:r w:rsidR="00B05D6A" w:rsidRPr="00C723E0">
        <w:rPr>
          <w:rFonts w:cs="Calibri"/>
          <w:b/>
          <w:bCs/>
          <w:szCs w:val="22"/>
          <w:lang w:val="en-AU"/>
        </w:rPr>
        <w:t>st</w:t>
      </w:r>
      <w:r w:rsidRPr="00C723E0">
        <w:rPr>
          <w:rFonts w:cs="Calibri"/>
          <w:b/>
          <w:bCs/>
          <w:szCs w:val="22"/>
          <w:lang w:val="en-AU"/>
        </w:rPr>
        <w:t>ments and support around PPP</w:t>
      </w:r>
      <w:r w:rsidR="00353118" w:rsidRPr="00C723E0">
        <w:rPr>
          <w:rFonts w:cs="Calibri"/>
          <w:b/>
          <w:bCs/>
          <w:szCs w:val="22"/>
          <w:lang w:val="en-AU"/>
        </w:rPr>
        <w:t>s</w:t>
      </w:r>
      <w:r w:rsidRPr="00C723E0">
        <w:rPr>
          <w:rFonts w:cs="Calibri"/>
          <w:b/>
          <w:bCs/>
          <w:szCs w:val="22"/>
          <w:lang w:val="en-AU"/>
        </w:rPr>
        <w:t xml:space="preserve"> should be carefully considered and discussed. </w:t>
      </w:r>
      <w:r w:rsidRPr="00C723E0">
        <w:rPr>
          <w:rFonts w:cs="Calibri"/>
          <w:szCs w:val="22"/>
          <w:lang w:val="en-AU"/>
        </w:rPr>
        <w:t>Evidence to date indicate</w:t>
      </w:r>
      <w:r w:rsidR="00B05D6A" w:rsidRPr="00C723E0">
        <w:rPr>
          <w:rFonts w:cs="Calibri"/>
          <w:szCs w:val="22"/>
          <w:lang w:val="en-AU"/>
        </w:rPr>
        <w:t>s</w:t>
      </w:r>
      <w:r w:rsidRPr="00C723E0">
        <w:rPr>
          <w:rFonts w:cs="Calibri"/>
          <w:szCs w:val="22"/>
          <w:lang w:val="en-AU"/>
        </w:rPr>
        <w:t xml:space="preserve"> that PP</w:t>
      </w:r>
      <w:r w:rsidR="0031696F" w:rsidRPr="00C723E0">
        <w:rPr>
          <w:rFonts w:cs="Calibri"/>
          <w:szCs w:val="22"/>
          <w:lang w:val="en-AU"/>
        </w:rPr>
        <w:t>Ps</w:t>
      </w:r>
      <w:r w:rsidRPr="00C723E0">
        <w:rPr>
          <w:rFonts w:cs="Calibri"/>
          <w:szCs w:val="22"/>
          <w:lang w:val="en-AU"/>
        </w:rPr>
        <w:t>, while potentially significantly benefi</w:t>
      </w:r>
      <w:r w:rsidR="00B05D6A" w:rsidRPr="00C723E0">
        <w:rPr>
          <w:rFonts w:cs="Calibri"/>
          <w:szCs w:val="22"/>
          <w:lang w:val="en-AU"/>
        </w:rPr>
        <w:t>cial</w:t>
      </w:r>
      <w:r w:rsidRPr="00C723E0">
        <w:rPr>
          <w:rFonts w:cs="Calibri"/>
          <w:szCs w:val="22"/>
          <w:lang w:val="en-AU"/>
        </w:rPr>
        <w:t xml:space="preserve">, carry considerable </w:t>
      </w:r>
      <w:r w:rsidR="003221AD" w:rsidRPr="00C723E0">
        <w:rPr>
          <w:rFonts w:cs="Calibri"/>
          <w:szCs w:val="22"/>
          <w:lang w:val="en-AU"/>
        </w:rPr>
        <w:t>financial and reputational risk</w:t>
      </w:r>
      <w:r w:rsidRPr="00C723E0">
        <w:rPr>
          <w:rFonts w:cs="Calibri"/>
          <w:szCs w:val="22"/>
          <w:lang w:val="en-AU"/>
        </w:rPr>
        <w:t>. DFAT is advised to carefully consider future inve</w:t>
      </w:r>
      <w:r w:rsidR="00B05D6A" w:rsidRPr="00C723E0">
        <w:rPr>
          <w:rFonts w:cs="Calibri"/>
          <w:szCs w:val="22"/>
          <w:lang w:val="en-AU"/>
        </w:rPr>
        <w:t>st</w:t>
      </w:r>
      <w:r w:rsidRPr="00C723E0">
        <w:rPr>
          <w:rFonts w:cs="Calibri"/>
          <w:szCs w:val="22"/>
          <w:lang w:val="en-AU"/>
        </w:rPr>
        <w:t>ments in this area and focus on pr</w:t>
      </w:r>
      <w:r w:rsidR="00B05D6A" w:rsidRPr="00C723E0">
        <w:rPr>
          <w:rFonts w:cs="Calibri"/>
          <w:szCs w:val="22"/>
          <w:lang w:val="en-AU"/>
        </w:rPr>
        <w:t>iori</w:t>
      </w:r>
      <w:r w:rsidRPr="00C723E0">
        <w:rPr>
          <w:rFonts w:cs="Calibri"/>
          <w:szCs w:val="22"/>
          <w:lang w:val="en-AU"/>
        </w:rPr>
        <w:t>ty areas that support potential PP</w:t>
      </w:r>
      <w:r w:rsidR="0031696F" w:rsidRPr="00C723E0">
        <w:rPr>
          <w:rFonts w:cs="Calibri"/>
          <w:szCs w:val="22"/>
          <w:lang w:val="en-AU"/>
        </w:rPr>
        <w:t>P</w:t>
      </w:r>
      <w:r w:rsidRPr="00C723E0">
        <w:rPr>
          <w:rFonts w:cs="Calibri"/>
          <w:szCs w:val="22"/>
          <w:lang w:val="en-AU"/>
        </w:rPr>
        <w:t xml:space="preserve"> inve</w:t>
      </w:r>
      <w:r w:rsidR="00B05D6A" w:rsidRPr="00C723E0">
        <w:rPr>
          <w:rFonts w:cs="Calibri"/>
          <w:szCs w:val="22"/>
          <w:lang w:val="en-AU"/>
        </w:rPr>
        <w:t>stments</w:t>
      </w:r>
      <w:r w:rsidR="003221AD" w:rsidRPr="00C723E0">
        <w:rPr>
          <w:rFonts w:cs="Calibri"/>
          <w:szCs w:val="22"/>
          <w:lang w:val="en-AU"/>
        </w:rPr>
        <w:t xml:space="preserve">. </w:t>
      </w:r>
      <w:r w:rsidR="007E77CE" w:rsidRPr="00A26E3C">
        <w:rPr>
          <w:rFonts w:eastAsiaTheme="minorHAnsi" w:cs="Calibri"/>
          <w:color w:val="000000"/>
          <w:szCs w:val="22"/>
          <w:lang w:val="en-AU"/>
          <w14:ligatures w14:val="standardContextual"/>
        </w:rPr>
        <w:t xml:space="preserve">DFAT should carefully consider the circumstances under which they would fund PPP projects as </w:t>
      </w:r>
      <w:r w:rsidR="007836E0" w:rsidRPr="00C723E0">
        <w:rPr>
          <w:rFonts w:cs="Calibri"/>
          <w:szCs w:val="22"/>
          <w:lang w:val="en-AU"/>
        </w:rPr>
        <w:t>supporting ongoing advisory and technical support that requires a selective and specific suite of expertise and knowledge.</w:t>
      </w:r>
    </w:p>
    <w:p w14:paraId="20F5B32B" w14:textId="7A66E20C" w:rsidR="007E5500" w:rsidRDefault="00B05D6A" w:rsidP="0067380D">
      <w:pPr>
        <w:pStyle w:val="BodyText"/>
        <w:jc w:val="both"/>
        <w:rPr>
          <w:rFonts w:cs="Calibri"/>
          <w:szCs w:val="22"/>
          <w:lang w:val="en-AU"/>
        </w:rPr>
      </w:pPr>
      <w:r w:rsidRPr="00C723E0">
        <w:rPr>
          <w:rFonts w:cs="Calibri"/>
          <w:b/>
          <w:bCs/>
          <w:szCs w:val="22"/>
          <w:lang w:val="en-AU"/>
        </w:rPr>
        <w:t>The overall highlight of the program is the ability to target and focus on key support areas with a relatively modest budget.</w:t>
      </w:r>
      <w:r w:rsidRPr="00C723E0">
        <w:rPr>
          <w:rFonts w:cs="Calibri"/>
          <w:szCs w:val="22"/>
          <w:lang w:val="en-AU"/>
        </w:rPr>
        <w:t xml:space="preserve"> The “trialling” of some approaches warrants further </w:t>
      </w:r>
      <w:r w:rsidR="003221AD" w:rsidRPr="00C723E0">
        <w:rPr>
          <w:rFonts w:cs="Calibri"/>
          <w:szCs w:val="22"/>
          <w:lang w:val="en-AU"/>
        </w:rPr>
        <w:t>investigation</w:t>
      </w:r>
      <w:r w:rsidRPr="00C723E0">
        <w:rPr>
          <w:rFonts w:cs="Calibri"/>
          <w:szCs w:val="22"/>
          <w:lang w:val="en-AU"/>
        </w:rPr>
        <w:t xml:space="preserve"> and the ability to scale up and </w:t>
      </w:r>
      <w:r w:rsidR="003221AD" w:rsidRPr="00C723E0">
        <w:rPr>
          <w:rFonts w:cs="Calibri"/>
          <w:szCs w:val="22"/>
          <w:lang w:val="en-AU"/>
        </w:rPr>
        <w:t>leverage</w:t>
      </w:r>
      <w:r w:rsidRPr="00C723E0">
        <w:rPr>
          <w:rFonts w:cs="Calibri"/>
          <w:szCs w:val="22"/>
          <w:lang w:val="en-AU"/>
        </w:rPr>
        <w:t xml:space="preserve"> options. This is most evident in areas supporting sustainable tourism and </w:t>
      </w:r>
      <w:r w:rsidR="003221AD" w:rsidRPr="00C723E0">
        <w:rPr>
          <w:rFonts w:cs="Calibri"/>
          <w:szCs w:val="22"/>
          <w:lang w:val="en-AU"/>
        </w:rPr>
        <w:t xml:space="preserve">the </w:t>
      </w:r>
      <w:r w:rsidRPr="00C723E0">
        <w:rPr>
          <w:rFonts w:cs="Calibri"/>
          <w:szCs w:val="22"/>
          <w:lang w:val="en-AU"/>
        </w:rPr>
        <w:t xml:space="preserve">environment, </w:t>
      </w:r>
      <w:r w:rsidR="003221AD" w:rsidRPr="00C723E0">
        <w:rPr>
          <w:rFonts w:cs="Calibri"/>
          <w:szCs w:val="22"/>
          <w:lang w:val="en-AU"/>
        </w:rPr>
        <w:t xml:space="preserve">as well as </w:t>
      </w:r>
      <w:r w:rsidRPr="00C723E0">
        <w:rPr>
          <w:rFonts w:cs="Calibri"/>
          <w:szCs w:val="22"/>
          <w:lang w:val="en-AU"/>
        </w:rPr>
        <w:t>social and governance work. Interviews indicate continu</w:t>
      </w:r>
      <w:r w:rsidR="00B754B7" w:rsidRPr="00C723E0">
        <w:rPr>
          <w:rFonts w:cs="Calibri"/>
          <w:szCs w:val="22"/>
          <w:lang w:val="en-AU"/>
        </w:rPr>
        <w:t>ed</w:t>
      </w:r>
      <w:r w:rsidRPr="00C723E0">
        <w:rPr>
          <w:rFonts w:cs="Calibri"/>
          <w:szCs w:val="22"/>
          <w:lang w:val="en-AU"/>
        </w:rPr>
        <w:t xml:space="preserve"> prioritisation of these work areas</w:t>
      </w:r>
      <w:r w:rsidR="00B754B7" w:rsidRPr="00C723E0">
        <w:rPr>
          <w:rFonts w:cs="Calibri"/>
          <w:szCs w:val="22"/>
          <w:lang w:val="en-AU"/>
        </w:rPr>
        <w:t>,</w:t>
      </w:r>
      <w:r w:rsidRPr="00C723E0">
        <w:rPr>
          <w:rFonts w:cs="Calibri"/>
          <w:szCs w:val="22"/>
          <w:lang w:val="en-AU"/>
        </w:rPr>
        <w:t xml:space="preserve"> and these areas also provide opportunities for DFAT to leverage its existing partnership arr</w:t>
      </w:r>
      <w:r w:rsidR="00B754B7" w:rsidRPr="00C723E0">
        <w:rPr>
          <w:rFonts w:cs="Calibri"/>
          <w:szCs w:val="22"/>
          <w:lang w:val="en-AU"/>
        </w:rPr>
        <w:t>angeme</w:t>
      </w:r>
      <w:r w:rsidRPr="00C723E0">
        <w:rPr>
          <w:rFonts w:cs="Calibri"/>
          <w:szCs w:val="22"/>
          <w:lang w:val="en-AU"/>
        </w:rPr>
        <w:t>nts and expertise to provide ongoing support.</w:t>
      </w:r>
    </w:p>
    <w:p w14:paraId="02199401" w14:textId="10FD70C7" w:rsidR="008661C2" w:rsidRPr="00C723E0" w:rsidRDefault="008661C2" w:rsidP="00A26E3C">
      <w:pPr>
        <w:spacing w:after="120"/>
        <w:jc w:val="both"/>
        <w:rPr>
          <w:rFonts w:ascii="Calibri" w:hAnsi="Calibri" w:cs="Calibri"/>
          <w:sz w:val="22"/>
          <w:szCs w:val="22"/>
          <w:lang w:val="en-AU"/>
        </w:rPr>
      </w:pPr>
      <w:r>
        <w:rPr>
          <w:rFonts w:ascii="Calibri" w:hAnsi="Calibri" w:cs="Calibri"/>
          <w:sz w:val="22"/>
          <w:szCs w:val="22"/>
          <w:lang w:val="en-AU"/>
        </w:rPr>
        <w:t>In considering the findings and evidence above, the evaluation assigns a “satisfactory” rating to sustainability.</w:t>
      </w:r>
    </w:p>
    <w:p w14:paraId="2FF9E253" w14:textId="7E1F3718" w:rsidR="00851C7B" w:rsidRPr="00A26E3C" w:rsidRDefault="00851C7B" w:rsidP="4EF1951E">
      <w:pPr>
        <w:pStyle w:val="Heading1"/>
        <w:rPr>
          <w:rFonts w:cs="Calibri"/>
          <w:b w:val="0"/>
          <w:bCs/>
          <w:lang w:val="en-AU"/>
        </w:rPr>
      </w:pPr>
      <w:bookmarkStart w:id="45" w:name="_Toc201131780"/>
      <w:bookmarkStart w:id="46" w:name="_Toc206675826"/>
      <w:r w:rsidRPr="4EF1951E">
        <w:rPr>
          <w:rFonts w:cs="Calibri"/>
          <w:b w:val="0"/>
          <w:bCs/>
          <w:lang w:val="en-AU"/>
        </w:rPr>
        <w:t>Key Conclusions and Recommendations</w:t>
      </w:r>
      <w:bookmarkEnd w:id="45"/>
      <w:bookmarkEnd w:id="46"/>
    </w:p>
    <w:p w14:paraId="0097257D" w14:textId="6E79D6EA" w:rsidR="00851C7B" w:rsidRPr="00C723E0" w:rsidRDefault="0057250F" w:rsidP="0057250F">
      <w:pPr>
        <w:pStyle w:val="BodyText2"/>
        <w:spacing w:line="240" w:lineRule="auto"/>
        <w:jc w:val="both"/>
        <w:rPr>
          <w:rFonts w:ascii="Calibri" w:hAnsi="Calibri" w:cs="Calibri"/>
          <w:sz w:val="22"/>
          <w:szCs w:val="22"/>
          <w:lang w:val="en-AU"/>
        </w:rPr>
      </w:pPr>
      <w:r w:rsidRPr="00C723E0">
        <w:rPr>
          <w:rFonts w:ascii="Calibri" w:hAnsi="Calibri" w:cs="Calibri"/>
          <w:sz w:val="22"/>
          <w:szCs w:val="22"/>
          <w:lang w:val="en-AU"/>
        </w:rPr>
        <w:t xml:space="preserve">Overall, the program has </w:t>
      </w:r>
      <w:r w:rsidR="00DE58CB" w:rsidRPr="00C723E0">
        <w:rPr>
          <w:rFonts w:ascii="Calibri" w:hAnsi="Calibri" w:cs="Calibri"/>
          <w:sz w:val="22"/>
          <w:szCs w:val="22"/>
          <w:lang w:val="en-AU"/>
        </w:rPr>
        <w:t xml:space="preserve">significantly </w:t>
      </w:r>
      <w:r w:rsidR="00804913" w:rsidRPr="00C723E0">
        <w:rPr>
          <w:rFonts w:ascii="Calibri" w:hAnsi="Calibri" w:cs="Calibri"/>
          <w:sz w:val="22"/>
          <w:szCs w:val="22"/>
          <w:lang w:val="en-AU"/>
        </w:rPr>
        <w:t>supported</w:t>
      </w:r>
      <w:r w:rsidRPr="00C723E0">
        <w:rPr>
          <w:rFonts w:ascii="Calibri" w:hAnsi="Calibri" w:cs="Calibri"/>
          <w:sz w:val="22"/>
          <w:szCs w:val="22"/>
          <w:lang w:val="en-AU"/>
        </w:rPr>
        <w:t xml:space="preserve"> DFAT and the </w:t>
      </w:r>
      <w:r w:rsidR="00D62F56" w:rsidRPr="00C723E0">
        <w:rPr>
          <w:rFonts w:ascii="Calibri" w:hAnsi="Calibri" w:cs="Calibri"/>
          <w:sz w:val="22"/>
          <w:szCs w:val="22"/>
          <w:lang w:val="en-AU"/>
        </w:rPr>
        <w:t>GoF</w:t>
      </w:r>
      <w:r w:rsidRPr="00C723E0">
        <w:rPr>
          <w:rFonts w:ascii="Calibri" w:hAnsi="Calibri" w:cs="Calibri"/>
          <w:sz w:val="22"/>
          <w:szCs w:val="22"/>
          <w:lang w:val="en-AU"/>
        </w:rPr>
        <w:t xml:space="preserve"> in promoting private sector development and investment promotion in Fiji.</w:t>
      </w:r>
      <w:r w:rsidR="00B05D6A" w:rsidRPr="00C723E0">
        <w:rPr>
          <w:rFonts w:ascii="Calibri" w:hAnsi="Calibri" w:cs="Calibri"/>
          <w:sz w:val="22"/>
          <w:szCs w:val="22"/>
          <w:lang w:val="en-AU"/>
        </w:rPr>
        <w:t xml:space="preserve"> The program has demonstrated solid progress in progressing work across its three </w:t>
      </w:r>
      <w:r w:rsidR="00804913" w:rsidRPr="00C723E0">
        <w:rPr>
          <w:rFonts w:ascii="Calibri" w:hAnsi="Calibri" w:cs="Calibri"/>
          <w:sz w:val="22"/>
          <w:szCs w:val="22"/>
          <w:lang w:val="en-AU"/>
        </w:rPr>
        <w:t>support pillars</w:t>
      </w:r>
      <w:r w:rsidR="00B05D6A" w:rsidRPr="00C723E0">
        <w:rPr>
          <w:rFonts w:ascii="Calibri" w:hAnsi="Calibri" w:cs="Calibri"/>
          <w:sz w:val="22"/>
          <w:szCs w:val="22"/>
          <w:lang w:val="en-AU"/>
        </w:rPr>
        <w:t>.</w:t>
      </w:r>
    </w:p>
    <w:p w14:paraId="0FFA54C0" w14:textId="514DAB9C" w:rsidR="00B05D6A" w:rsidRPr="00C723E0" w:rsidRDefault="00B05D6A" w:rsidP="0057250F">
      <w:pPr>
        <w:pStyle w:val="BodyText2"/>
        <w:spacing w:line="240" w:lineRule="auto"/>
        <w:jc w:val="both"/>
        <w:rPr>
          <w:rFonts w:ascii="Calibri" w:hAnsi="Calibri" w:cs="Calibri"/>
          <w:sz w:val="22"/>
          <w:szCs w:val="22"/>
          <w:lang w:val="en-AU"/>
        </w:rPr>
      </w:pPr>
      <w:r w:rsidRPr="00C723E0">
        <w:rPr>
          <w:rFonts w:ascii="Calibri" w:hAnsi="Calibri" w:cs="Calibri"/>
          <w:sz w:val="22"/>
          <w:szCs w:val="22"/>
          <w:lang w:val="en-AU"/>
        </w:rPr>
        <w:lastRenderedPageBreak/>
        <w:t xml:space="preserve">The program benefits from targeted support </w:t>
      </w:r>
      <w:r w:rsidR="003221AD" w:rsidRPr="00C723E0">
        <w:rPr>
          <w:rFonts w:ascii="Calibri" w:hAnsi="Calibri" w:cs="Calibri"/>
          <w:sz w:val="22"/>
          <w:szCs w:val="22"/>
          <w:lang w:val="en-AU"/>
        </w:rPr>
        <w:t>focusing</w:t>
      </w:r>
      <w:r w:rsidRPr="00C723E0">
        <w:rPr>
          <w:rFonts w:ascii="Calibri" w:hAnsi="Calibri" w:cs="Calibri"/>
          <w:sz w:val="22"/>
          <w:szCs w:val="22"/>
          <w:lang w:val="en-AU"/>
        </w:rPr>
        <w:t xml:space="preserve"> on key areas </w:t>
      </w:r>
      <w:r w:rsidR="00233581" w:rsidRPr="00C723E0">
        <w:rPr>
          <w:rFonts w:ascii="Calibri" w:hAnsi="Calibri" w:cs="Calibri"/>
          <w:sz w:val="22"/>
          <w:szCs w:val="22"/>
          <w:lang w:val="en-AU"/>
        </w:rPr>
        <w:t>where</w:t>
      </w:r>
      <w:r w:rsidRPr="00C723E0">
        <w:rPr>
          <w:rFonts w:ascii="Calibri" w:hAnsi="Calibri" w:cs="Calibri"/>
          <w:sz w:val="22"/>
          <w:szCs w:val="22"/>
          <w:lang w:val="en-AU"/>
        </w:rPr>
        <w:t xml:space="preserve"> IFC and DFAT have expertise and knowledge. This is the foundation of a solid partnership. </w:t>
      </w:r>
      <w:r w:rsidR="00804913" w:rsidRPr="00C723E0">
        <w:rPr>
          <w:rFonts w:ascii="Calibri" w:hAnsi="Calibri" w:cs="Calibri"/>
          <w:sz w:val="22"/>
          <w:szCs w:val="22"/>
          <w:lang w:val="en-AU"/>
        </w:rPr>
        <w:t>Focusing</w:t>
      </w:r>
      <w:r w:rsidRPr="00C723E0">
        <w:rPr>
          <w:rFonts w:ascii="Calibri" w:hAnsi="Calibri" w:cs="Calibri"/>
          <w:sz w:val="22"/>
          <w:szCs w:val="22"/>
          <w:lang w:val="en-AU"/>
        </w:rPr>
        <w:t xml:space="preserve"> on what has worked and what needs to be done in thos</w:t>
      </w:r>
      <w:r w:rsidR="00B754B7" w:rsidRPr="00C723E0">
        <w:rPr>
          <w:rFonts w:ascii="Calibri" w:hAnsi="Calibri" w:cs="Calibri"/>
          <w:sz w:val="22"/>
          <w:szCs w:val="22"/>
          <w:lang w:val="en-AU"/>
        </w:rPr>
        <w:t>e</w:t>
      </w:r>
      <w:r w:rsidRPr="00C723E0">
        <w:rPr>
          <w:rFonts w:ascii="Calibri" w:hAnsi="Calibri" w:cs="Calibri"/>
          <w:sz w:val="22"/>
          <w:szCs w:val="22"/>
          <w:lang w:val="en-AU"/>
        </w:rPr>
        <w:t xml:space="preserve"> areas provides sign</w:t>
      </w:r>
      <w:r w:rsidR="00B754B7" w:rsidRPr="00C723E0">
        <w:rPr>
          <w:rFonts w:ascii="Calibri" w:hAnsi="Calibri" w:cs="Calibri"/>
          <w:sz w:val="22"/>
          <w:szCs w:val="22"/>
          <w:lang w:val="en-AU"/>
        </w:rPr>
        <w:t>ificant opportunities</w:t>
      </w:r>
      <w:r w:rsidRPr="00C723E0">
        <w:rPr>
          <w:rFonts w:ascii="Calibri" w:hAnsi="Calibri" w:cs="Calibri"/>
          <w:sz w:val="22"/>
          <w:szCs w:val="22"/>
          <w:lang w:val="en-AU"/>
        </w:rPr>
        <w:t xml:space="preserve"> for fu</w:t>
      </w:r>
      <w:r w:rsidR="00B754B7" w:rsidRPr="00C723E0">
        <w:rPr>
          <w:rFonts w:ascii="Calibri" w:hAnsi="Calibri" w:cs="Calibri"/>
          <w:sz w:val="22"/>
          <w:szCs w:val="22"/>
          <w:lang w:val="en-AU"/>
        </w:rPr>
        <w:t>rther leverage</w:t>
      </w:r>
      <w:r w:rsidRPr="00C723E0">
        <w:rPr>
          <w:rFonts w:ascii="Calibri" w:hAnsi="Calibri" w:cs="Calibri"/>
          <w:sz w:val="22"/>
          <w:szCs w:val="22"/>
          <w:lang w:val="en-AU"/>
        </w:rPr>
        <w:t xml:space="preserve"> </w:t>
      </w:r>
      <w:r w:rsidR="00B754B7" w:rsidRPr="00C723E0">
        <w:rPr>
          <w:rFonts w:ascii="Calibri" w:hAnsi="Calibri" w:cs="Calibri"/>
          <w:sz w:val="22"/>
          <w:szCs w:val="22"/>
          <w:lang w:val="en-AU"/>
        </w:rPr>
        <w:t>an</w:t>
      </w:r>
      <w:r w:rsidRPr="00C723E0">
        <w:rPr>
          <w:rFonts w:ascii="Calibri" w:hAnsi="Calibri" w:cs="Calibri"/>
          <w:sz w:val="22"/>
          <w:szCs w:val="22"/>
          <w:lang w:val="en-AU"/>
        </w:rPr>
        <w:t>d neg</w:t>
      </w:r>
      <w:r w:rsidR="00B754B7" w:rsidRPr="00C723E0">
        <w:rPr>
          <w:rFonts w:ascii="Calibri" w:hAnsi="Calibri" w:cs="Calibri"/>
          <w:sz w:val="22"/>
          <w:szCs w:val="22"/>
          <w:lang w:val="en-AU"/>
        </w:rPr>
        <w:t>otiation</w:t>
      </w:r>
      <w:r w:rsidRPr="00C723E0">
        <w:rPr>
          <w:rFonts w:ascii="Calibri" w:hAnsi="Calibri" w:cs="Calibri"/>
          <w:sz w:val="22"/>
          <w:szCs w:val="22"/>
          <w:lang w:val="en-AU"/>
        </w:rPr>
        <w:t>s. The program should primarily be viewed as an initial pilot</w:t>
      </w:r>
      <w:r w:rsidR="00804913" w:rsidRPr="00C723E0">
        <w:rPr>
          <w:rFonts w:ascii="Calibri" w:hAnsi="Calibri" w:cs="Calibri"/>
          <w:sz w:val="22"/>
          <w:szCs w:val="22"/>
          <w:lang w:val="en-AU"/>
        </w:rPr>
        <w:t>,</w:t>
      </w:r>
      <w:r w:rsidRPr="00C723E0">
        <w:rPr>
          <w:rFonts w:ascii="Calibri" w:hAnsi="Calibri" w:cs="Calibri"/>
          <w:sz w:val="22"/>
          <w:szCs w:val="22"/>
          <w:lang w:val="en-AU"/>
        </w:rPr>
        <w:t xml:space="preserve"> and the is</w:t>
      </w:r>
      <w:r w:rsidR="00804913" w:rsidRPr="00C723E0">
        <w:rPr>
          <w:rFonts w:ascii="Calibri" w:hAnsi="Calibri" w:cs="Calibri"/>
          <w:sz w:val="22"/>
          <w:szCs w:val="22"/>
          <w:lang w:val="en-AU"/>
        </w:rPr>
        <w:t>su</w:t>
      </w:r>
      <w:r w:rsidRPr="00C723E0">
        <w:rPr>
          <w:rFonts w:ascii="Calibri" w:hAnsi="Calibri" w:cs="Calibri"/>
          <w:sz w:val="22"/>
          <w:szCs w:val="22"/>
          <w:lang w:val="en-AU"/>
        </w:rPr>
        <w:t>e of re</w:t>
      </w:r>
      <w:r w:rsidR="00804913" w:rsidRPr="00C723E0">
        <w:rPr>
          <w:rFonts w:ascii="Calibri" w:hAnsi="Calibri" w:cs="Calibri"/>
          <w:sz w:val="22"/>
          <w:szCs w:val="22"/>
          <w:lang w:val="en-AU"/>
        </w:rPr>
        <w:t>cept</w:t>
      </w:r>
      <w:r w:rsidRPr="00C723E0">
        <w:rPr>
          <w:rFonts w:ascii="Calibri" w:hAnsi="Calibri" w:cs="Calibri"/>
          <w:sz w:val="22"/>
          <w:szCs w:val="22"/>
          <w:lang w:val="en-AU"/>
        </w:rPr>
        <w:t>ive expertise and experience.</w:t>
      </w:r>
    </w:p>
    <w:p w14:paraId="2291A070" w14:textId="599B250D" w:rsidR="00B05D6A" w:rsidRPr="00C723E0" w:rsidRDefault="00804913" w:rsidP="0057250F">
      <w:pPr>
        <w:pStyle w:val="BodyText2"/>
        <w:spacing w:line="240" w:lineRule="auto"/>
        <w:jc w:val="both"/>
        <w:rPr>
          <w:rFonts w:ascii="Calibri" w:hAnsi="Calibri" w:cs="Calibri"/>
          <w:sz w:val="22"/>
          <w:szCs w:val="22"/>
          <w:lang w:val="en-AU"/>
        </w:rPr>
      </w:pPr>
      <w:r w:rsidRPr="00C723E0">
        <w:rPr>
          <w:rFonts w:ascii="Calibri" w:hAnsi="Calibri" w:cs="Calibri"/>
          <w:sz w:val="22"/>
          <w:szCs w:val="22"/>
          <w:lang w:val="en-AU"/>
        </w:rPr>
        <w:t>L</w:t>
      </w:r>
      <w:r w:rsidR="00B05D6A" w:rsidRPr="00C723E0">
        <w:rPr>
          <w:rFonts w:ascii="Calibri" w:hAnsi="Calibri" w:cs="Calibri"/>
          <w:sz w:val="22"/>
          <w:szCs w:val="22"/>
          <w:lang w:val="en-AU"/>
        </w:rPr>
        <w:t xml:space="preserve">ooking forward, </w:t>
      </w:r>
      <w:r w:rsidRPr="00C723E0">
        <w:rPr>
          <w:rFonts w:ascii="Calibri" w:hAnsi="Calibri" w:cs="Calibri"/>
          <w:sz w:val="22"/>
          <w:szCs w:val="22"/>
          <w:lang w:val="en-AU"/>
        </w:rPr>
        <w:t>DFAT has scope</w:t>
      </w:r>
      <w:r w:rsidR="00B05D6A" w:rsidRPr="00C723E0">
        <w:rPr>
          <w:rFonts w:ascii="Calibri" w:hAnsi="Calibri" w:cs="Calibri"/>
          <w:sz w:val="22"/>
          <w:szCs w:val="22"/>
          <w:lang w:val="en-AU"/>
        </w:rPr>
        <w:t xml:space="preserve"> to bro</w:t>
      </w:r>
      <w:r w:rsidRPr="00C723E0">
        <w:rPr>
          <w:rFonts w:ascii="Calibri" w:hAnsi="Calibri" w:cs="Calibri"/>
          <w:sz w:val="22"/>
          <w:szCs w:val="22"/>
          <w:lang w:val="en-AU"/>
        </w:rPr>
        <w:t>aden</w:t>
      </w:r>
      <w:r w:rsidR="00B05D6A" w:rsidRPr="00C723E0">
        <w:rPr>
          <w:rFonts w:ascii="Calibri" w:hAnsi="Calibri" w:cs="Calibri"/>
          <w:sz w:val="22"/>
          <w:szCs w:val="22"/>
          <w:lang w:val="en-AU"/>
        </w:rPr>
        <w:t xml:space="preserve"> partnership arr</w:t>
      </w:r>
      <w:r w:rsidRPr="00C723E0">
        <w:rPr>
          <w:rFonts w:ascii="Calibri" w:hAnsi="Calibri" w:cs="Calibri"/>
          <w:sz w:val="22"/>
          <w:szCs w:val="22"/>
          <w:lang w:val="en-AU"/>
        </w:rPr>
        <w:t>ange</w:t>
      </w:r>
      <w:r w:rsidR="00B05D6A" w:rsidRPr="00C723E0">
        <w:rPr>
          <w:rFonts w:ascii="Calibri" w:hAnsi="Calibri" w:cs="Calibri"/>
          <w:sz w:val="22"/>
          <w:szCs w:val="22"/>
          <w:lang w:val="en-AU"/>
        </w:rPr>
        <w:t>ments to enable it to access more private sector actors. This has prov</w:t>
      </w:r>
      <w:r w:rsidRPr="00C723E0">
        <w:rPr>
          <w:rFonts w:ascii="Calibri" w:hAnsi="Calibri" w:cs="Calibri"/>
          <w:sz w:val="22"/>
          <w:szCs w:val="22"/>
          <w:lang w:val="en-AU"/>
        </w:rPr>
        <w:t>ided</w:t>
      </w:r>
      <w:r w:rsidR="00B05D6A" w:rsidRPr="00C723E0">
        <w:rPr>
          <w:rFonts w:ascii="Calibri" w:hAnsi="Calibri" w:cs="Calibri"/>
          <w:sz w:val="22"/>
          <w:szCs w:val="22"/>
          <w:lang w:val="en-AU"/>
        </w:rPr>
        <w:t xml:space="preserve"> su</w:t>
      </w:r>
      <w:r w:rsidRPr="00C723E0">
        <w:rPr>
          <w:rFonts w:ascii="Calibri" w:hAnsi="Calibri" w:cs="Calibri"/>
          <w:sz w:val="22"/>
          <w:szCs w:val="22"/>
          <w:lang w:val="en-AU"/>
        </w:rPr>
        <w:t>ccess</w:t>
      </w:r>
      <w:r w:rsidR="00B05D6A" w:rsidRPr="00C723E0">
        <w:rPr>
          <w:rFonts w:ascii="Calibri" w:hAnsi="Calibri" w:cs="Calibri"/>
          <w:sz w:val="22"/>
          <w:szCs w:val="22"/>
          <w:lang w:val="en-AU"/>
        </w:rPr>
        <w:t xml:space="preserve"> on other </w:t>
      </w:r>
      <w:r w:rsidR="003221AD" w:rsidRPr="00C723E0">
        <w:rPr>
          <w:rFonts w:ascii="Calibri" w:hAnsi="Calibri" w:cs="Calibri"/>
          <w:sz w:val="22"/>
          <w:szCs w:val="22"/>
          <w:lang w:val="en-AU"/>
        </w:rPr>
        <w:t>DFAT</w:t>
      </w:r>
      <w:r w:rsidR="00B05D6A" w:rsidRPr="00C723E0">
        <w:rPr>
          <w:rFonts w:ascii="Calibri" w:hAnsi="Calibri" w:cs="Calibri"/>
          <w:sz w:val="22"/>
          <w:szCs w:val="22"/>
          <w:lang w:val="en-AU"/>
        </w:rPr>
        <w:t xml:space="preserve"> inve</w:t>
      </w:r>
      <w:r w:rsidRPr="00C723E0">
        <w:rPr>
          <w:rFonts w:ascii="Calibri" w:hAnsi="Calibri" w:cs="Calibri"/>
          <w:sz w:val="22"/>
          <w:szCs w:val="22"/>
          <w:lang w:val="en-AU"/>
        </w:rPr>
        <w:t>st</w:t>
      </w:r>
      <w:r w:rsidR="00B05D6A" w:rsidRPr="00C723E0">
        <w:rPr>
          <w:rFonts w:ascii="Calibri" w:hAnsi="Calibri" w:cs="Calibri"/>
          <w:sz w:val="22"/>
          <w:szCs w:val="22"/>
          <w:lang w:val="en-AU"/>
        </w:rPr>
        <w:t>ments where partnership arrangement</w:t>
      </w:r>
      <w:r w:rsidRPr="00C723E0">
        <w:rPr>
          <w:rFonts w:ascii="Calibri" w:hAnsi="Calibri" w:cs="Calibri"/>
          <w:sz w:val="22"/>
          <w:szCs w:val="22"/>
          <w:lang w:val="en-AU"/>
        </w:rPr>
        <w:t>s</w:t>
      </w:r>
      <w:r w:rsidR="00B05D6A" w:rsidRPr="00C723E0">
        <w:rPr>
          <w:rFonts w:ascii="Calibri" w:hAnsi="Calibri" w:cs="Calibri"/>
          <w:sz w:val="22"/>
          <w:szCs w:val="22"/>
          <w:lang w:val="en-AU"/>
        </w:rPr>
        <w:t xml:space="preserve"> are expanded</w:t>
      </w:r>
      <w:r w:rsidRPr="00C723E0">
        <w:rPr>
          <w:rFonts w:ascii="Calibri" w:hAnsi="Calibri" w:cs="Calibri"/>
          <w:sz w:val="22"/>
          <w:szCs w:val="22"/>
          <w:lang w:val="en-AU"/>
        </w:rPr>
        <w:t>,</w:t>
      </w:r>
      <w:r w:rsidR="00B05D6A" w:rsidRPr="00C723E0">
        <w:rPr>
          <w:rFonts w:ascii="Calibri" w:hAnsi="Calibri" w:cs="Calibri"/>
          <w:sz w:val="22"/>
          <w:szCs w:val="22"/>
          <w:lang w:val="en-AU"/>
        </w:rPr>
        <w:t xml:space="preserve"> enabling different partners to focus on priority areas and to ensure adequate coordination and collaboration with and between part</w:t>
      </w:r>
      <w:r w:rsidRPr="00C723E0">
        <w:rPr>
          <w:rFonts w:ascii="Calibri" w:hAnsi="Calibri" w:cs="Calibri"/>
          <w:sz w:val="22"/>
          <w:szCs w:val="22"/>
          <w:lang w:val="en-AU"/>
        </w:rPr>
        <w:t>ne</w:t>
      </w:r>
      <w:r w:rsidR="00B05D6A" w:rsidRPr="00C723E0">
        <w:rPr>
          <w:rFonts w:ascii="Calibri" w:hAnsi="Calibri" w:cs="Calibri"/>
          <w:sz w:val="22"/>
          <w:szCs w:val="22"/>
          <w:lang w:val="en-AU"/>
        </w:rPr>
        <w:t>rs. IFC is a trusted and effective partner</w:t>
      </w:r>
      <w:r w:rsidRPr="00C723E0">
        <w:rPr>
          <w:rFonts w:ascii="Calibri" w:hAnsi="Calibri" w:cs="Calibri"/>
          <w:sz w:val="22"/>
          <w:szCs w:val="22"/>
          <w:lang w:val="en-AU"/>
        </w:rPr>
        <w:t>,</w:t>
      </w:r>
      <w:r w:rsidR="00B05D6A" w:rsidRPr="00C723E0">
        <w:rPr>
          <w:rFonts w:ascii="Calibri" w:hAnsi="Calibri" w:cs="Calibri"/>
          <w:sz w:val="22"/>
          <w:szCs w:val="22"/>
          <w:lang w:val="en-AU"/>
        </w:rPr>
        <w:t xml:space="preserve"> and current arrangements could be maintained</w:t>
      </w:r>
      <w:r w:rsidRPr="00C723E0">
        <w:rPr>
          <w:rFonts w:ascii="Calibri" w:hAnsi="Calibri" w:cs="Calibri"/>
          <w:sz w:val="22"/>
          <w:szCs w:val="22"/>
          <w:lang w:val="en-AU"/>
        </w:rPr>
        <w:t>;</w:t>
      </w:r>
      <w:r w:rsidR="00B05D6A" w:rsidRPr="00C723E0">
        <w:rPr>
          <w:rFonts w:ascii="Calibri" w:hAnsi="Calibri" w:cs="Calibri"/>
          <w:sz w:val="22"/>
          <w:szCs w:val="22"/>
          <w:lang w:val="en-AU"/>
        </w:rPr>
        <w:t xml:space="preserve"> however</w:t>
      </w:r>
      <w:r w:rsidRPr="00C723E0">
        <w:rPr>
          <w:rFonts w:ascii="Calibri" w:hAnsi="Calibri" w:cs="Calibri"/>
          <w:sz w:val="22"/>
          <w:szCs w:val="22"/>
          <w:lang w:val="en-AU"/>
        </w:rPr>
        <w:t>,</w:t>
      </w:r>
      <w:r w:rsidR="00B05D6A" w:rsidRPr="00C723E0">
        <w:rPr>
          <w:rFonts w:ascii="Calibri" w:hAnsi="Calibri" w:cs="Calibri"/>
          <w:sz w:val="22"/>
          <w:szCs w:val="22"/>
          <w:lang w:val="en-AU"/>
        </w:rPr>
        <w:t xml:space="preserve"> if DFAT </w:t>
      </w:r>
      <w:r w:rsidRPr="00C723E0">
        <w:rPr>
          <w:rFonts w:ascii="Calibri" w:hAnsi="Calibri" w:cs="Calibri"/>
          <w:sz w:val="22"/>
          <w:szCs w:val="22"/>
          <w:lang w:val="en-AU"/>
        </w:rPr>
        <w:t>can</w:t>
      </w:r>
      <w:r w:rsidR="00B05D6A" w:rsidRPr="00C723E0">
        <w:rPr>
          <w:rFonts w:ascii="Calibri" w:hAnsi="Calibri" w:cs="Calibri"/>
          <w:sz w:val="22"/>
          <w:szCs w:val="22"/>
          <w:lang w:val="en-AU"/>
        </w:rPr>
        <w:t xml:space="preserve"> expand the level of support, there may be sco</w:t>
      </w:r>
      <w:r w:rsidRPr="00C723E0">
        <w:rPr>
          <w:rFonts w:ascii="Calibri" w:hAnsi="Calibri" w:cs="Calibri"/>
          <w:sz w:val="22"/>
          <w:szCs w:val="22"/>
          <w:lang w:val="en-AU"/>
        </w:rPr>
        <w:t>p</w:t>
      </w:r>
      <w:r w:rsidR="00B05D6A" w:rsidRPr="00C723E0">
        <w:rPr>
          <w:rFonts w:ascii="Calibri" w:hAnsi="Calibri" w:cs="Calibri"/>
          <w:sz w:val="22"/>
          <w:szCs w:val="22"/>
          <w:lang w:val="en-AU"/>
        </w:rPr>
        <w:t>e to bring in other commercial partners, such as a managing contrac</w:t>
      </w:r>
      <w:r w:rsidRPr="00C723E0">
        <w:rPr>
          <w:rFonts w:ascii="Calibri" w:hAnsi="Calibri" w:cs="Calibri"/>
          <w:sz w:val="22"/>
          <w:szCs w:val="22"/>
          <w:lang w:val="en-AU"/>
        </w:rPr>
        <w:t>tor</w:t>
      </w:r>
      <w:r w:rsidR="00B05D6A" w:rsidRPr="00C723E0">
        <w:rPr>
          <w:rFonts w:ascii="Calibri" w:hAnsi="Calibri" w:cs="Calibri"/>
          <w:sz w:val="22"/>
          <w:szCs w:val="22"/>
          <w:lang w:val="en-AU"/>
        </w:rPr>
        <w:t>, to focus on a targeted component or to provide specific training and cap</w:t>
      </w:r>
      <w:r w:rsidRPr="00C723E0">
        <w:rPr>
          <w:rFonts w:ascii="Calibri" w:hAnsi="Calibri" w:cs="Calibri"/>
          <w:sz w:val="22"/>
          <w:szCs w:val="22"/>
          <w:lang w:val="en-AU"/>
        </w:rPr>
        <w:t>a</w:t>
      </w:r>
      <w:r w:rsidR="00B05D6A" w:rsidRPr="00C723E0">
        <w:rPr>
          <w:rFonts w:ascii="Calibri" w:hAnsi="Calibri" w:cs="Calibri"/>
          <w:sz w:val="22"/>
          <w:szCs w:val="22"/>
          <w:lang w:val="en-AU"/>
        </w:rPr>
        <w:t>city support</w:t>
      </w:r>
      <w:r w:rsidR="00A92F1A" w:rsidRPr="00C723E0">
        <w:rPr>
          <w:rFonts w:ascii="Calibri" w:hAnsi="Calibri" w:cs="Calibri"/>
          <w:sz w:val="22"/>
          <w:szCs w:val="22"/>
          <w:lang w:val="en-AU"/>
        </w:rPr>
        <w:t xml:space="preserve"> that complements IFC’s offering</w:t>
      </w:r>
      <w:r w:rsidR="00B05D6A" w:rsidRPr="00C723E0">
        <w:rPr>
          <w:rFonts w:ascii="Calibri" w:hAnsi="Calibri" w:cs="Calibri"/>
          <w:sz w:val="22"/>
          <w:szCs w:val="22"/>
          <w:lang w:val="en-AU"/>
        </w:rPr>
        <w:t>.</w:t>
      </w:r>
      <w:r w:rsidR="00E141DC" w:rsidRPr="00C723E0">
        <w:rPr>
          <w:rFonts w:ascii="Calibri" w:hAnsi="Calibri" w:cs="Calibri"/>
          <w:sz w:val="22"/>
          <w:szCs w:val="22"/>
          <w:lang w:val="en-AU"/>
        </w:rPr>
        <w:t xml:space="preserve"> </w:t>
      </w:r>
      <w:r w:rsidR="00E141DC" w:rsidRPr="00A26E3C">
        <w:rPr>
          <w:rFonts w:ascii="Calibri" w:eastAsiaTheme="minorHAnsi" w:hAnsi="Calibri" w:cs="Calibri"/>
          <w:color w:val="000000"/>
          <w:sz w:val="22"/>
          <w:szCs w:val="22"/>
          <w:lang w:val="en-AU"/>
          <w14:ligatures w14:val="standardContextual"/>
        </w:rPr>
        <w:t xml:space="preserve">Consultations with key stakeholders revealed that good coordination exists with other related DFAT-supported programs in Fiji (e.g. MDF and PSDI). There is scope and opportunity to </w:t>
      </w:r>
      <w:r w:rsidR="00C723E0" w:rsidRPr="00C723E0">
        <w:rPr>
          <w:rFonts w:ascii="Calibri" w:eastAsiaTheme="minorHAnsi" w:hAnsi="Calibri" w:cs="Calibri"/>
          <w:color w:val="000000"/>
          <w:sz w:val="22"/>
          <w:szCs w:val="22"/>
          <w:lang w:val="en-AU"/>
          <w14:ligatures w14:val="standardContextual"/>
        </w:rPr>
        <w:t>leverage</w:t>
      </w:r>
      <w:r w:rsidR="00E141DC" w:rsidRPr="00A26E3C">
        <w:rPr>
          <w:rFonts w:ascii="Calibri" w:eastAsiaTheme="minorHAnsi" w:hAnsi="Calibri" w:cs="Calibri"/>
          <w:color w:val="000000"/>
          <w:sz w:val="22"/>
          <w:szCs w:val="22"/>
          <w:lang w:val="en-AU"/>
          <w14:ligatures w14:val="standardContextual"/>
        </w:rPr>
        <w:t xml:space="preserve"> off these </w:t>
      </w:r>
      <w:r w:rsidR="00C723E0" w:rsidRPr="00C723E0">
        <w:rPr>
          <w:rFonts w:ascii="Calibri" w:eastAsiaTheme="minorHAnsi" w:hAnsi="Calibri" w:cs="Calibri"/>
          <w:color w:val="000000"/>
          <w:sz w:val="22"/>
          <w:szCs w:val="22"/>
          <w:lang w:val="en-AU"/>
          <w14:ligatures w14:val="standardContextual"/>
        </w:rPr>
        <w:t>investments</w:t>
      </w:r>
      <w:r w:rsidR="00E141DC" w:rsidRPr="00A26E3C">
        <w:rPr>
          <w:rFonts w:ascii="Calibri" w:eastAsiaTheme="minorHAnsi" w:hAnsi="Calibri" w:cs="Calibri"/>
          <w:color w:val="000000"/>
          <w:sz w:val="22"/>
          <w:szCs w:val="22"/>
          <w:lang w:val="en-AU"/>
          <w14:ligatures w14:val="standardContextual"/>
        </w:rPr>
        <w:t xml:space="preserve">. </w:t>
      </w:r>
      <w:r w:rsidR="00B05D6A" w:rsidRPr="00C723E0">
        <w:rPr>
          <w:rFonts w:ascii="Calibri" w:hAnsi="Calibri" w:cs="Calibri"/>
          <w:sz w:val="22"/>
          <w:szCs w:val="22"/>
          <w:lang w:val="en-AU"/>
        </w:rPr>
        <w:t xml:space="preserve"> The benefit of this approach is that it </w:t>
      </w:r>
      <w:r w:rsidRPr="00C723E0">
        <w:rPr>
          <w:rFonts w:ascii="Calibri" w:hAnsi="Calibri" w:cs="Calibri"/>
          <w:sz w:val="22"/>
          <w:szCs w:val="22"/>
          <w:lang w:val="en-AU"/>
        </w:rPr>
        <w:t xml:space="preserve">allows </w:t>
      </w:r>
      <w:r w:rsidR="00B05D6A" w:rsidRPr="00C723E0">
        <w:rPr>
          <w:rFonts w:ascii="Calibri" w:hAnsi="Calibri" w:cs="Calibri"/>
          <w:sz w:val="22"/>
          <w:szCs w:val="22"/>
          <w:lang w:val="en-AU"/>
        </w:rPr>
        <w:t xml:space="preserve">DFAT </w:t>
      </w:r>
      <w:r w:rsidRPr="00C723E0">
        <w:rPr>
          <w:rFonts w:ascii="Calibri" w:hAnsi="Calibri" w:cs="Calibri"/>
          <w:sz w:val="22"/>
          <w:szCs w:val="22"/>
          <w:lang w:val="en-AU"/>
        </w:rPr>
        <w:t>to have</w:t>
      </w:r>
      <w:r w:rsidR="00B05D6A" w:rsidRPr="00C723E0">
        <w:rPr>
          <w:rFonts w:ascii="Calibri" w:hAnsi="Calibri" w:cs="Calibri"/>
          <w:sz w:val="22"/>
          <w:szCs w:val="22"/>
          <w:lang w:val="en-AU"/>
        </w:rPr>
        <w:t xml:space="preserve"> a </w:t>
      </w:r>
      <w:r w:rsidRPr="00C723E0">
        <w:rPr>
          <w:rFonts w:ascii="Calibri" w:hAnsi="Calibri" w:cs="Calibri"/>
          <w:sz w:val="22"/>
          <w:szCs w:val="22"/>
          <w:lang w:val="en-AU"/>
        </w:rPr>
        <w:t>ran</w:t>
      </w:r>
      <w:r w:rsidR="00B05D6A" w:rsidRPr="00C723E0">
        <w:rPr>
          <w:rFonts w:ascii="Calibri" w:hAnsi="Calibri" w:cs="Calibri"/>
          <w:sz w:val="22"/>
          <w:szCs w:val="22"/>
          <w:lang w:val="en-AU"/>
        </w:rPr>
        <w:t xml:space="preserve">ge of options and presents a broader commitment and network of support for </w:t>
      </w:r>
      <w:r w:rsidR="003221AD" w:rsidRPr="00C723E0">
        <w:rPr>
          <w:rFonts w:ascii="Calibri" w:hAnsi="Calibri" w:cs="Calibri"/>
          <w:sz w:val="22"/>
          <w:szCs w:val="22"/>
          <w:lang w:val="en-AU"/>
        </w:rPr>
        <w:t>GoF</w:t>
      </w:r>
      <w:r w:rsidR="00B05D6A" w:rsidRPr="00C723E0">
        <w:rPr>
          <w:rFonts w:ascii="Calibri" w:hAnsi="Calibri" w:cs="Calibri"/>
          <w:sz w:val="22"/>
          <w:szCs w:val="22"/>
          <w:lang w:val="en-AU"/>
        </w:rPr>
        <w:t xml:space="preserve"> to draw upon.</w:t>
      </w:r>
      <w:r w:rsidR="008423DA" w:rsidRPr="00C723E0">
        <w:rPr>
          <w:rFonts w:ascii="Calibri" w:hAnsi="Calibri" w:cs="Calibri"/>
          <w:sz w:val="22"/>
          <w:szCs w:val="22"/>
          <w:lang w:val="en-AU"/>
        </w:rPr>
        <w:t xml:space="preserve"> However, it may </w:t>
      </w:r>
      <w:r w:rsidR="008423DA" w:rsidRPr="00A26E3C">
        <w:rPr>
          <w:rFonts w:ascii="Calibri" w:eastAsiaTheme="minorHAnsi" w:hAnsi="Calibri" w:cs="Calibri"/>
          <w:color w:val="000000"/>
          <w:sz w:val="22"/>
          <w:szCs w:val="22"/>
          <w:lang w:val="en-AU"/>
          <w14:ligatures w14:val="standardContextual"/>
        </w:rPr>
        <w:t>also shift the onus of program management towards DFAT and potentially reduce the flexibility of the overall partnership to respond to emerging priorities.</w:t>
      </w:r>
    </w:p>
    <w:p w14:paraId="4ADECE80" w14:textId="288EB72C" w:rsidR="00B05D6A" w:rsidRPr="00C723E0" w:rsidRDefault="00B05D6A" w:rsidP="0057250F">
      <w:pPr>
        <w:pStyle w:val="BodyText2"/>
        <w:spacing w:line="240" w:lineRule="auto"/>
        <w:jc w:val="both"/>
        <w:rPr>
          <w:rFonts w:ascii="Calibri" w:hAnsi="Calibri" w:cs="Calibri"/>
          <w:sz w:val="22"/>
          <w:szCs w:val="22"/>
          <w:lang w:val="en-AU"/>
        </w:rPr>
      </w:pPr>
      <w:r w:rsidRPr="00C723E0">
        <w:rPr>
          <w:rFonts w:ascii="Calibri" w:hAnsi="Calibri" w:cs="Calibri"/>
          <w:sz w:val="22"/>
          <w:szCs w:val="22"/>
          <w:lang w:val="en-AU"/>
        </w:rPr>
        <w:t>Th</w:t>
      </w:r>
      <w:r w:rsidR="00804913" w:rsidRPr="00C723E0">
        <w:rPr>
          <w:rFonts w:ascii="Calibri" w:hAnsi="Calibri" w:cs="Calibri"/>
          <w:sz w:val="22"/>
          <w:szCs w:val="22"/>
          <w:lang w:val="en-AU"/>
        </w:rPr>
        <w:t>e</w:t>
      </w:r>
      <w:r w:rsidRPr="00C723E0">
        <w:rPr>
          <w:rFonts w:ascii="Calibri" w:hAnsi="Calibri" w:cs="Calibri"/>
          <w:sz w:val="22"/>
          <w:szCs w:val="22"/>
          <w:lang w:val="en-AU"/>
        </w:rPr>
        <w:t xml:space="preserve"> </w:t>
      </w:r>
      <w:r w:rsidR="00804913" w:rsidRPr="00C723E0">
        <w:rPr>
          <w:rFonts w:ascii="Calibri" w:hAnsi="Calibri" w:cs="Calibri"/>
          <w:sz w:val="22"/>
          <w:szCs w:val="22"/>
          <w:lang w:val="en-AU"/>
        </w:rPr>
        <w:t xml:space="preserve">program </w:t>
      </w:r>
      <w:r w:rsidRPr="00C723E0">
        <w:rPr>
          <w:rFonts w:ascii="Calibri" w:hAnsi="Calibri" w:cs="Calibri"/>
          <w:sz w:val="22"/>
          <w:szCs w:val="22"/>
          <w:lang w:val="en-AU"/>
        </w:rPr>
        <w:t>has benefited by focusing on</w:t>
      </w:r>
      <w:r w:rsidR="00804913" w:rsidRPr="00C723E0">
        <w:rPr>
          <w:rFonts w:ascii="Calibri" w:hAnsi="Calibri" w:cs="Calibri"/>
          <w:sz w:val="22"/>
          <w:szCs w:val="22"/>
          <w:lang w:val="en-AU"/>
        </w:rPr>
        <w:t xml:space="preserve"> </w:t>
      </w:r>
      <w:r w:rsidRPr="00C723E0">
        <w:rPr>
          <w:rFonts w:ascii="Calibri" w:hAnsi="Calibri" w:cs="Calibri"/>
          <w:sz w:val="22"/>
          <w:szCs w:val="22"/>
          <w:lang w:val="en-AU"/>
        </w:rPr>
        <w:t>a small and targeted number of projects. The staged approach to implementation has been critical</w:t>
      </w:r>
      <w:r w:rsidR="003221AD" w:rsidRPr="00C723E0">
        <w:rPr>
          <w:rFonts w:ascii="Calibri" w:hAnsi="Calibri" w:cs="Calibri"/>
          <w:sz w:val="22"/>
          <w:szCs w:val="22"/>
          <w:lang w:val="en-AU"/>
        </w:rPr>
        <w:t>,</w:t>
      </w:r>
      <w:r w:rsidRPr="00C723E0">
        <w:rPr>
          <w:rFonts w:ascii="Calibri" w:hAnsi="Calibri" w:cs="Calibri"/>
          <w:sz w:val="22"/>
          <w:szCs w:val="22"/>
          <w:lang w:val="en-AU"/>
        </w:rPr>
        <w:t xml:space="preserve"> and the bu</w:t>
      </w:r>
      <w:r w:rsidR="00804913" w:rsidRPr="00C723E0">
        <w:rPr>
          <w:rFonts w:ascii="Calibri" w:hAnsi="Calibri" w:cs="Calibri"/>
          <w:sz w:val="22"/>
          <w:szCs w:val="22"/>
          <w:lang w:val="en-AU"/>
        </w:rPr>
        <w:t>i</w:t>
      </w:r>
      <w:r w:rsidRPr="00C723E0">
        <w:rPr>
          <w:rFonts w:ascii="Calibri" w:hAnsi="Calibri" w:cs="Calibri"/>
          <w:sz w:val="22"/>
          <w:szCs w:val="22"/>
          <w:lang w:val="en-AU"/>
        </w:rPr>
        <w:t xml:space="preserve">lding of </w:t>
      </w:r>
      <w:r w:rsidR="003221AD" w:rsidRPr="00C723E0">
        <w:rPr>
          <w:rFonts w:ascii="Calibri" w:hAnsi="Calibri" w:cs="Calibri"/>
          <w:sz w:val="22"/>
          <w:szCs w:val="22"/>
          <w:lang w:val="en-AU"/>
        </w:rPr>
        <w:t>investments</w:t>
      </w:r>
      <w:r w:rsidRPr="00C723E0">
        <w:rPr>
          <w:rFonts w:ascii="Calibri" w:hAnsi="Calibri" w:cs="Calibri"/>
          <w:sz w:val="22"/>
          <w:szCs w:val="22"/>
          <w:lang w:val="en-AU"/>
        </w:rPr>
        <w:t xml:space="preserve"> in priority areas enables a more d</w:t>
      </w:r>
      <w:r w:rsidR="00804913" w:rsidRPr="00C723E0">
        <w:rPr>
          <w:rFonts w:ascii="Calibri" w:hAnsi="Calibri" w:cs="Calibri"/>
          <w:sz w:val="22"/>
          <w:szCs w:val="22"/>
          <w:lang w:val="en-AU"/>
        </w:rPr>
        <w:t>et</w:t>
      </w:r>
      <w:r w:rsidRPr="00C723E0">
        <w:rPr>
          <w:rFonts w:ascii="Calibri" w:hAnsi="Calibri" w:cs="Calibri"/>
          <w:sz w:val="22"/>
          <w:szCs w:val="22"/>
          <w:lang w:val="en-AU"/>
        </w:rPr>
        <w:t>ailed “performance s</w:t>
      </w:r>
      <w:r w:rsidR="00804913" w:rsidRPr="00C723E0">
        <w:rPr>
          <w:rFonts w:ascii="Calibri" w:hAnsi="Calibri" w:cs="Calibri"/>
          <w:sz w:val="22"/>
          <w:szCs w:val="22"/>
          <w:lang w:val="en-AU"/>
        </w:rPr>
        <w:t>to</w:t>
      </w:r>
      <w:r w:rsidRPr="00C723E0">
        <w:rPr>
          <w:rFonts w:ascii="Calibri" w:hAnsi="Calibri" w:cs="Calibri"/>
          <w:sz w:val="22"/>
          <w:szCs w:val="22"/>
          <w:lang w:val="en-AU"/>
        </w:rPr>
        <w:t>ry” to be developed</w:t>
      </w:r>
      <w:r w:rsidR="008423DA" w:rsidRPr="00C723E0">
        <w:rPr>
          <w:rFonts w:ascii="Calibri" w:hAnsi="Calibri" w:cs="Calibri"/>
          <w:sz w:val="22"/>
          <w:szCs w:val="22"/>
          <w:lang w:val="en-AU"/>
        </w:rPr>
        <w:t xml:space="preserve">. The suite of activities supported through the Program continues to maintain relevance and </w:t>
      </w:r>
      <w:r w:rsidR="002348E5" w:rsidRPr="00C723E0">
        <w:rPr>
          <w:rFonts w:ascii="Calibri" w:hAnsi="Calibri" w:cs="Calibri"/>
          <w:sz w:val="22"/>
          <w:szCs w:val="22"/>
          <w:lang w:val="en-AU"/>
        </w:rPr>
        <w:t>underpins</w:t>
      </w:r>
      <w:r w:rsidR="008423DA" w:rsidRPr="00C723E0">
        <w:rPr>
          <w:rFonts w:ascii="Calibri" w:hAnsi="Calibri" w:cs="Calibri"/>
          <w:sz w:val="22"/>
          <w:szCs w:val="22"/>
          <w:lang w:val="en-AU"/>
        </w:rPr>
        <w:t xml:space="preserve"> a positive and proactive relationship with the GoF and key counterparts.</w:t>
      </w:r>
    </w:p>
    <w:p w14:paraId="7D695BDA" w14:textId="77777777" w:rsidR="00AB7568" w:rsidRPr="00C723E0" w:rsidRDefault="00AB7568" w:rsidP="00AB7568">
      <w:pPr>
        <w:pStyle w:val="BodyText2"/>
        <w:spacing w:line="240" w:lineRule="auto"/>
        <w:jc w:val="both"/>
        <w:rPr>
          <w:rFonts w:ascii="Calibri" w:hAnsi="Calibri" w:cs="Calibri"/>
          <w:sz w:val="22"/>
          <w:szCs w:val="22"/>
          <w:lang w:val="en-AU"/>
        </w:rPr>
      </w:pPr>
      <w:r w:rsidRPr="00C723E0">
        <w:rPr>
          <w:rFonts w:ascii="Calibri" w:hAnsi="Calibri" w:cs="Calibri"/>
          <w:sz w:val="22"/>
          <w:szCs w:val="22"/>
          <w:lang w:val="en-AU"/>
        </w:rPr>
        <w:t>Key recommendations for the program and partnership to consider include:</w:t>
      </w:r>
    </w:p>
    <w:p w14:paraId="4DF5B274" w14:textId="77777777" w:rsidR="00AB7568" w:rsidRPr="00C723E0" w:rsidRDefault="00AB7568" w:rsidP="00AB7568">
      <w:pPr>
        <w:pStyle w:val="BodyText2"/>
        <w:spacing w:line="240" w:lineRule="auto"/>
        <w:jc w:val="both"/>
        <w:rPr>
          <w:rFonts w:ascii="Calibri" w:hAnsi="Calibri" w:cs="Calibri"/>
          <w:sz w:val="22"/>
          <w:szCs w:val="22"/>
          <w:lang w:val="en-AU"/>
        </w:rPr>
      </w:pPr>
      <w:r w:rsidRPr="00C723E0">
        <w:rPr>
          <w:rFonts w:ascii="Calibri" w:hAnsi="Calibri" w:cs="Calibri"/>
          <w:b/>
          <w:bCs/>
          <w:sz w:val="22"/>
          <w:szCs w:val="22"/>
          <w:lang w:val="en-AU"/>
        </w:rPr>
        <w:t>Recommendation 1:</w:t>
      </w:r>
      <w:r w:rsidRPr="00C723E0">
        <w:rPr>
          <w:rFonts w:ascii="Calibri" w:hAnsi="Calibri" w:cs="Calibri"/>
          <w:sz w:val="22"/>
          <w:szCs w:val="22"/>
          <w:lang w:val="en-AU"/>
        </w:rPr>
        <w:t xml:space="preserve"> There is sufficient evidenc</w:t>
      </w:r>
      <w:r>
        <w:rPr>
          <w:rFonts w:ascii="Calibri" w:hAnsi="Calibri" w:cs="Calibri"/>
          <w:sz w:val="22"/>
          <w:szCs w:val="22"/>
          <w:lang w:val="en-AU"/>
        </w:rPr>
        <w:t>e of progress towards outcomes and key results from the current FPSDP</w:t>
      </w:r>
      <w:r w:rsidRPr="00C723E0">
        <w:rPr>
          <w:rFonts w:ascii="Calibri" w:hAnsi="Calibri" w:cs="Calibri"/>
          <w:sz w:val="22"/>
          <w:szCs w:val="22"/>
          <w:lang w:val="en-AU"/>
        </w:rPr>
        <w:t xml:space="preserve"> to </w:t>
      </w:r>
      <w:r>
        <w:rPr>
          <w:rFonts w:ascii="Calibri" w:hAnsi="Calibri" w:cs="Calibri"/>
          <w:sz w:val="22"/>
          <w:szCs w:val="22"/>
          <w:lang w:val="en-AU"/>
        </w:rPr>
        <w:t xml:space="preserve">justify and </w:t>
      </w:r>
      <w:r w:rsidRPr="00C723E0">
        <w:rPr>
          <w:rFonts w:ascii="Calibri" w:hAnsi="Calibri" w:cs="Calibri"/>
          <w:sz w:val="22"/>
          <w:szCs w:val="22"/>
          <w:lang w:val="en-AU"/>
        </w:rPr>
        <w:t>support</w:t>
      </w:r>
      <w:r>
        <w:rPr>
          <w:rFonts w:ascii="Calibri" w:hAnsi="Calibri" w:cs="Calibri"/>
          <w:sz w:val="22"/>
          <w:szCs w:val="22"/>
          <w:lang w:val="en-AU"/>
        </w:rPr>
        <w:t xml:space="preserve"> ongoing</w:t>
      </w:r>
      <w:r w:rsidRPr="00C723E0">
        <w:rPr>
          <w:rFonts w:ascii="Calibri" w:hAnsi="Calibri" w:cs="Calibri"/>
          <w:sz w:val="22"/>
          <w:szCs w:val="22"/>
          <w:lang w:val="en-AU"/>
        </w:rPr>
        <w:t xml:space="preserve"> </w:t>
      </w:r>
      <w:r>
        <w:rPr>
          <w:rFonts w:ascii="Calibri" w:hAnsi="Calibri" w:cs="Calibri"/>
          <w:sz w:val="22"/>
          <w:szCs w:val="22"/>
          <w:lang w:val="en-AU"/>
        </w:rPr>
        <w:t xml:space="preserve">investment in </w:t>
      </w:r>
      <w:r w:rsidRPr="00C723E0">
        <w:rPr>
          <w:rFonts w:ascii="Calibri" w:hAnsi="Calibri" w:cs="Calibri"/>
          <w:sz w:val="22"/>
          <w:szCs w:val="22"/>
          <w:lang w:val="en-AU"/>
        </w:rPr>
        <w:t xml:space="preserve">private sector initiatives in Fiji. Future </w:t>
      </w:r>
      <w:r>
        <w:rPr>
          <w:rFonts w:ascii="Calibri" w:hAnsi="Calibri" w:cs="Calibri"/>
          <w:sz w:val="22"/>
          <w:szCs w:val="22"/>
          <w:lang w:val="en-AU"/>
        </w:rPr>
        <w:t>investments</w:t>
      </w:r>
      <w:r w:rsidRPr="00C723E0">
        <w:rPr>
          <w:rFonts w:ascii="Calibri" w:hAnsi="Calibri" w:cs="Calibri"/>
          <w:sz w:val="22"/>
          <w:szCs w:val="22"/>
          <w:lang w:val="en-AU"/>
        </w:rPr>
        <w:t xml:space="preserve"> should continue to</w:t>
      </w:r>
      <w:r>
        <w:rPr>
          <w:rFonts w:ascii="Calibri" w:hAnsi="Calibri" w:cs="Calibri"/>
          <w:sz w:val="22"/>
          <w:szCs w:val="22"/>
          <w:lang w:val="en-AU"/>
        </w:rPr>
        <w:t xml:space="preserve"> support,</w:t>
      </w:r>
      <w:r w:rsidRPr="00C723E0">
        <w:rPr>
          <w:rFonts w:ascii="Calibri" w:hAnsi="Calibri" w:cs="Calibri"/>
          <w:sz w:val="22"/>
          <w:szCs w:val="22"/>
          <w:lang w:val="en-AU"/>
        </w:rPr>
        <w:t xml:space="preserve"> build and leverage existing</w:t>
      </w:r>
      <w:r>
        <w:rPr>
          <w:rFonts w:ascii="Calibri" w:hAnsi="Calibri" w:cs="Calibri"/>
          <w:sz w:val="22"/>
          <w:szCs w:val="22"/>
          <w:lang w:val="en-AU"/>
        </w:rPr>
        <w:t xml:space="preserve"> IFC private sector</w:t>
      </w:r>
      <w:r w:rsidRPr="00C723E0">
        <w:rPr>
          <w:rFonts w:ascii="Calibri" w:hAnsi="Calibri" w:cs="Calibri"/>
          <w:sz w:val="22"/>
          <w:szCs w:val="22"/>
          <w:lang w:val="en-AU"/>
        </w:rPr>
        <w:t xml:space="preserve"> investments</w:t>
      </w:r>
      <w:r>
        <w:rPr>
          <w:rFonts w:ascii="Calibri" w:hAnsi="Calibri" w:cs="Calibri"/>
          <w:sz w:val="22"/>
          <w:szCs w:val="22"/>
          <w:lang w:val="en-AU"/>
        </w:rPr>
        <w:t xml:space="preserve"> initiated under the current program </w:t>
      </w:r>
      <w:r w:rsidRPr="00C723E0">
        <w:rPr>
          <w:rFonts w:ascii="Calibri" w:hAnsi="Calibri" w:cs="Calibri"/>
          <w:sz w:val="22"/>
          <w:szCs w:val="22"/>
          <w:lang w:val="en-AU"/>
        </w:rPr>
        <w:t>and remain aligned with the priorities and focus areas for the GoF and GoA.</w:t>
      </w:r>
    </w:p>
    <w:p w14:paraId="65CBFA82" w14:textId="77777777" w:rsidR="00AB7568" w:rsidRPr="00C723E0" w:rsidRDefault="00AB7568" w:rsidP="00AB7568">
      <w:pPr>
        <w:pStyle w:val="BodyText2"/>
        <w:spacing w:line="240" w:lineRule="auto"/>
        <w:jc w:val="both"/>
        <w:rPr>
          <w:rFonts w:ascii="Calibri" w:hAnsi="Calibri" w:cs="Calibri"/>
          <w:sz w:val="22"/>
          <w:szCs w:val="22"/>
          <w:lang w:val="en-AU"/>
        </w:rPr>
      </w:pPr>
      <w:r w:rsidRPr="0081051A">
        <w:rPr>
          <w:rFonts w:ascii="Calibri" w:hAnsi="Calibri" w:cs="Calibri"/>
          <w:b/>
          <w:bCs/>
          <w:color w:val="000000"/>
          <w:sz w:val="22"/>
          <w:szCs w:val="22"/>
        </w:rPr>
        <w:t>Recommendation 2:</w:t>
      </w:r>
      <w:r w:rsidRPr="0081051A">
        <w:rPr>
          <w:rStyle w:val="apple-converted-space"/>
          <w:rFonts w:ascii="Calibri" w:eastAsiaTheme="majorEastAsia" w:hAnsi="Calibri" w:cs="Calibri"/>
          <w:color w:val="000000"/>
          <w:sz w:val="22"/>
          <w:szCs w:val="22"/>
        </w:rPr>
        <w:t> </w:t>
      </w:r>
      <w:r w:rsidRPr="0081051A">
        <w:rPr>
          <w:rFonts w:ascii="Calibri" w:hAnsi="Calibri" w:cs="Calibri"/>
          <w:color w:val="000000"/>
          <w:sz w:val="22"/>
          <w:szCs w:val="22"/>
        </w:rPr>
        <w:t>Complex private sector engagements, particularly PPPs, should be considered as part of DFAT’s future investments in the private sector. IFC will continue to work on PPP projects in Fiji. In considering its support for future PPP projects under this Partnership, DFAT should assess sectors of strategic interest as well as the relative risk/reward trade-offs of proposed initiatives. In doing so, DFAT should leverage the support of AIFFP to inform investment decisions in new projects and, where appropriate, to provide innovative financing solutions for future PPP investments.</w:t>
      </w:r>
    </w:p>
    <w:p w14:paraId="5D563C6B" w14:textId="77777777" w:rsidR="00AB7568" w:rsidRDefault="00AB7568" w:rsidP="00AB75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alibri" w:eastAsiaTheme="minorHAnsi" w:hAnsi="Calibri" w:cs="Calibri"/>
          <w:color w:val="000000"/>
          <w:sz w:val="22"/>
          <w:szCs w:val="22"/>
          <w:lang w:val="en-AU"/>
          <w14:ligatures w14:val="standardContextual"/>
        </w:rPr>
      </w:pPr>
      <w:r w:rsidRPr="00C723E0">
        <w:rPr>
          <w:rFonts w:ascii="Calibri" w:hAnsi="Calibri" w:cs="Calibri"/>
          <w:b/>
          <w:bCs/>
          <w:sz w:val="22"/>
          <w:szCs w:val="22"/>
          <w:lang w:val="en-AU"/>
        </w:rPr>
        <w:t>Recommendation 3</w:t>
      </w:r>
      <w:r w:rsidRPr="00C723E0">
        <w:rPr>
          <w:rFonts w:ascii="Calibri" w:hAnsi="Calibri" w:cs="Calibri"/>
          <w:sz w:val="22"/>
          <w:szCs w:val="22"/>
          <w:lang w:val="en-AU"/>
        </w:rPr>
        <w:t xml:space="preserve">: DFAT </w:t>
      </w:r>
      <w:r>
        <w:rPr>
          <w:rFonts w:ascii="Calibri" w:hAnsi="Calibri" w:cs="Calibri"/>
          <w:sz w:val="22"/>
          <w:szCs w:val="22"/>
          <w:lang w:val="en-AU"/>
        </w:rPr>
        <w:t>should</w:t>
      </w:r>
      <w:r w:rsidRPr="00C723E0">
        <w:rPr>
          <w:rFonts w:ascii="Calibri" w:hAnsi="Calibri" w:cs="Calibri"/>
          <w:sz w:val="22"/>
          <w:szCs w:val="22"/>
          <w:lang w:val="en-AU"/>
        </w:rPr>
        <w:t xml:space="preserve"> consider</w:t>
      </w:r>
      <w:r>
        <w:rPr>
          <w:rFonts w:ascii="Calibri" w:hAnsi="Calibri" w:cs="Calibri"/>
          <w:sz w:val="22"/>
          <w:szCs w:val="22"/>
          <w:lang w:val="en-AU"/>
        </w:rPr>
        <w:t xml:space="preserve"> incentive-based mechanisms for</w:t>
      </w:r>
      <w:r w:rsidRPr="00C723E0">
        <w:rPr>
          <w:rFonts w:ascii="Calibri" w:hAnsi="Calibri" w:cs="Calibri"/>
          <w:sz w:val="22"/>
          <w:szCs w:val="22"/>
          <w:lang w:val="en-AU"/>
        </w:rPr>
        <w:t xml:space="preserve"> future private sector support</w:t>
      </w:r>
      <w:r>
        <w:rPr>
          <w:rFonts w:ascii="Calibri" w:hAnsi="Calibri" w:cs="Calibri"/>
          <w:sz w:val="22"/>
          <w:szCs w:val="22"/>
          <w:lang w:val="en-AU"/>
        </w:rPr>
        <w:t xml:space="preserve"> where the GoF is the primary Client</w:t>
      </w:r>
      <w:r w:rsidRPr="00C723E0">
        <w:rPr>
          <w:rFonts w:ascii="Calibri" w:hAnsi="Calibri" w:cs="Calibri"/>
          <w:sz w:val="22"/>
          <w:szCs w:val="22"/>
          <w:lang w:val="en-AU"/>
        </w:rPr>
        <w:t xml:space="preserve">. </w:t>
      </w:r>
      <w:r>
        <w:rPr>
          <w:rFonts w:ascii="Calibri" w:hAnsi="Calibri" w:cs="Calibri"/>
          <w:sz w:val="22"/>
          <w:szCs w:val="22"/>
          <w:lang w:val="en-AU"/>
        </w:rPr>
        <w:t xml:space="preserve">DFAT should consider engaging in earlier discussions between the IFC and the GoF to consult on ideas, opportunities, and options that utilise and align with DFAT's strategic partnership advantages. </w:t>
      </w:r>
      <w:r w:rsidRPr="0081051A">
        <w:rPr>
          <w:rFonts w:ascii="Calibri" w:hAnsi="Calibri" w:cs="Calibri"/>
          <w:sz w:val="22"/>
          <w:szCs w:val="22"/>
          <w:lang w:val="en-AU"/>
        </w:rPr>
        <w:t xml:space="preserve">One consideration is for </w:t>
      </w:r>
      <w:r w:rsidRPr="0081051A">
        <w:rPr>
          <w:rFonts w:ascii="Calibri" w:eastAsiaTheme="minorHAnsi" w:hAnsi="Calibri" w:cs="Calibri"/>
          <w:color w:val="000000"/>
          <w:sz w:val="22"/>
          <w:szCs w:val="22"/>
          <w:lang w:val="en-AU"/>
          <w14:ligatures w14:val="standardContextual"/>
        </w:rPr>
        <w:t xml:space="preserve">DFAT to continue utilising budget-support mechanisms </w:t>
      </w:r>
      <w:r>
        <w:rPr>
          <w:rFonts w:ascii="Calibri" w:eastAsiaTheme="minorHAnsi" w:hAnsi="Calibri" w:cs="Calibri"/>
          <w:color w:val="000000"/>
          <w:sz w:val="22"/>
          <w:szCs w:val="22"/>
          <w:lang w:val="en-AU"/>
          <w14:ligatures w14:val="standardContextual"/>
        </w:rPr>
        <w:t>to</w:t>
      </w:r>
      <w:r w:rsidRPr="0081051A">
        <w:rPr>
          <w:rFonts w:ascii="Calibri" w:eastAsiaTheme="minorHAnsi" w:hAnsi="Calibri" w:cs="Calibri"/>
          <w:color w:val="000000"/>
          <w:sz w:val="22"/>
          <w:szCs w:val="22"/>
          <w:lang w:val="en-AU"/>
          <w14:ligatures w14:val="standardContextual"/>
        </w:rPr>
        <w:t xml:space="preserve"> incentivis</w:t>
      </w:r>
      <w:r>
        <w:rPr>
          <w:rFonts w:ascii="Calibri" w:eastAsiaTheme="minorHAnsi" w:hAnsi="Calibri" w:cs="Calibri"/>
          <w:color w:val="000000"/>
          <w:sz w:val="22"/>
          <w:szCs w:val="22"/>
          <w:lang w:val="en-AU"/>
          <w14:ligatures w14:val="standardContextual"/>
        </w:rPr>
        <w:t>e</w:t>
      </w:r>
      <w:r w:rsidRPr="0081051A">
        <w:rPr>
          <w:rFonts w:ascii="Calibri" w:eastAsiaTheme="minorHAnsi" w:hAnsi="Calibri" w:cs="Calibri"/>
          <w:color w:val="000000"/>
          <w:sz w:val="22"/>
          <w:szCs w:val="22"/>
          <w:lang w:val="en-AU"/>
          <w14:ligatures w14:val="standardContextual"/>
        </w:rPr>
        <w:t xml:space="preserve"> </w:t>
      </w:r>
      <w:r>
        <w:rPr>
          <w:rFonts w:ascii="Calibri" w:eastAsiaTheme="minorHAnsi" w:hAnsi="Calibri" w:cs="Calibri"/>
          <w:color w:val="000000"/>
          <w:sz w:val="22"/>
          <w:szCs w:val="22"/>
          <w:lang w:val="en-AU"/>
          <w14:ligatures w14:val="standardContextual"/>
        </w:rPr>
        <w:t>essential</w:t>
      </w:r>
      <w:r w:rsidRPr="0081051A">
        <w:rPr>
          <w:rFonts w:ascii="Calibri" w:eastAsiaTheme="minorHAnsi" w:hAnsi="Calibri" w:cs="Calibri"/>
          <w:color w:val="000000"/>
          <w:sz w:val="22"/>
          <w:szCs w:val="22"/>
          <w:lang w:val="en-AU"/>
          <w14:ligatures w14:val="standardContextual"/>
        </w:rPr>
        <w:t xml:space="preserve"> and necessary reforms.</w:t>
      </w:r>
      <w:r w:rsidRPr="00513571">
        <w:rPr>
          <w:rFonts w:ascii="Calibri" w:eastAsiaTheme="minorHAnsi" w:hAnsi="Calibri" w:cs="Calibri"/>
          <w:color w:val="000000"/>
          <w:sz w:val="22"/>
          <w:szCs w:val="22"/>
          <w:lang w:val="en-AU"/>
          <w14:ligatures w14:val="standardContextual"/>
        </w:rPr>
        <w:t xml:space="preserve"> </w:t>
      </w:r>
    </w:p>
    <w:p w14:paraId="5058C3FD" w14:textId="77777777" w:rsidR="00AB7568" w:rsidRPr="00C723E0" w:rsidRDefault="00AB7568" w:rsidP="00AB7568">
      <w:pPr>
        <w:pStyle w:val="BodyText2"/>
        <w:spacing w:line="240" w:lineRule="auto"/>
        <w:jc w:val="both"/>
        <w:rPr>
          <w:rFonts w:ascii="Calibri" w:hAnsi="Calibri" w:cs="Calibri"/>
          <w:sz w:val="22"/>
          <w:szCs w:val="22"/>
          <w:lang w:val="en-AU"/>
        </w:rPr>
      </w:pPr>
      <w:r w:rsidRPr="00C723E0">
        <w:rPr>
          <w:rFonts w:ascii="Calibri" w:hAnsi="Calibri" w:cs="Calibri"/>
          <w:b/>
          <w:bCs/>
          <w:sz w:val="22"/>
          <w:szCs w:val="22"/>
          <w:lang w:val="en-AU"/>
        </w:rPr>
        <w:t>Recommendation 4:</w:t>
      </w:r>
      <w:r w:rsidRPr="00C723E0">
        <w:rPr>
          <w:rFonts w:ascii="Calibri" w:hAnsi="Calibri" w:cs="Calibri"/>
          <w:sz w:val="22"/>
          <w:szCs w:val="22"/>
          <w:lang w:val="en-AU"/>
        </w:rPr>
        <w:t xml:space="preserve"> The current partnership arrangement has demonstrated an effective </w:t>
      </w:r>
      <w:r>
        <w:rPr>
          <w:rFonts w:ascii="Calibri" w:hAnsi="Calibri" w:cs="Calibri"/>
          <w:sz w:val="22"/>
          <w:szCs w:val="22"/>
          <w:lang w:val="en-AU"/>
        </w:rPr>
        <w:t>support</w:t>
      </w:r>
      <w:r w:rsidRPr="00C723E0">
        <w:rPr>
          <w:rFonts w:ascii="Calibri" w:hAnsi="Calibri" w:cs="Calibri"/>
          <w:sz w:val="22"/>
          <w:szCs w:val="22"/>
          <w:lang w:val="en-AU"/>
        </w:rPr>
        <w:t xml:space="preserve"> </w:t>
      </w:r>
      <w:r>
        <w:rPr>
          <w:rFonts w:ascii="Calibri" w:hAnsi="Calibri" w:cs="Calibri"/>
          <w:sz w:val="22"/>
          <w:szCs w:val="22"/>
          <w:lang w:val="en-AU"/>
        </w:rPr>
        <w:t>mechanism</w:t>
      </w:r>
      <w:r w:rsidRPr="00C723E0">
        <w:rPr>
          <w:rFonts w:ascii="Calibri" w:hAnsi="Calibri" w:cs="Calibri"/>
          <w:sz w:val="22"/>
          <w:szCs w:val="22"/>
          <w:lang w:val="en-AU"/>
        </w:rPr>
        <w:t xml:space="preserve">. </w:t>
      </w:r>
      <w:r>
        <w:rPr>
          <w:rFonts w:ascii="Calibri" w:hAnsi="Calibri" w:cs="Calibri"/>
          <w:sz w:val="22"/>
          <w:szCs w:val="22"/>
          <w:lang w:val="en-AU"/>
        </w:rPr>
        <w:t xml:space="preserve">Existing governance mechanisms remain relevant and fit-for-purpose and should be maintained and supported. </w:t>
      </w:r>
      <w:r w:rsidRPr="00C723E0">
        <w:rPr>
          <w:rFonts w:ascii="Calibri" w:hAnsi="Calibri" w:cs="Calibri"/>
          <w:sz w:val="22"/>
          <w:szCs w:val="22"/>
          <w:lang w:val="en-AU"/>
        </w:rPr>
        <w:t xml:space="preserve">There is scope to expand the partnership model, enabling broader engagement and collaboration and incentivising </w:t>
      </w:r>
      <w:r>
        <w:rPr>
          <w:rFonts w:ascii="Calibri" w:hAnsi="Calibri" w:cs="Calibri"/>
          <w:sz w:val="22"/>
          <w:szCs w:val="22"/>
          <w:lang w:val="en-AU"/>
        </w:rPr>
        <w:t xml:space="preserve">existing and new </w:t>
      </w:r>
      <w:r w:rsidRPr="00C723E0">
        <w:rPr>
          <w:rFonts w:ascii="Calibri" w:hAnsi="Calibri" w:cs="Calibri"/>
          <w:sz w:val="22"/>
          <w:szCs w:val="22"/>
          <w:lang w:val="en-AU"/>
        </w:rPr>
        <w:t xml:space="preserve">partners to work together in a shared </w:t>
      </w:r>
      <w:r w:rsidRPr="00C723E0">
        <w:rPr>
          <w:rFonts w:ascii="Calibri" w:hAnsi="Calibri" w:cs="Calibri"/>
          <w:sz w:val="22"/>
          <w:szCs w:val="22"/>
          <w:lang w:val="en-AU"/>
        </w:rPr>
        <w:lastRenderedPageBreak/>
        <w:t>and agreeable approach.</w:t>
      </w:r>
      <w:r>
        <w:rPr>
          <w:rFonts w:ascii="Calibri" w:hAnsi="Calibri" w:cs="Calibri"/>
          <w:sz w:val="22"/>
          <w:szCs w:val="22"/>
          <w:lang w:val="en-AU"/>
        </w:rPr>
        <w:t xml:space="preserve"> This </w:t>
      </w:r>
      <w:r w:rsidRPr="0081051A">
        <w:rPr>
          <w:rFonts w:ascii="Calibri" w:hAnsi="Calibri" w:cs="Calibri"/>
          <w:sz w:val="22"/>
          <w:szCs w:val="22"/>
          <w:lang w:val="en-AU"/>
        </w:rPr>
        <w:t>may add more complexity regarding management and oversight</w:t>
      </w:r>
      <w:r>
        <w:rPr>
          <w:rFonts w:ascii="Calibri" w:hAnsi="Calibri" w:cs="Calibri"/>
          <w:sz w:val="22"/>
          <w:szCs w:val="22"/>
          <w:lang w:val="en-AU"/>
        </w:rPr>
        <w:t>,</w:t>
      </w:r>
      <w:r w:rsidRPr="0081051A">
        <w:rPr>
          <w:rFonts w:ascii="Calibri" w:hAnsi="Calibri" w:cs="Calibri"/>
          <w:sz w:val="22"/>
          <w:szCs w:val="22"/>
          <w:lang w:val="en-AU"/>
        </w:rPr>
        <w:t xml:space="preserve"> but provides potential broader coverage and reach, promoting enhanced effectiveness.</w:t>
      </w:r>
      <w:r>
        <w:rPr>
          <w:rFonts w:ascii="Calibri" w:hAnsi="Calibri" w:cs="Calibri"/>
          <w:sz w:val="22"/>
          <w:szCs w:val="22"/>
          <w:lang w:val="en-AU"/>
        </w:rPr>
        <w:t xml:space="preserve"> </w:t>
      </w:r>
    </w:p>
    <w:p w14:paraId="7863A90F" w14:textId="77777777" w:rsidR="00AB7568" w:rsidRPr="00C723E0" w:rsidRDefault="00AB7568" w:rsidP="00AB7568">
      <w:pPr>
        <w:pStyle w:val="BodyText2"/>
        <w:spacing w:line="240" w:lineRule="auto"/>
        <w:jc w:val="both"/>
        <w:rPr>
          <w:rFonts w:ascii="Calibri" w:hAnsi="Calibri" w:cs="Calibri"/>
          <w:sz w:val="22"/>
          <w:szCs w:val="22"/>
          <w:lang w:val="en-AU"/>
        </w:rPr>
      </w:pPr>
      <w:r w:rsidRPr="00C723E0">
        <w:rPr>
          <w:rFonts w:ascii="Calibri" w:hAnsi="Calibri" w:cs="Calibri"/>
          <w:b/>
          <w:bCs/>
          <w:sz w:val="22"/>
          <w:szCs w:val="22"/>
          <w:lang w:val="en-AU"/>
        </w:rPr>
        <w:t>Recommendation 5:</w:t>
      </w:r>
      <w:r w:rsidRPr="00C723E0">
        <w:rPr>
          <w:rFonts w:ascii="Calibri" w:hAnsi="Calibri" w:cs="Calibri"/>
          <w:sz w:val="22"/>
          <w:szCs w:val="22"/>
          <w:lang w:val="en-AU"/>
        </w:rPr>
        <w:t xml:space="preserve"> Future partnership arrangements should contain a structured and specific approach to MEL. While the current program has significantly restructured its approach to MEL, there is scope to continue to build on and leverage this, particularly with the future use of an MEL resource</w:t>
      </w:r>
      <w:r>
        <w:rPr>
          <w:rFonts w:ascii="Calibri" w:hAnsi="Calibri" w:cs="Calibri"/>
          <w:sz w:val="22"/>
          <w:szCs w:val="22"/>
          <w:lang w:val="en-AU"/>
        </w:rPr>
        <w:t xml:space="preserve"> to prepare more outcome-focused knowledge products such as case studies and performance stories. </w:t>
      </w:r>
    </w:p>
    <w:p w14:paraId="3E42D431" w14:textId="24D33EC8" w:rsidR="00C32086" w:rsidRPr="00C723E0" w:rsidRDefault="00C32086">
      <w:pPr>
        <w:spacing w:after="160" w:line="259" w:lineRule="auto"/>
        <w:rPr>
          <w:rFonts w:ascii="Calibri" w:eastAsiaTheme="minorHAnsi" w:hAnsi="Calibri" w:cs="Calibri"/>
          <w:kern w:val="2"/>
          <w:sz w:val="20"/>
          <w:szCs w:val="20"/>
          <w:lang w:val="en-AU"/>
          <w14:ligatures w14:val="standardContextual"/>
        </w:rPr>
      </w:pPr>
      <w:r w:rsidRPr="00C723E0">
        <w:rPr>
          <w:rFonts w:ascii="Calibri" w:hAnsi="Calibri" w:cs="Calibri"/>
          <w:lang w:val="en-AU"/>
        </w:rPr>
        <w:br w:type="page"/>
      </w:r>
    </w:p>
    <w:p w14:paraId="43847ACB" w14:textId="2896B30E" w:rsidR="00851C7B" w:rsidRPr="00606B9D" w:rsidRDefault="00851C7B" w:rsidP="4EF1951E">
      <w:pPr>
        <w:pStyle w:val="Heading1"/>
        <w:rPr>
          <w:rFonts w:cs="Calibri"/>
          <w:b w:val="0"/>
          <w:bCs/>
          <w:lang w:val="en-AU"/>
        </w:rPr>
      </w:pPr>
      <w:bookmarkStart w:id="47" w:name="_Toc201131781"/>
      <w:bookmarkStart w:id="48" w:name="_Toc206675827"/>
      <w:r w:rsidRPr="4EF1951E">
        <w:rPr>
          <w:rFonts w:cs="Calibri"/>
          <w:b w:val="0"/>
          <w:bCs/>
          <w:lang w:val="en-AU"/>
        </w:rPr>
        <w:lastRenderedPageBreak/>
        <w:t xml:space="preserve">Annex 1: </w:t>
      </w:r>
      <w:r w:rsidR="00577D45" w:rsidRPr="4EF1951E">
        <w:rPr>
          <w:rFonts w:cs="Calibri"/>
          <w:b w:val="0"/>
          <w:bCs/>
          <w:lang w:val="en-AU"/>
        </w:rPr>
        <w:t>Evaluation Plan</w:t>
      </w:r>
      <w:bookmarkEnd w:id="47"/>
      <w:bookmarkEnd w:id="48"/>
    </w:p>
    <w:p w14:paraId="3D6DAAAF" w14:textId="77777777" w:rsidR="00577D45" w:rsidRPr="00A26E3C" w:rsidRDefault="00577D45" w:rsidP="00A26E3C">
      <w:pPr>
        <w:spacing w:after="120"/>
        <w:jc w:val="both"/>
        <w:rPr>
          <w:rFonts w:ascii="Calibri" w:hAnsi="Calibri" w:cs="Calibri"/>
          <w:b/>
          <w:bCs/>
          <w:sz w:val="22"/>
          <w:szCs w:val="22"/>
          <w:u w:val="single"/>
        </w:rPr>
      </w:pPr>
      <w:bookmarkStart w:id="49" w:name="_Toc192742823"/>
      <w:r w:rsidRPr="00A26E3C">
        <w:rPr>
          <w:rFonts w:ascii="Calibri" w:hAnsi="Calibri" w:cs="Calibri"/>
          <w:b/>
          <w:bCs/>
          <w:sz w:val="22"/>
          <w:szCs w:val="22"/>
          <w:u w:val="single"/>
          <w:lang w:val="en-US"/>
        </w:rPr>
        <w:t>Introduction</w:t>
      </w:r>
      <w:bookmarkEnd w:id="49"/>
    </w:p>
    <w:p w14:paraId="3339DFD4"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lang w:val="en-US"/>
        </w:rPr>
        <w:t xml:space="preserve">The International Finance Corporation (IFC) has engaged Morrissey Consulting International (MCI) to conduct a final evaluation of the </w:t>
      </w:r>
      <w:r w:rsidRPr="00A26E3C">
        <w:rPr>
          <w:rFonts w:ascii="Calibri" w:hAnsi="Calibri" w:cs="Calibri"/>
          <w:sz w:val="22"/>
          <w:szCs w:val="22"/>
        </w:rPr>
        <w:t>Fiji Private Sector Development Partnership (FPSDP) program. The final evaluation will be conducted between March and May 2025.</w:t>
      </w:r>
    </w:p>
    <w:p w14:paraId="4E4CA334"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This Evaluation Plan (EP) presents an overarching approach and methodology for completing the evaluation for the IFC and the Australian Department of Foreign Affairs and Trade (DFAT).</w:t>
      </w:r>
    </w:p>
    <w:p w14:paraId="6D1DDDE6"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 xml:space="preserve">The EP has been prepared in accordance with DFAT’s Design and Monitoring, Evaluation, and Learning (MEL) Standards (Standard 9). The final evaluation will also align with the OECD-DAC criteria to assess progress and achievements against defined End of Program Outcomes (EOPOs).  It is a working document, and adjustments may be made following further consultations with DFAT and the IFC. </w:t>
      </w:r>
    </w:p>
    <w:p w14:paraId="2DD6C2DB" w14:textId="77777777" w:rsidR="00577D45" w:rsidRPr="00A26E3C" w:rsidRDefault="00577D45" w:rsidP="00A26E3C">
      <w:pPr>
        <w:spacing w:after="120"/>
        <w:jc w:val="both"/>
        <w:rPr>
          <w:rFonts w:ascii="Calibri" w:hAnsi="Calibri" w:cs="Calibri"/>
          <w:b/>
          <w:bCs/>
          <w:sz w:val="22"/>
          <w:szCs w:val="22"/>
          <w:u w:val="single"/>
        </w:rPr>
      </w:pPr>
      <w:bookmarkStart w:id="50" w:name="_Toc192742824"/>
      <w:r w:rsidRPr="00A26E3C">
        <w:rPr>
          <w:rFonts w:ascii="Calibri" w:hAnsi="Calibri" w:cs="Calibri"/>
          <w:b/>
          <w:bCs/>
          <w:sz w:val="22"/>
          <w:szCs w:val="22"/>
          <w:u w:val="single"/>
          <w:lang w:val="en-US"/>
        </w:rPr>
        <w:t>Background</w:t>
      </w:r>
      <w:bookmarkEnd w:id="50"/>
    </w:p>
    <w:p w14:paraId="22FE209B"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The IFC is the largest global development institution focused exclusively on the private sector. As part of the World Bank Group, IFC works to improve people's lives in developing countries by investing in private sector growth. To achieve this goal, IFC finances private sector investments, mobilises capital in international financial markets, facilitates trade, helps clients improve social and environmental sustainability, and provides advisory services to businesses and governments. IFC is strongly focused on measuring development results to understand the impact of its projects on clients and countries.</w:t>
      </w:r>
    </w:p>
    <w:p w14:paraId="0A359402" w14:textId="77777777" w:rsidR="00577D45" w:rsidRPr="00A26E3C" w:rsidRDefault="00577D45" w:rsidP="00A26E3C">
      <w:pPr>
        <w:spacing w:after="120"/>
        <w:jc w:val="both"/>
        <w:rPr>
          <w:rFonts w:ascii="Calibri" w:hAnsi="Calibri" w:cs="Calibri"/>
          <w:b/>
          <w:bCs/>
          <w:sz w:val="22"/>
          <w:szCs w:val="22"/>
          <w:u w:val="single"/>
          <w:lang w:val="en-US"/>
        </w:rPr>
      </w:pPr>
      <w:bookmarkStart w:id="51" w:name="_Toc192742825"/>
      <w:r w:rsidRPr="00A26E3C">
        <w:rPr>
          <w:rFonts w:ascii="Calibri" w:hAnsi="Calibri" w:cs="Calibri"/>
          <w:b/>
          <w:bCs/>
          <w:sz w:val="22"/>
          <w:szCs w:val="22"/>
          <w:u w:val="single"/>
          <w:lang w:val="en-US"/>
        </w:rPr>
        <w:t>Overview of FPSDP</w:t>
      </w:r>
      <w:bookmarkEnd w:id="51"/>
    </w:p>
    <w:p w14:paraId="447BBEF5"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 xml:space="preserve">FPSDP is an AUD8 million collaboration between the Government of Australia (GoA), represented by the Department of Foreign Affairs and Trade (DFAT) and IFC. It commenced in January 2022 and runs until the end of December 2025. </w:t>
      </w:r>
    </w:p>
    <w:p w14:paraId="5A59999D"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lang w:val="en-AU"/>
        </w:rPr>
        <w:t xml:space="preserve">The FPSDP Program is a means by which DFAT supports IFC activities in Fiji. Developed from the shared but distinct policy interests of both parties, the </w:t>
      </w:r>
      <w:r w:rsidRPr="00A26E3C">
        <w:rPr>
          <w:rFonts w:ascii="Calibri" w:hAnsi="Calibri" w:cs="Calibri"/>
          <w:sz w:val="22"/>
          <w:szCs w:val="22"/>
        </w:rPr>
        <w:t xml:space="preserve">overall goal of this multi-year advisory program is to enhance the competitiveness and diversification of the private sector and foster inclusive and sustainable COVID recovery and economic growth. </w:t>
      </w:r>
    </w:p>
    <w:p w14:paraId="679345EF" w14:textId="77777777" w:rsidR="009B014F" w:rsidRDefault="00577D45" w:rsidP="00A26E3C">
      <w:pPr>
        <w:spacing w:after="120"/>
        <w:jc w:val="both"/>
        <w:rPr>
          <w:rFonts w:ascii="Calibri" w:hAnsi="Calibri" w:cs="Calibri"/>
          <w:noProof/>
          <w:sz w:val="22"/>
          <w:szCs w:val="22"/>
        </w:rPr>
      </w:pPr>
      <w:r w:rsidRPr="00A26E3C">
        <w:rPr>
          <w:rFonts w:ascii="Calibri" w:hAnsi="Calibri" w:cs="Calibri"/>
          <w:sz w:val="22"/>
          <w:szCs w:val="22"/>
        </w:rPr>
        <w:t>This will be achieved through three mutually reinforcing pillars outlined in the diagram below.</w:t>
      </w:r>
      <w:r w:rsidR="009B014F" w:rsidRPr="009B014F">
        <w:rPr>
          <w:rFonts w:ascii="Calibri" w:hAnsi="Calibri" w:cs="Calibri"/>
          <w:noProof/>
          <w:sz w:val="22"/>
          <w:szCs w:val="22"/>
        </w:rPr>
        <w:t xml:space="preserve"> </w:t>
      </w:r>
    </w:p>
    <w:p w14:paraId="3A67095B" w14:textId="09BB0AA0" w:rsidR="00577D45" w:rsidRPr="00A26E3C" w:rsidRDefault="009B014F" w:rsidP="00A26E3C">
      <w:pPr>
        <w:spacing w:after="120"/>
        <w:jc w:val="both"/>
        <w:rPr>
          <w:rFonts w:ascii="Calibri" w:hAnsi="Calibri" w:cs="Calibri"/>
          <w:sz w:val="22"/>
          <w:szCs w:val="22"/>
        </w:rPr>
      </w:pPr>
      <w:r w:rsidRPr="00A26E3C">
        <w:rPr>
          <w:rFonts w:ascii="Calibri" w:hAnsi="Calibri" w:cs="Calibri"/>
          <w:noProof/>
          <w:sz w:val="22"/>
          <w:szCs w:val="22"/>
        </w:rPr>
        <w:lastRenderedPageBreak/>
        <w:drawing>
          <wp:inline distT="0" distB="0" distL="0" distR="0" wp14:anchorId="3D352F2F" wp14:editId="42E71066">
            <wp:extent cx="4709378" cy="3333509"/>
            <wp:effectExtent l="0" t="0" r="2540" b="0"/>
            <wp:docPr id="1787096637" name="Picture 1" descr="This image provides a pictoral representation of the 3 pillars in the partnership which are described in text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96637" name="Picture 1" descr="This image provides a pictoral representation of the 3 pillars in the partnership which are described in text below the image."/>
                    <pic:cNvPicPr/>
                  </pic:nvPicPr>
                  <pic:blipFill>
                    <a:blip r:embed="rId20">
                      <a:extLst>
                        <a:ext uri="{28A0092B-C50C-407E-A947-70E740481C1C}">
                          <a14:useLocalDpi xmlns:a14="http://schemas.microsoft.com/office/drawing/2010/main" val="0"/>
                        </a:ext>
                      </a:extLst>
                    </a:blip>
                    <a:stretch>
                      <a:fillRect/>
                    </a:stretch>
                  </pic:blipFill>
                  <pic:spPr>
                    <a:xfrm>
                      <a:off x="0" y="0"/>
                      <a:ext cx="4745068" cy="3358772"/>
                    </a:xfrm>
                    <a:prstGeom prst="rect">
                      <a:avLst/>
                    </a:prstGeom>
                  </pic:spPr>
                </pic:pic>
              </a:graphicData>
            </a:graphic>
          </wp:inline>
        </w:drawing>
      </w:r>
    </w:p>
    <w:p w14:paraId="1DDEC26D" w14:textId="30DD4C75" w:rsidR="00577D45" w:rsidRPr="00A26E3C" w:rsidRDefault="00577D45" w:rsidP="00A26E3C">
      <w:pPr>
        <w:spacing w:after="120"/>
        <w:jc w:val="both"/>
        <w:rPr>
          <w:rFonts w:ascii="Calibri" w:hAnsi="Calibri" w:cs="Calibri"/>
          <w:sz w:val="22"/>
          <w:szCs w:val="22"/>
        </w:rPr>
      </w:pPr>
    </w:p>
    <w:p w14:paraId="05D58553"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Pillar 1—Enabling Environment for the Private Sector: Interventions under this pillar are geared towards improving the business enabling environment—legal and regulatory—through reforms that create a more attractive national business environment for inclusive private investment in the wake of COVID-19 across key sectors.</w:t>
      </w:r>
    </w:p>
    <w:p w14:paraId="6B687DB1"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Intended outcomes of Pillar 1 include an i</w:t>
      </w:r>
      <w:r w:rsidRPr="00A26E3C">
        <w:rPr>
          <w:rFonts w:ascii="Calibri" w:hAnsi="Calibri" w:cs="Calibri"/>
          <w:i/>
          <w:iCs/>
          <w:sz w:val="22"/>
          <w:szCs w:val="22"/>
        </w:rPr>
        <w:t>mproved legal and regulatory environment through implementing reforms that respond to private sector needs</w:t>
      </w:r>
      <w:r w:rsidRPr="00A26E3C">
        <w:rPr>
          <w:rFonts w:ascii="Calibri" w:hAnsi="Calibri" w:cs="Calibri"/>
          <w:sz w:val="22"/>
          <w:szCs w:val="22"/>
        </w:rPr>
        <w:t xml:space="preserve"> and </w:t>
      </w:r>
      <w:r w:rsidRPr="00A26E3C">
        <w:rPr>
          <w:rFonts w:ascii="Calibri" w:hAnsi="Calibri" w:cs="Calibri"/>
          <w:i/>
          <w:iCs/>
          <w:sz w:val="22"/>
          <w:szCs w:val="22"/>
        </w:rPr>
        <w:t>improved predictability, accountability, and transparency of Government-to-Business (G2B) services that respond to private sector needs.</w:t>
      </w:r>
    </w:p>
    <w:p w14:paraId="22AAE684"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 xml:space="preserve">Pillar 2 - Accelerating inclusive and climate-smart private investment in key growth sectors: Creating concrete opportunities for facilitating private sector investment, including direct investment by IFC, in key sectors, including tourism, infrastructure, agriculture, and the financial sector, whilst advancing climate change mitigation and adaptation and to support a gender-equal recovery from COVID-19. The intended outcome is </w:t>
      </w:r>
      <w:r w:rsidRPr="00A26E3C">
        <w:rPr>
          <w:rFonts w:ascii="Calibri" w:hAnsi="Calibri" w:cs="Calibri"/>
          <w:i/>
          <w:iCs/>
          <w:sz w:val="22"/>
          <w:szCs w:val="22"/>
        </w:rPr>
        <w:t>a pipeline of potentially bankable and climate-smart private investments across key growth sectors, including tourism, infrastructure, Agro business and finance.</w:t>
      </w:r>
    </w:p>
    <w:p w14:paraId="115A0922"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 xml:space="preserve">Pillar 3 - Enhancing Standards &amp; Gender Inclusion: Adopting best practices in Environmental and Social Governance (ESG) and accelerating women’s economic empowerment by addressing key barriers to women’s participation, including childcare and GBV. Intended outcomes include </w:t>
      </w:r>
      <w:r w:rsidRPr="00A26E3C">
        <w:rPr>
          <w:rFonts w:ascii="Calibri" w:hAnsi="Calibri" w:cs="Calibri"/>
          <w:i/>
          <w:iCs/>
          <w:sz w:val="22"/>
          <w:szCs w:val="22"/>
        </w:rPr>
        <w:t>new financial products and services developed, including those that aim to increase access to financial services for women in women-owned enterprises, adoption of climate-smart solutions by companies in Fiji, increased uptake of gender-inclusive practices by firms, and use of best practice CG and industry standards by companies.</w:t>
      </w:r>
    </w:p>
    <w:p w14:paraId="461D1326" w14:textId="77777777" w:rsidR="00577D45" w:rsidRPr="00A26E3C" w:rsidRDefault="00577D45" w:rsidP="00A26E3C">
      <w:pPr>
        <w:spacing w:after="120"/>
        <w:jc w:val="both"/>
        <w:rPr>
          <w:rFonts w:ascii="Calibri" w:hAnsi="Calibri" w:cs="Calibri"/>
          <w:sz w:val="22"/>
          <w:szCs w:val="22"/>
          <w:lang w:val="en-AU"/>
        </w:rPr>
      </w:pPr>
      <w:r w:rsidRPr="00A26E3C">
        <w:rPr>
          <w:rFonts w:ascii="Calibri" w:hAnsi="Calibri" w:cs="Calibri"/>
          <w:sz w:val="22"/>
          <w:szCs w:val="22"/>
          <w:lang w:val="en-AU"/>
        </w:rPr>
        <w:t xml:space="preserve">FPSDP implementation is undertaken through various IFC projects that aim to contribute significantly to the three program pillars outlined above. The projects are identified and designed through in-country analysis and consultation with the Government of Fiji (GoF), and each has its internal logic and intended results. These derive from the strategy that guides the World Bank Group’s (WBG) work in Fiji. The projects are at various stages of pre-, post-, and current implementation. </w:t>
      </w:r>
    </w:p>
    <w:p w14:paraId="647482AD" w14:textId="77777777" w:rsidR="00577D45" w:rsidRPr="00A26E3C" w:rsidRDefault="00577D45" w:rsidP="00A26E3C">
      <w:pPr>
        <w:spacing w:after="120"/>
        <w:jc w:val="both"/>
        <w:rPr>
          <w:rFonts w:ascii="Calibri" w:hAnsi="Calibri" w:cs="Calibri"/>
          <w:sz w:val="22"/>
          <w:szCs w:val="22"/>
          <w:lang w:val="en-AU"/>
        </w:rPr>
      </w:pPr>
      <w:r w:rsidRPr="00A26E3C">
        <w:rPr>
          <w:rFonts w:ascii="Calibri" w:hAnsi="Calibri" w:cs="Calibri"/>
          <w:sz w:val="22"/>
          <w:szCs w:val="22"/>
          <w:lang w:val="en-AU"/>
        </w:rPr>
        <w:lastRenderedPageBreak/>
        <w:t>FPSDP has not, therefore, been designed as an overall project or program with a simple linear connection to specific results. It is a description of the work IFC undertakes (groups of projects), which both parties expect to significantly contribute to progress across the three pillars.</w:t>
      </w:r>
    </w:p>
    <w:p w14:paraId="64C619F0" w14:textId="77777777" w:rsidR="00577D45" w:rsidRPr="00A26E3C" w:rsidRDefault="00577D45" w:rsidP="00A26E3C">
      <w:pPr>
        <w:spacing w:after="120"/>
        <w:jc w:val="both"/>
        <w:rPr>
          <w:rFonts w:ascii="Calibri" w:hAnsi="Calibri" w:cs="Calibri"/>
          <w:b/>
          <w:bCs/>
          <w:sz w:val="22"/>
          <w:szCs w:val="22"/>
          <w:u w:val="single"/>
          <w:lang w:val="en-AU"/>
        </w:rPr>
      </w:pPr>
      <w:bookmarkStart w:id="52" w:name="_Toc192742826"/>
      <w:r w:rsidRPr="00A26E3C">
        <w:rPr>
          <w:rFonts w:ascii="Calibri" w:hAnsi="Calibri" w:cs="Calibri"/>
          <w:b/>
          <w:bCs/>
          <w:sz w:val="22"/>
          <w:szCs w:val="22"/>
          <w:u w:val="single"/>
          <w:lang w:val="en-US"/>
        </w:rPr>
        <w:t>Final Evaluation – Purpose and Scope</w:t>
      </w:r>
      <w:bookmarkEnd w:id="52"/>
    </w:p>
    <w:p w14:paraId="1EDDE607" w14:textId="77777777" w:rsidR="00577D45" w:rsidRPr="00A26E3C" w:rsidRDefault="00577D45" w:rsidP="00A26E3C">
      <w:pPr>
        <w:spacing w:after="120"/>
        <w:jc w:val="both"/>
        <w:rPr>
          <w:rFonts w:ascii="Calibri" w:hAnsi="Calibri" w:cs="Calibri"/>
          <w:b/>
          <w:bCs/>
          <w:sz w:val="22"/>
          <w:szCs w:val="22"/>
          <w:u w:val="single"/>
          <w:lang w:val="en-US"/>
        </w:rPr>
      </w:pPr>
      <w:r w:rsidRPr="00A26E3C">
        <w:rPr>
          <w:rFonts w:ascii="Calibri" w:hAnsi="Calibri" w:cs="Calibri"/>
          <w:b/>
          <w:bCs/>
          <w:sz w:val="22"/>
          <w:szCs w:val="22"/>
          <w:u w:val="single"/>
          <w:lang w:val="en-US"/>
        </w:rPr>
        <w:t>Purpose</w:t>
      </w:r>
    </w:p>
    <w:p w14:paraId="41CE6C37"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The purpose of the final evaluation is to assess the effectiveness of the FPSDP in meeting progress towards intended impacts and outcomes as per the Monitoring and Evaluation Framework, including the Theory of Change.</w:t>
      </w:r>
    </w:p>
    <w:p w14:paraId="271A535F"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The final evaluation will also provide guidance on possible future directions, approaches, and structures based on the evaluation itself and the data, information, and evidence collected.</w:t>
      </w:r>
    </w:p>
    <w:p w14:paraId="37FD31BD" w14:textId="77777777" w:rsidR="00577D45" w:rsidRPr="00A26E3C" w:rsidRDefault="00577D45" w:rsidP="00A26E3C">
      <w:pPr>
        <w:spacing w:after="120"/>
        <w:jc w:val="both"/>
        <w:rPr>
          <w:rFonts w:ascii="Calibri" w:hAnsi="Calibri" w:cs="Calibri"/>
          <w:b/>
          <w:bCs/>
          <w:sz w:val="22"/>
          <w:szCs w:val="22"/>
          <w:u w:val="single"/>
          <w:lang w:val="en-US"/>
        </w:rPr>
      </w:pPr>
      <w:r w:rsidRPr="00A26E3C">
        <w:rPr>
          <w:rFonts w:ascii="Calibri" w:hAnsi="Calibri" w:cs="Calibri"/>
          <w:b/>
          <w:bCs/>
          <w:sz w:val="22"/>
          <w:szCs w:val="22"/>
          <w:u w:val="single"/>
          <w:lang w:val="en-US"/>
        </w:rPr>
        <w:t>Scope</w:t>
      </w:r>
    </w:p>
    <w:p w14:paraId="0769EB6B"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The scope of the final evaluation will cover the period from January 2022 to February 2025. The current program implementation period will run through to 31 December 2025.</w:t>
      </w:r>
    </w:p>
    <w:p w14:paraId="05790D7D" w14:textId="77777777" w:rsidR="00577D45" w:rsidRPr="00A26E3C" w:rsidRDefault="00577D45" w:rsidP="00577D45">
      <w:pPr>
        <w:spacing w:after="120"/>
        <w:jc w:val="both"/>
        <w:rPr>
          <w:rFonts w:ascii="Calibri" w:hAnsi="Calibri" w:cs="Calibri"/>
          <w:sz w:val="22"/>
          <w:szCs w:val="22"/>
          <w:lang w:val="en-US"/>
        </w:rPr>
      </w:pPr>
      <w:r w:rsidRPr="00A26E3C">
        <w:rPr>
          <w:rFonts w:ascii="Calibri" w:hAnsi="Calibri" w:cs="Calibri"/>
          <w:sz w:val="22"/>
          <w:szCs w:val="22"/>
        </w:rPr>
        <w:t>The final evaluation will consider outcomes across the three implementation pillars and all key documentation, including deliverables, milestones and reports.</w:t>
      </w:r>
    </w:p>
    <w:p w14:paraId="10072EEF" w14:textId="77777777" w:rsidR="00577D45" w:rsidRPr="00A26E3C" w:rsidRDefault="00577D45" w:rsidP="00A26E3C">
      <w:pPr>
        <w:spacing w:after="120"/>
        <w:jc w:val="both"/>
        <w:rPr>
          <w:rFonts w:ascii="Calibri" w:hAnsi="Calibri" w:cs="Calibri"/>
          <w:b/>
          <w:bCs/>
          <w:sz w:val="22"/>
          <w:szCs w:val="22"/>
          <w:u w:val="single"/>
        </w:rPr>
      </w:pPr>
      <w:bookmarkStart w:id="53" w:name="_Toc192742829"/>
      <w:r w:rsidRPr="00A26E3C">
        <w:rPr>
          <w:rFonts w:ascii="Calibri" w:hAnsi="Calibri" w:cs="Calibri"/>
          <w:b/>
          <w:bCs/>
          <w:sz w:val="22"/>
          <w:szCs w:val="22"/>
          <w:u w:val="single"/>
          <w:lang w:val="en-US"/>
        </w:rPr>
        <w:t>Final Evaluation Design and Methodology</w:t>
      </w:r>
      <w:bookmarkEnd w:id="53"/>
    </w:p>
    <w:p w14:paraId="7EA034FA" w14:textId="77777777" w:rsidR="00577D45" w:rsidRPr="00A26E3C" w:rsidRDefault="00577D45" w:rsidP="00A26E3C">
      <w:pPr>
        <w:spacing w:after="120"/>
        <w:jc w:val="both"/>
        <w:rPr>
          <w:rFonts w:ascii="Calibri" w:hAnsi="Calibri" w:cs="Calibri"/>
          <w:b/>
          <w:bCs/>
          <w:sz w:val="22"/>
          <w:szCs w:val="22"/>
          <w:u w:val="single"/>
          <w:lang w:val="en-US"/>
        </w:rPr>
      </w:pPr>
      <w:bookmarkStart w:id="54" w:name="_Toc192742830"/>
      <w:r w:rsidRPr="00A26E3C">
        <w:rPr>
          <w:rFonts w:ascii="Calibri" w:hAnsi="Calibri" w:cs="Calibri"/>
          <w:b/>
          <w:bCs/>
          <w:sz w:val="22"/>
          <w:szCs w:val="22"/>
          <w:u w:val="single"/>
          <w:lang w:val="en-US"/>
        </w:rPr>
        <w:t>Overall Approach</w:t>
      </w:r>
      <w:bookmarkEnd w:id="54"/>
    </w:p>
    <w:p w14:paraId="631D56D3"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 xml:space="preserve">The final evaluation will align with DFAT’s Evaluation Policy and Design and Monitoring, Evaluation, and Learning Standards. Throughout, we will consider both FPSDP’s strategic goals and outcomes and DFAT’s specific evaluation requirements. </w:t>
      </w:r>
    </w:p>
    <w:p w14:paraId="7798CE2A"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The final evaluation will apply a utilisation-focused approach</w:t>
      </w:r>
      <w:r w:rsidRPr="00577D45">
        <w:rPr>
          <w:rStyle w:val="FootnoteReference"/>
          <w:rFonts w:ascii="Calibri" w:hAnsi="Calibri" w:cs="Calibri"/>
          <w:color w:val="000000" w:themeColor="text1"/>
          <w:sz w:val="22"/>
          <w:szCs w:val="22"/>
        </w:rPr>
        <w:footnoteReference w:id="18"/>
      </w:r>
      <w:r w:rsidRPr="00A26E3C">
        <w:rPr>
          <w:rFonts w:ascii="Calibri" w:hAnsi="Calibri" w:cs="Calibri"/>
          <w:sz w:val="22"/>
          <w:szCs w:val="22"/>
        </w:rPr>
        <w:t xml:space="preserve"> to ensure it is conducted to enhance the utility of its findings and the process, which will inform decisions and enhance outcomes. </w:t>
      </w:r>
    </w:p>
    <w:p w14:paraId="3C2A2894" w14:textId="77777777" w:rsidR="00577D45" w:rsidRPr="00A26E3C" w:rsidRDefault="00577D45" w:rsidP="00577D45">
      <w:pPr>
        <w:spacing w:after="120"/>
        <w:jc w:val="both"/>
        <w:rPr>
          <w:rFonts w:ascii="Calibri" w:hAnsi="Calibri" w:cs="Calibri"/>
          <w:sz w:val="22"/>
          <w:szCs w:val="22"/>
        </w:rPr>
      </w:pPr>
      <w:r w:rsidRPr="00A26E3C">
        <w:rPr>
          <w:rFonts w:ascii="Calibri" w:hAnsi="Calibri" w:cs="Calibri"/>
          <w:sz w:val="22"/>
          <w:szCs w:val="22"/>
        </w:rPr>
        <w:t>The utilisation-focused approach involves three steps. First, the final evaluation will analyse the primary stakeholders, including their specific information needs (such as through in-depth inception briefings with both IFC and DFAT) and how to communicate most effectively with each stakeholder group. Second, the evaluation will ensure that primary stakeholders for the evaluation understand the evaluation approach, the strengths and limitations of the evidence generated, and how to interpret findings. Third, the evaluation will ensure that the evaluation objectives and questions address stakeholders' priority information needs. Primary stakeholders will include DFAT, IFC, implementing project partners and key GoF partners and representatives.</w:t>
      </w:r>
    </w:p>
    <w:p w14:paraId="38639141" w14:textId="77777777" w:rsidR="00577D45" w:rsidRPr="00A26E3C" w:rsidRDefault="00577D45" w:rsidP="00A26E3C">
      <w:pPr>
        <w:spacing w:after="120"/>
        <w:jc w:val="both"/>
        <w:rPr>
          <w:rFonts w:ascii="Calibri" w:hAnsi="Calibri" w:cs="Calibri"/>
          <w:sz w:val="22"/>
          <w:szCs w:val="22"/>
          <w:lang w:val="en-US"/>
        </w:rPr>
      </w:pPr>
      <w:r w:rsidRPr="00A26E3C">
        <w:rPr>
          <w:rFonts w:ascii="Calibri" w:hAnsi="Calibri" w:cs="Calibri"/>
          <w:sz w:val="22"/>
          <w:szCs w:val="22"/>
        </w:rPr>
        <w:t xml:space="preserve">The final evaluation period began with a series of activities to clarify the scope and approach, including: </w:t>
      </w:r>
    </w:p>
    <w:p w14:paraId="5EC83C22" w14:textId="77777777" w:rsidR="00577D45" w:rsidRPr="00A26E3C" w:rsidRDefault="00577D45" w:rsidP="00D77455">
      <w:pPr>
        <w:pStyle w:val="ListParagraph"/>
        <w:numPr>
          <w:ilvl w:val="0"/>
          <w:numId w:val="13"/>
        </w:numPr>
        <w:spacing w:after="120"/>
        <w:jc w:val="both"/>
        <w:rPr>
          <w:rFonts w:ascii="Calibri" w:hAnsi="Calibri" w:cs="Calibri"/>
          <w:sz w:val="22"/>
          <w:szCs w:val="22"/>
          <w:lang w:val="en-US"/>
        </w:rPr>
      </w:pPr>
      <w:r w:rsidRPr="00A26E3C">
        <w:rPr>
          <w:rFonts w:ascii="Calibri" w:hAnsi="Calibri" w:cs="Calibri"/>
          <w:sz w:val="22"/>
          <w:szCs w:val="22"/>
        </w:rPr>
        <w:t>A scan of available documentation and in-depth analysis of key documents, including the FPSDP proposal, partnership agreements, and key program reports to date, and to identify key issues and stakeholders for the evaluation.</w:t>
      </w:r>
    </w:p>
    <w:p w14:paraId="42B7D62B" w14:textId="77777777" w:rsidR="00577D45" w:rsidRPr="00A26E3C" w:rsidRDefault="00577D45" w:rsidP="00D77455">
      <w:pPr>
        <w:pStyle w:val="ListParagraph"/>
        <w:numPr>
          <w:ilvl w:val="0"/>
          <w:numId w:val="13"/>
        </w:numPr>
        <w:spacing w:after="120"/>
        <w:jc w:val="both"/>
        <w:rPr>
          <w:rFonts w:ascii="Calibri" w:hAnsi="Calibri" w:cs="Calibri"/>
          <w:sz w:val="22"/>
          <w:szCs w:val="22"/>
          <w:lang w:val="en-US"/>
        </w:rPr>
      </w:pPr>
      <w:r w:rsidRPr="00A26E3C">
        <w:rPr>
          <w:rFonts w:ascii="Calibri" w:hAnsi="Calibri" w:cs="Calibri"/>
          <w:sz w:val="22"/>
          <w:szCs w:val="22"/>
        </w:rPr>
        <w:lastRenderedPageBreak/>
        <w:t>Liaison with IFC and DFAT to clarify the evaluation's intent, help prioritise questions and identify factors that need to be considered during data collection and reporting.</w:t>
      </w:r>
      <w:r w:rsidRPr="00A26E3C">
        <w:rPr>
          <w:rFonts w:ascii="Calibri" w:hAnsi="Calibri" w:cs="Calibri"/>
          <w:sz w:val="22"/>
          <w:szCs w:val="22"/>
          <w:lang w:val="en-US"/>
        </w:rPr>
        <w:t xml:space="preserve"> The briefings will also help the evaluation</w:t>
      </w:r>
      <w:r w:rsidRPr="00A26E3C">
        <w:rPr>
          <w:rFonts w:ascii="Calibri" w:hAnsi="Calibri" w:cs="Calibri"/>
          <w:sz w:val="22"/>
          <w:szCs w:val="22"/>
        </w:rPr>
        <w:t xml:space="preserve"> understand key issues to be answered and practical considerations for data collection and stakeholder engagement.</w:t>
      </w:r>
    </w:p>
    <w:p w14:paraId="21A00617" w14:textId="77777777" w:rsidR="00577D45" w:rsidRPr="00A26E3C" w:rsidRDefault="00577D45" w:rsidP="00D77455">
      <w:pPr>
        <w:pStyle w:val="ListParagraph"/>
        <w:numPr>
          <w:ilvl w:val="0"/>
          <w:numId w:val="13"/>
        </w:numPr>
        <w:spacing w:after="120"/>
        <w:jc w:val="both"/>
        <w:rPr>
          <w:rFonts w:ascii="Calibri" w:hAnsi="Calibri" w:cs="Calibri"/>
          <w:sz w:val="22"/>
          <w:szCs w:val="22"/>
          <w:lang w:val="en-US"/>
        </w:rPr>
      </w:pPr>
      <w:r w:rsidRPr="00A26E3C">
        <w:rPr>
          <w:rFonts w:ascii="Calibri" w:hAnsi="Calibri" w:cs="Calibri"/>
          <w:sz w:val="22"/>
          <w:szCs w:val="22"/>
        </w:rPr>
        <w:t xml:space="preserve">Agreement of Key Evaluation Questions (KEQs) and sub-KEQs against the evaluation criteria, as well as an indication of how these are expected to be answered from multiple sources. </w:t>
      </w:r>
    </w:p>
    <w:p w14:paraId="13166B5D" w14:textId="77777777" w:rsidR="00577D45" w:rsidRPr="00A26E3C" w:rsidRDefault="00577D45" w:rsidP="00D77455">
      <w:pPr>
        <w:pStyle w:val="ListParagraph"/>
        <w:numPr>
          <w:ilvl w:val="0"/>
          <w:numId w:val="13"/>
        </w:numPr>
        <w:spacing w:after="120"/>
        <w:jc w:val="both"/>
        <w:rPr>
          <w:rFonts w:ascii="Calibri" w:hAnsi="Calibri" w:cs="Calibri"/>
          <w:sz w:val="22"/>
          <w:szCs w:val="22"/>
          <w:lang w:val="en-US"/>
        </w:rPr>
      </w:pPr>
      <w:r w:rsidRPr="00A26E3C">
        <w:rPr>
          <w:rFonts w:ascii="Calibri" w:hAnsi="Calibri" w:cs="Calibri"/>
          <w:sz w:val="22"/>
          <w:szCs w:val="22"/>
        </w:rPr>
        <w:t>Identification of key stakeholders for consultation and early analysis of their roles and relationships regarding program implementation and management.</w:t>
      </w:r>
    </w:p>
    <w:p w14:paraId="5E217B71" w14:textId="326B8BD0" w:rsidR="00577D45" w:rsidRPr="00A26E3C" w:rsidRDefault="00577D45" w:rsidP="00D77455">
      <w:pPr>
        <w:pStyle w:val="ListParagraph"/>
        <w:numPr>
          <w:ilvl w:val="0"/>
          <w:numId w:val="13"/>
        </w:numPr>
        <w:spacing w:after="120"/>
        <w:jc w:val="both"/>
        <w:rPr>
          <w:rFonts w:ascii="Calibri" w:hAnsi="Calibri" w:cs="Calibri"/>
          <w:sz w:val="22"/>
          <w:szCs w:val="22"/>
          <w:lang w:val="en-US"/>
        </w:rPr>
      </w:pPr>
      <w:r w:rsidRPr="00A26E3C">
        <w:rPr>
          <w:rFonts w:ascii="Calibri" w:hAnsi="Calibri" w:cs="Calibri"/>
          <w:sz w:val="22"/>
          <w:szCs w:val="22"/>
        </w:rPr>
        <w:t>Clarification of ways of working, evaluation management and governance</w:t>
      </w:r>
      <w:r w:rsidR="005F414F">
        <w:rPr>
          <w:rFonts w:ascii="Calibri" w:hAnsi="Calibri" w:cs="Calibri"/>
          <w:sz w:val="22"/>
          <w:szCs w:val="22"/>
        </w:rPr>
        <w:t>.</w:t>
      </w:r>
    </w:p>
    <w:p w14:paraId="458981C8" w14:textId="77777777" w:rsidR="00577D45" w:rsidRPr="00A26E3C" w:rsidRDefault="00577D45" w:rsidP="00A26E3C">
      <w:pPr>
        <w:spacing w:after="120"/>
        <w:jc w:val="both"/>
        <w:rPr>
          <w:rFonts w:ascii="Calibri" w:hAnsi="Calibri" w:cs="Calibri"/>
          <w:b/>
          <w:bCs/>
          <w:sz w:val="22"/>
          <w:szCs w:val="22"/>
          <w:u w:val="single"/>
          <w:lang w:val="en-US"/>
        </w:rPr>
      </w:pPr>
      <w:r w:rsidRPr="00A26E3C">
        <w:rPr>
          <w:rFonts w:ascii="Calibri" w:hAnsi="Calibri" w:cs="Calibri"/>
          <w:b/>
          <w:bCs/>
          <w:sz w:val="22"/>
          <w:szCs w:val="22"/>
          <w:u w:val="single"/>
          <w:lang w:val="en-US"/>
        </w:rPr>
        <w:t>Key Evaluation Questions</w:t>
      </w:r>
    </w:p>
    <w:p w14:paraId="4744A66E" w14:textId="77777777" w:rsidR="00577D45" w:rsidRPr="00A26E3C" w:rsidRDefault="00577D45" w:rsidP="00A26E3C">
      <w:pPr>
        <w:spacing w:after="120"/>
        <w:jc w:val="both"/>
        <w:rPr>
          <w:rFonts w:ascii="Calibri" w:hAnsi="Calibri" w:cs="Calibri"/>
          <w:sz w:val="22"/>
          <w:szCs w:val="22"/>
          <w:lang w:val="en-AU"/>
        </w:rPr>
      </w:pPr>
      <w:r w:rsidRPr="00A26E3C">
        <w:rPr>
          <w:rFonts w:ascii="Calibri" w:hAnsi="Calibri" w:cs="Calibri"/>
          <w:sz w:val="22"/>
          <w:szCs w:val="22"/>
          <w:lang w:val="en-AU"/>
        </w:rPr>
        <w:t xml:space="preserve">The evaluation will apply the OECD-DAC criteria of relevance, coherence, effectiveness, efficiency, sustainability, and impact. </w:t>
      </w:r>
    </w:p>
    <w:p w14:paraId="2FB19C75" w14:textId="77777777" w:rsidR="00577D45" w:rsidRPr="00A26E3C" w:rsidRDefault="00577D45" w:rsidP="00A26E3C">
      <w:pPr>
        <w:spacing w:after="120"/>
        <w:jc w:val="both"/>
        <w:rPr>
          <w:rFonts w:ascii="Calibri" w:hAnsi="Calibri" w:cs="Calibri"/>
          <w:sz w:val="22"/>
          <w:szCs w:val="22"/>
          <w:lang w:val="en-AU"/>
        </w:rPr>
      </w:pPr>
      <w:r w:rsidRPr="00A26E3C">
        <w:rPr>
          <w:rFonts w:ascii="Calibri" w:hAnsi="Calibri" w:cs="Calibri"/>
          <w:sz w:val="22"/>
          <w:szCs w:val="22"/>
          <w:lang w:val="en-AU"/>
        </w:rPr>
        <w:t>The evaluation will address all the questions in the Terms of Reference (ToR). The evaluator may adapt the evaluation criteria and questions, but any fundamental changes should be agreed upon with the IFC evaluation manager. The evaluation questions to be addressed are detailed in the following table. Questions have been disaggregated as primary and secondary. The focus will be on addressing primary questions, but secondary questions will also be used to inform and guide questioning and overall analysis.</w:t>
      </w:r>
    </w:p>
    <w:tbl>
      <w:tblPr>
        <w:tblStyle w:val="TableGrid"/>
        <w:tblW w:w="0" w:type="auto"/>
        <w:tblLook w:val="04A0" w:firstRow="1" w:lastRow="0" w:firstColumn="1" w:lastColumn="0" w:noHBand="0" w:noVBand="1"/>
      </w:tblPr>
      <w:tblGrid>
        <w:gridCol w:w="1615"/>
        <w:gridCol w:w="3330"/>
        <w:gridCol w:w="4405"/>
      </w:tblGrid>
      <w:tr w:rsidR="0051467C" w:rsidRPr="00577D45" w14:paraId="07BD4444" w14:textId="77777777" w:rsidTr="000F0F21">
        <w:tc>
          <w:tcPr>
            <w:tcW w:w="1615" w:type="dxa"/>
            <w:shd w:val="clear" w:color="auto" w:fill="C1E4F5" w:themeFill="accent1" w:themeFillTint="33"/>
          </w:tcPr>
          <w:p w14:paraId="0EC642EC" w14:textId="72A847EC" w:rsidR="0051467C" w:rsidRPr="00A26E3C" w:rsidRDefault="000F0F21" w:rsidP="00A26E3C">
            <w:pPr>
              <w:spacing w:after="120"/>
              <w:jc w:val="both"/>
              <w:rPr>
                <w:rFonts w:ascii="Calibri" w:hAnsi="Calibri" w:cs="Calibri"/>
                <w:sz w:val="18"/>
                <w:szCs w:val="18"/>
                <w:lang w:val="en-US"/>
              </w:rPr>
            </w:pPr>
            <w:r>
              <w:rPr>
                <w:rFonts w:ascii="Calibri" w:hAnsi="Calibri" w:cs="Calibri"/>
                <w:sz w:val="18"/>
                <w:szCs w:val="18"/>
                <w:lang w:val="en-US"/>
              </w:rPr>
              <w:t>Criteria</w:t>
            </w:r>
          </w:p>
        </w:tc>
        <w:tc>
          <w:tcPr>
            <w:tcW w:w="3330" w:type="dxa"/>
            <w:shd w:val="clear" w:color="auto" w:fill="C1E4F5" w:themeFill="accent1" w:themeFillTint="33"/>
          </w:tcPr>
          <w:p w14:paraId="4BCC0DD1" w14:textId="14795BDF" w:rsidR="0051467C" w:rsidRPr="00A26E3C" w:rsidRDefault="0051467C" w:rsidP="00A26E3C">
            <w:pPr>
              <w:spacing w:after="120"/>
              <w:jc w:val="both"/>
              <w:rPr>
                <w:rFonts w:ascii="Calibri" w:hAnsi="Calibri" w:cs="Calibri"/>
                <w:sz w:val="18"/>
                <w:szCs w:val="18"/>
                <w:lang w:val="en-US"/>
              </w:rPr>
            </w:pPr>
            <w:r w:rsidRPr="00A26E3C">
              <w:rPr>
                <w:rFonts w:ascii="Calibri" w:hAnsi="Calibri" w:cs="Calibri"/>
                <w:sz w:val="18"/>
                <w:szCs w:val="18"/>
                <w:lang w:val="en-US"/>
              </w:rPr>
              <w:t>Primary Questions</w:t>
            </w:r>
          </w:p>
        </w:tc>
        <w:tc>
          <w:tcPr>
            <w:tcW w:w="4405" w:type="dxa"/>
            <w:shd w:val="clear" w:color="auto" w:fill="C1E4F5" w:themeFill="accent1" w:themeFillTint="33"/>
          </w:tcPr>
          <w:p w14:paraId="6E3AF88B" w14:textId="77777777" w:rsidR="0051467C" w:rsidRPr="00A26E3C" w:rsidRDefault="0051467C" w:rsidP="00A26E3C">
            <w:pPr>
              <w:spacing w:after="120"/>
              <w:jc w:val="both"/>
              <w:rPr>
                <w:rFonts w:ascii="Calibri" w:hAnsi="Calibri" w:cs="Calibri"/>
                <w:sz w:val="18"/>
                <w:szCs w:val="18"/>
                <w:lang w:val="en-US"/>
              </w:rPr>
            </w:pPr>
            <w:r w:rsidRPr="00A26E3C">
              <w:rPr>
                <w:rFonts w:ascii="Calibri" w:hAnsi="Calibri" w:cs="Calibri"/>
                <w:sz w:val="18"/>
                <w:szCs w:val="18"/>
                <w:lang w:val="en-US"/>
              </w:rPr>
              <w:t>Secondary Questions</w:t>
            </w:r>
          </w:p>
        </w:tc>
      </w:tr>
      <w:tr w:rsidR="0051467C" w:rsidRPr="00577D45" w14:paraId="57C43A80" w14:textId="77777777" w:rsidTr="000F0F21">
        <w:tc>
          <w:tcPr>
            <w:tcW w:w="1615" w:type="dxa"/>
          </w:tcPr>
          <w:p w14:paraId="0BDF4C50" w14:textId="3C56DBBC" w:rsidR="0051467C" w:rsidRPr="00A26E3C" w:rsidRDefault="000F0F21" w:rsidP="000F0F21">
            <w:pPr>
              <w:spacing w:after="120"/>
              <w:rPr>
                <w:rFonts w:ascii="Calibri" w:hAnsi="Calibri" w:cs="Calibri"/>
                <w:color w:val="000000"/>
                <w:sz w:val="18"/>
                <w:szCs w:val="18"/>
              </w:rPr>
            </w:pPr>
            <w:r w:rsidRPr="00A26E3C">
              <w:rPr>
                <w:rFonts w:ascii="Calibri" w:hAnsi="Calibri" w:cs="Calibri"/>
                <w:color w:val="000000"/>
                <w:sz w:val="18"/>
                <w:szCs w:val="18"/>
              </w:rPr>
              <w:t>Relevance and efficiency</w:t>
            </w:r>
          </w:p>
        </w:tc>
        <w:tc>
          <w:tcPr>
            <w:tcW w:w="3330" w:type="dxa"/>
          </w:tcPr>
          <w:p w14:paraId="00D20822" w14:textId="4587F56E"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To what extent was the FPSDP able to respond and adapt to the needs of the private sector and client government agencies in Fiji?</w:t>
            </w:r>
          </w:p>
          <w:p w14:paraId="148EADC3" w14:textId="77777777" w:rsidR="0051467C" w:rsidRPr="00A26E3C" w:rsidRDefault="0051467C" w:rsidP="00A26E3C">
            <w:pPr>
              <w:spacing w:after="120"/>
              <w:jc w:val="both"/>
              <w:rPr>
                <w:rFonts w:ascii="Calibri" w:hAnsi="Calibri" w:cs="Calibri"/>
                <w:sz w:val="18"/>
                <w:szCs w:val="18"/>
                <w:lang w:val="en-US"/>
              </w:rPr>
            </w:pPr>
          </w:p>
        </w:tc>
        <w:tc>
          <w:tcPr>
            <w:tcW w:w="4405" w:type="dxa"/>
          </w:tcPr>
          <w:p w14:paraId="40ACC82A" w14:textId="77777777" w:rsidR="0051467C" w:rsidRPr="00A26E3C" w:rsidRDefault="0051467C" w:rsidP="00A26E3C">
            <w:pPr>
              <w:spacing w:after="120"/>
              <w:jc w:val="both"/>
              <w:rPr>
                <w:rFonts w:ascii="Calibri" w:hAnsi="Calibri" w:cs="Calibri"/>
                <w:sz w:val="18"/>
                <w:szCs w:val="18"/>
              </w:rPr>
            </w:pPr>
            <w:r w:rsidRPr="00A26E3C">
              <w:rPr>
                <w:rFonts w:ascii="Calibri" w:hAnsi="Calibri" w:cs="Calibri"/>
                <w:sz w:val="18"/>
                <w:szCs w:val="18"/>
              </w:rPr>
              <w:t>Has FPSDP addressed needs of government, firms and market level stakeholders.</w:t>
            </w:r>
          </w:p>
          <w:p w14:paraId="3F87CCAF" w14:textId="77777777" w:rsidR="0051467C" w:rsidRPr="00A26E3C" w:rsidRDefault="0051467C" w:rsidP="00A26E3C">
            <w:pPr>
              <w:spacing w:after="120"/>
              <w:jc w:val="both"/>
              <w:rPr>
                <w:rFonts w:ascii="Calibri" w:hAnsi="Calibri" w:cs="Calibri"/>
                <w:sz w:val="18"/>
                <w:szCs w:val="18"/>
              </w:rPr>
            </w:pPr>
            <w:r w:rsidRPr="00A26E3C">
              <w:rPr>
                <w:rFonts w:ascii="Calibri" w:hAnsi="Calibri" w:cs="Calibri"/>
                <w:sz w:val="18"/>
                <w:szCs w:val="18"/>
              </w:rPr>
              <w:t xml:space="preserve">Has the Partnership design (risk management and governance arrangements etc.) supported efficient (and effective) program implementation and management? </w:t>
            </w:r>
          </w:p>
        </w:tc>
      </w:tr>
      <w:tr w:rsidR="0051467C" w:rsidRPr="00577D45" w14:paraId="2FF8604B" w14:textId="77777777" w:rsidTr="000F0F21">
        <w:tc>
          <w:tcPr>
            <w:tcW w:w="1615" w:type="dxa"/>
          </w:tcPr>
          <w:p w14:paraId="7CD096C0" w14:textId="2CAEF4BC" w:rsidR="0051467C" w:rsidRPr="00A26E3C" w:rsidRDefault="000F0F21" w:rsidP="000F0F21">
            <w:pPr>
              <w:spacing w:after="120"/>
              <w:rPr>
                <w:rFonts w:ascii="Calibri" w:hAnsi="Calibri" w:cs="Calibri"/>
                <w:color w:val="000000"/>
                <w:sz w:val="18"/>
                <w:szCs w:val="18"/>
              </w:rPr>
            </w:pPr>
            <w:r w:rsidRPr="00A26E3C">
              <w:rPr>
                <w:rFonts w:ascii="Calibri" w:hAnsi="Calibri" w:cs="Calibri"/>
                <w:color w:val="000000"/>
                <w:sz w:val="18"/>
                <w:szCs w:val="18"/>
              </w:rPr>
              <w:t>Coherence</w:t>
            </w:r>
          </w:p>
        </w:tc>
        <w:tc>
          <w:tcPr>
            <w:tcW w:w="3330" w:type="dxa"/>
          </w:tcPr>
          <w:p w14:paraId="468956AE" w14:textId="560E4742"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To what extent did the FPSDP and its interventions complement (and collaborate with) other private sector development work being undertaken in Fiji?</w:t>
            </w:r>
          </w:p>
        </w:tc>
        <w:tc>
          <w:tcPr>
            <w:tcW w:w="4405" w:type="dxa"/>
          </w:tcPr>
          <w:p w14:paraId="1DCF2CDA" w14:textId="77777777"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Has FPSDP supported DFAT’s policy objectives (included in the M&amp;E Framework), and has this support complemented and aligned with other donor programming?</w:t>
            </w:r>
          </w:p>
        </w:tc>
      </w:tr>
      <w:tr w:rsidR="0051467C" w:rsidRPr="00577D45" w14:paraId="1106A754" w14:textId="77777777" w:rsidTr="000F0F21">
        <w:tc>
          <w:tcPr>
            <w:tcW w:w="1615" w:type="dxa"/>
          </w:tcPr>
          <w:p w14:paraId="73C91E42" w14:textId="70654EB4" w:rsidR="0051467C" w:rsidRPr="00A26E3C" w:rsidRDefault="000F0F21" w:rsidP="000F0F21">
            <w:pPr>
              <w:spacing w:after="120"/>
              <w:rPr>
                <w:rFonts w:ascii="Calibri" w:hAnsi="Calibri" w:cs="Calibri"/>
                <w:color w:val="000000"/>
                <w:sz w:val="18"/>
                <w:szCs w:val="18"/>
              </w:rPr>
            </w:pPr>
            <w:r w:rsidRPr="00A26E3C">
              <w:rPr>
                <w:rFonts w:ascii="Calibri" w:hAnsi="Calibri" w:cs="Calibri"/>
                <w:color w:val="000000"/>
                <w:sz w:val="18"/>
                <w:szCs w:val="18"/>
              </w:rPr>
              <w:t>Effectiveness and impact</w:t>
            </w:r>
          </w:p>
        </w:tc>
        <w:tc>
          <w:tcPr>
            <w:tcW w:w="3330" w:type="dxa"/>
          </w:tcPr>
          <w:p w14:paraId="0FFCE02C" w14:textId="5C27893F"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To what extent has the FPDSP delivered its anticipated impacts, with particular reference to the evaluative questions in the M&amp;E framework?</w:t>
            </w:r>
          </w:p>
          <w:p w14:paraId="7330A1CB" w14:textId="77777777" w:rsidR="0051467C" w:rsidRPr="00A26E3C" w:rsidRDefault="0051467C" w:rsidP="00A26E3C">
            <w:pPr>
              <w:spacing w:after="120"/>
              <w:jc w:val="both"/>
              <w:rPr>
                <w:rFonts w:ascii="Calibri" w:hAnsi="Calibri" w:cs="Calibri"/>
                <w:sz w:val="18"/>
                <w:szCs w:val="18"/>
                <w:lang w:val="en-US"/>
              </w:rPr>
            </w:pPr>
          </w:p>
        </w:tc>
        <w:tc>
          <w:tcPr>
            <w:tcW w:w="4405" w:type="dxa"/>
          </w:tcPr>
          <w:p w14:paraId="2BBBD039" w14:textId="77777777" w:rsidR="0051467C" w:rsidRPr="00A26E3C" w:rsidRDefault="0051467C" w:rsidP="00A26E3C">
            <w:pPr>
              <w:spacing w:after="120"/>
              <w:jc w:val="both"/>
              <w:rPr>
                <w:rFonts w:ascii="Calibri" w:hAnsi="Calibri" w:cs="Calibri"/>
                <w:sz w:val="18"/>
                <w:szCs w:val="18"/>
              </w:rPr>
            </w:pPr>
            <w:r w:rsidRPr="00A26E3C">
              <w:rPr>
                <w:rFonts w:ascii="Calibri" w:hAnsi="Calibri" w:cs="Calibri"/>
                <w:sz w:val="18"/>
                <w:szCs w:val="18"/>
              </w:rPr>
              <w:t xml:space="preserve">How </w:t>
            </w:r>
            <w:r w:rsidRPr="00A26E3C">
              <w:rPr>
                <w:rFonts w:ascii="Calibri" w:hAnsi="Calibri" w:cs="Calibri"/>
                <w:color w:val="000000"/>
                <w:sz w:val="18"/>
                <w:szCs w:val="18"/>
              </w:rPr>
              <w:t>effectively has the Partnership been able to respond and adapt to the evolving needs of private sector stakeholders</w:t>
            </w:r>
            <w:r w:rsidRPr="00A26E3C">
              <w:rPr>
                <w:rFonts w:ascii="Calibri" w:hAnsi="Calibri" w:cs="Calibri"/>
                <w:sz w:val="18"/>
                <w:szCs w:val="18"/>
              </w:rPr>
              <w:t xml:space="preserve"> and the enabling environment for private investment in Fiji? </w:t>
            </w:r>
          </w:p>
          <w:p w14:paraId="5F2FEEB3" w14:textId="77777777" w:rsidR="0051467C" w:rsidRPr="00A26E3C" w:rsidRDefault="0051467C" w:rsidP="00A26E3C">
            <w:pPr>
              <w:spacing w:after="120"/>
              <w:jc w:val="both"/>
              <w:rPr>
                <w:rFonts w:ascii="Calibri" w:hAnsi="Calibri" w:cs="Calibri"/>
                <w:sz w:val="18"/>
                <w:szCs w:val="18"/>
              </w:rPr>
            </w:pPr>
            <w:r w:rsidRPr="00A26E3C">
              <w:rPr>
                <w:rFonts w:ascii="Calibri" w:hAnsi="Calibri" w:cs="Calibri"/>
                <w:sz w:val="18"/>
                <w:szCs w:val="18"/>
              </w:rPr>
              <w:t>Has the range of project types/interventions (Private Public Partnerships, firm level technical advice, government technical advice etc) been sufficient and appropriate.</w:t>
            </w:r>
          </w:p>
          <w:p w14:paraId="4CE53A9E" w14:textId="77777777" w:rsidR="0051467C" w:rsidRPr="00A26E3C" w:rsidRDefault="0051467C" w:rsidP="00A26E3C">
            <w:pPr>
              <w:spacing w:after="120"/>
              <w:jc w:val="both"/>
              <w:rPr>
                <w:rFonts w:ascii="Calibri" w:hAnsi="Calibri" w:cs="Calibri"/>
                <w:sz w:val="18"/>
                <w:szCs w:val="18"/>
              </w:rPr>
            </w:pPr>
            <w:r w:rsidRPr="00A26E3C">
              <w:rPr>
                <w:rFonts w:ascii="Calibri" w:hAnsi="Calibri" w:cs="Calibri"/>
                <w:sz w:val="18"/>
                <w:szCs w:val="18"/>
              </w:rPr>
              <w:t>Has there been any identified barriers including those related to delivery in complex/challenging environments?</w:t>
            </w:r>
          </w:p>
        </w:tc>
      </w:tr>
      <w:tr w:rsidR="0051467C" w:rsidRPr="00577D45" w14:paraId="4DE7AC3D" w14:textId="77777777" w:rsidTr="000F0F21">
        <w:tc>
          <w:tcPr>
            <w:tcW w:w="1615" w:type="dxa"/>
          </w:tcPr>
          <w:p w14:paraId="58D59D0D" w14:textId="02B3C8AF" w:rsidR="0051467C" w:rsidRPr="00A26E3C" w:rsidRDefault="000F0F21" w:rsidP="000F0F21">
            <w:pPr>
              <w:spacing w:after="120"/>
              <w:rPr>
                <w:rFonts w:ascii="Calibri" w:hAnsi="Calibri" w:cs="Calibri"/>
                <w:color w:val="000000"/>
                <w:sz w:val="18"/>
                <w:szCs w:val="18"/>
              </w:rPr>
            </w:pPr>
            <w:r w:rsidRPr="00A26E3C">
              <w:rPr>
                <w:rFonts w:ascii="Calibri" w:hAnsi="Calibri" w:cs="Calibri"/>
                <w:color w:val="000000"/>
                <w:sz w:val="18"/>
                <w:szCs w:val="18"/>
              </w:rPr>
              <w:t>Sustainability</w:t>
            </w:r>
          </w:p>
        </w:tc>
        <w:tc>
          <w:tcPr>
            <w:tcW w:w="3330" w:type="dxa"/>
          </w:tcPr>
          <w:p w14:paraId="6857C7E9" w14:textId="6E29E8D1"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 xml:space="preserve">What are the overall highlights and lessons learned for the Partnership in terms of design of private sector development and investment programming in Fiji? </w:t>
            </w:r>
          </w:p>
        </w:tc>
        <w:tc>
          <w:tcPr>
            <w:tcW w:w="4405" w:type="dxa"/>
          </w:tcPr>
          <w:p w14:paraId="0A9D1DE0" w14:textId="77777777"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Include reference to impacts related to gender, disability and climate change</w:t>
            </w:r>
          </w:p>
          <w:p w14:paraId="488FC0E3" w14:textId="77777777" w:rsidR="0051467C" w:rsidRPr="00A26E3C" w:rsidRDefault="0051467C" w:rsidP="00A26E3C">
            <w:pPr>
              <w:spacing w:after="120"/>
              <w:jc w:val="both"/>
              <w:rPr>
                <w:rFonts w:ascii="Calibri" w:hAnsi="Calibri" w:cs="Calibri"/>
                <w:color w:val="000000"/>
                <w:sz w:val="18"/>
                <w:szCs w:val="18"/>
              </w:rPr>
            </w:pPr>
            <w:r w:rsidRPr="00A26E3C">
              <w:rPr>
                <w:rFonts w:ascii="Calibri" w:hAnsi="Calibri" w:cs="Calibri"/>
                <w:color w:val="000000"/>
                <w:sz w:val="18"/>
                <w:szCs w:val="18"/>
              </w:rPr>
              <w:t>Are impacts likely to be sustained?</w:t>
            </w:r>
          </w:p>
        </w:tc>
      </w:tr>
    </w:tbl>
    <w:p w14:paraId="4BC78FF4" w14:textId="77777777" w:rsidR="00577D45" w:rsidRPr="00A26E3C" w:rsidRDefault="00577D45" w:rsidP="00A26E3C">
      <w:pPr>
        <w:spacing w:after="120"/>
        <w:jc w:val="both"/>
        <w:rPr>
          <w:rFonts w:ascii="Calibri" w:hAnsi="Calibri" w:cs="Calibri"/>
          <w:sz w:val="22"/>
          <w:szCs w:val="22"/>
          <w:lang w:val="en-US"/>
        </w:rPr>
      </w:pPr>
    </w:p>
    <w:p w14:paraId="332DC6D9" w14:textId="77777777" w:rsidR="00577D45" w:rsidRDefault="00577D45" w:rsidP="00577D45">
      <w:pPr>
        <w:spacing w:after="120"/>
        <w:jc w:val="both"/>
        <w:rPr>
          <w:rFonts w:ascii="Calibri" w:hAnsi="Calibri" w:cs="Calibri"/>
          <w:b/>
          <w:bCs/>
          <w:sz w:val="22"/>
          <w:szCs w:val="22"/>
          <w:u w:val="single"/>
          <w:lang w:val="en-US"/>
        </w:rPr>
      </w:pPr>
      <w:bookmarkStart w:id="55" w:name="_Toc192742832"/>
    </w:p>
    <w:p w14:paraId="2C7891B0" w14:textId="77777777" w:rsidR="000F0F21" w:rsidRDefault="000F0F21" w:rsidP="00577D45">
      <w:pPr>
        <w:spacing w:after="120"/>
        <w:jc w:val="both"/>
        <w:rPr>
          <w:rFonts w:ascii="Calibri" w:hAnsi="Calibri" w:cs="Calibri"/>
          <w:b/>
          <w:bCs/>
          <w:sz w:val="22"/>
          <w:szCs w:val="22"/>
          <w:u w:val="single"/>
          <w:lang w:val="en-US"/>
        </w:rPr>
      </w:pPr>
    </w:p>
    <w:p w14:paraId="41EA5DC8" w14:textId="40512330" w:rsidR="00577D45" w:rsidRPr="00A26E3C" w:rsidRDefault="00577D45" w:rsidP="00A26E3C">
      <w:pPr>
        <w:spacing w:after="120"/>
        <w:jc w:val="both"/>
        <w:rPr>
          <w:rFonts w:ascii="Calibri" w:hAnsi="Calibri" w:cs="Calibri"/>
          <w:b/>
          <w:bCs/>
          <w:sz w:val="22"/>
          <w:szCs w:val="22"/>
          <w:u w:val="single"/>
          <w:lang w:val="en-US"/>
        </w:rPr>
      </w:pPr>
      <w:r w:rsidRPr="00A26E3C">
        <w:rPr>
          <w:rFonts w:ascii="Calibri" w:hAnsi="Calibri" w:cs="Calibri"/>
          <w:b/>
          <w:bCs/>
          <w:sz w:val="22"/>
          <w:szCs w:val="22"/>
          <w:u w:val="single"/>
          <w:lang w:val="en-US"/>
        </w:rPr>
        <w:lastRenderedPageBreak/>
        <w:t>Data Collection Methods</w:t>
      </w:r>
      <w:bookmarkEnd w:id="55"/>
    </w:p>
    <w:p w14:paraId="571C88D6"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lang w:val="en-AU"/>
        </w:rPr>
        <w:t>The evaluation will be primarily qualitative. Key steps include: (i) a desk review of available documents; (ii) an initial briefing with the IFC/DFAT team; (iii) Key Informant Interviews (KIIs) with key stakeholders; (iv) data analysis and synthesis. A brief outline of the methods is presented below.</w:t>
      </w:r>
    </w:p>
    <w:p w14:paraId="7CBA6902"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u w:val="single"/>
          <w:lang w:val="en-AU"/>
        </w:rPr>
        <w:t>Desk Review:</w:t>
      </w:r>
      <w:r w:rsidRPr="00A26E3C">
        <w:rPr>
          <w:rFonts w:ascii="Calibri" w:hAnsi="Calibri" w:cs="Calibri"/>
          <w:sz w:val="22"/>
          <w:szCs w:val="22"/>
          <w:lang w:val="en-AU"/>
        </w:rPr>
        <w:t xml:space="preserve"> The desk review is an essential component of the final evaluation as it provides insights into the program's structure, design, and progress to date. Annex 1 includes a list of documents reviewed as part of the desk review. The desk review helped shape some of the evaluation questions presented above and has supported the identification of possible areas of enquiry through the KIIs. </w:t>
      </w:r>
    </w:p>
    <w:p w14:paraId="165B67D1"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u w:val="single"/>
          <w:lang w:val="en-AU"/>
        </w:rPr>
        <w:t>Initial Briefing:</w:t>
      </w:r>
      <w:r w:rsidRPr="00A26E3C">
        <w:rPr>
          <w:rFonts w:ascii="Calibri" w:hAnsi="Calibri" w:cs="Calibri"/>
          <w:sz w:val="22"/>
          <w:szCs w:val="22"/>
          <w:lang w:val="en-AU"/>
        </w:rPr>
        <w:t xml:space="preserve"> The initial briefing with the IFC was a useful exercise that helped shape the evaluation’s scope, seek clarification on key terms and understand the prioritisation and selection of specific activities. It also helped prioritise the evaluation questions into primary and secondary priorities. The briefing also helped shape the interview list of key stakeholders. The briefing also highlighted some additional areas of inquiry, such as project selection and overall programmatic approaches.</w:t>
      </w:r>
    </w:p>
    <w:p w14:paraId="4BAA7A97"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lang w:val="en-AU"/>
        </w:rPr>
        <w:t>Annex 2 includes a list of people to interview. Stakeholders have been differentiated between IFC/DFAT stakeholders and project-specific stakeholders. The interview schedule is flexible to allow for changes in timeframes and if secondary and follow-up interviews are required for some stakeholders.</w:t>
      </w:r>
    </w:p>
    <w:p w14:paraId="662DDF80"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lang w:val="en-AU"/>
        </w:rPr>
        <w:t>An evidence matrix has been prepared and included as Annex 3 to support data collection and the structuring of the final evaluation report. The FPSDP results framework is also included in Annex 4 to help guide data and information collection against the KEQs. It will also form a framework to present progress against key targets.</w:t>
      </w:r>
    </w:p>
    <w:p w14:paraId="08E419E1"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u w:val="single"/>
          <w:lang w:val="en-AU"/>
        </w:rPr>
        <w:t>Key Informant Interviews (KIIs):</w:t>
      </w:r>
      <w:r w:rsidRPr="00A26E3C">
        <w:rPr>
          <w:rFonts w:ascii="Calibri" w:hAnsi="Calibri" w:cs="Calibri"/>
          <w:sz w:val="22"/>
          <w:szCs w:val="22"/>
          <w:lang w:val="en-AU"/>
        </w:rPr>
        <w:t xml:space="preserve"> KIIs are the preferred methodology for interviews with key programme staff, IFC and DFAT representatives, and other project representatives. They allow for in-depth discussion and questioning. The evaluation questions in the table above will be used as a guide. KIIs will focus on the evaluation criteria, and questions will be differentiated depending on the stakeholder being interviewed. </w:t>
      </w:r>
    </w:p>
    <w:p w14:paraId="31C18130"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lang w:val="en-AU"/>
        </w:rPr>
        <w:t>The selection of participants is based on a purposeful sample</w:t>
      </w:r>
      <w:r w:rsidRPr="00577D45">
        <w:rPr>
          <w:rStyle w:val="FootnoteReference"/>
          <w:rFonts w:ascii="Calibri" w:hAnsi="Calibri" w:cs="Calibri"/>
          <w:sz w:val="22"/>
          <w:szCs w:val="22"/>
          <w:lang w:val="en-AU"/>
        </w:rPr>
        <w:footnoteReference w:id="19"/>
      </w:r>
      <w:r w:rsidRPr="00A26E3C">
        <w:rPr>
          <w:rFonts w:ascii="Calibri" w:hAnsi="Calibri" w:cs="Calibri"/>
          <w:sz w:val="22"/>
          <w:szCs w:val="22"/>
          <w:lang w:val="en-AU"/>
        </w:rPr>
        <w:t>, in which the IFC team works with the evaluator to discuss and prioritise key counterparts, stakeholders, and participants. The benefit of this approach is that it allows for the targeting of individuals who will provide in-depth insights into the evaluation. It is also a financial and time-efficient approach that enables a broad range of individuals to be contacted and consulted in a short period.  A proposed KII data collection tool and consent form are included in Annex 5.</w:t>
      </w:r>
    </w:p>
    <w:p w14:paraId="6785EDF8" w14:textId="77777777" w:rsidR="00577D45" w:rsidRPr="00A26E3C" w:rsidRDefault="00577D45" w:rsidP="00A26E3C">
      <w:pPr>
        <w:spacing w:after="120"/>
        <w:jc w:val="both"/>
        <w:rPr>
          <w:rFonts w:ascii="Calibri" w:hAnsi="Calibri" w:cs="Calibri"/>
          <w:b/>
          <w:bCs/>
          <w:sz w:val="22"/>
          <w:szCs w:val="22"/>
          <w:u w:val="single"/>
          <w:lang w:val="en-US"/>
        </w:rPr>
      </w:pPr>
      <w:bookmarkStart w:id="56" w:name="_Toc192742833"/>
      <w:r w:rsidRPr="00A26E3C">
        <w:rPr>
          <w:rFonts w:ascii="Calibri" w:hAnsi="Calibri" w:cs="Calibri"/>
          <w:b/>
          <w:bCs/>
          <w:sz w:val="22"/>
          <w:szCs w:val="22"/>
          <w:u w:val="single"/>
          <w:lang w:val="en-US"/>
        </w:rPr>
        <w:t>Data Analysis and Synthesis</w:t>
      </w:r>
      <w:bookmarkEnd w:id="56"/>
    </w:p>
    <w:p w14:paraId="180733A4" w14:textId="77777777" w:rsidR="00577D45" w:rsidRPr="00A26E3C" w:rsidRDefault="00577D45" w:rsidP="00577D45">
      <w:pPr>
        <w:spacing w:after="120"/>
        <w:jc w:val="both"/>
        <w:rPr>
          <w:rFonts w:ascii="Calibri" w:hAnsi="Calibri" w:cs="Calibri"/>
          <w:sz w:val="22"/>
          <w:szCs w:val="22"/>
          <w:lang w:val="en-AU"/>
        </w:rPr>
      </w:pPr>
      <w:r w:rsidRPr="00A26E3C">
        <w:rPr>
          <w:rFonts w:ascii="Calibri" w:hAnsi="Calibri" w:cs="Calibri"/>
          <w:sz w:val="22"/>
          <w:szCs w:val="22"/>
          <w:lang w:val="en-AU"/>
        </w:rPr>
        <w:t xml:space="preserve">Data collected using the methods described above will be analysed using qualitative data analysis. This type of analysis involves conducting content analysis and looking for patterns, categories, taxonomies, and/or themes. </w:t>
      </w:r>
    </w:p>
    <w:p w14:paraId="6754C74F" w14:textId="77777777" w:rsidR="00577D45" w:rsidRPr="00A26E3C" w:rsidRDefault="00577D45" w:rsidP="00577D45">
      <w:pPr>
        <w:spacing w:after="120"/>
        <w:jc w:val="both"/>
        <w:rPr>
          <w:rFonts w:ascii="Calibri" w:hAnsi="Calibri" w:cs="Calibri"/>
          <w:sz w:val="22"/>
          <w:szCs w:val="22"/>
          <w:lang w:val="en-US"/>
        </w:rPr>
      </w:pPr>
      <w:r w:rsidRPr="00A26E3C">
        <w:rPr>
          <w:rFonts w:ascii="Calibri" w:hAnsi="Calibri" w:cs="Calibri"/>
          <w:sz w:val="22"/>
          <w:szCs w:val="22"/>
          <w:lang w:val="en-AU"/>
        </w:rPr>
        <w:t xml:space="preserve">The findings that emerge should be triangulated to ensure validity and reliability. Triangulation involves confirming findings using multiple sources of data and data collection methods. Evidence from the desk </w:t>
      </w:r>
      <w:r w:rsidRPr="00A26E3C">
        <w:rPr>
          <w:rFonts w:ascii="Calibri" w:hAnsi="Calibri" w:cs="Calibri"/>
          <w:sz w:val="22"/>
          <w:szCs w:val="22"/>
          <w:lang w:val="en-AU"/>
        </w:rPr>
        <w:lastRenderedPageBreak/>
        <w:t>review will be combined with information and data from the KIIs. Additional clarification will be sourced from the proposed stakeholder workshop.</w:t>
      </w:r>
    </w:p>
    <w:p w14:paraId="3A6F0C66" w14:textId="77777777" w:rsidR="00577D45" w:rsidRPr="00A26E3C" w:rsidRDefault="00577D45" w:rsidP="00A26E3C">
      <w:pPr>
        <w:spacing w:after="120"/>
        <w:jc w:val="both"/>
        <w:rPr>
          <w:rFonts w:ascii="Calibri" w:hAnsi="Calibri" w:cs="Calibri"/>
          <w:b/>
          <w:bCs/>
          <w:sz w:val="22"/>
          <w:szCs w:val="22"/>
          <w:u w:val="single"/>
          <w:lang w:val="en-US"/>
        </w:rPr>
      </w:pPr>
      <w:bookmarkStart w:id="57" w:name="_Toc192742834"/>
      <w:r w:rsidRPr="00A26E3C">
        <w:rPr>
          <w:rFonts w:ascii="Calibri" w:hAnsi="Calibri" w:cs="Calibri"/>
          <w:b/>
          <w:bCs/>
          <w:sz w:val="22"/>
          <w:szCs w:val="22"/>
          <w:u w:val="single"/>
          <w:lang w:val="en-US"/>
        </w:rPr>
        <w:t>Reporting and Dissemination</w:t>
      </w:r>
      <w:bookmarkEnd w:id="57"/>
    </w:p>
    <w:p w14:paraId="513B71B5" w14:textId="77777777" w:rsidR="00577D45" w:rsidRPr="00A26E3C" w:rsidRDefault="00577D45" w:rsidP="00A26E3C">
      <w:pPr>
        <w:spacing w:after="120"/>
        <w:jc w:val="both"/>
        <w:rPr>
          <w:rFonts w:ascii="Calibri" w:hAnsi="Calibri" w:cs="Calibri"/>
        </w:rPr>
      </w:pPr>
      <w:r w:rsidRPr="00A26E3C">
        <w:rPr>
          <w:rFonts w:ascii="Calibri" w:hAnsi="Calibri" w:cs="Calibri"/>
          <w:sz w:val="22"/>
          <w:szCs w:val="22"/>
        </w:rPr>
        <w:t>As indicated earlier, the evaluation will maintain a strong utilisation-focused approach to provide and present data that can lead to informed decision-making on future strategic direction, implementation, and management. IFC/DFAT is responsible for the evaluation of all key findings and results. The evaluation supports the joint management approach to the evaluation and will report regular updates to the IFC during data collection.</w:t>
      </w:r>
    </w:p>
    <w:p w14:paraId="7085FF9F" w14:textId="77777777" w:rsidR="00577D45" w:rsidRPr="00A26E3C" w:rsidRDefault="00577D45" w:rsidP="00A26E3C">
      <w:pPr>
        <w:spacing w:after="120"/>
        <w:jc w:val="both"/>
        <w:rPr>
          <w:rFonts w:ascii="Calibri" w:hAnsi="Calibri" w:cs="Calibri"/>
        </w:rPr>
      </w:pPr>
      <w:r w:rsidRPr="00A26E3C">
        <w:rPr>
          <w:rFonts w:ascii="Calibri" w:hAnsi="Calibri" w:cs="Calibri"/>
          <w:sz w:val="22"/>
          <w:szCs w:val="22"/>
        </w:rPr>
        <w:t>A final report will be prepared two weeks after the completion of the data and information collection.  Once the final report is accepted, it will become a public document through existing IFC/DFAT communication and information networks. The evaluation will produce several key deliverables, including:</w:t>
      </w:r>
    </w:p>
    <w:p w14:paraId="5FAC72EB" w14:textId="77777777" w:rsidR="00577D45" w:rsidRPr="00A26E3C" w:rsidRDefault="00577D45" w:rsidP="00D77455">
      <w:pPr>
        <w:pStyle w:val="ListParagraph"/>
        <w:numPr>
          <w:ilvl w:val="0"/>
          <w:numId w:val="14"/>
        </w:numPr>
        <w:spacing w:after="120"/>
        <w:jc w:val="both"/>
        <w:rPr>
          <w:rFonts w:ascii="Calibri" w:hAnsi="Calibri" w:cs="Calibri"/>
        </w:rPr>
      </w:pPr>
      <w:r w:rsidRPr="00A26E3C">
        <w:rPr>
          <w:rFonts w:ascii="Calibri" w:hAnsi="Calibri" w:cs="Calibri"/>
          <w:sz w:val="22"/>
          <w:szCs w:val="22"/>
        </w:rPr>
        <w:t>A final evaluation plan by 21 March 2025 outlining the detailed work plan for conducting the evaluation, a timeframe for completion of each step, an agreed list of resources to be reviewed and analysed, and an outline of the methodology to be used, including key questions.</w:t>
      </w:r>
    </w:p>
    <w:p w14:paraId="75C17A75" w14:textId="77777777" w:rsidR="00577D45" w:rsidRPr="00A26E3C" w:rsidRDefault="00577D45" w:rsidP="00D77455">
      <w:pPr>
        <w:pStyle w:val="ListParagraph"/>
        <w:numPr>
          <w:ilvl w:val="0"/>
          <w:numId w:val="14"/>
        </w:numPr>
        <w:spacing w:after="120"/>
        <w:jc w:val="both"/>
        <w:rPr>
          <w:rFonts w:ascii="Calibri" w:hAnsi="Calibri" w:cs="Calibri"/>
        </w:rPr>
      </w:pPr>
      <w:r w:rsidRPr="00A26E3C">
        <w:rPr>
          <w:rFonts w:ascii="Calibri" w:hAnsi="Calibri" w:cs="Calibri"/>
          <w:sz w:val="22"/>
          <w:szCs w:val="22"/>
        </w:rPr>
        <w:t>Final Stakeholder Workshop and debriefing as required following further consultation with the IFC/DFAT team. It is proposed that the workshop be held after the site visit. The workshop is proposed for 15 April 2025, which will be confirmed with the IFC.</w:t>
      </w:r>
    </w:p>
    <w:p w14:paraId="1A83D996" w14:textId="77777777" w:rsidR="00577D45" w:rsidRPr="00A26E3C" w:rsidRDefault="00577D45" w:rsidP="00D77455">
      <w:pPr>
        <w:pStyle w:val="ListParagraph"/>
        <w:numPr>
          <w:ilvl w:val="0"/>
          <w:numId w:val="14"/>
        </w:numPr>
        <w:spacing w:after="120"/>
        <w:jc w:val="both"/>
        <w:rPr>
          <w:rFonts w:ascii="Calibri" w:hAnsi="Calibri" w:cs="Calibri"/>
        </w:rPr>
      </w:pPr>
      <w:r w:rsidRPr="00A26E3C">
        <w:rPr>
          <w:rFonts w:ascii="Calibri" w:hAnsi="Calibri" w:cs="Calibri"/>
          <w:sz w:val="22"/>
          <w:szCs w:val="22"/>
        </w:rPr>
        <w:t>A final evaluation report that concisely presents the main findings and recommendations concerning the overall objective and key questions outlined in this inception report, incorporating feedback from IFC/DFAT and other relevant stakeholders. The final report will be no more than 20 pages (excluding annexes) and include an executive summary, introduction, background, scope and limitations, and  key findings.  A draft evaluation report will be submitted by 25 April 2025, and the final report will be submitted by 16 May 2025.</w:t>
      </w:r>
    </w:p>
    <w:p w14:paraId="4F3F055D" w14:textId="77777777" w:rsidR="00577D45" w:rsidRPr="00A26E3C" w:rsidRDefault="00577D45" w:rsidP="00A26E3C">
      <w:pPr>
        <w:spacing w:after="120"/>
        <w:jc w:val="both"/>
        <w:rPr>
          <w:rFonts w:ascii="Calibri" w:hAnsi="Calibri" w:cs="Calibri"/>
          <w:b/>
          <w:bCs/>
          <w:sz w:val="22"/>
          <w:szCs w:val="22"/>
          <w:u w:val="single"/>
        </w:rPr>
      </w:pPr>
      <w:bookmarkStart w:id="58" w:name="_Toc192742835"/>
      <w:r w:rsidRPr="00A26E3C">
        <w:rPr>
          <w:rFonts w:ascii="Calibri" w:hAnsi="Calibri" w:cs="Calibri"/>
          <w:b/>
          <w:bCs/>
          <w:sz w:val="22"/>
          <w:szCs w:val="22"/>
          <w:u w:val="single"/>
          <w:lang w:val="en-US"/>
        </w:rPr>
        <w:t>Limitations and Constraints</w:t>
      </w:r>
      <w:bookmarkEnd w:id="58"/>
    </w:p>
    <w:p w14:paraId="3FBDB1A1"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 xml:space="preserve">All evaluations and reviews have limitations in terms of time and resources. Some limitations of this evaluation  are outlined below: </w:t>
      </w:r>
    </w:p>
    <w:p w14:paraId="6B543617"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b/>
          <w:bCs/>
          <w:sz w:val="22"/>
          <w:szCs w:val="22"/>
        </w:rPr>
        <w:t>Time and Resources:</w:t>
      </w:r>
      <w:r w:rsidRPr="00A26E3C">
        <w:rPr>
          <w:rFonts w:ascii="Calibri" w:hAnsi="Calibri" w:cs="Calibri"/>
          <w:sz w:val="22"/>
          <w:szCs w:val="22"/>
        </w:rPr>
        <w:t xml:space="preserve"> the rigour of the data gathering analysis will be constrained to some degree by the time available. The evaluator may not be able to meet with all key stakeholders, particularly for follow-up meetings and discussions. However, the evaluator has worked closely with the IFC and DFAT to identify and select key stakeholders to meet with during the interview process.</w:t>
      </w:r>
    </w:p>
    <w:p w14:paraId="18AC10EF"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b/>
          <w:bCs/>
          <w:sz w:val="22"/>
          <w:szCs w:val="22"/>
        </w:rPr>
        <w:t>Representation of Stakeholders:</w:t>
      </w:r>
      <w:r w:rsidRPr="00A26E3C">
        <w:rPr>
          <w:rFonts w:ascii="Calibri" w:hAnsi="Calibri" w:cs="Calibri"/>
          <w:sz w:val="22"/>
          <w:szCs w:val="22"/>
        </w:rPr>
        <w:t xml:space="preserve"> Many of the stakeholders are quite senior (which is perfectly fine), but care needs to be taken to ensure an adequate and appropriate mix of stakeholders are involved, particularly stakeholders who are involved in day-to-day implementation and management.</w:t>
      </w:r>
    </w:p>
    <w:p w14:paraId="1C126EFA"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b/>
          <w:bCs/>
          <w:sz w:val="22"/>
          <w:szCs w:val="22"/>
        </w:rPr>
        <w:t>Judgements:</w:t>
      </w:r>
      <w:r w:rsidRPr="00A26E3C">
        <w:rPr>
          <w:rFonts w:ascii="Calibri" w:hAnsi="Calibri" w:cs="Calibri"/>
          <w:sz w:val="22"/>
          <w:szCs w:val="22"/>
        </w:rPr>
        <w:t xml:space="preserve"> the time limitations mean that professional judgements must be employed to interpret stakeholder perspectives.</w:t>
      </w:r>
    </w:p>
    <w:p w14:paraId="0A38319C" w14:textId="77777777" w:rsidR="00577D45" w:rsidRPr="00A26E3C" w:rsidRDefault="00577D45" w:rsidP="00A26E3C">
      <w:pPr>
        <w:spacing w:after="120"/>
        <w:jc w:val="both"/>
        <w:rPr>
          <w:rFonts w:ascii="Calibri" w:hAnsi="Calibri" w:cs="Calibri"/>
          <w:sz w:val="22"/>
          <w:szCs w:val="22"/>
          <w:lang w:val="en-AU"/>
        </w:rPr>
      </w:pPr>
      <w:r w:rsidRPr="00A26E3C">
        <w:rPr>
          <w:rFonts w:ascii="Calibri" w:hAnsi="Calibri" w:cs="Calibri"/>
          <w:b/>
          <w:bCs/>
          <w:sz w:val="22"/>
          <w:szCs w:val="22"/>
          <w:lang w:val="en-AU"/>
        </w:rPr>
        <w:t>Attribution:</w:t>
      </w:r>
      <w:r w:rsidRPr="00A26E3C">
        <w:rPr>
          <w:rFonts w:ascii="Calibri" w:hAnsi="Calibri" w:cs="Calibri"/>
          <w:sz w:val="22"/>
          <w:szCs w:val="22"/>
          <w:lang w:val="en-AU"/>
        </w:rPr>
        <w:t xml:space="preserve"> The programme operates in a fluid and dynamic environment, and many factors influence performance and operational efficiency. Defining and identifying specific areas of attribution remains challenging.</w:t>
      </w:r>
    </w:p>
    <w:p w14:paraId="1C5455F0" w14:textId="77777777" w:rsidR="00577D45" w:rsidRDefault="00577D45" w:rsidP="00577D45">
      <w:pPr>
        <w:spacing w:after="120"/>
        <w:jc w:val="both"/>
        <w:rPr>
          <w:rFonts w:ascii="Calibri" w:hAnsi="Calibri" w:cs="Calibri"/>
          <w:b/>
          <w:bCs/>
          <w:sz w:val="22"/>
          <w:szCs w:val="22"/>
          <w:u w:val="single"/>
          <w:lang w:val="en-US"/>
        </w:rPr>
      </w:pPr>
      <w:bookmarkStart w:id="59" w:name="_Toc192742836"/>
    </w:p>
    <w:p w14:paraId="30B2B80C" w14:textId="77777777" w:rsidR="00577D45" w:rsidRDefault="00577D45" w:rsidP="00577D45">
      <w:pPr>
        <w:spacing w:after="120"/>
        <w:jc w:val="both"/>
        <w:rPr>
          <w:rFonts w:ascii="Calibri" w:hAnsi="Calibri" w:cs="Calibri"/>
          <w:b/>
          <w:bCs/>
          <w:sz w:val="22"/>
          <w:szCs w:val="22"/>
          <w:u w:val="single"/>
          <w:lang w:val="en-US"/>
        </w:rPr>
      </w:pPr>
    </w:p>
    <w:p w14:paraId="36872960" w14:textId="77777777" w:rsidR="00577D45" w:rsidRDefault="00577D45" w:rsidP="00577D45">
      <w:pPr>
        <w:spacing w:after="120"/>
        <w:jc w:val="both"/>
        <w:rPr>
          <w:rFonts w:ascii="Calibri" w:hAnsi="Calibri" w:cs="Calibri"/>
          <w:b/>
          <w:bCs/>
          <w:sz w:val="22"/>
          <w:szCs w:val="22"/>
          <w:u w:val="single"/>
          <w:lang w:val="en-US"/>
        </w:rPr>
      </w:pPr>
    </w:p>
    <w:p w14:paraId="28D3D769" w14:textId="3B0128CE" w:rsidR="00577D45" w:rsidRPr="00A26E3C" w:rsidRDefault="00577D45" w:rsidP="00A26E3C">
      <w:pPr>
        <w:spacing w:after="120"/>
        <w:jc w:val="both"/>
        <w:rPr>
          <w:rFonts w:ascii="Calibri" w:hAnsi="Calibri" w:cs="Calibri"/>
          <w:b/>
          <w:bCs/>
          <w:sz w:val="22"/>
          <w:szCs w:val="22"/>
          <w:u w:val="single"/>
        </w:rPr>
      </w:pPr>
      <w:r w:rsidRPr="00A26E3C">
        <w:rPr>
          <w:rFonts w:ascii="Calibri" w:hAnsi="Calibri" w:cs="Calibri"/>
          <w:b/>
          <w:bCs/>
          <w:sz w:val="22"/>
          <w:szCs w:val="22"/>
          <w:u w:val="single"/>
          <w:lang w:val="en-US"/>
        </w:rPr>
        <w:lastRenderedPageBreak/>
        <w:t>Ethical considerations</w:t>
      </w:r>
      <w:bookmarkEnd w:id="59"/>
    </w:p>
    <w:p w14:paraId="61FB914A" w14:textId="77777777" w:rsidR="00577D45" w:rsidRPr="00A26E3C" w:rsidRDefault="00577D45" w:rsidP="00A26E3C">
      <w:pPr>
        <w:spacing w:after="120"/>
        <w:jc w:val="both"/>
        <w:rPr>
          <w:rFonts w:ascii="Calibri" w:hAnsi="Calibri" w:cs="Calibri"/>
          <w:sz w:val="22"/>
          <w:szCs w:val="22"/>
          <w:vertAlign w:val="superscript"/>
        </w:rPr>
      </w:pPr>
      <w:r w:rsidRPr="00A26E3C">
        <w:rPr>
          <w:rFonts w:ascii="Calibri" w:hAnsi="Calibri" w:cs="Calibri"/>
          <w:sz w:val="22"/>
          <w:szCs w:val="22"/>
        </w:rPr>
        <w:t>The evaluation will adhere to the Australian Evaluation Society (AES) 's ethical guidelines for Ethical evaluations and relevant DFAT strategies and policies. Further, the evaluation will consider ethical approaches appropriate to international development settings. This includes:</w:t>
      </w:r>
    </w:p>
    <w:p w14:paraId="0B019BED"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Respect for culture, gender, and diversity: The evaluation will ensure that inquiry procedures are culturally competent and conducted in settings that provide key informants with access and free expression of views. This will be achieved through careful consideration of who would participate in group interviews, such as women only and men only, and appropriate settings for people living with disabilities.</w:t>
      </w:r>
    </w:p>
    <w:p w14:paraId="57C796FB" w14:textId="77777777" w:rsidR="00577D45" w:rsidRPr="00A26E3C" w:rsidRDefault="00577D45" w:rsidP="00A26E3C">
      <w:pPr>
        <w:spacing w:after="120"/>
        <w:jc w:val="both"/>
        <w:rPr>
          <w:rFonts w:ascii="Calibri" w:hAnsi="Calibri" w:cs="Calibri"/>
          <w:sz w:val="22"/>
          <w:szCs w:val="22"/>
        </w:rPr>
      </w:pPr>
      <w:r w:rsidRPr="00A26E3C">
        <w:rPr>
          <w:rFonts w:ascii="Calibri" w:hAnsi="Calibri" w:cs="Calibri"/>
          <w:sz w:val="22"/>
          <w:szCs w:val="22"/>
        </w:rPr>
        <w:t>Protecting the legitimate concerns of both clients and stakeholders: The evaluation will be cognisant of balancing the concerns of the IFC/DFAT – who commissioned the evaluation – with the possibly conflicting perspectives of various stakeholders. In reporting, the views of all interviewees will be anonymous, and confidentiality will be ensured. No views will be traceable to informants unless their permission has been gained. This is particularly important if the interviewees choose to raise politically sensitive topics.</w:t>
      </w:r>
    </w:p>
    <w:p w14:paraId="1EF80AC1" w14:textId="77777777" w:rsidR="00577D45" w:rsidRPr="00A26E3C" w:rsidRDefault="00577D45" w:rsidP="00A26E3C">
      <w:pPr>
        <w:spacing w:after="120"/>
        <w:jc w:val="both"/>
        <w:rPr>
          <w:rFonts w:ascii="Calibri" w:eastAsia="Arial" w:hAnsi="Calibri" w:cs="Calibri"/>
          <w:color w:val="000000" w:themeColor="text1"/>
          <w:sz w:val="22"/>
          <w:szCs w:val="22"/>
        </w:rPr>
      </w:pPr>
      <w:r w:rsidRPr="00A26E3C">
        <w:rPr>
          <w:rFonts w:ascii="Calibri" w:eastAsia="Arial" w:hAnsi="Calibri" w:cs="Calibri"/>
          <w:color w:val="000000" w:themeColor="text1"/>
          <w:sz w:val="22"/>
          <w:szCs w:val="22"/>
        </w:rPr>
        <w:t xml:space="preserve">Ensuring the cultural appropriateness of the evaluation approach: Again, linked to cultural </w:t>
      </w:r>
      <w:r w:rsidRPr="00A26E3C">
        <w:rPr>
          <w:rFonts w:ascii="Calibri" w:hAnsi="Calibri" w:cs="Calibri"/>
          <w:sz w:val="22"/>
          <w:szCs w:val="22"/>
        </w:rPr>
        <w:t>competence</w:t>
      </w:r>
      <w:r w:rsidRPr="00A26E3C">
        <w:rPr>
          <w:rFonts w:ascii="Calibri" w:eastAsia="Arial" w:hAnsi="Calibri" w:cs="Calibri"/>
          <w:color w:val="000000" w:themeColor="text1"/>
          <w:sz w:val="22"/>
          <w:szCs w:val="22"/>
        </w:rPr>
        <w:t>, this is about tailoring methods to suit the cultural situation.</w:t>
      </w:r>
    </w:p>
    <w:p w14:paraId="2CC15359" w14:textId="77777777" w:rsidR="00577D45" w:rsidRPr="00A26E3C" w:rsidRDefault="00577D45" w:rsidP="00A26E3C">
      <w:pPr>
        <w:spacing w:after="120"/>
        <w:jc w:val="both"/>
        <w:rPr>
          <w:rFonts w:ascii="Calibri" w:eastAsia="Arial" w:hAnsi="Calibri" w:cs="Calibri"/>
          <w:color w:val="000000" w:themeColor="text1"/>
          <w:sz w:val="22"/>
          <w:szCs w:val="22"/>
        </w:rPr>
      </w:pPr>
      <w:r w:rsidRPr="00A26E3C">
        <w:rPr>
          <w:rFonts w:ascii="Calibri" w:eastAsia="Arial" w:hAnsi="Calibri" w:cs="Calibri"/>
          <w:color w:val="000000" w:themeColor="text1"/>
          <w:sz w:val="22"/>
          <w:szCs w:val="22"/>
        </w:rPr>
        <w:t xml:space="preserve">Dissemination of information on final evaluation methods, findings, and proposed actions: The evaluation will take all possible actions within its control to ensure that key </w:t>
      </w:r>
      <w:r w:rsidRPr="00A26E3C">
        <w:rPr>
          <w:rFonts w:ascii="Calibri" w:hAnsi="Calibri" w:cs="Calibri"/>
          <w:sz w:val="22"/>
          <w:szCs w:val="22"/>
        </w:rPr>
        <w:t>informants</w:t>
      </w:r>
      <w:r w:rsidRPr="00A26E3C">
        <w:rPr>
          <w:rFonts w:ascii="Calibri" w:eastAsia="Arial" w:hAnsi="Calibri" w:cs="Calibri"/>
          <w:color w:val="000000" w:themeColor="text1"/>
          <w:sz w:val="22"/>
          <w:szCs w:val="22"/>
        </w:rPr>
        <w:t xml:space="preserve"> are well informed prior to their interviews about their likely evaluation experience and the evaluation's intent. If the intention is that the report will not be made public or available to them, this should be communicated to them before the interview.</w:t>
      </w:r>
    </w:p>
    <w:p w14:paraId="0FA750E1" w14:textId="77777777" w:rsidR="00577D45" w:rsidRPr="00A26E3C" w:rsidRDefault="00577D45" w:rsidP="00A26E3C">
      <w:pPr>
        <w:spacing w:after="120"/>
        <w:jc w:val="both"/>
        <w:rPr>
          <w:rFonts w:ascii="Calibri" w:eastAsia="Arial" w:hAnsi="Calibri" w:cs="Calibri"/>
          <w:color w:val="000000" w:themeColor="text1"/>
          <w:sz w:val="22"/>
          <w:szCs w:val="22"/>
        </w:rPr>
      </w:pPr>
      <w:r w:rsidRPr="00A26E3C">
        <w:rPr>
          <w:rFonts w:ascii="Calibri" w:eastAsia="Arial" w:hAnsi="Calibri" w:cs="Calibri"/>
          <w:color w:val="000000" w:themeColor="text1"/>
          <w:sz w:val="22"/>
          <w:szCs w:val="22"/>
        </w:rPr>
        <w:t xml:space="preserve">Meeting the needs of different stakeholders and the public: The evaluation will </w:t>
      </w:r>
      <w:r w:rsidRPr="00A26E3C">
        <w:rPr>
          <w:rFonts w:ascii="Calibri" w:hAnsi="Calibri" w:cs="Calibri"/>
          <w:sz w:val="22"/>
          <w:szCs w:val="22"/>
        </w:rPr>
        <w:t>ensure</w:t>
      </w:r>
      <w:r w:rsidRPr="00A26E3C">
        <w:rPr>
          <w:rFonts w:ascii="Calibri" w:eastAsia="Arial" w:hAnsi="Calibri" w:cs="Calibri"/>
          <w:color w:val="000000" w:themeColor="text1"/>
          <w:sz w:val="22"/>
          <w:szCs w:val="22"/>
        </w:rPr>
        <w:t xml:space="preserve"> that the final evaluation is useful for all development partners.</w:t>
      </w:r>
    </w:p>
    <w:p w14:paraId="20D68F86" w14:textId="77777777" w:rsidR="00577D45" w:rsidRPr="00A26E3C" w:rsidRDefault="00577D45" w:rsidP="00A26E3C">
      <w:pPr>
        <w:spacing w:after="120"/>
        <w:jc w:val="both"/>
        <w:rPr>
          <w:rFonts w:ascii="Calibri" w:eastAsia="Arial" w:hAnsi="Calibri" w:cs="Calibri"/>
          <w:color w:val="000000" w:themeColor="text1"/>
          <w:sz w:val="22"/>
          <w:szCs w:val="22"/>
        </w:rPr>
      </w:pPr>
      <w:r w:rsidRPr="00A26E3C">
        <w:rPr>
          <w:rFonts w:ascii="Calibri" w:eastAsia="Arial" w:hAnsi="Calibri" w:cs="Calibri"/>
          <w:color w:val="000000" w:themeColor="text1"/>
          <w:sz w:val="22"/>
          <w:szCs w:val="22"/>
        </w:rPr>
        <w:t>Transparency, confidentiality and informed consent: The evaluation will seek to communicate the purpose and overall strategic intent and focus clearly. Before consultations, informants will be asked for explicit verbal consent after explaining the purpose and process. All informant data will be kept confidential to the evaluation, and efforts will be made to keep specific opinions anonymous at the reporting stage unless informants specifically state that opinions are ‘on the record’.</w:t>
      </w:r>
    </w:p>
    <w:p w14:paraId="624CBB9A" w14:textId="77777777" w:rsidR="00577D45" w:rsidRPr="00A26E3C" w:rsidRDefault="00577D45" w:rsidP="00A26E3C">
      <w:pPr>
        <w:spacing w:after="120"/>
        <w:jc w:val="both"/>
        <w:rPr>
          <w:rFonts w:ascii="Calibri" w:eastAsia="Arial" w:hAnsi="Calibri" w:cs="Calibri"/>
          <w:color w:val="000000" w:themeColor="text1"/>
          <w:sz w:val="22"/>
          <w:szCs w:val="22"/>
        </w:rPr>
      </w:pPr>
      <w:r w:rsidRPr="00A26E3C">
        <w:rPr>
          <w:rFonts w:ascii="Calibri" w:eastAsia="Arial" w:hAnsi="Calibri" w:cs="Calibri"/>
          <w:color w:val="000000" w:themeColor="text1"/>
          <w:sz w:val="22"/>
          <w:szCs w:val="22"/>
        </w:rPr>
        <w:t xml:space="preserve">Safeguarding of the evaluation team and stakeholders during the evaluation process: The evaluation will follow DFAT’s policies on safeguarding, ensuring that team </w:t>
      </w:r>
      <w:r w:rsidRPr="00A26E3C">
        <w:rPr>
          <w:rFonts w:ascii="Calibri" w:hAnsi="Calibri" w:cs="Calibri"/>
          <w:sz w:val="22"/>
          <w:szCs w:val="22"/>
        </w:rPr>
        <w:t>members</w:t>
      </w:r>
      <w:r w:rsidRPr="00A26E3C">
        <w:rPr>
          <w:rFonts w:ascii="Calibri" w:eastAsia="Arial" w:hAnsi="Calibri" w:cs="Calibri"/>
          <w:color w:val="000000" w:themeColor="text1"/>
          <w:sz w:val="22"/>
          <w:szCs w:val="22"/>
        </w:rPr>
        <w:t xml:space="preserve"> understand their responsibilities for safeguarding themselves and each other and stakeholders during the evaluation process.</w:t>
      </w:r>
    </w:p>
    <w:p w14:paraId="34C5FE6E" w14:textId="77777777" w:rsidR="00577D45" w:rsidRPr="00A26E3C" w:rsidRDefault="00577D45" w:rsidP="00A26E3C">
      <w:pPr>
        <w:spacing w:after="120"/>
        <w:jc w:val="both"/>
        <w:rPr>
          <w:rFonts w:ascii="Calibri" w:hAnsi="Calibri" w:cs="Calibri"/>
          <w:b/>
          <w:bCs/>
          <w:sz w:val="22"/>
          <w:szCs w:val="22"/>
          <w:u w:val="single"/>
        </w:rPr>
      </w:pPr>
      <w:bookmarkStart w:id="60" w:name="_Toc192742837"/>
      <w:r w:rsidRPr="00A26E3C">
        <w:rPr>
          <w:rFonts w:ascii="Calibri" w:hAnsi="Calibri" w:cs="Calibri"/>
          <w:b/>
          <w:bCs/>
          <w:sz w:val="22"/>
          <w:szCs w:val="22"/>
          <w:u w:val="single"/>
          <w:lang w:val="en-US"/>
        </w:rPr>
        <w:t>Evaluation Risks</w:t>
      </w:r>
      <w:bookmarkEnd w:id="60"/>
    </w:p>
    <w:p w14:paraId="2ABE82A0" w14:textId="77777777" w:rsidR="00577D45" w:rsidRPr="00A26E3C" w:rsidRDefault="00577D45" w:rsidP="00577D45">
      <w:pPr>
        <w:spacing w:after="120"/>
        <w:jc w:val="both"/>
        <w:rPr>
          <w:rFonts w:ascii="Calibri" w:hAnsi="Calibri" w:cs="Calibri"/>
          <w:sz w:val="22"/>
          <w:szCs w:val="22"/>
          <w:lang w:val="en-GB"/>
        </w:rPr>
      </w:pPr>
      <w:r w:rsidRPr="00A26E3C">
        <w:rPr>
          <w:rFonts w:ascii="Calibri" w:hAnsi="Calibri" w:cs="Calibri"/>
          <w:sz w:val="22"/>
          <w:szCs w:val="22"/>
          <w:lang w:val="en-GB"/>
        </w:rPr>
        <w:t>The final evaluation acknowledges and is committed to complying with DFAT’s Risk Policy and Environment and Social Safeguard Policy. In line with MCI’s internal requirements, an initial risk assessment has been conducted for this assignment. This assessment will be reviewed and updated periodically throughout the evaluation process to monitor mitigation measures' effectiveness and minimise overall risk. Any emerging concerns will be promptly communicated to DFAT to ensure timely and collaborative resolution.</w:t>
      </w:r>
    </w:p>
    <w:p w14:paraId="69A60499" w14:textId="77777777" w:rsidR="00577D45" w:rsidRDefault="00577D45" w:rsidP="00577D45">
      <w:pPr>
        <w:spacing w:after="120"/>
        <w:jc w:val="both"/>
        <w:rPr>
          <w:rFonts w:ascii="Calibri" w:hAnsi="Calibri" w:cs="Calibri"/>
          <w:sz w:val="22"/>
          <w:szCs w:val="22"/>
          <w:lang w:val="en-GB"/>
        </w:rPr>
      </w:pPr>
      <w:r w:rsidRPr="00A26E3C">
        <w:rPr>
          <w:rFonts w:ascii="Calibri" w:hAnsi="Calibri" w:cs="Calibri"/>
          <w:sz w:val="22"/>
          <w:szCs w:val="22"/>
          <w:lang w:val="en-GB"/>
        </w:rPr>
        <w:t>The table below presents the identified risks, their potential impacts, and the corresponding mitigation strategies.</w:t>
      </w:r>
    </w:p>
    <w:p w14:paraId="77CBC04F" w14:textId="77777777" w:rsidR="00577D45" w:rsidRDefault="00577D45" w:rsidP="00577D45">
      <w:pPr>
        <w:spacing w:after="120"/>
        <w:jc w:val="both"/>
        <w:rPr>
          <w:rFonts w:ascii="Calibri" w:hAnsi="Calibri" w:cs="Calibri"/>
          <w:sz w:val="22"/>
          <w:szCs w:val="22"/>
          <w:lang w:val="en-GB"/>
        </w:rPr>
      </w:pPr>
    </w:p>
    <w:p w14:paraId="0E46CE06" w14:textId="77777777" w:rsidR="00577D45" w:rsidRDefault="00577D45" w:rsidP="00577D45">
      <w:pPr>
        <w:spacing w:after="120"/>
        <w:jc w:val="both"/>
        <w:rPr>
          <w:rFonts w:ascii="Calibri" w:hAnsi="Calibri" w:cs="Calibri"/>
          <w:sz w:val="22"/>
          <w:szCs w:val="22"/>
          <w:lang w:val="en-GB"/>
        </w:rPr>
      </w:pPr>
    </w:p>
    <w:p w14:paraId="7D8F7AC6" w14:textId="77777777" w:rsidR="00577D45" w:rsidRPr="00A26E3C" w:rsidRDefault="00577D45" w:rsidP="00577D45">
      <w:pPr>
        <w:spacing w:after="120"/>
        <w:jc w:val="both"/>
        <w:rPr>
          <w:rFonts w:ascii="Calibri" w:hAnsi="Calibri" w:cs="Calibri"/>
          <w:sz w:val="22"/>
          <w:szCs w:val="22"/>
          <w:lang w:val="en-GB"/>
        </w:rPr>
      </w:pPr>
    </w:p>
    <w:p w14:paraId="210B3E92" w14:textId="77777777" w:rsidR="00577D45" w:rsidRPr="00A26E3C" w:rsidRDefault="00577D45" w:rsidP="00A26E3C">
      <w:pPr>
        <w:rPr>
          <w:rFonts w:ascii="Calibri" w:hAnsi="Calibri" w:cs="Calibri"/>
          <w:b/>
          <w:bCs/>
          <w:i/>
          <w:iCs/>
          <w:sz w:val="22"/>
          <w:szCs w:val="22"/>
        </w:rPr>
      </w:pPr>
      <w:r w:rsidRPr="00A26E3C">
        <w:rPr>
          <w:rFonts w:ascii="Calibri" w:hAnsi="Calibri" w:cs="Calibri"/>
          <w:b/>
          <w:bCs/>
          <w:i/>
          <w:iCs/>
          <w:sz w:val="22"/>
          <w:szCs w:val="22"/>
        </w:rPr>
        <w:lastRenderedPageBreak/>
        <w:t>Risks, impact and mitigation strategies</w:t>
      </w:r>
    </w:p>
    <w:tbl>
      <w:tblPr>
        <w:tblStyle w:val="TableGrid"/>
        <w:tblW w:w="0" w:type="auto"/>
        <w:tblLook w:val="04A0" w:firstRow="1" w:lastRow="0" w:firstColumn="1" w:lastColumn="0" w:noHBand="0" w:noVBand="1"/>
      </w:tblPr>
      <w:tblGrid>
        <w:gridCol w:w="2335"/>
        <w:gridCol w:w="2340"/>
        <w:gridCol w:w="4675"/>
      </w:tblGrid>
      <w:tr w:rsidR="00577D45" w:rsidRPr="00577D45" w14:paraId="426AC426" w14:textId="77777777" w:rsidTr="00B93E5F">
        <w:tc>
          <w:tcPr>
            <w:tcW w:w="2335" w:type="dxa"/>
            <w:shd w:val="clear" w:color="auto" w:fill="CAEDFB" w:themeFill="accent4" w:themeFillTint="33"/>
          </w:tcPr>
          <w:p w14:paraId="476C2A79"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Risk</w:t>
            </w:r>
          </w:p>
        </w:tc>
        <w:tc>
          <w:tcPr>
            <w:tcW w:w="2340" w:type="dxa"/>
            <w:shd w:val="clear" w:color="auto" w:fill="CAEDFB" w:themeFill="accent4" w:themeFillTint="33"/>
          </w:tcPr>
          <w:p w14:paraId="1BA65015"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Impact</w:t>
            </w:r>
          </w:p>
        </w:tc>
        <w:tc>
          <w:tcPr>
            <w:tcW w:w="4675" w:type="dxa"/>
            <w:shd w:val="clear" w:color="auto" w:fill="CAEDFB" w:themeFill="accent4" w:themeFillTint="33"/>
          </w:tcPr>
          <w:p w14:paraId="565AED3A"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Mitigation strategy</w:t>
            </w:r>
          </w:p>
        </w:tc>
      </w:tr>
      <w:tr w:rsidR="00577D45" w:rsidRPr="00577D45" w14:paraId="08960462" w14:textId="77777777" w:rsidTr="00B93E5F">
        <w:tc>
          <w:tcPr>
            <w:tcW w:w="2335" w:type="dxa"/>
          </w:tcPr>
          <w:p w14:paraId="6494420F"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Stakeholders not properly mapped, leading to exclusion of key individuals or groups</w:t>
            </w:r>
          </w:p>
        </w:tc>
        <w:tc>
          <w:tcPr>
            <w:tcW w:w="2340" w:type="dxa"/>
          </w:tcPr>
          <w:p w14:paraId="26B71C48"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Important perspectives are missed, resulting in incomplete or skewed findings</w:t>
            </w:r>
          </w:p>
        </w:tc>
        <w:tc>
          <w:tcPr>
            <w:tcW w:w="4675" w:type="dxa"/>
          </w:tcPr>
          <w:p w14:paraId="59C4C009"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Consult with IFC/ DFAT and local partners to validate the stakeholder list and identify additional participants</w:t>
            </w:r>
          </w:p>
          <w:p w14:paraId="6C07F6DA"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Use a “snowballing method” to identify overlooked stakeholders</w:t>
            </w:r>
          </w:p>
        </w:tc>
      </w:tr>
      <w:tr w:rsidR="00577D45" w:rsidRPr="00577D45" w14:paraId="4BF2F2C0" w14:textId="77777777" w:rsidTr="00B93E5F">
        <w:tc>
          <w:tcPr>
            <w:tcW w:w="2335" w:type="dxa"/>
          </w:tcPr>
          <w:p w14:paraId="7E32C863"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Inability to include all planned stakeholders in consultations due to their unavailability, lack of willingness to participate, or logistical constraints</w:t>
            </w:r>
          </w:p>
        </w:tc>
        <w:tc>
          <w:tcPr>
            <w:tcW w:w="2340" w:type="dxa"/>
          </w:tcPr>
          <w:p w14:paraId="7D3E8548"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Reduced credibility and stakeholder ownership of findings</w:t>
            </w:r>
          </w:p>
        </w:tc>
        <w:tc>
          <w:tcPr>
            <w:tcW w:w="4675" w:type="dxa"/>
          </w:tcPr>
          <w:p w14:paraId="628C1D01"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Consult with IFC on scheduling and timetables. Use virtual interviews, or asynchronous methods to reach unavailable stakeholders</w:t>
            </w:r>
          </w:p>
          <w:p w14:paraId="3441A753"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Leverage secondary data sources (e.g., reports, meeting minutes) to gather missing insights and triangulate findings.</w:t>
            </w:r>
          </w:p>
          <w:p w14:paraId="55BCED93"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Document and transparently report any limitations in stakeholder representation</w:t>
            </w:r>
          </w:p>
        </w:tc>
      </w:tr>
      <w:tr w:rsidR="00577D45" w:rsidRPr="00577D45" w14:paraId="4AF84A2E" w14:textId="77777777" w:rsidTr="00B93E5F">
        <w:tc>
          <w:tcPr>
            <w:tcW w:w="2335" w:type="dxa"/>
          </w:tcPr>
          <w:p w14:paraId="42577B21"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Stakeholders may withhold critical feedback or provide overly positive responses due to concerns that the evaluation may influence funding or reflect poorly on them or their organisation</w:t>
            </w:r>
          </w:p>
        </w:tc>
        <w:tc>
          <w:tcPr>
            <w:tcW w:w="2340" w:type="dxa"/>
          </w:tcPr>
          <w:p w14:paraId="311B707D"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Biased findings due to incomplete or overly favourable input</w:t>
            </w:r>
          </w:p>
          <w:p w14:paraId="04B73A8A"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Missed insights into challenges and unintended consequences</w:t>
            </w:r>
          </w:p>
        </w:tc>
        <w:tc>
          <w:tcPr>
            <w:tcW w:w="4675" w:type="dxa"/>
          </w:tcPr>
          <w:p w14:paraId="044D6C6B"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Clearly communicate that the evaluation is for learning and improvement, not funding decisions or assigning blame</w:t>
            </w:r>
          </w:p>
          <w:p w14:paraId="294505C3"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Facilitate discussions in informal or neutral settings and offer opportunities for private or anonymous feedback</w:t>
            </w:r>
          </w:p>
          <w:p w14:paraId="57FAC8DA"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Balance IFC/DFAT presence to ensure alignment with priorities while promoting open dialogue</w:t>
            </w:r>
          </w:p>
        </w:tc>
      </w:tr>
      <w:tr w:rsidR="00577D45" w:rsidRPr="00577D45" w14:paraId="1A83693C" w14:textId="77777777" w:rsidTr="00B93E5F">
        <w:tc>
          <w:tcPr>
            <w:tcW w:w="2335" w:type="dxa"/>
          </w:tcPr>
          <w:p w14:paraId="3242B1A3"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Evaluation report does not meet quality standards</w:t>
            </w:r>
          </w:p>
        </w:tc>
        <w:tc>
          <w:tcPr>
            <w:tcW w:w="2340" w:type="dxa"/>
          </w:tcPr>
          <w:p w14:paraId="43A57569"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Reduced credibility of the evaluation findings and recommendations</w:t>
            </w:r>
          </w:p>
          <w:p w14:paraId="3D9603A7"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Diminished stakeholder trust in the evaluation outcomes</w:t>
            </w:r>
          </w:p>
        </w:tc>
        <w:tc>
          <w:tcPr>
            <w:tcW w:w="4675" w:type="dxa"/>
          </w:tcPr>
          <w:p w14:paraId="3F16F496"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Include an informal and formal DFAT review of the draft report to incorporate detailed feedback</w:t>
            </w:r>
          </w:p>
          <w:p w14:paraId="6EB1ECF1"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Use Alinea International’s internal quality assurance process, involving an external team member for an independent review</w:t>
            </w:r>
          </w:p>
          <w:p w14:paraId="3ADBBA35" w14:textId="77777777" w:rsidR="00577D45" w:rsidRPr="00A26E3C" w:rsidRDefault="00577D45" w:rsidP="00577D45">
            <w:pPr>
              <w:rPr>
                <w:rFonts w:ascii="Calibri" w:hAnsi="Calibri" w:cs="Calibri"/>
                <w:sz w:val="18"/>
                <w:szCs w:val="18"/>
                <w:lang w:val="en-GB"/>
              </w:rPr>
            </w:pPr>
            <w:r w:rsidRPr="00A26E3C">
              <w:rPr>
                <w:rFonts w:ascii="Calibri" w:hAnsi="Calibri" w:cs="Calibri"/>
                <w:sz w:val="18"/>
                <w:szCs w:val="18"/>
                <w:lang w:val="en-GB"/>
              </w:rPr>
              <w:t>Allocate sufficient time in the work plan for multiple rounds of quality assurance and revision</w:t>
            </w:r>
          </w:p>
        </w:tc>
      </w:tr>
    </w:tbl>
    <w:p w14:paraId="105D1B25" w14:textId="77777777" w:rsidR="00577D45" w:rsidRPr="00A26E3C" w:rsidRDefault="00577D45" w:rsidP="00577D45">
      <w:pPr>
        <w:rPr>
          <w:rFonts w:ascii="Calibri" w:hAnsi="Calibri" w:cs="Calibri"/>
          <w:sz w:val="22"/>
          <w:szCs w:val="22"/>
          <w:lang w:val="en-US"/>
        </w:rPr>
      </w:pPr>
    </w:p>
    <w:p w14:paraId="5EE7187B" w14:textId="77777777" w:rsidR="00577D45" w:rsidRPr="00A26E3C" w:rsidRDefault="00577D45" w:rsidP="00A26E3C">
      <w:pPr>
        <w:rPr>
          <w:rFonts w:ascii="Calibri" w:hAnsi="Calibri" w:cs="Calibri"/>
          <w:b/>
          <w:bCs/>
          <w:sz w:val="22"/>
          <w:szCs w:val="22"/>
          <w:u w:val="single"/>
        </w:rPr>
      </w:pPr>
      <w:bookmarkStart w:id="61" w:name="_Toc192742838"/>
      <w:r w:rsidRPr="00A26E3C">
        <w:rPr>
          <w:rFonts w:ascii="Calibri" w:hAnsi="Calibri" w:cs="Calibri"/>
          <w:b/>
          <w:bCs/>
          <w:sz w:val="22"/>
          <w:szCs w:val="22"/>
          <w:u w:val="single"/>
          <w:lang w:val="en-US"/>
        </w:rPr>
        <w:t>Workplan and Deliverables</w:t>
      </w:r>
      <w:bookmarkEnd w:id="61"/>
    </w:p>
    <w:p w14:paraId="62A30FCE" w14:textId="77777777" w:rsidR="00577D45" w:rsidRPr="00A26E3C" w:rsidRDefault="00577D45" w:rsidP="00A26E3C">
      <w:pPr>
        <w:rPr>
          <w:rFonts w:ascii="Calibri" w:hAnsi="Calibri" w:cs="Calibri"/>
          <w:sz w:val="22"/>
          <w:szCs w:val="22"/>
          <w:lang w:val="en-US"/>
        </w:rPr>
      </w:pPr>
      <w:r w:rsidRPr="00A26E3C">
        <w:rPr>
          <w:rFonts w:ascii="Calibri" w:hAnsi="Calibri" w:cs="Calibri"/>
          <w:sz w:val="22"/>
          <w:szCs w:val="22"/>
          <w:lang w:val="en-US"/>
        </w:rPr>
        <w:t>The following table highlights the work plan and key deliverables.</w:t>
      </w:r>
    </w:p>
    <w:tbl>
      <w:tblPr>
        <w:tblStyle w:val="TableGrid"/>
        <w:tblW w:w="5150" w:type="pct"/>
        <w:tblInd w:w="-185" w:type="dxa"/>
        <w:tblLook w:val="04A0" w:firstRow="1" w:lastRow="0" w:firstColumn="1" w:lastColumn="0" w:noHBand="0" w:noVBand="1"/>
      </w:tblPr>
      <w:tblGrid>
        <w:gridCol w:w="1982"/>
        <w:gridCol w:w="506"/>
        <w:gridCol w:w="503"/>
        <w:gridCol w:w="506"/>
        <w:gridCol w:w="503"/>
        <w:gridCol w:w="506"/>
        <w:gridCol w:w="503"/>
        <w:gridCol w:w="506"/>
        <w:gridCol w:w="506"/>
        <w:gridCol w:w="506"/>
        <w:gridCol w:w="583"/>
        <w:gridCol w:w="583"/>
        <w:gridCol w:w="583"/>
        <w:gridCol w:w="583"/>
        <w:gridCol w:w="772"/>
      </w:tblGrid>
      <w:tr w:rsidR="00577D45" w:rsidRPr="00577D45" w14:paraId="6209E10D" w14:textId="77777777" w:rsidTr="00B93E5F">
        <w:tc>
          <w:tcPr>
            <w:tcW w:w="1981" w:type="dxa"/>
            <w:vMerge w:val="restart"/>
            <w:shd w:val="clear" w:color="auto" w:fill="CAEDFB" w:themeFill="accent4" w:themeFillTint="33"/>
          </w:tcPr>
          <w:p w14:paraId="24A24BF9" w14:textId="77777777" w:rsidR="00577D45" w:rsidRPr="00317C9E" w:rsidRDefault="00577D45" w:rsidP="00A26E3C">
            <w:pPr>
              <w:rPr>
                <w:rFonts w:ascii="Calibri" w:hAnsi="Calibri" w:cs="Calibri"/>
                <w:b/>
                <w:bCs/>
                <w:sz w:val="18"/>
                <w:szCs w:val="18"/>
                <w:lang w:val="en-GB"/>
              </w:rPr>
            </w:pPr>
            <w:r w:rsidRPr="00317C9E">
              <w:rPr>
                <w:rFonts w:ascii="Calibri" w:hAnsi="Calibri" w:cs="Calibri"/>
                <w:b/>
                <w:bCs/>
                <w:sz w:val="18"/>
                <w:szCs w:val="18"/>
                <w:lang w:val="en-GB"/>
              </w:rPr>
              <w:t>Activity</w:t>
            </w:r>
          </w:p>
        </w:tc>
        <w:tc>
          <w:tcPr>
            <w:tcW w:w="506" w:type="dxa"/>
            <w:shd w:val="clear" w:color="auto" w:fill="CAEDFB" w:themeFill="accent4" w:themeFillTint="33"/>
          </w:tcPr>
          <w:p w14:paraId="014945C9" w14:textId="77777777" w:rsidR="00577D45" w:rsidRPr="00A26E3C" w:rsidRDefault="00577D45" w:rsidP="00317C9E">
            <w:pPr>
              <w:jc w:val="center"/>
              <w:rPr>
                <w:rFonts w:ascii="Calibri" w:hAnsi="Calibri" w:cs="Calibri"/>
                <w:sz w:val="18"/>
                <w:szCs w:val="18"/>
                <w:lang w:val="en-GB"/>
              </w:rPr>
            </w:pPr>
            <w:r w:rsidRPr="00A26E3C">
              <w:rPr>
                <w:rFonts w:ascii="Calibri" w:hAnsi="Calibri" w:cs="Calibri"/>
                <w:sz w:val="18"/>
                <w:szCs w:val="18"/>
                <w:lang w:val="en-GB"/>
              </w:rPr>
              <w:t>D</w:t>
            </w:r>
          </w:p>
        </w:tc>
        <w:tc>
          <w:tcPr>
            <w:tcW w:w="2521" w:type="dxa"/>
            <w:gridSpan w:val="5"/>
            <w:shd w:val="clear" w:color="auto" w:fill="CAEDFB" w:themeFill="accent4" w:themeFillTint="33"/>
          </w:tcPr>
          <w:p w14:paraId="7306D794" w14:textId="77777777" w:rsidR="00577D45" w:rsidRPr="00317C9E" w:rsidRDefault="00577D45" w:rsidP="00BE7936">
            <w:pPr>
              <w:jc w:val="center"/>
              <w:rPr>
                <w:rFonts w:ascii="Calibri" w:hAnsi="Calibri" w:cs="Calibri"/>
                <w:b/>
                <w:bCs/>
                <w:sz w:val="18"/>
                <w:szCs w:val="18"/>
                <w:lang w:val="en-GB"/>
              </w:rPr>
            </w:pPr>
            <w:r w:rsidRPr="00317C9E">
              <w:rPr>
                <w:rFonts w:ascii="Calibri" w:hAnsi="Calibri" w:cs="Calibri"/>
                <w:b/>
                <w:bCs/>
                <w:sz w:val="18"/>
                <w:szCs w:val="18"/>
                <w:lang w:val="en-GB"/>
              </w:rPr>
              <w:t>March 2025</w:t>
            </w:r>
          </w:p>
        </w:tc>
        <w:tc>
          <w:tcPr>
            <w:tcW w:w="2101" w:type="dxa"/>
            <w:gridSpan w:val="4"/>
            <w:shd w:val="clear" w:color="auto" w:fill="CAEDFB" w:themeFill="accent4" w:themeFillTint="33"/>
          </w:tcPr>
          <w:p w14:paraId="6889455F" w14:textId="77777777" w:rsidR="00577D45" w:rsidRPr="00317C9E" w:rsidRDefault="00577D45" w:rsidP="00BE7936">
            <w:pPr>
              <w:jc w:val="center"/>
              <w:rPr>
                <w:rFonts w:ascii="Calibri" w:hAnsi="Calibri" w:cs="Calibri"/>
                <w:b/>
                <w:bCs/>
                <w:sz w:val="18"/>
                <w:szCs w:val="18"/>
                <w:lang w:val="en-GB"/>
              </w:rPr>
            </w:pPr>
            <w:r w:rsidRPr="00317C9E">
              <w:rPr>
                <w:rFonts w:ascii="Calibri" w:hAnsi="Calibri" w:cs="Calibri"/>
                <w:b/>
                <w:bCs/>
                <w:sz w:val="18"/>
                <w:szCs w:val="18"/>
                <w:lang w:val="en-GB"/>
              </w:rPr>
              <w:t>April 2025</w:t>
            </w:r>
          </w:p>
        </w:tc>
        <w:tc>
          <w:tcPr>
            <w:tcW w:w="2521" w:type="dxa"/>
            <w:gridSpan w:val="4"/>
            <w:shd w:val="clear" w:color="auto" w:fill="CAEDFB" w:themeFill="accent4" w:themeFillTint="33"/>
          </w:tcPr>
          <w:p w14:paraId="7537356F" w14:textId="77777777" w:rsidR="00577D45" w:rsidRPr="00317C9E" w:rsidRDefault="00577D45" w:rsidP="00BE7936">
            <w:pPr>
              <w:jc w:val="center"/>
              <w:rPr>
                <w:rFonts w:ascii="Calibri" w:hAnsi="Calibri" w:cs="Calibri"/>
                <w:b/>
                <w:bCs/>
                <w:sz w:val="18"/>
                <w:szCs w:val="18"/>
                <w:lang w:val="en-GB"/>
              </w:rPr>
            </w:pPr>
            <w:r w:rsidRPr="00317C9E">
              <w:rPr>
                <w:rFonts w:ascii="Calibri" w:hAnsi="Calibri" w:cs="Calibri"/>
                <w:b/>
                <w:bCs/>
                <w:sz w:val="18"/>
                <w:szCs w:val="18"/>
                <w:lang w:val="en-GB"/>
              </w:rPr>
              <w:t>May 2025</w:t>
            </w:r>
          </w:p>
        </w:tc>
      </w:tr>
      <w:tr w:rsidR="00577D45" w:rsidRPr="00577D45" w14:paraId="4140D051" w14:textId="77777777" w:rsidTr="00B93E5F">
        <w:tc>
          <w:tcPr>
            <w:tcW w:w="1981" w:type="dxa"/>
            <w:vMerge/>
            <w:tcBorders>
              <w:bottom w:val="single" w:sz="4" w:space="0" w:color="auto"/>
            </w:tcBorders>
            <w:shd w:val="clear" w:color="auto" w:fill="CAEDFB" w:themeFill="accent4" w:themeFillTint="33"/>
          </w:tcPr>
          <w:p w14:paraId="300BA7FC" w14:textId="77777777" w:rsidR="00577D45" w:rsidRPr="00A26E3C" w:rsidRDefault="00577D45" w:rsidP="00A26E3C">
            <w:pPr>
              <w:rPr>
                <w:rFonts w:ascii="Calibri" w:hAnsi="Calibri" w:cs="Calibri"/>
                <w:sz w:val="18"/>
                <w:szCs w:val="18"/>
                <w:lang w:val="en-GB"/>
              </w:rPr>
            </w:pPr>
          </w:p>
        </w:tc>
        <w:tc>
          <w:tcPr>
            <w:tcW w:w="506" w:type="dxa"/>
            <w:tcBorders>
              <w:bottom w:val="single" w:sz="4" w:space="0" w:color="auto"/>
            </w:tcBorders>
            <w:shd w:val="clear" w:color="auto" w:fill="CAEDFB" w:themeFill="accent4" w:themeFillTint="33"/>
          </w:tcPr>
          <w:p w14:paraId="4A38367A" w14:textId="77777777" w:rsidR="00577D45" w:rsidRPr="00A26E3C" w:rsidRDefault="00577D45" w:rsidP="00317C9E">
            <w:pPr>
              <w:jc w:val="center"/>
              <w:rPr>
                <w:rFonts w:ascii="Calibri" w:hAnsi="Calibri" w:cs="Calibri"/>
                <w:sz w:val="18"/>
                <w:szCs w:val="18"/>
                <w:lang w:val="en-GB"/>
              </w:rPr>
            </w:pPr>
            <w:r w:rsidRPr="00A26E3C">
              <w:rPr>
                <w:rFonts w:ascii="Calibri" w:hAnsi="Calibri" w:cs="Calibri"/>
                <w:sz w:val="18"/>
                <w:szCs w:val="18"/>
                <w:lang w:val="en-GB"/>
              </w:rPr>
              <w:t>W1</w:t>
            </w:r>
          </w:p>
        </w:tc>
        <w:tc>
          <w:tcPr>
            <w:tcW w:w="503" w:type="dxa"/>
            <w:tcBorders>
              <w:bottom w:val="single" w:sz="4" w:space="0" w:color="auto"/>
            </w:tcBorders>
            <w:shd w:val="clear" w:color="auto" w:fill="CAEDFB" w:themeFill="accent4" w:themeFillTint="33"/>
          </w:tcPr>
          <w:p w14:paraId="698ECE8B"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W2</w:t>
            </w:r>
          </w:p>
        </w:tc>
        <w:tc>
          <w:tcPr>
            <w:tcW w:w="506" w:type="dxa"/>
            <w:tcBorders>
              <w:bottom w:val="single" w:sz="4" w:space="0" w:color="auto"/>
            </w:tcBorders>
            <w:shd w:val="clear" w:color="auto" w:fill="CAEDFB" w:themeFill="accent4" w:themeFillTint="33"/>
          </w:tcPr>
          <w:p w14:paraId="26969DBD"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W3</w:t>
            </w:r>
          </w:p>
        </w:tc>
        <w:tc>
          <w:tcPr>
            <w:tcW w:w="503" w:type="dxa"/>
            <w:tcBorders>
              <w:bottom w:val="single" w:sz="4" w:space="0" w:color="auto"/>
            </w:tcBorders>
            <w:shd w:val="clear" w:color="auto" w:fill="CAEDFB" w:themeFill="accent4" w:themeFillTint="33"/>
          </w:tcPr>
          <w:p w14:paraId="7B2E1D12"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W4</w:t>
            </w:r>
          </w:p>
        </w:tc>
        <w:tc>
          <w:tcPr>
            <w:tcW w:w="506" w:type="dxa"/>
            <w:tcBorders>
              <w:bottom w:val="single" w:sz="4" w:space="0" w:color="auto"/>
            </w:tcBorders>
            <w:shd w:val="clear" w:color="auto" w:fill="CAEDFB" w:themeFill="accent4" w:themeFillTint="33"/>
          </w:tcPr>
          <w:p w14:paraId="331E2B55"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W5</w:t>
            </w:r>
          </w:p>
        </w:tc>
        <w:tc>
          <w:tcPr>
            <w:tcW w:w="503" w:type="dxa"/>
            <w:tcBorders>
              <w:bottom w:val="single" w:sz="4" w:space="0" w:color="auto"/>
            </w:tcBorders>
            <w:shd w:val="clear" w:color="auto" w:fill="CAEDFB" w:themeFill="accent4" w:themeFillTint="33"/>
          </w:tcPr>
          <w:p w14:paraId="27713605"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W6</w:t>
            </w:r>
          </w:p>
        </w:tc>
        <w:tc>
          <w:tcPr>
            <w:tcW w:w="506" w:type="dxa"/>
            <w:tcBorders>
              <w:bottom w:val="single" w:sz="4" w:space="0" w:color="auto"/>
            </w:tcBorders>
            <w:shd w:val="clear" w:color="auto" w:fill="CAEDFB" w:themeFill="accent4" w:themeFillTint="33"/>
          </w:tcPr>
          <w:p w14:paraId="3D322500"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W7</w:t>
            </w:r>
          </w:p>
        </w:tc>
        <w:tc>
          <w:tcPr>
            <w:tcW w:w="506" w:type="dxa"/>
            <w:tcBorders>
              <w:bottom w:val="single" w:sz="4" w:space="0" w:color="auto"/>
            </w:tcBorders>
            <w:shd w:val="clear" w:color="auto" w:fill="CAEDFB" w:themeFill="accent4" w:themeFillTint="33"/>
          </w:tcPr>
          <w:p w14:paraId="47C239E8"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W8</w:t>
            </w:r>
          </w:p>
        </w:tc>
        <w:tc>
          <w:tcPr>
            <w:tcW w:w="506" w:type="dxa"/>
            <w:tcBorders>
              <w:bottom w:val="single" w:sz="4" w:space="0" w:color="auto"/>
            </w:tcBorders>
            <w:shd w:val="clear" w:color="auto" w:fill="CAEDFB" w:themeFill="accent4" w:themeFillTint="33"/>
          </w:tcPr>
          <w:p w14:paraId="01344902"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W9</w:t>
            </w:r>
          </w:p>
        </w:tc>
        <w:tc>
          <w:tcPr>
            <w:tcW w:w="583" w:type="dxa"/>
            <w:tcBorders>
              <w:bottom w:val="single" w:sz="4" w:space="0" w:color="auto"/>
            </w:tcBorders>
            <w:shd w:val="clear" w:color="auto" w:fill="CAEDFB" w:themeFill="accent4" w:themeFillTint="33"/>
          </w:tcPr>
          <w:p w14:paraId="4DE18F64"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W10</w:t>
            </w:r>
          </w:p>
        </w:tc>
        <w:tc>
          <w:tcPr>
            <w:tcW w:w="583" w:type="dxa"/>
            <w:tcBorders>
              <w:bottom w:val="single" w:sz="4" w:space="0" w:color="auto"/>
            </w:tcBorders>
            <w:shd w:val="clear" w:color="auto" w:fill="CAEDFB" w:themeFill="accent4" w:themeFillTint="33"/>
          </w:tcPr>
          <w:p w14:paraId="6146DBF9"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W11</w:t>
            </w:r>
          </w:p>
        </w:tc>
        <w:tc>
          <w:tcPr>
            <w:tcW w:w="583" w:type="dxa"/>
            <w:tcBorders>
              <w:bottom w:val="single" w:sz="4" w:space="0" w:color="auto"/>
            </w:tcBorders>
            <w:shd w:val="clear" w:color="auto" w:fill="CAEDFB" w:themeFill="accent4" w:themeFillTint="33"/>
          </w:tcPr>
          <w:p w14:paraId="7671D34B"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W12</w:t>
            </w:r>
          </w:p>
        </w:tc>
        <w:tc>
          <w:tcPr>
            <w:tcW w:w="583" w:type="dxa"/>
            <w:tcBorders>
              <w:bottom w:val="single" w:sz="4" w:space="0" w:color="auto"/>
            </w:tcBorders>
            <w:shd w:val="clear" w:color="auto" w:fill="CAEDFB" w:themeFill="accent4" w:themeFillTint="33"/>
          </w:tcPr>
          <w:p w14:paraId="07C3DD69"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W13</w:t>
            </w:r>
          </w:p>
        </w:tc>
        <w:tc>
          <w:tcPr>
            <w:tcW w:w="772" w:type="dxa"/>
            <w:tcBorders>
              <w:bottom w:val="single" w:sz="4" w:space="0" w:color="auto"/>
            </w:tcBorders>
            <w:shd w:val="clear" w:color="auto" w:fill="CAEDFB" w:themeFill="accent4" w:themeFillTint="33"/>
          </w:tcPr>
          <w:p w14:paraId="0011ADAF" w14:textId="77777777" w:rsidR="00577D45" w:rsidRPr="00A26E3C" w:rsidRDefault="00577D45" w:rsidP="00A26E3C">
            <w:pPr>
              <w:rPr>
                <w:rFonts w:ascii="Calibri" w:hAnsi="Calibri" w:cs="Calibri"/>
                <w:sz w:val="18"/>
                <w:szCs w:val="18"/>
                <w:lang w:val="en-GB"/>
              </w:rPr>
            </w:pPr>
            <w:r w:rsidRPr="00A26E3C">
              <w:rPr>
                <w:rFonts w:ascii="Calibri" w:hAnsi="Calibri" w:cs="Calibri"/>
                <w:sz w:val="18"/>
                <w:szCs w:val="18"/>
                <w:lang w:val="en-GB"/>
              </w:rPr>
              <w:t>W14</w:t>
            </w:r>
          </w:p>
        </w:tc>
      </w:tr>
      <w:tr w:rsidR="00B93E5F" w:rsidRPr="00577D45" w14:paraId="007056FD" w14:textId="77777777" w:rsidTr="00A001E4">
        <w:trPr>
          <w:trHeight w:val="242"/>
        </w:trPr>
        <w:tc>
          <w:tcPr>
            <w:tcW w:w="1981" w:type="dxa"/>
            <w:tcBorders>
              <w:top w:val="single" w:sz="4" w:space="0" w:color="auto"/>
            </w:tcBorders>
          </w:tcPr>
          <w:p w14:paraId="6E8480AD" w14:textId="053FE93D" w:rsidR="00B93E5F" w:rsidRPr="00A26E3C" w:rsidRDefault="00B93E5F" w:rsidP="00B93E5F">
            <w:pPr>
              <w:rPr>
                <w:rFonts w:ascii="Calibri" w:hAnsi="Calibri" w:cs="Calibri"/>
                <w:sz w:val="18"/>
                <w:szCs w:val="18"/>
                <w:lang w:val="en-GB"/>
              </w:rPr>
            </w:pPr>
            <w:r>
              <w:rPr>
                <w:rFonts w:ascii="Calibri" w:hAnsi="Calibri" w:cs="Calibri"/>
                <w:sz w:val="18"/>
                <w:szCs w:val="18"/>
              </w:rPr>
              <w:t>I</w:t>
            </w:r>
            <w:r w:rsidRPr="00A26E3C">
              <w:rPr>
                <w:rFonts w:ascii="Calibri" w:hAnsi="Calibri" w:cs="Calibri"/>
                <w:sz w:val="18"/>
                <w:szCs w:val="18"/>
              </w:rPr>
              <w:t>nception call with IFC.</w:t>
            </w:r>
          </w:p>
        </w:tc>
        <w:tc>
          <w:tcPr>
            <w:tcW w:w="506" w:type="dxa"/>
            <w:tcBorders>
              <w:top w:val="single" w:sz="4" w:space="0" w:color="auto"/>
              <w:right w:val="single" w:sz="4" w:space="0" w:color="auto"/>
            </w:tcBorders>
            <w:shd w:val="clear" w:color="auto" w:fill="CAEDFB" w:themeFill="accent4" w:themeFillTint="33"/>
            <w:vAlign w:val="center"/>
          </w:tcPr>
          <w:p w14:paraId="6C495EBC" w14:textId="7FE689E3" w:rsidR="00B93E5F" w:rsidRPr="00B93E5F" w:rsidRDefault="00B93E5F" w:rsidP="00317C9E">
            <w:pPr>
              <w:jc w:val="center"/>
              <w:rPr>
                <w:rFonts w:ascii="Calibri" w:hAnsi="Calibri" w:cs="Calibri"/>
                <w:b/>
                <w:bCs/>
                <w:sz w:val="18"/>
                <w:szCs w:val="18"/>
                <w:lang w:val="en-GB"/>
              </w:rPr>
            </w:pPr>
            <w:r w:rsidRPr="00B93E5F">
              <w:rPr>
                <w:rFonts w:ascii="Calibri" w:hAnsi="Calibri" w:cs="Calibri"/>
                <w:b/>
                <w:bCs/>
                <w:color w:val="156082" w:themeColor="accent1"/>
                <w:sz w:val="18"/>
                <w:szCs w:val="18"/>
                <w:lang w:val="en-GB"/>
              </w:rPr>
              <w:t>W1</w:t>
            </w:r>
          </w:p>
        </w:tc>
        <w:tc>
          <w:tcPr>
            <w:tcW w:w="503" w:type="dxa"/>
            <w:tcBorders>
              <w:top w:val="single" w:sz="4" w:space="0" w:color="auto"/>
              <w:left w:val="single" w:sz="4" w:space="0" w:color="auto"/>
              <w:bottom w:val="single" w:sz="4" w:space="0" w:color="auto"/>
              <w:right w:val="nil"/>
            </w:tcBorders>
            <w:vAlign w:val="center"/>
          </w:tcPr>
          <w:p w14:paraId="55C45618" w14:textId="5FC220C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6827C409" w14:textId="3A5BFFDC"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left w:val="nil"/>
              <w:bottom w:val="nil"/>
              <w:right w:val="nil"/>
            </w:tcBorders>
            <w:vAlign w:val="center"/>
          </w:tcPr>
          <w:p w14:paraId="58988DFF" w14:textId="54E1BDA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6F8C4BB9" w14:textId="03C3ACE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left w:val="nil"/>
              <w:bottom w:val="nil"/>
              <w:right w:val="nil"/>
            </w:tcBorders>
            <w:vAlign w:val="center"/>
          </w:tcPr>
          <w:p w14:paraId="7441DB1C" w14:textId="59456D9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1D7FB863" w14:textId="1D309C3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47D16124" w14:textId="038785B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46887E3D" w14:textId="1948671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nil"/>
              <w:bottom w:val="nil"/>
              <w:right w:val="nil"/>
            </w:tcBorders>
            <w:vAlign w:val="center"/>
          </w:tcPr>
          <w:p w14:paraId="7D5FD408" w14:textId="0D07A038"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nil"/>
              <w:bottom w:val="nil"/>
              <w:right w:val="nil"/>
            </w:tcBorders>
            <w:vAlign w:val="center"/>
          </w:tcPr>
          <w:p w14:paraId="605629FF" w14:textId="3059ACB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nil"/>
              <w:bottom w:val="nil"/>
              <w:right w:val="nil"/>
            </w:tcBorders>
            <w:vAlign w:val="center"/>
          </w:tcPr>
          <w:p w14:paraId="6495F579" w14:textId="7C1CF59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nil"/>
              <w:bottom w:val="nil"/>
              <w:right w:val="nil"/>
            </w:tcBorders>
            <w:vAlign w:val="center"/>
          </w:tcPr>
          <w:p w14:paraId="67F71AFD" w14:textId="163BAADF"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single" w:sz="4" w:space="0" w:color="auto"/>
              <w:left w:val="nil"/>
              <w:bottom w:val="nil"/>
              <w:right w:val="single" w:sz="4" w:space="0" w:color="auto"/>
            </w:tcBorders>
            <w:vAlign w:val="center"/>
          </w:tcPr>
          <w:p w14:paraId="0DD35BAB" w14:textId="506076A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48C27CC6" w14:textId="77777777" w:rsidTr="00B93E5F">
        <w:tc>
          <w:tcPr>
            <w:tcW w:w="1981" w:type="dxa"/>
          </w:tcPr>
          <w:p w14:paraId="70C5CD4C"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Prepare and submit draft evaluation plan + Call with IFC/DFAT</w:t>
            </w:r>
          </w:p>
        </w:tc>
        <w:tc>
          <w:tcPr>
            <w:tcW w:w="506" w:type="dxa"/>
            <w:tcBorders>
              <w:bottom w:val="nil"/>
            </w:tcBorders>
            <w:vAlign w:val="center"/>
          </w:tcPr>
          <w:p w14:paraId="6F61CEF3" w14:textId="188E8C56"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bottom w:val="single" w:sz="4" w:space="0" w:color="auto"/>
              <w:right w:val="single" w:sz="4" w:space="0" w:color="auto"/>
            </w:tcBorders>
            <w:shd w:val="clear" w:color="auto" w:fill="CAEDFB" w:themeFill="accent4" w:themeFillTint="33"/>
            <w:vAlign w:val="center"/>
          </w:tcPr>
          <w:p w14:paraId="164D2CB4" w14:textId="43A86691" w:rsidR="00B93E5F" w:rsidRPr="00B93E5F" w:rsidRDefault="00B93E5F" w:rsidP="00B93E5F">
            <w:pPr>
              <w:jc w:val="center"/>
              <w:rPr>
                <w:rFonts w:ascii="Calibri" w:hAnsi="Calibri" w:cs="Calibri"/>
                <w:b/>
                <w:bCs/>
                <w:sz w:val="18"/>
                <w:szCs w:val="18"/>
                <w:lang w:val="en-GB"/>
              </w:rPr>
            </w:pPr>
            <w:r w:rsidRPr="00B93E5F">
              <w:rPr>
                <w:rFonts w:ascii="Calibri" w:hAnsi="Calibri" w:cs="Calibri"/>
                <w:b/>
                <w:bCs/>
                <w:color w:val="156082" w:themeColor="accent1"/>
                <w:sz w:val="18"/>
                <w:szCs w:val="18"/>
                <w:lang w:val="en-GB"/>
              </w:rPr>
              <w:t>W2</w:t>
            </w:r>
          </w:p>
        </w:tc>
        <w:tc>
          <w:tcPr>
            <w:tcW w:w="506" w:type="dxa"/>
            <w:tcBorders>
              <w:top w:val="nil"/>
              <w:left w:val="single" w:sz="4" w:space="0" w:color="auto"/>
              <w:bottom w:val="single" w:sz="4" w:space="0" w:color="auto"/>
              <w:right w:val="nil"/>
            </w:tcBorders>
            <w:vAlign w:val="center"/>
          </w:tcPr>
          <w:p w14:paraId="29B8A293" w14:textId="76736DA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2B41A92F" w14:textId="7334737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11044A5E" w14:textId="04CD6F9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6CA5A6E7" w14:textId="57890308"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2A00D2F2" w14:textId="6CE5913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7CA95E75" w14:textId="012136F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0899B8D3" w14:textId="09A67E13"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0C5435F8" w14:textId="789A417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15A7313B" w14:textId="7B444FA2"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4A185882" w14:textId="7E079B9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23085649" w14:textId="0A16DACC"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11E2E6F2" w14:textId="1FB3EFB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2F6ADFC9" w14:textId="77777777" w:rsidTr="00B93E5F">
        <w:tc>
          <w:tcPr>
            <w:tcW w:w="1981" w:type="dxa"/>
            <w:tcBorders>
              <w:right w:val="single" w:sz="4" w:space="0" w:color="auto"/>
            </w:tcBorders>
          </w:tcPr>
          <w:p w14:paraId="68398DDF"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Prepare and submit final evaluation plan</w:t>
            </w:r>
          </w:p>
        </w:tc>
        <w:tc>
          <w:tcPr>
            <w:tcW w:w="506" w:type="dxa"/>
            <w:tcBorders>
              <w:top w:val="nil"/>
              <w:left w:val="single" w:sz="4" w:space="0" w:color="auto"/>
              <w:bottom w:val="nil"/>
              <w:right w:val="nil"/>
            </w:tcBorders>
            <w:vAlign w:val="center"/>
          </w:tcPr>
          <w:p w14:paraId="03048AF8" w14:textId="54A4D199"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left w:val="nil"/>
              <w:bottom w:val="nil"/>
              <w:right w:val="single" w:sz="4" w:space="0" w:color="auto"/>
            </w:tcBorders>
            <w:vAlign w:val="center"/>
          </w:tcPr>
          <w:p w14:paraId="6053EF3C" w14:textId="3411229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0F0DB1E9" w14:textId="23B12E51" w:rsidR="00B93E5F" w:rsidRPr="00B93E5F" w:rsidRDefault="00B93E5F" w:rsidP="00B93E5F">
            <w:pPr>
              <w:jc w:val="center"/>
              <w:rPr>
                <w:rFonts w:ascii="Calibri" w:hAnsi="Calibri" w:cs="Calibri"/>
                <w:b/>
                <w:bCs/>
                <w:sz w:val="18"/>
                <w:szCs w:val="18"/>
                <w:lang w:val="en-GB"/>
              </w:rPr>
            </w:pPr>
            <w:r w:rsidRPr="00B93E5F">
              <w:rPr>
                <w:rFonts w:ascii="Calibri" w:hAnsi="Calibri" w:cs="Calibri"/>
                <w:b/>
                <w:bCs/>
                <w:color w:val="156082" w:themeColor="accent1"/>
                <w:sz w:val="18"/>
                <w:szCs w:val="18"/>
                <w:lang w:val="en-GB"/>
              </w:rPr>
              <w:t>W3</w:t>
            </w:r>
          </w:p>
        </w:tc>
        <w:tc>
          <w:tcPr>
            <w:tcW w:w="503" w:type="dxa"/>
            <w:tcBorders>
              <w:top w:val="nil"/>
              <w:left w:val="single" w:sz="4" w:space="0" w:color="auto"/>
              <w:bottom w:val="single" w:sz="4" w:space="0" w:color="auto"/>
              <w:right w:val="nil"/>
            </w:tcBorders>
            <w:vAlign w:val="center"/>
          </w:tcPr>
          <w:p w14:paraId="1B6EEB59" w14:textId="3E3F2ACC"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0947758D" w14:textId="583FB55F"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157548E3" w14:textId="3E461BF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4F79FBD0" w14:textId="3E01D842"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15BE421E" w14:textId="72465CC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3EFB2D6C" w14:textId="533F474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450A6EBC" w14:textId="50CF144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3C470EB8" w14:textId="06AFE18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0D0C7C51" w14:textId="04E7FC8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3309F03D" w14:textId="29D476E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1F523292" w14:textId="54FFB7D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6964E74E" w14:textId="77777777" w:rsidTr="00B93E5F">
        <w:trPr>
          <w:trHeight w:val="332"/>
        </w:trPr>
        <w:tc>
          <w:tcPr>
            <w:tcW w:w="1981" w:type="dxa"/>
            <w:tcBorders>
              <w:right w:val="single" w:sz="4" w:space="0" w:color="auto"/>
            </w:tcBorders>
          </w:tcPr>
          <w:p w14:paraId="3217E635"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Schedule consultations</w:t>
            </w:r>
          </w:p>
        </w:tc>
        <w:tc>
          <w:tcPr>
            <w:tcW w:w="506" w:type="dxa"/>
            <w:tcBorders>
              <w:top w:val="nil"/>
              <w:left w:val="single" w:sz="4" w:space="0" w:color="auto"/>
              <w:bottom w:val="nil"/>
              <w:right w:val="nil"/>
            </w:tcBorders>
            <w:vAlign w:val="center"/>
          </w:tcPr>
          <w:p w14:paraId="59E73DF8" w14:textId="5209CC79"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tcBorders>
            <w:vAlign w:val="center"/>
          </w:tcPr>
          <w:p w14:paraId="17412E36" w14:textId="1068817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bottom w:val="single" w:sz="4" w:space="0" w:color="auto"/>
            </w:tcBorders>
            <w:shd w:val="clear" w:color="auto" w:fill="CAEDFB" w:themeFill="accent4" w:themeFillTint="33"/>
            <w:vAlign w:val="center"/>
          </w:tcPr>
          <w:p w14:paraId="3A967C4C" w14:textId="01139B5B"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W4</w:t>
            </w:r>
          </w:p>
        </w:tc>
        <w:tc>
          <w:tcPr>
            <w:tcW w:w="503" w:type="dxa"/>
            <w:tcBorders>
              <w:top w:val="single" w:sz="4" w:space="0" w:color="auto"/>
              <w:bottom w:val="single" w:sz="4" w:space="0" w:color="auto"/>
              <w:right w:val="single" w:sz="4" w:space="0" w:color="auto"/>
            </w:tcBorders>
            <w:shd w:val="clear" w:color="auto" w:fill="CAEDFB" w:themeFill="accent4" w:themeFillTint="33"/>
            <w:vAlign w:val="center"/>
          </w:tcPr>
          <w:p w14:paraId="3A2B4FAB" w14:textId="51C27A5A"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W5</w:t>
            </w:r>
          </w:p>
        </w:tc>
        <w:tc>
          <w:tcPr>
            <w:tcW w:w="506" w:type="dxa"/>
            <w:tcBorders>
              <w:top w:val="nil"/>
              <w:left w:val="single" w:sz="4" w:space="0" w:color="auto"/>
              <w:bottom w:val="single" w:sz="4" w:space="0" w:color="auto"/>
              <w:right w:val="nil"/>
            </w:tcBorders>
            <w:vAlign w:val="center"/>
          </w:tcPr>
          <w:p w14:paraId="2A9C27B7" w14:textId="1F1DE77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single" w:sz="4" w:space="0" w:color="auto"/>
              <w:right w:val="nil"/>
            </w:tcBorders>
            <w:vAlign w:val="center"/>
          </w:tcPr>
          <w:p w14:paraId="43AC7418" w14:textId="22AB3583"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single" w:sz="4" w:space="0" w:color="auto"/>
              <w:right w:val="nil"/>
            </w:tcBorders>
            <w:vAlign w:val="center"/>
          </w:tcPr>
          <w:p w14:paraId="49EE83AD" w14:textId="67D222A2"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5E3E5E36" w14:textId="1061F6D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19B119B5" w14:textId="3D9EB80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3A33F14C" w14:textId="3349C6B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75BCC174" w14:textId="246CC70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65567EF7" w14:textId="52D0258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4251C54A" w14:textId="56E2A85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560A6F83" w14:textId="713C78B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2DBC1706" w14:textId="77777777" w:rsidTr="00B93E5F">
        <w:tc>
          <w:tcPr>
            <w:tcW w:w="1981" w:type="dxa"/>
            <w:tcBorders>
              <w:right w:val="single" w:sz="4" w:space="0" w:color="auto"/>
            </w:tcBorders>
          </w:tcPr>
          <w:p w14:paraId="5F0A78B2"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Facilitate online consultations.</w:t>
            </w:r>
          </w:p>
        </w:tc>
        <w:tc>
          <w:tcPr>
            <w:tcW w:w="506" w:type="dxa"/>
            <w:tcBorders>
              <w:top w:val="nil"/>
              <w:left w:val="single" w:sz="4" w:space="0" w:color="auto"/>
              <w:bottom w:val="nil"/>
              <w:right w:val="nil"/>
            </w:tcBorders>
            <w:vAlign w:val="center"/>
          </w:tcPr>
          <w:p w14:paraId="2FC52AF1" w14:textId="5CF61B64"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3A0D3711" w14:textId="143AF20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28066703" w14:textId="23B7E11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left w:val="nil"/>
              <w:bottom w:val="nil"/>
              <w:right w:val="single" w:sz="4" w:space="0" w:color="auto"/>
            </w:tcBorders>
            <w:vAlign w:val="center"/>
          </w:tcPr>
          <w:p w14:paraId="18AA9DC8" w14:textId="069DF27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single" w:sz="4" w:space="0" w:color="auto"/>
              <w:bottom w:val="single" w:sz="4" w:space="0" w:color="auto"/>
            </w:tcBorders>
            <w:shd w:val="clear" w:color="auto" w:fill="CAEDFB" w:themeFill="accent4" w:themeFillTint="33"/>
            <w:vAlign w:val="center"/>
          </w:tcPr>
          <w:p w14:paraId="6473C444" w14:textId="21B489CB"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W5</w:t>
            </w:r>
          </w:p>
        </w:tc>
        <w:tc>
          <w:tcPr>
            <w:tcW w:w="503" w:type="dxa"/>
            <w:tcBorders>
              <w:top w:val="single" w:sz="4" w:space="0" w:color="auto"/>
              <w:bottom w:val="single" w:sz="4" w:space="0" w:color="auto"/>
            </w:tcBorders>
            <w:shd w:val="clear" w:color="auto" w:fill="CAEDFB" w:themeFill="accent4" w:themeFillTint="33"/>
            <w:vAlign w:val="center"/>
          </w:tcPr>
          <w:p w14:paraId="483D50E6" w14:textId="5ACA99F7"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W6</w:t>
            </w:r>
          </w:p>
        </w:tc>
        <w:tc>
          <w:tcPr>
            <w:tcW w:w="506" w:type="dxa"/>
            <w:tcBorders>
              <w:top w:val="single" w:sz="4" w:space="0" w:color="auto"/>
              <w:bottom w:val="single" w:sz="4" w:space="0" w:color="auto"/>
              <w:right w:val="single" w:sz="4" w:space="0" w:color="auto"/>
            </w:tcBorders>
            <w:shd w:val="clear" w:color="auto" w:fill="CAEDFB" w:themeFill="accent4" w:themeFillTint="33"/>
            <w:vAlign w:val="center"/>
          </w:tcPr>
          <w:p w14:paraId="73556C7B" w14:textId="5DC94478"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W7</w:t>
            </w:r>
          </w:p>
        </w:tc>
        <w:tc>
          <w:tcPr>
            <w:tcW w:w="506" w:type="dxa"/>
            <w:tcBorders>
              <w:top w:val="nil"/>
              <w:left w:val="single" w:sz="4" w:space="0" w:color="auto"/>
              <w:bottom w:val="single" w:sz="4" w:space="0" w:color="auto"/>
              <w:right w:val="nil"/>
            </w:tcBorders>
            <w:vAlign w:val="center"/>
          </w:tcPr>
          <w:p w14:paraId="2F2F9E39" w14:textId="0DD43EE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50D5CDFE" w14:textId="227DC33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354C6895" w14:textId="4DB7D22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4F54F7C4" w14:textId="2005F79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09B1F9AA" w14:textId="1FF81208"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0BC3B1F9" w14:textId="0AD87CE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6D8F4E4F" w14:textId="2E3C3BA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0B360DD9" w14:textId="77777777" w:rsidTr="00B93E5F">
        <w:tc>
          <w:tcPr>
            <w:tcW w:w="1981" w:type="dxa"/>
            <w:tcBorders>
              <w:right w:val="single" w:sz="4" w:space="0" w:color="auto"/>
            </w:tcBorders>
          </w:tcPr>
          <w:p w14:paraId="23CC116E"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Conduct in-country mission consultations (details in Annex 5)</w:t>
            </w:r>
          </w:p>
        </w:tc>
        <w:tc>
          <w:tcPr>
            <w:tcW w:w="506" w:type="dxa"/>
            <w:tcBorders>
              <w:top w:val="nil"/>
              <w:left w:val="single" w:sz="4" w:space="0" w:color="auto"/>
              <w:bottom w:val="nil"/>
              <w:right w:val="nil"/>
            </w:tcBorders>
            <w:vAlign w:val="center"/>
          </w:tcPr>
          <w:p w14:paraId="66C5710A" w14:textId="6885B892"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3F8E82CC" w14:textId="34636A1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593C90BE" w14:textId="6042EBBF"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0389B18D" w14:textId="746A6DC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546D309C" w14:textId="2D32EB9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left w:val="nil"/>
              <w:bottom w:val="nil"/>
              <w:right w:val="single" w:sz="4" w:space="0" w:color="auto"/>
            </w:tcBorders>
            <w:vAlign w:val="center"/>
          </w:tcPr>
          <w:p w14:paraId="7BEEA7F6" w14:textId="21E771E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0DAE79AA" w14:textId="290992A0"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W7</w:t>
            </w:r>
          </w:p>
        </w:tc>
        <w:tc>
          <w:tcPr>
            <w:tcW w:w="50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797E1472" w14:textId="2DC32C7C"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W8</w:t>
            </w:r>
          </w:p>
        </w:tc>
        <w:tc>
          <w:tcPr>
            <w:tcW w:w="506" w:type="dxa"/>
            <w:tcBorders>
              <w:top w:val="nil"/>
              <w:left w:val="single" w:sz="4" w:space="0" w:color="auto"/>
              <w:bottom w:val="nil"/>
              <w:right w:val="nil"/>
            </w:tcBorders>
            <w:vAlign w:val="center"/>
          </w:tcPr>
          <w:p w14:paraId="74E34143" w14:textId="3E68D38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4D4B9E1A" w14:textId="4807CCDC"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68FD2189" w14:textId="4E420479"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51FC79A8" w14:textId="3AAE28D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5DD409A8" w14:textId="0356A07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2A8353E4" w14:textId="11737EC3"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250AA1ED" w14:textId="77777777" w:rsidTr="00B93E5F">
        <w:tc>
          <w:tcPr>
            <w:tcW w:w="1981" w:type="dxa"/>
            <w:tcBorders>
              <w:right w:val="single" w:sz="4" w:space="0" w:color="auto"/>
            </w:tcBorders>
          </w:tcPr>
          <w:p w14:paraId="33BE0444"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Prepare and submit aide-mémoire</w:t>
            </w:r>
          </w:p>
        </w:tc>
        <w:tc>
          <w:tcPr>
            <w:tcW w:w="506" w:type="dxa"/>
            <w:tcBorders>
              <w:top w:val="nil"/>
              <w:left w:val="single" w:sz="4" w:space="0" w:color="auto"/>
              <w:bottom w:val="nil"/>
              <w:right w:val="nil"/>
            </w:tcBorders>
            <w:vAlign w:val="center"/>
          </w:tcPr>
          <w:p w14:paraId="1BB674A7" w14:textId="6D06B2CC"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41A5FD3D" w14:textId="64EA61C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17F0ED72" w14:textId="025AE7A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10D1F18E" w14:textId="32035DB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612C7E78" w14:textId="1584D49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02FCB00B" w14:textId="470A713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single" w:sz="4" w:space="0" w:color="auto"/>
            </w:tcBorders>
            <w:vAlign w:val="center"/>
          </w:tcPr>
          <w:p w14:paraId="32FA3F6F" w14:textId="1D8A5C8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456049F6" w14:textId="3B8117CC" w:rsidR="00B93E5F" w:rsidRPr="00B93E5F" w:rsidRDefault="00B93E5F" w:rsidP="00B93E5F">
            <w:pPr>
              <w:jc w:val="center"/>
              <w:rPr>
                <w:rFonts w:ascii="Calibri" w:hAnsi="Calibri" w:cs="Calibri"/>
                <w:b/>
                <w:bCs/>
                <w:sz w:val="18"/>
                <w:szCs w:val="18"/>
                <w:lang w:val="en-GB"/>
              </w:rPr>
            </w:pPr>
            <w:r w:rsidRPr="00B93E5F">
              <w:rPr>
                <w:rFonts w:ascii="Calibri" w:hAnsi="Calibri" w:cs="Calibri"/>
                <w:b/>
                <w:bCs/>
                <w:color w:val="156082" w:themeColor="accent1"/>
                <w:sz w:val="18"/>
                <w:szCs w:val="18"/>
                <w:lang w:val="en-GB"/>
              </w:rPr>
              <w:t>W8</w:t>
            </w:r>
          </w:p>
        </w:tc>
        <w:tc>
          <w:tcPr>
            <w:tcW w:w="506" w:type="dxa"/>
            <w:tcBorders>
              <w:top w:val="nil"/>
              <w:left w:val="single" w:sz="4" w:space="0" w:color="auto"/>
              <w:bottom w:val="single" w:sz="4" w:space="0" w:color="auto"/>
              <w:right w:val="nil"/>
            </w:tcBorders>
            <w:vAlign w:val="center"/>
          </w:tcPr>
          <w:p w14:paraId="1A023B89" w14:textId="56885A9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62B2B016" w14:textId="6E4AFFB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7C1A3A78" w14:textId="55B277E3"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1541FED0" w14:textId="46609C3D"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1FD936B9" w14:textId="2D578419"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6B1523C8" w14:textId="16D2C3D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4E87C9B5" w14:textId="77777777" w:rsidTr="00B93E5F">
        <w:tc>
          <w:tcPr>
            <w:tcW w:w="1981" w:type="dxa"/>
            <w:tcBorders>
              <w:right w:val="single" w:sz="4" w:space="0" w:color="auto"/>
            </w:tcBorders>
          </w:tcPr>
          <w:p w14:paraId="23F2B4BA"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 xml:space="preserve">Prepare presentation with initial findings and discuss with IFC/DFAT </w:t>
            </w:r>
          </w:p>
        </w:tc>
        <w:tc>
          <w:tcPr>
            <w:tcW w:w="506" w:type="dxa"/>
            <w:tcBorders>
              <w:top w:val="nil"/>
              <w:left w:val="single" w:sz="4" w:space="0" w:color="auto"/>
              <w:bottom w:val="nil"/>
              <w:right w:val="nil"/>
            </w:tcBorders>
            <w:vAlign w:val="center"/>
          </w:tcPr>
          <w:p w14:paraId="310BFCD1" w14:textId="35061C51"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33EEAF13" w14:textId="0EB6E71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66BF3AE0" w14:textId="74762019"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51428E72" w14:textId="462FF6B3"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015F9AE9" w14:textId="23DCDC22"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4BC69AE9" w14:textId="76A6BFF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1D31B450" w14:textId="600C5B4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single" w:sz="4" w:space="0" w:color="auto"/>
            </w:tcBorders>
            <w:vAlign w:val="center"/>
          </w:tcPr>
          <w:p w14:paraId="16DF33F0" w14:textId="7AAA0B32"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single" w:sz="4" w:space="0" w:color="auto"/>
              <w:right w:val="single" w:sz="4" w:space="0" w:color="auto"/>
            </w:tcBorders>
            <w:shd w:val="clear" w:color="auto" w:fill="CAEDFB" w:themeFill="accent4" w:themeFillTint="33"/>
            <w:vAlign w:val="center"/>
          </w:tcPr>
          <w:p w14:paraId="0BD82D9F" w14:textId="34DAFDC7" w:rsidR="00B93E5F" w:rsidRPr="00B93E5F" w:rsidRDefault="00B93E5F" w:rsidP="00B93E5F">
            <w:pPr>
              <w:jc w:val="center"/>
              <w:rPr>
                <w:rFonts w:ascii="Calibri" w:hAnsi="Calibri" w:cs="Calibri"/>
                <w:b/>
                <w:bCs/>
                <w:sz w:val="18"/>
                <w:szCs w:val="18"/>
                <w:lang w:val="en-GB"/>
              </w:rPr>
            </w:pPr>
            <w:r w:rsidRPr="00B93E5F">
              <w:rPr>
                <w:rFonts w:ascii="Calibri" w:hAnsi="Calibri" w:cs="Calibri"/>
                <w:b/>
                <w:bCs/>
                <w:color w:val="156082" w:themeColor="accent1"/>
                <w:sz w:val="18"/>
                <w:szCs w:val="18"/>
                <w:lang w:val="en-GB"/>
              </w:rPr>
              <w:t>W9</w:t>
            </w:r>
          </w:p>
        </w:tc>
        <w:tc>
          <w:tcPr>
            <w:tcW w:w="583" w:type="dxa"/>
            <w:tcBorders>
              <w:top w:val="nil"/>
              <w:left w:val="single" w:sz="4" w:space="0" w:color="auto"/>
              <w:bottom w:val="single" w:sz="4" w:space="0" w:color="auto"/>
              <w:right w:val="nil"/>
            </w:tcBorders>
            <w:vAlign w:val="center"/>
          </w:tcPr>
          <w:p w14:paraId="7F5ADF69" w14:textId="61D210AF"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5C39B741" w14:textId="52D6EFB3"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2D38190C" w14:textId="1AB695F9"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5C25B26E" w14:textId="69A4332B"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2D3B1455" w14:textId="5B4BDDEC"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0AF22305" w14:textId="77777777" w:rsidTr="00B93E5F">
        <w:tc>
          <w:tcPr>
            <w:tcW w:w="1981" w:type="dxa"/>
            <w:tcBorders>
              <w:right w:val="single" w:sz="4" w:space="0" w:color="auto"/>
            </w:tcBorders>
          </w:tcPr>
          <w:p w14:paraId="4A5213DF"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Prepare and submit draft evaluation report</w:t>
            </w:r>
          </w:p>
        </w:tc>
        <w:tc>
          <w:tcPr>
            <w:tcW w:w="506" w:type="dxa"/>
            <w:tcBorders>
              <w:top w:val="nil"/>
              <w:left w:val="single" w:sz="4" w:space="0" w:color="auto"/>
              <w:bottom w:val="nil"/>
              <w:right w:val="nil"/>
            </w:tcBorders>
            <w:vAlign w:val="center"/>
          </w:tcPr>
          <w:p w14:paraId="49D13A29" w14:textId="467931F5"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7AB1232A" w14:textId="19CB38B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789EEE27" w14:textId="72BA59E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04233D97" w14:textId="3917FF1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56FE813A" w14:textId="6AF5C31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nil"/>
              <w:right w:val="nil"/>
            </w:tcBorders>
            <w:vAlign w:val="center"/>
          </w:tcPr>
          <w:p w14:paraId="7CB070D3" w14:textId="7620722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17E537EE" w14:textId="551630B2"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single" w:sz="4" w:space="0" w:color="auto"/>
            </w:tcBorders>
            <w:vAlign w:val="center"/>
          </w:tcPr>
          <w:p w14:paraId="4F9F60E1" w14:textId="687C70C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left w:val="single" w:sz="4" w:space="0" w:color="auto"/>
              <w:bottom w:val="single" w:sz="4" w:space="0" w:color="auto"/>
            </w:tcBorders>
            <w:shd w:val="clear" w:color="auto" w:fill="CAEDFB" w:themeFill="accent4" w:themeFillTint="33"/>
            <w:vAlign w:val="center"/>
          </w:tcPr>
          <w:p w14:paraId="30547327" w14:textId="276D5680"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W9</w:t>
            </w:r>
          </w:p>
        </w:tc>
        <w:tc>
          <w:tcPr>
            <w:tcW w:w="583" w:type="dxa"/>
            <w:tcBorders>
              <w:top w:val="single" w:sz="4" w:space="0" w:color="auto"/>
              <w:bottom w:val="single" w:sz="4" w:space="0" w:color="auto"/>
              <w:right w:val="single" w:sz="4" w:space="0" w:color="auto"/>
            </w:tcBorders>
            <w:shd w:val="clear" w:color="auto" w:fill="CAEDFB" w:themeFill="accent4" w:themeFillTint="33"/>
            <w:vAlign w:val="center"/>
          </w:tcPr>
          <w:p w14:paraId="32D269B9" w14:textId="05ED8BA0"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W10</w:t>
            </w:r>
          </w:p>
        </w:tc>
        <w:tc>
          <w:tcPr>
            <w:tcW w:w="583" w:type="dxa"/>
            <w:tcBorders>
              <w:top w:val="nil"/>
              <w:left w:val="single" w:sz="4" w:space="0" w:color="auto"/>
              <w:bottom w:val="single" w:sz="4" w:space="0" w:color="auto"/>
              <w:right w:val="nil"/>
            </w:tcBorders>
            <w:vAlign w:val="center"/>
          </w:tcPr>
          <w:p w14:paraId="4D2EADC8" w14:textId="4AC341D9"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single" w:sz="4" w:space="0" w:color="auto"/>
              <w:right w:val="nil"/>
            </w:tcBorders>
            <w:vAlign w:val="center"/>
          </w:tcPr>
          <w:p w14:paraId="12CDA7C0" w14:textId="3FC2026A"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nil"/>
              <w:right w:val="nil"/>
            </w:tcBorders>
            <w:vAlign w:val="center"/>
          </w:tcPr>
          <w:p w14:paraId="76A93F46" w14:textId="10E37B8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55ED480E" w14:textId="02065D16"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93E5F" w:rsidRPr="00577D45" w14:paraId="2611B4BF" w14:textId="77777777" w:rsidTr="00B93E5F">
        <w:tc>
          <w:tcPr>
            <w:tcW w:w="1981" w:type="dxa"/>
            <w:tcBorders>
              <w:right w:val="single" w:sz="4" w:space="0" w:color="auto"/>
            </w:tcBorders>
          </w:tcPr>
          <w:p w14:paraId="063639CE" w14:textId="77777777" w:rsidR="00B93E5F" w:rsidRPr="00A26E3C" w:rsidRDefault="00B93E5F" w:rsidP="00B93E5F">
            <w:pPr>
              <w:rPr>
                <w:rFonts w:ascii="Calibri" w:hAnsi="Calibri" w:cs="Calibri"/>
                <w:sz w:val="18"/>
                <w:szCs w:val="18"/>
                <w:lang w:val="en-GB"/>
              </w:rPr>
            </w:pPr>
            <w:r w:rsidRPr="00A26E3C">
              <w:rPr>
                <w:rFonts w:ascii="Calibri" w:hAnsi="Calibri" w:cs="Calibri"/>
                <w:sz w:val="18"/>
                <w:szCs w:val="18"/>
              </w:rPr>
              <w:t>Finalise and submit evaluation report</w:t>
            </w:r>
          </w:p>
        </w:tc>
        <w:tc>
          <w:tcPr>
            <w:tcW w:w="506" w:type="dxa"/>
            <w:tcBorders>
              <w:top w:val="nil"/>
              <w:left w:val="single" w:sz="4" w:space="0" w:color="auto"/>
              <w:bottom w:val="nil"/>
              <w:right w:val="nil"/>
            </w:tcBorders>
            <w:vAlign w:val="center"/>
          </w:tcPr>
          <w:p w14:paraId="69545625" w14:textId="327E5860" w:rsidR="00B93E5F"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single" w:sz="4" w:space="0" w:color="auto"/>
              <w:right w:val="nil"/>
            </w:tcBorders>
            <w:vAlign w:val="center"/>
          </w:tcPr>
          <w:p w14:paraId="6379C020" w14:textId="244C8207"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50CC8109" w14:textId="72176581"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single" w:sz="4" w:space="0" w:color="auto"/>
              <w:right w:val="nil"/>
            </w:tcBorders>
            <w:vAlign w:val="center"/>
          </w:tcPr>
          <w:p w14:paraId="507F284F" w14:textId="68A26C9F"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393A4A12" w14:textId="71493E49"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nil"/>
              <w:left w:val="nil"/>
              <w:bottom w:val="single" w:sz="4" w:space="0" w:color="auto"/>
              <w:right w:val="nil"/>
            </w:tcBorders>
            <w:vAlign w:val="center"/>
          </w:tcPr>
          <w:p w14:paraId="0C38798C" w14:textId="55C7236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nil"/>
              <w:right w:val="nil"/>
            </w:tcBorders>
            <w:vAlign w:val="center"/>
          </w:tcPr>
          <w:p w14:paraId="6D9B9DA3" w14:textId="4F56F33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nil"/>
              <w:left w:val="nil"/>
              <w:bottom w:val="single" w:sz="4" w:space="0" w:color="auto"/>
              <w:right w:val="nil"/>
            </w:tcBorders>
            <w:vAlign w:val="center"/>
          </w:tcPr>
          <w:p w14:paraId="05FB75BF" w14:textId="08FF66A0"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left w:val="nil"/>
              <w:bottom w:val="nil"/>
              <w:right w:val="nil"/>
            </w:tcBorders>
            <w:vAlign w:val="center"/>
          </w:tcPr>
          <w:p w14:paraId="1AE0D9B6" w14:textId="3F66A22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nil"/>
              <w:bottom w:val="single" w:sz="4" w:space="0" w:color="auto"/>
              <w:right w:val="single" w:sz="4" w:space="0" w:color="auto"/>
            </w:tcBorders>
            <w:vAlign w:val="center"/>
          </w:tcPr>
          <w:p w14:paraId="3F0CCCDF" w14:textId="5F6749FE"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691C51DD" w14:textId="427AD7CC"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W11</w:t>
            </w:r>
          </w:p>
        </w:tc>
        <w:tc>
          <w:tcPr>
            <w:tcW w:w="583" w:type="dxa"/>
            <w:tcBorders>
              <w:top w:val="single" w:sz="4" w:space="0" w:color="auto"/>
              <w:left w:val="single" w:sz="4" w:space="0" w:color="auto"/>
              <w:bottom w:val="single" w:sz="4" w:space="0" w:color="auto"/>
              <w:right w:val="single" w:sz="4" w:space="0" w:color="auto"/>
            </w:tcBorders>
            <w:shd w:val="clear" w:color="auto" w:fill="CAEDFB" w:themeFill="accent4" w:themeFillTint="33"/>
            <w:vAlign w:val="center"/>
          </w:tcPr>
          <w:p w14:paraId="7E7D76BB" w14:textId="27CCB04A" w:rsidR="00B93E5F" w:rsidRPr="00B93E5F" w:rsidRDefault="00B93E5F" w:rsidP="00B93E5F">
            <w:pPr>
              <w:jc w:val="center"/>
              <w:rPr>
                <w:rFonts w:ascii="Calibri" w:hAnsi="Calibri" w:cs="Calibri"/>
                <w:b/>
                <w:bCs/>
                <w:color w:val="156082" w:themeColor="accent1"/>
                <w:sz w:val="18"/>
                <w:szCs w:val="18"/>
                <w:lang w:val="en-GB"/>
              </w:rPr>
            </w:pPr>
            <w:r w:rsidRPr="00B93E5F">
              <w:rPr>
                <w:rFonts w:ascii="Calibri" w:hAnsi="Calibri" w:cs="Calibri"/>
                <w:b/>
                <w:bCs/>
                <w:color w:val="156082" w:themeColor="accent1"/>
                <w:sz w:val="18"/>
                <w:szCs w:val="18"/>
                <w:lang w:val="en-GB"/>
              </w:rPr>
              <w:t>W12</w:t>
            </w:r>
          </w:p>
        </w:tc>
        <w:tc>
          <w:tcPr>
            <w:tcW w:w="583" w:type="dxa"/>
            <w:tcBorders>
              <w:top w:val="nil"/>
              <w:left w:val="single" w:sz="4" w:space="0" w:color="auto"/>
              <w:bottom w:val="nil"/>
              <w:right w:val="nil"/>
            </w:tcBorders>
            <w:vAlign w:val="center"/>
          </w:tcPr>
          <w:p w14:paraId="2E40CFE8" w14:textId="29DA4AB4"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nil"/>
              <w:right w:val="single" w:sz="4" w:space="0" w:color="auto"/>
            </w:tcBorders>
            <w:vAlign w:val="center"/>
          </w:tcPr>
          <w:p w14:paraId="0774C762" w14:textId="3670A6C5" w:rsidR="00B93E5F"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r w:rsidR="00BE7431" w:rsidRPr="00577D45" w14:paraId="4549DCCF" w14:textId="77777777" w:rsidTr="00A001E4">
        <w:trPr>
          <w:trHeight w:val="350"/>
        </w:trPr>
        <w:tc>
          <w:tcPr>
            <w:tcW w:w="1981" w:type="dxa"/>
            <w:tcBorders>
              <w:bottom w:val="single" w:sz="4" w:space="0" w:color="auto"/>
            </w:tcBorders>
          </w:tcPr>
          <w:p w14:paraId="104FDB6E" w14:textId="0AA6064E" w:rsidR="00577D45" w:rsidRPr="00A26E3C" w:rsidRDefault="00577D45" w:rsidP="00A26E3C">
            <w:pPr>
              <w:rPr>
                <w:rFonts w:ascii="Calibri" w:hAnsi="Calibri" w:cs="Calibri"/>
                <w:sz w:val="18"/>
                <w:szCs w:val="18"/>
                <w:lang w:val="en-GB"/>
              </w:rPr>
            </w:pPr>
            <w:r w:rsidRPr="00A26E3C">
              <w:rPr>
                <w:rFonts w:ascii="Calibri" w:hAnsi="Calibri" w:cs="Calibri"/>
                <w:sz w:val="18"/>
                <w:szCs w:val="18"/>
              </w:rPr>
              <w:t>Hold fortnightly progress meetings.</w:t>
            </w:r>
          </w:p>
        </w:tc>
        <w:tc>
          <w:tcPr>
            <w:tcW w:w="506" w:type="dxa"/>
            <w:tcBorders>
              <w:top w:val="nil"/>
              <w:bottom w:val="single" w:sz="4" w:space="0" w:color="auto"/>
            </w:tcBorders>
            <w:vAlign w:val="center"/>
          </w:tcPr>
          <w:p w14:paraId="62A1CED8" w14:textId="47B976E1" w:rsidR="00577D45" w:rsidRPr="00B93E5F" w:rsidRDefault="00B93E5F" w:rsidP="00317C9E">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bottom w:val="single" w:sz="4" w:space="0" w:color="auto"/>
            </w:tcBorders>
            <w:shd w:val="clear" w:color="auto" w:fill="CAEDFB" w:themeFill="accent4" w:themeFillTint="33"/>
            <w:vAlign w:val="center"/>
          </w:tcPr>
          <w:p w14:paraId="74892409" w14:textId="151C8ABF" w:rsidR="00577D45" w:rsidRPr="00B93E5F" w:rsidRDefault="001947EB" w:rsidP="00B93E5F">
            <w:pPr>
              <w:jc w:val="center"/>
              <w:rPr>
                <w:rFonts w:ascii="Calibri" w:hAnsi="Calibri" w:cs="Calibri"/>
                <w:b/>
                <w:bCs/>
                <w:sz w:val="16"/>
                <w:szCs w:val="16"/>
                <w:lang w:val="en-GB"/>
              </w:rPr>
            </w:pPr>
            <w:r w:rsidRPr="00B93E5F">
              <w:rPr>
                <w:rFonts w:ascii="Calibri" w:hAnsi="Calibri" w:cs="Calibri"/>
                <w:b/>
                <w:bCs/>
                <w:color w:val="156082" w:themeColor="accent1"/>
                <w:sz w:val="16"/>
                <w:szCs w:val="16"/>
                <w:lang w:val="en-GB"/>
              </w:rPr>
              <w:t>1</w:t>
            </w:r>
          </w:p>
        </w:tc>
        <w:tc>
          <w:tcPr>
            <w:tcW w:w="506" w:type="dxa"/>
            <w:tcBorders>
              <w:top w:val="nil"/>
              <w:bottom w:val="single" w:sz="4" w:space="0" w:color="auto"/>
            </w:tcBorders>
            <w:vAlign w:val="center"/>
          </w:tcPr>
          <w:p w14:paraId="4C3858DE" w14:textId="715100F5"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bottom w:val="single" w:sz="4" w:space="0" w:color="auto"/>
            </w:tcBorders>
            <w:shd w:val="clear" w:color="auto" w:fill="CAEDFB" w:themeFill="accent4" w:themeFillTint="33"/>
            <w:vAlign w:val="center"/>
          </w:tcPr>
          <w:p w14:paraId="28B61032" w14:textId="03037E62" w:rsidR="00577D45" w:rsidRPr="00B93E5F" w:rsidRDefault="001947EB" w:rsidP="00B93E5F">
            <w:pPr>
              <w:jc w:val="center"/>
              <w:rPr>
                <w:rFonts w:ascii="Calibri" w:hAnsi="Calibri" w:cs="Calibri"/>
                <w:b/>
                <w:bCs/>
                <w:sz w:val="16"/>
                <w:szCs w:val="16"/>
                <w:lang w:val="en-GB"/>
              </w:rPr>
            </w:pPr>
            <w:r w:rsidRPr="00B93E5F">
              <w:rPr>
                <w:rFonts w:ascii="Calibri" w:hAnsi="Calibri" w:cs="Calibri"/>
                <w:b/>
                <w:bCs/>
                <w:color w:val="156082" w:themeColor="accent1"/>
                <w:sz w:val="16"/>
                <w:szCs w:val="16"/>
                <w:lang w:val="en-GB"/>
              </w:rPr>
              <w:t>2</w:t>
            </w:r>
          </w:p>
        </w:tc>
        <w:tc>
          <w:tcPr>
            <w:tcW w:w="506" w:type="dxa"/>
            <w:tcBorders>
              <w:top w:val="nil"/>
              <w:bottom w:val="single" w:sz="4" w:space="0" w:color="auto"/>
            </w:tcBorders>
            <w:vAlign w:val="center"/>
          </w:tcPr>
          <w:p w14:paraId="6B9815F1" w14:textId="6306C1D1"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3" w:type="dxa"/>
            <w:tcBorders>
              <w:top w:val="single" w:sz="4" w:space="0" w:color="auto"/>
              <w:bottom w:val="single" w:sz="4" w:space="0" w:color="auto"/>
            </w:tcBorders>
            <w:shd w:val="clear" w:color="auto" w:fill="CAEDFB" w:themeFill="accent4" w:themeFillTint="33"/>
            <w:vAlign w:val="center"/>
          </w:tcPr>
          <w:p w14:paraId="448EBF34" w14:textId="38142389" w:rsidR="00577D45" w:rsidRPr="00B93E5F" w:rsidRDefault="001947EB" w:rsidP="00B93E5F">
            <w:pPr>
              <w:jc w:val="center"/>
              <w:rPr>
                <w:rFonts w:ascii="Calibri" w:hAnsi="Calibri" w:cs="Calibri"/>
                <w:b/>
                <w:bCs/>
                <w:sz w:val="16"/>
                <w:szCs w:val="16"/>
                <w:lang w:val="en-GB"/>
              </w:rPr>
            </w:pPr>
            <w:r w:rsidRPr="00B93E5F">
              <w:rPr>
                <w:rFonts w:ascii="Calibri" w:hAnsi="Calibri" w:cs="Calibri"/>
                <w:b/>
                <w:bCs/>
                <w:color w:val="156082" w:themeColor="accent1"/>
                <w:sz w:val="16"/>
                <w:szCs w:val="16"/>
                <w:lang w:val="en-GB"/>
              </w:rPr>
              <w:t>3</w:t>
            </w:r>
          </w:p>
        </w:tc>
        <w:tc>
          <w:tcPr>
            <w:tcW w:w="506" w:type="dxa"/>
            <w:tcBorders>
              <w:top w:val="nil"/>
              <w:bottom w:val="single" w:sz="4" w:space="0" w:color="auto"/>
            </w:tcBorders>
            <w:vAlign w:val="center"/>
          </w:tcPr>
          <w:p w14:paraId="334A0316" w14:textId="293A6E5E"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06" w:type="dxa"/>
            <w:tcBorders>
              <w:top w:val="single" w:sz="4" w:space="0" w:color="auto"/>
              <w:bottom w:val="single" w:sz="4" w:space="0" w:color="auto"/>
            </w:tcBorders>
            <w:shd w:val="clear" w:color="auto" w:fill="CAEDFB" w:themeFill="accent4" w:themeFillTint="33"/>
            <w:vAlign w:val="center"/>
          </w:tcPr>
          <w:p w14:paraId="39652AA0" w14:textId="77A3FF82" w:rsidR="00577D45" w:rsidRPr="00B93E5F" w:rsidRDefault="001947EB" w:rsidP="00B93E5F">
            <w:pPr>
              <w:jc w:val="center"/>
              <w:rPr>
                <w:rFonts w:ascii="Calibri" w:hAnsi="Calibri" w:cs="Calibri"/>
                <w:b/>
                <w:bCs/>
                <w:sz w:val="16"/>
                <w:szCs w:val="16"/>
                <w:lang w:val="en-GB"/>
              </w:rPr>
            </w:pPr>
            <w:r w:rsidRPr="00B93E5F">
              <w:rPr>
                <w:rFonts w:ascii="Calibri" w:hAnsi="Calibri" w:cs="Calibri"/>
                <w:b/>
                <w:bCs/>
                <w:color w:val="156082" w:themeColor="accent1"/>
                <w:sz w:val="16"/>
                <w:szCs w:val="16"/>
                <w:lang w:val="en-GB"/>
              </w:rPr>
              <w:t>4</w:t>
            </w:r>
          </w:p>
        </w:tc>
        <w:tc>
          <w:tcPr>
            <w:tcW w:w="506" w:type="dxa"/>
            <w:tcBorders>
              <w:top w:val="nil"/>
              <w:bottom w:val="single" w:sz="4" w:space="0" w:color="auto"/>
            </w:tcBorders>
            <w:vAlign w:val="center"/>
          </w:tcPr>
          <w:p w14:paraId="79210879" w14:textId="5200766C"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bottom w:val="single" w:sz="4" w:space="0" w:color="auto"/>
              <w:right w:val="single" w:sz="4" w:space="0" w:color="auto"/>
            </w:tcBorders>
            <w:shd w:val="clear" w:color="auto" w:fill="CAEDFB" w:themeFill="accent4" w:themeFillTint="33"/>
            <w:vAlign w:val="center"/>
          </w:tcPr>
          <w:p w14:paraId="034F0DAF" w14:textId="012FCA58" w:rsidR="00577D45" w:rsidRPr="00B93E5F" w:rsidRDefault="00B40E41" w:rsidP="00B93E5F">
            <w:pPr>
              <w:jc w:val="center"/>
              <w:rPr>
                <w:rFonts w:ascii="Calibri" w:hAnsi="Calibri" w:cs="Calibri"/>
                <w:b/>
                <w:bCs/>
                <w:sz w:val="16"/>
                <w:szCs w:val="16"/>
                <w:lang w:val="en-GB"/>
              </w:rPr>
            </w:pPr>
            <w:r w:rsidRPr="00B93E5F">
              <w:rPr>
                <w:rFonts w:ascii="Calibri" w:hAnsi="Calibri" w:cs="Calibri"/>
                <w:b/>
                <w:bCs/>
                <w:color w:val="156082" w:themeColor="accent1"/>
                <w:sz w:val="16"/>
                <w:szCs w:val="16"/>
                <w:lang w:val="en-GB"/>
              </w:rPr>
              <w:t>5</w:t>
            </w:r>
          </w:p>
        </w:tc>
        <w:tc>
          <w:tcPr>
            <w:tcW w:w="583" w:type="dxa"/>
            <w:tcBorders>
              <w:top w:val="single" w:sz="4" w:space="0" w:color="auto"/>
              <w:left w:val="single" w:sz="4" w:space="0" w:color="auto"/>
              <w:bottom w:val="single" w:sz="4" w:space="0" w:color="auto"/>
              <w:right w:val="nil"/>
            </w:tcBorders>
            <w:vAlign w:val="center"/>
          </w:tcPr>
          <w:p w14:paraId="0ACCB27E" w14:textId="6EA905BC"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single" w:sz="4" w:space="0" w:color="auto"/>
              <w:left w:val="nil"/>
              <w:bottom w:val="single" w:sz="4" w:space="0" w:color="auto"/>
              <w:right w:val="nil"/>
            </w:tcBorders>
            <w:vAlign w:val="center"/>
          </w:tcPr>
          <w:p w14:paraId="69E83CED" w14:textId="333AAD6C"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583" w:type="dxa"/>
            <w:tcBorders>
              <w:top w:val="nil"/>
              <w:left w:val="nil"/>
              <w:bottom w:val="single" w:sz="4" w:space="0" w:color="auto"/>
              <w:right w:val="nil"/>
            </w:tcBorders>
            <w:vAlign w:val="center"/>
          </w:tcPr>
          <w:p w14:paraId="0D7646EE" w14:textId="6D1DC6F7"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c>
          <w:tcPr>
            <w:tcW w:w="772" w:type="dxa"/>
            <w:tcBorders>
              <w:top w:val="nil"/>
              <w:left w:val="nil"/>
              <w:bottom w:val="single" w:sz="4" w:space="0" w:color="auto"/>
              <w:right w:val="single" w:sz="4" w:space="0" w:color="auto"/>
            </w:tcBorders>
            <w:vAlign w:val="center"/>
          </w:tcPr>
          <w:p w14:paraId="0D8BBFCD" w14:textId="2ABF59D8" w:rsidR="00577D45" w:rsidRPr="00B93E5F" w:rsidRDefault="00B93E5F" w:rsidP="00B93E5F">
            <w:pPr>
              <w:jc w:val="center"/>
              <w:rPr>
                <w:rFonts w:ascii="Calibri" w:hAnsi="Calibri" w:cs="Calibri"/>
                <w:sz w:val="16"/>
                <w:szCs w:val="16"/>
                <w:lang w:val="en-GB"/>
              </w:rPr>
            </w:pPr>
            <w:r w:rsidRPr="00B93E5F">
              <w:rPr>
                <w:rFonts w:ascii="Calibri" w:hAnsi="Calibri" w:cs="Calibri"/>
                <w:sz w:val="16"/>
                <w:szCs w:val="16"/>
                <w:lang w:val="en-GB"/>
              </w:rPr>
              <w:t>N/A</w:t>
            </w:r>
          </w:p>
        </w:tc>
      </w:tr>
    </w:tbl>
    <w:p w14:paraId="0D25DB12" w14:textId="77777777" w:rsidR="0024165A" w:rsidRDefault="0024165A">
      <w:pPr>
        <w:spacing w:after="160" w:line="259" w:lineRule="auto"/>
        <w:rPr>
          <w:rFonts w:ascii="Calibri" w:hAnsi="Calibri" w:cs="Calibri"/>
          <w:b/>
          <w:bCs/>
          <w:sz w:val="22"/>
          <w:szCs w:val="22"/>
          <w:u w:val="single"/>
          <w:lang w:val="en-US"/>
        </w:rPr>
      </w:pPr>
      <w:bookmarkStart w:id="62" w:name="_Toc192742839"/>
      <w:r>
        <w:rPr>
          <w:rFonts w:ascii="Calibri" w:hAnsi="Calibri" w:cs="Calibri"/>
          <w:b/>
          <w:bCs/>
          <w:sz w:val="22"/>
          <w:szCs w:val="22"/>
          <w:u w:val="single"/>
          <w:lang w:val="en-US"/>
        </w:rPr>
        <w:br w:type="page"/>
      </w:r>
    </w:p>
    <w:bookmarkEnd w:id="62"/>
    <w:p w14:paraId="6645C79A" w14:textId="77777777" w:rsidR="00577D45" w:rsidRDefault="00577D45" w:rsidP="00577D45">
      <w:pPr>
        <w:rPr>
          <w:rFonts w:ascii="Calibri" w:hAnsi="Calibri" w:cs="Calibri"/>
          <w:sz w:val="22"/>
          <w:szCs w:val="22"/>
          <w:lang w:val="en-US"/>
        </w:rPr>
        <w:sectPr w:rsidR="00577D45" w:rsidSect="00116737">
          <w:footerReference w:type="even" r:id="rId24"/>
          <w:footerReference w:type="default" r:id="rId25"/>
          <w:footerReference w:type="first" r:id="rId26"/>
          <w:pgSz w:w="12240" w:h="15840"/>
          <w:pgMar w:top="1440" w:right="1440" w:bottom="1440" w:left="1440" w:header="708" w:footer="708" w:gutter="0"/>
          <w:cols w:space="708"/>
          <w:docGrid w:linePitch="360"/>
        </w:sectPr>
      </w:pPr>
    </w:p>
    <w:p w14:paraId="2E3DC37A" w14:textId="77E9D8C7" w:rsidR="008B017C" w:rsidRPr="00AF24FB" w:rsidRDefault="00577D45" w:rsidP="001D2FFD">
      <w:pPr>
        <w:rPr>
          <w:rFonts w:ascii="Calibri" w:hAnsi="Calibri" w:cs="Calibri"/>
          <w:b/>
          <w:bCs/>
          <w:sz w:val="22"/>
          <w:szCs w:val="22"/>
        </w:rPr>
      </w:pPr>
      <w:bookmarkStart w:id="63" w:name="_Toc192742841"/>
      <w:r w:rsidRPr="00AF24FB">
        <w:rPr>
          <w:rFonts w:ascii="Calibri" w:hAnsi="Calibri" w:cs="Calibri"/>
          <w:b/>
          <w:bCs/>
          <w:sz w:val="22"/>
          <w:szCs w:val="22"/>
        </w:rPr>
        <w:lastRenderedPageBreak/>
        <w:t>Annex</w:t>
      </w:r>
      <w:r w:rsidR="00660009" w:rsidRPr="00AF24FB">
        <w:rPr>
          <w:rFonts w:ascii="Calibri" w:hAnsi="Calibri" w:cs="Calibri"/>
          <w:b/>
          <w:bCs/>
          <w:sz w:val="22"/>
          <w:szCs w:val="22"/>
        </w:rPr>
        <w:t xml:space="preserve"> 1</w:t>
      </w:r>
      <w:r w:rsidRPr="00AF24FB">
        <w:rPr>
          <w:rFonts w:ascii="Calibri" w:hAnsi="Calibri" w:cs="Calibri"/>
          <w:b/>
          <w:bCs/>
          <w:sz w:val="22"/>
          <w:szCs w:val="22"/>
        </w:rPr>
        <w:t>: Evidence Matrix</w:t>
      </w:r>
      <w:bookmarkEnd w:id="63"/>
    </w:p>
    <w:tbl>
      <w:tblPr>
        <w:tblStyle w:val="TableGrid"/>
        <w:tblW w:w="14035" w:type="dxa"/>
        <w:tblLook w:val="04A0" w:firstRow="1" w:lastRow="0" w:firstColumn="1" w:lastColumn="0" w:noHBand="0" w:noVBand="1"/>
      </w:tblPr>
      <w:tblGrid>
        <w:gridCol w:w="3415"/>
        <w:gridCol w:w="2817"/>
        <w:gridCol w:w="3753"/>
        <w:gridCol w:w="2160"/>
        <w:gridCol w:w="1890"/>
      </w:tblGrid>
      <w:tr w:rsidR="00577D45" w:rsidRPr="00577D45" w14:paraId="1279FCA5" w14:textId="77777777" w:rsidTr="00660009">
        <w:tc>
          <w:tcPr>
            <w:tcW w:w="3415" w:type="dxa"/>
            <w:shd w:val="clear" w:color="auto" w:fill="CAEDFB" w:themeFill="accent4" w:themeFillTint="33"/>
          </w:tcPr>
          <w:p w14:paraId="3A9C2AC1"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KEQ – Primary Question</w:t>
            </w:r>
          </w:p>
        </w:tc>
        <w:tc>
          <w:tcPr>
            <w:tcW w:w="2817" w:type="dxa"/>
            <w:shd w:val="clear" w:color="auto" w:fill="CAEDFB" w:themeFill="accent4" w:themeFillTint="33"/>
          </w:tcPr>
          <w:p w14:paraId="142101D0"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Commentary and Evidence</w:t>
            </w:r>
          </w:p>
        </w:tc>
        <w:tc>
          <w:tcPr>
            <w:tcW w:w="3753" w:type="dxa"/>
            <w:shd w:val="clear" w:color="auto" w:fill="CAEDFB" w:themeFill="accent4" w:themeFillTint="33"/>
          </w:tcPr>
          <w:p w14:paraId="514F37EB"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Data source</w:t>
            </w:r>
          </w:p>
        </w:tc>
        <w:tc>
          <w:tcPr>
            <w:tcW w:w="2160" w:type="dxa"/>
            <w:shd w:val="clear" w:color="auto" w:fill="CAEDFB" w:themeFill="accent4" w:themeFillTint="33"/>
          </w:tcPr>
          <w:p w14:paraId="6721046A"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Target Group for interviews</w:t>
            </w:r>
          </w:p>
        </w:tc>
        <w:tc>
          <w:tcPr>
            <w:tcW w:w="1890" w:type="dxa"/>
            <w:shd w:val="clear" w:color="auto" w:fill="CAEDFB" w:themeFill="accent4" w:themeFillTint="33"/>
          </w:tcPr>
          <w:p w14:paraId="78B352BC"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Rating</w:t>
            </w:r>
          </w:p>
        </w:tc>
      </w:tr>
      <w:tr w:rsidR="00577D45" w:rsidRPr="00577D45" w14:paraId="15CBF870" w14:textId="77777777" w:rsidTr="00660009">
        <w:tc>
          <w:tcPr>
            <w:tcW w:w="3415" w:type="dxa"/>
          </w:tcPr>
          <w:p w14:paraId="6CDE13A4" w14:textId="77777777" w:rsidR="00577D45" w:rsidRPr="00A26E3C" w:rsidRDefault="00577D45" w:rsidP="00A26E3C">
            <w:pPr>
              <w:rPr>
                <w:rFonts w:ascii="Calibri" w:hAnsi="Calibri" w:cs="Calibri"/>
                <w:color w:val="000000"/>
                <w:sz w:val="22"/>
                <w:szCs w:val="22"/>
              </w:rPr>
            </w:pPr>
            <w:r w:rsidRPr="00A26E3C">
              <w:rPr>
                <w:rFonts w:ascii="Calibri" w:hAnsi="Calibri" w:cs="Calibri"/>
                <w:color w:val="000000"/>
                <w:sz w:val="22"/>
                <w:szCs w:val="22"/>
              </w:rPr>
              <w:t>Relevance and Efficiency: To what extent was the FPSDP able to respond and adapt to the needs of the private sector and client government agencies in Fiji?</w:t>
            </w:r>
          </w:p>
        </w:tc>
        <w:tc>
          <w:tcPr>
            <w:tcW w:w="2817" w:type="dxa"/>
          </w:tcPr>
          <w:p w14:paraId="1EA46248"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Overall Findings:</w:t>
            </w:r>
          </w:p>
          <w:p w14:paraId="235B269F" w14:textId="77777777" w:rsidR="00577D45" w:rsidRPr="00A26E3C" w:rsidRDefault="00577D45" w:rsidP="00577D45">
            <w:pPr>
              <w:rPr>
                <w:rFonts w:ascii="Calibri" w:hAnsi="Calibri" w:cs="Calibri"/>
                <w:sz w:val="22"/>
                <w:szCs w:val="22"/>
                <w:lang w:val="en-US"/>
              </w:rPr>
            </w:pPr>
          </w:p>
          <w:p w14:paraId="7AE559A8"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Commentary of each Sub-Question:</w:t>
            </w:r>
          </w:p>
        </w:tc>
        <w:tc>
          <w:tcPr>
            <w:tcW w:w="3753" w:type="dxa"/>
          </w:tcPr>
          <w:p w14:paraId="4BAD6F34"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Desk Review of meeting minutes, activity proposals and program reports.</w:t>
            </w:r>
          </w:p>
          <w:p w14:paraId="578FEA64" w14:textId="77777777" w:rsidR="00577D45" w:rsidRPr="00A26E3C" w:rsidRDefault="00577D45" w:rsidP="00577D45">
            <w:pPr>
              <w:rPr>
                <w:rFonts w:ascii="Calibri" w:hAnsi="Calibri" w:cs="Calibri"/>
                <w:sz w:val="22"/>
                <w:szCs w:val="22"/>
                <w:lang w:val="en-US"/>
              </w:rPr>
            </w:pPr>
          </w:p>
          <w:p w14:paraId="471FE9A0"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KIIs with IFC/DFAT</w:t>
            </w:r>
          </w:p>
          <w:p w14:paraId="2E527D29"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Targeted KIIs for senior GoF representatives</w:t>
            </w:r>
          </w:p>
        </w:tc>
        <w:tc>
          <w:tcPr>
            <w:tcW w:w="2160" w:type="dxa"/>
          </w:tcPr>
          <w:p w14:paraId="2D986629"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DFAT/IFC/WBG</w:t>
            </w:r>
          </w:p>
          <w:p w14:paraId="4A940BAF"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Senior GoF representatives</w:t>
            </w:r>
          </w:p>
          <w:p w14:paraId="2C911BC8"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Project stakeholders</w:t>
            </w:r>
          </w:p>
        </w:tc>
        <w:tc>
          <w:tcPr>
            <w:tcW w:w="1890" w:type="dxa"/>
          </w:tcPr>
          <w:p w14:paraId="55E38E03"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Apply IFC’s standard rating system to assess each OECD-DAC criterion.</w:t>
            </w:r>
          </w:p>
        </w:tc>
      </w:tr>
      <w:tr w:rsidR="00577D45" w:rsidRPr="00577D45" w14:paraId="15D27B1C" w14:textId="77777777" w:rsidTr="00660009">
        <w:tc>
          <w:tcPr>
            <w:tcW w:w="3415" w:type="dxa"/>
          </w:tcPr>
          <w:p w14:paraId="4D069104" w14:textId="77777777" w:rsidR="00577D45" w:rsidRPr="00A26E3C" w:rsidRDefault="00577D45" w:rsidP="00577D45">
            <w:pPr>
              <w:rPr>
                <w:rFonts w:ascii="Calibri" w:hAnsi="Calibri" w:cs="Calibri"/>
                <w:sz w:val="22"/>
                <w:szCs w:val="22"/>
                <w:lang w:val="en-US"/>
              </w:rPr>
            </w:pPr>
            <w:r w:rsidRPr="00A26E3C">
              <w:rPr>
                <w:rFonts w:ascii="Calibri" w:hAnsi="Calibri" w:cs="Calibri"/>
                <w:color w:val="000000"/>
                <w:sz w:val="22"/>
                <w:szCs w:val="22"/>
              </w:rPr>
              <w:t>Coherence: To what extent did the FPSDP and its interventions complement (and collaborate with) other private sector development work being undertaken in Fiji?</w:t>
            </w:r>
          </w:p>
        </w:tc>
        <w:tc>
          <w:tcPr>
            <w:tcW w:w="2817" w:type="dxa"/>
          </w:tcPr>
          <w:p w14:paraId="0FF6265D"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Overall Findings:</w:t>
            </w:r>
          </w:p>
          <w:p w14:paraId="712A8471" w14:textId="77777777" w:rsidR="00577D45" w:rsidRPr="00A26E3C" w:rsidRDefault="00577D45" w:rsidP="00577D45">
            <w:pPr>
              <w:rPr>
                <w:rFonts w:ascii="Calibri" w:hAnsi="Calibri" w:cs="Calibri"/>
                <w:sz w:val="22"/>
                <w:szCs w:val="22"/>
                <w:lang w:val="en-US"/>
              </w:rPr>
            </w:pPr>
          </w:p>
          <w:p w14:paraId="0727C7E8"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Commentary of each Sub-Question</w:t>
            </w:r>
          </w:p>
        </w:tc>
        <w:tc>
          <w:tcPr>
            <w:tcW w:w="3753" w:type="dxa"/>
          </w:tcPr>
          <w:p w14:paraId="1C2CD57E"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KIIs with IFC/DFAT</w:t>
            </w:r>
          </w:p>
          <w:p w14:paraId="7F06FDD0" w14:textId="77777777" w:rsidR="00577D45" w:rsidRPr="00A26E3C" w:rsidRDefault="00577D45" w:rsidP="00577D45">
            <w:pPr>
              <w:rPr>
                <w:rFonts w:ascii="Calibri" w:hAnsi="Calibri" w:cs="Calibri"/>
                <w:sz w:val="22"/>
                <w:szCs w:val="22"/>
                <w:lang w:val="en-US"/>
              </w:rPr>
            </w:pPr>
          </w:p>
        </w:tc>
        <w:tc>
          <w:tcPr>
            <w:tcW w:w="2160" w:type="dxa"/>
          </w:tcPr>
          <w:p w14:paraId="4A4419DC"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DFAT/IFC/WBG</w:t>
            </w:r>
          </w:p>
          <w:p w14:paraId="31A0EC28" w14:textId="77777777" w:rsidR="00577D45" w:rsidRPr="00A26E3C" w:rsidRDefault="00577D45" w:rsidP="00577D45">
            <w:pPr>
              <w:rPr>
                <w:rFonts w:ascii="Calibri" w:hAnsi="Calibri" w:cs="Calibri"/>
                <w:sz w:val="22"/>
                <w:szCs w:val="22"/>
                <w:lang w:val="en-US"/>
              </w:rPr>
            </w:pPr>
          </w:p>
        </w:tc>
        <w:tc>
          <w:tcPr>
            <w:tcW w:w="1890" w:type="dxa"/>
          </w:tcPr>
          <w:p w14:paraId="05908F34"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Apply IFC’s standard rating system to assess each OECD-DAC criterion</w:t>
            </w:r>
          </w:p>
        </w:tc>
      </w:tr>
      <w:tr w:rsidR="00577D45" w:rsidRPr="00577D45" w14:paraId="2877046E" w14:textId="77777777" w:rsidTr="00660009">
        <w:tc>
          <w:tcPr>
            <w:tcW w:w="3415" w:type="dxa"/>
          </w:tcPr>
          <w:p w14:paraId="46C9A402" w14:textId="77777777" w:rsidR="00577D45" w:rsidRPr="00A26E3C" w:rsidRDefault="00577D45" w:rsidP="00A26E3C">
            <w:pPr>
              <w:rPr>
                <w:rFonts w:ascii="Calibri" w:hAnsi="Calibri" w:cs="Calibri"/>
                <w:color w:val="000000"/>
                <w:sz w:val="22"/>
                <w:szCs w:val="22"/>
              </w:rPr>
            </w:pPr>
            <w:r w:rsidRPr="00A26E3C">
              <w:rPr>
                <w:rFonts w:ascii="Calibri" w:hAnsi="Calibri" w:cs="Calibri"/>
                <w:color w:val="000000"/>
                <w:sz w:val="22"/>
                <w:szCs w:val="22"/>
              </w:rPr>
              <w:t>Effectiveness and impact: To what extent has the FPDSP delivered its anticipated impacts, with particular reference to the evaluative questions in the M&amp;E framework?</w:t>
            </w:r>
          </w:p>
        </w:tc>
        <w:tc>
          <w:tcPr>
            <w:tcW w:w="2817" w:type="dxa"/>
          </w:tcPr>
          <w:p w14:paraId="40A5BB77"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Overall Findings:</w:t>
            </w:r>
          </w:p>
          <w:p w14:paraId="31159CCC" w14:textId="77777777" w:rsidR="00577D45" w:rsidRPr="00A26E3C" w:rsidRDefault="00577D45" w:rsidP="00577D45">
            <w:pPr>
              <w:rPr>
                <w:rFonts w:ascii="Calibri" w:hAnsi="Calibri" w:cs="Calibri"/>
                <w:sz w:val="22"/>
                <w:szCs w:val="22"/>
                <w:lang w:val="en-US"/>
              </w:rPr>
            </w:pPr>
          </w:p>
          <w:p w14:paraId="252D0C69"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Commentary of each Sub-Question</w:t>
            </w:r>
          </w:p>
        </w:tc>
        <w:tc>
          <w:tcPr>
            <w:tcW w:w="3753" w:type="dxa"/>
          </w:tcPr>
          <w:p w14:paraId="4C41EADD"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Desk Review of meeting minutes, activity proposals and program reports.</w:t>
            </w:r>
          </w:p>
          <w:p w14:paraId="17DC0E82" w14:textId="77777777" w:rsidR="00577D45" w:rsidRPr="00A26E3C" w:rsidRDefault="00577D45" w:rsidP="00577D45">
            <w:pPr>
              <w:rPr>
                <w:rFonts w:ascii="Calibri" w:hAnsi="Calibri" w:cs="Calibri"/>
                <w:sz w:val="22"/>
                <w:szCs w:val="22"/>
                <w:lang w:val="en-US"/>
              </w:rPr>
            </w:pPr>
          </w:p>
          <w:p w14:paraId="70254C1E"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KIIs with IFC/DFAT</w:t>
            </w:r>
          </w:p>
          <w:p w14:paraId="61E61242"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Targeted KIIs for senior GoF representatives</w:t>
            </w:r>
          </w:p>
        </w:tc>
        <w:tc>
          <w:tcPr>
            <w:tcW w:w="2160" w:type="dxa"/>
          </w:tcPr>
          <w:p w14:paraId="52575574"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DFAT/IFC/WBG</w:t>
            </w:r>
          </w:p>
          <w:p w14:paraId="7B76170F"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Senior GoF representatives</w:t>
            </w:r>
          </w:p>
          <w:p w14:paraId="7C5F8512"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Project stakeholders</w:t>
            </w:r>
          </w:p>
        </w:tc>
        <w:tc>
          <w:tcPr>
            <w:tcW w:w="1890" w:type="dxa"/>
          </w:tcPr>
          <w:p w14:paraId="7780EFA8"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Apply IFC’s standard rating system to assess each OECD-DAC criterion</w:t>
            </w:r>
          </w:p>
        </w:tc>
      </w:tr>
      <w:tr w:rsidR="00577D45" w:rsidRPr="00577D45" w14:paraId="34665D1C" w14:textId="77777777" w:rsidTr="00660009">
        <w:tc>
          <w:tcPr>
            <w:tcW w:w="3415" w:type="dxa"/>
          </w:tcPr>
          <w:p w14:paraId="78F1C84C" w14:textId="77777777" w:rsidR="00577D45" w:rsidRPr="00A26E3C" w:rsidRDefault="00577D45" w:rsidP="00577D45">
            <w:pPr>
              <w:rPr>
                <w:rFonts w:ascii="Calibri" w:hAnsi="Calibri" w:cs="Calibri"/>
                <w:sz w:val="22"/>
                <w:szCs w:val="22"/>
                <w:lang w:val="en-US"/>
              </w:rPr>
            </w:pPr>
            <w:r w:rsidRPr="00A26E3C">
              <w:rPr>
                <w:rFonts w:ascii="Calibri" w:hAnsi="Calibri" w:cs="Calibri"/>
                <w:color w:val="000000"/>
                <w:sz w:val="22"/>
                <w:szCs w:val="22"/>
              </w:rPr>
              <w:t>Sustainability: What are the overall highlights and lessons learned for the Partnership in terms of design of private sector development and investment programming in Fiji?</w:t>
            </w:r>
          </w:p>
        </w:tc>
        <w:tc>
          <w:tcPr>
            <w:tcW w:w="2817" w:type="dxa"/>
          </w:tcPr>
          <w:p w14:paraId="6E9E11BA"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Overall Findings:</w:t>
            </w:r>
          </w:p>
          <w:p w14:paraId="411B1205" w14:textId="77777777" w:rsidR="00577D45" w:rsidRPr="00A26E3C" w:rsidRDefault="00577D45" w:rsidP="00577D45">
            <w:pPr>
              <w:rPr>
                <w:rFonts w:ascii="Calibri" w:hAnsi="Calibri" w:cs="Calibri"/>
                <w:sz w:val="22"/>
                <w:szCs w:val="22"/>
                <w:lang w:val="en-US"/>
              </w:rPr>
            </w:pPr>
          </w:p>
          <w:p w14:paraId="468F10A0"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Commentary of each Sub-Question</w:t>
            </w:r>
          </w:p>
        </w:tc>
        <w:tc>
          <w:tcPr>
            <w:tcW w:w="3753" w:type="dxa"/>
          </w:tcPr>
          <w:p w14:paraId="797D968C"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Desk Review of meeting minutes, activity proposals and program reports.</w:t>
            </w:r>
          </w:p>
          <w:p w14:paraId="6205838D" w14:textId="77777777" w:rsidR="00577D45" w:rsidRPr="00A26E3C" w:rsidRDefault="00577D45" w:rsidP="00577D45">
            <w:pPr>
              <w:rPr>
                <w:rFonts w:ascii="Calibri" w:hAnsi="Calibri" w:cs="Calibri"/>
                <w:sz w:val="22"/>
                <w:szCs w:val="22"/>
                <w:lang w:val="en-US"/>
              </w:rPr>
            </w:pPr>
          </w:p>
          <w:p w14:paraId="08949A75"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KIIs with IFC/DFAT</w:t>
            </w:r>
          </w:p>
          <w:p w14:paraId="47F63300"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Targeted KIIs for senior GoF representatives</w:t>
            </w:r>
          </w:p>
        </w:tc>
        <w:tc>
          <w:tcPr>
            <w:tcW w:w="2160" w:type="dxa"/>
          </w:tcPr>
          <w:p w14:paraId="4B0F5F31"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DFAT/IFC/WBG</w:t>
            </w:r>
          </w:p>
          <w:p w14:paraId="27C3ACA0"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Senior GoF representatives</w:t>
            </w:r>
          </w:p>
          <w:p w14:paraId="18C23717"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Project stakeholders</w:t>
            </w:r>
          </w:p>
        </w:tc>
        <w:tc>
          <w:tcPr>
            <w:tcW w:w="1890" w:type="dxa"/>
          </w:tcPr>
          <w:p w14:paraId="6DC83356"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Apply IFC’s standard rating system to assess each OECD-DAC criterion</w:t>
            </w:r>
          </w:p>
        </w:tc>
      </w:tr>
      <w:tr w:rsidR="00577D45" w:rsidRPr="00577D45" w14:paraId="49F2BA3B" w14:textId="77777777" w:rsidTr="00660009">
        <w:tc>
          <w:tcPr>
            <w:tcW w:w="3415" w:type="dxa"/>
          </w:tcPr>
          <w:p w14:paraId="560EC02E"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Future Directions: Based on the evidence presented above, what structure and approach should FPDSP consider building upon the gains and achievements to date?</w:t>
            </w:r>
          </w:p>
        </w:tc>
        <w:tc>
          <w:tcPr>
            <w:tcW w:w="2817" w:type="dxa"/>
          </w:tcPr>
          <w:p w14:paraId="0EEF89B8"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Overall Findings:</w:t>
            </w:r>
          </w:p>
          <w:p w14:paraId="168305A1" w14:textId="77777777" w:rsidR="00577D45" w:rsidRPr="00A26E3C" w:rsidRDefault="00577D45" w:rsidP="00577D45">
            <w:pPr>
              <w:rPr>
                <w:rFonts w:ascii="Calibri" w:hAnsi="Calibri" w:cs="Calibri"/>
                <w:sz w:val="22"/>
                <w:szCs w:val="22"/>
                <w:lang w:val="en-US"/>
              </w:rPr>
            </w:pPr>
          </w:p>
          <w:p w14:paraId="3B7BA44A"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Commentary of each Sub-Question</w:t>
            </w:r>
          </w:p>
        </w:tc>
        <w:tc>
          <w:tcPr>
            <w:tcW w:w="3753" w:type="dxa"/>
          </w:tcPr>
          <w:p w14:paraId="115A8A92"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KIIs with IFC/DFAT</w:t>
            </w:r>
          </w:p>
          <w:p w14:paraId="5982B4CA"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Targeted KIIs for senior GoF representatives</w:t>
            </w:r>
          </w:p>
        </w:tc>
        <w:tc>
          <w:tcPr>
            <w:tcW w:w="2160" w:type="dxa"/>
          </w:tcPr>
          <w:p w14:paraId="065E9A9A"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DFAT/IFC/WBG</w:t>
            </w:r>
          </w:p>
          <w:p w14:paraId="765DCB07"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Senior GoF representatives</w:t>
            </w:r>
          </w:p>
          <w:p w14:paraId="0742B785"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Project stakeholders</w:t>
            </w:r>
          </w:p>
        </w:tc>
        <w:tc>
          <w:tcPr>
            <w:tcW w:w="1890" w:type="dxa"/>
          </w:tcPr>
          <w:p w14:paraId="2587130E"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t>Apply IFC’s standard rating system to assess each OECD-DAC criterion</w:t>
            </w:r>
          </w:p>
        </w:tc>
      </w:tr>
    </w:tbl>
    <w:p w14:paraId="7FDF4179" w14:textId="77777777" w:rsidR="00577D45" w:rsidRPr="00A26E3C" w:rsidRDefault="00577D45" w:rsidP="00577D45">
      <w:pPr>
        <w:rPr>
          <w:rFonts w:ascii="Calibri" w:hAnsi="Calibri" w:cs="Calibri"/>
          <w:sz w:val="22"/>
          <w:szCs w:val="22"/>
          <w:lang w:val="en-US"/>
        </w:rPr>
      </w:pPr>
      <w:r w:rsidRPr="00A26E3C">
        <w:rPr>
          <w:rFonts w:ascii="Calibri" w:hAnsi="Calibri" w:cs="Calibri"/>
          <w:sz w:val="22"/>
          <w:szCs w:val="22"/>
          <w:lang w:val="en-US"/>
        </w:rPr>
        <w:br w:type="page"/>
      </w:r>
    </w:p>
    <w:p w14:paraId="32DFA935" w14:textId="7D1A77BC" w:rsidR="00577D45" w:rsidRPr="00636087" w:rsidRDefault="00577D45" w:rsidP="008B017C">
      <w:pPr>
        <w:rPr>
          <w:rFonts w:ascii="Calibri" w:hAnsi="Calibri" w:cs="Calibri"/>
          <w:b/>
          <w:bCs/>
          <w:sz w:val="22"/>
          <w:szCs w:val="22"/>
        </w:rPr>
      </w:pPr>
      <w:bookmarkStart w:id="64" w:name="_Toc192742842"/>
      <w:r w:rsidRPr="00636087">
        <w:rPr>
          <w:rFonts w:ascii="Calibri" w:hAnsi="Calibri" w:cs="Calibri"/>
          <w:b/>
          <w:bCs/>
          <w:sz w:val="22"/>
          <w:szCs w:val="22"/>
        </w:rPr>
        <w:lastRenderedPageBreak/>
        <w:t xml:space="preserve">Annex </w:t>
      </w:r>
      <w:r w:rsidR="00660009" w:rsidRPr="00636087">
        <w:rPr>
          <w:rFonts w:ascii="Calibri" w:hAnsi="Calibri" w:cs="Calibri"/>
          <w:b/>
          <w:bCs/>
          <w:sz w:val="22"/>
          <w:szCs w:val="22"/>
        </w:rPr>
        <w:t>2</w:t>
      </w:r>
      <w:r w:rsidRPr="00636087">
        <w:rPr>
          <w:rFonts w:ascii="Calibri" w:hAnsi="Calibri" w:cs="Calibri"/>
          <w:b/>
          <w:bCs/>
          <w:sz w:val="22"/>
          <w:szCs w:val="22"/>
        </w:rPr>
        <w:t>: FPSDP Results Framework</w:t>
      </w:r>
      <w:bookmarkEnd w:id="64"/>
    </w:p>
    <w:tbl>
      <w:tblPr>
        <w:tblStyle w:val="TableGrid"/>
        <w:tblW w:w="5001" w:type="pct"/>
        <w:tblInd w:w="-113" w:type="dxa"/>
        <w:tblLook w:val="04A0" w:firstRow="1" w:lastRow="0" w:firstColumn="1" w:lastColumn="0" w:noHBand="0" w:noVBand="1"/>
      </w:tblPr>
      <w:tblGrid>
        <w:gridCol w:w="2087"/>
        <w:gridCol w:w="2611"/>
        <w:gridCol w:w="6119"/>
        <w:gridCol w:w="1260"/>
        <w:gridCol w:w="1856"/>
      </w:tblGrid>
      <w:tr w:rsidR="00577D45" w:rsidRPr="00577D45" w14:paraId="0C8B15FF" w14:textId="77777777" w:rsidTr="00667A67">
        <w:trPr>
          <w:trHeight w:val="350"/>
          <w:tblHeader/>
        </w:trPr>
        <w:tc>
          <w:tcPr>
            <w:tcW w:w="749" w:type="pct"/>
            <w:shd w:val="clear" w:color="auto" w:fill="CAEDFB" w:themeFill="accent4" w:themeFillTint="33"/>
          </w:tcPr>
          <w:p w14:paraId="496B1F75" w14:textId="2A740798"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Program </w:t>
            </w:r>
            <w:r w:rsidR="002E5779">
              <w:rPr>
                <w:rFonts w:ascii="Calibri" w:hAnsi="Calibri" w:cs="Calibri"/>
                <w:sz w:val="22"/>
                <w:szCs w:val="22"/>
              </w:rPr>
              <w:t>E</w:t>
            </w:r>
            <w:r w:rsidRPr="00A26E3C">
              <w:rPr>
                <w:rFonts w:ascii="Calibri" w:hAnsi="Calibri" w:cs="Calibri"/>
                <w:sz w:val="22"/>
                <w:szCs w:val="22"/>
              </w:rPr>
              <w:t>lement</w:t>
            </w:r>
          </w:p>
        </w:tc>
        <w:tc>
          <w:tcPr>
            <w:tcW w:w="937" w:type="pct"/>
            <w:shd w:val="clear" w:color="auto" w:fill="CAEDFB" w:themeFill="accent4" w:themeFillTint="33"/>
          </w:tcPr>
          <w:p w14:paraId="2DA2B71A"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Outcomes</w:t>
            </w:r>
          </w:p>
        </w:tc>
        <w:tc>
          <w:tcPr>
            <w:tcW w:w="2196" w:type="pct"/>
            <w:shd w:val="clear" w:color="auto" w:fill="CAEDFB" w:themeFill="accent4" w:themeFillTint="33"/>
          </w:tcPr>
          <w:p w14:paraId="565733FD"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Indicators</w:t>
            </w:r>
            <w:r w:rsidRPr="00A26E3C">
              <w:rPr>
                <w:rStyle w:val="FootnoteReference"/>
                <w:rFonts w:ascii="Calibri" w:hAnsi="Calibri" w:cs="Calibri"/>
                <w:b/>
                <w:bCs/>
                <w:sz w:val="22"/>
                <w:szCs w:val="22"/>
              </w:rPr>
              <w:footnoteReference w:id="20"/>
            </w:r>
            <w:r w:rsidRPr="00A26E3C">
              <w:rPr>
                <w:rFonts w:ascii="Calibri" w:hAnsi="Calibri" w:cs="Calibri"/>
                <w:sz w:val="22"/>
                <w:szCs w:val="22"/>
              </w:rPr>
              <w:t>/ Evaluative questions</w:t>
            </w:r>
            <w:r w:rsidRPr="00A26E3C">
              <w:rPr>
                <w:rStyle w:val="FootnoteReference"/>
                <w:rFonts w:ascii="Calibri" w:hAnsi="Calibri" w:cs="Calibri"/>
                <w:b/>
                <w:bCs/>
                <w:sz w:val="22"/>
                <w:szCs w:val="22"/>
              </w:rPr>
              <w:footnoteReference w:id="21"/>
            </w:r>
          </w:p>
        </w:tc>
        <w:tc>
          <w:tcPr>
            <w:tcW w:w="452" w:type="pct"/>
            <w:shd w:val="clear" w:color="auto" w:fill="CAEDFB" w:themeFill="accent4" w:themeFillTint="33"/>
          </w:tcPr>
          <w:p w14:paraId="6A725F0D"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Source</w:t>
            </w:r>
          </w:p>
        </w:tc>
        <w:tc>
          <w:tcPr>
            <w:tcW w:w="666" w:type="pct"/>
            <w:shd w:val="clear" w:color="auto" w:fill="CAEDFB" w:themeFill="accent4" w:themeFillTint="33"/>
          </w:tcPr>
          <w:p w14:paraId="40B57660"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Responsibility</w:t>
            </w:r>
          </w:p>
        </w:tc>
      </w:tr>
      <w:tr w:rsidR="00577D45" w:rsidRPr="00577D45" w14:paraId="6E286DF4" w14:textId="77777777" w:rsidTr="00667A67">
        <w:trPr>
          <w:trHeight w:val="3680"/>
        </w:trPr>
        <w:tc>
          <w:tcPr>
            <w:tcW w:w="749" w:type="pct"/>
          </w:tcPr>
          <w:p w14:paraId="4ED7984D"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Pillar One </w:t>
            </w:r>
          </w:p>
          <w:p w14:paraId="3FFA9272"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Enabling environment for the private sector</w:t>
            </w:r>
          </w:p>
        </w:tc>
        <w:tc>
          <w:tcPr>
            <w:tcW w:w="937" w:type="pct"/>
          </w:tcPr>
          <w:p w14:paraId="0AD0FC67"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Improved legal and regulatory environment through the implementation of reforms that respond to private sector needs.</w:t>
            </w:r>
          </w:p>
          <w:p w14:paraId="0E6FBEDB" w14:textId="77777777" w:rsidR="00577D45" w:rsidRPr="00A26E3C" w:rsidRDefault="00577D45" w:rsidP="00A26E3C">
            <w:pPr>
              <w:rPr>
                <w:rFonts w:ascii="Calibri" w:hAnsi="Calibri" w:cs="Calibri"/>
                <w:sz w:val="22"/>
                <w:szCs w:val="22"/>
              </w:rPr>
            </w:pPr>
          </w:p>
          <w:p w14:paraId="6FF99D50"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Improved predictability, accountability and transparency of G2B services that respond to private sector needs.</w:t>
            </w:r>
          </w:p>
        </w:tc>
        <w:tc>
          <w:tcPr>
            <w:tcW w:w="2196" w:type="pct"/>
          </w:tcPr>
          <w:p w14:paraId="56150A63" w14:textId="77777777" w:rsidR="00577D45" w:rsidRPr="00A26E3C" w:rsidRDefault="00577D45" w:rsidP="00A26E3C">
            <w:pPr>
              <w:rPr>
                <w:rFonts w:ascii="Calibri" w:hAnsi="Calibri" w:cs="Calibri"/>
                <w:color w:val="000000"/>
                <w:sz w:val="22"/>
                <w:szCs w:val="22"/>
                <w:lang w:eastAsia="en-AU"/>
              </w:rPr>
            </w:pPr>
            <w:r w:rsidRPr="00A26E3C">
              <w:rPr>
                <w:rFonts w:ascii="Calibri" w:hAnsi="Calibri" w:cs="Calibri"/>
                <w:color w:val="000000"/>
                <w:sz w:val="22"/>
                <w:szCs w:val="22"/>
                <w:lang w:eastAsia="en-AU"/>
              </w:rPr>
              <w:t xml:space="preserve">Number of entities that implemented recommended changes. </w:t>
            </w:r>
          </w:p>
          <w:p w14:paraId="003C4944" w14:textId="77777777" w:rsidR="00577D45" w:rsidRPr="00A26E3C" w:rsidRDefault="00577D45" w:rsidP="00A26E3C">
            <w:pPr>
              <w:rPr>
                <w:rFonts w:ascii="Calibri" w:hAnsi="Calibri" w:cs="Calibri"/>
                <w:color w:val="000000"/>
                <w:sz w:val="22"/>
                <w:szCs w:val="22"/>
                <w:lang w:eastAsia="en-AU"/>
              </w:rPr>
            </w:pPr>
            <w:r w:rsidRPr="00A26E3C">
              <w:rPr>
                <w:rFonts w:ascii="Calibri" w:hAnsi="Calibri" w:cs="Calibri"/>
                <w:color w:val="000000"/>
                <w:sz w:val="22"/>
                <w:szCs w:val="22"/>
                <w:lang w:eastAsia="en-AU"/>
              </w:rPr>
              <w:t>Number of recommended laws/regulations/amendments/codes enacted or government policies adopted</w:t>
            </w:r>
          </w:p>
          <w:p w14:paraId="23D36C41" w14:textId="77777777" w:rsidR="00577D45" w:rsidRPr="00A26E3C" w:rsidRDefault="00577D45" w:rsidP="00A26E3C">
            <w:pPr>
              <w:rPr>
                <w:rFonts w:ascii="Calibri" w:hAnsi="Calibri" w:cs="Calibri"/>
                <w:color w:val="000000"/>
                <w:sz w:val="22"/>
                <w:szCs w:val="22"/>
                <w:lang w:eastAsia="en-AU"/>
              </w:rPr>
            </w:pPr>
            <w:r w:rsidRPr="00A26E3C">
              <w:rPr>
                <w:rFonts w:ascii="Calibri" w:hAnsi="Calibri" w:cs="Calibri"/>
                <w:color w:val="000000"/>
                <w:sz w:val="22"/>
                <w:szCs w:val="22"/>
                <w:lang w:eastAsia="en-AU"/>
              </w:rPr>
              <w:t>Number of recommended procedures/firm-level policies/practices/standards that were improved or eliminated.</w:t>
            </w:r>
          </w:p>
          <w:p w14:paraId="00ECB616" w14:textId="77777777" w:rsidR="00577D45" w:rsidRPr="00A26E3C" w:rsidRDefault="00577D45" w:rsidP="00A26E3C">
            <w:pPr>
              <w:rPr>
                <w:rFonts w:ascii="Calibri" w:hAnsi="Calibri" w:cs="Calibri"/>
                <w:color w:val="000000"/>
                <w:sz w:val="22"/>
                <w:szCs w:val="22"/>
              </w:rPr>
            </w:pPr>
          </w:p>
          <w:p w14:paraId="14121BE6" w14:textId="77777777" w:rsidR="00577D45" w:rsidRPr="00A26E3C" w:rsidRDefault="00577D45" w:rsidP="00A26E3C">
            <w:pPr>
              <w:rPr>
                <w:rFonts w:ascii="Calibri" w:hAnsi="Calibri" w:cs="Calibri"/>
                <w:i/>
                <w:iCs/>
                <w:color w:val="000000"/>
                <w:sz w:val="22"/>
                <w:szCs w:val="22"/>
              </w:rPr>
            </w:pPr>
            <w:r w:rsidRPr="00A26E3C">
              <w:rPr>
                <w:rFonts w:ascii="Calibri" w:hAnsi="Calibri" w:cs="Calibri"/>
                <w:i/>
                <w:iCs/>
                <w:color w:val="000000"/>
                <w:sz w:val="22"/>
                <w:szCs w:val="22"/>
              </w:rPr>
              <w:t>In what ways has IFC supported the finalisation of reforms/laws/policies etc. that respond/ enable the environment  for the private sector in Fiji?</w:t>
            </w:r>
          </w:p>
          <w:p w14:paraId="15C4F8FC" w14:textId="77777777" w:rsidR="00577D45" w:rsidRPr="00A26E3C" w:rsidRDefault="00577D45" w:rsidP="00A26E3C">
            <w:pPr>
              <w:rPr>
                <w:rFonts w:ascii="Calibri" w:hAnsi="Calibri" w:cs="Calibri"/>
                <w:sz w:val="22"/>
                <w:szCs w:val="22"/>
                <w:lang w:eastAsia="en-AU"/>
              </w:rPr>
            </w:pPr>
          </w:p>
          <w:p w14:paraId="4090A3E4" w14:textId="77777777" w:rsidR="00577D45" w:rsidRPr="00A26E3C" w:rsidRDefault="00577D45" w:rsidP="00A26E3C">
            <w:pPr>
              <w:rPr>
                <w:rFonts w:ascii="Calibri" w:hAnsi="Calibri" w:cs="Calibri"/>
                <w:sz w:val="22"/>
                <w:szCs w:val="22"/>
              </w:rPr>
            </w:pPr>
            <w:r w:rsidRPr="00A26E3C">
              <w:rPr>
                <w:rFonts w:ascii="Calibri" w:hAnsi="Calibri" w:cs="Calibri"/>
                <w:i/>
                <w:iCs/>
                <w:sz w:val="22"/>
                <w:szCs w:val="22"/>
              </w:rPr>
              <w:t>In what ways have IFC supported Fiji institutions to improve G2B services that aims to enable and/or respond to the needs of the private sector in Fiji?</w:t>
            </w:r>
          </w:p>
        </w:tc>
        <w:tc>
          <w:tcPr>
            <w:tcW w:w="452" w:type="pct"/>
          </w:tcPr>
          <w:p w14:paraId="07EC36D7"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Project supervision reports</w:t>
            </w:r>
          </w:p>
          <w:p w14:paraId="0C00792D" w14:textId="77777777" w:rsidR="00577D45" w:rsidRPr="00A26E3C" w:rsidRDefault="00577D45" w:rsidP="00A26E3C">
            <w:pPr>
              <w:rPr>
                <w:rFonts w:ascii="Calibri" w:hAnsi="Calibri" w:cs="Calibri"/>
                <w:sz w:val="22"/>
                <w:szCs w:val="22"/>
              </w:rPr>
            </w:pPr>
          </w:p>
        </w:tc>
        <w:tc>
          <w:tcPr>
            <w:tcW w:w="666" w:type="pct"/>
          </w:tcPr>
          <w:p w14:paraId="09356720"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Task Team leaders and IFC M&amp;E team</w:t>
            </w:r>
          </w:p>
          <w:p w14:paraId="60C1FDCE" w14:textId="77777777" w:rsidR="00577D45" w:rsidRPr="00A26E3C" w:rsidRDefault="00577D45" w:rsidP="00A26E3C">
            <w:pPr>
              <w:rPr>
                <w:rFonts w:ascii="Calibri" w:hAnsi="Calibri" w:cs="Calibri"/>
                <w:sz w:val="22"/>
                <w:szCs w:val="22"/>
              </w:rPr>
            </w:pPr>
          </w:p>
        </w:tc>
      </w:tr>
      <w:tr w:rsidR="00577D45" w:rsidRPr="00577D45" w14:paraId="4C82EDD4" w14:textId="77777777" w:rsidTr="00667A67">
        <w:trPr>
          <w:trHeight w:val="2115"/>
        </w:trPr>
        <w:tc>
          <w:tcPr>
            <w:tcW w:w="749" w:type="pct"/>
          </w:tcPr>
          <w:p w14:paraId="6DA75688"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Pillar Two</w:t>
            </w:r>
          </w:p>
          <w:p w14:paraId="47AF836F"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Accelerating inclusive and climate smart private investment in key growth sectors</w:t>
            </w:r>
          </w:p>
        </w:tc>
        <w:tc>
          <w:tcPr>
            <w:tcW w:w="937" w:type="pct"/>
          </w:tcPr>
          <w:p w14:paraId="3352260C"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Pipeline of potentially bankable and climate smart private investments across key growth sectors including tourism, infrastructure, Agro business and finance.</w:t>
            </w:r>
          </w:p>
          <w:p w14:paraId="718A6356" w14:textId="77777777" w:rsidR="00577D45" w:rsidRPr="00A26E3C" w:rsidRDefault="00577D45" w:rsidP="00A26E3C">
            <w:pPr>
              <w:rPr>
                <w:rFonts w:ascii="Calibri" w:hAnsi="Calibri" w:cs="Calibri"/>
                <w:sz w:val="22"/>
                <w:szCs w:val="22"/>
              </w:rPr>
            </w:pPr>
          </w:p>
        </w:tc>
        <w:tc>
          <w:tcPr>
            <w:tcW w:w="2196" w:type="pct"/>
          </w:tcPr>
          <w:p w14:paraId="6511D74C" w14:textId="77777777" w:rsidR="00577D45" w:rsidRPr="00A26E3C" w:rsidRDefault="00577D45" w:rsidP="00A26E3C">
            <w:pPr>
              <w:rPr>
                <w:rFonts w:ascii="Calibri" w:hAnsi="Calibri" w:cs="Calibri"/>
                <w:color w:val="000000"/>
                <w:sz w:val="22"/>
                <w:szCs w:val="22"/>
                <w:lang w:eastAsia="en-AU"/>
              </w:rPr>
            </w:pPr>
            <w:r w:rsidRPr="00A26E3C">
              <w:rPr>
                <w:rFonts w:ascii="Calibri" w:hAnsi="Calibri" w:cs="Calibri"/>
                <w:color w:val="000000" w:themeColor="text1"/>
                <w:sz w:val="22"/>
                <w:szCs w:val="22"/>
                <w:lang w:eastAsia="en-AU"/>
              </w:rPr>
              <w:t>Number investor/private partnership leads.</w:t>
            </w:r>
          </w:p>
          <w:p w14:paraId="787D5E97" w14:textId="77777777" w:rsidR="00577D45" w:rsidRPr="00A26E3C" w:rsidRDefault="00577D45" w:rsidP="00A26E3C">
            <w:pPr>
              <w:rPr>
                <w:rFonts w:ascii="Calibri" w:hAnsi="Calibri" w:cs="Calibri"/>
                <w:color w:val="000000"/>
                <w:sz w:val="22"/>
                <w:szCs w:val="22"/>
                <w:lang w:eastAsia="en-AU"/>
              </w:rPr>
            </w:pPr>
            <w:r w:rsidRPr="00A26E3C">
              <w:rPr>
                <w:rFonts w:ascii="Calibri" w:hAnsi="Calibri" w:cs="Calibri"/>
                <w:color w:val="000000" w:themeColor="text1"/>
                <w:sz w:val="22"/>
                <w:szCs w:val="22"/>
                <w:lang w:eastAsia="en-AU"/>
              </w:rPr>
              <w:t xml:space="preserve">Number of agreements (concession, etc) signed. </w:t>
            </w:r>
          </w:p>
          <w:p w14:paraId="7CA2BAD7" w14:textId="77777777" w:rsidR="00577D45" w:rsidRPr="00A26E3C" w:rsidRDefault="00577D45" w:rsidP="00A26E3C">
            <w:pPr>
              <w:rPr>
                <w:rFonts w:ascii="Calibri" w:hAnsi="Calibri" w:cs="Calibri"/>
                <w:sz w:val="22"/>
                <w:szCs w:val="22"/>
              </w:rPr>
            </w:pPr>
          </w:p>
          <w:p w14:paraId="09E6D134" w14:textId="77777777" w:rsidR="00577D45" w:rsidRPr="00A26E3C" w:rsidRDefault="00577D45" w:rsidP="00A26E3C">
            <w:pPr>
              <w:rPr>
                <w:rFonts w:ascii="Calibri" w:hAnsi="Calibri" w:cs="Calibri"/>
                <w:i/>
                <w:iCs/>
                <w:sz w:val="22"/>
                <w:szCs w:val="22"/>
              </w:rPr>
            </w:pPr>
            <w:r w:rsidRPr="00A26E3C">
              <w:rPr>
                <w:rFonts w:ascii="Calibri" w:hAnsi="Calibri" w:cs="Calibri"/>
                <w:i/>
                <w:iCs/>
                <w:sz w:val="22"/>
                <w:szCs w:val="22"/>
              </w:rPr>
              <w:t>What value (both anticipated finance and other) will identified private sector investments potentially bring to the respective growth sectors?</w:t>
            </w:r>
            <w:r w:rsidRPr="00A26E3C">
              <w:rPr>
                <w:rStyle w:val="FootnoteReference"/>
                <w:rFonts w:ascii="Calibri" w:hAnsi="Calibri" w:cs="Calibri"/>
                <w:sz w:val="22"/>
                <w:szCs w:val="22"/>
              </w:rPr>
              <w:footnoteReference w:id="22"/>
            </w:r>
          </w:p>
        </w:tc>
        <w:tc>
          <w:tcPr>
            <w:tcW w:w="452" w:type="pct"/>
          </w:tcPr>
          <w:p w14:paraId="76F47E8C"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Project supervision reports</w:t>
            </w:r>
          </w:p>
          <w:p w14:paraId="1CA7A5B7" w14:textId="77777777" w:rsidR="00577D45" w:rsidRPr="00A26E3C" w:rsidRDefault="00577D45" w:rsidP="00A26E3C">
            <w:pPr>
              <w:rPr>
                <w:rFonts w:ascii="Calibri" w:hAnsi="Calibri" w:cs="Calibri"/>
                <w:sz w:val="22"/>
                <w:szCs w:val="22"/>
              </w:rPr>
            </w:pPr>
          </w:p>
        </w:tc>
        <w:tc>
          <w:tcPr>
            <w:tcW w:w="666" w:type="pct"/>
          </w:tcPr>
          <w:p w14:paraId="668D23B0"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Task Team leaders and IFC M&amp;E team</w:t>
            </w:r>
          </w:p>
          <w:p w14:paraId="4F9EF858" w14:textId="77777777" w:rsidR="00577D45" w:rsidRPr="00A26E3C" w:rsidRDefault="00577D45" w:rsidP="00A26E3C">
            <w:pPr>
              <w:rPr>
                <w:rFonts w:ascii="Calibri" w:hAnsi="Calibri" w:cs="Calibri"/>
                <w:sz w:val="22"/>
                <w:szCs w:val="22"/>
              </w:rPr>
            </w:pPr>
          </w:p>
        </w:tc>
      </w:tr>
      <w:tr w:rsidR="00577D45" w:rsidRPr="00577D45" w14:paraId="3BBD8112" w14:textId="77777777" w:rsidTr="00667A67">
        <w:trPr>
          <w:trHeight w:val="964"/>
        </w:trPr>
        <w:tc>
          <w:tcPr>
            <w:tcW w:w="749" w:type="pct"/>
            <w:tcBorders>
              <w:bottom w:val="single" w:sz="4" w:space="0" w:color="auto"/>
            </w:tcBorders>
          </w:tcPr>
          <w:p w14:paraId="3AA34B14"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Pillar Three</w:t>
            </w:r>
          </w:p>
          <w:p w14:paraId="25840BF8"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Enhancing standards and gender inclusion</w:t>
            </w:r>
          </w:p>
        </w:tc>
        <w:tc>
          <w:tcPr>
            <w:tcW w:w="937" w:type="pct"/>
            <w:tcBorders>
              <w:bottom w:val="single" w:sz="4" w:space="0" w:color="auto"/>
            </w:tcBorders>
          </w:tcPr>
          <w:p w14:paraId="55CBEA6E" w14:textId="77777777" w:rsidR="00577D45" w:rsidRPr="00A26E3C" w:rsidRDefault="00577D45" w:rsidP="00A26E3C">
            <w:pPr>
              <w:rPr>
                <w:rFonts w:ascii="Calibri" w:hAnsi="Calibri" w:cs="Calibri"/>
                <w:sz w:val="22"/>
                <w:szCs w:val="22"/>
              </w:rPr>
            </w:pPr>
          </w:p>
          <w:p w14:paraId="0AED66CA"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New financial products and services developed including those that aim to increase access to </w:t>
            </w:r>
            <w:r w:rsidRPr="00A26E3C">
              <w:rPr>
                <w:rFonts w:ascii="Calibri" w:hAnsi="Calibri" w:cs="Calibri"/>
                <w:sz w:val="22"/>
                <w:szCs w:val="22"/>
              </w:rPr>
              <w:lastRenderedPageBreak/>
              <w:t>financial services for women and women-owned enterprises.</w:t>
            </w:r>
          </w:p>
          <w:p w14:paraId="508D0B47" w14:textId="77777777" w:rsidR="00577D45" w:rsidRPr="00A26E3C" w:rsidRDefault="00577D45" w:rsidP="00A26E3C">
            <w:pPr>
              <w:rPr>
                <w:rFonts w:ascii="Calibri" w:hAnsi="Calibri" w:cs="Calibri"/>
                <w:sz w:val="22"/>
                <w:szCs w:val="22"/>
              </w:rPr>
            </w:pPr>
          </w:p>
          <w:p w14:paraId="4DF68FF7"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Adoption of climate smart solutions by companies in Fiji. </w:t>
            </w:r>
          </w:p>
          <w:p w14:paraId="06FDC329" w14:textId="77777777" w:rsidR="00577D45" w:rsidRPr="00A26E3C" w:rsidRDefault="00577D45" w:rsidP="00A26E3C">
            <w:pPr>
              <w:rPr>
                <w:rFonts w:ascii="Calibri" w:hAnsi="Calibri" w:cs="Calibri"/>
                <w:sz w:val="22"/>
                <w:szCs w:val="22"/>
              </w:rPr>
            </w:pPr>
          </w:p>
          <w:p w14:paraId="5034B9DC"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Increased uptake of gender inclusive practices by firms.</w:t>
            </w:r>
          </w:p>
          <w:p w14:paraId="11CB0F15" w14:textId="77777777" w:rsidR="00577D45" w:rsidRPr="00A26E3C" w:rsidRDefault="00577D45" w:rsidP="00A26E3C">
            <w:pPr>
              <w:rPr>
                <w:rFonts w:ascii="Calibri" w:hAnsi="Calibri" w:cs="Calibri"/>
                <w:sz w:val="22"/>
                <w:szCs w:val="22"/>
              </w:rPr>
            </w:pPr>
          </w:p>
          <w:p w14:paraId="360E4A28"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Use of best practice Corporate Governance and industry standards by companies.</w:t>
            </w:r>
          </w:p>
        </w:tc>
        <w:tc>
          <w:tcPr>
            <w:tcW w:w="2196" w:type="pct"/>
          </w:tcPr>
          <w:p w14:paraId="5D3FBCD7"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lastRenderedPageBreak/>
              <w:t>Number of entities that implemented recommended changes</w:t>
            </w:r>
          </w:p>
          <w:p w14:paraId="713C7BEA"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recommended procedures/firm-level policies/practices/standards that were improved or eliminated</w:t>
            </w:r>
          </w:p>
          <w:p w14:paraId="386AAADB"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employees reached directly through client advisory services</w:t>
            </w:r>
          </w:p>
          <w:p w14:paraId="6F296E25"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lastRenderedPageBreak/>
              <w:t>Number of employees (female) reached directly through client advisory services</w:t>
            </w:r>
          </w:p>
          <w:p w14:paraId="2373726F"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workshops, training events, seminars, conferences, etc.</w:t>
            </w:r>
          </w:p>
          <w:p w14:paraId="1EF9E2DE"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women participants in workshops, training events, seminars, conferences, etc.</w:t>
            </w:r>
          </w:p>
          <w:p w14:paraId="7381309E" w14:textId="77777777" w:rsidR="00577D45" w:rsidRPr="00A26E3C" w:rsidRDefault="00577D45" w:rsidP="00A26E3C">
            <w:pPr>
              <w:rPr>
                <w:rFonts w:ascii="Calibri" w:hAnsi="Calibri" w:cs="Calibri"/>
                <w:color w:val="000000"/>
                <w:sz w:val="22"/>
                <w:szCs w:val="22"/>
              </w:rPr>
            </w:pPr>
            <w:r w:rsidRPr="00A26E3C">
              <w:rPr>
                <w:rFonts w:ascii="Calibri" w:hAnsi="Calibri" w:cs="Calibri"/>
                <w:color w:val="000000" w:themeColor="text1"/>
                <w:sz w:val="22"/>
                <w:szCs w:val="22"/>
              </w:rPr>
              <w:t xml:space="preserve">Number of projects with a gender flag </w:t>
            </w:r>
          </w:p>
          <w:p w14:paraId="3E3312A9"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training modules and new products developed</w:t>
            </w:r>
          </w:p>
          <w:p w14:paraId="485FC193" w14:textId="77777777" w:rsidR="00577D45" w:rsidRPr="00A26E3C" w:rsidRDefault="00577D45" w:rsidP="00A26E3C">
            <w:pPr>
              <w:rPr>
                <w:rFonts w:ascii="Calibri" w:hAnsi="Calibri" w:cs="Calibri"/>
                <w:color w:val="000000" w:themeColor="text1"/>
                <w:sz w:val="22"/>
                <w:szCs w:val="22"/>
                <w:lang w:eastAsia="en-AU"/>
              </w:rPr>
            </w:pPr>
          </w:p>
          <w:p w14:paraId="1C91F8A0" w14:textId="77777777" w:rsidR="00577D45" w:rsidRPr="00A26E3C" w:rsidRDefault="00577D45" w:rsidP="00A26E3C">
            <w:pPr>
              <w:rPr>
                <w:rFonts w:ascii="Calibri" w:hAnsi="Calibri" w:cs="Calibri"/>
                <w:i/>
                <w:iCs/>
                <w:sz w:val="22"/>
                <w:szCs w:val="22"/>
              </w:rPr>
            </w:pPr>
            <w:r w:rsidRPr="00A26E3C">
              <w:rPr>
                <w:rFonts w:ascii="Calibri" w:hAnsi="Calibri" w:cs="Calibri"/>
                <w:i/>
                <w:iCs/>
                <w:sz w:val="22"/>
                <w:szCs w:val="22"/>
              </w:rPr>
              <w:t>How have women and women-owned enterprises benefited from new products and services?</w:t>
            </w:r>
          </w:p>
          <w:p w14:paraId="26FBCBE6" w14:textId="77777777" w:rsidR="00577D45" w:rsidRPr="00A26E3C" w:rsidRDefault="00577D45" w:rsidP="00A26E3C">
            <w:pPr>
              <w:rPr>
                <w:rFonts w:ascii="Calibri" w:hAnsi="Calibri" w:cs="Calibri"/>
                <w:sz w:val="22"/>
                <w:szCs w:val="22"/>
              </w:rPr>
            </w:pPr>
          </w:p>
          <w:p w14:paraId="24C9EBC1" w14:textId="77777777" w:rsidR="00577D45" w:rsidRPr="00A26E3C" w:rsidRDefault="00577D45" w:rsidP="00A26E3C">
            <w:pPr>
              <w:rPr>
                <w:rFonts w:ascii="Calibri" w:hAnsi="Calibri" w:cs="Calibri"/>
                <w:i/>
                <w:iCs/>
                <w:color w:val="000000"/>
                <w:sz w:val="22"/>
                <w:szCs w:val="22"/>
                <w:lang w:eastAsia="en-AU"/>
              </w:rPr>
            </w:pPr>
            <w:r w:rsidRPr="00A26E3C">
              <w:rPr>
                <w:rFonts w:ascii="Calibri" w:hAnsi="Calibri" w:cs="Calibri"/>
                <w:i/>
                <w:iCs/>
                <w:color w:val="000000"/>
                <w:sz w:val="22"/>
                <w:szCs w:val="22"/>
                <w:lang w:eastAsia="en-AU"/>
              </w:rPr>
              <w:t>How has IFC supported firms/institutions in Fiji to take up gender inclusive practices?</w:t>
            </w:r>
            <w:r w:rsidRPr="00A26E3C">
              <w:rPr>
                <w:rStyle w:val="FootnoteReference"/>
                <w:rFonts w:ascii="Calibri" w:hAnsi="Calibri" w:cs="Calibri"/>
                <w:color w:val="000000"/>
                <w:sz w:val="22"/>
                <w:szCs w:val="22"/>
                <w:lang w:eastAsia="en-AU"/>
              </w:rPr>
              <w:footnoteReference w:id="23"/>
            </w:r>
          </w:p>
          <w:p w14:paraId="7166239A" w14:textId="77777777" w:rsidR="00577D45" w:rsidRPr="00A26E3C" w:rsidRDefault="00577D45" w:rsidP="00A26E3C">
            <w:pPr>
              <w:rPr>
                <w:rFonts w:ascii="Calibri" w:hAnsi="Calibri" w:cs="Calibri"/>
                <w:i/>
                <w:iCs/>
                <w:color w:val="000000"/>
                <w:sz w:val="22"/>
                <w:szCs w:val="22"/>
                <w:lang w:eastAsia="en-AU"/>
              </w:rPr>
            </w:pPr>
          </w:p>
          <w:p w14:paraId="7670B8A3" w14:textId="77777777" w:rsidR="00577D45" w:rsidRPr="00A26E3C" w:rsidRDefault="00577D45" w:rsidP="00A26E3C">
            <w:pPr>
              <w:rPr>
                <w:rFonts w:ascii="Calibri" w:hAnsi="Calibri" w:cs="Calibri"/>
                <w:i/>
                <w:iCs/>
                <w:sz w:val="22"/>
                <w:szCs w:val="22"/>
              </w:rPr>
            </w:pPr>
            <w:r w:rsidRPr="00A26E3C">
              <w:rPr>
                <w:rFonts w:ascii="Calibri" w:hAnsi="Calibri" w:cs="Calibri"/>
                <w:i/>
                <w:iCs/>
                <w:sz w:val="22"/>
                <w:szCs w:val="22"/>
              </w:rPr>
              <w:t>In what ways have the needs and strengths of people with disability been considered in project implementation?</w:t>
            </w:r>
            <w:r w:rsidRPr="00A26E3C">
              <w:rPr>
                <w:rStyle w:val="FootnoteReference"/>
                <w:rFonts w:ascii="Calibri" w:hAnsi="Calibri" w:cs="Calibri"/>
                <w:sz w:val="22"/>
                <w:szCs w:val="22"/>
              </w:rPr>
              <w:footnoteReference w:id="24"/>
            </w:r>
          </w:p>
          <w:p w14:paraId="5D68426B" w14:textId="77777777" w:rsidR="00577D45" w:rsidRPr="00A26E3C" w:rsidRDefault="00577D45" w:rsidP="00A26E3C">
            <w:pPr>
              <w:rPr>
                <w:rFonts w:ascii="Calibri" w:hAnsi="Calibri" w:cs="Calibri"/>
                <w:sz w:val="22"/>
                <w:szCs w:val="22"/>
              </w:rPr>
            </w:pPr>
          </w:p>
          <w:p w14:paraId="03C8F0CB" w14:textId="77777777" w:rsidR="00577D45" w:rsidRPr="00A26E3C" w:rsidRDefault="00577D45" w:rsidP="00A26E3C">
            <w:pPr>
              <w:rPr>
                <w:rFonts w:ascii="Calibri" w:hAnsi="Calibri" w:cs="Calibri"/>
                <w:color w:val="000000" w:themeColor="text1"/>
                <w:sz w:val="22"/>
                <w:szCs w:val="22"/>
                <w:lang w:eastAsia="en-AU"/>
              </w:rPr>
            </w:pPr>
            <w:r w:rsidRPr="00A26E3C">
              <w:rPr>
                <w:rFonts w:ascii="Calibri" w:hAnsi="Calibri" w:cs="Calibri"/>
                <w:i/>
                <w:iCs/>
                <w:sz w:val="22"/>
                <w:szCs w:val="22"/>
              </w:rPr>
              <w:t>How has IFC supported Fiji-based companies and institutions to adopt and/or benefit from climate smart solutions, improved industry standards and corporate governance practices?</w:t>
            </w:r>
          </w:p>
        </w:tc>
        <w:tc>
          <w:tcPr>
            <w:tcW w:w="452" w:type="pct"/>
          </w:tcPr>
          <w:p w14:paraId="4ECA6121" w14:textId="77777777" w:rsidR="00577D45" w:rsidRPr="00A26E3C" w:rsidRDefault="00577D45" w:rsidP="00A26E3C">
            <w:pPr>
              <w:rPr>
                <w:rFonts w:ascii="Calibri" w:hAnsi="Calibri" w:cs="Calibri"/>
                <w:sz w:val="22"/>
                <w:szCs w:val="22"/>
              </w:rPr>
            </w:pPr>
          </w:p>
          <w:p w14:paraId="44FD1078"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Project supervision reports</w:t>
            </w:r>
          </w:p>
          <w:p w14:paraId="3B6DB17F" w14:textId="77777777" w:rsidR="00577D45" w:rsidRPr="00A26E3C" w:rsidRDefault="00577D45" w:rsidP="00A26E3C">
            <w:pPr>
              <w:rPr>
                <w:rFonts w:ascii="Calibri" w:hAnsi="Calibri" w:cs="Calibri"/>
                <w:sz w:val="22"/>
                <w:szCs w:val="22"/>
              </w:rPr>
            </w:pPr>
          </w:p>
        </w:tc>
        <w:tc>
          <w:tcPr>
            <w:tcW w:w="666" w:type="pct"/>
          </w:tcPr>
          <w:p w14:paraId="7A3F302C" w14:textId="77777777" w:rsidR="00577D45" w:rsidRPr="00A26E3C" w:rsidRDefault="00577D45" w:rsidP="00A26E3C">
            <w:pPr>
              <w:rPr>
                <w:rFonts w:ascii="Calibri" w:hAnsi="Calibri" w:cs="Calibri"/>
                <w:sz w:val="22"/>
                <w:szCs w:val="22"/>
              </w:rPr>
            </w:pPr>
          </w:p>
          <w:p w14:paraId="6527FC6C"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Task Team leaders and IFC M&amp;E team</w:t>
            </w:r>
          </w:p>
          <w:p w14:paraId="4A0B9F6A" w14:textId="77777777" w:rsidR="00577D45" w:rsidRPr="00A26E3C" w:rsidRDefault="00577D45" w:rsidP="00A26E3C">
            <w:pPr>
              <w:rPr>
                <w:rFonts w:ascii="Calibri" w:hAnsi="Calibri" w:cs="Calibri"/>
                <w:sz w:val="22"/>
                <w:szCs w:val="22"/>
              </w:rPr>
            </w:pPr>
          </w:p>
        </w:tc>
      </w:tr>
      <w:tr w:rsidR="00577D45" w:rsidRPr="00577D45" w14:paraId="0D31A7A3" w14:textId="77777777" w:rsidTr="00667A67">
        <w:trPr>
          <w:trHeight w:val="4668"/>
        </w:trPr>
        <w:tc>
          <w:tcPr>
            <w:tcW w:w="749" w:type="pct"/>
          </w:tcPr>
          <w:p w14:paraId="101DB4B5"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lastRenderedPageBreak/>
              <w:t>DFAT-specific objectives</w:t>
            </w:r>
          </w:p>
          <w:p w14:paraId="5EAA38F4" w14:textId="77777777" w:rsidR="00577D45" w:rsidRPr="00A26E3C" w:rsidRDefault="00577D45" w:rsidP="00A26E3C">
            <w:pPr>
              <w:rPr>
                <w:rFonts w:ascii="Calibri" w:hAnsi="Calibri" w:cs="Calibri"/>
                <w:sz w:val="22"/>
                <w:szCs w:val="22"/>
              </w:rPr>
            </w:pPr>
          </w:p>
        </w:tc>
        <w:tc>
          <w:tcPr>
            <w:tcW w:w="937" w:type="pct"/>
          </w:tcPr>
          <w:p w14:paraId="4357C122"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Increased visibility of Australia as a partner of choice for support to private sector development in Fiji.</w:t>
            </w:r>
          </w:p>
          <w:p w14:paraId="1898FCB0" w14:textId="77777777" w:rsidR="00577D45" w:rsidRPr="00A26E3C" w:rsidRDefault="00577D45" w:rsidP="00A26E3C">
            <w:pPr>
              <w:rPr>
                <w:rFonts w:ascii="Calibri" w:hAnsi="Calibri" w:cs="Calibri"/>
                <w:sz w:val="22"/>
                <w:szCs w:val="22"/>
              </w:rPr>
            </w:pPr>
          </w:p>
          <w:p w14:paraId="40229C6B"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Increased opportunities for DFAT to learn about effective private sector development in Fiji.</w:t>
            </w:r>
          </w:p>
          <w:p w14:paraId="0AD77C5B" w14:textId="77777777" w:rsidR="00577D45" w:rsidRPr="00A26E3C" w:rsidRDefault="00577D45" w:rsidP="00A26E3C">
            <w:pPr>
              <w:rPr>
                <w:rFonts w:ascii="Calibri" w:hAnsi="Calibri" w:cs="Calibri"/>
                <w:sz w:val="22"/>
                <w:szCs w:val="22"/>
              </w:rPr>
            </w:pPr>
          </w:p>
          <w:p w14:paraId="07CA6D7A"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Enhanced opportunity for Australian businesses and institutions. </w:t>
            </w:r>
          </w:p>
        </w:tc>
        <w:tc>
          <w:tcPr>
            <w:tcW w:w="2196" w:type="pct"/>
          </w:tcPr>
          <w:p w14:paraId="7BD6A08E"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Number of direct references in media to Australia’s support in Fiji or include a quote from an Australian Minister or official. These include, but are not limited to: </w:t>
            </w:r>
          </w:p>
          <w:p w14:paraId="73DA7379"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media articles; </w:t>
            </w:r>
          </w:p>
          <w:p w14:paraId="1E8CEDF5"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creative media – podcasts, interviews, video content etc</w:t>
            </w:r>
          </w:p>
          <w:p w14:paraId="1F91935E"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social media (IFC or third parties) which references Australia’s support.</w:t>
            </w:r>
            <w:r w:rsidRPr="00A26E3C">
              <w:rPr>
                <w:rStyle w:val="FootnoteReference"/>
                <w:rFonts w:ascii="Calibri" w:hAnsi="Calibri" w:cs="Calibri"/>
                <w:sz w:val="22"/>
                <w:szCs w:val="22"/>
              </w:rPr>
              <w:t xml:space="preserve"> </w:t>
            </w:r>
            <w:r w:rsidRPr="00A26E3C">
              <w:rPr>
                <w:rStyle w:val="FootnoteReference"/>
                <w:rFonts w:ascii="Calibri" w:hAnsi="Calibri" w:cs="Calibri"/>
                <w:sz w:val="22"/>
                <w:szCs w:val="22"/>
              </w:rPr>
              <w:footnoteReference w:id="25"/>
            </w:r>
          </w:p>
          <w:p w14:paraId="2ECF3BF1"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Number of invitations for Australian officials, including the High Commissioner, to speak at events/launches, join Program field visits, and attend webinars/events, attend private sector related roundtables, discussions and meetings.</w:t>
            </w:r>
          </w:p>
          <w:p w14:paraId="5F3B4844"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Number of events/outreach that provide Australian businesses and Australian institutions with information about/ contact with projects. </w:t>
            </w:r>
          </w:p>
          <w:p w14:paraId="00504FFE"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Count should refer to each engagement not each type of engagement e.g. if there are two quarterly meetings between JBIC-IFC-AIFFP-EFA within a reporting period, then that should count as 2 rather than 1 instances of engagement.</w:t>
            </w:r>
            <w:r w:rsidRPr="00A26E3C">
              <w:rPr>
                <w:rStyle w:val="FootnoteReference"/>
                <w:rFonts w:ascii="Calibri" w:hAnsi="Calibri" w:cs="Calibri"/>
                <w:sz w:val="22"/>
                <w:szCs w:val="22"/>
              </w:rPr>
              <w:footnoteReference w:id="26"/>
            </w:r>
          </w:p>
        </w:tc>
        <w:tc>
          <w:tcPr>
            <w:tcW w:w="452" w:type="pct"/>
          </w:tcPr>
          <w:p w14:paraId="24197D58"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Project supervision reports  and Program records</w:t>
            </w:r>
          </w:p>
          <w:p w14:paraId="00EA6A0C" w14:textId="77777777" w:rsidR="00577D45" w:rsidRPr="00A26E3C" w:rsidRDefault="00577D45" w:rsidP="00A26E3C">
            <w:pPr>
              <w:rPr>
                <w:rFonts w:ascii="Calibri" w:hAnsi="Calibri" w:cs="Calibri"/>
                <w:sz w:val="22"/>
                <w:szCs w:val="22"/>
              </w:rPr>
            </w:pPr>
          </w:p>
          <w:p w14:paraId="3BF2FE64" w14:textId="77777777" w:rsidR="00577D45" w:rsidRPr="00A26E3C" w:rsidRDefault="00577D45" w:rsidP="00A26E3C">
            <w:pPr>
              <w:rPr>
                <w:rFonts w:ascii="Calibri" w:hAnsi="Calibri" w:cs="Calibri"/>
                <w:sz w:val="22"/>
                <w:szCs w:val="22"/>
              </w:rPr>
            </w:pPr>
          </w:p>
          <w:p w14:paraId="7416065D" w14:textId="77777777" w:rsidR="00577D45" w:rsidRPr="00A26E3C" w:rsidRDefault="00577D45" w:rsidP="00A26E3C">
            <w:pPr>
              <w:rPr>
                <w:rFonts w:ascii="Calibri" w:hAnsi="Calibri" w:cs="Calibri"/>
                <w:sz w:val="22"/>
                <w:szCs w:val="22"/>
              </w:rPr>
            </w:pPr>
          </w:p>
          <w:p w14:paraId="0BFF0065" w14:textId="77777777" w:rsidR="00577D45" w:rsidRPr="00A26E3C" w:rsidRDefault="00577D45" w:rsidP="00A26E3C">
            <w:pPr>
              <w:rPr>
                <w:rFonts w:ascii="Calibri" w:hAnsi="Calibri" w:cs="Calibri"/>
                <w:sz w:val="22"/>
                <w:szCs w:val="22"/>
              </w:rPr>
            </w:pPr>
          </w:p>
          <w:p w14:paraId="50BED7AA" w14:textId="77777777" w:rsidR="00577D45" w:rsidRPr="00A26E3C" w:rsidRDefault="00577D45" w:rsidP="00A26E3C">
            <w:pPr>
              <w:rPr>
                <w:rFonts w:ascii="Calibri" w:hAnsi="Calibri" w:cs="Calibri"/>
                <w:sz w:val="22"/>
                <w:szCs w:val="22"/>
              </w:rPr>
            </w:pPr>
          </w:p>
          <w:p w14:paraId="44647EB5"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Partnership discussions</w:t>
            </w:r>
          </w:p>
          <w:p w14:paraId="5E5DB973" w14:textId="77777777" w:rsidR="00577D45" w:rsidRPr="00A26E3C" w:rsidRDefault="00577D45" w:rsidP="00A26E3C">
            <w:pPr>
              <w:rPr>
                <w:rFonts w:ascii="Calibri" w:hAnsi="Calibri" w:cs="Calibri"/>
                <w:sz w:val="22"/>
                <w:szCs w:val="22"/>
              </w:rPr>
            </w:pPr>
          </w:p>
        </w:tc>
        <w:tc>
          <w:tcPr>
            <w:tcW w:w="666" w:type="pct"/>
          </w:tcPr>
          <w:p w14:paraId="4CA0467F"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 xml:space="preserve">Task Team leaders, Pacific Country team </w:t>
            </w:r>
          </w:p>
          <w:p w14:paraId="3BBD482F" w14:textId="77777777" w:rsidR="00577D45" w:rsidRPr="00A26E3C" w:rsidRDefault="00577D45" w:rsidP="00A26E3C">
            <w:pPr>
              <w:rPr>
                <w:rFonts w:ascii="Calibri" w:hAnsi="Calibri" w:cs="Calibri"/>
                <w:sz w:val="22"/>
                <w:szCs w:val="22"/>
              </w:rPr>
            </w:pPr>
          </w:p>
          <w:p w14:paraId="678708F1" w14:textId="77777777" w:rsidR="00577D45" w:rsidRPr="00A26E3C" w:rsidRDefault="00577D45" w:rsidP="00A26E3C">
            <w:pPr>
              <w:rPr>
                <w:rFonts w:ascii="Calibri" w:hAnsi="Calibri" w:cs="Calibri"/>
                <w:sz w:val="22"/>
                <w:szCs w:val="22"/>
              </w:rPr>
            </w:pPr>
          </w:p>
          <w:p w14:paraId="426EE589" w14:textId="77777777" w:rsidR="00577D45" w:rsidRPr="00A26E3C" w:rsidRDefault="00577D45" w:rsidP="00A26E3C">
            <w:pPr>
              <w:rPr>
                <w:rFonts w:ascii="Calibri" w:hAnsi="Calibri" w:cs="Calibri"/>
                <w:sz w:val="22"/>
                <w:szCs w:val="22"/>
              </w:rPr>
            </w:pPr>
          </w:p>
          <w:p w14:paraId="33688665" w14:textId="77777777" w:rsidR="00577D45" w:rsidRPr="00A26E3C" w:rsidRDefault="00577D45" w:rsidP="00A26E3C">
            <w:pPr>
              <w:rPr>
                <w:rFonts w:ascii="Calibri" w:hAnsi="Calibri" w:cs="Calibri"/>
                <w:sz w:val="22"/>
                <w:szCs w:val="22"/>
              </w:rPr>
            </w:pPr>
          </w:p>
          <w:p w14:paraId="4BF8B16C" w14:textId="77777777" w:rsidR="00577D45" w:rsidRPr="00A26E3C" w:rsidRDefault="00577D45" w:rsidP="00A26E3C">
            <w:pPr>
              <w:rPr>
                <w:rFonts w:ascii="Calibri" w:hAnsi="Calibri" w:cs="Calibri"/>
                <w:sz w:val="22"/>
                <w:szCs w:val="22"/>
              </w:rPr>
            </w:pPr>
          </w:p>
          <w:p w14:paraId="1EBB692F" w14:textId="77777777" w:rsidR="00577D45" w:rsidRPr="00A26E3C" w:rsidRDefault="00577D45" w:rsidP="00A26E3C">
            <w:pPr>
              <w:rPr>
                <w:rFonts w:ascii="Calibri" w:hAnsi="Calibri" w:cs="Calibri"/>
                <w:sz w:val="22"/>
                <w:szCs w:val="22"/>
              </w:rPr>
            </w:pPr>
          </w:p>
          <w:p w14:paraId="16BEE799" w14:textId="77777777" w:rsidR="00577D45" w:rsidRPr="00A26E3C" w:rsidRDefault="00577D45" w:rsidP="00A26E3C">
            <w:pPr>
              <w:rPr>
                <w:rFonts w:ascii="Calibri" w:hAnsi="Calibri" w:cs="Calibri"/>
                <w:sz w:val="22"/>
                <w:szCs w:val="22"/>
              </w:rPr>
            </w:pPr>
          </w:p>
          <w:p w14:paraId="34C7A2E9" w14:textId="77777777" w:rsidR="00577D45" w:rsidRPr="00A26E3C" w:rsidRDefault="00577D45" w:rsidP="00A26E3C">
            <w:pPr>
              <w:rPr>
                <w:rFonts w:ascii="Calibri" w:hAnsi="Calibri" w:cs="Calibri"/>
                <w:sz w:val="22"/>
                <w:szCs w:val="22"/>
              </w:rPr>
            </w:pPr>
          </w:p>
          <w:p w14:paraId="69C1A5AD" w14:textId="77777777" w:rsidR="00577D45" w:rsidRPr="00A26E3C" w:rsidRDefault="00577D45" w:rsidP="00A26E3C">
            <w:pPr>
              <w:rPr>
                <w:rFonts w:ascii="Calibri" w:hAnsi="Calibri" w:cs="Calibri"/>
                <w:sz w:val="22"/>
                <w:szCs w:val="22"/>
              </w:rPr>
            </w:pPr>
          </w:p>
          <w:p w14:paraId="44FDC04E" w14:textId="77777777" w:rsidR="00577D45" w:rsidRPr="00A26E3C" w:rsidRDefault="00577D45" w:rsidP="00A26E3C">
            <w:pPr>
              <w:rPr>
                <w:rFonts w:ascii="Calibri" w:hAnsi="Calibri" w:cs="Calibri"/>
                <w:sz w:val="22"/>
                <w:szCs w:val="22"/>
              </w:rPr>
            </w:pPr>
            <w:r w:rsidRPr="00A26E3C">
              <w:rPr>
                <w:rFonts w:ascii="Calibri" w:hAnsi="Calibri" w:cs="Calibri"/>
                <w:sz w:val="22"/>
                <w:szCs w:val="22"/>
              </w:rPr>
              <w:t>IFC, DFAT and Austrade/ EFA/ AIFFP</w:t>
            </w:r>
          </w:p>
        </w:tc>
      </w:tr>
    </w:tbl>
    <w:p w14:paraId="5798477D" w14:textId="77777777" w:rsidR="00577D45" w:rsidRPr="00A26E3C" w:rsidRDefault="00577D45" w:rsidP="00577D45">
      <w:pPr>
        <w:rPr>
          <w:rFonts w:ascii="Calibri" w:hAnsi="Calibri" w:cs="Calibri"/>
          <w:sz w:val="22"/>
          <w:szCs w:val="22"/>
          <w:lang w:val="en-US"/>
        </w:rPr>
      </w:pPr>
    </w:p>
    <w:p w14:paraId="0509FEE8" w14:textId="4054167B" w:rsidR="00577D45" w:rsidRDefault="00577D45" w:rsidP="00577D45">
      <w:pPr>
        <w:rPr>
          <w:rFonts w:ascii="Calibri" w:hAnsi="Calibri" w:cs="Calibri"/>
          <w:sz w:val="22"/>
          <w:szCs w:val="22"/>
          <w:lang w:val="en-US"/>
        </w:rPr>
        <w:sectPr w:rsidR="00577D45" w:rsidSect="00116737">
          <w:pgSz w:w="16820" w:h="11900" w:orient="landscape"/>
          <w:pgMar w:top="1440" w:right="1440" w:bottom="1440" w:left="1440" w:header="709" w:footer="709" w:gutter="0"/>
          <w:cols w:space="708"/>
          <w:docGrid w:linePitch="360"/>
        </w:sectPr>
      </w:pPr>
    </w:p>
    <w:p w14:paraId="092B2F2A" w14:textId="58071B78" w:rsidR="00851C7B" w:rsidRPr="00C723E0" w:rsidRDefault="00851C7B" w:rsidP="00577D45">
      <w:pPr>
        <w:rPr>
          <w:lang w:val="en-AU"/>
        </w:rPr>
      </w:pPr>
    </w:p>
    <w:p w14:paraId="68120FF0" w14:textId="0E09C15D" w:rsidR="00851C7B" w:rsidRPr="00E04E32" w:rsidRDefault="00851C7B" w:rsidP="002601E3">
      <w:pPr>
        <w:pStyle w:val="Heading1"/>
        <w:rPr>
          <w:b w:val="0"/>
          <w:bCs/>
        </w:rPr>
      </w:pPr>
      <w:bookmarkStart w:id="65" w:name="_Toc201131782"/>
      <w:bookmarkStart w:id="66" w:name="_Toc206675828"/>
      <w:r w:rsidRPr="00E04E32">
        <w:rPr>
          <w:b w:val="0"/>
          <w:bCs/>
        </w:rPr>
        <w:t>Annex 2: List of People Interviewed</w:t>
      </w:r>
      <w:bookmarkEnd w:id="65"/>
      <w:bookmarkEnd w:id="66"/>
    </w:p>
    <w:tbl>
      <w:tblPr>
        <w:tblW w:w="9535" w:type="dxa"/>
        <w:tblLook w:val="04A0" w:firstRow="1" w:lastRow="0" w:firstColumn="1" w:lastColumn="0" w:noHBand="0" w:noVBand="1"/>
      </w:tblPr>
      <w:tblGrid>
        <w:gridCol w:w="1980"/>
        <w:gridCol w:w="4819"/>
        <w:gridCol w:w="2736"/>
      </w:tblGrid>
      <w:tr w:rsidR="00ED0092" w:rsidRPr="0001083B" w14:paraId="57B9217E" w14:textId="77777777" w:rsidTr="002E5779">
        <w:trPr>
          <w:trHeight w:val="323"/>
          <w:tblHeader/>
        </w:trPr>
        <w:tc>
          <w:tcPr>
            <w:tcW w:w="1980" w:type="dxa"/>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77C431AE" w14:textId="77777777" w:rsidR="00ED0092" w:rsidRPr="0001083B" w:rsidRDefault="00ED0092" w:rsidP="00033C5D">
            <w:pPr>
              <w:rPr>
                <w:rFonts w:ascii="Calibri" w:hAnsi="Calibri" w:cs="Calibri"/>
                <w:b/>
                <w:bCs/>
                <w:color w:val="000000"/>
                <w:sz w:val="22"/>
                <w:szCs w:val="22"/>
                <w:lang w:val="en-AU"/>
              </w:rPr>
            </w:pPr>
            <w:r w:rsidRPr="0001083B">
              <w:rPr>
                <w:rFonts w:ascii="Calibri" w:hAnsi="Calibri" w:cs="Calibri"/>
                <w:b/>
                <w:bCs/>
                <w:color w:val="000000"/>
                <w:sz w:val="22"/>
                <w:szCs w:val="22"/>
                <w:lang w:val="en-AU"/>
              </w:rPr>
              <w:t>Name</w:t>
            </w:r>
          </w:p>
        </w:tc>
        <w:tc>
          <w:tcPr>
            <w:tcW w:w="4819" w:type="dxa"/>
            <w:tcBorders>
              <w:top w:val="single" w:sz="4" w:space="0" w:color="auto"/>
              <w:left w:val="nil"/>
              <w:bottom w:val="single" w:sz="4" w:space="0" w:color="auto"/>
              <w:right w:val="single" w:sz="4" w:space="0" w:color="auto"/>
            </w:tcBorders>
            <w:shd w:val="clear" w:color="auto" w:fill="CAEDFB" w:themeFill="accent4" w:themeFillTint="33"/>
          </w:tcPr>
          <w:p w14:paraId="3CB2E7AF" w14:textId="77777777" w:rsidR="00ED0092" w:rsidRPr="0001083B" w:rsidRDefault="00ED0092" w:rsidP="00033C5D">
            <w:pPr>
              <w:rPr>
                <w:rFonts w:ascii="Calibri" w:hAnsi="Calibri" w:cs="Calibri"/>
                <w:b/>
                <w:bCs/>
                <w:color w:val="000000"/>
                <w:sz w:val="22"/>
                <w:szCs w:val="22"/>
                <w:lang w:val="en-AU"/>
              </w:rPr>
            </w:pPr>
            <w:r w:rsidRPr="0001083B">
              <w:rPr>
                <w:rFonts w:ascii="Calibri" w:hAnsi="Calibri" w:cs="Calibri"/>
                <w:b/>
                <w:bCs/>
                <w:color w:val="000000"/>
                <w:sz w:val="22"/>
                <w:szCs w:val="22"/>
                <w:lang w:val="en-AU"/>
              </w:rPr>
              <w:t>Title</w:t>
            </w:r>
          </w:p>
        </w:tc>
        <w:tc>
          <w:tcPr>
            <w:tcW w:w="2736" w:type="dxa"/>
            <w:tcBorders>
              <w:top w:val="single" w:sz="4" w:space="0" w:color="auto"/>
              <w:left w:val="nil"/>
              <w:bottom w:val="single" w:sz="4" w:space="0" w:color="auto"/>
              <w:right w:val="single" w:sz="4" w:space="0" w:color="auto"/>
            </w:tcBorders>
            <w:shd w:val="clear" w:color="auto" w:fill="CAEDFB" w:themeFill="accent4" w:themeFillTint="33"/>
          </w:tcPr>
          <w:p w14:paraId="366EE7A3" w14:textId="77777777" w:rsidR="00ED0092" w:rsidRPr="0001083B" w:rsidRDefault="00ED0092" w:rsidP="00033C5D">
            <w:pPr>
              <w:rPr>
                <w:rFonts w:ascii="Calibri" w:hAnsi="Calibri" w:cs="Calibri"/>
                <w:b/>
                <w:bCs/>
                <w:color w:val="000000"/>
                <w:sz w:val="22"/>
                <w:szCs w:val="22"/>
                <w:lang w:val="en-AU"/>
              </w:rPr>
            </w:pPr>
            <w:r w:rsidRPr="0001083B">
              <w:rPr>
                <w:rFonts w:ascii="Calibri" w:hAnsi="Calibri" w:cs="Calibri"/>
                <w:b/>
                <w:bCs/>
                <w:color w:val="000000"/>
                <w:sz w:val="22"/>
                <w:szCs w:val="22"/>
                <w:lang w:val="en-AU"/>
              </w:rPr>
              <w:t>Organisation</w:t>
            </w:r>
          </w:p>
        </w:tc>
      </w:tr>
      <w:tr w:rsidR="00ED0092" w:rsidRPr="0001083B" w14:paraId="2B0B528D" w14:textId="77777777" w:rsidTr="002E5779">
        <w:trPr>
          <w:trHeight w:val="600"/>
        </w:trPr>
        <w:tc>
          <w:tcPr>
            <w:tcW w:w="1980" w:type="dxa"/>
            <w:tcBorders>
              <w:top w:val="single" w:sz="4" w:space="0" w:color="auto"/>
              <w:left w:val="single" w:sz="4" w:space="0" w:color="auto"/>
              <w:bottom w:val="single" w:sz="4" w:space="0" w:color="auto"/>
              <w:right w:val="single" w:sz="4" w:space="0" w:color="auto"/>
            </w:tcBorders>
          </w:tcPr>
          <w:p w14:paraId="5BD9C607" w14:textId="675104A6"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Stefano Mocci</w:t>
            </w:r>
          </w:p>
          <w:p w14:paraId="4C8EE910"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Felicity O’Neill</w:t>
            </w:r>
          </w:p>
        </w:tc>
        <w:tc>
          <w:tcPr>
            <w:tcW w:w="4819" w:type="dxa"/>
            <w:tcBorders>
              <w:top w:val="single" w:sz="4" w:space="0" w:color="auto"/>
              <w:left w:val="nil"/>
              <w:bottom w:val="single" w:sz="4" w:space="0" w:color="auto"/>
              <w:right w:val="single" w:sz="4" w:space="0" w:color="auto"/>
            </w:tcBorders>
          </w:tcPr>
          <w:p w14:paraId="218FE195"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World Bank Group Country Manager, Fiji</w:t>
            </w:r>
          </w:p>
          <w:p w14:paraId="27CDD1A5"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Operations Officer</w:t>
            </w:r>
          </w:p>
        </w:tc>
        <w:tc>
          <w:tcPr>
            <w:tcW w:w="2736" w:type="dxa"/>
            <w:tcBorders>
              <w:top w:val="single" w:sz="4" w:space="0" w:color="auto"/>
              <w:left w:val="nil"/>
              <w:bottom w:val="single" w:sz="4" w:space="0" w:color="auto"/>
              <w:right w:val="single" w:sz="4" w:space="0" w:color="auto"/>
            </w:tcBorders>
          </w:tcPr>
          <w:p w14:paraId="1DF0697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IFC</w:t>
            </w:r>
          </w:p>
        </w:tc>
      </w:tr>
      <w:tr w:rsidR="00ED0092" w:rsidRPr="0001083B" w14:paraId="45A9B2EE" w14:textId="77777777" w:rsidTr="002E5779">
        <w:trPr>
          <w:trHeight w:val="600"/>
        </w:trPr>
        <w:tc>
          <w:tcPr>
            <w:tcW w:w="1980" w:type="dxa"/>
            <w:tcBorders>
              <w:top w:val="single" w:sz="4" w:space="0" w:color="auto"/>
              <w:left w:val="single" w:sz="4" w:space="0" w:color="auto"/>
              <w:bottom w:val="single" w:sz="4" w:space="0" w:color="auto"/>
              <w:right w:val="single" w:sz="4" w:space="0" w:color="auto"/>
            </w:tcBorders>
            <w:hideMark/>
          </w:tcPr>
          <w:p w14:paraId="6C6AADE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Rahajeng (Titik) Pratiwi</w:t>
            </w:r>
          </w:p>
          <w:p w14:paraId="539E907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Keirsten Pedersen</w:t>
            </w:r>
          </w:p>
        </w:tc>
        <w:tc>
          <w:tcPr>
            <w:tcW w:w="4819" w:type="dxa"/>
            <w:tcBorders>
              <w:top w:val="single" w:sz="4" w:space="0" w:color="auto"/>
              <w:left w:val="nil"/>
              <w:bottom w:val="single" w:sz="4" w:space="0" w:color="auto"/>
              <w:right w:val="single" w:sz="4" w:space="0" w:color="auto"/>
            </w:tcBorders>
            <w:hideMark/>
          </w:tcPr>
          <w:p w14:paraId="0518464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Operations Officer, ESG Advisory</w:t>
            </w:r>
          </w:p>
          <w:p w14:paraId="0F4DA62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Consultant, ESG Advisory </w:t>
            </w:r>
          </w:p>
        </w:tc>
        <w:tc>
          <w:tcPr>
            <w:tcW w:w="2736" w:type="dxa"/>
            <w:tcBorders>
              <w:top w:val="single" w:sz="4" w:space="0" w:color="auto"/>
              <w:left w:val="nil"/>
              <w:bottom w:val="single" w:sz="4" w:space="0" w:color="auto"/>
              <w:right w:val="single" w:sz="4" w:space="0" w:color="auto"/>
            </w:tcBorders>
            <w:hideMark/>
          </w:tcPr>
          <w:p w14:paraId="30EB15A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IFC</w:t>
            </w:r>
          </w:p>
        </w:tc>
      </w:tr>
      <w:tr w:rsidR="00ED0092" w:rsidRPr="0001083B" w14:paraId="655EEE46" w14:textId="77777777" w:rsidTr="002E5779">
        <w:trPr>
          <w:trHeight w:val="440"/>
        </w:trPr>
        <w:tc>
          <w:tcPr>
            <w:tcW w:w="1980" w:type="dxa"/>
            <w:tcBorders>
              <w:top w:val="nil"/>
              <w:left w:val="single" w:sz="4" w:space="0" w:color="auto"/>
              <w:bottom w:val="single" w:sz="4" w:space="0" w:color="auto"/>
              <w:right w:val="single" w:sz="4" w:space="0" w:color="auto"/>
            </w:tcBorders>
            <w:hideMark/>
          </w:tcPr>
          <w:p w14:paraId="1A422E7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Shihab Azhar</w:t>
            </w:r>
          </w:p>
          <w:p w14:paraId="77FCD162" w14:textId="77777777" w:rsidR="00ED0092" w:rsidRPr="0001083B" w:rsidRDefault="00ED0092" w:rsidP="00033C5D">
            <w:pPr>
              <w:rPr>
                <w:rFonts w:ascii="Calibri" w:hAnsi="Calibri" w:cs="Calibri"/>
                <w:color w:val="000000"/>
                <w:sz w:val="22"/>
                <w:szCs w:val="22"/>
                <w:lang w:val="en-AU"/>
              </w:rPr>
            </w:pPr>
          </w:p>
          <w:p w14:paraId="38F9941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Kamni Naidu</w:t>
            </w:r>
          </w:p>
        </w:tc>
        <w:tc>
          <w:tcPr>
            <w:tcW w:w="4819" w:type="dxa"/>
            <w:tcBorders>
              <w:top w:val="nil"/>
              <w:left w:val="nil"/>
              <w:bottom w:val="single" w:sz="4" w:space="0" w:color="auto"/>
              <w:right w:val="single" w:sz="4" w:space="0" w:color="auto"/>
            </w:tcBorders>
            <w:hideMark/>
          </w:tcPr>
          <w:p w14:paraId="59B3EB95"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Senior Operations Officer, Country Advisory and Economics </w:t>
            </w:r>
          </w:p>
          <w:p w14:paraId="6661A52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Country Advisory and Economics</w:t>
            </w:r>
          </w:p>
        </w:tc>
        <w:tc>
          <w:tcPr>
            <w:tcW w:w="2736" w:type="dxa"/>
            <w:tcBorders>
              <w:top w:val="nil"/>
              <w:left w:val="nil"/>
              <w:bottom w:val="single" w:sz="4" w:space="0" w:color="auto"/>
              <w:right w:val="single" w:sz="4" w:space="0" w:color="auto"/>
            </w:tcBorders>
            <w:hideMark/>
          </w:tcPr>
          <w:p w14:paraId="4B0A4DFE"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IFC</w:t>
            </w:r>
          </w:p>
        </w:tc>
      </w:tr>
      <w:tr w:rsidR="00ED0092" w:rsidRPr="0001083B" w14:paraId="566E6753" w14:textId="77777777" w:rsidTr="002E5779">
        <w:trPr>
          <w:trHeight w:val="900"/>
        </w:trPr>
        <w:tc>
          <w:tcPr>
            <w:tcW w:w="1980" w:type="dxa"/>
            <w:tcBorders>
              <w:top w:val="nil"/>
              <w:left w:val="single" w:sz="4" w:space="0" w:color="auto"/>
              <w:bottom w:val="single" w:sz="4" w:space="0" w:color="auto"/>
              <w:right w:val="single" w:sz="4" w:space="0" w:color="auto"/>
            </w:tcBorders>
            <w:hideMark/>
          </w:tcPr>
          <w:p w14:paraId="2D9FE95B" w14:textId="24EE5C20"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Chris Bleakley</w:t>
            </w:r>
          </w:p>
          <w:p w14:paraId="6AC80160" w14:textId="4B4B5AFC"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Ritesh Vij</w:t>
            </w:r>
          </w:p>
        </w:tc>
        <w:tc>
          <w:tcPr>
            <w:tcW w:w="4819" w:type="dxa"/>
            <w:tcBorders>
              <w:top w:val="nil"/>
              <w:left w:val="nil"/>
              <w:bottom w:val="single" w:sz="4" w:space="0" w:color="auto"/>
              <w:right w:val="single" w:sz="4" w:space="0" w:color="auto"/>
            </w:tcBorders>
            <w:hideMark/>
          </w:tcPr>
          <w:p w14:paraId="15E9BE5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Pacific Hub Leader, Transaction Advisory Services – PPP</w:t>
            </w:r>
          </w:p>
          <w:p w14:paraId="433873E9"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Senior Operations Officer, Transaction Advisory Services – PPP</w:t>
            </w:r>
          </w:p>
        </w:tc>
        <w:tc>
          <w:tcPr>
            <w:tcW w:w="2736" w:type="dxa"/>
            <w:tcBorders>
              <w:top w:val="nil"/>
              <w:left w:val="nil"/>
              <w:bottom w:val="single" w:sz="4" w:space="0" w:color="auto"/>
              <w:right w:val="single" w:sz="4" w:space="0" w:color="auto"/>
            </w:tcBorders>
            <w:hideMark/>
          </w:tcPr>
          <w:p w14:paraId="67C39D1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IFC</w:t>
            </w:r>
          </w:p>
        </w:tc>
      </w:tr>
      <w:tr w:rsidR="00ED0092" w:rsidRPr="0001083B" w14:paraId="0D190FFA" w14:textId="77777777" w:rsidTr="002E5779">
        <w:trPr>
          <w:trHeight w:val="600"/>
        </w:trPr>
        <w:tc>
          <w:tcPr>
            <w:tcW w:w="1980" w:type="dxa"/>
            <w:tcBorders>
              <w:top w:val="nil"/>
              <w:left w:val="single" w:sz="4" w:space="0" w:color="auto"/>
              <w:bottom w:val="single" w:sz="4" w:space="0" w:color="auto"/>
              <w:right w:val="single" w:sz="4" w:space="0" w:color="auto"/>
            </w:tcBorders>
            <w:hideMark/>
          </w:tcPr>
          <w:p w14:paraId="703974AB" w14:textId="3463D25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Ellen Maynes</w:t>
            </w:r>
          </w:p>
          <w:p w14:paraId="673DC6A5"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Vicky Tsang</w:t>
            </w:r>
          </w:p>
        </w:tc>
        <w:tc>
          <w:tcPr>
            <w:tcW w:w="4819" w:type="dxa"/>
            <w:tcBorders>
              <w:top w:val="nil"/>
              <w:left w:val="nil"/>
              <w:bottom w:val="single" w:sz="4" w:space="0" w:color="auto"/>
              <w:right w:val="single" w:sz="4" w:space="0" w:color="auto"/>
            </w:tcBorders>
            <w:hideMark/>
          </w:tcPr>
          <w:p w14:paraId="47FA91D1"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Operations Officer, Gender and Economic Inclusion</w:t>
            </w:r>
          </w:p>
          <w:p w14:paraId="72B8CBA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Coordinator – Pacific, Gender and Economic Inclusion</w:t>
            </w:r>
          </w:p>
        </w:tc>
        <w:tc>
          <w:tcPr>
            <w:tcW w:w="2736" w:type="dxa"/>
            <w:tcBorders>
              <w:top w:val="nil"/>
              <w:left w:val="nil"/>
              <w:bottom w:val="single" w:sz="4" w:space="0" w:color="auto"/>
              <w:right w:val="single" w:sz="4" w:space="0" w:color="auto"/>
            </w:tcBorders>
            <w:hideMark/>
          </w:tcPr>
          <w:p w14:paraId="36699F8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IFC</w:t>
            </w:r>
          </w:p>
        </w:tc>
      </w:tr>
      <w:tr w:rsidR="00ED0092" w:rsidRPr="0001083B" w14:paraId="4144EFBA" w14:textId="77777777" w:rsidTr="002E5779">
        <w:trPr>
          <w:trHeight w:val="315"/>
        </w:trPr>
        <w:tc>
          <w:tcPr>
            <w:tcW w:w="1980" w:type="dxa"/>
            <w:tcBorders>
              <w:top w:val="nil"/>
              <w:left w:val="single" w:sz="4" w:space="0" w:color="auto"/>
              <w:bottom w:val="single" w:sz="4" w:space="0" w:color="auto"/>
              <w:right w:val="single" w:sz="4" w:space="0" w:color="auto"/>
            </w:tcBorders>
            <w:hideMark/>
          </w:tcPr>
          <w:p w14:paraId="1586A3D1"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Sameer Chand</w:t>
            </w:r>
          </w:p>
        </w:tc>
        <w:tc>
          <w:tcPr>
            <w:tcW w:w="4819" w:type="dxa"/>
            <w:tcBorders>
              <w:top w:val="nil"/>
              <w:left w:val="nil"/>
              <w:bottom w:val="single" w:sz="4" w:space="0" w:color="auto"/>
              <w:right w:val="single" w:sz="4" w:space="0" w:color="auto"/>
            </w:tcBorders>
            <w:hideMark/>
          </w:tcPr>
          <w:p w14:paraId="6947530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Operations Officer, Country Advisory and Economics</w:t>
            </w:r>
          </w:p>
        </w:tc>
        <w:tc>
          <w:tcPr>
            <w:tcW w:w="2736" w:type="dxa"/>
            <w:tcBorders>
              <w:top w:val="nil"/>
              <w:left w:val="nil"/>
              <w:bottom w:val="single" w:sz="4" w:space="0" w:color="auto"/>
              <w:right w:val="single" w:sz="4" w:space="0" w:color="auto"/>
            </w:tcBorders>
            <w:hideMark/>
          </w:tcPr>
          <w:p w14:paraId="7049260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IFC</w:t>
            </w:r>
          </w:p>
        </w:tc>
      </w:tr>
      <w:tr w:rsidR="00ED0092" w:rsidRPr="0001083B" w14:paraId="60427475" w14:textId="77777777" w:rsidTr="002E5779">
        <w:trPr>
          <w:trHeight w:val="1148"/>
        </w:trPr>
        <w:tc>
          <w:tcPr>
            <w:tcW w:w="1980" w:type="dxa"/>
            <w:tcBorders>
              <w:top w:val="nil"/>
              <w:left w:val="single" w:sz="4" w:space="0" w:color="auto"/>
              <w:bottom w:val="single" w:sz="4" w:space="0" w:color="auto"/>
              <w:right w:val="single" w:sz="4" w:space="0" w:color="auto"/>
            </w:tcBorders>
            <w:shd w:val="clear" w:color="000000" w:fill="FFFFFF"/>
            <w:hideMark/>
          </w:tcPr>
          <w:p w14:paraId="76EB0118" w14:textId="2DCB49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Clair McNamara</w:t>
            </w:r>
            <w:r w:rsidRPr="0001083B">
              <w:rPr>
                <w:rFonts w:ascii="Calibri" w:hAnsi="Calibri" w:cs="Calibri"/>
                <w:color w:val="000000"/>
                <w:sz w:val="22"/>
                <w:szCs w:val="22"/>
                <w:lang w:val="en-AU"/>
              </w:rPr>
              <w:br/>
              <w:t>Andrew Shepherd</w:t>
            </w:r>
          </w:p>
          <w:p w14:paraId="00259D3B" w14:textId="6ACE2621"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Emily Wilson</w:t>
            </w:r>
          </w:p>
          <w:p w14:paraId="3E0DA0DF"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Karyn Gibson</w:t>
            </w:r>
          </w:p>
        </w:tc>
        <w:tc>
          <w:tcPr>
            <w:tcW w:w="4819" w:type="dxa"/>
            <w:tcBorders>
              <w:top w:val="nil"/>
              <w:left w:val="nil"/>
              <w:bottom w:val="single" w:sz="4" w:space="0" w:color="auto"/>
              <w:right w:val="single" w:sz="4" w:space="0" w:color="auto"/>
            </w:tcBorders>
            <w:shd w:val="clear" w:color="000000" w:fill="FFFFFF"/>
            <w:hideMark/>
          </w:tcPr>
          <w:p w14:paraId="2BE16CF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Deputy High Commissioner</w:t>
            </w:r>
            <w:r w:rsidRPr="0001083B">
              <w:rPr>
                <w:rFonts w:ascii="Calibri" w:hAnsi="Calibri" w:cs="Calibri"/>
                <w:color w:val="000000"/>
                <w:sz w:val="22"/>
                <w:szCs w:val="22"/>
                <w:lang w:val="en-AU"/>
              </w:rPr>
              <w:br/>
              <w:t>Minister Counsellor, Development Cooperation</w:t>
            </w:r>
          </w:p>
          <w:p w14:paraId="021D514A"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First Secretary, Economic, Trade and Development</w:t>
            </w:r>
          </w:p>
          <w:p w14:paraId="39C4416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Program Manager, Private Sector Development</w:t>
            </w:r>
          </w:p>
        </w:tc>
        <w:tc>
          <w:tcPr>
            <w:tcW w:w="2736" w:type="dxa"/>
            <w:tcBorders>
              <w:top w:val="nil"/>
              <w:left w:val="nil"/>
              <w:bottom w:val="single" w:sz="4" w:space="0" w:color="auto"/>
              <w:right w:val="single" w:sz="4" w:space="0" w:color="auto"/>
            </w:tcBorders>
            <w:shd w:val="clear" w:color="000000" w:fill="FFFFFF"/>
            <w:hideMark/>
          </w:tcPr>
          <w:p w14:paraId="390DC4C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Australian High Commission</w:t>
            </w:r>
          </w:p>
        </w:tc>
      </w:tr>
      <w:tr w:rsidR="00ED0092" w:rsidRPr="0001083B" w14:paraId="0EA5ED9D" w14:textId="77777777" w:rsidTr="002E5779">
        <w:trPr>
          <w:trHeight w:val="665"/>
        </w:trPr>
        <w:tc>
          <w:tcPr>
            <w:tcW w:w="1980" w:type="dxa"/>
            <w:tcBorders>
              <w:top w:val="nil"/>
              <w:left w:val="single" w:sz="4" w:space="0" w:color="auto"/>
              <w:bottom w:val="single" w:sz="4" w:space="0" w:color="auto"/>
              <w:right w:val="single" w:sz="4" w:space="0" w:color="auto"/>
            </w:tcBorders>
            <w:shd w:val="clear" w:color="000000" w:fill="FFFFFF"/>
          </w:tcPr>
          <w:p w14:paraId="707AA3D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Mick Lily </w:t>
            </w:r>
          </w:p>
          <w:p w14:paraId="2BED3CB0"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Sam Bunt</w:t>
            </w:r>
          </w:p>
        </w:tc>
        <w:tc>
          <w:tcPr>
            <w:tcW w:w="4819" w:type="dxa"/>
            <w:tcBorders>
              <w:top w:val="nil"/>
              <w:left w:val="nil"/>
              <w:bottom w:val="single" w:sz="4" w:space="0" w:color="auto"/>
              <w:right w:val="single" w:sz="4" w:space="0" w:color="auto"/>
            </w:tcBorders>
            <w:shd w:val="clear" w:color="000000" w:fill="FFFFFF"/>
          </w:tcPr>
          <w:p w14:paraId="473DF8E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Chief Investment Officer</w:t>
            </w:r>
          </w:p>
          <w:p w14:paraId="2F820B3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Director </w:t>
            </w:r>
          </w:p>
        </w:tc>
        <w:tc>
          <w:tcPr>
            <w:tcW w:w="2736" w:type="dxa"/>
            <w:tcBorders>
              <w:top w:val="nil"/>
              <w:left w:val="nil"/>
              <w:bottom w:val="single" w:sz="4" w:space="0" w:color="auto"/>
              <w:right w:val="single" w:sz="4" w:space="0" w:color="auto"/>
            </w:tcBorders>
            <w:shd w:val="clear" w:color="000000" w:fill="FFFFFF"/>
          </w:tcPr>
          <w:p w14:paraId="2AF4DBE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Australian Infrastructure Financing Facility for the Pacific (AIFFP)</w:t>
            </w:r>
          </w:p>
        </w:tc>
      </w:tr>
      <w:tr w:rsidR="00ED0092" w:rsidRPr="0001083B" w14:paraId="29C6E0F5" w14:textId="77777777" w:rsidTr="002E5779">
        <w:trPr>
          <w:trHeight w:val="386"/>
        </w:trPr>
        <w:tc>
          <w:tcPr>
            <w:tcW w:w="1980" w:type="dxa"/>
            <w:tcBorders>
              <w:top w:val="nil"/>
              <w:left w:val="single" w:sz="4" w:space="0" w:color="auto"/>
              <w:bottom w:val="single" w:sz="4" w:space="0" w:color="auto"/>
              <w:right w:val="single" w:sz="4" w:space="0" w:color="auto"/>
            </w:tcBorders>
            <w:shd w:val="clear" w:color="000000" w:fill="FFFFFF"/>
          </w:tcPr>
          <w:p w14:paraId="0E9963B3"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Kelera Cavuilati</w:t>
            </w:r>
          </w:p>
        </w:tc>
        <w:tc>
          <w:tcPr>
            <w:tcW w:w="4819" w:type="dxa"/>
            <w:tcBorders>
              <w:top w:val="nil"/>
              <w:left w:val="nil"/>
              <w:bottom w:val="single" w:sz="4" w:space="0" w:color="auto"/>
              <w:right w:val="single" w:sz="4" w:space="0" w:color="auto"/>
            </w:tcBorders>
            <w:shd w:val="clear" w:color="000000" w:fill="FFFFFF"/>
          </w:tcPr>
          <w:p w14:paraId="2D927E5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Fiji Country Director </w:t>
            </w:r>
          </w:p>
        </w:tc>
        <w:tc>
          <w:tcPr>
            <w:tcW w:w="2736" w:type="dxa"/>
            <w:tcBorders>
              <w:top w:val="nil"/>
              <w:left w:val="nil"/>
              <w:bottom w:val="single" w:sz="4" w:space="0" w:color="auto"/>
              <w:right w:val="single" w:sz="4" w:space="0" w:color="auto"/>
            </w:tcBorders>
            <w:shd w:val="clear" w:color="000000" w:fill="FFFFFF"/>
          </w:tcPr>
          <w:p w14:paraId="68052E1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Market Development Facility</w:t>
            </w:r>
          </w:p>
        </w:tc>
      </w:tr>
      <w:tr w:rsidR="00ED0092" w:rsidRPr="0001083B" w14:paraId="7DE76A67" w14:textId="77777777" w:rsidTr="002E5779">
        <w:trPr>
          <w:trHeight w:val="620"/>
        </w:trPr>
        <w:tc>
          <w:tcPr>
            <w:tcW w:w="1980" w:type="dxa"/>
            <w:tcBorders>
              <w:top w:val="nil"/>
              <w:left w:val="single" w:sz="4" w:space="0" w:color="auto"/>
              <w:bottom w:val="single" w:sz="4" w:space="0" w:color="auto"/>
              <w:right w:val="single" w:sz="4" w:space="0" w:color="auto"/>
            </w:tcBorders>
            <w:shd w:val="clear" w:color="000000" w:fill="FFFFFF"/>
            <w:hideMark/>
          </w:tcPr>
          <w:p w14:paraId="4DB0E959"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Ravinesh Deo</w:t>
            </w:r>
          </w:p>
          <w:p w14:paraId="16F4ED13"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Malka Khan</w:t>
            </w:r>
          </w:p>
        </w:tc>
        <w:tc>
          <w:tcPr>
            <w:tcW w:w="4819" w:type="dxa"/>
            <w:tcBorders>
              <w:top w:val="nil"/>
              <w:left w:val="nil"/>
              <w:bottom w:val="single" w:sz="4" w:space="0" w:color="auto"/>
              <w:right w:val="single" w:sz="4" w:space="0" w:color="auto"/>
            </w:tcBorders>
            <w:shd w:val="clear" w:color="000000" w:fill="FFFFFF"/>
            <w:hideMark/>
          </w:tcPr>
          <w:p w14:paraId="4D37C16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General Manager</w:t>
            </w:r>
          </w:p>
          <w:p w14:paraId="6F035B8A"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HR Manager</w:t>
            </w:r>
          </w:p>
        </w:tc>
        <w:tc>
          <w:tcPr>
            <w:tcW w:w="2736" w:type="dxa"/>
            <w:tcBorders>
              <w:top w:val="nil"/>
              <w:left w:val="nil"/>
              <w:bottom w:val="single" w:sz="4" w:space="0" w:color="auto"/>
              <w:right w:val="single" w:sz="4" w:space="0" w:color="auto"/>
            </w:tcBorders>
            <w:hideMark/>
          </w:tcPr>
          <w:p w14:paraId="6EDBB62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Wormald Fiji</w:t>
            </w:r>
          </w:p>
        </w:tc>
      </w:tr>
      <w:tr w:rsidR="00ED0092" w:rsidRPr="0001083B" w14:paraId="569F4145" w14:textId="77777777" w:rsidTr="002E5779">
        <w:trPr>
          <w:trHeight w:val="413"/>
        </w:trPr>
        <w:tc>
          <w:tcPr>
            <w:tcW w:w="1980" w:type="dxa"/>
            <w:tcBorders>
              <w:top w:val="nil"/>
              <w:left w:val="single" w:sz="4" w:space="0" w:color="auto"/>
              <w:bottom w:val="single" w:sz="4" w:space="0" w:color="auto"/>
              <w:right w:val="single" w:sz="4" w:space="0" w:color="auto"/>
            </w:tcBorders>
            <w:shd w:val="clear" w:color="000000" w:fill="FFFFFF"/>
            <w:hideMark/>
          </w:tcPr>
          <w:p w14:paraId="31E9DDD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Shiri Gounder</w:t>
            </w:r>
          </w:p>
          <w:p w14:paraId="73F054A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Sundhia Ben</w:t>
            </w:r>
          </w:p>
        </w:tc>
        <w:tc>
          <w:tcPr>
            <w:tcW w:w="4819" w:type="dxa"/>
            <w:tcBorders>
              <w:top w:val="nil"/>
              <w:left w:val="nil"/>
              <w:bottom w:val="single" w:sz="4" w:space="0" w:color="auto"/>
              <w:right w:val="single" w:sz="4" w:space="0" w:color="auto"/>
            </w:tcBorders>
            <w:shd w:val="clear" w:color="000000" w:fill="FFFFFF"/>
            <w:hideMark/>
          </w:tcPr>
          <w:p w14:paraId="65EC5273"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Permanent Secretary</w:t>
            </w:r>
          </w:p>
          <w:p w14:paraId="3623E011"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Manager, Economic &amp; Fiscal Policy</w:t>
            </w:r>
          </w:p>
        </w:tc>
        <w:tc>
          <w:tcPr>
            <w:tcW w:w="2736" w:type="dxa"/>
            <w:tcBorders>
              <w:top w:val="nil"/>
              <w:left w:val="nil"/>
              <w:bottom w:val="single" w:sz="4" w:space="0" w:color="auto"/>
              <w:right w:val="single" w:sz="4" w:space="0" w:color="auto"/>
            </w:tcBorders>
            <w:shd w:val="clear" w:color="000000" w:fill="FFFFFF"/>
            <w:hideMark/>
          </w:tcPr>
          <w:p w14:paraId="1957C14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Ministry of Finance</w:t>
            </w:r>
          </w:p>
        </w:tc>
      </w:tr>
      <w:tr w:rsidR="00ED0092" w:rsidRPr="0001083B" w14:paraId="31631994" w14:textId="77777777" w:rsidTr="002E5779">
        <w:trPr>
          <w:trHeight w:val="440"/>
        </w:trPr>
        <w:tc>
          <w:tcPr>
            <w:tcW w:w="1980" w:type="dxa"/>
            <w:tcBorders>
              <w:top w:val="nil"/>
              <w:left w:val="single" w:sz="4" w:space="0" w:color="auto"/>
              <w:bottom w:val="single" w:sz="4" w:space="0" w:color="auto"/>
              <w:right w:val="single" w:sz="4" w:space="0" w:color="auto"/>
            </w:tcBorders>
            <w:hideMark/>
          </w:tcPr>
          <w:p w14:paraId="3697EAE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Analesi Tuicaumia</w:t>
            </w:r>
          </w:p>
          <w:p w14:paraId="7D1B7CE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Temesia Tuicaumia</w:t>
            </w:r>
          </w:p>
        </w:tc>
        <w:tc>
          <w:tcPr>
            <w:tcW w:w="4819" w:type="dxa"/>
            <w:tcBorders>
              <w:top w:val="nil"/>
              <w:left w:val="nil"/>
              <w:bottom w:val="single" w:sz="4" w:space="0" w:color="auto"/>
              <w:right w:val="single" w:sz="4" w:space="0" w:color="auto"/>
            </w:tcBorders>
            <w:hideMark/>
          </w:tcPr>
          <w:p w14:paraId="229393B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Founder &amp; Director</w:t>
            </w:r>
          </w:p>
          <w:p w14:paraId="1296BF9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CBF Co-Founder and National Adviser, Early Childhood Development Fiji</w:t>
            </w:r>
          </w:p>
        </w:tc>
        <w:tc>
          <w:tcPr>
            <w:tcW w:w="2736" w:type="dxa"/>
            <w:tcBorders>
              <w:top w:val="nil"/>
              <w:left w:val="nil"/>
              <w:bottom w:val="single" w:sz="4" w:space="0" w:color="auto"/>
              <w:right w:val="single" w:sz="4" w:space="0" w:color="auto"/>
            </w:tcBorders>
            <w:noWrap/>
            <w:hideMark/>
          </w:tcPr>
          <w:p w14:paraId="3C4154E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Child Benefit Fiji</w:t>
            </w:r>
          </w:p>
        </w:tc>
      </w:tr>
      <w:tr w:rsidR="00ED0092" w:rsidRPr="0001083B" w14:paraId="1CBDBAF2" w14:textId="77777777" w:rsidTr="002E5779">
        <w:trPr>
          <w:trHeight w:val="476"/>
        </w:trPr>
        <w:tc>
          <w:tcPr>
            <w:tcW w:w="1980" w:type="dxa"/>
            <w:tcBorders>
              <w:top w:val="nil"/>
              <w:left w:val="single" w:sz="4" w:space="0" w:color="auto"/>
              <w:bottom w:val="single" w:sz="4" w:space="0" w:color="auto"/>
              <w:right w:val="single" w:sz="4" w:space="0" w:color="auto"/>
            </w:tcBorders>
            <w:hideMark/>
          </w:tcPr>
          <w:p w14:paraId="41D91FA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Jacinta Lal </w:t>
            </w:r>
          </w:p>
        </w:tc>
        <w:tc>
          <w:tcPr>
            <w:tcW w:w="4819" w:type="dxa"/>
            <w:tcBorders>
              <w:top w:val="nil"/>
              <w:left w:val="nil"/>
              <w:bottom w:val="single" w:sz="4" w:space="0" w:color="auto"/>
              <w:right w:val="single" w:sz="4" w:space="0" w:color="auto"/>
            </w:tcBorders>
            <w:hideMark/>
          </w:tcPr>
          <w:p w14:paraId="41A112AE"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Director, Tourism </w:t>
            </w:r>
          </w:p>
        </w:tc>
        <w:tc>
          <w:tcPr>
            <w:tcW w:w="2736" w:type="dxa"/>
            <w:tcBorders>
              <w:top w:val="nil"/>
              <w:left w:val="nil"/>
              <w:bottom w:val="single" w:sz="4" w:space="0" w:color="auto"/>
              <w:right w:val="single" w:sz="4" w:space="0" w:color="auto"/>
            </w:tcBorders>
            <w:hideMark/>
          </w:tcPr>
          <w:p w14:paraId="5B56671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Ministry of Tourism and Civil Aviation </w:t>
            </w:r>
          </w:p>
        </w:tc>
      </w:tr>
      <w:tr w:rsidR="00ED0092" w:rsidRPr="0001083B" w14:paraId="14740CC4" w14:textId="77777777" w:rsidTr="002E5779">
        <w:trPr>
          <w:trHeight w:val="530"/>
        </w:trPr>
        <w:tc>
          <w:tcPr>
            <w:tcW w:w="1980" w:type="dxa"/>
            <w:tcBorders>
              <w:top w:val="nil"/>
              <w:left w:val="single" w:sz="4" w:space="0" w:color="auto"/>
              <w:bottom w:val="single" w:sz="4" w:space="0" w:color="auto"/>
              <w:right w:val="single" w:sz="4" w:space="0" w:color="auto"/>
            </w:tcBorders>
            <w:hideMark/>
          </w:tcPr>
          <w:p w14:paraId="35B9845F"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Shaheen Ali</w:t>
            </w:r>
          </w:p>
          <w:p w14:paraId="2917FBA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Karishma Narayan</w:t>
            </w:r>
          </w:p>
          <w:p w14:paraId="181E89B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Raksha Chand</w:t>
            </w:r>
          </w:p>
        </w:tc>
        <w:tc>
          <w:tcPr>
            <w:tcW w:w="4819" w:type="dxa"/>
            <w:tcBorders>
              <w:top w:val="nil"/>
              <w:left w:val="nil"/>
              <w:bottom w:val="single" w:sz="4" w:space="0" w:color="auto"/>
              <w:right w:val="single" w:sz="4" w:space="0" w:color="auto"/>
            </w:tcBorders>
            <w:hideMark/>
          </w:tcPr>
          <w:p w14:paraId="66960CF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Permanent Secretary</w:t>
            </w:r>
          </w:p>
          <w:p w14:paraId="257C579E"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Director, Trade</w:t>
            </w:r>
          </w:p>
          <w:p w14:paraId="2E3A13DA"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Manager, Business Reforms</w:t>
            </w:r>
          </w:p>
        </w:tc>
        <w:tc>
          <w:tcPr>
            <w:tcW w:w="2736" w:type="dxa"/>
            <w:tcBorders>
              <w:top w:val="nil"/>
              <w:left w:val="nil"/>
              <w:bottom w:val="single" w:sz="4" w:space="0" w:color="auto"/>
              <w:right w:val="single" w:sz="4" w:space="0" w:color="auto"/>
            </w:tcBorders>
            <w:hideMark/>
          </w:tcPr>
          <w:p w14:paraId="051868A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Ministry of Trade, Cooperatives, MSMEs and Communications</w:t>
            </w:r>
          </w:p>
        </w:tc>
      </w:tr>
      <w:tr w:rsidR="00ED0092" w:rsidRPr="0001083B" w14:paraId="12066B9C" w14:textId="77777777" w:rsidTr="002E5779">
        <w:trPr>
          <w:trHeight w:val="476"/>
        </w:trPr>
        <w:tc>
          <w:tcPr>
            <w:tcW w:w="1980" w:type="dxa"/>
            <w:tcBorders>
              <w:top w:val="nil"/>
              <w:left w:val="single" w:sz="4" w:space="0" w:color="auto"/>
              <w:bottom w:val="single" w:sz="4" w:space="0" w:color="auto"/>
              <w:right w:val="single" w:sz="4" w:space="0" w:color="auto"/>
            </w:tcBorders>
            <w:hideMark/>
          </w:tcPr>
          <w:p w14:paraId="431A67D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Ariff Ali</w:t>
            </w:r>
          </w:p>
          <w:p w14:paraId="670F46A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Caroline Waqabaca</w:t>
            </w:r>
          </w:p>
        </w:tc>
        <w:tc>
          <w:tcPr>
            <w:tcW w:w="4819" w:type="dxa"/>
            <w:tcBorders>
              <w:top w:val="nil"/>
              <w:left w:val="nil"/>
              <w:bottom w:val="single" w:sz="4" w:space="0" w:color="auto"/>
              <w:right w:val="single" w:sz="4" w:space="0" w:color="auto"/>
            </w:tcBorders>
            <w:hideMark/>
          </w:tcPr>
          <w:p w14:paraId="50164571"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Governor</w:t>
            </w:r>
          </w:p>
          <w:p w14:paraId="0172D28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Chief Manager Financial System Development Group</w:t>
            </w:r>
          </w:p>
        </w:tc>
        <w:tc>
          <w:tcPr>
            <w:tcW w:w="2736" w:type="dxa"/>
            <w:tcBorders>
              <w:top w:val="nil"/>
              <w:left w:val="nil"/>
              <w:bottom w:val="single" w:sz="4" w:space="0" w:color="auto"/>
              <w:right w:val="single" w:sz="4" w:space="0" w:color="auto"/>
            </w:tcBorders>
            <w:hideMark/>
          </w:tcPr>
          <w:p w14:paraId="2D041E2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Reserve Bank of Fiji </w:t>
            </w:r>
          </w:p>
        </w:tc>
      </w:tr>
      <w:tr w:rsidR="00ED0092" w:rsidRPr="0001083B" w14:paraId="3121E2D5" w14:textId="77777777" w:rsidTr="002E5779">
        <w:trPr>
          <w:trHeight w:val="521"/>
        </w:trPr>
        <w:tc>
          <w:tcPr>
            <w:tcW w:w="1980" w:type="dxa"/>
            <w:tcBorders>
              <w:top w:val="nil"/>
              <w:left w:val="single" w:sz="4" w:space="0" w:color="auto"/>
              <w:bottom w:val="single" w:sz="4" w:space="0" w:color="auto"/>
              <w:right w:val="single" w:sz="4" w:space="0" w:color="auto"/>
            </w:tcBorders>
            <w:noWrap/>
            <w:hideMark/>
          </w:tcPr>
          <w:p w14:paraId="1B5AF4B0"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Sheraj Obeyesekere</w:t>
            </w:r>
          </w:p>
          <w:p w14:paraId="0B69B7D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Shyama Verma</w:t>
            </w:r>
          </w:p>
        </w:tc>
        <w:tc>
          <w:tcPr>
            <w:tcW w:w="4819" w:type="dxa"/>
            <w:tcBorders>
              <w:top w:val="nil"/>
              <w:left w:val="nil"/>
              <w:bottom w:val="single" w:sz="4" w:space="0" w:color="auto"/>
              <w:right w:val="single" w:sz="4" w:space="0" w:color="auto"/>
            </w:tcBorders>
            <w:hideMark/>
          </w:tcPr>
          <w:p w14:paraId="71BDFE7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CEO</w:t>
            </w:r>
          </w:p>
          <w:p w14:paraId="20D81780"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Team Leader Listing &amp; Compliance</w:t>
            </w:r>
          </w:p>
        </w:tc>
        <w:tc>
          <w:tcPr>
            <w:tcW w:w="2736" w:type="dxa"/>
            <w:tcBorders>
              <w:top w:val="nil"/>
              <w:left w:val="nil"/>
              <w:bottom w:val="single" w:sz="4" w:space="0" w:color="auto"/>
              <w:right w:val="single" w:sz="4" w:space="0" w:color="auto"/>
            </w:tcBorders>
            <w:noWrap/>
            <w:hideMark/>
          </w:tcPr>
          <w:p w14:paraId="1D0A59C0"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SPX (South Pacific Stock Exchange)</w:t>
            </w:r>
          </w:p>
        </w:tc>
      </w:tr>
      <w:tr w:rsidR="00ED0092" w:rsidRPr="0001083B" w14:paraId="031BB664" w14:textId="77777777" w:rsidTr="002E5779">
        <w:trPr>
          <w:trHeight w:val="404"/>
        </w:trPr>
        <w:tc>
          <w:tcPr>
            <w:tcW w:w="1980" w:type="dxa"/>
            <w:tcBorders>
              <w:top w:val="nil"/>
              <w:left w:val="single" w:sz="4" w:space="0" w:color="auto"/>
              <w:bottom w:val="single" w:sz="4" w:space="0" w:color="auto"/>
              <w:right w:val="single" w:sz="4" w:space="0" w:color="auto"/>
            </w:tcBorders>
            <w:hideMark/>
          </w:tcPr>
          <w:p w14:paraId="7C07D52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lastRenderedPageBreak/>
              <w:t xml:space="preserve">Edward Bernard </w:t>
            </w:r>
          </w:p>
          <w:p w14:paraId="538A0A5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Savenaca Baro</w:t>
            </w:r>
          </w:p>
        </w:tc>
        <w:tc>
          <w:tcPr>
            <w:tcW w:w="4819" w:type="dxa"/>
            <w:tcBorders>
              <w:top w:val="nil"/>
              <w:left w:val="nil"/>
              <w:bottom w:val="single" w:sz="4" w:space="0" w:color="auto"/>
              <w:right w:val="single" w:sz="4" w:space="0" w:color="auto"/>
            </w:tcBorders>
            <w:hideMark/>
          </w:tcPr>
          <w:p w14:paraId="71BBBA7E"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CEO</w:t>
            </w:r>
          </w:p>
          <w:p w14:paraId="49EE5C8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Manager, Membership Services, Research &amp; Communication</w:t>
            </w:r>
          </w:p>
        </w:tc>
        <w:tc>
          <w:tcPr>
            <w:tcW w:w="2736" w:type="dxa"/>
            <w:tcBorders>
              <w:top w:val="nil"/>
              <w:left w:val="nil"/>
              <w:bottom w:val="single" w:sz="4" w:space="0" w:color="auto"/>
              <w:right w:val="single" w:sz="4" w:space="0" w:color="auto"/>
            </w:tcBorders>
            <w:noWrap/>
            <w:hideMark/>
          </w:tcPr>
          <w:p w14:paraId="586057F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Fiji Commerce and Employers Federation (FCEF)</w:t>
            </w:r>
          </w:p>
        </w:tc>
      </w:tr>
      <w:tr w:rsidR="00ED0092" w:rsidRPr="0001083B" w14:paraId="224D039D" w14:textId="77777777" w:rsidTr="002E5779">
        <w:trPr>
          <w:trHeight w:val="602"/>
        </w:trPr>
        <w:tc>
          <w:tcPr>
            <w:tcW w:w="1980" w:type="dxa"/>
            <w:tcBorders>
              <w:top w:val="nil"/>
              <w:left w:val="single" w:sz="4" w:space="0" w:color="auto"/>
              <w:bottom w:val="single" w:sz="4" w:space="0" w:color="auto"/>
              <w:right w:val="single" w:sz="4" w:space="0" w:color="auto"/>
            </w:tcBorders>
            <w:hideMark/>
          </w:tcPr>
          <w:p w14:paraId="5930C00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Jenny Seeto</w:t>
            </w:r>
            <w:r w:rsidRPr="0001083B">
              <w:rPr>
                <w:rFonts w:ascii="Calibri" w:hAnsi="Calibri" w:cs="Calibri"/>
                <w:color w:val="000000"/>
                <w:sz w:val="22"/>
                <w:szCs w:val="22"/>
                <w:lang w:val="en-AU"/>
              </w:rPr>
              <w:br/>
              <w:t>Kamal Chetty</w:t>
            </w:r>
          </w:p>
        </w:tc>
        <w:tc>
          <w:tcPr>
            <w:tcW w:w="4819" w:type="dxa"/>
            <w:tcBorders>
              <w:top w:val="nil"/>
              <w:left w:val="nil"/>
              <w:bottom w:val="single" w:sz="4" w:space="0" w:color="auto"/>
              <w:right w:val="single" w:sz="4" w:space="0" w:color="auto"/>
            </w:tcBorders>
            <w:hideMark/>
          </w:tcPr>
          <w:p w14:paraId="3E43414E"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Chairperson</w:t>
            </w:r>
            <w:r w:rsidRPr="0001083B">
              <w:rPr>
                <w:rFonts w:ascii="Calibri" w:hAnsi="Calibri" w:cs="Calibri"/>
                <w:color w:val="000000"/>
                <w:sz w:val="22"/>
                <w:szCs w:val="22"/>
                <w:lang w:val="en-AU"/>
              </w:rPr>
              <w:br/>
              <w:t>CEO</w:t>
            </w:r>
          </w:p>
        </w:tc>
        <w:tc>
          <w:tcPr>
            <w:tcW w:w="2736" w:type="dxa"/>
            <w:tcBorders>
              <w:top w:val="nil"/>
              <w:left w:val="nil"/>
              <w:bottom w:val="single" w:sz="4" w:space="0" w:color="auto"/>
              <w:right w:val="single" w:sz="4" w:space="0" w:color="auto"/>
            </w:tcBorders>
            <w:hideMark/>
          </w:tcPr>
          <w:p w14:paraId="352D34B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Investment Fiji</w:t>
            </w:r>
          </w:p>
        </w:tc>
      </w:tr>
      <w:tr w:rsidR="00ED0092" w:rsidRPr="0001083B" w14:paraId="7ED47399" w14:textId="77777777" w:rsidTr="002E5779">
        <w:trPr>
          <w:trHeight w:val="440"/>
        </w:trPr>
        <w:tc>
          <w:tcPr>
            <w:tcW w:w="1980" w:type="dxa"/>
            <w:tcBorders>
              <w:top w:val="nil"/>
              <w:left w:val="single" w:sz="4" w:space="0" w:color="auto"/>
              <w:bottom w:val="single" w:sz="4" w:space="0" w:color="auto"/>
              <w:right w:val="single" w:sz="4" w:space="0" w:color="auto"/>
            </w:tcBorders>
            <w:hideMark/>
          </w:tcPr>
          <w:p w14:paraId="7F90666A"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Treta Sharma</w:t>
            </w:r>
          </w:p>
        </w:tc>
        <w:tc>
          <w:tcPr>
            <w:tcW w:w="4819" w:type="dxa"/>
            <w:tcBorders>
              <w:top w:val="nil"/>
              <w:left w:val="nil"/>
              <w:bottom w:val="single" w:sz="4" w:space="0" w:color="auto"/>
              <w:right w:val="single" w:sz="4" w:space="0" w:color="auto"/>
            </w:tcBorders>
            <w:hideMark/>
          </w:tcPr>
          <w:p w14:paraId="61B5DC2E"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Administrator-General</w:t>
            </w:r>
          </w:p>
        </w:tc>
        <w:tc>
          <w:tcPr>
            <w:tcW w:w="2736" w:type="dxa"/>
            <w:tcBorders>
              <w:top w:val="nil"/>
              <w:left w:val="nil"/>
              <w:bottom w:val="single" w:sz="4" w:space="0" w:color="auto"/>
              <w:right w:val="single" w:sz="4" w:space="0" w:color="auto"/>
            </w:tcBorders>
            <w:hideMark/>
          </w:tcPr>
          <w:p w14:paraId="18CCAB4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Ministry of Justice</w:t>
            </w:r>
          </w:p>
        </w:tc>
      </w:tr>
      <w:tr w:rsidR="00ED0092" w:rsidRPr="0001083B" w14:paraId="1B306C7F" w14:textId="77777777" w:rsidTr="002E5779">
        <w:trPr>
          <w:trHeight w:val="620"/>
        </w:trPr>
        <w:tc>
          <w:tcPr>
            <w:tcW w:w="1980" w:type="dxa"/>
            <w:tcBorders>
              <w:top w:val="nil"/>
              <w:left w:val="single" w:sz="4" w:space="0" w:color="auto"/>
              <w:bottom w:val="single" w:sz="4" w:space="0" w:color="auto"/>
              <w:right w:val="single" w:sz="4" w:space="0" w:color="auto"/>
            </w:tcBorders>
            <w:hideMark/>
          </w:tcPr>
          <w:p w14:paraId="3763B17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Dr Sivendra Michael</w:t>
            </w:r>
          </w:p>
        </w:tc>
        <w:tc>
          <w:tcPr>
            <w:tcW w:w="4819" w:type="dxa"/>
            <w:tcBorders>
              <w:top w:val="nil"/>
              <w:left w:val="nil"/>
              <w:bottom w:val="single" w:sz="4" w:space="0" w:color="auto"/>
              <w:right w:val="single" w:sz="4" w:space="0" w:color="auto"/>
            </w:tcBorders>
            <w:hideMark/>
          </w:tcPr>
          <w:p w14:paraId="069CDA76"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Permanent Secretary </w:t>
            </w:r>
          </w:p>
        </w:tc>
        <w:tc>
          <w:tcPr>
            <w:tcW w:w="2736" w:type="dxa"/>
            <w:tcBorders>
              <w:top w:val="nil"/>
              <w:left w:val="nil"/>
              <w:bottom w:val="single" w:sz="4" w:space="0" w:color="auto"/>
              <w:right w:val="single" w:sz="4" w:space="0" w:color="auto"/>
            </w:tcBorders>
            <w:hideMark/>
          </w:tcPr>
          <w:p w14:paraId="4A75905F"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Ministry of Environment and Climate Change </w:t>
            </w:r>
          </w:p>
        </w:tc>
      </w:tr>
      <w:tr w:rsidR="00ED0092" w:rsidRPr="0001083B" w14:paraId="53CB106E" w14:textId="77777777" w:rsidTr="002E5779">
        <w:trPr>
          <w:trHeight w:val="440"/>
        </w:trPr>
        <w:tc>
          <w:tcPr>
            <w:tcW w:w="1980" w:type="dxa"/>
            <w:tcBorders>
              <w:top w:val="nil"/>
              <w:left w:val="single" w:sz="4" w:space="0" w:color="auto"/>
              <w:bottom w:val="single" w:sz="4" w:space="0" w:color="auto"/>
              <w:right w:val="single" w:sz="4" w:space="0" w:color="auto"/>
            </w:tcBorders>
            <w:hideMark/>
          </w:tcPr>
          <w:p w14:paraId="2BBF11C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Lati Qoro</w:t>
            </w:r>
          </w:p>
        </w:tc>
        <w:tc>
          <w:tcPr>
            <w:tcW w:w="4819" w:type="dxa"/>
            <w:tcBorders>
              <w:top w:val="nil"/>
              <w:left w:val="nil"/>
              <w:bottom w:val="single" w:sz="4" w:space="0" w:color="auto"/>
              <w:right w:val="single" w:sz="4" w:space="0" w:color="auto"/>
            </w:tcBorders>
            <w:hideMark/>
          </w:tcPr>
          <w:p w14:paraId="5C19469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General Manager – Group ESG</w:t>
            </w:r>
          </w:p>
        </w:tc>
        <w:tc>
          <w:tcPr>
            <w:tcW w:w="2736" w:type="dxa"/>
            <w:tcBorders>
              <w:top w:val="nil"/>
              <w:left w:val="nil"/>
              <w:bottom w:val="single" w:sz="4" w:space="0" w:color="auto"/>
              <w:right w:val="single" w:sz="4" w:space="0" w:color="auto"/>
            </w:tcBorders>
            <w:hideMark/>
          </w:tcPr>
          <w:p w14:paraId="50B53BF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Vinod Patel Group</w:t>
            </w:r>
          </w:p>
        </w:tc>
      </w:tr>
      <w:tr w:rsidR="00ED0092" w:rsidRPr="0001083B" w14:paraId="26E2AE73" w14:textId="77777777" w:rsidTr="002E5779">
        <w:trPr>
          <w:trHeight w:val="346"/>
        </w:trPr>
        <w:tc>
          <w:tcPr>
            <w:tcW w:w="1980" w:type="dxa"/>
            <w:tcBorders>
              <w:top w:val="nil"/>
              <w:left w:val="single" w:sz="4" w:space="0" w:color="auto"/>
              <w:bottom w:val="single" w:sz="4" w:space="0" w:color="auto"/>
              <w:right w:val="single" w:sz="4" w:space="0" w:color="auto"/>
            </w:tcBorders>
            <w:noWrap/>
            <w:hideMark/>
          </w:tcPr>
          <w:p w14:paraId="30423CA8"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Nikunj Vaghela</w:t>
            </w:r>
          </w:p>
        </w:tc>
        <w:tc>
          <w:tcPr>
            <w:tcW w:w="4819" w:type="dxa"/>
            <w:tcBorders>
              <w:top w:val="nil"/>
              <w:left w:val="nil"/>
              <w:bottom w:val="single" w:sz="4" w:space="0" w:color="auto"/>
              <w:right w:val="single" w:sz="4" w:space="0" w:color="auto"/>
            </w:tcBorders>
            <w:hideMark/>
          </w:tcPr>
          <w:p w14:paraId="781DB3B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General Manager, Commercial and Technical Service</w:t>
            </w:r>
          </w:p>
        </w:tc>
        <w:tc>
          <w:tcPr>
            <w:tcW w:w="2736" w:type="dxa"/>
            <w:tcBorders>
              <w:top w:val="nil"/>
              <w:left w:val="nil"/>
              <w:bottom w:val="single" w:sz="4" w:space="0" w:color="auto"/>
              <w:right w:val="single" w:sz="4" w:space="0" w:color="auto"/>
            </w:tcBorders>
            <w:hideMark/>
          </w:tcPr>
          <w:p w14:paraId="2683BC7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Vision Investments Limited</w:t>
            </w:r>
          </w:p>
        </w:tc>
      </w:tr>
      <w:tr w:rsidR="00ED0092" w:rsidRPr="0001083B" w14:paraId="5C4A1EC6" w14:textId="77777777" w:rsidTr="002E5779">
        <w:trPr>
          <w:trHeight w:val="467"/>
        </w:trPr>
        <w:tc>
          <w:tcPr>
            <w:tcW w:w="1980" w:type="dxa"/>
            <w:tcBorders>
              <w:top w:val="nil"/>
              <w:left w:val="single" w:sz="4" w:space="0" w:color="auto"/>
              <w:bottom w:val="single" w:sz="4" w:space="0" w:color="auto"/>
              <w:right w:val="single" w:sz="4" w:space="0" w:color="auto"/>
            </w:tcBorders>
            <w:noWrap/>
            <w:hideMark/>
          </w:tcPr>
          <w:p w14:paraId="614B3D9A"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Mesake Nawari</w:t>
            </w:r>
          </w:p>
          <w:p w14:paraId="1E873642"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Niraj Chettiar</w:t>
            </w:r>
          </w:p>
        </w:tc>
        <w:tc>
          <w:tcPr>
            <w:tcW w:w="4819" w:type="dxa"/>
            <w:tcBorders>
              <w:top w:val="nil"/>
              <w:left w:val="nil"/>
              <w:bottom w:val="single" w:sz="4" w:space="0" w:color="auto"/>
              <w:right w:val="single" w:sz="4" w:space="0" w:color="auto"/>
            </w:tcBorders>
            <w:hideMark/>
          </w:tcPr>
          <w:p w14:paraId="44393860"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CEO</w:t>
            </w:r>
          </w:p>
          <w:p w14:paraId="62348FC4"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Director of Projects</w:t>
            </w:r>
          </w:p>
        </w:tc>
        <w:tc>
          <w:tcPr>
            <w:tcW w:w="2736" w:type="dxa"/>
            <w:tcBorders>
              <w:top w:val="nil"/>
              <w:left w:val="nil"/>
              <w:bottom w:val="single" w:sz="4" w:space="0" w:color="auto"/>
              <w:right w:val="single" w:sz="4" w:space="0" w:color="auto"/>
            </w:tcBorders>
            <w:noWrap/>
            <w:hideMark/>
          </w:tcPr>
          <w:p w14:paraId="157C4AB1"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Fiji Airports Limited</w:t>
            </w:r>
          </w:p>
        </w:tc>
      </w:tr>
      <w:tr w:rsidR="00ED0092" w:rsidRPr="0001083B" w14:paraId="5783B3EC" w14:textId="77777777" w:rsidTr="002E5779">
        <w:trPr>
          <w:trHeight w:val="440"/>
        </w:trPr>
        <w:tc>
          <w:tcPr>
            <w:tcW w:w="1980" w:type="dxa"/>
            <w:tcBorders>
              <w:top w:val="nil"/>
              <w:left w:val="single" w:sz="4" w:space="0" w:color="auto"/>
              <w:bottom w:val="single" w:sz="4" w:space="0" w:color="auto"/>
              <w:right w:val="single" w:sz="4" w:space="0" w:color="auto"/>
            </w:tcBorders>
            <w:hideMark/>
          </w:tcPr>
          <w:p w14:paraId="228B6DC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Fantasha Lockington</w:t>
            </w:r>
          </w:p>
        </w:tc>
        <w:tc>
          <w:tcPr>
            <w:tcW w:w="4819" w:type="dxa"/>
            <w:tcBorders>
              <w:top w:val="nil"/>
              <w:left w:val="nil"/>
              <w:bottom w:val="single" w:sz="4" w:space="0" w:color="auto"/>
              <w:right w:val="single" w:sz="4" w:space="0" w:color="auto"/>
            </w:tcBorders>
            <w:hideMark/>
          </w:tcPr>
          <w:p w14:paraId="59FFD2BF"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CEO</w:t>
            </w:r>
          </w:p>
        </w:tc>
        <w:tc>
          <w:tcPr>
            <w:tcW w:w="2736" w:type="dxa"/>
            <w:tcBorders>
              <w:top w:val="nil"/>
              <w:left w:val="nil"/>
              <w:bottom w:val="single" w:sz="4" w:space="0" w:color="auto"/>
              <w:right w:val="single" w:sz="4" w:space="0" w:color="auto"/>
            </w:tcBorders>
            <w:hideMark/>
          </w:tcPr>
          <w:p w14:paraId="4644C699"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Fiji Hotel &amp; Tourism Association</w:t>
            </w:r>
          </w:p>
        </w:tc>
      </w:tr>
      <w:tr w:rsidR="00ED0092" w:rsidRPr="0001083B" w14:paraId="20A34C60" w14:textId="77777777" w:rsidTr="002E5779">
        <w:trPr>
          <w:trHeight w:val="710"/>
        </w:trPr>
        <w:tc>
          <w:tcPr>
            <w:tcW w:w="1980" w:type="dxa"/>
            <w:tcBorders>
              <w:top w:val="nil"/>
              <w:left w:val="single" w:sz="4" w:space="0" w:color="auto"/>
              <w:bottom w:val="single" w:sz="4" w:space="0" w:color="auto"/>
              <w:right w:val="single" w:sz="4" w:space="0" w:color="auto"/>
            </w:tcBorders>
            <w:hideMark/>
          </w:tcPr>
          <w:p w14:paraId="729A447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Sarah Boxall</w:t>
            </w:r>
            <w:r w:rsidRPr="0001083B">
              <w:rPr>
                <w:rFonts w:ascii="Calibri" w:hAnsi="Calibri" w:cs="Calibri"/>
                <w:color w:val="000000"/>
                <w:sz w:val="22"/>
                <w:szCs w:val="22"/>
                <w:lang w:val="en-AU"/>
              </w:rPr>
              <w:br/>
              <w:t>Alcinda Trawen</w:t>
            </w:r>
          </w:p>
          <w:p w14:paraId="234274D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Terry Reid</w:t>
            </w:r>
          </w:p>
          <w:p w14:paraId="4789E2BB"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Laure Darcy</w:t>
            </w:r>
          </w:p>
        </w:tc>
        <w:tc>
          <w:tcPr>
            <w:tcW w:w="4819" w:type="dxa"/>
            <w:tcBorders>
              <w:top w:val="nil"/>
              <w:left w:val="nil"/>
              <w:bottom w:val="single" w:sz="4" w:space="0" w:color="auto"/>
              <w:right w:val="single" w:sz="4" w:space="0" w:color="auto"/>
            </w:tcBorders>
            <w:hideMark/>
          </w:tcPr>
          <w:p w14:paraId="0FCBEC5D"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Gender Lead</w:t>
            </w:r>
            <w:r w:rsidRPr="0001083B">
              <w:rPr>
                <w:rFonts w:ascii="Calibri" w:hAnsi="Calibri" w:cs="Calibri"/>
                <w:color w:val="000000"/>
                <w:sz w:val="22"/>
                <w:szCs w:val="22"/>
                <w:lang w:val="en-AU"/>
              </w:rPr>
              <w:br/>
              <w:t xml:space="preserve">Tourism Specialist </w:t>
            </w:r>
          </w:p>
          <w:p w14:paraId="1D3769C1"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International Business Law Expert</w:t>
            </w:r>
          </w:p>
          <w:p w14:paraId="71E0CCE7"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 xml:space="preserve">SOE Adviser </w:t>
            </w:r>
          </w:p>
        </w:tc>
        <w:tc>
          <w:tcPr>
            <w:tcW w:w="2736" w:type="dxa"/>
            <w:tcBorders>
              <w:top w:val="nil"/>
              <w:left w:val="nil"/>
              <w:bottom w:val="single" w:sz="4" w:space="0" w:color="auto"/>
              <w:right w:val="single" w:sz="4" w:space="0" w:color="auto"/>
            </w:tcBorders>
            <w:hideMark/>
          </w:tcPr>
          <w:p w14:paraId="5821B82C" w14:textId="77777777" w:rsidR="00ED0092" w:rsidRPr="0001083B" w:rsidRDefault="00ED0092" w:rsidP="00033C5D">
            <w:pPr>
              <w:rPr>
                <w:rFonts w:ascii="Calibri" w:hAnsi="Calibri" w:cs="Calibri"/>
                <w:color w:val="000000"/>
                <w:sz w:val="22"/>
                <w:szCs w:val="22"/>
                <w:lang w:val="en-AU"/>
              </w:rPr>
            </w:pPr>
            <w:r w:rsidRPr="0001083B">
              <w:rPr>
                <w:rFonts w:ascii="Calibri" w:hAnsi="Calibri" w:cs="Calibri"/>
                <w:color w:val="000000"/>
                <w:sz w:val="22"/>
                <w:szCs w:val="22"/>
                <w:lang w:val="en-AU"/>
              </w:rPr>
              <w:t>ADB Private Sector Development Initiative (PSDI)</w:t>
            </w:r>
          </w:p>
        </w:tc>
      </w:tr>
    </w:tbl>
    <w:p w14:paraId="7418206E" w14:textId="2B4E1985" w:rsidR="00851C7B" w:rsidRPr="00C723E0" w:rsidRDefault="00C32086" w:rsidP="00C32086">
      <w:pPr>
        <w:spacing w:after="160" w:line="259" w:lineRule="auto"/>
        <w:rPr>
          <w:rFonts w:ascii="Calibri" w:eastAsiaTheme="minorHAnsi" w:hAnsi="Calibri" w:cs="Calibri"/>
          <w:kern w:val="2"/>
          <w:sz w:val="20"/>
          <w:szCs w:val="20"/>
          <w:lang w:val="en-AU"/>
          <w14:ligatures w14:val="standardContextual"/>
        </w:rPr>
      </w:pPr>
      <w:r w:rsidRPr="00C723E0">
        <w:rPr>
          <w:rFonts w:ascii="Calibri" w:hAnsi="Calibri" w:cs="Calibri"/>
          <w:lang w:val="en-AU"/>
        </w:rPr>
        <w:br w:type="page"/>
      </w:r>
    </w:p>
    <w:p w14:paraId="19DE5EB2" w14:textId="019F947E" w:rsidR="00C61A13" w:rsidRPr="00C723E0" w:rsidRDefault="00C61A13" w:rsidP="4EF1951E">
      <w:pPr>
        <w:pStyle w:val="Heading1"/>
        <w:rPr>
          <w:rFonts w:cs="Calibri"/>
          <w:b w:val="0"/>
          <w:bCs/>
          <w:lang w:val="en-AU"/>
        </w:rPr>
      </w:pPr>
      <w:bookmarkStart w:id="67" w:name="_Toc201131783"/>
      <w:bookmarkStart w:id="68" w:name="_Toc206675829"/>
      <w:r w:rsidRPr="4EF1951E">
        <w:rPr>
          <w:rFonts w:cs="Calibri"/>
          <w:b w:val="0"/>
          <w:bCs/>
          <w:lang w:val="en-AU"/>
        </w:rPr>
        <w:lastRenderedPageBreak/>
        <w:t>Annex 3: List of Documents Reviewed</w:t>
      </w:r>
      <w:bookmarkEnd w:id="67"/>
      <w:bookmarkEnd w:id="68"/>
    </w:p>
    <w:tbl>
      <w:tblPr>
        <w:tblStyle w:val="TableGrid"/>
        <w:tblW w:w="8784" w:type="dxa"/>
        <w:tblLook w:val="04A0" w:firstRow="1" w:lastRow="0" w:firstColumn="1" w:lastColumn="0" w:noHBand="0" w:noVBand="1"/>
      </w:tblPr>
      <w:tblGrid>
        <w:gridCol w:w="421"/>
        <w:gridCol w:w="8363"/>
      </w:tblGrid>
      <w:tr w:rsidR="00C61A13" w:rsidRPr="00C723E0" w14:paraId="1722FCD7" w14:textId="77777777" w:rsidTr="008C32D2">
        <w:tc>
          <w:tcPr>
            <w:tcW w:w="421" w:type="dxa"/>
          </w:tcPr>
          <w:p w14:paraId="7861A3C9"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w:t>
            </w:r>
          </w:p>
        </w:tc>
        <w:tc>
          <w:tcPr>
            <w:tcW w:w="8363" w:type="dxa"/>
          </w:tcPr>
          <w:p w14:paraId="54D554CC" w14:textId="5B18221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Fiji PSDP </w:t>
            </w:r>
            <w:r w:rsidR="00CD1778" w:rsidRPr="00C723E0">
              <w:rPr>
                <w:rFonts w:ascii="Calibri" w:hAnsi="Calibri" w:cs="Calibri"/>
                <w:sz w:val="20"/>
                <w:szCs w:val="20"/>
                <w:lang w:val="en-AU"/>
              </w:rPr>
              <w:t>Proposal FINAL</w:t>
            </w:r>
            <w:r w:rsidRPr="00C723E0">
              <w:rPr>
                <w:rFonts w:ascii="Calibri" w:hAnsi="Calibri" w:cs="Calibri"/>
                <w:sz w:val="20"/>
                <w:szCs w:val="20"/>
                <w:lang w:val="en-AU"/>
              </w:rPr>
              <w:t xml:space="preserve"> VERSION (basis for draft agreement)_v2_clean</w:t>
            </w:r>
          </w:p>
        </w:tc>
      </w:tr>
      <w:tr w:rsidR="00C61A13" w:rsidRPr="00C723E0" w14:paraId="75E0A638" w14:textId="77777777" w:rsidTr="008C32D2">
        <w:tc>
          <w:tcPr>
            <w:tcW w:w="421" w:type="dxa"/>
          </w:tcPr>
          <w:p w14:paraId="344A78B5"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w:t>
            </w:r>
          </w:p>
        </w:tc>
        <w:tc>
          <w:tcPr>
            <w:tcW w:w="8363" w:type="dxa"/>
          </w:tcPr>
          <w:p w14:paraId="28057EDD"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Signed Fiji Partnership II_DocuSign_TF071889_AM_Australia_DFAT_</w:t>
            </w:r>
          </w:p>
        </w:tc>
      </w:tr>
      <w:tr w:rsidR="00C61A13" w:rsidRPr="00C723E0" w14:paraId="5064E16A" w14:textId="77777777" w:rsidTr="008C32D2">
        <w:tc>
          <w:tcPr>
            <w:tcW w:w="421" w:type="dxa"/>
          </w:tcPr>
          <w:p w14:paraId="4655AC8D"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3</w:t>
            </w:r>
          </w:p>
        </w:tc>
        <w:tc>
          <w:tcPr>
            <w:tcW w:w="8363" w:type="dxa"/>
          </w:tcPr>
          <w:p w14:paraId="5FC980F3" w14:textId="11234AC9"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Minutes FPSDP DFAT-IFC meeting </w:t>
            </w:r>
            <w:r w:rsidR="00CF63FF">
              <w:rPr>
                <w:rFonts w:ascii="Calibri" w:hAnsi="Calibri" w:cs="Calibri"/>
                <w:sz w:val="20"/>
                <w:szCs w:val="20"/>
                <w:lang w:val="en-AU"/>
              </w:rPr>
              <w:t>–</w:t>
            </w:r>
            <w:r w:rsidRPr="00C723E0">
              <w:rPr>
                <w:rFonts w:ascii="Calibri" w:hAnsi="Calibri" w:cs="Calibri"/>
                <w:sz w:val="20"/>
                <w:szCs w:val="20"/>
                <w:lang w:val="en-AU"/>
              </w:rPr>
              <w:t xml:space="preserve"> Nov 12, 2024</w:t>
            </w:r>
          </w:p>
        </w:tc>
      </w:tr>
      <w:tr w:rsidR="00C61A13" w:rsidRPr="00C723E0" w14:paraId="37A4FF78" w14:textId="77777777" w:rsidTr="008C32D2">
        <w:tc>
          <w:tcPr>
            <w:tcW w:w="421" w:type="dxa"/>
          </w:tcPr>
          <w:p w14:paraId="49287201"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4</w:t>
            </w:r>
          </w:p>
        </w:tc>
        <w:tc>
          <w:tcPr>
            <w:tcW w:w="8363" w:type="dxa"/>
          </w:tcPr>
          <w:p w14:paraId="2FAA69AE"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Minutes FPSDP Steering Committee Nov 12 2024</w:t>
            </w:r>
          </w:p>
        </w:tc>
      </w:tr>
      <w:tr w:rsidR="00C61A13" w:rsidRPr="00C723E0" w14:paraId="2D4A0B92" w14:textId="77777777" w:rsidTr="008C32D2">
        <w:tc>
          <w:tcPr>
            <w:tcW w:w="421" w:type="dxa"/>
          </w:tcPr>
          <w:p w14:paraId="4FE96E77"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5</w:t>
            </w:r>
          </w:p>
        </w:tc>
        <w:tc>
          <w:tcPr>
            <w:tcW w:w="8363" w:type="dxa"/>
          </w:tcPr>
          <w:p w14:paraId="493FBD32"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FPSDP MEF v2 as amended August 2023 (final)</w:t>
            </w:r>
          </w:p>
        </w:tc>
      </w:tr>
      <w:tr w:rsidR="00C61A13" w:rsidRPr="00C723E0" w14:paraId="3A433536" w14:textId="77777777" w:rsidTr="008C32D2">
        <w:tc>
          <w:tcPr>
            <w:tcW w:w="421" w:type="dxa"/>
          </w:tcPr>
          <w:p w14:paraId="0CAAA2CE"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6</w:t>
            </w:r>
          </w:p>
        </w:tc>
        <w:tc>
          <w:tcPr>
            <w:tcW w:w="8363" w:type="dxa"/>
          </w:tcPr>
          <w:p w14:paraId="0934663F"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IFC FPSDP Report January-June 2024</w:t>
            </w:r>
          </w:p>
        </w:tc>
      </w:tr>
      <w:tr w:rsidR="00C61A13" w:rsidRPr="00C723E0" w14:paraId="54D0C71F" w14:textId="77777777" w:rsidTr="008C32D2">
        <w:tc>
          <w:tcPr>
            <w:tcW w:w="421" w:type="dxa"/>
          </w:tcPr>
          <w:p w14:paraId="3F5D268B"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7</w:t>
            </w:r>
          </w:p>
        </w:tc>
        <w:tc>
          <w:tcPr>
            <w:tcW w:w="8363" w:type="dxa"/>
          </w:tcPr>
          <w:p w14:paraId="739C78BC" w14:textId="0FD4BF6C"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Advance2Equal Fiji</w:t>
            </w:r>
          </w:p>
        </w:tc>
      </w:tr>
      <w:tr w:rsidR="00C61A13" w:rsidRPr="00C723E0" w14:paraId="00B40933" w14:textId="77777777" w:rsidTr="008C32D2">
        <w:tc>
          <w:tcPr>
            <w:tcW w:w="421" w:type="dxa"/>
          </w:tcPr>
          <w:p w14:paraId="6873CFA5"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8</w:t>
            </w:r>
          </w:p>
        </w:tc>
        <w:tc>
          <w:tcPr>
            <w:tcW w:w="8363" w:type="dxa"/>
          </w:tcPr>
          <w:p w14:paraId="3DF1CF8C" w14:textId="3CC699BB"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Fiji Affordable Housing Development</w:t>
            </w:r>
          </w:p>
        </w:tc>
      </w:tr>
      <w:tr w:rsidR="00C61A13" w:rsidRPr="00C723E0" w14:paraId="7E3489A6" w14:textId="77777777" w:rsidTr="008C32D2">
        <w:tc>
          <w:tcPr>
            <w:tcW w:w="421" w:type="dxa"/>
          </w:tcPr>
          <w:p w14:paraId="15D1AD1E"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9</w:t>
            </w:r>
          </w:p>
        </w:tc>
        <w:tc>
          <w:tcPr>
            <w:tcW w:w="8363" w:type="dxa"/>
          </w:tcPr>
          <w:p w14:paraId="27EB053C" w14:textId="085C9D78"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Fiji COVID-19 Tourism Recovery and Resilience Project</w:t>
            </w:r>
          </w:p>
        </w:tc>
      </w:tr>
      <w:tr w:rsidR="00C61A13" w:rsidRPr="00C723E0" w14:paraId="7F87E300" w14:textId="77777777" w:rsidTr="008C32D2">
        <w:tc>
          <w:tcPr>
            <w:tcW w:w="421" w:type="dxa"/>
          </w:tcPr>
          <w:p w14:paraId="4091AC5D"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10</w:t>
            </w:r>
          </w:p>
        </w:tc>
        <w:tc>
          <w:tcPr>
            <w:tcW w:w="8363" w:type="dxa"/>
          </w:tcPr>
          <w:p w14:paraId="2F8E4207" w14:textId="143A39F5"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Fiji Health PTAS</w:t>
            </w:r>
          </w:p>
        </w:tc>
      </w:tr>
      <w:tr w:rsidR="00C61A13" w:rsidRPr="00C723E0" w14:paraId="7759047B" w14:textId="77777777" w:rsidTr="008C32D2">
        <w:tc>
          <w:tcPr>
            <w:tcW w:w="421" w:type="dxa"/>
          </w:tcPr>
          <w:p w14:paraId="1B1C7CC0"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11</w:t>
            </w:r>
          </w:p>
        </w:tc>
        <w:tc>
          <w:tcPr>
            <w:tcW w:w="8363" w:type="dxa"/>
          </w:tcPr>
          <w:p w14:paraId="2EEA8E12" w14:textId="3A99D551"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Fiji Investment Competitiveness</w:t>
            </w:r>
          </w:p>
        </w:tc>
      </w:tr>
      <w:tr w:rsidR="00C61A13" w:rsidRPr="00C723E0" w14:paraId="0BCB8E77" w14:textId="77777777" w:rsidTr="008C32D2">
        <w:tc>
          <w:tcPr>
            <w:tcW w:w="421" w:type="dxa"/>
          </w:tcPr>
          <w:p w14:paraId="2D0DC883"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12</w:t>
            </w:r>
          </w:p>
        </w:tc>
        <w:tc>
          <w:tcPr>
            <w:tcW w:w="8363" w:type="dxa"/>
          </w:tcPr>
          <w:p w14:paraId="04D21DBD" w14:textId="274C7930"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Fiji Payment</w:t>
            </w:r>
          </w:p>
        </w:tc>
      </w:tr>
      <w:tr w:rsidR="00C61A13" w:rsidRPr="00C723E0" w14:paraId="19248D76" w14:textId="77777777" w:rsidTr="008C32D2">
        <w:tc>
          <w:tcPr>
            <w:tcW w:w="421" w:type="dxa"/>
          </w:tcPr>
          <w:p w14:paraId="1B25248E"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13</w:t>
            </w:r>
          </w:p>
        </w:tc>
        <w:tc>
          <w:tcPr>
            <w:tcW w:w="8363" w:type="dxa"/>
          </w:tcPr>
          <w:p w14:paraId="7AF80D56" w14:textId="021C7893"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International Visitors Survey</w:t>
            </w:r>
          </w:p>
        </w:tc>
      </w:tr>
      <w:tr w:rsidR="00C61A13" w:rsidRPr="00C723E0" w14:paraId="12BB1B2B" w14:textId="77777777" w:rsidTr="008C32D2">
        <w:tc>
          <w:tcPr>
            <w:tcW w:w="421" w:type="dxa"/>
          </w:tcPr>
          <w:p w14:paraId="2A53AD07"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14</w:t>
            </w:r>
          </w:p>
        </w:tc>
        <w:tc>
          <w:tcPr>
            <w:tcW w:w="8363" w:type="dxa"/>
          </w:tcPr>
          <w:p w14:paraId="6721B21E" w14:textId="50DC301F"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Pacific ESG</w:t>
            </w:r>
          </w:p>
        </w:tc>
      </w:tr>
      <w:tr w:rsidR="00C61A13" w:rsidRPr="00C723E0" w14:paraId="1EED1365" w14:textId="77777777" w:rsidTr="008C32D2">
        <w:tc>
          <w:tcPr>
            <w:tcW w:w="421" w:type="dxa"/>
          </w:tcPr>
          <w:p w14:paraId="2F0DF42C"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15</w:t>
            </w:r>
          </w:p>
        </w:tc>
        <w:tc>
          <w:tcPr>
            <w:tcW w:w="8363" w:type="dxa"/>
          </w:tcPr>
          <w:p w14:paraId="455D14A0" w14:textId="4EB096DC"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w:t>
            </w:r>
            <w:r w:rsidR="004B5B68" w:rsidRPr="00C723E0">
              <w:rPr>
                <w:rFonts w:ascii="Calibri" w:hAnsi="Calibri" w:cs="Calibri"/>
                <w:sz w:val="20"/>
                <w:szCs w:val="20"/>
                <w:lang w:val="en-AU"/>
              </w:rPr>
              <w:t>Note Fiji</w:t>
            </w:r>
            <w:r w:rsidRPr="00C723E0">
              <w:rPr>
                <w:rFonts w:ascii="Calibri" w:hAnsi="Calibri" w:cs="Calibri"/>
                <w:sz w:val="20"/>
                <w:szCs w:val="20"/>
                <w:lang w:val="en-AU"/>
              </w:rPr>
              <w:t xml:space="preserve"> Enabling Investment Environment (updated)</w:t>
            </w:r>
          </w:p>
        </w:tc>
      </w:tr>
      <w:tr w:rsidR="00C61A13" w:rsidRPr="00C723E0" w14:paraId="36ED8F0E" w14:textId="77777777" w:rsidTr="008C32D2">
        <w:tc>
          <w:tcPr>
            <w:tcW w:w="421" w:type="dxa"/>
          </w:tcPr>
          <w:p w14:paraId="080DD84C"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16</w:t>
            </w:r>
          </w:p>
        </w:tc>
        <w:tc>
          <w:tcPr>
            <w:tcW w:w="8363" w:type="dxa"/>
          </w:tcPr>
          <w:p w14:paraId="162F7D7B" w14:textId="5880C5CA"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w:t>
            </w:r>
            <w:r w:rsidR="004B5B68" w:rsidRPr="00C723E0">
              <w:rPr>
                <w:rFonts w:ascii="Calibri" w:hAnsi="Calibri" w:cs="Calibri"/>
                <w:sz w:val="20"/>
                <w:szCs w:val="20"/>
                <w:lang w:val="en-AU"/>
              </w:rPr>
              <w:t>Note Fiji</w:t>
            </w:r>
            <w:r w:rsidRPr="00C723E0">
              <w:rPr>
                <w:rFonts w:ascii="Calibri" w:hAnsi="Calibri" w:cs="Calibri"/>
                <w:sz w:val="20"/>
                <w:szCs w:val="20"/>
                <w:lang w:val="en-AU"/>
              </w:rPr>
              <w:t xml:space="preserve"> Green Finance (updated)</w:t>
            </w:r>
          </w:p>
        </w:tc>
      </w:tr>
      <w:tr w:rsidR="00C61A13" w:rsidRPr="00C723E0" w14:paraId="47D445F2" w14:textId="77777777" w:rsidTr="008C32D2">
        <w:tc>
          <w:tcPr>
            <w:tcW w:w="421" w:type="dxa"/>
          </w:tcPr>
          <w:p w14:paraId="5295EED7"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17</w:t>
            </w:r>
          </w:p>
        </w:tc>
        <w:tc>
          <w:tcPr>
            <w:tcW w:w="8363" w:type="dxa"/>
          </w:tcPr>
          <w:p w14:paraId="5CF89761" w14:textId="691C156E"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DFAT-IFC Fiji Project Summary </w:t>
            </w:r>
            <w:r w:rsidR="004B5B68" w:rsidRPr="00C723E0">
              <w:rPr>
                <w:rFonts w:ascii="Calibri" w:hAnsi="Calibri" w:cs="Calibri"/>
                <w:sz w:val="20"/>
                <w:szCs w:val="20"/>
                <w:lang w:val="en-AU"/>
              </w:rPr>
              <w:t>Note Sustainable</w:t>
            </w:r>
            <w:r w:rsidRPr="00C723E0">
              <w:rPr>
                <w:rFonts w:ascii="Calibri" w:hAnsi="Calibri" w:cs="Calibri"/>
                <w:sz w:val="20"/>
                <w:szCs w:val="20"/>
                <w:lang w:val="en-AU"/>
              </w:rPr>
              <w:t xml:space="preserve"> Tourism (revised)</w:t>
            </w:r>
          </w:p>
        </w:tc>
      </w:tr>
      <w:tr w:rsidR="00C61A13" w:rsidRPr="00C723E0" w14:paraId="029AF749" w14:textId="77777777" w:rsidTr="008C32D2">
        <w:tc>
          <w:tcPr>
            <w:tcW w:w="421" w:type="dxa"/>
          </w:tcPr>
          <w:p w14:paraId="358C295C"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18</w:t>
            </w:r>
          </w:p>
        </w:tc>
        <w:tc>
          <w:tcPr>
            <w:tcW w:w="8363" w:type="dxa"/>
          </w:tcPr>
          <w:p w14:paraId="5D1B7D18" w14:textId="68188D46"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FPSDP Project Summary Note </w:t>
            </w:r>
            <w:r w:rsidR="00CF63FF">
              <w:rPr>
                <w:rFonts w:ascii="Calibri" w:hAnsi="Calibri" w:cs="Calibri"/>
                <w:sz w:val="20"/>
                <w:szCs w:val="20"/>
                <w:lang w:val="en-AU"/>
              </w:rPr>
              <w:t>–</w:t>
            </w:r>
            <w:r w:rsidRPr="00C723E0">
              <w:rPr>
                <w:rFonts w:ascii="Calibri" w:hAnsi="Calibri" w:cs="Calibri"/>
                <w:sz w:val="20"/>
                <w:szCs w:val="20"/>
                <w:lang w:val="en-AU"/>
              </w:rPr>
              <w:t xml:space="preserve"> Affordable Housing PPP</w:t>
            </w:r>
          </w:p>
        </w:tc>
      </w:tr>
      <w:tr w:rsidR="00C61A13" w:rsidRPr="00C723E0" w14:paraId="4DE43F6B" w14:textId="77777777" w:rsidTr="008C32D2">
        <w:tc>
          <w:tcPr>
            <w:tcW w:w="421" w:type="dxa"/>
          </w:tcPr>
          <w:p w14:paraId="0E0D5EC6"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19</w:t>
            </w:r>
          </w:p>
        </w:tc>
        <w:tc>
          <w:tcPr>
            <w:tcW w:w="8363" w:type="dxa"/>
          </w:tcPr>
          <w:p w14:paraId="31F98EB3" w14:textId="7DCC1452"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FPSDP Semi Annual Report July </w:t>
            </w:r>
            <w:r w:rsidR="00CF63FF">
              <w:rPr>
                <w:rFonts w:ascii="Calibri" w:hAnsi="Calibri" w:cs="Calibri"/>
                <w:sz w:val="20"/>
                <w:szCs w:val="20"/>
                <w:lang w:val="en-AU"/>
              </w:rPr>
              <w:t>–</w:t>
            </w:r>
            <w:r w:rsidRPr="00C723E0">
              <w:rPr>
                <w:rFonts w:ascii="Calibri" w:hAnsi="Calibri" w:cs="Calibri"/>
                <w:sz w:val="20"/>
                <w:szCs w:val="20"/>
                <w:lang w:val="en-AU"/>
              </w:rPr>
              <w:t xml:space="preserve"> Dec 2022</w:t>
            </w:r>
          </w:p>
        </w:tc>
      </w:tr>
      <w:tr w:rsidR="00C61A13" w:rsidRPr="00C723E0" w14:paraId="1D23909C" w14:textId="77777777" w:rsidTr="008C32D2">
        <w:tc>
          <w:tcPr>
            <w:tcW w:w="421" w:type="dxa"/>
          </w:tcPr>
          <w:p w14:paraId="4861D645"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20</w:t>
            </w:r>
          </w:p>
        </w:tc>
        <w:tc>
          <w:tcPr>
            <w:tcW w:w="8363" w:type="dxa"/>
          </w:tcPr>
          <w:p w14:paraId="6C65EC35" w14:textId="1126B05D"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FPSDP semi-annual report (January </w:t>
            </w:r>
            <w:r w:rsidR="00CF63FF">
              <w:rPr>
                <w:rFonts w:ascii="Calibri" w:hAnsi="Calibri" w:cs="Calibri"/>
                <w:sz w:val="20"/>
                <w:szCs w:val="20"/>
                <w:lang w:val="en-AU"/>
              </w:rPr>
              <w:t>–</w:t>
            </w:r>
            <w:r w:rsidRPr="00C723E0">
              <w:rPr>
                <w:rFonts w:ascii="Calibri" w:hAnsi="Calibri" w:cs="Calibri"/>
                <w:sz w:val="20"/>
                <w:szCs w:val="20"/>
                <w:lang w:val="en-AU"/>
              </w:rPr>
              <w:t xml:space="preserve"> June 2022)</w:t>
            </w:r>
          </w:p>
        </w:tc>
      </w:tr>
      <w:tr w:rsidR="00C61A13" w:rsidRPr="00C723E0" w14:paraId="450D68D2" w14:textId="77777777" w:rsidTr="008C32D2">
        <w:tc>
          <w:tcPr>
            <w:tcW w:w="421" w:type="dxa"/>
          </w:tcPr>
          <w:p w14:paraId="786F84F7"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21</w:t>
            </w:r>
          </w:p>
        </w:tc>
        <w:tc>
          <w:tcPr>
            <w:tcW w:w="8363" w:type="dxa"/>
          </w:tcPr>
          <w:p w14:paraId="694CDED4"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FPSDP MEF Jan-Jun2024</w:t>
            </w:r>
          </w:p>
        </w:tc>
      </w:tr>
      <w:tr w:rsidR="00C61A13" w:rsidRPr="00C723E0" w14:paraId="40D20D35" w14:textId="77777777" w:rsidTr="008C32D2">
        <w:tc>
          <w:tcPr>
            <w:tcW w:w="421" w:type="dxa"/>
          </w:tcPr>
          <w:p w14:paraId="2E7B1928"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22</w:t>
            </w:r>
          </w:p>
        </w:tc>
        <w:tc>
          <w:tcPr>
            <w:tcW w:w="8363" w:type="dxa"/>
          </w:tcPr>
          <w:p w14:paraId="4380D757"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IFC Fiji MEF Jul-Dec 23</w:t>
            </w:r>
          </w:p>
        </w:tc>
      </w:tr>
      <w:tr w:rsidR="00C61A13" w:rsidRPr="00C723E0" w14:paraId="42BFFBC6" w14:textId="77777777" w:rsidTr="008C32D2">
        <w:tc>
          <w:tcPr>
            <w:tcW w:w="421" w:type="dxa"/>
          </w:tcPr>
          <w:p w14:paraId="5551739C"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23</w:t>
            </w:r>
          </w:p>
        </w:tc>
        <w:tc>
          <w:tcPr>
            <w:tcW w:w="8363" w:type="dxa"/>
          </w:tcPr>
          <w:p w14:paraId="30CCFAD8" w14:textId="41C7462C"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 xml:space="preserve">IFC Fiji Private Sector Development Partnership </w:t>
            </w:r>
            <w:r w:rsidR="00CF63FF">
              <w:rPr>
                <w:rFonts w:ascii="Calibri" w:hAnsi="Calibri" w:cs="Calibri"/>
                <w:sz w:val="20"/>
                <w:szCs w:val="20"/>
                <w:lang w:val="en-AU"/>
              </w:rPr>
              <w:t>–</w:t>
            </w:r>
            <w:r w:rsidRPr="00C723E0">
              <w:rPr>
                <w:rFonts w:ascii="Calibri" w:hAnsi="Calibri" w:cs="Calibri"/>
                <w:sz w:val="20"/>
                <w:szCs w:val="20"/>
                <w:lang w:val="en-AU"/>
              </w:rPr>
              <w:t xml:space="preserve"> January -June 2023</w:t>
            </w:r>
          </w:p>
        </w:tc>
      </w:tr>
      <w:tr w:rsidR="00C61A13" w:rsidRPr="00C723E0" w14:paraId="5F435FCE" w14:textId="77777777" w:rsidTr="008C32D2">
        <w:tc>
          <w:tcPr>
            <w:tcW w:w="421" w:type="dxa"/>
          </w:tcPr>
          <w:p w14:paraId="5A2AA376"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24</w:t>
            </w:r>
          </w:p>
        </w:tc>
        <w:tc>
          <w:tcPr>
            <w:tcW w:w="8363" w:type="dxa"/>
          </w:tcPr>
          <w:p w14:paraId="30CDB91D"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IFC FPSDP Jul-Dec 2023 report</w:t>
            </w:r>
          </w:p>
        </w:tc>
      </w:tr>
      <w:tr w:rsidR="00C61A13" w:rsidRPr="00C723E0" w14:paraId="42459BFF" w14:textId="77777777" w:rsidTr="008C32D2">
        <w:tc>
          <w:tcPr>
            <w:tcW w:w="421" w:type="dxa"/>
          </w:tcPr>
          <w:p w14:paraId="36BF4C9C"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25</w:t>
            </w:r>
          </w:p>
        </w:tc>
        <w:tc>
          <w:tcPr>
            <w:tcW w:w="8363" w:type="dxa"/>
          </w:tcPr>
          <w:p w14:paraId="63EAD04A" w14:textId="77777777" w:rsidR="00C61A13" w:rsidRPr="00C723E0" w:rsidRDefault="00C61A13" w:rsidP="00033C5D">
            <w:pPr>
              <w:rPr>
                <w:rFonts w:ascii="Calibri" w:hAnsi="Calibri" w:cs="Calibri"/>
                <w:sz w:val="20"/>
                <w:szCs w:val="20"/>
                <w:lang w:val="en-AU"/>
              </w:rPr>
            </w:pPr>
            <w:r w:rsidRPr="00C723E0">
              <w:rPr>
                <w:rFonts w:ascii="Calibri" w:hAnsi="Calibri" w:cs="Calibri"/>
                <w:sz w:val="20"/>
                <w:szCs w:val="20"/>
                <w:lang w:val="en-AU"/>
              </w:rPr>
              <w:t>IFC FPSDP Report January-June 2024</w:t>
            </w:r>
          </w:p>
        </w:tc>
      </w:tr>
    </w:tbl>
    <w:p w14:paraId="660CF2F9" w14:textId="74C01FF7" w:rsidR="00BD6F87" w:rsidRPr="00C723E0" w:rsidRDefault="00BD6F87" w:rsidP="00C61A13">
      <w:pPr>
        <w:pStyle w:val="BodyText2"/>
        <w:rPr>
          <w:rFonts w:ascii="Calibri" w:hAnsi="Calibri" w:cs="Calibri"/>
          <w:lang w:val="en-AU"/>
        </w:rPr>
      </w:pPr>
    </w:p>
    <w:p w14:paraId="09974789" w14:textId="77777777" w:rsidR="00BD6F87" w:rsidRPr="00C723E0" w:rsidRDefault="00BD6F87">
      <w:pPr>
        <w:spacing w:after="160" w:line="259" w:lineRule="auto"/>
        <w:rPr>
          <w:rFonts w:ascii="Calibri" w:hAnsi="Calibri" w:cs="Calibri"/>
          <w:lang w:val="en-AU"/>
        </w:rPr>
      </w:pPr>
      <w:r w:rsidRPr="00C723E0">
        <w:rPr>
          <w:rFonts w:ascii="Calibri" w:hAnsi="Calibri" w:cs="Calibri"/>
          <w:lang w:val="en-AU"/>
        </w:rPr>
        <w:br w:type="page"/>
      </w:r>
    </w:p>
    <w:p w14:paraId="40083079" w14:textId="12B3D72E" w:rsidR="00E95293" w:rsidRPr="00C723E0" w:rsidRDefault="00E95293" w:rsidP="4EF1951E">
      <w:pPr>
        <w:pStyle w:val="Heading1"/>
        <w:rPr>
          <w:rFonts w:cs="Calibri"/>
          <w:b w:val="0"/>
          <w:bCs/>
          <w:lang w:val="en-AU"/>
        </w:rPr>
      </w:pPr>
      <w:bookmarkStart w:id="69" w:name="_Toc201131784"/>
      <w:bookmarkStart w:id="70" w:name="_Toc206675830"/>
      <w:r w:rsidRPr="4EF1951E">
        <w:rPr>
          <w:rFonts w:cs="Calibri"/>
          <w:b w:val="0"/>
          <w:bCs/>
          <w:lang w:val="en-AU"/>
        </w:rPr>
        <w:lastRenderedPageBreak/>
        <w:t>Annex 4: FPSDP Program Logic</w:t>
      </w:r>
      <w:bookmarkEnd w:id="69"/>
      <w:bookmarkEnd w:id="70"/>
    </w:p>
    <w:p w14:paraId="4883AF95" w14:textId="77777777" w:rsidR="00E95293" w:rsidRPr="00C723E0" w:rsidRDefault="00E95293" w:rsidP="00E95293">
      <w:pPr>
        <w:pStyle w:val="BodyText"/>
        <w:rPr>
          <w:rFonts w:cs="Calibri"/>
          <w:lang w:val="en-AU"/>
        </w:rPr>
      </w:pPr>
    </w:p>
    <w:p w14:paraId="66FFAA1E" w14:textId="792E3DCD" w:rsidR="00E95293" w:rsidRPr="00C723E0" w:rsidRDefault="00E95293" w:rsidP="00E95293">
      <w:pPr>
        <w:pStyle w:val="BodyText"/>
        <w:rPr>
          <w:rFonts w:cs="Calibri"/>
          <w:lang w:val="en-AU"/>
        </w:rPr>
      </w:pPr>
      <w:r w:rsidRPr="00C723E0">
        <w:rPr>
          <w:rFonts w:cs="Calibri"/>
          <w:bCs/>
          <w:iCs/>
          <w:noProof/>
          <w:lang w:val="en-AU"/>
        </w:rPr>
        <w:drawing>
          <wp:inline distT="0" distB="0" distL="0" distR="0" wp14:anchorId="7E05D9CE" wp14:editId="4F73A65F">
            <wp:extent cx="6404437" cy="3711570"/>
            <wp:effectExtent l="0" t="0" r="0" b="3810"/>
            <wp:docPr id="4" name="Picture 4" descr="This picture is a diagram depicting the FPSDP's Theory of Change encompassing Impacts, Outcomes, Outputs/Activities and Market Constraints. Description of the diagram is in the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picture is a diagram depicting the FPSDP's Theory of Change encompassing Impacts, Outcomes, Outputs/Activities and Market Constraints. Description of the diagram is in the text that follo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5563" cy="3735404"/>
                    </a:xfrm>
                    <a:prstGeom prst="rect">
                      <a:avLst/>
                    </a:prstGeom>
                    <a:noFill/>
                    <a:ln>
                      <a:noFill/>
                    </a:ln>
                  </pic:spPr>
                </pic:pic>
              </a:graphicData>
            </a:graphic>
          </wp:inline>
        </w:drawing>
      </w:r>
    </w:p>
    <w:p w14:paraId="122DBE4A" w14:textId="77777777" w:rsidR="00611AC2" w:rsidRDefault="00611AC2">
      <w:pPr>
        <w:spacing w:after="160" w:line="259" w:lineRule="auto"/>
        <w:rPr>
          <w:rFonts w:ascii="Calibri" w:hAnsi="Calibri" w:cs="Calibri"/>
          <w:lang w:val="en-AU"/>
        </w:rPr>
      </w:pPr>
    </w:p>
    <w:p w14:paraId="7348AC37" w14:textId="5759FBDE" w:rsidR="00463BED" w:rsidRDefault="00611AC2" w:rsidP="00C62870">
      <w:pPr>
        <w:pStyle w:val="BodyText"/>
        <w:rPr>
          <w:lang w:val="en-AU"/>
        </w:rPr>
      </w:pPr>
      <w:r>
        <w:rPr>
          <w:lang w:val="en-AU"/>
        </w:rPr>
        <w:t>Theo</w:t>
      </w:r>
      <w:r w:rsidR="001B3A38">
        <w:rPr>
          <w:lang w:val="en-AU"/>
        </w:rPr>
        <w:t>ry of Change: Fiji Priva</w:t>
      </w:r>
      <w:r w:rsidR="0060026E">
        <w:rPr>
          <w:lang w:val="en-AU"/>
        </w:rPr>
        <w:t>te</w:t>
      </w:r>
      <w:r w:rsidR="001C6137">
        <w:rPr>
          <w:lang w:val="en-AU"/>
        </w:rPr>
        <w:t xml:space="preserve"> Sector Development </w:t>
      </w:r>
      <w:r w:rsidR="00535F81">
        <w:rPr>
          <w:lang w:val="en-AU"/>
        </w:rPr>
        <w:t>Pr</w:t>
      </w:r>
      <w:r w:rsidR="00463BED">
        <w:rPr>
          <w:lang w:val="en-AU"/>
        </w:rPr>
        <w:t>ogram</w:t>
      </w:r>
      <w:r w:rsidR="00B84E02">
        <w:rPr>
          <w:lang w:val="en-AU"/>
        </w:rPr>
        <w:t xml:space="preserve"> (FPSDP) – 2022 to 2025</w:t>
      </w:r>
    </w:p>
    <w:p w14:paraId="1F5D22A6" w14:textId="1DCD1B54" w:rsidR="00B84E02" w:rsidRDefault="00B84E02" w:rsidP="00C62870">
      <w:pPr>
        <w:pStyle w:val="BodyText"/>
        <w:rPr>
          <w:lang w:val="en-AU"/>
        </w:rPr>
      </w:pPr>
      <w:r>
        <w:rPr>
          <w:lang w:val="en-AU"/>
        </w:rPr>
        <w:t>Goal: The PSDP enhances the competitiveness and diversification of the private sector and fosters</w:t>
      </w:r>
      <w:r w:rsidR="00932FCF">
        <w:rPr>
          <w:lang w:val="en-AU"/>
        </w:rPr>
        <w:t xml:space="preserve"> inclusive and sustainable COVID-recovery and e</w:t>
      </w:r>
      <w:r w:rsidR="00CC1CC1">
        <w:rPr>
          <w:lang w:val="en-AU"/>
        </w:rPr>
        <w:t>conomic growth in Fiji.</w:t>
      </w:r>
    </w:p>
    <w:p w14:paraId="733908B9" w14:textId="2EF0013C" w:rsidR="00A32A65" w:rsidRDefault="00E50413" w:rsidP="004D1564">
      <w:pPr>
        <w:pStyle w:val="BodyText"/>
        <w:spacing w:after="0"/>
        <w:contextualSpacing/>
        <w:rPr>
          <w:lang w:val="en-AU"/>
        </w:rPr>
      </w:pPr>
      <w:r>
        <w:rPr>
          <w:lang w:val="en-AU"/>
        </w:rPr>
        <w:t>Impacts</w:t>
      </w:r>
    </w:p>
    <w:p w14:paraId="004274D9" w14:textId="690F510F" w:rsidR="00E50413" w:rsidRPr="00940566" w:rsidRDefault="00E50413" w:rsidP="00D77455">
      <w:pPr>
        <w:pStyle w:val="BodyText"/>
        <w:numPr>
          <w:ilvl w:val="0"/>
          <w:numId w:val="18"/>
        </w:numPr>
        <w:spacing w:after="0"/>
        <w:contextualSpacing/>
        <w:rPr>
          <w:lang w:val="en-AU"/>
        </w:rPr>
      </w:pPr>
      <w:r w:rsidRPr="00940566">
        <w:rPr>
          <w:lang w:val="en-AU"/>
        </w:rPr>
        <w:t>Increase in Fiji’s Competitiveness</w:t>
      </w:r>
    </w:p>
    <w:p w14:paraId="6B4DF1D3" w14:textId="6A04A6E6" w:rsidR="00E50413" w:rsidRPr="00940566" w:rsidRDefault="00E50413" w:rsidP="00D77455">
      <w:pPr>
        <w:pStyle w:val="BodyText"/>
        <w:numPr>
          <w:ilvl w:val="0"/>
          <w:numId w:val="19"/>
        </w:numPr>
        <w:spacing w:after="0"/>
        <w:contextualSpacing/>
        <w:rPr>
          <w:lang w:val="en-AU"/>
        </w:rPr>
      </w:pPr>
      <w:r w:rsidRPr="00940566">
        <w:rPr>
          <w:lang w:val="en-AU"/>
        </w:rPr>
        <w:t>Private sector savings are realised through a reduction in the time and cost of doing business</w:t>
      </w:r>
      <w:r w:rsidR="00373AB1" w:rsidRPr="00940566">
        <w:rPr>
          <w:lang w:val="en-AU"/>
        </w:rPr>
        <w:t>.</w:t>
      </w:r>
    </w:p>
    <w:p w14:paraId="08EE0734" w14:textId="6D60E04F" w:rsidR="00373AB1" w:rsidRPr="00940566" w:rsidRDefault="00373AB1" w:rsidP="00D77455">
      <w:pPr>
        <w:pStyle w:val="BodyText"/>
        <w:numPr>
          <w:ilvl w:val="0"/>
          <w:numId w:val="19"/>
        </w:numPr>
        <w:spacing w:after="0"/>
        <w:contextualSpacing/>
        <w:rPr>
          <w:lang w:val="en-AU"/>
        </w:rPr>
      </w:pPr>
      <w:r w:rsidRPr="00940566">
        <w:rPr>
          <w:lang w:val="en-AU"/>
        </w:rPr>
        <w:t>Improved access to infrastructure services</w:t>
      </w:r>
      <w:r w:rsidR="00A873CD" w:rsidRPr="00940566">
        <w:rPr>
          <w:lang w:val="en-AU"/>
        </w:rPr>
        <w:t>.</w:t>
      </w:r>
    </w:p>
    <w:p w14:paraId="1E2F7457" w14:textId="4586BE1A" w:rsidR="00373AB1" w:rsidRDefault="00373AB1" w:rsidP="00D77455">
      <w:pPr>
        <w:pStyle w:val="BodyText"/>
        <w:numPr>
          <w:ilvl w:val="0"/>
          <w:numId w:val="19"/>
        </w:numPr>
        <w:spacing w:after="0"/>
        <w:contextualSpacing/>
        <w:rPr>
          <w:lang w:val="en-AU"/>
        </w:rPr>
      </w:pPr>
      <w:r w:rsidRPr="00940566">
        <w:rPr>
          <w:lang w:val="en-AU"/>
        </w:rPr>
        <w:t>Improved access to financial services</w:t>
      </w:r>
      <w:r w:rsidR="00A873CD" w:rsidRPr="00940566">
        <w:rPr>
          <w:lang w:val="en-AU"/>
        </w:rPr>
        <w:t>.</w:t>
      </w:r>
    </w:p>
    <w:p w14:paraId="6CD09AE9" w14:textId="77777777" w:rsidR="00702EB4" w:rsidRDefault="00702EB4" w:rsidP="004D1564">
      <w:pPr>
        <w:pStyle w:val="BodyText"/>
        <w:spacing w:after="0"/>
        <w:contextualSpacing/>
        <w:rPr>
          <w:lang w:val="en-AU"/>
        </w:rPr>
      </w:pPr>
    </w:p>
    <w:p w14:paraId="01457B6D" w14:textId="7662EE21" w:rsidR="00702EB4" w:rsidRDefault="00E3498B" w:rsidP="00D77455">
      <w:pPr>
        <w:pStyle w:val="BodyText"/>
        <w:numPr>
          <w:ilvl w:val="0"/>
          <w:numId w:val="18"/>
        </w:numPr>
        <w:spacing w:after="0"/>
        <w:contextualSpacing/>
        <w:rPr>
          <w:lang w:val="en-AU"/>
        </w:rPr>
      </w:pPr>
      <w:r>
        <w:rPr>
          <w:lang w:val="en-AU"/>
        </w:rPr>
        <w:t xml:space="preserve">Increase in sustainable, climate-smart private investment </w:t>
      </w:r>
      <w:r w:rsidR="00157A4E">
        <w:rPr>
          <w:lang w:val="en-AU"/>
        </w:rPr>
        <w:t>and financing in Fiji</w:t>
      </w:r>
    </w:p>
    <w:p w14:paraId="68F1C95A" w14:textId="708B59A8" w:rsidR="00B750C2" w:rsidRDefault="007229BC" w:rsidP="00D77455">
      <w:pPr>
        <w:pStyle w:val="BodyText"/>
        <w:numPr>
          <w:ilvl w:val="0"/>
          <w:numId w:val="20"/>
        </w:numPr>
        <w:spacing w:after="0"/>
        <w:contextualSpacing/>
        <w:rPr>
          <w:lang w:val="en-AU"/>
        </w:rPr>
      </w:pPr>
      <w:r>
        <w:rPr>
          <w:lang w:val="en-AU"/>
        </w:rPr>
        <w:t>Private investment mobilised</w:t>
      </w:r>
    </w:p>
    <w:p w14:paraId="482D44A1" w14:textId="4C2A0B93" w:rsidR="007229BC" w:rsidRDefault="007229BC" w:rsidP="00D77455">
      <w:pPr>
        <w:pStyle w:val="BodyText"/>
        <w:numPr>
          <w:ilvl w:val="0"/>
          <w:numId w:val="20"/>
        </w:numPr>
        <w:spacing w:after="0"/>
        <w:contextualSpacing/>
        <w:rPr>
          <w:lang w:val="en-AU"/>
        </w:rPr>
      </w:pPr>
      <w:r>
        <w:rPr>
          <w:lang w:val="en-AU"/>
        </w:rPr>
        <w:t>GHGs</w:t>
      </w:r>
      <w:r w:rsidR="00852B92">
        <w:rPr>
          <w:lang w:val="en-AU"/>
        </w:rPr>
        <w:t xml:space="preserve"> reduced</w:t>
      </w:r>
    </w:p>
    <w:p w14:paraId="2741A98F" w14:textId="0F5F8A08" w:rsidR="007251B6" w:rsidRDefault="007251B6" w:rsidP="00D77455">
      <w:pPr>
        <w:pStyle w:val="BodyText"/>
        <w:numPr>
          <w:ilvl w:val="0"/>
          <w:numId w:val="20"/>
        </w:numPr>
        <w:spacing w:after="0"/>
        <w:contextualSpacing/>
        <w:rPr>
          <w:lang w:val="en-AU"/>
        </w:rPr>
      </w:pPr>
      <w:r>
        <w:rPr>
          <w:lang w:val="en-AU"/>
        </w:rPr>
        <w:t xml:space="preserve">Resource efficiency </w:t>
      </w:r>
      <w:r w:rsidR="00D85FB8">
        <w:rPr>
          <w:lang w:val="en-AU"/>
        </w:rPr>
        <w:t>savings</w:t>
      </w:r>
    </w:p>
    <w:p w14:paraId="38376E60" w14:textId="77777777" w:rsidR="00D85FB8" w:rsidRDefault="00D85FB8" w:rsidP="00D85FB8">
      <w:pPr>
        <w:pStyle w:val="BodyText"/>
        <w:spacing w:after="0"/>
        <w:contextualSpacing/>
        <w:rPr>
          <w:lang w:val="en-AU"/>
        </w:rPr>
      </w:pPr>
    </w:p>
    <w:p w14:paraId="2031EDD8" w14:textId="54C72331" w:rsidR="00D85FB8" w:rsidRDefault="004E266F" w:rsidP="00D77455">
      <w:pPr>
        <w:pStyle w:val="BodyText"/>
        <w:numPr>
          <w:ilvl w:val="0"/>
          <w:numId w:val="18"/>
        </w:numPr>
        <w:spacing w:after="0"/>
        <w:contextualSpacing/>
        <w:rPr>
          <w:lang w:val="en-AU"/>
        </w:rPr>
      </w:pPr>
      <w:r>
        <w:rPr>
          <w:lang w:val="en-AU"/>
        </w:rPr>
        <w:t>Enhanced gender inclusion &amp; sustainab</w:t>
      </w:r>
      <w:r w:rsidR="00665918">
        <w:rPr>
          <w:lang w:val="en-AU"/>
        </w:rPr>
        <w:t>ility standards</w:t>
      </w:r>
    </w:p>
    <w:p w14:paraId="23D8A2E8" w14:textId="1F00A6E5" w:rsidR="00665918" w:rsidRDefault="00BC03A7" w:rsidP="00D77455">
      <w:pPr>
        <w:pStyle w:val="BodyText"/>
        <w:numPr>
          <w:ilvl w:val="0"/>
          <w:numId w:val="21"/>
        </w:numPr>
        <w:spacing w:after="0"/>
        <w:contextualSpacing/>
        <w:rPr>
          <w:lang w:val="en-AU"/>
        </w:rPr>
      </w:pPr>
      <w:r>
        <w:rPr>
          <w:lang w:val="en-AU"/>
        </w:rPr>
        <w:t xml:space="preserve">Improvement in economic opportunities among </w:t>
      </w:r>
      <w:r w:rsidR="00AC410E">
        <w:rPr>
          <w:lang w:val="en-AU"/>
        </w:rPr>
        <w:t xml:space="preserve">women </w:t>
      </w:r>
      <w:r w:rsidR="003149D9">
        <w:rPr>
          <w:lang w:val="en-AU"/>
        </w:rPr>
        <w:t>(</w:t>
      </w:r>
      <w:r w:rsidR="00AC410E">
        <w:rPr>
          <w:lang w:val="en-AU"/>
        </w:rPr>
        <w:t xml:space="preserve">e.g. </w:t>
      </w:r>
      <w:r w:rsidR="00370AC9">
        <w:rPr>
          <w:lang w:val="en-AU"/>
        </w:rPr>
        <w:t>through ac</w:t>
      </w:r>
      <w:r w:rsidR="003E67E1">
        <w:rPr>
          <w:lang w:val="en-AU"/>
        </w:rPr>
        <w:t>cess to finance, employment</w:t>
      </w:r>
      <w:r w:rsidR="00CA1159">
        <w:rPr>
          <w:lang w:val="en-AU"/>
        </w:rPr>
        <w:t xml:space="preserve"> opportunities etc)</w:t>
      </w:r>
    </w:p>
    <w:p w14:paraId="4E9D91C7" w14:textId="4DFE8B3B" w:rsidR="00791917" w:rsidRDefault="00791917" w:rsidP="00D77455">
      <w:pPr>
        <w:pStyle w:val="BodyText"/>
        <w:numPr>
          <w:ilvl w:val="0"/>
          <w:numId w:val="21"/>
        </w:numPr>
        <w:spacing w:after="0"/>
        <w:contextualSpacing/>
        <w:rPr>
          <w:lang w:val="en-AU"/>
        </w:rPr>
      </w:pPr>
      <w:r>
        <w:rPr>
          <w:lang w:val="en-AU"/>
        </w:rPr>
        <w:t xml:space="preserve">Increase in investments </w:t>
      </w:r>
      <w:r w:rsidR="00E3370D">
        <w:rPr>
          <w:lang w:val="en-AU"/>
        </w:rPr>
        <w:t>adopting international</w:t>
      </w:r>
      <w:r w:rsidR="00507549">
        <w:rPr>
          <w:lang w:val="en-AU"/>
        </w:rPr>
        <w:t xml:space="preserve"> industry CG standards</w:t>
      </w:r>
      <w:r w:rsidR="00842C4E">
        <w:rPr>
          <w:lang w:val="en-AU"/>
        </w:rPr>
        <w:t xml:space="preserve"> and climate-smart practices</w:t>
      </w:r>
    </w:p>
    <w:p w14:paraId="21E7CBFB" w14:textId="77777777" w:rsidR="00253905" w:rsidRDefault="00253905" w:rsidP="00253905">
      <w:pPr>
        <w:pStyle w:val="BodyText"/>
        <w:spacing w:after="0"/>
        <w:contextualSpacing/>
        <w:rPr>
          <w:lang w:val="en-AU"/>
        </w:rPr>
      </w:pPr>
    </w:p>
    <w:p w14:paraId="2E54DC94" w14:textId="395D6A41" w:rsidR="00253905" w:rsidRDefault="005C7A3B" w:rsidP="00C54A06">
      <w:pPr>
        <w:pStyle w:val="BodyText"/>
        <w:rPr>
          <w:lang w:val="en-AU"/>
        </w:rPr>
      </w:pPr>
      <w:r>
        <w:rPr>
          <w:lang w:val="en-AU"/>
        </w:rPr>
        <w:t>Outcomes</w:t>
      </w:r>
    </w:p>
    <w:p w14:paraId="62B67B90" w14:textId="5046C3B7" w:rsidR="005C7A3B" w:rsidRDefault="005C7A3B" w:rsidP="00C54A06">
      <w:pPr>
        <w:pStyle w:val="BodyText"/>
        <w:rPr>
          <w:lang w:val="en-AU"/>
        </w:rPr>
      </w:pPr>
      <w:r>
        <w:rPr>
          <w:lang w:val="en-AU"/>
        </w:rPr>
        <w:t>Enabling environ</w:t>
      </w:r>
      <w:r w:rsidR="00F3475D">
        <w:rPr>
          <w:lang w:val="en-AU"/>
        </w:rPr>
        <w:t>ment improvement</w:t>
      </w:r>
    </w:p>
    <w:p w14:paraId="54EE52B6" w14:textId="5DE1690A" w:rsidR="00C25591" w:rsidRDefault="00C25591" w:rsidP="00263E4D">
      <w:pPr>
        <w:pStyle w:val="BodyText"/>
        <w:numPr>
          <w:ilvl w:val="0"/>
          <w:numId w:val="24"/>
        </w:numPr>
        <w:rPr>
          <w:lang w:val="en-AU"/>
        </w:rPr>
      </w:pPr>
      <w:r>
        <w:rPr>
          <w:lang w:val="en-AU"/>
        </w:rPr>
        <w:lastRenderedPageBreak/>
        <w:t xml:space="preserve">Improved legal and regulatory </w:t>
      </w:r>
      <w:r w:rsidR="00E9345F">
        <w:rPr>
          <w:lang w:val="en-AU"/>
        </w:rPr>
        <w:t xml:space="preserve">environment </w:t>
      </w:r>
      <w:r w:rsidR="00B865C8">
        <w:rPr>
          <w:lang w:val="en-AU"/>
        </w:rPr>
        <w:t xml:space="preserve">through the implementation </w:t>
      </w:r>
      <w:r w:rsidR="006848CE">
        <w:rPr>
          <w:lang w:val="en-AU"/>
        </w:rPr>
        <w:t xml:space="preserve">of reforms that respond </w:t>
      </w:r>
      <w:r w:rsidR="00DD64F1">
        <w:rPr>
          <w:lang w:val="en-AU"/>
        </w:rPr>
        <w:t xml:space="preserve">to private sector </w:t>
      </w:r>
      <w:r w:rsidR="00210E37">
        <w:rPr>
          <w:lang w:val="en-AU"/>
        </w:rPr>
        <w:t xml:space="preserve">needs </w:t>
      </w:r>
    </w:p>
    <w:p w14:paraId="03E39B3F" w14:textId="34C9A4FC" w:rsidR="00F57538" w:rsidRPr="00702EB4" w:rsidRDefault="00F57538" w:rsidP="00263E4D">
      <w:pPr>
        <w:pStyle w:val="BodyText"/>
        <w:numPr>
          <w:ilvl w:val="0"/>
          <w:numId w:val="24"/>
        </w:numPr>
        <w:rPr>
          <w:lang w:val="en-AU"/>
        </w:rPr>
      </w:pPr>
      <w:r>
        <w:rPr>
          <w:lang w:val="en-AU"/>
        </w:rPr>
        <w:t xml:space="preserve">Improved </w:t>
      </w:r>
      <w:r w:rsidR="00F34A2D">
        <w:rPr>
          <w:lang w:val="en-AU"/>
        </w:rPr>
        <w:t>predictability, accountability and transparency</w:t>
      </w:r>
      <w:r w:rsidR="00C65457">
        <w:rPr>
          <w:lang w:val="en-AU"/>
        </w:rPr>
        <w:t xml:space="preserve"> of G28 services that respon</w:t>
      </w:r>
      <w:r w:rsidR="00A3371F">
        <w:rPr>
          <w:lang w:val="en-AU"/>
        </w:rPr>
        <w:t xml:space="preserve">d to </w:t>
      </w:r>
      <w:r w:rsidR="00FB1363">
        <w:rPr>
          <w:lang w:val="en-AU"/>
        </w:rPr>
        <w:t>private sector needs</w:t>
      </w:r>
    </w:p>
    <w:p w14:paraId="784EF85A" w14:textId="77777777" w:rsidR="00E50413" w:rsidRDefault="00E50413" w:rsidP="00C54A06">
      <w:pPr>
        <w:pStyle w:val="BodyText"/>
        <w:rPr>
          <w:rFonts w:cs="Calibri"/>
          <w:lang w:val="en-AU"/>
        </w:rPr>
      </w:pPr>
    </w:p>
    <w:p w14:paraId="487A16CF" w14:textId="58A4F1B0" w:rsidR="00D77455" w:rsidRDefault="00613A24" w:rsidP="00C54A06">
      <w:pPr>
        <w:pStyle w:val="BodyText"/>
        <w:rPr>
          <w:rFonts w:cs="Calibri"/>
          <w:lang w:val="en-AU"/>
        </w:rPr>
      </w:pPr>
      <w:r>
        <w:rPr>
          <w:rFonts w:cs="Calibri"/>
          <w:lang w:val="en-AU"/>
        </w:rPr>
        <w:t>Investment Pipeline Creation</w:t>
      </w:r>
    </w:p>
    <w:p w14:paraId="7A00C9F2" w14:textId="394913DB" w:rsidR="00613A24" w:rsidRDefault="00613A24" w:rsidP="00263E4D">
      <w:pPr>
        <w:pStyle w:val="BodyText"/>
        <w:numPr>
          <w:ilvl w:val="0"/>
          <w:numId w:val="25"/>
        </w:numPr>
        <w:rPr>
          <w:rFonts w:cs="Calibri"/>
          <w:lang w:val="en-AU"/>
        </w:rPr>
      </w:pPr>
      <w:r w:rsidRPr="00A823CE">
        <w:rPr>
          <w:rFonts w:cs="Calibri"/>
          <w:lang w:val="en-AU"/>
        </w:rPr>
        <w:t xml:space="preserve">Pipeline of potentially bankable and climate-smart private </w:t>
      </w:r>
      <w:r w:rsidR="007E58F2" w:rsidRPr="00A823CE">
        <w:rPr>
          <w:rFonts w:cs="Calibri"/>
          <w:lang w:val="en-AU"/>
        </w:rPr>
        <w:t>investments across key growth sectors including tourism, infrast</w:t>
      </w:r>
      <w:r w:rsidR="00C309A4" w:rsidRPr="00A823CE">
        <w:rPr>
          <w:rFonts w:cs="Calibri"/>
          <w:lang w:val="en-AU"/>
        </w:rPr>
        <w:t>ructure, agribusiness and finance</w:t>
      </w:r>
    </w:p>
    <w:p w14:paraId="3E1115DC" w14:textId="77777777" w:rsidR="00D1136D" w:rsidRDefault="00D1136D" w:rsidP="00C54A06">
      <w:pPr>
        <w:pStyle w:val="BodyText"/>
        <w:rPr>
          <w:rFonts w:cs="Calibri"/>
          <w:lang w:val="en-AU"/>
        </w:rPr>
      </w:pPr>
    </w:p>
    <w:p w14:paraId="3DFE30CD" w14:textId="78750268" w:rsidR="00D1136D" w:rsidRDefault="00D1136D" w:rsidP="00C54A06">
      <w:pPr>
        <w:pStyle w:val="BodyText"/>
        <w:rPr>
          <w:rFonts w:cs="Calibri"/>
          <w:lang w:val="en-AU"/>
        </w:rPr>
      </w:pPr>
      <w:r>
        <w:rPr>
          <w:rFonts w:cs="Calibri"/>
          <w:lang w:val="en-AU"/>
        </w:rPr>
        <w:t>Inclusive Pro</w:t>
      </w:r>
      <w:r w:rsidR="00B20CDE">
        <w:rPr>
          <w:rFonts w:cs="Calibri"/>
          <w:lang w:val="en-AU"/>
        </w:rPr>
        <w:t>ducts &amp; Services</w:t>
      </w:r>
    </w:p>
    <w:p w14:paraId="2384B0E7" w14:textId="2D2E2568" w:rsidR="00B20CDE" w:rsidRDefault="00B20CDE" w:rsidP="00263E4D">
      <w:pPr>
        <w:pStyle w:val="BodyText"/>
        <w:numPr>
          <w:ilvl w:val="0"/>
          <w:numId w:val="25"/>
        </w:numPr>
        <w:rPr>
          <w:rFonts w:cs="Calibri"/>
          <w:lang w:val="en-AU"/>
        </w:rPr>
      </w:pPr>
      <w:r w:rsidRPr="0048440D">
        <w:rPr>
          <w:rFonts w:cs="Calibri"/>
          <w:lang w:val="en-AU"/>
        </w:rPr>
        <w:t>New financial products and services develop</w:t>
      </w:r>
      <w:r w:rsidR="00950F20" w:rsidRPr="0048440D">
        <w:rPr>
          <w:rFonts w:cs="Calibri"/>
          <w:lang w:val="en-AU"/>
        </w:rPr>
        <w:t>ed, including those that aim to increase access to financial services for women and women-owned enterprises</w:t>
      </w:r>
    </w:p>
    <w:p w14:paraId="7031BCB2" w14:textId="77777777" w:rsidR="0048440D" w:rsidRDefault="0048440D" w:rsidP="00C54A06">
      <w:pPr>
        <w:pStyle w:val="BodyText"/>
        <w:rPr>
          <w:rFonts w:cs="Calibri"/>
          <w:lang w:val="en-AU"/>
        </w:rPr>
      </w:pPr>
    </w:p>
    <w:p w14:paraId="572BB683" w14:textId="33A93085" w:rsidR="0048440D" w:rsidRDefault="0048440D" w:rsidP="00C54A06">
      <w:pPr>
        <w:pStyle w:val="BodyText"/>
        <w:rPr>
          <w:rFonts w:cs="Calibri"/>
          <w:lang w:val="en-AU"/>
        </w:rPr>
      </w:pPr>
      <w:r>
        <w:rPr>
          <w:rFonts w:cs="Calibri"/>
          <w:lang w:val="en-AU"/>
        </w:rPr>
        <w:t>Gender Inclusive &amp; Sustainable Practices and Solutions</w:t>
      </w:r>
    </w:p>
    <w:p w14:paraId="1BB5CAEC" w14:textId="229E3D09" w:rsidR="0048440D" w:rsidRPr="00C54A06" w:rsidRDefault="00C54A06" w:rsidP="00263E4D">
      <w:pPr>
        <w:pStyle w:val="BodyText"/>
        <w:numPr>
          <w:ilvl w:val="0"/>
          <w:numId w:val="25"/>
        </w:numPr>
        <w:rPr>
          <w:rFonts w:cs="Calibri"/>
          <w:lang w:val="en-AU"/>
        </w:rPr>
      </w:pPr>
      <w:r w:rsidRPr="00C54A06">
        <w:rPr>
          <w:rFonts w:cs="Calibri"/>
          <w:lang w:val="en-AU"/>
        </w:rPr>
        <w:t>Adoption of climate-smart solutions by companies in Fiji</w:t>
      </w:r>
    </w:p>
    <w:p w14:paraId="0B5AFAA7" w14:textId="5D83C095" w:rsidR="00C54A06" w:rsidRPr="00C54A06" w:rsidRDefault="00C54A06" w:rsidP="00263E4D">
      <w:pPr>
        <w:pStyle w:val="BodyText"/>
        <w:numPr>
          <w:ilvl w:val="0"/>
          <w:numId w:val="25"/>
        </w:numPr>
        <w:rPr>
          <w:rFonts w:cs="Calibri"/>
          <w:lang w:val="en-AU"/>
        </w:rPr>
      </w:pPr>
      <w:r w:rsidRPr="00C54A06">
        <w:rPr>
          <w:rFonts w:cs="Calibri"/>
          <w:lang w:val="en-AU"/>
        </w:rPr>
        <w:t>Increased uptake of gender inclusive practices by firms</w:t>
      </w:r>
    </w:p>
    <w:p w14:paraId="20F5DEF0" w14:textId="1B74468C" w:rsidR="00C54A06" w:rsidRDefault="00C54A06" w:rsidP="00263E4D">
      <w:pPr>
        <w:pStyle w:val="BodyText"/>
        <w:numPr>
          <w:ilvl w:val="0"/>
          <w:numId w:val="25"/>
        </w:numPr>
        <w:rPr>
          <w:rFonts w:cs="Calibri"/>
          <w:lang w:val="en-AU"/>
        </w:rPr>
      </w:pPr>
      <w:r w:rsidRPr="00C54A06">
        <w:rPr>
          <w:rFonts w:cs="Calibri"/>
          <w:lang w:val="en-AU"/>
        </w:rPr>
        <w:t>Use of best practice CG and industry standards by companies</w:t>
      </w:r>
    </w:p>
    <w:p w14:paraId="00C0B97B" w14:textId="77777777" w:rsidR="00BA1781" w:rsidRDefault="00BA1781" w:rsidP="00BA1781">
      <w:pPr>
        <w:pStyle w:val="BodyText"/>
        <w:rPr>
          <w:rFonts w:cs="Calibri"/>
          <w:lang w:val="en-AU"/>
        </w:rPr>
      </w:pPr>
    </w:p>
    <w:p w14:paraId="7B2C5360" w14:textId="0F051F9F" w:rsidR="00BA1781" w:rsidRDefault="00BA1781" w:rsidP="00BA1781">
      <w:pPr>
        <w:pStyle w:val="BodyText"/>
        <w:rPr>
          <w:rFonts w:cs="Calibri"/>
          <w:lang w:val="en-AU"/>
        </w:rPr>
      </w:pPr>
      <w:r>
        <w:rPr>
          <w:rFonts w:cs="Calibri"/>
          <w:lang w:val="en-AU"/>
        </w:rPr>
        <w:t>Outputs/Activities</w:t>
      </w:r>
    </w:p>
    <w:p w14:paraId="1A21B73F" w14:textId="7DFD8F5C" w:rsidR="00BA1781" w:rsidRDefault="00BA1781" w:rsidP="00E2746F">
      <w:pPr>
        <w:pStyle w:val="BodyText"/>
        <w:numPr>
          <w:ilvl w:val="0"/>
          <w:numId w:val="26"/>
        </w:numPr>
        <w:rPr>
          <w:rFonts w:cs="Calibri"/>
          <w:lang w:val="en-AU"/>
        </w:rPr>
      </w:pPr>
      <w:r>
        <w:rPr>
          <w:rFonts w:cs="Calibri"/>
          <w:lang w:val="en-AU"/>
        </w:rPr>
        <w:t xml:space="preserve">Enabling </w:t>
      </w:r>
      <w:r w:rsidR="00057130">
        <w:rPr>
          <w:rFonts w:cs="Calibri"/>
          <w:lang w:val="en-AU"/>
        </w:rPr>
        <w:t>environment for the private sector</w:t>
      </w:r>
    </w:p>
    <w:p w14:paraId="2BFE5C39" w14:textId="282DE932" w:rsidR="002B688F" w:rsidRDefault="00776BD5" w:rsidP="00E2746F">
      <w:pPr>
        <w:pStyle w:val="BodyText"/>
        <w:numPr>
          <w:ilvl w:val="0"/>
          <w:numId w:val="27"/>
        </w:numPr>
        <w:rPr>
          <w:rFonts w:cs="Calibri"/>
          <w:lang w:val="en-AU"/>
        </w:rPr>
      </w:pPr>
      <w:r>
        <w:rPr>
          <w:rFonts w:cs="Calibri"/>
          <w:lang w:val="en-AU"/>
        </w:rPr>
        <w:t xml:space="preserve">Economy-wide advice </w:t>
      </w:r>
      <w:r w:rsidR="009F0013">
        <w:rPr>
          <w:rFonts w:cs="Calibri"/>
          <w:lang w:val="en-AU"/>
        </w:rPr>
        <w:t>to improve business regulations and investment policy framework</w:t>
      </w:r>
      <w:r w:rsidR="005B3926">
        <w:rPr>
          <w:rFonts w:cs="Calibri"/>
          <w:lang w:val="en-AU"/>
        </w:rPr>
        <w:t xml:space="preserve"> (e.g. drafting and reviewing relevant regulations)</w:t>
      </w:r>
    </w:p>
    <w:p w14:paraId="3C80F8D5" w14:textId="21AFF81A" w:rsidR="005B3926" w:rsidRDefault="005B3926" w:rsidP="00E2746F">
      <w:pPr>
        <w:pStyle w:val="BodyText"/>
        <w:numPr>
          <w:ilvl w:val="0"/>
          <w:numId w:val="27"/>
        </w:numPr>
        <w:rPr>
          <w:rFonts w:cs="Calibri"/>
          <w:lang w:val="en-AU"/>
        </w:rPr>
      </w:pPr>
      <w:r>
        <w:rPr>
          <w:rFonts w:cs="Calibri"/>
          <w:lang w:val="en-AU"/>
        </w:rPr>
        <w:t>Sector-specific enabling environment advice to govt (e.g. touris</w:t>
      </w:r>
      <w:r w:rsidR="005363FE">
        <w:rPr>
          <w:rFonts w:cs="Calibri"/>
          <w:lang w:val="en-AU"/>
        </w:rPr>
        <w:t>m, agribusiness)</w:t>
      </w:r>
    </w:p>
    <w:p w14:paraId="47FE538B" w14:textId="77777777" w:rsidR="00E2746F" w:rsidRDefault="00E2746F" w:rsidP="00E2746F">
      <w:pPr>
        <w:pStyle w:val="BodyText"/>
        <w:rPr>
          <w:rFonts w:cs="Calibri"/>
          <w:lang w:val="en-AU"/>
        </w:rPr>
      </w:pPr>
    </w:p>
    <w:p w14:paraId="653E210E" w14:textId="63E4107F" w:rsidR="0037699D" w:rsidRDefault="0037699D" w:rsidP="0037699D">
      <w:pPr>
        <w:pStyle w:val="BodyText"/>
        <w:numPr>
          <w:ilvl w:val="0"/>
          <w:numId w:val="26"/>
        </w:numPr>
        <w:rPr>
          <w:rFonts w:cs="Calibri"/>
          <w:lang w:val="en-AU"/>
        </w:rPr>
      </w:pPr>
      <w:r>
        <w:rPr>
          <w:rFonts w:cs="Calibri"/>
          <w:lang w:val="en-AU"/>
        </w:rPr>
        <w:t>Accelerating Sustainable &amp; Climate</w:t>
      </w:r>
      <w:r w:rsidR="004A1F8F">
        <w:rPr>
          <w:rFonts w:cs="Calibri"/>
          <w:lang w:val="en-AU"/>
        </w:rPr>
        <w:t>-Smart Private Investment in Key Growth Sectors</w:t>
      </w:r>
    </w:p>
    <w:p w14:paraId="707D84F0" w14:textId="01D54DF7" w:rsidR="004A1F8F" w:rsidRDefault="004A1F8F" w:rsidP="004E2B90">
      <w:pPr>
        <w:pStyle w:val="BodyText"/>
        <w:numPr>
          <w:ilvl w:val="0"/>
          <w:numId w:val="30"/>
        </w:numPr>
        <w:rPr>
          <w:rFonts w:cs="Calibri"/>
          <w:lang w:val="en-AU"/>
        </w:rPr>
      </w:pPr>
      <w:r>
        <w:rPr>
          <w:rFonts w:cs="Calibri"/>
          <w:lang w:val="en-AU"/>
        </w:rPr>
        <w:t>Scoping, feasibility, diagnostic and market studies</w:t>
      </w:r>
    </w:p>
    <w:p w14:paraId="3D021783" w14:textId="52575120" w:rsidR="004A1F8F" w:rsidRDefault="004A1F8F" w:rsidP="004E2B90">
      <w:pPr>
        <w:pStyle w:val="BodyText"/>
        <w:numPr>
          <w:ilvl w:val="0"/>
          <w:numId w:val="30"/>
        </w:numPr>
        <w:rPr>
          <w:rFonts w:cs="Calibri"/>
          <w:lang w:val="en-AU"/>
        </w:rPr>
      </w:pPr>
      <w:r>
        <w:rPr>
          <w:rFonts w:cs="Calibri"/>
          <w:lang w:val="en-AU"/>
        </w:rPr>
        <w:t>Advisory services to firms (companies, farms and F</w:t>
      </w:r>
      <w:r w:rsidR="00CF63FF">
        <w:rPr>
          <w:rFonts w:cs="Calibri"/>
          <w:lang w:val="en-AU"/>
        </w:rPr>
        <w:t>i</w:t>
      </w:r>
      <w:r>
        <w:rPr>
          <w:rFonts w:cs="Calibri"/>
          <w:lang w:val="en-AU"/>
        </w:rPr>
        <w:t>s)</w:t>
      </w:r>
    </w:p>
    <w:p w14:paraId="3A12DAA9" w14:textId="1732CD71" w:rsidR="00246E20" w:rsidRDefault="00246E20" w:rsidP="004A1F8F">
      <w:pPr>
        <w:pStyle w:val="BodyText"/>
        <w:ind w:left="360"/>
        <w:rPr>
          <w:rFonts w:cs="Calibri"/>
          <w:lang w:val="en-AU"/>
        </w:rPr>
      </w:pPr>
      <w:r>
        <w:rPr>
          <w:rFonts w:cs="Calibri"/>
          <w:lang w:val="en-AU"/>
        </w:rPr>
        <w:t>-both upstream and downstream</w:t>
      </w:r>
    </w:p>
    <w:p w14:paraId="09C79234" w14:textId="580FE798" w:rsidR="00246E20" w:rsidRDefault="00246E20" w:rsidP="004E2B90">
      <w:pPr>
        <w:pStyle w:val="BodyText"/>
        <w:numPr>
          <w:ilvl w:val="0"/>
          <w:numId w:val="31"/>
        </w:numPr>
        <w:rPr>
          <w:rFonts w:cs="Calibri"/>
          <w:lang w:val="en-AU"/>
        </w:rPr>
      </w:pPr>
      <w:r>
        <w:rPr>
          <w:rFonts w:cs="Calibri"/>
          <w:lang w:val="en-AU"/>
        </w:rPr>
        <w:t>Advisory</w:t>
      </w:r>
      <w:r w:rsidR="00D521FC">
        <w:rPr>
          <w:rFonts w:cs="Calibri"/>
          <w:lang w:val="en-AU"/>
        </w:rPr>
        <w:t xml:space="preserve"> services to govt (e.g. PPP advice)</w:t>
      </w:r>
    </w:p>
    <w:p w14:paraId="529530BA" w14:textId="77777777" w:rsidR="0090348F" w:rsidRDefault="0090348F" w:rsidP="0090348F">
      <w:pPr>
        <w:pStyle w:val="BodyText"/>
        <w:rPr>
          <w:rFonts w:cs="Calibri"/>
          <w:lang w:val="en-AU"/>
        </w:rPr>
      </w:pPr>
    </w:p>
    <w:p w14:paraId="524657EA" w14:textId="2BEA7B72" w:rsidR="0090348F" w:rsidRDefault="0009235D" w:rsidP="0090348F">
      <w:pPr>
        <w:pStyle w:val="BodyText"/>
        <w:numPr>
          <w:ilvl w:val="0"/>
          <w:numId w:val="26"/>
        </w:numPr>
        <w:rPr>
          <w:rFonts w:cs="Calibri"/>
          <w:lang w:val="en-AU"/>
        </w:rPr>
      </w:pPr>
      <w:r>
        <w:rPr>
          <w:rFonts w:cs="Calibri"/>
          <w:lang w:val="en-AU"/>
        </w:rPr>
        <w:t>Standards and Inclusion</w:t>
      </w:r>
    </w:p>
    <w:p w14:paraId="3F6BE28D" w14:textId="73362324" w:rsidR="0009235D" w:rsidRDefault="0009235D" w:rsidP="00EF5D25">
      <w:pPr>
        <w:pStyle w:val="BodyText"/>
        <w:numPr>
          <w:ilvl w:val="0"/>
          <w:numId w:val="31"/>
        </w:numPr>
        <w:rPr>
          <w:rFonts w:cs="Calibri"/>
          <w:lang w:val="en-AU"/>
        </w:rPr>
      </w:pPr>
      <w:r>
        <w:rPr>
          <w:rFonts w:cs="Calibri"/>
          <w:lang w:val="en-AU"/>
        </w:rPr>
        <w:t>Advisory services to firms, and associated studies, to improve women’s economic opportunities</w:t>
      </w:r>
    </w:p>
    <w:p w14:paraId="7A4B928F" w14:textId="77210FD9" w:rsidR="00283CEC" w:rsidRDefault="00283CEC" w:rsidP="00EF5D25">
      <w:pPr>
        <w:pStyle w:val="BodyText"/>
        <w:numPr>
          <w:ilvl w:val="0"/>
          <w:numId w:val="31"/>
        </w:numPr>
        <w:rPr>
          <w:rFonts w:cs="Calibri"/>
          <w:lang w:val="en-AU"/>
        </w:rPr>
      </w:pPr>
      <w:r>
        <w:rPr>
          <w:rFonts w:cs="Calibri"/>
          <w:lang w:val="en-AU"/>
        </w:rPr>
        <w:t xml:space="preserve">Integration of gender </w:t>
      </w:r>
      <w:r w:rsidR="00FE268B">
        <w:rPr>
          <w:rFonts w:cs="Calibri"/>
          <w:lang w:val="en-AU"/>
        </w:rPr>
        <w:t>across FPSDP supported projects</w:t>
      </w:r>
    </w:p>
    <w:p w14:paraId="148F0AF4" w14:textId="61820EFC" w:rsidR="00E70AD9" w:rsidRDefault="00E70AD9" w:rsidP="00EF5D25">
      <w:pPr>
        <w:pStyle w:val="BodyText"/>
        <w:numPr>
          <w:ilvl w:val="0"/>
          <w:numId w:val="31"/>
        </w:numPr>
        <w:rPr>
          <w:rFonts w:cs="Calibri"/>
          <w:lang w:val="en-AU"/>
        </w:rPr>
      </w:pPr>
      <w:r>
        <w:rPr>
          <w:rFonts w:cs="Calibri"/>
          <w:lang w:val="en-AU"/>
        </w:rPr>
        <w:t xml:space="preserve">Advisory services to firms and to govt to increase </w:t>
      </w:r>
      <w:r w:rsidR="00E10719">
        <w:rPr>
          <w:rFonts w:cs="Calibri"/>
          <w:lang w:val="en-AU"/>
        </w:rPr>
        <w:t>understanding and use of best practice CG standards and climate-smart practices</w:t>
      </w:r>
    </w:p>
    <w:p w14:paraId="2F74861F" w14:textId="77777777" w:rsidR="00F92CBA" w:rsidRDefault="00F92CBA" w:rsidP="00F92CBA">
      <w:pPr>
        <w:pStyle w:val="BodyText"/>
        <w:rPr>
          <w:rFonts w:cs="Calibri"/>
          <w:lang w:val="en-AU"/>
        </w:rPr>
      </w:pPr>
    </w:p>
    <w:p w14:paraId="4C0497E0" w14:textId="2D74378B" w:rsidR="00F92CBA" w:rsidRDefault="00F92CBA" w:rsidP="00F92CBA">
      <w:pPr>
        <w:pStyle w:val="BodyText"/>
        <w:rPr>
          <w:rFonts w:cs="Calibri"/>
          <w:lang w:val="en-AU"/>
        </w:rPr>
      </w:pPr>
      <w:r>
        <w:rPr>
          <w:rFonts w:cs="Calibri"/>
          <w:lang w:val="en-AU"/>
        </w:rPr>
        <w:lastRenderedPageBreak/>
        <w:t>Market Constraints</w:t>
      </w:r>
    </w:p>
    <w:p w14:paraId="1875C705" w14:textId="2CF46191" w:rsidR="00015B90" w:rsidRDefault="00015B90" w:rsidP="00354CC3">
      <w:pPr>
        <w:pStyle w:val="BodyText"/>
        <w:numPr>
          <w:ilvl w:val="0"/>
          <w:numId w:val="32"/>
        </w:numPr>
        <w:rPr>
          <w:rFonts w:cs="Calibri"/>
          <w:lang w:val="en-AU"/>
        </w:rPr>
      </w:pPr>
      <w:r>
        <w:rPr>
          <w:rFonts w:cs="Calibri"/>
          <w:lang w:val="en-AU"/>
        </w:rPr>
        <w:t>Weak business enabling</w:t>
      </w:r>
      <w:r w:rsidR="00EC574B">
        <w:rPr>
          <w:rFonts w:cs="Calibri"/>
          <w:lang w:val="en-AU"/>
        </w:rPr>
        <w:t xml:space="preserve"> environment: Fiji still has significant room for improvement in terms of </w:t>
      </w:r>
      <w:r w:rsidR="005436CA">
        <w:rPr>
          <w:rFonts w:cs="Calibri"/>
          <w:lang w:val="en-AU"/>
        </w:rPr>
        <w:t xml:space="preserve">the ease of doing business and appetite </w:t>
      </w:r>
      <w:r w:rsidR="00DE638E">
        <w:rPr>
          <w:rFonts w:cs="Calibri"/>
          <w:lang w:val="en-AU"/>
        </w:rPr>
        <w:t>of investors to enter Fiji</w:t>
      </w:r>
      <w:r w:rsidR="00354CC3">
        <w:rPr>
          <w:rFonts w:cs="Calibri"/>
          <w:lang w:val="en-AU"/>
        </w:rPr>
        <w:t>.</w:t>
      </w:r>
    </w:p>
    <w:p w14:paraId="07742454" w14:textId="2C2B1919" w:rsidR="00F1196E" w:rsidRDefault="00F1196E" w:rsidP="00354CC3">
      <w:pPr>
        <w:pStyle w:val="BodyText"/>
        <w:numPr>
          <w:ilvl w:val="0"/>
          <w:numId w:val="32"/>
        </w:numPr>
        <w:rPr>
          <w:rFonts w:cs="Calibri"/>
          <w:lang w:val="en-AU"/>
        </w:rPr>
      </w:pPr>
      <w:r>
        <w:rPr>
          <w:rFonts w:cs="Calibri"/>
          <w:lang w:val="en-AU"/>
        </w:rPr>
        <w:t>Limited sector diversification: Fiji remains highly independent on the tourism sector, which has been especially damaging</w:t>
      </w:r>
      <w:r w:rsidR="00C533D0">
        <w:rPr>
          <w:rFonts w:cs="Calibri"/>
          <w:lang w:val="en-AU"/>
        </w:rPr>
        <w:t xml:space="preserve"> during the COVID-19 pandemic</w:t>
      </w:r>
      <w:r w:rsidR="00F06D11">
        <w:rPr>
          <w:rFonts w:cs="Calibri"/>
          <w:lang w:val="en-AU"/>
        </w:rPr>
        <w:t>. Diversification is essential for long-term growth.</w:t>
      </w:r>
    </w:p>
    <w:p w14:paraId="0D2CE73F" w14:textId="0612A2FC" w:rsidR="00F06D11" w:rsidRDefault="00F06D11" w:rsidP="00354CC3">
      <w:pPr>
        <w:pStyle w:val="BodyText"/>
        <w:numPr>
          <w:ilvl w:val="0"/>
          <w:numId w:val="32"/>
        </w:numPr>
        <w:rPr>
          <w:rFonts w:cs="Calibri"/>
          <w:lang w:val="en-AU"/>
        </w:rPr>
      </w:pPr>
      <w:r>
        <w:rPr>
          <w:rFonts w:cs="Calibri"/>
          <w:lang w:val="en-AU"/>
        </w:rPr>
        <w:t>Inadequ</w:t>
      </w:r>
      <w:r w:rsidR="009200B5">
        <w:rPr>
          <w:rFonts w:cs="Calibri"/>
          <w:lang w:val="en-AU"/>
        </w:rPr>
        <w:t xml:space="preserve">ate access to services: </w:t>
      </w:r>
      <w:r w:rsidR="00BF545D">
        <w:rPr>
          <w:rFonts w:cs="Calibri"/>
          <w:lang w:val="en-AU"/>
        </w:rPr>
        <w:t xml:space="preserve">Low levels of physical </w:t>
      </w:r>
      <w:r w:rsidR="00F60DDF">
        <w:rPr>
          <w:rFonts w:cs="Calibri"/>
          <w:lang w:val="en-AU"/>
        </w:rPr>
        <w:t>and technological i</w:t>
      </w:r>
      <w:r w:rsidR="001F58C0">
        <w:rPr>
          <w:rFonts w:cs="Calibri"/>
          <w:lang w:val="en-AU"/>
        </w:rPr>
        <w:t>nfrastructure</w:t>
      </w:r>
      <w:r w:rsidR="007E67D7">
        <w:rPr>
          <w:rFonts w:cs="Calibri"/>
          <w:lang w:val="en-AU"/>
        </w:rPr>
        <w:t>.</w:t>
      </w:r>
      <w:r w:rsidR="00961516">
        <w:rPr>
          <w:rFonts w:cs="Calibri"/>
          <w:lang w:val="en-AU"/>
        </w:rPr>
        <w:t xml:space="preserve"> Infrastructure includes transportation/connectivity</w:t>
      </w:r>
      <w:r w:rsidR="00D123AB">
        <w:rPr>
          <w:rFonts w:cs="Calibri"/>
          <w:lang w:val="en-AU"/>
        </w:rPr>
        <w:t>, health, housing, energy, and financial services.</w:t>
      </w:r>
    </w:p>
    <w:p w14:paraId="5F4DB915" w14:textId="5E434BD8" w:rsidR="00D123AB" w:rsidRDefault="00D123AB" w:rsidP="00354CC3">
      <w:pPr>
        <w:pStyle w:val="BodyText"/>
        <w:numPr>
          <w:ilvl w:val="0"/>
          <w:numId w:val="32"/>
        </w:numPr>
        <w:rPr>
          <w:rFonts w:cs="Calibri"/>
          <w:lang w:val="en-AU"/>
        </w:rPr>
      </w:pPr>
      <w:r>
        <w:rPr>
          <w:rFonts w:cs="Calibri"/>
          <w:lang w:val="en-AU"/>
        </w:rPr>
        <w:t>Low inclusion &amp; weak standards</w:t>
      </w:r>
      <w:r w:rsidR="00177F95">
        <w:rPr>
          <w:rFonts w:cs="Calibri"/>
          <w:lang w:val="en-AU"/>
        </w:rPr>
        <w:t>: Standards relating</w:t>
      </w:r>
      <w:r w:rsidR="006928F0">
        <w:rPr>
          <w:rFonts w:cs="Calibri"/>
          <w:lang w:val="en-AU"/>
        </w:rPr>
        <w:t xml:space="preserve"> to </w:t>
      </w:r>
      <w:r w:rsidR="00A86A2A">
        <w:rPr>
          <w:rFonts w:cs="Calibri"/>
          <w:lang w:val="en-AU"/>
        </w:rPr>
        <w:t xml:space="preserve">women’s economic empowerment and CG </w:t>
      </w:r>
      <w:r w:rsidR="008F166D">
        <w:rPr>
          <w:rFonts w:cs="Calibri"/>
          <w:lang w:val="en-AU"/>
        </w:rPr>
        <w:t>are not well understood or practiced</w:t>
      </w:r>
      <w:r w:rsidR="0083027A">
        <w:rPr>
          <w:rFonts w:cs="Calibri"/>
          <w:lang w:val="en-AU"/>
        </w:rPr>
        <w:t>, and women’s participation/advancement</w:t>
      </w:r>
      <w:r w:rsidR="00C621CB">
        <w:rPr>
          <w:rFonts w:cs="Calibri"/>
          <w:lang w:val="en-AU"/>
        </w:rPr>
        <w:t xml:space="preserve"> in the private sector is limited.</w:t>
      </w:r>
    </w:p>
    <w:p w14:paraId="21AF0E3C" w14:textId="2B0282E0" w:rsidR="008533B2" w:rsidRDefault="003F3096" w:rsidP="008533B2">
      <w:pPr>
        <w:pStyle w:val="BodyText"/>
        <w:numPr>
          <w:ilvl w:val="0"/>
          <w:numId w:val="32"/>
        </w:numPr>
        <w:rPr>
          <w:rFonts w:cs="Calibri"/>
          <w:lang w:val="en-AU"/>
        </w:rPr>
      </w:pPr>
      <w:r>
        <w:rPr>
          <w:rFonts w:cs="Calibri"/>
          <w:lang w:val="en-AU"/>
        </w:rPr>
        <w:t>Limited insti</w:t>
      </w:r>
      <w:r w:rsidR="008533B2">
        <w:rPr>
          <w:rFonts w:cs="Calibri"/>
          <w:lang w:val="en-AU"/>
        </w:rPr>
        <w:t>tutional ca</w:t>
      </w:r>
      <w:r w:rsidR="006B12FB">
        <w:rPr>
          <w:rFonts w:cs="Calibri"/>
          <w:lang w:val="en-AU"/>
        </w:rPr>
        <w:t>pacity: Public and private sector actors in Fiji lack resources, skills, and experience</w:t>
      </w:r>
      <w:r w:rsidR="00D94B6B">
        <w:rPr>
          <w:rFonts w:cs="Calibri"/>
          <w:lang w:val="en-AU"/>
        </w:rPr>
        <w:t xml:space="preserve"> relative to more advanced economies.</w:t>
      </w:r>
    </w:p>
    <w:p w14:paraId="592BE3D3" w14:textId="77777777" w:rsidR="00B2696E" w:rsidRDefault="00B2696E" w:rsidP="00B2696E">
      <w:pPr>
        <w:pStyle w:val="BodyText"/>
        <w:rPr>
          <w:rFonts w:cs="Calibri"/>
          <w:lang w:val="en-AU"/>
        </w:rPr>
      </w:pPr>
    </w:p>
    <w:p w14:paraId="5E5F6133" w14:textId="5B22366A" w:rsidR="00B2696E" w:rsidRDefault="00B2696E" w:rsidP="00B2696E">
      <w:pPr>
        <w:pStyle w:val="BodyText"/>
        <w:rPr>
          <w:rFonts w:cs="Calibri"/>
          <w:lang w:val="en-AU"/>
        </w:rPr>
      </w:pPr>
      <w:r>
        <w:rPr>
          <w:rFonts w:cs="Calibri"/>
          <w:lang w:val="en-AU"/>
        </w:rPr>
        <w:t>Key Assumptions</w:t>
      </w:r>
    </w:p>
    <w:p w14:paraId="51B13F90" w14:textId="2D202EDD" w:rsidR="00B2696E" w:rsidRDefault="007F466E" w:rsidP="006234C4">
      <w:pPr>
        <w:pStyle w:val="BodyText"/>
        <w:numPr>
          <w:ilvl w:val="0"/>
          <w:numId w:val="33"/>
        </w:numPr>
        <w:rPr>
          <w:rFonts w:cs="Calibri"/>
          <w:lang w:val="en-AU"/>
        </w:rPr>
      </w:pPr>
      <w:r>
        <w:rPr>
          <w:rFonts w:cs="Calibri"/>
          <w:lang w:val="en-AU"/>
        </w:rPr>
        <w:t xml:space="preserve">GoF remains interested in and committed to economic </w:t>
      </w:r>
      <w:r w:rsidR="00AD187F">
        <w:rPr>
          <w:rFonts w:cs="Calibri"/>
          <w:lang w:val="en-AU"/>
        </w:rPr>
        <w:t>reform and private sector development</w:t>
      </w:r>
      <w:r w:rsidR="00FE114F">
        <w:rPr>
          <w:rFonts w:cs="Calibri"/>
          <w:lang w:val="en-AU"/>
        </w:rPr>
        <w:t>.</w:t>
      </w:r>
    </w:p>
    <w:p w14:paraId="4E0B879A" w14:textId="4F88FBC1" w:rsidR="00FE114F" w:rsidRDefault="00FE114F" w:rsidP="006234C4">
      <w:pPr>
        <w:pStyle w:val="BodyText"/>
        <w:numPr>
          <w:ilvl w:val="0"/>
          <w:numId w:val="33"/>
        </w:numPr>
        <w:rPr>
          <w:rFonts w:cs="Calibri"/>
          <w:lang w:val="en-AU"/>
        </w:rPr>
      </w:pPr>
      <w:r>
        <w:rPr>
          <w:rFonts w:cs="Calibri"/>
          <w:lang w:val="en-AU"/>
        </w:rPr>
        <w:t xml:space="preserve">Constraints to private sector development not addressed through the FPSDP are adequately </w:t>
      </w:r>
      <w:r w:rsidR="00345344">
        <w:rPr>
          <w:rFonts w:cs="Calibri"/>
          <w:lang w:val="en-AU"/>
        </w:rPr>
        <w:t xml:space="preserve">addressed by </w:t>
      </w:r>
      <w:r w:rsidR="00984771">
        <w:rPr>
          <w:rFonts w:cs="Calibri"/>
          <w:lang w:val="en-AU"/>
        </w:rPr>
        <w:t>GoF and other DPs. (e.g. education and skills).</w:t>
      </w:r>
    </w:p>
    <w:p w14:paraId="0BFA15E2" w14:textId="4A2D7BA0" w:rsidR="001632B2" w:rsidRDefault="006F010C" w:rsidP="006234C4">
      <w:pPr>
        <w:pStyle w:val="BodyText"/>
        <w:numPr>
          <w:ilvl w:val="0"/>
          <w:numId w:val="33"/>
        </w:numPr>
        <w:rPr>
          <w:rFonts w:cs="Calibri"/>
          <w:lang w:val="en-AU"/>
        </w:rPr>
      </w:pPr>
      <w:r>
        <w:rPr>
          <w:rFonts w:cs="Calibri"/>
          <w:lang w:val="en-AU"/>
        </w:rPr>
        <w:t xml:space="preserve">The general economic </w:t>
      </w:r>
      <w:r w:rsidR="00CF4608">
        <w:rPr>
          <w:rFonts w:cs="Calibri"/>
          <w:lang w:val="en-AU"/>
        </w:rPr>
        <w:t xml:space="preserve">environment </w:t>
      </w:r>
      <w:r w:rsidR="009411F1">
        <w:rPr>
          <w:rFonts w:cs="Calibri"/>
          <w:lang w:val="en-AU"/>
        </w:rPr>
        <w:t xml:space="preserve">is conducive to recovery &amp; growth </w:t>
      </w:r>
      <w:r w:rsidR="00DC4220">
        <w:rPr>
          <w:rFonts w:cs="Calibri"/>
          <w:lang w:val="en-AU"/>
        </w:rPr>
        <w:t xml:space="preserve">(e.g. no health crisis, manageable adverse </w:t>
      </w:r>
      <w:r w:rsidR="00DF317A">
        <w:rPr>
          <w:rFonts w:cs="Calibri"/>
          <w:lang w:val="en-AU"/>
        </w:rPr>
        <w:t>climatic</w:t>
      </w:r>
      <w:r w:rsidR="00CB1BD7">
        <w:rPr>
          <w:rFonts w:cs="Calibri"/>
          <w:lang w:val="en-AU"/>
        </w:rPr>
        <w:t xml:space="preserve"> events)</w:t>
      </w:r>
      <w:r w:rsidR="006234C4">
        <w:rPr>
          <w:rFonts w:cs="Calibri"/>
          <w:lang w:val="en-AU"/>
        </w:rPr>
        <w:t>.</w:t>
      </w:r>
    </w:p>
    <w:p w14:paraId="5584E453" w14:textId="79C05FF8" w:rsidR="00CB1BD7" w:rsidRPr="008533B2" w:rsidRDefault="00CB1BD7" w:rsidP="006234C4">
      <w:pPr>
        <w:pStyle w:val="BodyText"/>
        <w:numPr>
          <w:ilvl w:val="0"/>
          <w:numId w:val="33"/>
        </w:numPr>
        <w:rPr>
          <w:rFonts w:cs="Calibri"/>
          <w:lang w:val="en-AU"/>
        </w:rPr>
      </w:pPr>
      <w:r>
        <w:rPr>
          <w:rFonts w:cs="Calibri"/>
          <w:lang w:val="en-AU"/>
        </w:rPr>
        <w:t>Timelines for project implementation are realistic and adaptive</w:t>
      </w:r>
      <w:r w:rsidR="006234C4">
        <w:rPr>
          <w:rFonts w:cs="Calibri"/>
          <w:lang w:val="en-AU"/>
        </w:rPr>
        <w:t>.</w:t>
      </w:r>
    </w:p>
    <w:p w14:paraId="5B54C3FB" w14:textId="25A2D817" w:rsidR="00552BF9" w:rsidRDefault="00BD6F87">
      <w:pPr>
        <w:spacing w:after="160" w:line="259" w:lineRule="auto"/>
        <w:rPr>
          <w:rFonts w:ascii="Calibri" w:hAnsi="Calibri" w:cs="Calibri"/>
          <w:lang w:val="en-AU"/>
        </w:rPr>
      </w:pPr>
      <w:r w:rsidRPr="00C723E0">
        <w:rPr>
          <w:rFonts w:ascii="Calibri" w:hAnsi="Calibri" w:cs="Calibri"/>
          <w:lang w:val="en-AU"/>
        </w:rPr>
        <w:br w:type="page"/>
      </w:r>
    </w:p>
    <w:p w14:paraId="7D50767F" w14:textId="3708240B" w:rsidR="008F17C6" w:rsidRPr="00C723E0" w:rsidRDefault="008F17C6">
      <w:pPr>
        <w:spacing w:after="160" w:line="259" w:lineRule="auto"/>
        <w:rPr>
          <w:rFonts w:ascii="Calibri" w:hAnsi="Calibri" w:cs="Calibri"/>
          <w:lang w:val="en-AU"/>
        </w:rPr>
        <w:sectPr w:rsidR="008F17C6" w:rsidRPr="00C723E0" w:rsidSect="00116737">
          <w:pgSz w:w="11900" w:h="16820"/>
          <w:pgMar w:top="1440" w:right="1440" w:bottom="1440" w:left="1440" w:header="709" w:footer="709" w:gutter="0"/>
          <w:cols w:space="708"/>
          <w:docGrid w:linePitch="360"/>
        </w:sectPr>
      </w:pPr>
    </w:p>
    <w:p w14:paraId="6874E864" w14:textId="0D3138A6" w:rsidR="00C61A13" w:rsidRPr="00C723E0" w:rsidRDefault="00C61A13" w:rsidP="4EF1951E">
      <w:pPr>
        <w:pStyle w:val="Heading1"/>
        <w:rPr>
          <w:rFonts w:cs="Calibri"/>
          <w:b w:val="0"/>
          <w:bCs/>
          <w:lang w:val="en-AU"/>
        </w:rPr>
      </w:pPr>
      <w:bookmarkStart w:id="71" w:name="_Toc201131785"/>
      <w:bookmarkStart w:id="72" w:name="_Toc206675831"/>
      <w:r w:rsidRPr="4EF1951E">
        <w:rPr>
          <w:rFonts w:cs="Calibri"/>
          <w:b w:val="0"/>
          <w:bCs/>
          <w:lang w:val="en-AU"/>
        </w:rPr>
        <w:lastRenderedPageBreak/>
        <w:t xml:space="preserve">Annex </w:t>
      </w:r>
      <w:r w:rsidR="00E95293" w:rsidRPr="4EF1951E">
        <w:rPr>
          <w:rFonts w:cs="Calibri"/>
          <w:b w:val="0"/>
          <w:bCs/>
          <w:lang w:val="en-AU"/>
        </w:rPr>
        <w:t>5</w:t>
      </w:r>
      <w:r w:rsidRPr="4EF1951E">
        <w:rPr>
          <w:rFonts w:cs="Calibri"/>
          <w:b w:val="0"/>
          <w:bCs/>
          <w:lang w:val="en-AU"/>
        </w:rPr>
        <w:t>: FPSDP Results Framework</w:t>
      </w:r>
      <w:bookmarkEnd w:id="71"/>
      <w:bookmarkEnd w:id="72"/>
    </w:p>
    <w:p w14:paraId="05AEC9CF" w14:textId="77777777" w:rsidR="00552BF9" w:rsidRDefault="00552BF9" w:rsidP="00552BF9">
      <w:pPr>
        <w:suppressAutoHyphens/>
        <w:autoSpaceDE w:val="0"/>
        <w:autoSpaceDN w:val="0"/>
        <w:adjustRightInd w:val="0"/>
        <w:spacing w:line="288" w:lineRule="auto"/>
        <w:textAlignment w:val="center"/>
        <w:rPr>
          <w:rFonts w:ascii="Montserrat SemiBold" w:hAnsi="Montserrat SemiBold" w:cs="Montserrat SemiBold"/>
          <w:b/>
          <w:bCs/>
          <w:caps/>
          <w:color w:val="1C4257"/>
          <w:spacing w:val="19"/>
          <w:lang w:val="en-AU"/>
        </w:rPr>
      </w:pPr>
      <w:r w:rsidRPr="00A26E3C">
        <w:rPr>
          <w:rFonts w:ascii="Montserrat SemiBold" w:hAnsi="Montserrat SemiBold" w:cs="Montserrat SemiBold"/>
          <w:b/>
          <w:bCs/>
          <w:caps/>
          <w:color w:val="1C4257"/>
          <w:spacing w:val="19"/>
          <w:lang w:val="en-AU"/>
        </w:rPr>
        <w:t>FPSDP Development Outcomes Summary</w:t>
      </w:r>
    </w:p>
    <w:p w14:paraId="711638DE" w14:textId="6E2B17D7" w:rsidR="002C7B29" w:rsidRDefault="002C7B29" w:rsidP="002C7B29">
      <w:pPr>
        <w:suppressAutoHyphens/>
        <w:autoSpaceDE w:val="0"/>
        <w:autoSpaceDN w:val="0"/>
        <w:adjustRightInd w:val="0"/>
        <w:spacing w:line="288" w:lineRule="auto"/>
        <w:textAlignment w:val="center"/>
        <w:rPr>
          <w:rFonts w:ascii="Montserrat" w:hAnsi="Montserrat"/>
          <w:b/>
          <w:bCs/>
          <w:color w:val="1C4257"/>
          <w:sz w:val="14"/>
          <w:szCs w:val="14"/>
          <w:lang w:val="en-AU"/>
        </w:rPr>
      </w:pPr>
      <w:r>
        <w:rPr>
          <w:rFonts w:ascii="Montserrat SemiBold" w:hAnsi="Montserrat SemiBold" w:cs="Montserrat SemiBold"/>
          <w:b/>
          <w:bCs/>
          <w:caps/>
          <w:color w:val="1C4257"/>
          <w:spacing w:val="19"/>
          <w:vertAlign w:val="superscript"/>
          <w:lang w:val="en-AU"/>
        </w:rPr>
        <w:t xml:space="preserve">Partnership Pillar 1: </w:t>
      </w:r>
      <w:r w:rsidRPr="00106B33">
        <w:rPr>
          <w:rFonts w:ascii="Montserrat SemiBold" w:hAnsi="Montserrat SemiBold" w:cs="Montserrat SemiBold"/>
          <w:b/>
          <w:bCs/>
          <w:caps/>
          <w:color w:val="1C4257"/>
          <w:spacing w:val="19"/>
          <w:vertAlign w:val="superscript"/>
          <w:lang w:val="en-AU"/>
        </w:rPr>
        <w:t>Enabling environment for the private Sector</w:t>
      </w:r>
    </w:p>
    <w:p w14:paraId="35B5757F" w14:textId="465E5210" w:rsidR="002C7B29" w:rsidRDefault="002C7B29" w:rsidP="002C7B29">
      <w:pPr>
        <w:rPr>
          <w:rFonts w:ascii="Montserrat SemiBold" w:hAnsi="Montserrat SemiBold"/>
          <w:color w:val="000000"/>
          <w:sz w:val="14"/>
          <w:szCs w:val="14"/>
        </w:rPr>
      </w:pPr>
      <w:r>
        <w:rPr>
          <w:rFonts w:ascii="Montserrat" w:hAnsi="Montserrat"/>
          <w:b/>
          <w:bCs/>
          <w:color w:val="000000"/>
          <w:sz w:val="14"/>
          <w:szCs w:val="14"/>
          <w:lang w:val="en-AU"/>
        </w:rPr>
        <w:t xml:space="preserve">Portfolio projects with expected qualitative contributions to Partnership Pillar </w:t>
      </w:r>
      <w:r>
        <w:rPr>
          <w:rFonts w:ascii="Montserrat Medium" w:hAnsi="Montserrat Medium"/>
          <w:i/>
          <w:iCs/>
          <w:color w:val="000000"/>
          <w:sz w:val="14"/>
          <w:szCs w:val="14"/>
          <w:lang w:val="en-AU"/>
        </w:rPr>
        <w:t>(as per donor application, reported against evaluative questions</w:t>
      </w:r>
      <w:r w:rsidR="00106B33">
        <w:rPr>
          <w:rFonts w:ascii="Montserrat Medium" w:hAnsi="Montserrat Medium"/>
          <w:i/>
          <w:iCs/>
          <w:color w:val="000000"/>
          <w:sz w:val="14"/>
          <w:szCs w:val="14"/>
          <w:lang w:val="en-AU"/>
        </w:rPr>
        <w:t>):</w:t>
      </w:r>
      <w:r>
        <w:rPr>
          <w:rFonts w:ascii="Montserrat Medium" w:hAnsi="Montserrat Medium"/>
          <w:i/>
          <w:iCs/>
          <w:color w:val="000000"/>
          <w:sz w:val="14"/>
          <w:szCs w:val="14"/>
          <w:lang w:val="en-AU"/>
        </w:rPr>
        <w:t xml:space="preserve">  </w:t>
      </w:r>
      <w:r>
        <w:rPr>
          <w:rFonts w:ascii="Montserrat SemiBold" w:hAnsi="Montserrat SemiBold"/>
          <w:color w:val="000000"/>
          <w:sz w:val="14"/>
          <w:szCs w:val="14"/>
          <w:lang w:val="en-AU"/>
        </w:rPr>
        <w:t>Fiji Payment System,</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Investment Competitiveness,</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Affordable Housing Development,</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Winvest,</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Sustainable Tourism Project,</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Advance2Equa,</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International Visitors Survey,</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Green Finance,</w:t>
      </w:r>
      <w:r w:rsidRPr="002C7B29">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Sustainable Tourism and Investment and Fiji Enabling Investment Environment</w:t>
      </w:r>
    </w:p>
    <w:p w14:paraId="7C9097FA" w14:textId="367EB368" w:rsidR="002C7B29" w:rsidRDefault="002C7B29" w:rsidP="002C7B29">
      <w:pPr>
        <w:rPr>
          <w:rFonts w:ascii="Montserrat SemiBold" w:hAnsi="Montserrat SemiBold"/>
          <w:color w:val="000000"/>
          <w:sz w:val="14"/>
          <w:szCs w:val="14"/>
        </w:rPr>
      </w:pPr>
    </w:p>
    <w:tbl>
      <w:tblPr>
        <w:tblW w:w="15294" w:type="dxa"/>
        <w:tblInd w:w="-5" w:type="dxa"/>
        <w:tblLook w:val="04A0" w:firstRow="1" w:lastRow="0" w:firstColumn="1" w:lastColumn="0" w:noHBand="0" w:noVBand="1"/>
      </w:tblPr>
      <w:tblGrid>
        <w:gridCol w:w="3918"/>
        <w:gridCol w:w="3636"/>
        <w:gridCol w:w="1062"/>
        <w:gridCol w:w="1691"/>
        <w:gridCol w:w="1822"/>
        <w:gridCol w:w="1062"/>
        <w:gridCol w:w="2103"/>
      </w:tblGrid>
      <w:tr w:rsidR="007F698C" w14:paraId="7BA00720" w14:textId="77777777" w:rsidTr="00F42707">
        <w:trPr>
          <w:trHeight w:val="575"/>
          <w:tblHeader/>
        </w:trPr>
        <w:tc>
          <w:tcPr>
            <w:tcW w:w="3979" w:type="dxa"/>
            <w:tcBorders>
              <w:top w:val="single" w:sz="4" w:space="0" w:color="auto"/>
              <w:left w:val="single" w:sz="4" w:space="0" w:color="auto"/>
              <w:bottom w:val="single" w:sz="4" w:space="0" w:color="auto"/>
              <w:right w:val="single" w:sz="8" w:space="0" w:color="FFFFFF"/>
            </w:tcBorders>
            <w:shd w:val="clear" w:color="auto" w:fill="C1E4F5" w:themeFill="accent1" w:themeFillTint="33"/>
            <w:vAlign w:val="center"/>
            <w:hideMark/>
          </w:tcPr>
          <w:p w14:paraId="41ABDD5C" w14:textId="77777777" w:rsidR="00106B33" w:rsidRDefault="00106B33" w:rsidP="00B6389B">
            <w:pPr>
              <w:rPr>
                <w:rFonts w:ascii="Montserrat" w:hAnsi="Montserrat"/>
                <w:b/>
                <w:bCs/>
                <w:color w:val="000000"/>
                <w:sz w:val="14"/>
                <w:szCs w:val="14"/>
              </w:rPr>
            </w:pPr>
            <w:r>
              <w:rPr>
                <w:rFonts w:ascii="Montserrat" w:hAnsi="Montserrat"/>
                <w:b/>
                <w:bCs/>
                <w:color w:val="000000"/>
                <w:sz w:val="14"/>
                <w:szCs w:val="14"/>
                <w:lang w:val="en-AU"/>
              </w:rPr>
              <w:t xml:space="preserve">Portfolio projects with expected quantitative contributions to Partnership Pillar </w:t>
            </w:r>
            <w:r>
              <w:rPr>
                <w:rFonts w:ascii="Montserrat Medium" w:hAnsi="Montserrat Medium"/>
                <w:i/>
                <w:iCs/>
                <w:color w:val="000000"/>
                <w:sz w:val="14"/>
                <w:szCs w:val="14"/>
                <w:lang w:val="en-AU"/>
              </w:rPr>
              <w:t>(as per development outcome indicators at end-June 2024)</w:t>
            </w:r>
          </w:p>
        </w:tc>
        <w:tc>
          <w:tcPr>
            <w:tcW w:w="3671"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7957DF25" w14:textId="438EDCB9" w:rsidR="00106B33" w:rsidRDefault="00106B33" w:rsidP="00106B33">
            <w:pPr>
              <w:jc w:val="center"/>
              <w:rPr>
                <w:rFonts w:ascii="Montserrat" w:hAnsi="Montserrat"/>
                <w:b/>
                <w:bCs/>
                <w:color w:val="000000"/>
                <w:sz w:val="14"/>
                <w:szCs w:val="14"/>
              </w:rPr>
            </w:pPr>
            <w:r>
              <w:rPr>
                <w:rFonts w:ascii="Montserrat" w:hAnsi="Montserrat"/>
                <w:b/>
                <w:bCs/>
                <w:color w:val="000000"/>
                <w:sz w:val="14"/>
                <w:szCs w:val="14"/>
                <w:lang w:val="en-AU"/>
              </w:rPr>
              <w:t>Development outcome indicators</w:t>
            </w:r>
          </w:p>
        </w:tc>
        <w:tc>
          <w:tcPr>
            <w:tcW w:w="90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3B188EA5" w14:textId="77777777" w:rsidR="00106B33" w:rsidRDefault="00106B33" w:rsidP="00106B33">
            <w:pPr>
              <w:jc w:val="right"/>
              <w:rPr>
                <w:rFonts w:ascii="Montserrat" w:hAnsi="Montserrat"/>
                <w:b/>
                <w:bCs/>
                <w:color w:val="000000"/>
                <w:sz w:val="14"/>
                <w:szCs w:val="14"/>
              </w:rPr>
            </w:pPr>
            <w:r>
              <w:rPr>
                <w:rFonts w:ascii="Montserrat" w:hAnsi="Montserrat"/>
                <w:b/>
                <w:bCs/>
                <w:color w:val="000000"/>
                <w:sz w:val="14"/>
                <w:szCs w:val="14"/>
                <w:lang w:val="en-AU"/>
              </w:rPr>
              <w:t xml:space="preserve">Cumulative targets </w:t>
            </w:r>
          </w:p>
        </w:tc>
        <w:tc>
          <w:tcPr>
            <w:tcW w:w="171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382521B0" w14:textId="77777777" w:rsidR="00106B33" w:rsidRDefault="00106B33" w:rsidP="00106B33">
            <w:pPr>
              <w:jc w:val="right"/>
              <w:rPr>
                <w:rFonts w:ascii="Montserrat" w:hAnsi="Montserrat"/>
                <w:b/>
                <w:bCs/>
                <w:color w:val="000000"/>
                <w:sz w:val="14"/>
                <w:szCs w:val="14"/>
              </w:rPr>
            </w:pPr>
            <w:r>
              <w:rPr>
                <w:rFonts w:ascii="Montserrat" w:hAnsi="Montserrat"/>
                <w:b/>
                <w:bCs/>
                <w:color w:val="000000"/>
                <w:sz w:val="14"/>
                <w:szCs w:val="14"/>
                <w:lang w:val="en-AU"/>
              </w:rPr>
              <w:t>FPSDP Results achieved prior to Jan 2022</w:t>
            </w:r>
          </w:p>
        </w:tc>
        <w:tc>
          <w:tcPr>
            <w:tcW w:w="1844"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038A3D4D" w14:textId="04E35B46" w:rsidR="00106B33" w:rsidRPr="00106B33" w:rsidRDefault="00106B33" w:rsidP="00106B33">
            <w:pPr>
              <w:jc w:val="right"/>
              <w:rPr>
                <w:rFonts w:ascii="Montserrat" w:hAnsi="Montserrat"/>
                <w:b/>
                <w:bCs/>
                <w:color w:val="000000"/>
                <w:sz w:val="14"/>
                <w:szCs w:val="14"/>
                <w:lang w:val="en-AU"/>
              </w:rPr>
            </w:pPr>
            <w:r>
              <w:rPr>
                <w:rFonts w:ascii="Montserrat" w:hAnsi="Montserrat"/>
                <w:b/>
                <w:bCs/>
                <w:color w:val="000000"/>
                <w:sz w:val="14"/>
                <w:szCs w:val="14"/>
                <w:lang w:val="en-AU"/>
              </w:rPr>
              <w:t xml:space="preserve">FPSDP results achieved </w:t>
            </w:r>
            <w:r w:rsidRPr="00106B33">
              <w:rPr>
                <w:rFonts w:ascii="Montserrat" w:hAnsi="Montserrat"/>
                <w:b/>
                <w:bCs/>
                <w:color w:val="000000"/>
                <w:sz w:val="14"/>
                <w:szCs w:val="14"/>
                <w:lang w:val="en-AU"/>
              </w:rPr>
              <w:t>Jan 2022 - Dec 2024</w:t>
            </w:r>
          </w:p>
        </w:tc>
        <w:tc>
          <w:tcPr>
            <w:tcW w:w="1062"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695E56B6" w14:textId="77777777" w:rsidR="00106B33" w:rsidRDefault="00106B33" w:rsidP="00106B33">
            <w:pPr>
              <w:jc w:val="right"/>
              <w:rPr>
                <w:rFonts w:ascii="Montserrat" w:hAnsi="Montserrat"/>
                <w:b/>
                <w:bCs/>
                <w:color w:val="000000"/>
                <w:sz w:val="14"/>
                <w:szCs w:val="14"/>
              </w:rPr>
            </w:pPr>
            <w:r>
              <w:rPr>
                <w:rFonts w:ascii="Montserrat" w:hAnsi="Montserrat"/>
                <w:b/>
                <w:bCs/>
                <w:color w:val="000000"/>
                <w:sz w:val="14"/>
                <w:szCs w:val="14"/>
                <w:lang w:val="en-AU"/>
              </w:rPr>
              <w:t xml:space="preserve">Cumulative results </w:t>
            </w:r>
          </w:p>
        </w:tc>
        <w:tc>
          <w:tcPr>
            <w:tcW w:w="2128" w:type="dxa"/>
            <w:tcBorders>
              <w:top w:val="single" w:sz="4" w:space="0" w:color="auto"/>
              <w:left w:val="single" w:sz="8" w:space="0" w:color="FFFFFF"/>
              <w:bottom w:val="single" w:sz="4" w:space="0" w:color="auto"/>
              <w:right w:val="single" w:sz="4" w:space="0" w:color="auto"/>
            </w:tcBorders>
            <w:shd w:val="clear" w:color="auto" w:fill="C1E4F5" w:themeFill="accent1" w:themeFillTint="33"/>
            <w:vAlign w:val="center"/>
            <w:hideMark/>
          </w:tcPr>
          <w:p w14:paraId="6331769B" w14:textId="77777777" w:rsidR="00106B33" w:rsidRDefault="00106B33" w:rsidP="00106B33">
            <w:pPr>
              <w:jc w:val="right"/>
              <w:rPr>
                <w:rFonts w:ascii="Montserrat" w:hAnsi="Montserrat"/>
                <w:b/>
                <w:bCs/>
                <w:color w:val="000000"/>
                <w:sz w:val="14"/>
                <w:szCs w:val="14"/>
              </w:rPr>
            </w:pPr>
            <w:r>
              <w:rPr>
                <w:rFonts w:ascii="Montserrat" w:hAnsi="Montserrat"/>
                <w:b/>
                <w:bCs/>
                <w:color w:val="000000"/>
                <w:sz w:val="14"/>
                <w:szCs w:val="14"/>
                <w:lang w:val="en-AU"/>
              </w:rPr>
              <w:t>% Cumulative results achieved against cumulative targets</w:t>
            </w:r>
          </w:p>
        </w:tc>
      </w:tr>
      <w:tr w:rsidR="007F698C" w14:paraId="3F96A4B5" w14:textId="77777777" w:rsidTr="00F42707">
        <w:trPr>
          <w:trHeight w:val="259"/>
        </w:trPr>
        <w:tc>
          <w:tcPr>
            <w:tcW w:w="3979" w:type="dxa"/>
            <w:tcBorders>
              <w:top w:val="single" w:sz="4" w:space="0" w:color="auto"/>
              <w:left w:val="single" w:sz="4" w:space="0" w:color="auto"/>
              <w:bottom w:val="nil"/>
              <w:right w:val="single" w:sz="4" w:space="0" w:color="auto"/>
            </w:tcBorders>
            <w:vAlign w:val="center"/>
            <w:hideMark/>
          </w:tcPr>
          <w:p w14:paraId="346A96C7"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Payment System</w:t>
            </w:r>
          </w:p>
        </w:tc>
        <w:tc>
          <w:tcPr>
            <w:tcW w:w="3671" w:type="dxa"/>
            <w:vMerge w:val="restart"/>
            <w:tcBorders>
              <w:top w:val="single" w:sz="4" w:space="0" w:color="auto"/>
              <w:left w:val="nil"/>
              <w:bottom w:val="single" w:sz="4" w:space="0" w:color="000000"/>
              <w:right w:val="single" w:sz="4" w:space="0" w:color="auto"/>
            </w:tcBorders>
            <w:vAlign w:val="center"/>
            <w:hideMark/>
          </w:tcPr>
          <w:p w14:paraId="78270EC8"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Number of entities that implemented recommended changes</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0D6EFB3B"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17</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75A8C18D"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8</w:t>
            </w: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66162420"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2</w:t>
            </w:r>
          </w:p>
        </w:tc>
        <w:tc>
          <w:tcPr>
            <w:tcW w:w="1062" w:type="dxa"/>
            <w:vMerge w:val="restart"/>
            <w:tcBorders>
              <w:top w:val="single" w:sz="4" w:space="0" w:color="auto"/>
              <w:left w:val="single" w:sz="4" w:space="0" w:color="auto"/>
              <w:bottom w:val="single" w:sz="4" w:space="0" w:color="auto"/>
              <w:right w:val="single" w:sz="4" w:space="0" w:color="auto"/>
            </w:tcBorders>
            <w:vAlign w:val="center"/>
            <w:hideMark/>
          </w:tcPr>
          <w:p w14:paraId="7A74BAA9"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10</w:t>
            </w:r>
          </w:p>
        </w:tc>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6B29D9D5"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59</w:t>
            </w:r>
          </w:p>
        </w:tc>
      </w:tr>
      <w:tr w:rsidR="007F698C" w14:paraId="1994CD8D" w14:textId="77777777" w:rsidTr="00F42707">
        <w:trPr>
          <w:trHeight w:val="259"/>
        </w:trPr>
        <w:tc>
          <w:tcPr>
            <w:tcW w:w="3979" w:type="dxa"/>
            <w:tcBorders>
              <w:top w:val="nil"/>
              <w:left w:val="single" w:sz="4" w:space="0" w:color="auto"/>
              <w:bottom w:val="nil"/>
              <w:right w:val="single" w:sz="4" w:space="0" w:color="auto"/>
            </w:tcBorders>
            <w:vAlign w:val="center"/>
            <w:hideMark/>
          </w:tcPr>
          <w:p w14:paraId="34C444F9"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3671" w:type="dxa"/>
            <w:vMerge/>
            <w:tcBorders>
              <w:top w:val="nil"/>
              <w:left w:val="nil"/>
              <w:bottom w:val="single" w:sz="4" w:space="0" w:color="000000"/>
              <w:right w:val="single" w:sz="4" w:space="0" w:color="auto"/>
            </w:tcBorders>
            <w:vAlign w:val="center"/>
            <w:hideMark/>
          </w:tcPr>
          <w:p w14:paraId="6896D647"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7DA7491E"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15ACF03F"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26896D8A"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013C1A02"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79BE6E27" w14:textId="77777777" w:rsidR="00106B33" w:rsidRDefault="00106B33" w:rsidP="00B6389B">
            <w:pPr>
              <w:rPr>
                <w:rFonts w:ascii="Montserrat" w:hAnsi="Montserrat"/>
                <w:color w:val="000000"/>
                <w:sz w:val="14"/>
                <w:szCs w:val="14"/>
              </w:rPr>
            </w:pPr>
          </w:p>
        </w:tc>
      </w:tr>
      <w:tr w:rsidR="007F698C" w14:paraId="759D2250" w14:textId="77777777" w:rsidTr="00F42707">
        <w:trPr>
          <w:trHeight w:val="259"/>
        </w:trPr>
        <w:tc>
          <w:tcPr>
            <w:tcW w:w="3979" w:type="dxa"/>
            <w:tcBorders>
              <w:top w:val="nil"/>
              <w:left w:val="single" w:sz="4" w:space="0" w:color="auto"/>
              <w:bottom w:val="nil"/>
              <w:right w:val="single" w:sz="4" w:space="0" w:color="auto"/>
            </w:tcBorders>
            <w:vAlign w:val="center"/>
            <w:hideMark/>
          </w:tcPr>
          <w:p w14:paraId="55B0BC63"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Affordable Housing Development Project</w:t>
            </w:r>
          </w:p>
        </w:tc>
        <w:tc>
          <w:tcPr>
            <w:tcW w:w="3671" w:type="dxa"/>
            <w:vMerge/>
            <w:tcBorders>
              <w:top w:val="nil"/>
              <w:left w:val="nil"/>
              <w:bottom w:val="single" w:sz="4" w:space="0" w:color="000000"/>
              <w:right w:val="single" w:sz="4" w:space="0" w:color="auto"/>
            </w:tcBorders>
            <w:vAlign w:val="center"/>
            <w:hideMark/>
          </w:tcPr>
          <w:p w14:paraId="7838016C"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179B75D0"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42035D7E"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162675B4"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5C7E4671"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736144E6" w14:textId="77777777" w:rsidR="00106B33" w:rsidRDefault="00106B33" w:rsidP="00B6389B">
            <w:pPr>
              <w:rPr>
                <w:rFonts w:ascii="Montserrat" w:hAnsi="Montserrat"/>
                <w:color w:val="000000"/>
                <w:sz w:val="14"/>
                <w:szCs w:val="14"/>
              </w:rPr>
            </w:pPr>
          </w:p>
        </w:tc>
      </w:tr>
      <w:tr w:rsidR="007F698C" w14:paraId="64C6470E" w14:textId="77777777" w:rsidTr="00F42707">
        <w:trPr>
          <w:trHeight w:val="259"/>
        </w:trPr>
        <w:tc>
          <w:tcPr>
            <w:tcW w:w="3979" w:type="dxa"/>
            <w:tcBorders>
              <w:top w:val="nil"/>
              <w:left w:val="single" w:sz="4" w:space="0" w:color="auto"/>
              <w:bottom w:val="nil"/>
              <w:right w:val="single" w:sz="4" w:space="0" w:color="auto"/>
            </w:tcBorders>
            <w:vAlign w:val="center"/>
            <w:hideMark/>
          </w:tcPr>
          <w:p w14:paraId="640E769A"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 xml:space="preserve">Fiji Green Finance </w:t>
            </w:r>
          </w:p>
        </w:tc>
        <w:tc>
          <w:tcPr>
            <w:tcW w:w="3671" w:type="dxa"/>
            <w:vMerge/>
            <w:tcBorders>
              <w:top w:val="nil"/>
              <w:left w:val="nil"/>
              <w:bottom w:val="single" w:sz="4" w:space="0" w:color="000000"/>
              <w:right w:val="single" w:sz="4" w:space="0" w:color="auto"/>
            </w:tcBorders>
            <w:vAlign w:val="center"/>
            <w:hideMark/>
          </w:tcPr>
          <w:p w14:paraId="19E8CFAF"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137428F8"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6A547501"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45198912"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FAC4BFB"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0FEBD13A" w14:textId="77777777" w:rsidR="00106B33" w:rsidRDefault="00106B33" w:rsidP="00B6389B">
            <w:pPr>
              <w:rPr>
                <w:rFonts w:ascii="Montserrat" w:hAnsi="Montserrat"/>
                <w:color w:val="000000"/>
                <w:sz w:val="14"/>
                <w:szCs w:val="14"/>
              </w:rPr>
            </w:pPr>
          </w:p>
        </w:tc>
      </w:tr>
      <w:tr w:rsidR="007F698C" w14:paraId="0070D446" w14:textId="77777777" w:rsidTr="00F42707">
        <w:trPr>
          <w:trHeight w:val="259"/>
        </w:trPr>
        <w:tc>
          <w:tcPr>
            <w:tcW w:w="3979" w:type="dxa"/>
            <w:tcBorders>
              <w:top w:val="single" w:sz="4" w:space="0" w:color="auto"/>
              <w:left w:val="single" w:sz="4" w:space="0" w:color="auto"/>
              <w:bottom w:val="nil"/>
              <w:right w:val="single" w:sz="4" w:space="0" w:color="auto"/>
            </w:tcBorders>
            <w:vAlign w:val="center"/>
            <w:hideMark/>
          </w:tcPr>
          <w:p w14:paraId="366A56F3"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Payment System</w:t>
            </w:r>
          </w:p>
        </w:tc>
        <w:tc>
          <w:tcPr>
            <w:tcW w:w="3671" w:type="dxa"/>
            <w:vMerge w:val="restart"/>
            <w:tcBorders>
              <w:top w:val="nil"/>
              <w:left w:val="nil"/>
              <w:bottom w:val="single" w:sz="4" w:space="0" w:color="auto"/>
              <w:right w:val="single" w:sz="4" w:space="0" w:color="auto"/>
            </w:tcBorders>
            <w:vAlign w:val="center"/>
            <w:hideMark/>
          </w:tcPr>
          <w:p w14:paraId="28966E56"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Number of recommended laws / regulations / amendments / codes enacted, or government policies adopted</w:t>
            </w:r>
          </w:p>
        </w:tc>
        <w:tc>
          <w:tcPr>
            <w:tcW w:w="900" w:type="dxa"/>
            <w:vMerge w:val="restart"/>
            <w:tcBorders>
              <w:top w:val="nil"/>
              <w:left w:val="single" w:sz="4" w:space="0" w:color="auto"/>
              <w:bottom w:val="single" w:sz="4" w:space="0" w:color="auto"/>
              <w:right w:val="single" w:sz="4" w:space="0" w:color="auto"/>
            </w:tcBorders>
            <w:vAlign w:val="center"/>
            <w:hideMark/>
          </w:tcPr>
          <w:p w14:paraId="2E13ACB7"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17</w:t>
            </w:r>
          </w:p>
        </w:tc>
        <w:tc>
          <w:tcPr>
            <w:tcW w:w="1710" w:type="dxa"/>
            <w:vMerge w:val="restart"/>
            <w:tcBorders>
              <w:top w:val="nil"/>
              <w:left w:val="single" w:sz="4" w:space="0" w:color="auto"/>
              <w:bottom w:val="single" w:sz="4" w:space="0" w:color="auto"/>
              <w:right w:val="single" w:sz="4" w:space="0" w:color="auto"/>
            </w:tcBorders>
            <w:vAlign w:val="center"/>
            <w:hideMark/>
          </w:tcPr>
          <w:p w14:paraId="43D5A94B"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8</w:t>
            </w:r>
          </w:p>
        </w:tc>
        <w:tc>
          <w:tcPr>
            <w:tcW w:w="1844" w:type="dxa"/>
            <w:vMerge w:val="restart"/>
            <w:tcBorders>
              <w:top w:val="nil"/>
              <w:left w:val="single" w:sz="4" w:space="0" w:color="auto"/>
              <w:bottom w:val="single" w:sz="4" w:space="0" w:color="auto"/>
              <w:right w:val="single" w:sz="4" w:space="0" w:color="auto"/>
            </w:tcBorders>
            <w:vAlign w:val="center"/>
            <w:hideMark/>
          </w:tcPr>
          <w:p w14:paraId="76CC80A7"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9</w:t>
            </w:r>
          </w:p>
        </w:tc>
        <w:tc>
          <w:tcPr>
            <w:tcW w:w="1062" w:type="dxa"/>
            <w:vMerge w:val="restart"/>
            <w:tcBorders>
              <w:top w:val="nil"/>
              <w:left w:val="single" w:sz="4" w:space="0" w:color="auto"/>
              <w:bottom w:val="single" w:sz="4" w:space="0" w:color="auto"/>
              <w:right w:val="single" w:sz="4" w:space="0" w:color="auto"/>
            </w:tcBorders>
            <w:vAlign w:val="center"/>
            <w:hideMark/>
          </w:tcPr>
          <w:p w14:paraId="1E7081C7"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17</w:t>
            </w:r>
          </w:p>
        </w:tc>
        <w:tc>
          <w:tcPr>
            <w:tcW w:w="2128" w:type="dxa"/>
            <w:vMerge w:val="restart"/>
            <w:tcBorders>
              <w:top w:val="nil"/>
              <w:left w:val="single" w:sz="4" w:space="0" w:color="auto"/>
              <w:bottom w:val="single" w:sz="4" w:space="0" w:color="auto"/>
              <w:right w:val="single" w:sz="4" w:space="0" w:color="auto"/>
            </w:tcBorders>
            <w:vAlign w:val="center"/>
            <w:hideMark/>
          </w:tcPr>
          <w:p w14:paraId="5D2F738D"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7F698C" w14:paraId="38D09314" w14:textId="77777777" w:rsidTr="00F42707">
        <w:trPr>
          <w:trHeight w:val="259"/>
        </w:trPr>
        <w:tc>
          <w:tcPr>
            <w:tcW w:w="3979" w:type="dxa"/>
            <w:tcBorders>
              <w:top w:val="nil"/>
              <w:left w:val="single" w:sz="4" w:space="0" w:color="auto"/>
              <w:bottom w:val="nil"/>
              <w:right w:val="single" w:sz="4" w:space="0" w:color="auto"/>
            </w:tcBorders>
            <w:vAlign w:val="center"/>
            <w:hideMark/>
          </w:tcPr>
          <w:p w14:paraId="449DB2AF"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3671" w:type="dxa"/>
            <w:vMerge/>
            <w:tcBorders>
              <w:top w:val="nil"/>
              <w:left w:val="nil"/>
              <w:bottom w:val="single" w:sz="4" w:space="0" w:color="auto"/>
              <w:right w:val="single" w:sz="4" w:space="0" w:color="auto"/>
            </w:tcBorders>
            <w:vAlign w:val="center"/>
            <w:hideMark/>
          </w:tcPr>
          <w:p w14:paraId="70DCAA91"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5C886DAB"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78E40FA9"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6039BEBA"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2256DAFC"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791BC139" w14:textId="77777777" w:rsidR="00106B33" w:rsidRDefault="00106B33" w:rsidP="00B6389B">
            <w:pPr>
              <w:rPr>
                <w:rFonts w:ascii="Montserrat" w:hAnsi="Montserrat"/>
                <w:color w:val="000000"/>
                <w:sz w:val="14"/>
                <w:szCs w:val="14"/>
              </w:rPr>
            </w:pPr>
          </w:p>
        </w:tc>
      </w:tr>
      <w:tr w:rsidR="007F698C" w14:paraId="0D0B792D" w14:textId="77777777" w:rsidTr="00F42707">
        <w:trPr>
          <w:trHeight w:val="259"/>
        </w:trPr>
        <w:tc>
          <w:tcPr>
            <w:tcW w:w="3979" w:type="dxa"/>
            <w:tcBorders>
              <w:top w:val="nil"/>
              <w:left w:val="single" w:sz="4" w:space="0" w:color="auto"/>
              <w:bottom w:val="nil"/>
              <w:right w:val="single" w:sz="4" w:space="0" w:color="auto"/>
            </w:tcBorders>
            <w:vAlign w:val="center"/>
            <w:hideMark/>
          </w:tcPr>
          <w:p w14:paraId="1FE0DCAD"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Affordable Housing Development Project</w:t>
            </w:r>
          </w:p>
        </w:tc>
        <w:tc>
          <w:tcPr>
            <w:tcW w:w="3671" w:type="dxa"/>
            <w:vMerge/>
            <w:tcBorders>
              <w:top w:val="nil"/>
              <w:left w:val="nil"/>
              <w:bottom w:val="single" w:sz="4" w:space="0" w:color="auto"/>
              <w:right w:val="single" w:sz="4" w:space="0" w:color="auto"/>
            </w:tcBorders>
            <w:vAlign w:val="center"/>
            <w:hideMark/>
          </w:tcPr>
          <w:p w14:paraId="107E928C"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62C8B317"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488B55F7"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246DD20E"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24201717"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7E228313" w14:textId="77777777" w:rsidR="00106B33" w:rsidRDefault="00106B33" w:rsidP="00B6389B">
            <w:pPr>
              <w:rPr>
                <w:rFonts w:ascii="Montserrat" w:hAnsi="Montserrat"/>
                <w:color w:val="000000"/>
                <w:sz w:val="14"/>
                <w:szCs w:val="14"/>
              </w:rPr>
            </w:pPr>
          </w:p>
        </w:tc>
      </w:tr>
      <w:tr w:rsidR="007F698C" w14:paraId="760AF8A7" w14:textId="77777777" w:rsidTr="00F42707">
        <w:trPr>
          <w:trHeight w:val="259"/>
        </w:trPr>
        <w:tc>
          <w:tcPr>
            <w:tcW w:w="3979" w:type="dxa"/>
            <w:tcBorders>
              <w:top w:val="nil"/>
              <w:left w:val="single" w:sz="4" w:space="0" w:color="auto"/>
              <w:bottom w:val="nil"/>
              <w:right w:val="single" w:sz="4" w:space="0" w:color="auto"/>
            </w:tcBorders>
            <w:vAlign w:val="center"/>
            <w:hideMark/>
          </w:tcPr>
          <w:p w14:paraId="404E6CAA"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WinVest</w:t>
            </w:r>
          </w:p>
        </w:tc>
        <w:tc>
          <w:tcPr>
            <w:tcW w:w="3671" w:type="dxa"/>
            <w:vMerge/>
            <w:tcBorders>
              <w:top w:val="nil"/>
              <w:left w:val="nil"/>
              <w:bottom w:val="single" w:sz="4" w:space="0" w:color="auto"/>
              <w:right w:val="single" w:sz="4" w:space="0" w:color="auto"/>
            </w:tcBorders>
            <w:vAlign w:val="center"/>
            <w:hideMark/>
          </w:tcPr>
          <w:p w14:paraId="1BAB7D64"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1CF631AF"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2BDCBD93"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4E617051"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0B1EAAF2"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3290BF63" w14:textId="77777777" w:rsidR="00106B33" w:rsidRDefault="00106B33" w:rsidP="00B6389B">
            <w:pPr>
              <w:rPr>
                <w:rFonts w:ascii="Montserrat" w:hAnsi="Montserrat"/>
                <w:color w:val="000000"/>
                <w:sz w:val="14"/>
                <w:szCs w:val="14"/>
              </w:rPr>
            </w:pPr>
          </w:p>
        </w:tc>
      </w:tr>
      <w:tr w:rsidR="007F698C" w14:paraId="261A5CE4" w14:textId="77777777" w:rsidTr="00F42707">
        <w:trPr>
          <w:trHeight w:val="259"/>
        </w:trPr>
        <w:tc>
          <w:tcPr>
            <w:tcW w:w="3979" w:type="dxa"/>
            <w:tcBorders>
              <w:top w:val="single" w:sz="4" w:space="0" w:color="auto"/>
              <w:left w:val="single" w:sz="4" w:space="0" w:color="auto"/>
              <w:bottom w:val="nil"/>
              <w:right w:val="single" w:sz="4" w:space="0" w:color="auto"/>
            </w:tcBorders>
            <w:vAlign w:val="center"/>
            <w:hideMark/>
          </w:tcPr>
          <w:p w14:paraId="73D912BA"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Payment System</w:t>
            </w:r>
          </w:p>
        </w:tc>
        <w:tc>
          <w:tcPr>
            <w:tcW w:w="3671" w:type="dxa"/>
            <w:vMerge w:val="restart"/>
            <w:tcBorders>
              <w:top w:val="nil"/>
              <w:left w:val="nil"/>
              <w:bottom w:val="single" w:sz="4" w:space="0" w:color="auto"/>
              <w:right w:val="single" w:sz="4" w:space="0" w:color="auto"/>
            </w:tcBorders>
            <w:vAlign w:val="center"/>
            <w:hideMark/>
          </w:tcPr>
          <w:p w14:paraId="69B058FD"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Number of recommended procedures/firm-level policies/practices/standards that were improved or eliminated</w:t>
            </w:r>
          </w:p>
        </w:tc>
        <w:tc>
          <w:tcPr>
            <w:tcW w:w="900" w:type="dxa"/>
            <w:vMerge w:val="restart"/>
            <w:tcBorders>
              <w:top w:val="nil"/>
              <w:left w:val="single" w:sz="4" w:space="0" w:color="auto"/>
              <w:bottom w:val="single" w:sz="4" w:space="0" w:color="auto"/>
              <w:right w:val="single" w:sz="4" w:space="0" w:color="auto"/>
            </w:tcBorders>
            <w:vAlign w:val="center"/>
            <w:hideMark/>
          </w:tcPr>
          <w:p w14:paraId="2D52BFA6"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26</w:t>
            </w:r>
          </w:p>
        </w:tc>
        <w:tc>
          <w:tcPr>
            <w:tcW w:w="1710" w:type="dxa"/>
            <w:vMerge w:val="restart"/>
            <w:tcBorders>
              <w:top w:val="nil"/>
              <w:left w:val="single" w:sz="4" w:space="0" w:color="auto"/>
              <w:bottom w:val="single" w:sz="4" w:space="0" w:color="auto"/>
              <w:right w:val="single" w:sz="4" w:space="0" w:color="auto"/>
            </w:tcBorders>
            <w:vAlign w:val="center"/>
            <w:hideMark/>
          </w:tcPr>
          <w:p w14:paraId="5A8EFFB2"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8</w:t>
            </w:r>
          </w:p>
        </w:tc>
        <w:tc>
          <w:tcPr>
            <w:tcW w:w="1844" w:type="dxa"/>
            <w:vMerge w:val="restart"/>
            <w:tcBorders>
              <w:top w:val="nil"/>
              <w:left w:val="single" w:sz="4" w:space="0" w:color="auto"/>
              <w:bottom w:val="single" w:sz="4" w:space="0" w:color="auto"/>
              <w:right w:val="single" w:sz="4" w:space="0" w:color="auto"/>
            </w:tcBorders>
            <w:vAlign w:val="center"/>
            <w:hideMark/>
          </w:tcPr>
          <w:p w14:paraId="3AF438F0"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8</w:t>
            </w:r>
          </w:p>
        </w:tc>
        <w:tc>
          <w:tcPr>
            <w:tcW w:w="1062" w:type="dxa"/>
            <w:vMerge w:val="restart"/>
            <w:tcBorders>
              <w:top w:val="nil"/>
              <w:left w:val="single" w:sz="4" w:space="0" w:color="auto"/>
              <w:bottom w:val="single" w:sz="4" w:space="0" w:color="auto"/>
              <w:right w:val="single" w:sz="4" w:space="0" w:color="auto"/>
            </w:tcBorders>
            <w:vAlign w:val="center"/>
            <w:hideMark/>
          </w:tcPr>
          <w:p w14:paraId="463930E5"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16*</w:t>
            </w:r>
          </w:p>
        </w:tc>
        <w:tc>
          <w:tcPr>
            <w:tcW w:w="2128" w:type="dxa"/>
            <w:vMerge w:val="restart"/>
            <w:tcBorders>
              <w:top w:val="nil"/>
              <w:left w:val="single" w:sz="4" w:space="0" w:color="auto"/>
              <w:bottom w:val="single" w:sz="4" w:space="0" w:color="auto"/>
              <w:right w:val="single" w:sz="4" w:space="0" w:color="auto"/>
            </w:tcBorders>
            <w:vAlign w:val="center"/>
            <w:hideMark/>
          </w:tcPr>
          <w:p w14:paraId="1B1595A3" w14:textId="77777777" w:rsidR="00106B33" w:rsidRDefault="00106B33" w:rsidP="00B6389B">
            <w:pPr>
              <w:jc w:val="right"/>
              <w:rPr>
                <w:rFonts w:ascii="Montserrat" w:hAnsi="Montserrat"/>
                <w:color w:val="000000"/>
                <w:sz w:val="14"/>
                <w:szCs w:val="14"/>
              </w:rPr>
            </w:pPr>
            <w:r>
              <w:rPr>
                <w:rFonts w:ascii="Montserrat" w:hAnsi="Montserrat"/>
                <w:color w:val="000000"/>
                <w:sz w:val="14"/>
                <w:szCs w:val="14"/>
                <w:lang w:val="en-AU"/>
              </w:rPr>
              <w:t>62</w:t>
            </w:r>
          </w:p>
        </w:tc>
      </w:tr>
      <w:tr w:rsidR="007F698C" w14:paraId="02BF34D2" w14:textId="77777777" w:rsidTr="00F42707">
        <w:trPr>
          <w:trHeight w:val="259"/>
        </w:trPr>
        <w:tc>
          <w:tcPr>
            <w:tcW w:w="3979" w:type="dxa"/>
            <w:tcBorders>
              <w:top w:val="nil"/>
              <w:left w:val="single" w:sz="4" w:space="0" w:color="auto"/>
              <w:bottom w:val="nil"/>
              <w:right w:val="single" w:sz="4" w:space="0" w:color="auto"/>
            </w:tcBorders>
            <w:vAlign w:val="center"/>
            <w:hideMark/>
          </w:tcPr>
          <w:p w14:paraId="361B85AA"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3671" w:type="dxa"/>
            <w:vMerge/>
            <w:tcBorders>
              <w:top w:val="nil"/>
              <w:left w:val="nil"/>
              <w:bottom w:val="single" w:sz="4" w:space="0" w:color="auto"/>
              <w:right w:val="single" w:sz="4" w:space="0" w:color="auto"/>
            </w:tcBorders>
            <w:vAlign w:val="center"/>
            <w:hideMark/>
          </w:tcPr>
          <w:p w14:paraId="58E38A39"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2C3A80C7"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5B6B247D"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3863B337"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63DF1CB8"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015DB396" w14:textId="77777777" w:rsidR="00106B33" w:rsidRDefault="00106B33" w:rsidP="00B6389B">
            <w:pPr>
              <w:rPr>
                <w:rFonts w:ascii="Montserrat" w:hAnsi="Montserrat"/>
                <w:color w:val="000000"/>
                <w:sz w:val="14"/>
                <w:szCs w:val="14"/>
              </w:rPr>
            </w:pPr>
          </w:p>
        </w:tc>
      </w:tr>
      <w:tr w:rsidR="007F698C" w14:paraId="669FFB94" w14:textId="77777777" w:rsidTr="00F42707">
        <w:trPr>
          <w:trHeight w:val="259"/>
        </w:trPr>
        <w:tc>
          <w:tcPr>
            <w:tcW w:w="3979" w:type="dxa"/>
            <w:tcBorders>
              <w:top w:val="nil"/>
              <w:left w:val="single" w:sz="4" w:space="0" w:color="auto"/>
              <w:bottom w:val="nil"/>
              <w:right w:val="single" w:sz="4" w:space="0" w:color="auto"/>
            </w:tcBorders>
            <w:vAlign w:val="center"/>
            <w:hideMark/>
          </w:tcPr>
          <w:p w14:paraId="08D3893A"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Fiji Affordable Housing Development Project</w:t>
            </w:r>
          </w:p>
        </w:tc>
        <w:tc>
          <w:tcPr>
            <w:tcW w:w="3671" w:type="dxa"/>
            <w:vMerge/>
            <w:tcBorders>
              <w:top w:val="nil"/>
              <w:left w:val="nil"/>
              <w:bottom w:val="single" w:sz="4" w:space="0" w:color="auto"/>
              <w:right w:val="single" w:sz="4" w:space="0" w:color="auto"/>
            </w:tcBorders>
            <w:vAlign w:val="center"/>
            <w:hideMark/>
          </w:tcPr>
          <w:p w14:paraId="36441C49"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6DFDE86B"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40CA5126"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2C97F772"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5CFCA5AE"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636CF92C" w14:textId="77777777" w:rsidR="00106B33" w:rsidRDefault="00106B33" w:rsidP="00B6389B">
            <w:pPr>
              <w:rPr>
                <w:rFonts w:ascii="Montserrat" w:hAnsi="Montserrat"/>
                <w:color w:val="000000"/>
                <w:sz w:val="14"/>
                <w:szCs w:val="14"/>
              </w:rPr>
            </w:pPr>
          </w:p>
        </w:tc>
      </w:tr>
      <w:tr w:rsidR="007F698C" w14:paraId="0FCB6674" w14:textId="77777777" w:rsidTr="00F42707">
        <w:trPr>
          <w:trHeight w:val="259"/>
        </w:trPr>
        <w:tc>
          <w:tcPr>
            <w:tcW w:w="3979" w:type="dxa"/>
            <w:tcBorders>
              <w:top w:val="nil"/>
              <w:left w:val="single" w:sz="4" w:space="0" w:color="auto"/>
              <w:bottom w:val="nil"/>
              <w:right w:val="single" w:sz="4" w:space="0" w:color="auto"/>
            </w:tcBorders>
            <w:vAlign w:val="center"/>
            <w:hideMark/>
          </w:tcPr>
          <w:p w14:paraId="791D5DE2"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 xml:space="preserve">Fiji Sustainable Tourism Project </w:t>
            </w:r>
          </w:p>
        </w:tc>
        <w:tc>
          <w:tcPr>
            <w:tcW w:w="3671" w:type="dxa"/>
            <w:vMerge/>
            <w:tcBorders>
              <w:top w:val="nil"/>
              <w:left w:val="nil"/>
              <w:bottom w:val="single" w:sz="4" w:space="0" w:color="auto"/>
              <w:right w:val="single" w:sz="4" w:space="0" w:color="auto"/>
            </w:tcBorders>
            <w:vAlign w:val="center"/>
            <w:hideMark/>
          </w:tcPr>
          <w:p w14:paraId="76A7AF2B"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19F7FF6E"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5A0EEDB6"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09C2354A"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A830702"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0FB0E199" w14:textId="77777777" w:rsidR="00106B33" w:rsidRDefault="00106B33" w:rsidP="00B6389B">
            <w:pPr>
              <w:rPr>
                <w:rFonts w:ascii="Montserrat" w:hAnsi="Montserrat"/>
                <w:color w:val="000000"/>
                <w:sz w:val="14"/>
                <w:szCs w:val="14"/>
              </w:rPr>
            </w:pPr>
          </w:p>
        </w:tc>
      </w:tr>
      <w:tr w:rsidR="007F698C" w14:paraId="26F5BB6B" w14:textId="77777777" w:rsidTr="00F42707">
        <w:trPr>
          <w:trHeight w:val="259"/>
        </w:trPr>
        <w:tc>
          <w:tcPr>
            <w:tcW w:w="3979" w:type="dxa"/>
            <w:tcBorders>
              <w:top w:val="nil"/>
              <w:left w:val="single" w:sz="4" w:space="0" w:color="auto"/>
              <w:bottom w:val="single" w:sz="4" w:space="0" w:color="auto"/>
              <w:right w:val="single" w:sz="4" w:space="0" w:color="auto"/>
            </w:tcBorders>
            <w:vAlign w:val="center"/>
            <w:hideMark/>
          </w:tcPr>
          <w:p w14:paraId="3261E09B" w14:textId="77777777" w:rsidR="00106B33" w:rsidRDefault="00106B33" w:rsidP="00B6389B">
            <w:pPr>
              <w:rPr>
                <w:rFonts w:ascii="Montserrat" w:hAnsi="Montserrat"/>
                <w:color w:val="000000"/>
                <w:sz w:val="14"/>
                <w:szCs w:val="14"/>
              </w:rPr>
            </w:pPr>
            <w:r>
              <w:rPr>
                <w:rFonts w:ascii="Montserrat" w:hAnsi="Montserrat"/>
                <w:color w:val="000000"/>
                <w:sz w:val="14"/>
                <w:szCs w:val="14"/>
                <w:lang w:val="en-AU"/>
              </w:rPr>
              <w:t xml:space="preserve">Fiji Green Finance </w:t>
            </w:r>
          </w:p>
        </w:tc>
        <w:tc>
          <w:tcPr>
            <w:tcW w:w="3671" w:type="dxa"/>
            <w:vMerge/>
            <w:tcBorders>
              <w:top w:val="nil"/>
              <w:left w:val="nil"/>
              <w:bottom w:val="single" w:sz="4" w:space="0" w:color="auto"/>
              <w:right w:val="single" w:sz="4" w:space="0" w:color="auto"/>
            </w:tcBorders>
            <w:vAlign w:val="center"/>
            <w:hideMark/>
          </w:tcPr>
          <w:p w14:paraId="6FF25B45" w14:textId="77777777" w:rsidR="00106B33" w:rsidRDefault="00106B33" w:rsidP="00B6389B">
            <w:pPr>
              <w:rPr>
                <w:rFonts w:ascii="Montserrat" w:hAnsi="Montserrat"/>
                <w:color w:val="000000"/>
                <w:sz w:val="14"/>
                <w:szCs w:val="14"/>
              </w:rPr>
            </w:pPr>
          </w:p>
        </w:tc>
        <w:tc>
          <w:tcPr>
            <w:tcW w:w="900" w:type="dxa"/>
            <w:vMerge/>
            <w:tcBorders>
              <w:top w:val="nil"/>
              <w:left w:val="single" w:sz="4" w:space="0" w:color="auto"/>
              <w:bottom w:val="single" w:sz="4" w:space="0" w:color="auto"/>
              <w:right w:val="single" w:sz="4" w:space="0" w:color="auto"/>
            </w:tcBorders>
            <w:vAlign w:val="center"/>
            <w:hideMark/>
          </w:tcPr>
          <w:p w14:paraId="3FA4526A" w14:textId="77777777" w:rsidR="00106B33" w:rsidRDefault="00106B33" w:rsidP="00B6389B">
            <w:pPr>
              <w:rPr>
                <w:rFonts w:ascii="Montserrat" w:hAnsi="Montserrat"/>
                <w:color w:val="000000"/>
                <w:sz w:val="14"/>
                <w:szCs w:val="14"/>
              </w:rPr>
            </w:pPr>
          </w:p>
        </w:tc>
        <w:tc>
          <w:tcPr>
            <w:tcW w:w="1710" w:type="dxa"/>
            <w:vMerge/>
            <w:tcBorders>
              <w:top w:val="nil"/>
              <w:left w:val="single" w:sz="4" w:space="0" w:color="auto"/>
              <w:bottom w:val="single" w:sz="4" w:space="0" w:color="auto"/>
              <w:right w:val="single" w:sz="4" w:space="0" w:color="auto"/>
            </w:tcBorders>
            <w:vAlign w:val="center"/>
            <w:hideMark/>
          </w:tcPr>
          <w:p w14:paraId="1DFA7929" w14:textId="77777777" w:rsidR="00106B33" w:rsidRDefault="00106B33" w:rsidP="00B6389B">
            <w:pPr>
              <w:rPr>
                <w:rFonts w:ascii="Montserrat" w:hAnsi="Montserrat"/>
                <w:color w:val="000000"/>
                <w:sz w:val="14"/>
                <w:szCs w:val="14"/>
              </w:rPr>
            </w:pPr>
          </w:p>
        </w:tc>
        <w:tc>
          <w:tcPr>
            <w:tcW w:w="1844" w:type="dxa"/>
            <w:vMerge/>
            <w:tcBorders>
              <w:top w:val="nil"/>
              <w:left w:val="single" w:sz="4" w:space="0" w:color="auto"/>
              <w:bottom w:val="single" w:sz="4" w:space="0" w:color="auto"/>
              <w:right w:val="single" w:sz="4" w:space="0" w:color="auto"/>
            </w:tcBorders>
            <w:vAlign w:val="center"/>
            <w:hideMark/>
          </w:tcPr>
          <w:p w14:paraId="2D06ECC4" w14:textId="77777777" w:rsidR="00106B33" w:rsidRDefault="00106B33" w:rsidP="00B6389B">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DB5F0FE" w14:textId="77777777" w:rsidR="00106B33" w:rsidRDefault="00106B33" w:rsidP="00B6389B">
            <w:pPr>
              <w:rPr>
                <w:rFonts w:ascii="Montserrat" w:hAnsi="Montserrat"/>
                <w:color w:val="000000"/>
                <w:sz w:val="14"/>
                <w:szCs w:val="14"/>
              </w:rPr>
            </w:pPr>
          </w:p>
        </w:tc>
        <w:tc>
          <w:tcPr>
            <w:tcW w:w="2128" w:type="dxa"/>
            <w:vMerge/>
            <w:tcBorders>
              <w:top w:val="nil"/>
              <w:left w:val="single" w:sz="4" w:space="0" w:color="auto"/>
              <w:bottom w:val="single" w:sz="4" w:space="0" w:color="auto"/>
              <w:right w:val="single" w:sz="4" w:space="0" w:color="auto"/>
            </w:tcBorders>
            <w:vAlign w:val="center"/>
            <w:hideMark/>
          </w:tcPr>
          <w:p w14:paraId="47EB3FA7" w14:textId="77777777" w:rsidR="00106B33" w:rsidRDefault="00106B33" w:rsidP="00B6389B">
            <w:pPr>
              <w:rPr>
                <w:rFonts w:ascii="Montserrat" w:hAnsi="Montserrat"/>
                <w:color w:val="000000"/>
                <w:sz w:val="14"/>
                <w:szCs w:val="14"/>
              </w:rPr>
            </w:pPr>
          </w:p>
        </w:tc>
      </w:tr>
    </w:tbl>
    <w:p w14:paraId="610190C8" w14:textId="77777777" w:rsidR="00106B33" w:rsidRDefault="00106B33" w:rsidP="00552BF9">
      <w:pPr>
        <w:suppressAutoHyphens/>
        <w:autoSpaceDE w:val="0"/>
        <w:autoSpaceDN w:val="0"/>
        <w:adjustRightInd w:val="0"/>
        <w:spacing w:line="288" w:lineRule="auto"/>
        <w:textAlignment w:val="center"/>
        <w:rPr>
          <w:rFonts w:ascii="Montserrat SemiBold" w:hAnsi="Montserrat SemiBold" w:cs="Montserrat SemiBold"/>
          <w:b/>
          <w:bCs/>
          <w:caps/>
          <w:color w:val="1C4257"/>
          <w:spacing w:val="19"/>
          <w:vertAlign w:val="superscript"/>
          <w:lang w:val="en-AU"/>
        </w:rPr>
      </w:pPr>
    </w:p>
    <w:p w14:paraId="5B264BB4" w14:textId="275E2015" w:rsidR="002C7B29" w:rsidRDefault="002C7B29" w:rsidP="00552BF9">
      <w:pPr>
        <w:suppressAutoHyphens/>
        <w:autoSpaceDE w:val="0"/>
        <w:autoSpaceDN w:val="0"/>
        <w:adjustRightInd w:val="0"/>
        <w:spacing w:line="288" w:lineRule="auto"/>
        <w:textAlignment w:val="center"/>
        <w:rPr>
          <w:rFonts w:ascii="Montserrat SemiBold" w:hAnsi="Montserrat SemiBold" w:cs="Montserrat SemiBold"/>
          <w:b/>
          <w:bCs/>
          <w:caps/>
          <w:color w:val="1C4257"/>
          <w:spacing w:val="19"/>
          <w:vertAlign w:val="superscript"/>
          <w:lang w:val="en-AU"/>
        </w:rPr>
      </w:pPr>
      <w:r>
        <w:rPr>
          <w:rFonts w:ascii="Montserrat SemiBold" w:hAnsi="Montserrat SemiBold" w:cs="Montserrat SemiBold"/>
          <w:b/>
          <w:bCs/>
          <w:caps/>
          <w:color w:val="1C4257"/>
          <w:spacing w:val="19"/>
          <w:vertAlign w:val="superscript"/>
          <w:lang w:val="en-AU"/>
        </w:rPr>
        <w:t xml:space="preserve">Partnership Pillar 2: </w:t>
      </w:r>
      <w:r w:rsidRPr="002C7B29">
        <w:rPr>
          <w:rFonts w:ascii="Montserrat SemiBold" w:hAnsi="Montserrat SemiBold" w:cs="Montserrat SemiBold"/>
          <w:b/>
          <w:bCs/>
          <w:caps/>
          <w:color w:val="1C4257"/>
          <w:spacing w:val="19"/>
          <w:vertAlign w:val="superscript"/>
          <w:lang w:val="en-AU"/>
        </w:rPr>
        <w:t>Accelerating inclusive and climate-smart private investment in key growth areas</w:t>
      </w:r>
    </w:p>
    <w:p w14:paraId="56A8DE1F" w14:textId="581BF950" w:rsidR="00106B33" w:rsidRDefault="002C7B29" w:rsidP="00552BF9">
      <w:pPr>
        <w:suppressAutoHyphens/>
        <w:autoSpaceDE w:val="0"/>
        <w:autoSpaceDN w:val="0"/>
        <w:adjustRightInd w:val="0"/>
        <w:spacing w:line="288" w:lineRule="auto"/>
        <w:textAlignment w:val="center"/>
        <w:rPr>
          <w:rFonts w:ascii="Montserrat SemiBold" w:hAnsi="Montserrat SemiBold"/>
          <w:color w:val="000000"/>
          <w:sz w:val="14"/>
          <w:szCs w:val="14"/>
          <w:lang w:val="en-AU"/>
        </w:rPr>
      </w:pPr>
      <w:r>
        <w:rPr>
          <w:rFonts w:ascii="Montserrat" w:hAnsi="Montserrat"/>
          <w:b/>
          <w:bCs/>
          <w:color w:val="000000"/>
          <w:sz w:val="14"/>
          <w:szCs w:val="14"/>
          <w:lang w:val="en-AU"/>
        </w:rPr>
        <w:t xml:space="preserve">Portfolio projects with expected qualitative contributions to Partnership Pillar </w:t>
      </w:r>
      <w:r>
        <w:rPr>
          <w:rFonts w:ascii="Montserrat Medium" w:hAnsi="Montserrat Medium"/>
          <w:i/>
          <w:iCs/>
          <w:color w:val="000000"/>
          <w:sz w:val="14"/>
          <w:szCs w:val="14"/>
          <w:lang w:val="en-AU"/>
        </w:rPr>
        <w:t>(as per donor application, reported against evaluative questions</w:t>
      </w:r>
      <w:r w:rsidR="00094A2F">
        <w:rPr>
          <w:rFonts w:ascii="Montserrat Medium" w:hAnsi="Montserrat Medium"/>
          <w:i/>
          <w:iCs/>
          <w:color w:val="000000"/>
          <w:sz w:val="14"/>
          <w:szCs w:val="14"/>
          <w:lang w:val="en-AU"/>
        </w:rPr>
        <w:t>):</w:t>
      </w:r>
      <w:r w:rsidRPr="002C7B29">
        <w:rPr>
          <w:rFonts w:ascii="Montserrat SemiBold" w:hAnsi="Montserrat SemiBold"/>
          <w:color w:val="000000"/>
          <w:sz w:val="14"/>
          <w:szCs w:val="14"/>
          <w:lang w:val="en-AU"/>
        </w:rPr>
        <w:t xml:space="preserve"> Fiji Health PPP Post Transaction Advisory Support</w:t>
      </w:r>
      <w:r>
        <w:rPr>
          <w:rFonts w:ascii="Montserrat SemiBold" w:hAnsi="Montserrat SemiBold"/>
          <w:color w:val="000000"/>
          <w:sz w:val="14"/>
          <w:szCs w:val="14"/>
          <w:lang w:val="en-AU"/>
        </w:rPr>
        <w:t>,</w:t>
      </w:r>
      <w:r w:rsidRPr="002C7B29">
        <w:rPr>
          <w:rFonts w:ascii="Montserrat SemiBold" w:hAnsi="Montserrat SemiBold"/>
          <w:color w:val="000000"/>
          <w:sz w:val="14"/>
          <w:szCs w:val="14"/>
          <w:lang w:val="en-AU"/>
        </w:rPr>
        <w:t xml:space="preserve"> Fiji Sustainable Tourism Project</w:t>
      </w:r>
      <w:r>
        <w:rPr>
          <w:rFonts w:ascii="Montserrat SemiBold" w:hAnsi="Montserrat SemiBold"/>
          <w:color w:val="000000"/>
          <w:sz w:val="14"/>
          <w:szCs w:val="14"/>
          <w:lang w:val="en-AU"/>
        </w:rPr>
        <w:t>,</w:t>
      </w:r>
      <w:r w:rsidRPr="002C7B29">
        <w:rPr>
          <w:rFonts w:ascii="Montserrat SemiBold" w:hAnsi="Montserrat SemiBold"/>
          <w:color w:val="000000"/>
          <w:sz w:val="14"/>
          <w:szCs w:val="14"/>
          <w:lang w:val="en-AU"/>
        </w:rPr>
        <w:t xml:space="preserve"> Advance2Equal</w:t>
      </w:r>
      <w:r>
        <w:rPr>
          <w:rFonts w:ascii="Montserrat SemiBold" w:hAnsi="Montserrat SemiBold"/>
          <w:color w:val="000000"/>
          <w:sz w:val="14"/>
          <w:szCs w:val="14"/>
          <w:lang w:val="en-AU"/>
        </w:rPr>
        <w:t>,</w:t>
      </w:r>
      <w:r w:rsidRPr="002C7B29">
        <w:rPr>
          <w:rFonts w:ascii="Montserrat SemiBold" w:hAnsi="Montserrat SemiBold"/>
          <w:color w:val="000000"/>
          <w:sz w:val="14"/>
          <w:szCs w:val="14"/>
          <w:lang w:val="en-AU"/>
        </w:rPr>
        <w:t xml:space="preserve"> Pacific Integrated ESG</w:t>
      </w:r>
      <w:r>
        <w:rPr>
          <w:rFonts w:ascii="Montserrat SemiBold" w:hAnsi="Montserrat SemiBold"/>
          <w:color w:val="000000"/>
          <w:sz w:val="14"/>
          <w:szCs w:val="14"/>
          <w:lang w:val="en-AU"/>
        </w:rPr>
        <w:t>,</w:t>
      </w:r>
      <w:r w:rsidRPr="002C7B29">
        <w:rPr>
          <w:rFonts w:ascii="Montserrat SemiBold" w:hAnsi="Montserrat SemiBold"/>
          <w:color w:val="000000"/>
          <w:sz w:val="14"/>
          <w:szCs w:val="14"/>
          <w:lang w:val="en-AU"/>
        </w:rPr>
        <w:t xml:space="preserve"> Fiji Housing Development Project</w:t>
      </w:r>
      <w:r>
        <w:rPr>
          <w:rFonts w:ascii="Montserrat SemiBold" w:hAnsi="Montserrat SemiBold"/>
          <w:color w:val="000000"/>
          <w:sz w:val="14"/>
          <w:szCs w:val="14"/>
          <w:lang w:val="en-AU"/>
        </w:rPr>
        <w:t>,</w:t>
      </w:r>
      <w:r w:rsidRPr="002C7B29">
        <w:rPr>
          <w:rFonts w:ascii="Montserrat SemiBold" w:hAnsi="Montserrat SemiBold"/>
          <w:color w:val="000000"/>
          <w:sz w:val="14"/>
          <w:szCs w:val="14"/>
          <w:lang w:val="en-AU"/>
        </w:rPr>
        <w:t xml:space="preserve"> Fiji Affordable Housing PPP</w:t>
      </w:r>
      <w:r w:rsidR="00106B33">
        <w:rPr>
          <w:rFonts w:ascii="Montserrat SemiBold" w:hAnsi="Montserrat SemiBold"/>
          <w:color w:val="000000"/>
          <w:sz w:val="14"/>
          <w:szCs w:val="14"/>
          <w:lang w:val="en-AU"/>
        </w:rPr>
        <w:t>,</w:t>
      </w:r>
      <w:r w:rsidR="00106B33" w:rsidRPr="00106B33">
        <w:rPr>
          <w:rFonts w:ascii="Montserrat SemiBold" w:hAnsi="Montserrat SemiBold"/>
          <w:color w:val="000000"/>
          <w:sz w:val="14"/>
          <w:szCs w:val="14"/>
          <w:lang w:val="en-AU"/>
        </w:rPr>
        <w:t xml:space="preserve"> </w:t>
      </w:r>
      <w:r w:rsidR="00106B33" w:rsidRPr="002C7B29">
        <w:rPr>
          <w:rFonts w:ascii="Montserrat SemiBold" w:hAnsi="Montserrat SemiBold"/>
          <w:color w:val="000000"/>
          <w:sz w:val="14"/>
          <w:szCs w:val="14"/>
          <w:lang w:val="en-AU"/>
        </w:rPr>
        <w:t>Fiji Investment Competitiveness</w:t>
      </w:r>
      <w:r w:rsidR="00106B33">
        <w:rPr>
          <w:rFonts w:ascii="Montserrat SemiBold" w:hAnsi="Montserrat SemiBold"/>
          <w:color w:val="000000"/>
          <w:sz w:val="14"/>
          <w:szCs w:val="14"/>
          <w:lang w:val="en-AU"/>
        </w:rPr>
        <w:t>,</w:t>
      </w:r>
      <w:r w:rsidR="00106B33" w:rsidRPr="00106B33">
        <w:rPr>
          <w:rFonts w:ascii="Montserrat SemiBold" w:hAnsi="Montserrat SemiBold"/>
          <w:color w:val="000000"/>
          <w:sz w:val="14"/>
          <w:szCs w:val="14"/>
          <w:lang w:val="en-AU"/>
        </w:rPr>
        <w:t xml:space="preserve"> </w:t>
      </w:r>
      <w:r w:rsidR="00106B33" w:rsidRPr="002C7B29">
        <w:rPr>
          <w:rFonts w:ascii="Montserrat SemiBold" w:hAnsi="Montserrat SemiBold"/>
          <w:color w:val="000000"/>
          <w:sz w:val="14"/>
          <w:szCs w:val="14"/>
          <w:lang w:val="en-AU"/>
        </w:rPr>
        <w:t>Fiji Enabling Investment Environment</w:t>
      </w:r>
      <w:r w:rsidR="00106B33">
        <w:rPr>
          <w:rFonts w:ascii="Montserrat SemiBold" w:hAnsi="Montserrat SemiBold"/>
          <w:color w:val="000000"/>
          <w:sz w:val="14"/>
          <w:szCs w:val="14"/>
          <w:lang w:val="en-AU"/>
        </w:rPr>
        <w:t xml:space="preserve"> and</w:t>
      </w:r>
      <w:r w:rsidR="00106B33" w:rsidRPr="00106B33">
        <w:rPr>
          <w:rFonts w:ascii="Montserrat SemiBold" w:hAnsi="Montserrat SemiBold"/>
          <w:color w:val="000000"/>
          <w:sz w:val="14"/>
          <w:szCs w:val="14"/>
          <w:lang w:val="en-AU"/>
        </w:rPr>
        <w:t xml:space="preserve"> </w:t>
      </w:r>
      <w:r w:rsidR="00106B33" w:rsidRPr="002C7B29">
        <w:rPr>
          <w:rFonts w:ascii="Montserrat SemiBold" w:hAnsi="Montserrat SemiBold"/>
          <w:color w:val="000000"/>
          <w:sz w:val="14"/>
          <w:szCs w:val="14"/>
          <w:lang w:val="en-AU"/>
        </w:rPr>
        <w:t>Fiji Sustainable Tourism and Investment</w:t>
      </w:r>
    </w:p>
    <w:p w14:paraId="422F42FB" w14:textId="77777777" w:rsidR="00094A2F" w:rsidRPr="00094A2F" w:rsidRDefault="00094A2F" w:rsidP="00552BF9">
      <w:pPr>
        <w:suppressAutoHyphens/>
        <w:autoSpaceDE w:val="0"/>
        <w:autoSpaceDN w:val="0"/>
        <w:adjustRightInd w:val="0"/>
        <w:spacing w:line="288" w:lineRule="auto"/>
        <w:textAlignment w:val="center"/>
        <w:rPr>
          <w:rFonts w:ascii="Montserrat SemiBold" w:hAnsi="Montserrat SemiBold"/>
          <w:color w:val="000000"/>
          <w:sz w:val="14"/>
          <w:szCs w:val="14"/>
          <w:lang w:val="en-AU"/>
        </w:rPr>
      </w:pPr>
    </w:p>
    <w:tbl>
      <w:tblPr>
        <w:tblW w:w="15296" w:type="dxa"/>
        <w:tblInd w:w="-5" w:type="dxa"/>
        <w:tblLook w:val="04A0" w:firstRow="1" w:lastRow="0" w:firstColumn="1" w:lastColumn="0" w:noHBand="0" w:noVBand="1"/>
      </w:tblPr>
      <w:tblGrid>
        <w:gridCol w:w="3936"/>
        <w:gridCol w:w="3624"/>
        <w:gridCol w:w="1080"/>
        <w:gridCol w:w="1620"/>
        <w:gridCol w:w="1959"/>
        <w:gridCol w:w="1062"/>
        <w:gridCol w:w="2015"/>
      </w:tblGrid>
      <w:tr w:rsidR="007F698C" w14:paraId="566466C0" w14:textId="77777777" w:rsidTr="00F42707">
        <w:trPr>
          <w:trHeight w:val="530"/>
          <w:tblHeader/>
        </w:trPr>
        <w:tc>
          <w:tcPr>
            <w:tcW w:w="3936" w:type="dxa"/>
            <w:tcBorders>
              <w:top w:val="single" w:sz="4" w:space="0" w:color="auto"/>
              <w:left w:val="single" w:sz="4" w:space="0" w:color="auto"/>
              <w:bottom w:val="single" w:sz="4" w:space="0" w:color="auto"/>
              <w:right w:val="single" w:sz="8" w:space="0" w:color="FFFFFF"/>
            </w:tcBorders>
            <w:shd w:val="clear" w:color="auto" w:fill="C1E4F5" w:themeFill="accent1" w:themeFillTint="33"/>
            <w:vAlign w:val="center"/>
            <w:hideMark/>
          </w:tcPr>
          <w:p w14:paraId="21558E50" w14:textId="61E3182A" w:rsidR="00106B33" w:rsidRDefault="00106B33">
            <w:pPr>
              <w:rPr>
                <w:rFonts w:ascii="Montserrat" w:hAnsi="Montserrat"/>
                <w:b/>
                <w:bCs/>
                <w:color w:val="000000"/>
                <w:sz w:val="14"/>
                <w:szCs w:val="14"/>
              </w:rPr>
            </w:pPr>
            <w:bookmarkStart w:id="73" w:name="_Hlk221277249"/>
            <w:r>
              <w:rPr>
                <w:rFonts w:ascii="Montserrat" w:hAnsi="Montserrat"/>
                <w:b/>
                <w:bCs/>
                <w:color w:val="000000"/>
                <w:sz w:val="14"/>
                <w:szCs w:val="14"/>
                <w:lang w:val="en-AU"/>
              </w:rPr>
              <w:t xml:space="preserve">Portfolio projects with expected quantitative contributions to Partnership Pillar </w:t>
            </w:r>
            <w:r>
              <w:rPr>
                <w:rFonts w:ascii="Montserrat Medium" w:hAnsi="Montserrat Medium"/>
                <w:i/>
                <w:iCs/>
                <w:color w:val="000000"/>
                <w:sz w:val="14"/>
                <w:szCs w:val="14"/>
                <w:lang w:val="en-AU"/>
              </w:rPr>
              <w:t xml:space="preserve">(as per development outcome indicators at </w:t>
            </w:r>
            <w:r w:rsidR="00094A2F">
              <w:rPr>
                <w:rFonts w:ascii="Montserrat Medium" w:hAnsi="Montserrat Medium"/>
                <w:i/>
                <w:iCs/>
                <w:color w:val="000000"/>
                <w:sz w:val="14"/>
                <w:szCs w:val="14"/>
                <w:lang w:val="en-AU"/>
              </w:rPr>
              <w:t>end June</w:t>
            </w:r>
            <w:r>
              <w:rPr>
                <w:rFonts w:ascii="Montserrat Medium" w:hAnsi="Montserrat Medium"/>
                <w:i/>
                <w:iCs/>
                <w:color w:val="000000"/>
                <w:sz w:val="14"/>
                <w:szCs w:val="14"/>
                <w:lang w:val="en-AU"/>
              </w:rPr>
              <w:t>2024)</w:t>
            </w:r>
          </w:p>
        </w:tc>
        <w:tc>
          <w:tcPr>
            <w:tcW w:w="3624"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6A4153A6" w14:textId="58DE6000" w:rsidR="00106B33" w:rsidRDefault="00106B33" w:rsidP="007F698C">
            <w:pPr>
              <w:jc w:val="center"/>
              <w:rPr>
                <w:rFonts w:ascii="Montserrat" w:hAnsi="Montserrat"/>
                <w:b/>
                <w:bCs/>
                <w:color w:val="000000"/>
                <w:sz w:val="14"/>
                <w:szCs w:val="14"/>
              </w:rPr>
            </w:pPr>
            <w:r>
              <w:rPr>
                <w:rFonts w:ascii="Montserrat" w:hAnsi="Montserrat"/>
                <w:b/>
                <w:bCs/>
                <w:color w:val="000000"/>
                <w:sz w:val="14"/>
                <w:szCs w:val="14"/>
                <w:lang w:val="en-AU"/>
              </w:rPr>
              <w:t>Development</w:t>
            </w:r>
            <w:r w:rsidR="00094A2F">
              <w:rPr>
                <w:rFonts w:ascii="Montserrat" w:hAnsi="Montserrat"/>
                <w:b/>
                <w:bCs/>
                <w:color w:val="000000"/>
                <w:sz w:val="14"/>
                <w:szCs w:val="14"/>
              </w:rPr>
              <w:t xml:space="preserve"> outcome indicators</w:t>
            </w:r>
          </w:p>
        </w:tc>
        <w:tc>
          <w:tcPr>
            <w:tcW w:w="108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6732F72C" w14:textId="77777777" w:rsidR="00106B33" w:rsidRDefault="00106B33">
            <w:pPr>
              <w:jc w:val="right"/>
              <w:rPr>
                <w:rFonts w:ascii="Montserrat" w:hAnsi="Montserrat"/>
                <w:b/>
                <w:bCs/>
                <w:color w:val="000000"/>
                <w:sz w:val="14"/>
                <w:szCs w:val="14"/>
              </w:rPr>
            </w:pPr>
            <w:r>
              <w:rPr>
                <w:rFonts w:ascii="Montserrat" w:hAnsi="Montserrat"/>
                <w:b/>
                <w:bCs/>
                <w:color w:val="000000"/>
                <w:sz w:val="14"/>
                <w:szCs w:val="14"/>
                <w:lang w:val="en-AU"/>
              </w:rPr>
              <w:t xml:space="preserve">Cumulative targets </w:t>
            </w:r>
          </w:p>
        </w:tc>
        <w:tc>
          <w:tcPr>
            <w:tcW w:w="162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29413418" w14:textId="77777777" w:rsidR="00106B33" w:rsidRDefault="00106B33">
            <w:pPr>
              <w:jc w:val="right"/>
              <w:rPr>
                <w:rFonts w:ascii="Montserrat" w:hAnsi="Montserrat"/>
                <w:b/>
                <w:bCs/>
                <w:color w:val="000000"/>
                <w:sz w:val="14"/>
                <w:szCs w:val="14"/>
              </w:rPr>
            </w:pPr>
            <w:r>
              <w:rPr>
                <w:rFonts w:ascii="Montserrat" w:hAnsi="Montserrat"/>
                <w:b/>
                <w:bCs/>
                <w:color w:val="000000"/>
                <w:sz w:val="14"/>
                <w:szCs w:val="14"/>
                <w:lang w:val="en-AU"/>
              </w:rPr>
              <w:t>FPSDP Results achieved prior to Jan 2022</w:t>
            </w:r>
          </w:p>
        </w:tc>
        <w:tc>
          <w:tcPr>
            <w:tcW w:w="1959" w:type="dxa"/>
            <w:tcBorders>
              <w:top w:val="single" w:sz="4" w:space="0" w:color="auto"/>
              <w:left w:val="nil"/>
              <w:bottom w:val="single" w:sz="4" w:space="0" w:color="auto"/>
              <w:right w:val="single" w:sz="8" w:space="0" w:color="FFFFFF"/>
            </w:tcBorders>
            <w:shd w:val="clear" w:color="auto" w:fill="C1E4F5" w:themeFill="accent1" w:themeFillTint="33"/>
            <w:vAlign w:val="bottom"/>
            <w:hideMark/>
          </w:tcPr>
          <w:p w14:paraId="45783FC8" w14:textId="31FC4E12" w:rsidR="00106B33" w:rsidRDefault="00106B33">
            <w:pPr>
              <w:jc w:val="right"/>
              <w:rPr>
                <w:rFonts w:ascii="Montserrat" w:hAnsi="Montserrat"/>
                <w:b/>
                <w:bCs/>
                <w:color w:val="000000"/>
                <w:sz w:val="14"/>
                <w:szCs w:val="14"/>
              </w:rPr>
            </w:pPr>
            <w:r>
              <w:rPr>
                <w:rFonts w:ascii="Montserrat" w:hAnsi="Montserrat"/>
                <w:b/>
                <w:bCs/>
                <w:color w:val="000000"/>
                <w:sz w:val="14"/>
                <w:szCs w:val="14"/>
                <w:lang w:val="en-AU"/>
              </w:rPr>
              <w:t>FPSDP results achieved</w:t>
            </w:r>
            <w:r w:rsidR="00094A2F">
              <w:rPr>
                <w:rFonts w:ascii="Montserrat" w:hAnsi="Montserrat"/>
                <w:b/>
                <w:bCs/>
                <w:color w:val="000000"/>
                <w:sz w:val="14"/>
                <w:szCs w:val="14"/>
                <w:lang w:val="en-AU"/>
              </w:rPr>
              <w:t xml:space="preserve"> </w:t>
            </w:r>
            <w:r w:rsidR="00094A2F">
              <w:rPr>
                <w:rFonts w:ascii="Montserrat" w:hAnsi="Montserrat"/>
                <w:b/>
                <w:bCs/>
                <w:color w:val="000000"/>
                <w:sz w:val="14"/>
                <w:szCs w:val="14"/>
              </w:rPr>
              <w:t>Jan 2022 - Dec 2024</w:t>
            </w:r>
            <w:r>
              <w:rPr>
                <w:rFonts w:ascii="Montserrat" w:hAnsi="Montserrat"/>
                <w:b/>
                <w:bCs/>
                <w:color w:val="000000"/>
                <w:sz w:val="14"/>
                <w:szCs w:val="14"/>
                <w:lang w:val="en-AU"/>
              </w:rPr>
              <w:t xml:space="preserve">  </w:t>
            </w:r>
          </w:p>
        </w:tc>
        <w:tc>
          <w:tcPr>
            <w:tcW w:w="1062"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3133A4F0" w14:textId="77777777" w:rsidR="00106B33" w:rsidRDefault="00106B33">
            <w:pPr>
              <w:jc w:val="right"/>
              <w:rPr>
                <w:rFonts w:ascii="Montserrat" w:hAnsi="Montserrat"/>
                <w:b/>
                <w:bCs/>
                <w:color w:val="000000"/>
                <w:sz w:val="14"/>
                <w:szCs w:val="14"/>
              </w:rPr>
            </w:pPr>
            <w:r>
              <w:rPr>
                <w:rFonts w:ascii="Montserrat" w:hAnsi="Montserrat"/>
                <w:b/>
                <w:bCs/>
                <w:color w:val="000000"/>
                <w:sz w:val="14"/>
                <w:szCs w:val="14"/>
                <w:lang w:val="en-AU"/>
              </w:rPr>
              <w:t xml:space="preserve">Cumulative results </w:t>
            </w:r>
          </w:p>
        </w:tc>
        <w:tc>
          <w:tcPr>
            <w:tcW w:w="2015" w:type="dxa"/>
            <w:tcBorders>
              <w:top w:val="single" w:sz="4" w:space="0" w:color="auto"/>
              <w:left w:val="single" w:sz="8" w:space="0" w:color="FFFFFF"/>
              <w:bottom w:val="single" w:sz="4" w:space="0" w:color="auto"/>
              <w:right w:val="single" w:sz="4" w:space="0" w:color="auto"/>
            </w:tcBorders>
            <w:shd w:val="clear" w:color="auto" w:fill="C1E4F5" w:themeFill="accent1" w:themeFillTint="33"/>
            <w:vAlign w:val="center"/>
            <w:hideMark/>
          </w:tcPr>
          <w:p w14:paraId="254B5764" w14:textId="77777777" w:rsidR="00106B33" w:rsidRDefault="00106B33">
            <w:pPr>
              <w:jc w:val="right"/>
              <w:rPr>
                <w:rFonts w:ascii="Montserrat" w:hAnsi="Montserrat"/>
                <w:b/>
                <w:bCs/>
                <w:color w:val="000000"/>
                <w:sz w:val="14"/>
                <w:szCs w:val="14"/>
              </w:rPr>
            </w:pPr>
            <w:r>
              <w:rPr>
                <w:rFonts w:ascii="Montserrat" w:hAnsi="Montserrat"/>
                <w:b/>
                <w:bCs/>
                <w:color w:val="000000"/>
                <w:sz w:val="14"/>
                <w:szCs w:val="14"/>
                <w:lang w:val="en-AU"/>
              </w:rPr>
              <w:t>% Cumulative results achieved against cumulative targets</w:t>
            </w:r>
          </w:p>
        </w:tc>
      </w:tr>
      <w:tr w:rsidR="007F698C" w14:paraId="3BA5647D" w14:textId="77777777" w:rsidTr="00F42707">
        <w:trPr>
          <w:trHeight w:val="243"/>
        </w:trPr>
        <w:tc>
          <w:tcPr>
            <w:tcW w:w="3936" w:type="dxa"/>
            <w:tcBorders>
              <w:top w:val="single" w:sz="4" w:space="0" w:color="auto"/>
              <w:left w:val="single" w:sz="4" w:space="0" w:color="auto"/>
              <w:bottom w:val="nil"/>
              <w:right w:val="single" w:sz="4" w:space="0" w:color="auto"/>
            </w:tcBorders>
            <w:vAlign w:val="center"/>
            <w:hideMark/>
          </w:tcPr>
          <w:p w14:paraId="415B8787" w14:textId="77777777" w:rsidR="00106B33" w:rsidRDefault="00106B33">
            <w:pPr>
              <w:rPr>
                <w:rFonts w:ascii="Montserrat" w:hAnsi="Montserrat"/>
                <w:color w:val="000000"/>
                <w:sz w:val="14"/>
                <w:szCs w:val="14"/>
              </w:rPr>
            </w:pPr>
            <w:bookmarkStart w:id="74" w:name="_Hlk221277089"/>
            <w:r>
              <w:rPr>
                <w:rFonts w:ascii="Montserrat" w:hAnsi="Montserrat"/>
                <w:color w:val="000000"/>
                <w:sz w:val="14"/>
                <w:szCs w:val="14"/>
                <w:lang w:val="en-AU"/>
              </w:rPr>
              <w:t xml:space="preserve">Fiji Sustainable Tourism Project </w:t>
            </w:r>
          </w:p>
        </w:tc>
        <w:tc>
          <w:tcPr>
            <w:tcW w:w="3624" w:type="dxa"/>
            <w:vMerge w:val="restart"/>
            <w:tcBorders>
              <w:top w:val="single" w:sz="4" w:space="0" w:color="auto"/>
              <w:left w:val="nil"/>
              <w:bottom w:val="single" w:sz="4" w:space="0" w:color="auto"/>
              <w:right w:val="single" w:sz="4" w:space="0" w:color="auto"/>
            </w:tcBorders>
            <w:vAlign w:val="center"/>
            <w:hideMark/>
          </w:tcPr>
          <w:p w14:paraId="6F6B1098" w14:textId="77777777" w:rsidR="00106B33" w:rsidRDefault="00106B33">
            <w:pPr>
              <w:rPr>
                <w:rFonts w:ascii="Montserrat" w:hAnsi="Montserrat"/>
                <w:color w:val="000000"/>
                <w:sz w:val="14"/>
                <w:szCs w:val="14"/>
              </w:rPr>
            </w:pPr>
            <w:r>
              <w:rPr>
                <w:rFonts w:ascii="Montserrat" w:hAnsi="Montserrat"/>
                <w:color w:val="000000"/>
                <w:sz w:val="14"/>
                <w:szCs w:val="14"/>
                <w:lang w:val="en-AU"/>
              </w:rPr>
              <w:t>Number of new active leads</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79688D27"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8</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3AFC0DC6"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0</w:t>
            </w:r>
          </w:p>
        </w:tc>
        <w:tc>
          <w:tcPr>
            <w:tcW w:w="1959" w:type="dxa"/>
            <w:vMerge w:val="restart"/>
            <w:tcBorders>
              <w:top w:val="single" w:sz="4" w:space="0" w:color="auto"/>
              <w:left w:val="single" w:sz="4" w:space="0" w:color="auto"/>
              <w:bottom w:val="single" w:sz="4" w:space="0" w:color="auto"/>
              <w:right w:val="single" w:sz="4" w:space="0" w:color="auto"/>
            </w:tcBorders>
            <w:vAlign w:val="center"/>
            <w:hideMark/>
          </w:tcPr>
          <w:p w14:paraId="72A94177"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21</w:t>
            </w:r>
          </w:p>
        </w:tc>
        <w:tc>
          <w:tcPr>
            <w:tcW w:w="1062" w:type="dxa"/>
            <w:vMerge w:val="restart"/>
            <w:tcBorders>
              <w:top w:val="single" w:sz="4" w:space="0" w:color="auto"/>
              <w:left w:val="single" w:sz="4" w:space="0" w:color="auto"/>
              <w:bottom w:val="single" w:sz="4" w:space="0" w:color="auto"/>
              <w:right w:val="single" w:sz="4" w:space="0" w:color="auto"/>
            </w:tcBorders>
            <w:vAlign w:val="center"/>
            <w:hideMark/>
          </w:tcPr>
          <w:p w14:paraId="62415895"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21</w:t>
            </w:r>
          </w:p>
        </w:tc>
        <w:tc>
          <w:tcPr>
            <w:tcW w:w="2015" w:type="dxa"/>
            <w:vMerge w:val="restart"/>
            <w:tcBorders>
              <w:top w:val="single" w:sz="4" w:space="0" w:color="auto"/>
              <w:left w:val="single" w:sz="4" w:space="0" w:color="auto"/>
              <w:bottom w:val="single" w:sz="4" w:space="0" w:color="auto"/>
              <w:right w:val="single" w:sz="4" w:space="0" w:color="auto"/>
            </w:tcBorders>
            <w:vAlign w:val="center"/>
            <w:hideMark/>
          </w:tcPr>
          <w:p w14:paraId="7FF02AC2"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7F698C" w14:paraId="780D2FBE" w14:textId="77777777" w:rsidTr="007F698C">
        <w:trPr>
          <w:trHeight w:val="233"/>
        </w:trPr>
        <w:tc>
          <w:tcPr>
            <w:tcW w:w="3936" w:type="dxa"/>
            <w:tcBorders>
              <w:top w:val="nil"/>
              <w:left w:val="single" w:sz="4" w:space="0" w:color="auto"/>
              <w:bottom w:val="single" w:sz="4" w:space="0" w:color="auto"/>
              <w:right w:val="single" w:sz="4" w:space="0" w:color="auto"/>
            </w:tcBorders>
            <w:vAlign w:val="center"/>
            <w:hideMark/>
          </w:tcPr>
          <w:p w14:paraId="326CC191" w14:textId="77777777" w:rsidR="00106B33" w:rsidRDefault="00106B33">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3624" w:type="dxa"/>
            <w:vMerge/>
            <w:tcBorders>
              <w:top w:val="nil"/>
              <w:left w:val="nil"/>
              <w:bottom w:val="single" w:sz="4" w:space="0" w:color="auto"/>
              <w:right w:val="single" w:sz="4" w:space="0" w:color="auto"/>
            </w:tcBorders>
            <w:vAlign w:val="center"/>
            <w:hideMark/>
          </w:tcPr>
          <w:p w14:paraId="114A9605" w14:textId="77777777" w:rsidR="00106B33" w:rsidRDefault="00106B33">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7569F616" w14:textId="77777777" w:rsidR="00106B33" w:rsidRDefault="00106B33">
            <w:pPr>
              <w:rPr>
                <w:rFonts w:ascii="Montserrat" w:hAnsi="Montserrat"/>
                <w:color w:val="000000"/>
                <w:sz w:val="14"/>
                <w:szCs w:val="14"/>
              </w:rPr>
            </w:pPr>
          </w:p>
        </w:tc>
        <w:tc>
          <w:tcPr>
            <w:tcW w:w="1620" w:type="dxa"/>
            <w:vMerge/>
            <w:tcBorders>
              <w:top w:val="nil"/>
              <w:left w:val="single" w:sz="4" w:space="0" w:color="auto"/>
              <w:bottom w:val="single" w:sz="4" w:space="0" w:color="auto"/>
              <w:right w:val="single" w:sz="4" w:space="0" w:color="auto"/>
            </w:tcBorders>
            <w:vAlign w:val="center"/>
            <w:hideMark/>
          </w:tcPr>
          <w:p w14:paraId="7D1293A3" w14:textId="77777777" w:rsidR="00106B33" w:rsidRDefault="00106B33">
            <w:pPr>
              <w:rPr>
                <w:rFonts w:ascii="Montserrat" w:hAnsi="Montserrat"/>
                <w:color w:val="000000"/>
                <w:sz w:val="14"/>
                <w:szCs w:val="14"/>
              </w:rPr>
            </w:pPr>
          </w:p>
        </w:tc>
        <w:tc>
          <w:tcPr>
            <w:tcW w:w="1959" w:type="dxa"/>
            <w:vMerge/>
            <w:tcBorders>
              <w:top w:val="nil"/>
              <w:left w:val="single" w:sz="4" w:space="0" w:color="auto"/>
              <w:bottom w:val="single" w:sz="4" w:space="0" w:color="auto"/>
              <w:right w:val="single" w:sz="4" w:space="0" w:color="auto"/>
            </w:tcBorders>
            <w:vAlign w:val="center"/>
            <w:hideMark/>
          </w:tcPr>
          <w:p w14:paraId="4CB6D8EA" w14:textId="77777777" w:rsidR="00106B33" w:rsidRDefault="00106B3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1DAC56DC" w14:textId="77777777" w:rsidR="00106B33" w:rsidRDefault="00106B33">
            <w:pPr>
              <w:rPr>
                <w:rFonts w:ascii="Montserrat" w:hAnsi="Montserrat"/>
                <w:color w:val="000000"/>
                <w:sz w:val="14"/>
                <w:szCs w:val="14"/>
              </w:rPr>
            </w:pPr>
          </w:p>
        </w:tc>
        <w:tc>
          <w:tcPr>
            <w:tcW w:w="2015" w:type="dxa"/>
            <w:vMerge/>
            <w:tcBorders>
              <w:top w:val="nil"/>
              <w:left w:val="single" w:sz="4" w:space="0" w:color="auto"/>
              <w:bottom w:val="single" w:sz="4" w:space="0" w:color="auto"/>
              <w:right w:val="single" w:sz="4" w:space="0" w:color="auto"/>
            </w:tcBorders>
            <w:vAlign w:val="center"/>
            <w:hideMark/>
          </w:tcPr>
          <w:p w14:paraId="778D0531" w14:textId="77777777" w:rsidR="00106B33" w:rsidRDefault="00106B33">
            <w:pPr>
              <w:rPr>
                <w:rFonts w:ascii="Montserrat" w:hAnsi="Montserrat"/>
                <w:color w:val="000000"/>
                <w:sz w:val="14"/>
                <w:szCs w:val="14"/>
              </w:rPr>
            </w:pPr>
          </w:p>
        </w:tc>
      </w:tr>
      <w:tr w:rsidR="007F698C" w14:paraId="3914BAD0" w14:textId="77777777" w:rsidTr="007F698C">
        <w:trPr>
          <w:trHeight w:val="197"/>
        </w:trPr>
        <w:tc>
          <w:tcPr>
            <w:tcW w:w="3936" w:type="dxa"/>
            <w:tcBorders>
              <w:top w:val="nil"/>
              <w:left w:val="single" w:sz="4" w:space="0" w:color="auto"/>
              <w:bottom w:val="nil"/>
              <w:right w:val="single" w:sz="4" w:space="0" w:color="auto"/>
            </w:tcBorders>
            <w:vAlign w:val="center"/>
            <w:hideMark/>
          </w:tcPr>
          <w:p w14:paraId="65684CA1" w14:textId="77777777" w:rsidR="00106B33" w:rsidRDefault="00106B33">
            <w:pPr>
              <w:rPr>
                <w:rFonts w:ascii="Montserrat" w:hAnsi="Montserrat"/>
                <w:color w:val="000000"/>
                <w:sz w:val="14"/>
                <w:szCs w:val="14"/>
              </w:rPr>
            </w:pPr>
            <w:r>
              <w:rPr>
                <w:rFonts w:ascii="Montserrat" w:hAnsi="Montserrat"/>
                <w:color w:val="000000"/>
                <w:sz w:val="14"/>
                <w:szCs w:val="14"/>
                <w:lang w:val="en-AU"/>
              </w:rPr>
              <w:t xml:space="preserve">Fiji Sustainable Tourism Project </w:t>
            </w:r>
          </w:p>
        </w:tc>
        <w:tc>
          <w:tcPr>
            <w:tcW w:w="3624" w:type="dxa"/>
            <w:vMerge w:val="restart"/>
            <w:tcBorders>
              <w:top w:val="nil"/>
              <w:left w:val="nil"/>
              <w:bottom w:val="single" w:sz="4" w:space="0" w:color="auto"/>
              <w:right w:val="single" w:sz="4" w:space="0" w:color="auto"/>
            </w:tcBorders>
            <w:vAlign w:val="center"/>
            <w:hideMark/>
          </w:tcPr>
          <w:p w14:paraId="6D50A0D1" w14:textId="77777777" w:rsidR="00106B33" w:rsidRDefault="00106B33">
            <w:pPr>
              <w:rPr>
                <w:rFonts w:ascii="Montserrat" w:hAnsi="Montserrat"/>
                <w:color w:val="000000"/>
                <w:sz w:val="14"/>
                <w:szCs w:val="14"/>
              </w:rPr>
            </w:pPr>
            <w:r>
              <w:rPr>
                <w:rFonts w:ascii="Montserrat" w:hAnsi="Montserrat"/>
                <w:color w:val="000000"/>
                <w:sz w:val="14"/>
                <w:szCs w:val="14"/>
                <w:lang w:val="en-AU"/>
              </w:rPr>
              <w:t>Number of new committed leads</w:t>
            </w:r>
          </w:p>
        </w:tc>
        <w:tc>
          <w:tcPr>
            <w:tcW w:w="1080" w:type="dxa"/>
            <w:vMerge w:val="restart"/>
            <w:tcBorders>
              <w:top w:val="nil"/>
              <w:left w:val="single" w:sz="4" w:space="0" w:color="auto"/>
              <w:bottom w:val="single" w:sz="4" w:space="0" w:color="auto"/>
              <w:right w:val="single" w:sz="4" w:space="0" w:color="auto"/>
            </w:tcBorders>
            <w:vAlign w:val="center"/>
            <w:hideMark/>
          </w:tcPr>
          <w:p w14:paraId="49365415"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2</w:t>
            </w:r>
          </w:p>
        </w:tc>
        <w:tc>
          <w:tcPr>
            <w:tcW w:w="1620" w:type="dxa"/>
            <w:vMerge w:val="restart"/>
            <w:tcBorders>
              <w:top w:val="nil"/>
              <w:left w:val="single" w:sz="4" w:space="0" w:color="auto"/>
              <w:bottom w:val="single" w:sz="4" w:space="0" w:color="auto"/>
              <w:right w:val="single" w:sz="4" w:space="0" w:color="auto"/>
            </w:tcBorders>
            <w:vAlign w:val="center"/>
            <w:hideMark/>
          </w:tcPr>
          <w:p w14:paraId="444481AB"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0</w:t>
            </w:r>
          </w:p>
        </w:tc>
        <w:tc>
          <w:tcPr>
            <w:tcW w:w="1959" w:type="dxa"/>
            <w:vMerge w:val="restart"/>
            <w:tcBorders>
              <w:top w:val="nil"/>
              <w:left w:val="single" w:sz="4" w:space="0" w:color="auto"/>
              <w:bottom w:val="single" w:sz="4" w:space="0" w:color="auto"/>
              <w:right w:val="single" w:sz="4" w:space="0" w:color="auto"/>
            </w:tcBorders>
            <w:vAlign w:val="center"/>
            <w:hideMark/>
          </w:tcPr>
          <w:p w14:paraId="132F675F"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11</w:t>
            </w:r>
          </w:p>
        </w:tc>
        <w:tc>
          <w:tcPr>
            <w:tcW w:w="1062" w:type="dxa"/>
            <w:vMerge w:val="restart"/>
            <w:tcBorders>
              <w:top w:val="nil"/>
              <w:left w:val="single" w:sz="4" w:space="0" w:color="auto"/>
              <w:bottom w:val="single" w:sz="4" w:space="0" w:color="auto"/>
              <w:right w:val="single" w:sz="4" w:space="0" w:color="auto"/>
            </w:tcBorders>
            <w:vAlign w:val="center"/>
            <w:hideMark/>
          </w:tcPr>
          <w:p w14:paraId="1C9D70B8"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11</w:t>
            </w:r>
          </w:p>
        </w:tc>
        <w:tc>
          <w:tcPr>
            <w:tcW w:w="2015" w:type="dxa"/>
            <w:vMerge w:val="restart"/>
            <w:tcBorders>
              <w:top w:val="nil"/>
              <w:left w:val="single" w:sz="4" w:space="0" w:color="auto"/>
              <w:bottom w:val="single" w:sz="4" w:space="0" w:color="auto"/>
              <w:right w:val="single" w:sz="4" w:space="0" w:color="auto"/>
            </w:tcBorders>
            <w:vAlign w:val="center"/>
            <w:hideMark/>
          </w:tcPr>
          <w:p w14:paraId="5EFA0813"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7F698C" w14:paraId="4F93DE99" w14:textId="77777777" w:rsidTr="007F698C">
        <w:trPr>
          <w:trHeight w:val="70"/>
        </w:trPr>
        <w:tc>
          <w:tcPr>
            <w:tcW w:w="3936" w:type="dxa"/>
            <w:tcBorders>
              <w:top w:val="nil"/>
              <w:left w:val="single" w:sz="4" w:space="0" w:color="auto"/>
              <w:bottom w:val="single" w:sz="4" w:space="0" w:color="auto"/>
              <w:right w:val="single" w:sz="4" w:space="0" w:color="auto"/>
            </w:tcBorders>
            <w:vAlign w:val="center"/>
            <w:hideMark/>
          </w:tcPr>
          <w:p w14:paraId="02A8C82D" w14:textId="77777777" w:rsidR="00106B33" w:rsidRDefault="00106B33">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3624" w:type="dxa"/>
            <w:vMerge/>
            <w:tcBorders>
              <w:top w:val="nil"/>
              <w:left w:val="nil"/>
              <w:bottom w:val="single" w:sz="4" w:space="0" w:color="auto"/>
              <w:right w:val="single" w:sz="4" w:space="0" w:color="auto"/>
            </w:tcBorders>
            <w:vAlign w:val="center"/>
            <w:hideMark/>
          </w:tcPr>
          <w:p w14:paraId="2014079E" w14:textId="77777777" w:rsidR="00106B33" w:rsidRDefault="00106B33">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3B7504C1" w14:textId="77777777" w:rsidR="00106B33" w:rsidRDefault="00106B33">
            <w:pPr>
              <w:rPr>
                <w:rFonts w:ascii="Montserrat" w:hAnsi="Montserrat"/>
                <w:color w:val="000000"/>
                <w:sz w:val="14"/>
                <w:szCs w:val="14"/>
              </w:rPr>
            </w:pPr>
          </w:p>
        </w:tc>
        <w:tc>
          <w:tcPr>
            <w:tcW w:w="1620" w:type="dxa"/>
            <w:vMerge/>
            <w:tcBorders>
              <w:top w:val="nil"/>
              <w:left w:val="single" w:sz="4" w:space="0" w:color="auto"/>
              <w:bottom w:val="single" w:sz="4" w:space="0" w:color="auto"/>
              <w:right w:val="single" w:sz="4" w:space="0" w:color="auto"/>
            </w:tcBorders>
            <w:vAlign w:val="center"/>
            <w:hideMark/>
          </w:tcPr>
          <w:p w14:paraId="13442E1E" w14:textId="77777777" w:rsidR="00106B33" w:rsidRDefault="00106B33">
            <w:pPr>
              <w:rPr>
                <w:rFonts w:ascii="Montserrat" w:hAnsi="Montserrat"/>
                <w:color w:val="000000"/>
                <w:sz w:val="14"/>
                <w:szCs w:val="14"/>
              </w:rPr>
            </w:pPr>
          </w:p>
        </w:tc>
        <w:tc>
          <w:tcPr>
            <w:tcW w:w="1959" w:type="dxa"/>
            <w:vMerge/>
            <w:tcBorders>
              <w:top w:val="nil"/>
              <w:left w:val="single" w:sz="4" w:space="0" w:color="auto"/>
              <w:bottom w:val="single" w:sz="4" w:space="0" w:color="auto"/>
              <w:right w:val="single" w:sz="4" w:space="0" w:color="auto"/>
            </w:tcBorders>
            <w:vAlign w:val="center"/>
            <w:hideMark/>
          </w:tcPr>
          <w:p w14:paraId="39A9EBBF" w14:textId="77777777" w:rsidR="00106B33" w:rsidRDefault="00106B3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46C5D6BA" w14:textId="77777777" w:rsidR="00106B33" w:rsidRDefault="00106B33">
            <w:pPr>
              <w:rPr>
                <w:rFonts w:ascii="Montserrat" w:hAnsi="Montserrat"/>
                <w:color w:val="000000"/>
                <w:sz w:val="14"/>
                <w:szCs w:val="14"/>
              </w:rPr>
            </w:pPr>
          </w:p>
        </w:tc>
        <w:tc>
          <w:tcPr>
            <w:tcW w:w="2015" w:type="dxa"/>
            <w:vMerge/>
            <w:tcBorders>
              <w:top w:val="nil"/>
              <w:left w:val="single" w:sz="4" w:space="0" w:color="auto"/>
              <w:bottom w:val="single" w:sz="4" w:space="0" w:color="auto"/>
              <w:right w:val="single" w:sz="4" w:space="0" w:color="auto"/>
            </w:tcBorders>
            <w:vAlign w:val="center"/>
            <w:hideMark/>
          </w:tcPr>
          <w:p w14:paraId="2ECB7D54" w14:textId="77777777" w:rsidR="00106B33" w:rsidRDefault="00106B33">
            <w:pPr>
              <w:rPr>
                <w:rFonts w:ascii="Montserrat" w:hAnsi="Montserrat"/>
                <w:color w:val="000000"/>
                <w:sz w:val="14"/>
                <w:szCs w:val="14"/>
              </w:rPr>
            </w:pPr>
          </w:p>
        </w:tc>
      </w:tr>
      <w:tr w:rsidR="007F698C" w14:paraId="75BAD583" w14:textId="77777777" w:rsidTr="007F698C">
        <w:trPr>
          <w:trHeight w:val="242"/>
        </w:trPr>
        <w:tc>
          <w:tcPr>
            <w:tcW w:w="3936" w:type="dxa"/>
            <w:tcBorders>
              <w:top w:val="nil"/>
              <w:left w:val="single" w:sz="4" w:space="0" w:color="auto"/>
              <w:bottom w:val="nil"/>
              <w:right w:val="single" w:sz="4" w:space="0" w:color="auto"/>
            </w:tcBorders>
            <w:vAlign w:val="center"/>
            <w:hideMark/>
          </w:tcPr>
          <w:p w14:paraId="36BE80A6" w14:textId="77777777" w:rsidR="00106B33" w:rsidRDefault="00106B33">
            <w:pPr>
              <w:rPr>
                <w:rFonts w:ascii="Montserrat" w:hAnsi="Montserrat"/>
                <w:color w:val="000000"/>
                <w:sz w:val="14"/>
                <w:szCs w:val="14"/>
              </w:rPr>
            </w:pPr>
            <w:r>
              <w:rPr>
                <w:rFonts w:ascii="Montserrat" w:hAnsi="Montserrat"/>
                <w:color w:val="000000"/>
                <w:sz w:val="14"/>
                <w:szCs w:val="14"/>
                <w:lang w:val="en-AU"/>
              </w:rPr>
              <w:t>Fiji Health PPP Post Transaction Advisory Support</w:t>
            </w:r>
          </w:p>
        </w:tc>
        <w:tc>
          <w:tcPr>
            <w:tcW w:w="3624" w:type="dxa"/>
            <w:vMerge w:val="restart"/>
            <w:tcBorders>
              <w:top w:val="nil"/>
              <w:left w:val="nil"/>
              <w:bottom w:val="single" w:sz="4" w:space="0" w:color="auto"/>
              <w:right w:val="single" w:sz="4" w:space="0" w:color="auto"/>
            </w:tcBorders>
            <w:vAlign w:val="center"/>
            <w:hideMark/>
          </w:tcPr>
          <w:p w14:paraId="455A22B1" w14:textId="77777777" w:rsidR="00106B33" w:rsidRDefault="00106B33">
            <w:pPr>
              <w:rPr>
                <w:rFonts w:ascii="Montserrat" w:hAnsi="Montserrat"/>
                <w:color w:val="000000"/>
                <w:sz w:val="14"/>
                <w:szCs w:val="14"/>
              </w:rPr>
            </w:pPr>
            <w:r>
              <w:rPr>
                <w:rFonts w:ascii="Montserrat" w:hAnsi="Montserrat"/>
                <w:color w:val="000000"/>
                <w:sz w:val="14"/>
                <w:szCs w:val="14"/>
                <w:lang w:val="en-AU"/>
              </w:rPr>
              <w:t>Number of agreements (concession, etc.) signed</w:t>
            </w:r>
          </w:p>
        </w:tc>
        <w:tc>
          <w:tcPr>
            <w:tcW w:w="1080" w:type="dxa"/>
            <w:vMerge w:val="restart"/>
            <w:tcBorders>
              <w:top w:val="nil"/>
              <w:left w:val="single" w:sz="4" w:space="0" w:color="auto"/>
              <w:bottom w:val="single" w:sz="4" w:space="0" w:color="auto"/>
              <w:right w:val="single" w:sz="4" w:space="0" w:color="auto"/>
            </w:tcBorders>
            <w:vAlign w:val="center"/>
            <w:hideMark/>
          </w:tcPr>
          <w:p w14:paraId="2DF1B798"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2</w:t>
            </w:r>
          </w:p>
        </w:tc>
        <w:tc>
          <w:tcPr>
            <w:tcW w:w="1620" w:type="dxa"/>
            <w:vMerge w:val="restart"/>
            <w:tcBorders>
              <w:top w:val="nil"/>
              <w:left w:val="single" w:sz="4" w:space="0" w:color="auto"/>
              <w:bottom w:val="single" w:sz="4" w:space="0" w:color="auto"/>
              <w:right w:val="single" w:sz="4" w:space="0" w:color="auto"/>
            </w:tcBorders>
            <w:vAlign w:val="center"/>
            <w:hideMark/>
          </w:tcPr>
          <w:p w14:paraId="2D1D0D26"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1</w:t>
            </w:r>
          </w:p>
        </w:tc>
        <w:tc>
          <w:tcPr>
            <w:tcW w:w="1959" w:type="dxa"/>
            <w:vMerge w:val="restart"/>
            <w:tcBorders>
              <w:top w:val="nil"/>
              <w:left w:val="single" w:sz="4" w:space="0" w:color="auto"/>
              <w:bottom w:val="single" w:sz="4" w:space="0" w:color="auto"/>
              <w:right w:val="single" w:sz="4" w:space="0" w:color="auto"/>
            </w:tcBorders>
            <w:vAlign w:val="center"/>
            <w:hideMark/>
          </w:tcPr>
          <w:p w14:paraId="4E8E36DB"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40DB5769"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1</w:t>
            </w:r>
          </w:p>
        </w:tc>
        <w:tc>
          <w:tcPr>
            <w:tcW w:w="2015" w:type="dxa"/>
            <w:vMerge w:val="restart"/>
            <w:tcBorders>
              <w:top w:val="nil"/>
              <w:left w:val="single" w:sz="4" w:space="0" w:color="auto"/>
              <w:bottom w:val="single" w:sz="4" w:space="0" w:color="auto"/>
              <w:right w:val="single" w:sz="4" w:space="0" w:color="auto"/>
            </w:tcBorders>
            <w:vAlign w:val="center"/>
            <w:hideMark/>
          </w:tcPr>
          <w:p w14:paraId="39B5278B" w14:textId="77777777" w:rsidR="00106B33" w:rsidRDefault="00106B33">
            <w:pPr>
              <w:jc w:val="right"/>
              <w:rPr>
                <w:rFonts w:ascii="Montserrat" w:hAnsi="Montserrat"/>
                <w:color w:val="000000"/>
                <w:sz w:val="14"/>
                <w:szCs w:val="14"/>
              </w:rPr>
            </w:pPr>
            <w:r>
              <w:rPr>
                <w:rFonts w:ascii="Montserrat" w:hAnsi="Montserrat"/>
                <w:color w:val="000000"/>
                <w:sz w:val="14"/>
                <w:szCs w:val="14"/>
                <w:lang w:val="en-AU"/>
              </w:rPr>
              <w:t>50</w:t>
            </w:r>
          </w:p>
        </w:tc>
      </w:tr>
      <w:bookmarkEnd w:id="74"/>
      <w:tr w:rsidR="007F698C" w14:paraId="2D54EF3F" w14:textId="77777777" w:rsidTr="007F698C">
        <w:trPr>
          <w:trHeight w:val="278"/>
        </w:trPr>
        <w:tc>
          <w:tcPr>
            <w:tcW w:w="3936" w:type="dxa"/>
            <w:tcBorders>
              <w:top w:val="nil"/>
              <w:left w:val="single" w:sz="4" w:space="0" w:color="auto"/>
              <w:bottom w:val="single" w:sz="4" w:space="0" w:color="auto"/>
              <w:right w:val="single" w:sz="4" w:space="0" w:color="auto"/>
            </w:tcBorders>
            <w:vAlign w:val="center"/>
            <w:hideMark/>
          </w:tcPr>
          <w:p w14:paraId="1E4F8FD0" w14:textId="77777777" w:rsidR="00106B33" w:rsidRDefault="00106B33">
            <w:pPr>
              <w:rPr>
                <w:rFonts w:ascii="Montserrat" w:hAnsi="Montserrat"/>
                <w:color w:val="000000"/>
                <w:sz w:val="14"/>
                <w:szCs w:val="14"/>
              </w:rPr>
            </w:pPr>
            <w:r>
              <w:rPr>
                <w:rFonts w:ascii="Montserrat" w:hAnsi="Montserrat"/>
                <w:color w:val="000000"/>
                <w:sz w:val="14"/>
                <w:szCs w:val="14"/>
                <w:lang w:val="en-AU"/>
              </w:rPr>
              <w:t>Fiji Affordable Housing PPP</w:t>
            </w:r>
          </w:p>
        </w:tc>
        <w:tc>
          <w:tcPr>
            <w:tcW w:w="3624" w:type="dxa"/>
            <w:vMerge/>
            <w:tcBorders>
              <w:top w:val="nil"/>
              <w:left w:val="nil"/>
              <w:bottom w:val="single" w:sz="4" w:space="0" w:color="auto"/>
              <w:right w:val="single" w:sz="4" w:space="0" w:color="auto"/>
            </w:tcBorders>
            <w:vAlign w:val="center"/>
            <w:hideMark/>
          </w:tcPr>
          <w:p w14:paraId="6D4CD9FA" w14:textId="77777777" w:rsidR="00106B33" w:rsidRDefault="00106B33">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38534D99" w14:textId="77777777" w:rsidR="00106B33" w:rsidRDefault="00106B33">
            <w:pPr>
              <w:rPr>
                <w:rFonts w:ascii="Montserrat" w:hAnsi="Montserrat"/>
                <w:color w:val="000000"/>
                <w:sz w:val="14"/>
                <w:szCs w:val="14"/>
              </w:rPr>
            </w:pPr>
          </w:p>
        </w:tc>
        <w:tc>
          <w:tcPr>
            <w:tcW w:w="1620" w:type="dxa"/>
            <w:vMerge/>
            <w:tcBorders>
              <w:top w:val="nil"/>
              <w:left w:val="single" w:sz="4" w:space="0" w:color="auto"/>
              <w:bottom w:val="single" w:sz="4" w:space="0" w:color="auto"/>
              <w:right w:val="single" w:sz="4" w:space="0" w:color="auto"/>
            </w:tcBorders>
            <w:vAlign w:val="center"/>
            <w:hideMark/>
          </w:tcPr>
          <w:p w14:paraId="6ED4B122" w14:textId="77777777" w:rsidR="00106B33" w:rsidRDefault="00106B33">
            <w:pPr>
              <w:rPr>
                <w:rFonts w:ascii="Montserrat" w:hAnsi="Montserrat"/>
                <w:color w:val="000000"/>
                <w:sz w:val="14"/>
                <w:szCs w:val="14"/>
              </w:rPr>
            </w:pPr>
          </w:p>
        </w:tc>
        <w:tc>
          <w:tcPr>
            <w:tcW w:w="1959" w:type="dxa"/>
            <w:vMerge/>
            <w:tcBorders>
              <w:top w:val="nil"/>
              <w:left w:val="single" w:sz="4" w:space="0" w:color="auto"/>
              <w:bottom w:val="single" w:sz="4" w:space="0" w:color="auto"/>
              <w:right w:val="single" w:sz="4" w:space="0" w:color="auto"/>
            </w:tcBorders>
            <w:vAlign w:val="center"/>
            <w:hideMark/>
          </w:tcPr>
          <w:p w14:paraId="709C5B49" w14:textId="77777777" w:rsidR="00106B33" w:rsidRDefault="00106B3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3966FC20" w14:textId="77777777" w:rsidR="00106B33" w:rsidRDefault="00106B33">
            <w:pPr>
              <w:rPr>
                <w:rFonts w:ascii="Montserrat" w:hAnsi="Montserrat"/>
                <w:color w:val="000000"/>
                <w:sz w:val="14"/>
                <w:szCs w:val="14"/>
              </w:rPr>
            </w:pPr>
          </w:p>
        </w:tc>
        <w:tc>
          <w:tcPr>
            <w:tcW w:w="2015" w:type="dxa"/>
            <w:vMerge/>
            <w:tcBorders>
              <w:top w:val="nil"/>
              <w:left w:val="single" w:sz="4" w:space="0" w:color="auto"/>
              <w:bottom w:val="single" w:sz="4" w:space="0" w:color="auto"/>
              <w:right w:val="single" w:sz="4" w:space="0" w:color="auto"/>
            </w:tcBorders>
            <w:vAlign w:val="center"/>
            <w:hideMark/>
          </w:tcPr>
          <w:p w14:paraId="3EE33429" w14:textId="77777777" w:rsidR="00106B33" w:rsidRDefault="00106B33">
            <w:pPr>
              <w:rPr>
                <w:rFonts w:ascii="Montserrat" w:hAnsi="Montserrat"/>
                <w:color w:val="000000"/>
                <w:sz w:val="14"/>
                <w:szCs w:val="14"/>
              </w:rPr>
            </w:pPr>
          </w:p>
        </w:tc>
      </w:tr>
    </w:tbl>
    <w:bookmarkEnd w:id="73"/>
    <w:p w14:paraId="139E3EE6" w14:textId="053E091B" w:rsidR="00552BF9" w:rsidRDefault="005A5255" w:rsidP="006D17A0">
      <w:pPr>
        <w:suppressAutoHyphens/>
        <w:autoSpaceDE w:val="0"/>
        <w:autoSpaceDN w:val="0"/>
        <w:adjustRightInd w:val="0"/>
        <w:spacing w:before="28" w:line="288" w:lineRule="auto"/>
        <w:textAlignment w:val="center"/>
        <w:rPr>
          <w:rFonts w:ascii="Montserrat" w:hAnsi="Montserrat" w:cs="Montserrat"/>
          <w:color w:val="000000"/>
          <w:sz w:val="14"/>
          <w:szCs w:val="14"/>
          <w:lang w:val="en-AU"/>
        </w:rPr>
      </w:pPr>
      <w:r w:rsidRPr="00A26E3C">
        <w:rPr>
          <w:rFonts w:ascii="Montserrat" w:hAnsi="Montserrat" w:cs="Montserrat"/>
          <w:color w:val="000000"/>
          <w:sz w:val="14"/>
          <w:szCs w:val="14"/>
          <w:lang w:val="en-AU"/>
        </w:rPr>
        <w:t>* This result has been updated in this report due to a previously incorrectly recorded entry following the closure of the Fiji Investment Competitiveness project.</w:t>
      </w:r>
    </w:p>
    <w:p w14:paraId="27262181" w14:textId="2E26BC9C" w:rsidR="00561865" w:rsidRDefault="00561865" w:rsidP="00561865">
      <w:pPr>
        <w:suppressAutoHyphens/>
        <w:autoSpaceDE w:val="0"/>
        <w:autoSpaceDN w:val="0"/>
        <w:adjustRightInd w:val="0"/>
        <w:spacing w:line="288" w:lineRule="auto"/>
        <w:textAlignment w:val="center"/>
        <w:rPr>
          <w:rFonts w:ascii="Montserrat SemiBold" w:hAnsi="Montserrat SemiBold" w:cs="Montserrat SemiBold"/>
          <w:b/>
          <w:bCs/>
          <w:caps/>
          <w:color w:val="1C4257"/>
          <w:spacing w:val="19"/>
          <w:vertAlign w:val="superscript"/>
          <w:lang w:val="en-AU"/>
        </w:rPr>
      </w:pPr>
      <w:r>
        <w:rPr>
          <w:rFonts w:ascii="Montserrat SemiBold" w:hAnsi="Montserrat SemiBold" w:cs="Montserrat SemiBold"/>
          <w:b/>
          <w:bCs/>
          <w:caps/>
          <w:color w:val="1C4257"/>
          <w:spacing w:val="19"/>
          <w:vertAlign w:val="superscript"/>
          <w:lang w:val="en-AU"/>
        </w:rPr>
        <w:lastRenderedPageBreak/>
        <w:t xml:space="preserve">Partnership Pillar 3: </w:t>
      </w:r>
      <w:r w:rsidRPr="00561865">
        <w:rPr>
          <w:rFonts w:ascii="Montserrat SemiBold" w:hAnsi="Montserrat SemiBold" w:cs="Montserrat SemiBold"/>
          <w:b/>
          <w:bCs/>
          <w:caps/>
          <w:color w:val="1C4257"/>
          <w:spacing w:val="19"/>
          <w:vertAlign w:val="superscript"/>
          <w:lang w:val="en-AU"/>
        </w:rPr>
        <w:t>Enhancing standards and gender inclusion</w:t>
      </w:r>
    </w:p>
    <w:p w14:paraId="72969FDB" w14:textId="3F7B5A7E" w:rsidR="00561865" w:rsidRDefault="00561865" w:rsidP="00561865">
      <w:pPr>
        <w:suppressAutoHyphens/>
        <w:autoSpaceDE w:val="0"/>
        <w:autoSpaceDN w:val="0"/>
        <w:adjustRightInd w:val="0"/>
        <w:spacing w:line="288" w:lineRule="auto"/>
        <w:textAlignment w:val="center"/>
        <w:rPr>
          <w:rFonts w:ascii="Montserrat SemiBold" w:hAnsi="Montserrat SemiBold" w:cs="Montserrat SemiBold"/>
          <w:b/>
          <w:bCs/>
          <w:caps/>
          <w:color w:val="1C4257"/>
          <w:spacing w:val="19"/>
          <w:vertAlign w:val="superscript"/>
          <w:lang w:val="en-AU"/>
        </w:rPr>
      </w:pPr>
      <w:r>
        <w:rPr>
          <w:rFonts w:ascii="Montserrat" w:hAnsi="Montserrat"/>
          <w:b/>
          <w:bCs/>
          <w:color w:val="000000"/>
          <w:sz w:val="14"/>
          <w:szCs w:val="14"/>
          <w:lang w:val="en-AU"/>
        </w:rPr>
        <w:t xml:space="preserve">Portfolio projects with expected qualitative contributions to Partnership Pillar </w:t>
      </w:r>
      <w:r>
        <w:rPr>
          <w:rFonts w:ascii="Montserrat Medium" w:hAnsi="Montserrat Medium"/>
          <w:i/>
          <w:iCs/>
          <w:color w:val="000000"/>
          <w:sz w:val="14"/>
          <w:szCs w:val="14"/>
          <w:lang w:val="en-AU"/>
        </w:rPr>
        <w:t xml:space="preserve">(as per donor application, reported against evaluative questions): </w:t>
      </w:r>
      <w:r>
        <w:rPr>
          <w:rFonts w:ascii="Montserrat SemiBold" w:hAnsi="Montserrat SemiBold"/>
          <w:color w:val="000000"/>
          <w:sz w:val="14"/>
          <w:szCs w:val="14"/>
          <w:lang w:val="en-AU"/>
        </w:rPr>
        <w:t>Fiji Payment System,</w:t>
      </w:r>
      <w:r w:rsidRPr="00561865">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Winvest,</w:t>
      </w:r>
      <w:r w:rsidRPr="00561865">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Sustainable Tourism Project,</w:t>
      </w:r>
      <w:r w:rsidRPr="00561865">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Pacific Integrated ESG,</w:t>
      </w:r>
      <w:r w:rsidRPr="00561865">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Advance2Equal,</w:t>
      </w:r>
      <w:r w:rsidRPr="00561865">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Housing Development Project,</w:t>
      </w:r>
      <w:r w:rsidRPr="00561865">
        <w:rPr>
          <w:rFonts w:ascii="Montserrat SemiBold" w:hAnsi="Montserrat SemiBold"/>
          <w:color w:val="000000"/>
          <w:sz w:val="14"/>
          <w:szCs w:val="14"/>
          <w:lang w:val="en-AU"/>
        </w:rPr>
        <w:t xml:space="preserve"> </w:t>
      </w:r>
      <w:r>
        <w:rPr>
          <w:rFonts w:ascii="Montserrat SemiBold" w:hAnsi="Montserrat SemiBold"/>
          <w:color w:val="000000"/>
          <w:sz w:val="14"/>
          <w:szCs w:val="14"/>
          <w:lang w:val="en-AU"/>
        </w:rPr>
        <w:t>Fiji Green Finance and Fiji Sustainable Tourism and Investment</w:t>
      </w:r>
    </w:p>
    <w:p w14:paraId="0C0F0196" w14:textId="77777777" w:rsidR="00075089" w:rsidRPr="007F698C" w:rsidRDefault="00075089" w:rsidP="006D17A0">
      <w:pPr>
        <w:suppressAutoHyphens/>
        <w:autoSpaceDE w:val="0"/>
        <w:autoSpaceDN w:val="0"/>
        <w:adjustRightInd w:val="0"/>
        <w:spacing w:before="28" w:line="288" w:lineRule="auto"/>
        <w:textAlignment w:val="center"/>
        <w:rPr>
          <w:sz w:val="14"/>
          <w:szCs w:val="14"/>
        </w:rPr>
      </w:pPr>
    </w:p>
    <w:tbl>
      <w:tblPr>
        <w:tblW w:w="15295" w:type="dxa"/>
        <w:tblLayout w:type="fixed"/>
        <w:tblLook w:val="04A0" w:firstRow="1" w:lastRow="0" w:firstColumn="1" w:lastColumn="0" w:noHBand="0" w:noVBand="1"/>
      </w:tblPr>
      <w:tblGrid>
        <w:gridCol w:w="3973"/>
        <w:gridCol w:w="3312"/>
        <w:gridCol w:w="1633"/>
        <w:gridCol w:w="1392"/>
        <w:gridCol w:w="1649"/>
        <w:gridCol w:w="1086"/>
        <w:gridCol w:w="2250"/>
      </w:tblGrid>
      <w:tr w:rsidR="004E03A1" w14:paraId="10BC963D" w14:textId="77777777" w:rsidTr="00BE6597">
        <w:trPr>
          <w:trHeight w:val="720"/>
          <w:tblHeader/>
        </w:trPr>
        <w:tc>
          <w:tcPr>
            <w:tcW w:w="3973" w:type="dxa"/>
            <w:tcBorders>
              <w:top w:val="single" w:sz="4" w:space="0" w:color="auto"/>
              <w:left w:val="single" w:sz="4" w:space="0" w:color="auto"/>
              <w:bottom w:val="single" w:sz="4" w:space="0" w:color="000000"/>
              <w:right w:val="single" w:sz="4" w:space="0" w:color="auto"/>
            </w:tcBorders>
            <w:shd w:val="clear" w:color="auto" w:fill="C1E4F5" w:themeFill="accent1" w:themeFillTint="33"/>
            <w:vAlign w:val="center"/>
            <w:hideMark/>
          </w:tcPr>
          <w:p w14:paraId="27D7C8FD" w14:textId="77777777" w:rsidR="00561865" w:rsidRDefault="00561865">
            <w:pPr>
              <w:rPr>
                <w:rFonts w:ascii="Montserrat" w:hAnsi="Montserrat"/>
                <w:b/>
                <w:bCs/>
                <w:color w:val="000000"/>
                <w:sz w:val="14"/>
                <w:szCs w:val="14"/>
              </w:rPr>
            </w:pPr>
            <w:r>
              <w:rPr>
                <w:rFonts w:ascii="Montserrat" w:hAnsi="Montserrat"/>
                <w:b/>
                <w:bCs/>
                <w:color w:val="000000"/>
                <w:sz w:val="14"/>
                <w:szCs w:val="14"/>
                <w:lang w:val="en-AU"/>
              </w:rPr>
              <w:t xml:space="preserve">Portfolio projects with expected quantitative contributions to Partnership Pillar </w:t>
            </w:r>
            <w:r>
              <w:rPr>
                <w:rFonts w:ascii="Montserrat Medium" w:hAnsi="Montserrat Medium"/>
                <w:i/>
                <w:iCs/>
                <w:color w:val="000000"/>
                <w:sz w:val="14"/>
                <w:szCs w:val="14"/>
                <w:lang w:val="en-AU"/>
              </w:rPr>
              <w:t>(as per development outcome indicators at end-June 2024)</w:t>
            </w:r>
          </w:p>
        </w:tc>
        <w:tc>
          <w:tcPr>
            <w:tcW w:w="3312" w:type="dxa"/>
            <w:tcBorders>
              <w:top w:val="single" w:sz="4" w:space="0" w:color="auto"/>
              <w:left w:val="nil"/>
              <w:bottom w:val="nil"/>
              <w:right w:val="single" w:sz="4" w:space="0" w:color="auto"/>
            </w:tcBorders>
            <w:shd w:val="clear" w:color="auto" w:fill="C1E4F5" w:themeFill="accent1" w:themeFillTint="33"/>
            <w:vAlign w:val="center"/>
            <w:hideMark/>
          </w:tcPr>
          <w:p w14:paraId="1C4650B4" w14:textId="5119DCD4" w:rsidR="00561865" w:rsidRDefault="00561865" w:rsidP="00BE6597">
            <w:pPr>
              <w:jc w:val="center"/>
              <w:rPr>
                <w:rFonts w:ascii="Montserrat" w:hAnsi="Montserrat"/>
                <w:b/>
                <w:bCs/>
                <w:color w:val="000000"/>
                <w:sz w:val="14"/>
                <w:szCs w:val="14"/>
              </w:rPr>
            </w:pPr>
            <w:r>
              <w:rPr>
                <w:rFonts w:ascii="Montserrat" w:hAnsi="Montserrat"/>
                <w:b/>
                <w:bCs/>
                <w:color w:val="000000"/>
                <w:sz w:val="14"/>
                <w:szCs w:val="14"/>
                <w:lang w:val="en-AU"/>
              </w:rPr>
              <w:t>Development</w:t>
            </w:r>
            <w:r>
              <w:rPr>
                <w:rFonts w:ascii="Montserrat" w:hAnsi="Montserrat"/>
                <w:b/>
                <w:bCs/>
                <w:color w:val="000000"/>
                <w:sz w:val="14"/>
                <w:szCs w:val="14"/>
              </w:rPr>
              <w:t xml:space="preserve"> outcome indicators</w:t>
            </w:r>
          </w:p>
        </w:tc>
        <w:tc>
          <w:tcPr>
            <w:tcW w:w="1633" w:type="dxa"/>
            <w:tcBorders>
              <w:top w:val="single" w:sz="4" w:space="0" w:color="auto"/>
              <w:left w:val="single" w:sz="4" w:space="0" w:color="auto"/>
              <w:bottom w:val="nil"/>
              <w:right w:val="single" w:sz="4" w:space="0" w:color="auto"/>
            </w:tcBorders>
            <w:shd w:val="clear" w:color="auto" w:fill="C1E4F5" w:themeFill="accent1" w:themeFillTint="33"/>
            <w:vAlign w:val="center"/>
            <w:hideMark/>
          </w:tcPr>
          <w:p w14:paraId="5092C51C" w14:textId="77777777" w:rsidR="00561865" w:rsidRDefault="00561865" w:rsidP="00BE6597">
            <w:pPr>
              <w:jc w:val="right"/>
              <w:rPr>
                <w:rFonts w:ascii="Montserrat" w:hAnsi="Montserrat"/>
                <w:b/>
                <w:bCs/>
                <w:color w:val="000000"/>
                <w:sz w:val="14"/>
                <w:szCs w:val="14"/>
              </w:rPr>
            </w:pPr>
            <w:r>
              <w:rPr>
                <w:rFonts w:ascii="Montserrat" w:hAnsi="Montserrat"/>
                <w:b/>
                <w:bCs/>
                <w:color w:val="000000"/>
                <w:sz w:val="14"/>
                <w:szCs w:val="14"/>
                <w:lang w:val="en-AU"/>
              </w:rPr>
              <w:t xml:space="preserve">Cumulative targets </w:t>
            </w:r>
          </w:p>
        </w:tc>
        <w:tc>
          <w:tcPr>
            <w:tcW w:w="1392" w:type="dxa"/>
            <w:tcBorders>
              <w:top w:val="single" w:sz="4" w:space="0" w:color="auto"/>
              <w:left w:val="single" w:sz="4" w:space="0" w:color="auto"/>
              <w:bottom w:val="nil"/>
              <w:right w:val="single" w:sz="4" w:space="0" w:color="auto"/>
            </w:tcBorders>
            <w:shd w:val="clear" w:color="auto" w:fill="C1E4F5" w:themeFill="accent1" w:themeFillTint="33"/>
            <w:vAlign w:val="center"/>
            <w:hideMark/>
          </w:tcPr>
          <w:p w14:paraId="29A09419" w14:textId="77777777" w:rsidR="00561865" w:rsidRDefault="00561865" w:rsidP="00BE6597">
            <w:pPr>
              <w:jc w:val="right"/>
              <w:rPr>
                <w:rFonts w:ascii="Montserrat" w:hAnsi="Montserrat"/>
                <w:b/>
                <w:bCs/>
                <w:color w:val="000000"/>
                <w:sz w:val="14"/>
                <w:szCs w:val="14"/>
              </w:rPr>
            </w:pPr>
            <w:r>
              <w:rPr>
                <w:rFonts w:ascii="Montserrat" w:hAnsi="Montserrat"/>
                <w:b/>
                <w:bCs/>
                <w:color w:val="000000"/>
                <w:sz w:val="14"/>
                <w:szCs w:val="14"/>
                <w:lang w:val="en-AU"/>
              </w:rPr>
              <w:t>FPSDP Results achieved prior to Jan 2022</w:t>
            </w:r>
          </w:p>
        </w:tc>
        <w:tc>
          <w:tcPr>
            <w:tcW w:w="1649" w:type="dxa"/>
            <w:tcBorders>
              <w:top w:val="single" w:sz="4" w:space="0" w:color="auto"/>
              <w:left w:val="nil"/>
              <w:bottom w:val="nil"/>
              <w:right w:val="single" w:sz="4" w:space="0" w:color="auto"/>
            </w:tcBorders>
            <w:shd w:val="clear" w:color="auto" w:fill="C1E4F5" w:themeFill="accent1" w:themeFillTint="33"/>
            <w:vAlign w:val="center"/>
            <w:hideMark/>
          </w:tcPr>
          <w:p w14:paraId="105E3D28" w14:textId="29B68942" w:rsidR="00561865" w:rsidRDefault="00561865" w:rsidP="00BE6597">
            <w:pPr>
              <w:jc w:val="right"/>
              <w:rPr>
                <w:rFonts w:ascii="Montserrat" w:hAnsi="Montserrat"/>
                <w:b/>
                <w:bCs/>
                <w:color w:val="000000"/>
                <w:sz w:val="14"/>
                <w:szCs w:val="14"/>
              </w:rPr>
            </w:pPr>
            <w:r>
              <w:rPr>
                <w:rFonts w:ascii="Montserrat" w:hAnsi="Montserrat"/>
                <w:b/>
                <w:bCs/>
                <w:color w:val="000000"/>
                <w:sz w:val="14"/>
                <w:szCs w:val="14"/>
                <w:lang w:val="en-AU"/>
              </w:rPr>
              <w:t xml:space="preserve">FPSDP Results achieved Jan 2022 - Dec 2024 </w:t>
            </w:r>
          </w:p>
        </w:tc>
        <w:tc>
          <w:tcPr>
            <w:tcW w:w="1086" w:type="dxa"/>
            <w:tcBorders>
              <w:top w:val="single" w:sz="4" w:space="0" w:color="auto"/>
              <w:left w:val="single" w:sz="4" w:space="0" w:color="auto"/>
              <w:bottom w:val="nil"/>
              <w:right w:val="single" w:sz="4" w:space="0" w:color="auto"/>
            </w:tcBorders>
            <w:shd w:val="clear" w:color="auto" w:fill="C1E4F5" w:themeFill="accent1" w:themeFillTint="33"/>
            <w:vAlign w:val="center"/>
            <w:hideMark/>
          </w:tcPr>
          <w:p w14:paraId="0A5CD23E" w14:textId="77777777" w:rsidR="00561865" w:rsidRDefault="00561865" w:rsidP="00BE6597">
            <w:pPr>
              <w:jc w:val="right"/>
              <w:rPr>
                <w:rFonts w:ascii="Montserrat" w:hAnsi="Montserrat"/>
                <w:b/>
                <w:bCs/>
                <w:color w:val="000000"/>
                <w:sz w:val="14"/>
                <w:szCs w:val="14"/>
              </w:rPr>
            </w:pPr>
            <w:r>
              <w:rPr>
                <w:rFonts w:ascii="Montserrat" w:hAnsi="Montserrat"/>
                <w:b/>
                <w:bCs/>
                <w:color w:val="000000"/>
                <w:sz w:val="14"/>
                <w:szCs w:val="14"/>
                <w:lang w:val="en-AU"/>
              </w:rPr>
              <w:t xml:space="preserve">Cumulative results </w:t>
            </w:r>
          </w:p>
        </w:tc>
        <w:tc>
          <w:tcPr>
            <w:tcW w:w="2250" w:type="dxa"/>
            <w:tcBorders>
              <w:top w:val="single" w:sz="4" w:space="0" w:color="auto"/>
              <w:left w:val="single" w:sz="4" w:space="0" w:color="auto"/>
              <w:bottom w:val="nil"/>
              <w:right w:val="single" w:sz="4" w:space="0" w:color="auto"/>
            </w:tcBorders>
            <w:shd w:val="clear" w:color="auto" w:fill="C1E4F5" w:themeFill="accent1" w:themeFillTint="33"/>
            <w:vAlign w:val="center"/>
            <w:hideMark/>
          </w:tcPr>
          <w:p w14:paraId="25FA5C88" w14:textId="77777777" w:rsidR="00561865" w:rsidRDefault="00561865" w:rsidP="00BE6597">
            <w:pPr>
              <w:jc w:val="right"/>
              <w:rPr>
                <w:rFonts w:ascii="Montserrat" w:hAnsi="Montserrat"/>
                <w:b/>
                <w:bCs/>
                <w:color w:val="000000"/>
                <w:sz w:val="14"/>
                <w:szCs w:val="14"/>
              </w:rPr>
            </w:pPr>
            <w:r>
              <w:rPr>
                <w:rFonts w:ascii="Montserrat" w:hAnsi="Montserrat"/>
                <w:b/>
                <w:bCs/>
                <w:color w:val="000000"/>
                <w:sz w:val="14"/>
                <w:szCs w:val="14"/>
                <w:lang w:val="en-AU"/>
              </w:rPr>
              <w:t>% Cumulative results achieved against cumulative targets</w:t>
            </w:r>
          </w:p>
        </w:tc>
      </w:tr>
      <w:tr w:rsidR="004E03A1" w14:paraId="1E93FF83" w14:textId="77777777" w:rsidTr="00E40BCD">
        <w:trPr>
          <w:trHeight w:val="300"/>
        </w:trPr>
        <w:tc>
          <w:tcPr>
            <w:tcW w:w="3973" w:type="dxa"/>
            <w:tcBorders>
              <w:top w:val="single" w:sz="4" w:space="0" w:color="auto"/>
              <w:left w:val="single" w:sz="4" w:space="0" w:color="auto"/>
              <w:bottom w:val="nil"/>
              <w:right w:val="single" w:sz="4" w:space="0" w:color="auto"/>
            </w:tcBorders>
            <w:vAlign w:val="center"/>
            <w:hideMark/>
          </w:tcPr>
          <w:p w14:paraId="191DE6E8"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vMerge w:val="restart"/>
            <w:tcBorders>
              <w:top w:val="single" w:sz="4" w:space="0" w:color="auto"/>
              <w:left w:val="single" w:sz="4" w:space="0" w:color="auto"/>
              <w:bottom w:val="single" w:sz="4" w:space="0" w:color="000000"/>
              <w:right w:val="single" w:sz="4" w:space="0" w:color="auto"/>
            </w:tcBorders>
            <w:vAlign w:val="center"/>
            <w:hideMark/>
          </w:tcPr>
          <w:p w14:paraId="2B30016A"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entities that implemented recommended changes</w:t>
            </w:r>
          </w:p>
        </w:tc>
        <w:tc>
          <w:tcPr>
            <w:tcW w:w="1633" w:type="dxa"/>
            <w:vMerge w:val="restart"/>
            <w:tcBorders>
              <w:top w:val="single" w:sz="4" w:space="0" w:color="auto"/>
              <w:left w:val="single" w:sz="4" w:space="0" w:color="auto"/>
              <w:bottom w:val="single" w:sz="4" w:space="0" w:color="000000"/>
              <w:right w:val="single" w:sz="4" w:space="0" w:color="auto"/>
            </w:tcBorders>
            <w:vAlign w:val="center"/>
            <w:hideMark/>
          </w:tcPr>
          <w:p w14:paraId="6BB2FCA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28</w:t>
            </w:r>
          </w:p>
        </w:tc>
        <w:tc>
          <w:tcPr>
            <w:tcW w:w="1392" w:type="dxa"/>
            <w:vMerge w:val="restart"/>
            <w:tcBorders>
              <w:top w:val="single" w:sz="4" w:space="0" w:color="auto"/>
              <w:left w:val="single" w:sz="4" w:space="0" w:color="auto"/>
              <w:bottom w:val="single" w:sz="4" w:space="0" w:color="000000"/>
              <w:right w:val="single" w:sz="4" w:space="0" w:color="auto"/>
            </w:tcBorders>
            <w:vAlign w:val="center"/>
            <w:hideMark/>
          </w:tcPr>
          <w:p w14:paraId="4C934E89"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23</w:t>
            </w:r>
          </w:p>
        </w:tc>
        <w:tc>
          <w:tcPr>
            <w:tcW w:w="1649" w:type="dxa"/>
            <w:vMerge w:val="restart"/>
            <w:tcBorders>
              <w:top w:val="single" w:sz="4" w:space="0" w:color="auto"/>
              <w:left w:val="single" w:sz="4" w:space="0" w:color="auto"/>
              <w:bottom w:val="single" w:sz="4" w:space="0" w:color="000000"/>
              <w:right w:val="single" w:sz="4" w:space="0" w:color="auto"/>
            </w:tcBorders>
            <w:vAlign w:val="center"/>
            <w:hideMark/>
          </w:tcPr>
          <w:p w14:paraId="4A38BCB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3</w:t>
            </w:r>
          </w:p>
        </w:tc>
        <w:tc>
          <w:tcPr>
            <w:tcW w:w="1086" w:type="dxa"/>
            <w:vMerge w:val="restart"/>
            <w:tcBorders>
              <w:top w:val="single" w:sz="4" w:space="0" w:color="auto"/>
              <w:left w:val="single" w:sz="4" w:space="0" w:color="auto"/>
              <w:bottom w:val="single" w:sz="4" w:space="0" w:color="000000"/>
              <w:right w:val="single" w:sz="4" w:space="0" w:color="auto"/>
            </w:tcBorders>
            <w:vAlign w:val="center"/>
            <w:hideMark/>
          </w:tcPr>
          <w:p w14:paraId="7DAC248C"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26</w:t>
            </w:r>
          </w:p>
        </w:tc>
        <w:tc>
          <w:tcPr>
            <w:tcW w:w="2250" w:type="dxa"/>
            <w:vMerge w:val="restart"/>
            <w:tcBorders>
              <w:top w:val="single" w:sz="4" w:space="0" w:color="auto"/>
              <w:left w:val="single" w:sz="4" w:space="0" w:color="auto"/>
              <w:bottom w:val="single" w:sz="4" w:space="0" w:color="000000"/>
              <w:right w:val="single" w:sz="4" w:space="0" w:color="auto"/>
            </w:tcBorders>
            <w:vAlign w:val="center"/>
            <w:hideMark/>
          </w:tcPr>
          <w:p w14:paraId="500302EC"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93</w:t>
            </w:r>
          </w:p>
        </w:tc>
      </w:tr>
      <w:tr w:rsidR="004E03A1" w14:paraId="46C94E84" w14:textId="77777777" w:rsidTr="00E40BCD">
        <w:trPr>
          <w:trHeight w:val="215"/>
        </w:trPr>
        <w:tc>
          <w:tcPr>
            <w:tcW w:w="3973" w:type="dxa"/>
            <w:tcBorders>
              <w:top w:val="nil"/>
              <w:left w:val="single" w:sz="4" w:space="0" w:color="auto"/>
              <w:bottom w:val="nil"/>
              <w:right w:val="single" w:sz="4" w:space="0" w:color="auto"/>
            </w:tcBorders>
            <w:vAlign w:val="center"/>
            <w:hideMark/>
          </w:tcPr>
          <w:p w14:paraId="6967112F" w14:textId="77777777" w:rsidR="00561865" w:rsidRDefault="00561865">
            <w:pPr>
              <w:rPr>
                <w:rFonts w:ascii="Montserrat" w:hAnsi="Montserrat"/>
                <w:color w:val="000000"/>
                <w:sz w:val="14"/>
                <w:szCs w:val="14"/>
              </w:rPr>
            </w:pPr>
            <w:r>
              <w:rPr>
                <w:rFonts w:ascii="Montserrat" w:hAnsi="Montserrat"/>
                <w:color w:val="000000"/>
                <w:sz w:val="14"/>
                <w:szCs w:val="14"/>
                <w:lang w:val="en-AU"/>
              </w:rPr>
              <w:t>Advance2Equal</w:t>
            </w:r>
          </w:p>
        </w:tc>
        <w:tc>
          <w:tcPr>
            <w:tcW w:w="3312" w:type="dxa"/>
            <w:vMerge/>
            <w:tcBorders>
              <w:top w:val="single" w:sz="4" w:space="0" w:color="auto"/>
              <w:left w:val="single" w:sz="4" w:space="0" w:color="auto"/>
              <w:bottom w:val="single" w:sz="4" w:space="0" w:color="000000"/>
              <w:right w:val="single" w:sz="4" w:space="0" w:color="auto"/>
            </w:tcBorders>
            <w:vAlign w:val="center"/>
            <w:hideMark/>
          </w:tcPr>
          <w:p w14:paraId="320B2758" w14:textId="77777777" w:rsidR="00561865" w:rsidRDefault="00561865">
            <w:pPr>
              <w:rPr>
                <w:rFonts w:ascii="Montserrat" w:hAnsi="Montserrat"/>
                <w:color w:val="000000"/>
                <w:sz w:val="14"/>
                <w:szCs w:val="14"/>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70F12AB1" w14:textId="77777777" w:rsidR="00561865" w:rsidRDefault="00561865">
            <w:pPr>
              <w:rPr>
                <w:rFonts w:ascii="Montserrat" w:hAnsi="Montserrat"/>
                <w:color w:val="000000"/>
                <w:sz w:val="14"/>
                <w:szCs w:val="14"/>
              </w:rPr>
            </w:pP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6EFFAC54" w14:textId="77777777" w:rsidR="00561865" w:rsidRDefault="00561865">
            <w:pPr>
              <w:rPr>
                <w:rFonts w:ascii="Montserrat" w:hAnsi="Montserrat"/>
                <w:color w:val="000000"/>
                <w:sz w:val="14"/>
                <w:szCs w:val="14"/>
              </w:rPr>
            </w:pPr>
          </w:p>
        </w:tc>
        <w:tc>
          <w:tcPr>
            <w:tcW w:w="1649" w:type="dxa"/>
            <w:vMerge/>
            <w:tcBorders>
              <w:top w:val="single" w:sz="4" w:space="0" w:color="auto"/>
              <w:left w:val="single" w:sz="4" w:space="0" w:color="auto"/>
              <w:bottom w:val="single" w:sz="4" w:space="0" w:color="000000"/>
              <w:right w:val="single" w:sz="4" w:space="0" w:color="auto"/>
            </w:tcBorders>
            <w:vAlign w:val="center"/>
            <w:hideMark/>
          </w:tcPr>
          <w:p w14:paraId="6182FF3C" w14:textId="77777777" w:rsidR="00561865" w:rsidRDefault="00561865">
            <w:pPr>
              <w:rPr>
                <w:rFonts w:ascii="Montserrat" w:hAnsi="Montserrat"/>
                <w:color w:val="000000"/>
                <w:sz w:val="14"/>
                <w:szCs w:val="14"/>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14:paraId="79869036" w14:textId="77777777" w:rsidR="00561865" w:rsidRDefault="00561865">
            <w:pPr>
              <w:rPr>
                <w:rFonts w:ascii="Montserrat" w:hAnsi="Montserrat"/>
                <w:color w:val="000000"/>
                <w:sz w:val="14"/>
                <w:szCs w:val="14"/>
              </w:rPr>
            </w:pPr>
          </w:p>
        </w:tc>
        <w:tc>
          <w:tcPr>
            <w:tcW w:w="2250" w:type="dxa"/>
            <w:vMerge/>
            <w:tcBorders>
              <w:top w:val="single" w:sz="4" w:space="0" w:color="auto"/>
              <w:left w:val="single" w:sz="4" w:space="0" w:color="auto"/>
              <w:bottom w:val="single" w:sz="4" w:space="0" w:color="000000"/>
              <w:right w:val="single" w:sz="4" w:space="0" w:color="auto"/>
            </w:tcBorders>
            <w:vAlign w:val="center"/>
            <w:hideMark/>
          </w:tcPr>
          <w:p w14:paraId="3A576BA4" w14:textId="77777777" w:rsidR="00561865" w:rsidRDefault="00561865">
            <w:pPr>
              <w:rPr>
                <w:rFonts w:ascii="Montserrat" w:hAnsi="Montserrat"/>
                <w:color w:val="000000"/>
                <w:sz w:val="14"/>
                <w:szCs w:val="14"/>
              </w:rPr>
            </w:pPr>
          </w:p>
        </w:tc>
      </w:tr>
      <w:tr w:rsidR="004E03A1" w14:paraId="2C249EA2" w14:textId="77777777" w:rsidTr="00E40BCD">
        <w:trPr>
          <w:trHeight w:val="143"/>
        </w:trPr>
        <w:tc>
          <w:tcPr>
            <w:tcW w:w="3973" w:type="dxa"/>
            <w:tcBorders>
              <w:top w:val="nil"/>
              <w:left w:val="single" w:sz="4" w:space="0" w:color="auto"/>
              <w:bottom w:val="nil"/>
              <w:right w:val="single" w:sz="4" w:space="0" w:color="auto"/>
            </w:tcBorders>
            <w:vAlign w:val="center"/>
            <w:hideMark/>
          </w:tcPr>
          <w:p w14:paraId="5859175E" w14:textId="77777777" w:rsidR="00561865" w:rsidRDefault="00561865">
            <w:pPr>
              <w:rPr>
                <w:rFonts w:ascii="Montserrat" w:hAnsi="Montserrat"/>
                <w:color w:val="000000"/>
                <w:sz w:val="14"/>
                <w:szCs w:val="14"/>
              </w:rPr>
            </w:pPr>
            <w:r>
              <w:rPr>
                <w:rFonts w:ascii="Montserrat" w:hAnsi="Montserrat"/>
                <w:color w:val="000000"/>
                <w:sz w:val="14"/>
                <w:szCs w:val="14"/>
                <w:lang w:val="en-AU"/>
              </w:rPr>
              <w:t>Pacific Integrated ESG</w:t>
            </w:r>
          </w:p>
        </w:tc>
        <w:tc>
          <w:tcPr>
            <w:tcW w:w="3312" w:type="dxa"/>
            <w:vMerge/>
            <w:tcBorders>
              <w:top w:val="single" w:sz="4" w:space="0" w:color="auto"/>
              <w:left w:val="single" w:sz="4" w:space="0" w:color="auto"/>
              <w:bottom w:val="single" w:sz="4" w:space="0" w:color="000000"/>
              <w:right w:val="single" w:sz="4" w:space="0" w:color="auto"/>
            </w:tcBorders>
            <w:vAlign w:val="center"/>
            <w:hideMark/>
          </w:tcPr>
          <w:p w14:paraId="6CE24D62" w14:textId="77777777" w:rsidR="00561865" w:rsidRDefault="00561865">
            <w:pPr>
              <w:rPr>
                <w:rFonts w:ascii="Montserrat" w:hAnsi="Montserrat"/>
                <w:color w:val="000000"/>
                <w:sz w:val="14"/>
                <w:szCs w:val="14"/>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40BF9972" w14:textId="77777777" w:rsidR="00561865" w:rsidRDefault="00561865">
            <w:pPr>
              <w:rPr>
                <w:rFonts w:ascii="Montserrat" w:hAnsi="Montserrat"/>
                <w:color w:val="000000"/>
                <w:sz w:val="14"/>
                <w:szCs w:val="14"/>
              </w:rPr>
            </w:pP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116E732C" w14:textId="77777777" w:rsidR="00561865" w:rsidRDefault="00561865">
            <w:pPr>
              <w:rPr>
                <w:rFonts w:ascii="Montserrat" w:hAnsi="Montserrat"/>
                <w:color w:val="000000"/>
                <w:sz w:val="14"/>
                <w:szCs w:val="14"/>
              </w:rPr>
            </w:pPr>
          </w:p>
        </w:tc>
        <w:tc>
          <w:tcPr>
            <w:tcW w:w="1649" w:type="dxa"/>
            <w:vMerge/>
            <w:tcBorders>
              <w:top w:val="single" w:sz="4" w:space="0" w:color="auto"/>
              <w:left w:val="single" w:sz="4" w:space="0" w:color="auto"/>
              <w:bottom w:val="single" w:sz="4" w:space="0" w:color="000000"/>
              <w:right w:val="single" w:sz="4" w:space="0" w:color="auto"/>
            </w:tcBorders>
            <w:vAlign w:val="center"/>
            <w:hideMark/>
          </w:tcPr>
          <w:p w14:paraId="554520C5" w14:textId="77777777" w:rsidR="00561865" w:rsidRDefault="00561865">
            <w:pPr>
              <w:rPr>
                <w:rFonts w:ascii="Montserrat" w:hAnsi="Montserrat"/>
                <w:color w:val="000000"/>
                <w:sz w:val="14"/>
                <w:szCs w:val="14"/>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14:paraId="580711D6" w14:textId="77777777" w:rsidR="00561865" w:rsidRDefault="00561865">
            <w:pPr>
              <w:rPr>
                <w:rFonts w:ascii="Montserrat" w:hAnsi="Montserrat"/>
                <w:color w:val="000000"/>
                <w:sz w:val="14"/>
                <w:szCs w:val="14"/>
              </w:rPr>
            </w:pPr>
          </w:p>
        </w:tc>
        <w:tc>
          <w:tcPr>
            <w:tcW w:w="2250" w:type="dxa"/>
            <w:vMerge/>
            <w:tcBorders>
              <w:top w:val="single" w:sz="4" w:space="0" w:color="auto"/>
              <w:left w:val="single" w:sz="4" w:space="0" w:color="auto"/>
              <w:bottom w:val="single" w:sz="4" w:space="0" w:color="000000"/>
              <w:right w:val="single" w:sz="4" w:space="0" w:color="auto"/>
            </w:tcBorders>
            <w:vAlign w:val="center"/>
            <w:hideMark/>
          </w:tcPr>
          <w:p w14:paraId="22442AA4" w14:textId="77777777" w:rsidR="00561865" w:rsidRDefault="00561865">
            <w:pPr>
              <w:rPr>
                <w:rFonts w:ascii="Montserrat" w:hAnsi="Montserrat"/>
                <w:color w:val="000000"/>
                <w:sz w:val="14"/>
                <w:szCs w:val="14"/>
              </w:rPr>
            </w:pPr>
          </w:p>
        </w:tc>
      </w:tr>
      <w:tr w:rsidR="004E03A1" w14:paraId="21CECD38" w14:textId="77777777" w:rsidTr="00E40BCD">
        <w:trPr>
          <w:trHeight w:val="107"/>
        </w:trPr>
        <w:tc>
          <w:tcPr>
            <w:tcW w:w="3973" w:type="dxa"/>
            <w:tcBorders>
              <w:top w:val="nil"/>
              <w:left w:val="single" w:sz="4" w:space="0" w:color="auto"/>
              <w:bottom w:val="nil"/>
              <w:right w:val="single" w:sz="4" w:space="0" w:color="auto"/>
            </w:tcBorders>
            <w:vAlign w:val="center"/>
            <w:hideMark/>
          </w:tcPr>
          <w:p w14:paraId="125B1346" w14:textId="77777777" w:rsidR="00561865" w:rsidRDefault="00561865">
            <w:pPr>
              <w:rPr>
                <w:rFonts w:ascii="Montserrat" w:hAnsi="Montserrat"/>
                <w:color w:val="000000"/>
                <w:sz w:val="14"/>
                <w:szCs w:val="14"/>
              </w:rPr>
            </w:pPr>
            <w:r>
              <w:rPr>
                <w:rFonts w:ascii="Montserrat" w:hAnsi="Montserrat"/>
                <w:color w:val="000000"/>
                <w:sz w:val="14"/>
                <w:szCs w:val="14"/>
                <w:lang w:val="en-AU"/>
              </w:rPr>
              <w:t>Fiji Green Finance</w:t>
            </w:r>
          </w:p>
        </w:tc>
        <w:tc>
          <w:tcPr>
            <w:tcW w:w="3312" w:type="dxa"/>
            <w:vMerge/>
            <w:tcBorders>
              <w:top w:val="single" w:sz="4" w:space="0" w:color="auto"/>
              <w:left w:val="single" w:sz="4" w:space="0" w:color="auto"/>
              <w:bottom w:val="single" w:sz="4" w:space="0" w:color="000000"/>
              <w:right w:val="single" w:sz="4" w:space="0" w:color="auto"/>
            </w:tcBorders>
            <w:vAlign w:val="center"/>
            <w:hideMark/>
          </w:tcPr>
          <w:p w14:paraId="4AFF1F66" w14:textId="77777777" w:rsidR="00561865" w:rsidRDefault="00561865">
            <w:pPr>
              <w:rPr>
                <w:rFonts w:ascii="Montserrat" w:hAnsi="Montserrat"/>
                <w:color w:val="000000"/>
                <w:sz w:val="14"/>
                <w:szCs w:val="14"/>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38646405" w14:textId="77777777" w:rsidR="00561865" w:rsidRDefault="00561865">
            <w:pPr>
              <w:rPr>
                <w:rFonts w:ascii="Montserrat" w:hAnsi="Montserrat"/>
                <w:color w:val="000000"/>
                <w:sz w:val="14"/>
                <w:szCs w:val="14"/>
              </w:rPr>
            </w:pP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7E5DF718" w14:textId="77777777" w:rsidR="00561865" w:rsidRDefault="00561865">
            <w:pPr>
              <w:rPr>
                <w:rFonts w:ascii="Montserrat" w:hAnsi="Montserrat"/>
                <w:color w:val="000000"/>
                <w:sz w:val="14"/>
                <w:szCs w:val="14"/>
              </w:rPr>
            </w:pPr>
          </w:p>
        </w:tc>
        <w:tc>
          <w:tcPr>
            <w:tcW w:w="1649" w:type="dxa"/>
            <w:vMerge/>
            <w:tcBorders>
              <w:top w:val="single" w:sz="4" w:space="0" w:color="auto"/>
              <w:left w:val="single" w:sz="4" w:space="0" w:color="auto"/>
              <w:bottom w:val="single" w:sz="4" w:space="0" w:color="000000"/>
              <w:right w:val="single" w:sz="4" w:space="0" w:color="auto"/>
            </w:tcBorders>
            <w:vAlign w:val="center"/>
            <w:hideMark/>
          </w:tcPr>
          <w:p w14:paraId="75DD4768" w14:textId="77777777" w:rsidR="00561865" w:rsidRDefault="00561865">
            <w:pPr>
              <w:rPr>
                <w:rFonts w:ascii="Montserrat" w:hAnsi="Montserrat"/>
                <w:color w:val="000000"/>
                <w:sz w:val="14"/>
                <w:szCs w:val="14"/>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14:paraId="45094C01" w14:textId="77777777" w:rsidR="00561865" w:rsidRDefault="00561865">
            <w:pPr>
              <w:rPr>
                <w:rFonts w:ascii="Montserrat" w:hAnsi="Montserrat"/>
                <w:color w:val="000000"/>
                <w:sz w:val="14"/>
                <w:szCs w:val="14"/>
              </w:rPr>
            </w:pPr>
          </w:p>
        </w:tc>
        <w:tc>
          <w:tcPr>
            <w:tcW w:w="2250" w:type="dxa"/>
            <w:vMerge/>
            <w:tcBorders>
              <w:top w:val="single" w:sz="4" w:space="0" w:color="auto"/>
              <w:left w:val="single" w:sz="4" w:space="0" w:color="auto"/>
              <w:bottom w:val="single" w:sz="4" w:space="0" w:color="000000"/>
              <w:right w:val="single" w:sz="4" w:space="0" w:color="auto"/>
            </w:tcBorders>
            <w:vAlign w:val="center"/>
            <w:hideMark/>
          </w:tcPr>
          <w:p w14:paraId="10B59982" w14:textId="77777777" w:rsidR="00561865" w:rsidRDefault="00561865">
            <w:pPr>
              <w:rPr>
                <w:rFonts w:ascii="Montserrat" w:hAnsi="Montserrat"/>
                <w:color w:val="000000"/>
                <w:sz w:val="14"/>
                <w:szCs w:val="14"/>
              </w:rPr>
            </w:pPr>
          </w:p>
        </w:tc>
      </w:tr>
      <w:tr w:rsidR="004E03A1" w14:paraId="4F8E9372" w14:textId="77777777" w:rsidTr="00E40BCD">
        <w:trPr>
          <w:trHeight w:val="233"/>
        </w:trPr>
        <w:tc>
          <w:tcPr>
            <w:tcW w:w="3973" w:type="dxa"/>
            <w:tcBorders>
              <w:top w:val="single" w:sz="4" w:space="0" w:color="auto"/>
              <w:left w:val="single" w:sz="4" w:space="0" w:color="auto"/>
              <w:bottom w:val="nil"/>
              <w:right w:val="single" w:sz="4" w:space="0" w:color="auto"/>
            </w:tcBorders>
            <w:vAlign w:val="center"/>
            <w:hideMark/>
          </w:tcPr>
          <w:p w14:paraId="685377DD" w14:textId="77777777" w:rsidR="00561865" w:rsidRDefault="00561865">
            <w:pPr>
              <w:rPr>
                <w:rFonts w:ascii="Montserrat" w:hAnsi="Montserrat"/>
                <w:color w:val="000000"/>
                <w:sz w:val="14"/>
                <w:szCs w:val="14"/>
              </w:rPr>
            </w:pPr>
            <w:r>
              <w:rPr>
                <w:rFonts w:ascii="Montserrat" w:hAnsi="Montserrat"/>
                <w:color w:val="000000"/>
                <w:sz w:val="14"/>
                <w:szCs w:val="14"/>
                <w:lang w:val="en-AU"/>
              </w:rPr>
              <w:t xml:space="preserve">Fiji Winvest </w:t>
            </w:r>
          </w:p>
        </w:tc>
        <w:tc>
          <w:tcPr>
            <w:tcW w:w="3312" w:type="dxa"/>
            <w:vMerge w:val="restart"/>
            <w:tcBorders>
              <w:top w:val="nil"/>
              <w:left w:val="nil"/>
              <w:bottom w:val="single" w:sz="4" w:space="0" w:color="000000"/>
              <w:right w:val="single" w:sz="4" w:space="0" w:color="auto"/>
            </w:tcBorders>
            <w:vAlign w:val="center"/>
            <w:hideMark/>
          </w:tcPr>
          <w:p w14:paraId="652A5883"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recommended procedures/firm-level policies/practices/standards that were improved or eliminated</w:t>
            </w:r>
          </w:p>
        </w:tc>
        <w:tc>
          <w:tcPr>
            <w:tcW w:w="1633" w:type="dxa"/>
            <w:vMerge w:val="restart"/>
            <w:tcBorders>
              <w:top w:val="nil"/>
              <w:left w:val="single" w:sz="4" w:space="0" w:color="auto"/>
              <w:bottom w:val="single" w:sz="4" w:space="0" w:color="000000"/>
              <w:right w:val="single" w:sz="4" w:space="0" w:color="auto"/>
            </w:tcBorders>
            <w:vAlign w:val="center"/>
            <w:hideMark/>
          </w:tcPr>
          <w:p w14:paraId="249283C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28</w:t>
            </w:r>
          </w:p>
        </w:tc>
        <w:tc>
          <w:tcPr>
            <w:tcW w:w="1392" w:type="dxa"/>
            <w:vMerge w:val="restart"/>
            <w:tcBorders>
              <w:top w:val="nil"/>
              <w:left w:val="single" w:sz="4" w:space="0" w:color="auto"/>
              <w:bottom w:val="single" w:sz="4" w:space="0" w:color="000000"/>
              <w:right w:val="single" w:sz="4" w:space="0" w:color="auto"/>
            </w:tcBorders>
            <w:vAlign w:val="center"/>
            <w:hideMark/>
          </w:tcPr>
          <w:p w14:paraId="23D5B871"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9</w:t>
            </w:r>
          </w:p>
        </w:tc>
        <w:tc>
          <w:tcPr>
            <w:tcW w:w="1649" w:type="dxa"/>
            <w:vMerge w:val="restart"/>
            <w:tcBorders>
              <w:top w:val="nil"/>
              <w:left w:val="single" w:sz="4" w:space="0" w:color="auto"/>
              <w:bottom w:val="single" w:sz="4" w:space="0" w:color="000000"/>
              <w:right w:val="single" w:sz="4" w:space="0" w:color="auto"/>
            </w:tcBorders>
            <w:vAlign w:val="center"/>
            <w:hideMark/>
          </w:tcPr>
          <w:p w14:paraId="59119068"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8</w:t>
            </w:r>
          </w:p>
        </w:tc>
        <w:tc>
          <w:tcPr>
            <w:tcW w:w="1086" w:type="dxa"/>
            <w:vMerge w:val="restart"/>
            <w:tcBorders>
              <w:top w:val="nil"/>
              <w:left w:val="single" w:sz="4" w:space="0" w:color="auto"/>
              <w:bottom w:val="single" w:sz="4" w:space="0" w:color="000000"/>
              <w:right w:val="single" w:sz="4" w:space="0" w:color="auto"/>
            </w:tcBorders>
            <w:vAlign w:val="center"/>
            <w:hideMark/>
          </w:tcPr>
          <w:p w14:paraId="11DDB8F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17</w:t>
            </w:r>
          </w:p>
        </w:tc>
        <w:tc>
          <w:tcPr>
            <w:tcW w:w="2250" w:type="dxa"/>
            <w:vMerge w:val="restart"/>
            <w:tcBorders>
              <w:top w:val="nil"/>
              <w:left w:val="single" w:sz="4" w:space="0" w:color="auto"/>
              <w:bottom w:val="single" w:sz="4" w:space="0" w:color="000000"/>
              <w:right w:val="single" w:sz="4" w:space="0" w:color="auto"/>
            </w:tcBorders>
            <w:vAlign w:val="center"/>
            <w:hideMark/>
          </w:tcPr>
          <w:p w14:paraId="020D33F3"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61</w:t>
            </w:r>
          </w:p>
        </w:tc>
      </w:tr>
      <w:tr w:rsidR="004E03A1" w14:paraId="06325484" w14:textId="77777777" w:rsidTr="00E40BCD">
        <w:trPr>
          <w:trHeight w:val="300"/>
        </w:trPr>
        <w:tc>
          <w:tcPr>
            <w:tcW w:w="3973" w:type="dxa"/>
            <w:tcBorders>
              <w:top w:val="nil"/>
              <w:left w:val="single" w:sz="4" w:space="0" w:color="auto"/>
              <w:bottom w:val="nil"/>
              <w:right w:val="single" w:sz="4" w:space="0" w:color="auto"/>
            </w:tcBorders>
            <w:vAlign w:val="center"/>
            <w:hideMark/>
          </w:tcPr>
          <w:p w14:paraId="355654D4" w14:textId="77777777" w:rsidR="00561865" w:rsidRDefault="00561865">
            <w:pPr>
              <w:rPr>
                <w:rFonts w:ascii="Montserrat" w:hAnsi="Montserrat"/>
                <w:color w:val="000000"/>
                <w:sz w:val="14"/>
                <w:szCs w:val="14"/>
              </w:rPr>
            </w:pPr>
            <w:r>
              <w:rPr>
                <w:rFonts w:ascii="Montserrat" w:hAnsi="Montserrat"/>
                <w:color w:val="000000"/>
                <w:sz w:val="14"/>
                <w:szCs w:val="14"/>
                <w:lang w:val="en-AU"/>
              </w:rPr>
              <w:t xml:space="preserve">Fiji Sustainable Tourism Project </w:t>
            </w:r>
          </w:p>
        </w:tc>
        <w:tc>
          <w:tcPr>
            <w:tcW w:w="3312" w:type="dxa"/>
            <w:vMerge/>
            <w:tcBorders>
              <w:top w:val="nil"/>
              <w:left w:val="nil"/>
              <w:bottom w:val="single" w:sz="4" w:space="0" w:color="000000"/>
              <w:right w:val="single" w:sz="4" w:space="0" w:color="auto"/>
            </w:tcBorders>
            <w:vAlign w:val="center"/>
            <w:hideMark/>
          </w:tcPr>
          <w:p w14:paraId="4C011D76"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61D4068A"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1E0BD1B3"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46787347"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15EB4DED"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7F193C7C" w14:textId="77777777" w:rsidR="00561865" w:rsidRDefault="00561865">
            <w:pPr>
              <w:rPr>
                <w:rFonts w:ascii="Montserrat" w:hAnsi="Montserrat"/>
                <w:color w:val="000000"/>
                <w:sz w:val="14"/>
                <w:szCs w:val="14"/>
              </w:rPr>
            </w:pPr>
          </w:p>
        </w:tc>
      </w:tr>
      <w:tr w:rsidR="004E03A1" w14:paraId="4E773F8B" w14:textId="77777777" w:rsidTr="00E40BCD">
        <w:trPr>
          <w:trHeight w:val="233"/>
        </w:trPr>
        <w:tc>
          <w:tcPr>
            <w:tcW w:w="3973" w:type="dxa"/>
            <w:tcBorders>
              <w:top w:val="nil"/>
              <w:left w:val="single" w:sz="4" w:space="0" w:color="auto"/>
              <w:bottom w:val="nil"/>
              <w:right w:val="single" w:sz="4" w:space="0" w:color="auto"/>
            </w:tcBorders>
            <w:vAlign w:val="center"/>
            <w:hideMark/>
          </w:tcPr>
          <w:p w14:paraId="367C4945" w14:textId="77777777" w:rsidR="00561865" w:rsidRDefault="00561865">
            <w:pPr>
              <w:rPr>
                <w:rFonts w:ascii="Montserrat" w:hAnsi="Montserrat"/>
                <w:color w:val="000000"/>
                <w:sz w:val="14"/>
                <w:szCs w:val="14"/>
              </w:rPr>
            </w:pPr>
            <w:r>
              <w:rPr>
                <w:rFonts w:ascii="Montserrat" w:hAnsi="Montserrat"/>
                <w:color w:val="000000"/>
                <w:sz w:val="14"/>
                <w:szCs w:val="14"/>
                <w:lang w:val="en-AU"/>
              </w:rPr>
              <w:t>Advance2Equal</w:t>
            </w:r>
          </w:p>
        </w:tc>
        <w:tc>
          <w:tcPr>
            <w:tcW w:w="3312" w:type="dxa"/>
            <w:vMerge/>
            <w:tcBorders>
              <w:top w:val="nil"/>
              <w:left w:val="nil"/>
              <w:bottom w:val="single" w:sz="4" w:space="0" w:color="000000"/>
              <w:right w:val="single" w:sz="4" w:space="0" w:color="auto"/>
            </w:tcBorders>
            <w:vAlign w:val="center"/>
            <w:hideMark/>
          </w:tcPr>
          <w:p w14:paraId="5913BF7F"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65A64666"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36E79A09"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6E0D2315"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0907D857"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0D0330E3" w14:textId="77777777" w:rsidR="00561865" w:rsidRDefault="00561865">
            <w:pPr>
              <w:rPr>
                <w:rFonts w:ascii="Montserrat" w:hAnsi="Montserrat"/>
                <w:color w:val="000000"/>
                <w:sz w:val="14"/>
                <w:szCs w:val="14"/>
              </w:rPr>
            </w:pPr>
          </w:p>
        </w:tc>
      </w:tr>
      <w:tr w:rsidR="004E03A1" w14:paraId="60B8B45C" w14:textId="77777777" w:rsidTr="00E40BCD">
        <w:trPr>
          <w:trHeight w:val="300"/>
        </w:trPr>
        <w:tc>
          <w:tcPr>
            <w:tcW w:w="3973" w:type="dxa"/>
            <w:tcBorders>
              <w:top w:val="nil"/>
              <w:left w:val="single" w:sz="4" w:space="0" w:color="auto"/>
              <w:bottom w:val="single" w:sz="4" w:space="0" w:color="auto"/>
              <w:right w:val="single" w:sz="4" w:space="0" w:color="auto"/>
            </w:tcBorders>
            <w:vAlign w:val="center"/>
            <w:hideMark/>
          </w:tcPr>
          <w:p w14:paraId="3C3EFB2E" w14:textId="77777777" w:rsidR="00561865" w:rsidRDefault="00561865">
            <w:pPr>
              <w:rPr>
                <w:rFonts w:ascii="Montserrat" w:hAnsi="Montserrat"/>
                <w:color w:val="000000"/>
                <w:sz w:val="14"/>
                <w:szCs w:val="14"/>
              </w:rPr>
            </w:pPr>
            <w:r>
              <w:rPr>
                <w:rFonts w:ascii="Montserrat" w:hAnsi="Montserrat"/>
                <w:color w:val="000000"/>
                <w:sz w:val="14"/>
                <w:szCs w:val="14"/>
                <w:lang w:val="en-AU"/>
              </w:rPr>
              <w:t>Fiji Green Finance</w:t>
            </w:r>
          </w:p>
        </w:tc>
        <w:tc>
          <w:tcPr>
            <w:tcW w:w="3312" w:type="dxa"/>
            <w:vMerge/>
            <w:tcBorders>
              <w:top w:val="nil"/>
              <w:left w:val="nil"/>
              <w:bottom w:val="single" w:sz="4" w:space="0" w:color="000000"/>
              <w:right w:val="single" w:sz="4" w:space="0" w:color="auto"/>
            </w:tcBorders>
            <w:vAlign w:val="center"/>
            <w:hideMark/>
          </w:tcPr>
          <w:p w14:paraId="5736E2AF"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6FA33EA5"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64A72F6F"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7CD399F3"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5CC5FD4E"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32938742" w14:textId="77777777" w:rsidR="00561865" w:rsidRDefault="00561865">
            <w:pPr>
              <w:rPr>
                <w:rFonts w:ascii="Montserrat" w:hAnsi="Montserrat"/>
                <w:color w:val="000000"/>
                <w:sz w:val="14"/>
                <w:szCs w:val="14"/>
              </w:rPr>
            </w:pPr>
          </w:p>
        </w:tc>
      </w:tr>
      <w:tr w:rsidR="004E03A1" w14:paraId="1A50AD5D" w14:textId="77777777" w:rsidTr="00E40BCD">
        <w:trPr>
          <w:trHeight w:val="360"/>
        </w:trPr>
        <w:tc>
          <w:tcPr>
            <w:tcW w:w="3973" w:type="dxa"/>
            <w:tcBorders>
              <w:top w:val="nil"/>
              <w:left w:val="single" w:sz="4" w:space="0" w:color="auto"/>
              <w:bottom w:val="single" w:sz="4" w:space="0" w:color="auto"/>
              <w:right w:val="single" w:sz="4" w:space="0" w:color="auto"/>
            </w:tcBorders>
            <w:vAlign w:val="center"/>
            <w:hideMark/>
          </w:tcPr>
          <w:p w14:paraId="628DE853"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tcBorders>
              <w:top w:val="nil"/>
              <w:left w:val="nil"/>
              <w:bottom w:val="single" w:sz="4" w:space="0" w:color="auto"/>
              <w:right w:val="single" w:sz="4" w:space="0" w:color="auto"/>
            </w:tcBorders>
            <w:vAlign w:val="center"/>
            <w:hideMark/>
          </w:tcPr>
          <w:p w14:paraId="7916AC97"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employees reached directly through client advisory services</w:t>
            </w:r>
          </w:p>
        </w:tc>
        <w:tc>
          <w:tcPr>
            <w:tcW w:w="1633" w:type="dxa"/>
            <w:tcBorders>
              <w:top w:val="nil"/>
              <w:left w:val="nil"/>
              <w:bottom w:val="single" w:sz="4" w:space="0" w:color="auto"/>
              <w:right w:val="single" w:sz="4" w:space="0" w:color="auto"/>
            </w:tcBorders>
            <w:vAlign w:val="center"/>
            <w:hideMark/>
          </w:tcPr>
          <w:p w14:paraId="75E81809"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4,500</w:t>
            </w:r>
          </w:p>
        </w:tc>
        <w:tc>
          <w:tcPr>
            <w:tcW w:w="1392" w:type="dxa"/>
            <w:tcBorders>
              <w:top w:val="nil"/>
              <w:left w:val="nil"/>
              <w:bottom w:val="single" w:sz="4" w:space="0" w:color="auto"/>
              <w:right w:val="single" w:sz="4" w:space="0" w:color="auto"/>
            </w:tcBorders>
            <w:vAlign w:val="center"/>
            <w:hideMark/>
          </w:tcPr>
          <w:p w14:paraId="63EF02C9"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43,488</w:t>
            </w:r>
          </w:p>
        </w:tc>
        <w:tc>
          <w:tcPr>
            <w:tcW w:w="1649" w:type="dxa"/>
            <w:tcBorders>
              <w:top w:val="nil"/>
              <w:left w:val="nil"/>
              <w:bottom w:val="single" w:sz="4" w:space="0" w:color="auto"/>
              <w:right w:val="single" w:sz="4" w:space="0" w:color="auto"/>
            </w:tcBorders>
            <w:vAlign w:val="center"/>
            <w:hideMark/>
          </w:tcPr>
          <w:p w14:paraId="634ABA0D"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1,155</w:t>
            </w:r>
          </w:p>
        </w:tc>
        <w:tc>
          <w:tcPr>
            <w:tcW w:w="1086" w:type="dxa"/>
            <w:tcBorders>
              <w:top w:val="nil"/>
              <w:left w:val="nil"/>
              <w:bottom w:val="single" w:sz="4" w:space="0" w:color="auto"/>
              <w:right w:val="single" w:sz="4" w:space="0" w:color="auto"/>
            </w:tcBorders>
            <w:vAlign w:val="center"/>
            <w:hideMark/>
          </w:tcPr>
          <w:p w14:paraId="44D0672E"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44,643</w:t>
            </w:r>
          </w:p>
        </w:tc>
        <w:tc>
          <w:tcPr>
            <w:tcW w:w="2250" w:type="dxa"/>
            <w:tcBorders>
              <w:top w:val="nil"/>
              <w:left w:val="nil"/>
              <w:bottom w:val="single" w:sz="4" w:space="0" w:color="auto"/>
              <w:right w:val="single" w:sz="4" w:space="0" w:color="auto"/>
            </w:tcBorders>
            <w:vAlign w:val="center"/>
            <w:hideMark/>
          </w:tcPr>
          <w:p w14:paraId="0A131D1E"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4E03A1" w14:paraId="081A4111" w14:textId="77777777" w:rsidTr="00E40BCD">
        <w:trPr>
          <w:trHeight w:val="368"/>
        </w:trPr>
        <w:tc>
          <w:tcPr>
            <w:tcW w:w="3973" w:type="dxa"/>
            <w:tcBorders>
              <w:top w:val="nil"/>
              <w:left w:val="single" w:sz="4" w:space="0" w:color="auto"/>
              <w:bottom w:val="nil"/>
              <w:right w:val="single" w:sz="4" w:space="0" w:color="auto"/>
            </w:tcBorders>
            <w:vAlign w:val="center"/>
            <w:hideMark/>
          </w:tcPr>
          <w:p w14:paraId="73854E8E"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tcBorders>
              <w:top w:val="nil"/>
              <w:left w:val="nil"/>
              <w:bottom w:val="single" w:sz="4" w:space="0" w:color="auto"/>
              <w:right w:val="single" w:sz="4" w:space="0" w:color="auto"/>
            </w:tcBorders>
            <w:vAlign w:val="center"/>
            <w:hideMark/>
          </w:tcPr>
          <w:p w14:paraId="5C239612"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employees (female) reached directly through client advisory services</w:t>
            </w:r>
          </w:p>
        </w:tc>
        <w:tc>
          <w:tcPr>
            <w:tcW w:w="1633" w:type="dxa"/>
            <w:tcBorders>
              <w:top w:val="nil"/>
              <w:left w:val="nil"/>
              <w:bottom w:val="single" w:sz="4" w:space="0" w:color="auto"/>
              <w:right w:val="single" w:sz="4" w:space="0" w:color="auto"/>
            </w:tcBorders>
            <w:vAlign w:val="center"/>
            <w:hideMark/>
          </w:tcPr>
          <w:p w14:paraId="5C410D60"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1,350</w:t>
            </w:r>
          </w:p>
        </w:tc>
        <w:tc>
          <w:tcPr>
            <w:tcW w:w="1392" w:type="dxa"/>
            <w:tcBorders>
              <w:top w:val="nil"/>
              <w:left w:val="nil"/>
              <w:bottom w:val="single" w:sz="4" w:space="0" w:color="auto"/>
              <w:right w:val="single" w:sz="4" w:space="0" w:color="auto"/>
            </w:tcBorders>
            <w:vAlign w:val="center"/>
            <w:hideMark/>
          </w:tcPr>
          <w:p w14:paraId="46AAF7BD"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2,807</w:t>
            </w:r>
          </w:p>
        </w:tc>
        <w:tc>
          <w:tcPr>
            <w:tcW w:w="1649" w:type="dxa"/>
            <w:tcBorders>
              <w:top w:val="nil"/>
              <w:left w:val="nil"/>
              <w:bottom w:val="single" w:sz="4" w:space="0" w:color="auto"/>
              <w:right w:val="single" w:sz="4" w:space="0" w:color="auto"/>
            </w:tcBorders>
            <w:vAlign w:val="center"/>
            <w:hideMark/>
          </w:tcPr>
          <w:p w14:paraId="27EEDBAA"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484</w:t>
            </w:r>
          </w:p>
        </w:tc>
        <w:tc>
          <w:tcPr>
            <w:tcW w:w="1086" w:type="dxa"/>
            <w:tcBorders>
              <w:top w:val="nil"/>
              <w:left w:val="nil"/>
              <w:bottom w:val="single" w:sz="4" w:space="0" w:color="auto"/>
              <w:right w:val="single" w:sz="4" w:space="0" w:color="auto"/>
            </w:tcBorders>
            <w:vAlign w:val="center"/>
            <w:hideMark/>
          </w:tcPr>
          <w:p w14:paraId="116DBF9C"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3,291</w:t>
            </w:r>
          </w:p>
        </w:tc>
        <w:tc>
          <w:tcPr>
            <w:tcW w:w="2250" w:type="dxa"/>
            <w:tcBorders>
              <w:top w:val="nil"/>
              <w:left w:val="nil"/>
              <w:bottom w:val="single" w:sz="4" w:space="0" w:color="auto"/>
              <w:right w:val="single" w:sz="4" w:space="0" w:color="auto"/>
            </w:tcBorders>
            <w:vAlign w:val="center"/>
            <w:hideMark/>
          </w:tcPr>
          <w:p w14:paraId="3A5C75A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4E03A1" w14:paraId="02D52690" w14:textId="77777777" w:rsidTr="00E40BCD">
        <w:trPr>
          <w:trHeight w:val="287"/>
        </w:trPr>
        <w:tc>
          <w:tcPr>
            <w:tcW w:w="3973" w:type="dxa"/>
            <w:tcBorders>
              <w:top w:val="single" w:sz="4" w:space="0" w:color="auto"/>
              <w:left w:val="single" w:sz="4" w:space="0" w:color="auto"/>
              <w:bottom w:val="nil"/>
              <w:right w:val="single" w:sz="4" w:space="0" w:color="auto"/>
            </w:tcBorders>
            <w:vAlign w:val="center"/>
            <w:hideMark/>
          </w:tcPr>
          <w:p w14:paraId="7CF10B57"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vMerge w:val="restart"/>
            <w:tcBorders>
              <w:top w:val="nil"/>
              <w:left w:val="nil"/>
              <w:bottom w:val="single" w:sz="4" w:space="0" w:color="000000"/>
              <w:right w:val="single" w:sz="4" w:space="0" w:color="auto"/>
            </w:tcBorders>
            <w:vAlign w:val="center"/>
            <w:hideMark/>
          </w:tcPr>
          <w:p w14:paraId="464CF121"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workshops, training events, seminars, conferences, etc.</w:t>
            </w:r>
          </w:p>
        </w:tc>
        <w:tc>
          <w:tcPr>
            <w:tcW w:w="1633" w:type="dxa"/>
            <w:vMerge w:val="restart"/>
            <w:tcBorders>
              <w:top w:val="nil"/>
              <w:left w:val="single" w:sz="4" w:space="0" w:color="auto"/>
              <w:bottom w:val="single" w:sz="4" w:space="0" w:color="000000"/>
              <w:right w:val="single" w:sz="4" w:space="0" w:color="auto"/>
            </w:tcBorders>
            <w:vAlign w:val="center"/>
            <w:hideMark/>
          </w:tcPr>
          <w:p w14:paraId="10CB67D1"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76</w:t>
            </w:r>
          </w:p>
        </w:tc>
        <w:tc>
          <w:tcPr>
            <w:tcW w:w="1392" w:type="dxa"/>
            <w:vMerge w:val="restart"/>
            <w:tcBorders>
              <w:top w:val="nil"/>
              <w:left w:val="single" w:sz="4" w:space="0" w:color="auto"/>
              <w:bottom w:val="single" w:sz="4" w:space="0" w:color="000000"/>
              <w:right w:val="single" w:sz="4" w:space="0" w:color="auto"/>
            </w:tcBorders>
            <w:vAlign w:val="center"/>
            <w:hideMark/>
          </w:tcPr>
          <w:p w14:paraId="665A74D2"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45</w:t>
            </w:r>
          </w:p>
        </w:tc>
        <w:tc>
          <w:tcPr>
            <w:tcW w:w="1649" w:type="dxa"/>
            <w:vMerge w:val="restart"/>
            <w:tcBorders>
              <w:top w:val="nil"/>
              <w:left w:val="single" w:sz="4" w:space="0" w:color="auto"/>
              <w:bottom w:val="single" w:sz="4" w:space="0" w:color="000000"/>
              <w:right w:val="single" w:sz="4" w:space="0" w:color="auto"/>
            </w:tcBorders>
            <w:vAlign w:val="center"/>
            <w:hideMark/>
          </w:tcPr>
          <w:p w14:paraId="3740897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41</w:t>
            </w:r>
          </w:p>
        </w:tc>
        <w:tc>
          <w:tcPr>
            <w:tcW w:w="1086" w:type="dxa"/>
            <w:vMerge w:val="restart"/>
            <w:tcBorders>
              <w:top w:val="nil"/>
              <w:left w:val="single" w:sz="4" w:space="0" w:color="auto"/>
              <w:bottom w:val="single" w:sz="4" w:space="0" w:color="000000"/>
              <w:right w:val="single" w:sz="4" w:space="0" w:color="auto"/>
            </w:tcBorders>
            <w:vAlign w:val="center"/>
            <w:hideMark/>
          </w:tcPr>
          <w:p w14:paraId="41E6404B"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86</w:t>
            </w:r>
          </w:p>
        </w:tc>
        <w:tc>
          <w:tcPr>
            <w:tcW w:w="2250" w:type="dxa"/>
            <w:vMerge w:val="restart"/>
            <w:tcBorders>
              <w:top w:val="nil"/>
              <w:left w:val="single" w:sz="4" w:space="0" w:color="auto"/>
              <w:bottom w:val="single" w:sz="4" w:space="0" w:color="000000"/>
              <w:right w:val="single" w:sz="4" w:space="0" w:color="auto"/>
            </w:tcBorders>
            <w:vAlign w:val="center"/>
            <w:hideMark/>
          </w:tcPr>
          <w:p w14:paraId="393D6193"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4E03A1" w14:paraId="151753EE" w14:textId="77777777" w:rsidTr="00E40BCD">
        <w:trPr>
          <w:trHeight w:val="300"/>
        </w:trPr>
        <w:tc>
          <w:tcPr>
            <w:tcW w:w="3973" w:type="dxa"/>
            <w:tcBorders>
              <w:top w:val="nil"/>
              <w:left w:val="single" w:sz="4" w:space="0" w:color="auto"/>
              <w:bottom w:val="nil"/>
              <w:right w:val="single" w:sz="4" w:space="0" w:color="auto"/>
            </w:tcBorders>
            <w:vAlign w:val="center"/>
            <w:hideMark/>
          </w:tcPr>
          <w:p w14:paraId="27282053" w14:textId="77777777" w:rsidR="00561865" w:rsidRDefault="00561865">
            <w:pPr>
              <w:rPr>
                <w:rFonts w:ascii="Montserrat" w:hAnsi="Montserrat"/>
                <w:color w:val="000000"/>
                <w:sz w:val="14"/>
                <w:szCs w:val="14"/>
              </w:rPr>
            </w:pPr>
            <w:r>
              <w:rPr>
                <w:rFonts w:ascii="Montserrat" w:hAnsi="Montserrat"/>
                <w:color w:val="000000"/>
                <w:sz w:val="14"/>
                <w:szCs w:val="14"/>
                <w:lang w:val="en-AU"/>
              </w:rPr>
              <w:t>Advance2Equal</w:t>
            </w:r>
          </w:p>
        </w:tc>
        <w:tc>
          <w:tcPr>
            <w:tcW w:w="3312" w:type="dxa"/>
            <w:vMerge/>
            <w:tcBorders>
              <w:top w:val="nil"/>
              <w:left w:val="nil"/>
              <w:bottom w:val="single" w:sz="4" w:space="0" w:color="000000"/>
              <w:right w:val="single" w:sz="4" w:space="0" w:color="auto"/>
            </w:tcBorders>
            <w:vAlign w:val="center"/>
            <w:hideMark/>
          </w:tcPr>
          <w:p w14:paraId="496CCBB8"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6DD03B31"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687BAF79"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6C07ABB7"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7D5387DC"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088FF0D8" w14:textId="77777777" w:rsidR="00561865" w:rsidRDefault="00561865">
            <w:pPr>
              <w:rPr>
                <w:rFonts w:ascii="Montserrat" w:hAnsi="Montserrat"/>
                <w:color w:val="000000"/>
                <w:sz w:val="14"/>
                <w:szCs w:val="14"/>
              </w:rPr>
            </w:pPr>
          </w:p>
        </w:tc>
      </w:tr>
      <w:tr w:rsidR="004E03A1" w14:paraId="7C997E91" w14:textId="77777777" w:rsidTr="00E40BCD">
        <w:trPr>
          <w:trHeight w:val="215"/>
        </w:trPr>
        <w:tc>
          <w:tcPr>
            <w:tcW w:w="3973" w:type="dxa"/>
            <w:tcBorders>
              <w:top w:val="nil"/>
              <w:left w:val="single" w:sz="4" w:space="0" w:color="auto"/>
              <w:bottom w:val="nil"/>
              <w:right w:val="single" w:sz="4" w:space="0" w:color="auto"/>
            </w:tcBorders>
            <w:vAlign w:val="center"/>
            <w:hideMark/>
          </w:tcPr>
          <w:p w14:paraId="3527C5FE" w14:textId="77777777" w:rsidR="00561865" w:rsidRDefault="00561865">
            <w:pPr>
              <w:rPr>
                <w:rFonts w:ascii="Montserrat" w:hAnsi="Montserrat"/>
                <w:color w:val="000000"/>
                <w:sz w:val="14"/>
                <w:szCs w:val="14"/>
              </w:rPr>
            </w:pPr>
            <w:r>
              <w:rPr>
                <w:rFonts w:ascii="Montserrat" w:hAnsi="Montserrat"/>
                <w:color w:val="000000"/>
                <w:sz w:val="14"/>
                <w:szCs w:val="14"/>
                <w:lang w:val="en-AU"/>
              </w:rPr>
              <w:t xml:space="preserve">Fiji Sustainable Tourism Project </w:t>
            </w:r>
          </w:p>
        </w:tc>
        <w:tc>
          <w:tcPr>
            <w:tcW w:w="3312" w:type="dxa"/>
            <w:vMerge/>
            <w:tcBorders>
              <w:top w:val="nil"/>
              <w:left w:val="nil"/>
              <w:bottom w:val="single" w:sz="4" w:space="0" w:color="000000"/>
              <w:right w:val="single" w:sz="4" w:space="0" w:color="auto"/>
            </w:tcBorders>
            <w:vAlign w:val="center"/>
            <w:hideMark/>
          </w:tcPr>
          <w:p w14:paraId="51E36BD4"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1CAC7398"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1EDB3DF3"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5BE461CD"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6388DD19"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1496E9F1" w14:textId="77777777" w:rsidR="00561865" w:rsidRDefault="00561865">
            <w:pPr>
              <w:rPr>
                <w:rFonts w:ascii="Montserrat" w:hAnsi="Montserrat"/>
                <w:color w:val="000000"/>
                <w:sz w:val="14"/>
                <w:szCs w:val="14"/>
              </w:rPr>
            </w:pPr>
          </w:p>
        </w:tc>
      </w:tr>
      <w:tr w:rsidR="004E03A1" w14:paraId="2CA5DB48" w14:textId="77777777" w:rsidTr="00E40BCD">
        <w:trPr>
          <w:trHeight w:val="300"/>
        </w:trPr>
        <w:tc>
          <w:tcPr>
            <w:tcW w:w="3973" w:type="dxa"/>
            <w:tcBorders>
              <w:top w:val="nil"/>
              <w:left w:val="single" w:sz="4" w:space="0" w:color="auto"/>
              <w:bottom w:val="nil"/>
              <w:right w:val="single" w:sz="4" w:space="0" w:color="auto"/>
            </w:tcBorders>
            <w:vAlign w:val="center"/>
            <w:hideMark/>
          </w:tcPr>
          <w:p w14:paraId="3D22B8DA" w14:textId="77777777" w:rsidR="00561865" w:rsidRDefault="00561865">
            <w:pPr>
              <w:rPr>
                <w:rFonts w:ascii="Montserrat" w:hAnsi="Montserrat"/>
                <w:color w:val="000000"/>
                <w:sz w:val="14"/>
                <w:szCs w:val="14"/>
              </w:rPr>
            </w:pPr>
            <w:r>
              <w:rPr>
                <w:rFonts w:ascii="Montserrat" w:hAnsi="Montserrat"/>
                <w:color w:val="000000"/>
                <w:sz w:val="14"/>
                <w:szCs w:val="14"/>
                <w:lang w:val="en-AU"/>
              </w:rPr>
              <w:t>Fiji Green Finance</w:t>
            </w:r>
          </w:p>
        </w:tc>
        <w:tc>
          <w:tcPr>
            <w:tcW w:w="3312" w:type="dxa"/>
            <w:vMerge/>
            <w:tcBorders>
              <w:top w:val="nil"/>
              <w:left w:val="nil"/>
              <w:bottom w:val="single" w:sz="4" w:space="0" w:color="000000"/>
              <w:right w:val="single" w:sz="4" w:space="0" w:color="auto"/>
            </w:tcBorders>
            <w:vAlign w:val="center"/>
            <w:hideMark/>
          </w:tcPr>
          <w:p w14:paraId="781A637A"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276728D2"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3B95D08A"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7D6E0636"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00F13BC9"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418F2C5E" w14:textId="77777777" w:rsidR="00561865" w:rsidRDefault="00561865">
            <w:pPr>
              <w:rPr>
                <w:rFonts w:ascii="Montserrat" w:hAnsi="Montserrat"/>
                <w:color w:val="000000"/>
                <w:sz w:val="14"/>
                <w:szCs w:val="14"/>
              </w:rPr>
            </w:pPr>
          </w:p>
        </w:tc>
      </w:tr>
      <w:tr w:rsidR="004E03A1" w14:paraId="77107233" w14:textId="77777777" w:rsidTr="00E40BCD">
        <w:trPr>
          <w:trHeight w:val="197"/>
        </w:trPr>
        <w:tc>
          <w:tcPr>
            <w:tcW w:w="3973" w:type="dxa"/>
            <w:tcBorders>
              <w:top w:val="single" w:sz="4" w:space="0" w:color="auto"/>
              <w:left w:val="single" w:sz="4" w:space="0" w:color="auto"/>
              <w:bottom w:val="nil"/>
              <w:right w:val="single" w:sz="4" w:space="0" w:color="auto"/>
            </w:tcBorders>
            <w:vAlign w:val="center"/>
            <w:hideMark/>
          </w:tcPr>
          <w:p w14:paraId="3BEAEBAC"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vMerge w:val="restart"/>
            <w:tcBorders>
              <w:top w:val="nil"/>
              <w:left w:val="nil"/>
              <w:bottom w:val="single" w:sz="4" w:space="0" w:color="000000"/>
              <w:right w:val="single" w:sz="4" w:space="0" w:color="auto"/>
            </w:tcBorders>
            <w:vAlign w:val="center"/>
            <w:hideMark/>
          </w:tcPr>
          <w:p w14:paraId="3E5FF6DB"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women participants in workshops, training events, seminars, conferences, etc.</w:t>
            </w:r>
          </w:p>
        </w:tc>
        <w:tc>
          <w:tcPr>
            <w:tcW w:w="1633" w:type="dxa"/>
            <w:vMerge w:val="restart"/>
            <w:tcBorders>
              <w:top w:val="nil"/>
              <w:left w:val="single" w:sz="4" w:space="0" w:color="auto"/>
              <w:bottom w:val="single" w:sz="4" w:space="0" w:color="000000"/>
              <w:right w:val="single" w:sz="4" w:space="0" w:color="auto"/>
            </w:tcBorders>
            <w:vAlign w:val="center"/>
            <w:hideMark/>
          </w:tcPr>
          <w:p w14:paraId="028E1371"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395</w:t>
            </w:r>
          </w:p>
        </w:tc>
        <w:tc>
          <w:tcPr>
            <w:tcW w:w="1392" w:type="dxa"/>
            <w:vMerge w:val="restart"/>
            <w:tcBorders>
              <w:top w:val="nil"/>
              <w:left w:val="single" w:sz="4" w:space="0" w:color="auto"/>
              <w:bottom w:val="single" w:sz="4" w:space="0" w:color="000000"/>
              <w:right w:val="single" w:sz="4" w:space="0" w:color="auto"/>
            </w:tcBorders>
            <w:vAlign w:val="center"/>
            <w:hideMark/>
          </w:tcPr>
          <w:p w14:paraId="1F8C8E6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256</w:t>
            </w:r>
          </w:p>
        </w:tc>
        <w:tc>
          <w:tcPr>
            <w:tcW w:w="1649" w:type="dxa"/>
            <w:vMerge w:val="restart"/>
            <w:tcBorders>
              <w:top w:val="nil"/>
              <w:left w:val="single" w:sz="4" w:space="0" w:color="auto"/>
              <w:bottom w:val="single" w:sz="4" w:space="0" w:color="000000"/>
              <w:right w:val="single" w:sz="4" w:space="0" w:color="auto"/>
            </w:tcBorders>
            <w:vAlign w:val="center"/>
            <w:hideMark/>
          </w:tcPr>
          <w:p w14:paraId="6E3FA94F"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976</w:t>
            </w:r>
          </w:p>
        </w:tc>
        <w:tc>
          <w:tcPr>
            <w:tcW w:w="1086" w:type="dxa"/>
            <w:vMerge w:val="restart"/>
            <w:tcBorders>
              <w:top w:val="nil"/>
              <w:left w:val="single" w:sz="4" w:space="0" w:color="auto"/>
              <w:bottom w:val="single" w:sz="4" w:space="0" w:color="000000"/>
              <w:right w:val="single" w:sz="4" w:space="0" w:color="auto"/>
            </w:tcBorders>
            <w:vAlign w:val="center"/>
            <w:hideMark/>
          </w:tcPr>
          <w:p w14:paraId="1B4F2CC5"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1,232</w:t>
            </w:r>
          </w:p>
        </w:tc>
        <w:tc>
          <w:tcPr>
            <w:tcW w:w="2250" w:type="dxa"/>
            <w:vMerge w:val="restart"/>
            <w:tcBorders>
              <w:top w:val="nil"/>
              <w:left w:val="single" w:sz="4" w:space="0" w:color="auto"/>
              <w:bottom w:val="single" w:sz="4" w:space="0" w:color="000000"/>
              <w:right w:val="single" w:sz="4" w:space="0" w:color="auto"/>
            </w:tcBorders>
            <w:vAlign w:val="center"/>
            <w:hideMark/>
          </w:tcPr>
          <w:p w14:paraId="477538CA"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4E03A1" w14:paraId="26D814DA" w14:textId="77777777" w:rsidTr="00E40BCD">
        <w:trPr>
          <w:trHeight w:val="300"/>
        </w:trPr>
        <w:tc>
          <w:tcPr>
            <w:tcW w:w="3973" w:type="dxa"/>
            <w:tcBorders>
              <w:top w:val="nil"/>
              <w:left w:val="single" w:sz="4" w:space="0" w:color="auto"/>
              <w:bottom w:val="nil"/>
              <w:right w:val="single" w:sz="4" w:space="0" w:color="auto"/>
            </w:tcBorders>
            <w:vAlign w:val="center"/>
            <w:hideMark/>
          </w:tcPr>
          <w:p w14:paraId="19A8FA00" w14:textId="77777777" w:rsidR="00561865" w:rsidRDefault="00561865">
            <w:pPr>
              <w:rPr>
                <w:rFonts w:ascii="Montserrat" w:hAnsi="Montserrat"/>
                <w:color w:val="000000"/>
                <w:sz w:val="14"/>
                <w:szCs w:val="14"/>
              </w:rPr>
            </w:pPr>
            <w:r>
              <w:rPr>
                <w:rFonts w:ascii="Montserrat" w:hAnsi="Montserrat"/>
                <w:color w:val="000000"/>
                <w:sz w:val="14"/>
                <w:szCs w:val="14"/>
                <w:lang w:val="en-AU"/>
              </w:rPr>
              <w:t>Fiji Payment System</w:t>
            </w:r>
          </w:p>
        </w:tc>
        <w:tc>
          <w:tcPr>
            <w:tcW w:w="3312" w:type="dxa"/>
            <w:vMerge/>
            <w:tcBorders>
              <w:top w:val="nil"/>
              <w:left w:val="nil"/>
              <w:bottom w:val="single" w:sz="4" w:space="0" w:color="000000"/>
              <w:right w:val="single" w:sz="4" w:space="0" w:color="auto"/>
            </w:tcBorders>
            <w:vAlign w:val="center"/>
            <w:hideMark/>
          </w:tcPr>
          <w:p w14:paraId="028B9F68"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416EFE3F"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5A1C89D5"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13E0A425"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2C05EB45"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7A1F8902" w14:textId="77777777" w:rsidR="00561865" w:rsidRDefault="00561865">
            <w:pPr>
              <w:rPr>
                <w:rFonts w:ascii="Montserrat" w:hAnsi="Montserrat"/>
                <w:color w:val="000000"/>
                <w:sz w:val="14"/>
                <w:szCs w:val="14"/>
              </w:rPr>
            </w:pPr>
          </w:p>
        </w:tc>
      </w:tr>
      <w:tr w:rsidR="004E03A1" w14:paraId="6C21B7A4" w14:textId="77777777" w:rsidTr="00E40BCD">
        <w:trPr>
          <w:trHeight w:val="300"/>
        </w:trPr>
        <w:tc>
          <w:tcPr>
            <w:tcW w:w="3973" w:type="dxa"/>
            <w:tcBorders>
              <w:top w:val="nil"/>
              <w:left w:val="single" w:sz="4" w:space="0" w:color="auto"/>
              <w:bottom w:val="nil"/>
              <w:right w:val="single" w:sz="4" w:space="0" w:color="auto"/>
            </w:tcBorders>
            <w:vAlign w:val="center"/>
            <w:hideMark/>
          </w:tcPr>
          <w:p w14:paraId="32BE90F0" w14:textId="77777777" w:rsidR="00561865" w:rsidRDefault="00561865">
            <w:pPr>
              <w:rPr>
                <w:rFonts w:ascii="Montserrat" w:hAnsi="Montserrat"/>
                <w:color w:val="000000"/>
                <w:sz w:val="14"/>
                <w:szCs w:val="14"/>
              </w:rPr>
            </w:pPr>
            <w:r>
              <w:rPr>
                <w:rFonts w:ascii="Montserrat" w:hAnsi="Montserrat"/>
                <w:color w:val="000000"/>
                <w:sz w:val="14"/>
                <w:szCs w:val="14"/>
                <w:lang w:val="en-AU"/>
              </w:rPr>
              <w:t>Fiji Affordable Housing Development Project</w:t>
            </w:r>
          </w:p>
        </w:tc>
        <w:tc>
          <w:tcPr>
            <w:tcW w:w="3312" w:type="dxa"/>
            <w:vMerge/>
            <w:tcBorders>
              <w:top w:val="nil"/>
              <w:left w:val="nil"/>
              <w:bottom w:val="single" w:sz="4" w:space="0" w:color="000000"/>
              <w:right w:val="single" w:sz="4" w:space="0" w:color="auto"/>
            </w:tcBorders>
            <w:vAlign w:val="center"/>
            <w:hideMark/>
          </w:tcPr>
          <w:p w14:paraId="53CB23CC"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3329366E"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4F19F453"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31BEF03E"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05133712"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4D345806" w14:textId="77777777" w:rsidR="00561865" w:rsidRDefault="00561865">
            <w:pPr>
              <w:rPr>
                <w:rFonts w:ascii="Montserrat" w:hAnsi="Montserrat"/>
                <w:color w:val="000000"/>
                <w:sz w:val="14"/>
                <w:szCs w:val="14"/>
              </w:rPr>
            </w:pPr>
          </w:p>
        </w:tc>
      </w:tr>
      <w:tr w:rsidR="004E03A1" w14:paraId="6278ACCD" w14:textId="77777777" w:rsidTr="00E40BCD">
        <w:trPr>
          <w:trHeight w:val="300"/>
        </w:trPr>
        <w:tc>
          <w:tcPr>
            <w:tcW w:w="3973" w:type="dxa"/>
            <w:tcBorders>
              <w:top w:val="nil"/>
              <w:left w:val="single" w:sz="4" w:space="0" w:color="auto"/>
              <w:bottom w:val="nil"/>
              <w:right w:val="single" w:sz="4" w:space="0" w:color="auto"/>
            </w:tcBorders>
            <w:vAlign w:val="center"/>
            <w:hideMark/>
          </w:tcPr>
          <w:p w14:paraId="223E0A8F" w14:textId="77777777" w:rsidR="00561865" w:rsidRDefault="00561865">
            <w:pPr>
              <w:rPr>
                <w:rFonts w:ascii="Montserrat" w:hAnsi="Montserrat"/>
                <w:color w:val="000000"/>
                <w:sz w:val="14"/>
                <w:szCs w:val="14"/>
              </w:rPr>
            </w:pPr>
            <w:r>
              <w:rPr>
                <w:rFonts w:ascii="Montserrat" w:hAnsi="Montserrat"/>
                <w:color w:val="000000"/>
                <w:sz w:val="14"/>
                <w:szCs w:val="14"/>
                <w:lang w:val="en-AU"/>
              </w:rPr>
              <w:t xml:space="preserve">Fiji Sustainable Tourism Project </w:t>
            </w:r>
          </w:p>
        </w:tc>
        <w:tc>
          <w:tcPr>
            <w:tcW w:w="3312" w:type="dxa"/>
            <w:vMerge/>
            <w:tcBorders>
              <w:top w:val="nil"/>
              <w:left w:val="nil"/>
              <w:bottom w:val="single" w:sz="4" w:space="0" w:color="000000"/>
              <w:right w:val="single" w:sz="4" w:space="0" w:color="auto"/>
            </w:tcBorders>
            <w:vAlign w:val="center"/>
            <w:hideMark/>
          </w:tcPr>
          <w:p w14:paraId="4127C2D3"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2D69FF4E"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56742754"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4115B31B"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7884FABB"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2093D5AA" w14:textId="77777777" w:rsidR="00561865" w:rsidRDefault="00561865">
            <w:pPr>
              <w:rPr>
                <w:rFonts w:ascii="Montserrat" w:hAnsi="Montserrat"/>
                <w:color w:val="000000"/>
                <w:sz w:val="14"/>
                <w:szCs w:val="14"/>
              </w:rPr>
            </w:pPr>
          </w:p>
        </w:tc>
      </w:tr>
      <w:tr w:rsidR="004E03A1" w14:paraId="00914FD4" w14:textId="77777777" w:rsidTr="00E40BCD">
        <w:trPr>
          <w:trHeight w:val="300"/>
        </w:trPr>
        <w:tc>
          <w:tcPr>
            <w:tcW w:w="3973" w:type="dxa"/>
            <w:tcBorders>
              <w:top w:val="nil"/>
              <w:left w:val="single" w:sz="4" w:space="0" w:color="auto"/>
              <w:bottom w:val="nil"/>
              <w:right w:val="single" w:sz="4" w:space="0" w:color="auto"/>
            </w:tcBorders>
            <w:vAlign w:val="center"/>
            <w:hideMark/>
          </w:tcPr>
          <w:p w14:paraId="3EBAB580" w14:textId="77777777" w:rsidR="00561865" w:rsidRDefault="00561865">
            <w:pPr>
              <w:rPr>
                <w:rFonts w:ascii="Montserrat" w:hAnsi="Montserrat"/>
                <w:color w:val="000000"/>
                <w:sz w:val="14"/>
                <w:szCs w:val="14"/>
              </w:rPr>
            </w:pPr>
            <w:r>
              <w:rPr>
                <w:rFonts w:ascii="Montserrat" w:hAnsi="Montserrat"/>
                <w:color w:val="000000"/>
                <w:sz w:val="14"/>
                <w:szCs w:val="14"/>
                <w:lang w:val="en-AU"/>
              </w:rPr>
              <w:t>Fiji Green Finance</w:t>
            </w:r>
          </w:p>
        </w:tc>
        <w:tc>
          <w:tcPr>
            <w:tcW w:w="3312" w:type="dxa"/>
            <w:vMerge/>
            <w:tcBorders>
              <w:top w:val="nil"/>
              <w:left w:val="nil"/>
              <w:bottom w:val="single" w:sz="4" w:space="0" w:color="000000"/>
              <w:right w:val="single" w:sz="4" w:space="0" w:color="auto"/>
            </w:tcBorders>
            <w:vAlign w:val="center"/>
            <w:hideMark/>
          </w:tcPr>
          <w:p w14:paraId="1BD1D03C"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5B2E5461"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1B67EB20"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7CB3F4F3"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1EC915AD"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23514A04" w14:textId="77777777" w:rsidR="00561865" w:rsidRDefault="00561865">
            <w:pPr>
              <w:rPr>
                <w:rFonts w:ascii="Montserrat" w:hAnsi="Montserrat"/>
                <w:color w:val="000000"/>
                <w:sz w:val="14"/>
                <w:szCs w:val="14"/>
              </w:rPr>
            </w:pPr>
          </w:p>
        </w:tc>
      </w:tr>
      <w:tr w:rsidR="004E03A1" w14:paraId="7C7A4F54" w14:textId="77777777" w:rsidTr="00E40BCD">
        <w:trPr>
          <w:trHeight w:val="300"/>
        </w:trPr>
        <w:tc>
          <w:tcPr>
            <w:tcW w:w="3973" w:type="dxa"/>
            <w:tcBorders>
              <w:top w:val="single" w:sz="4" w:space="0" w:color="auto"/>
              <w:left w:val="single" w:sz="4" w:space="0" w:color="auto"/>
              <w:bottom w:val="nil"/>
              <w:right w:val="single" w:sz="4" w:space="0" w:color="auto"/>
            </w:tcBorders>
            <w:vAlign w:val="center"/>
            <w:hideMark/>
          </w:tcPr>
          <w:p w14:paraId="43B4AABA"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vMerge w:val="restart"/>
            <w:tcBorders>
              <w:top w:val="nil"/>
              <w:left w:val="nil"/>
              <w:bottom w:val="single" w:sz="4" w:space="0" w:color="000000"/>
              <w:right w:val="single" w:sz="4" w:space="0" w:color="auto"/>
            </w:tcBorders>
            <w:vAlign w:val="center"/>
            <w:hideMark/>
          </w:tcPr>
          <w:p w14:paraId="05068035"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new laws/regulations/amendments/codes/government policies drafted, or contributed to the drafting</w:t>
            </w:r>
          </w:p>
        </w:tc>
        <w:tc>
          <w:tcPr>
            <w:tcW w:w="1633" w:type="dxa"/>
            <w:vMerge w:val="restart"/>
            <w:tcBorders>
              <w:top w:val="nil"/>
              <w:left w:val="single" w:sz="4" w:space="0" w:color="auto"/>
              <w:bottom w:val="single" w:sz="4" w:space="0" w:color="000000"/>
              <w:right w:val="single" w:sz="4" w:space="0" w:color="auto"/>
            </w:tcBorders>
            <w:vAlign w:val="center"/>
            <w:hideMark/>
          </w:tcPr>
          <w:p w14:paraId="6571348A"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6</w:t>
            </w:r>
          </w:p>
        </w:tc>
        <w:tc>
          <w:tcPr>
            <w:tcW w:w="1392" w:type="dxa"/>
            <w:vMerge w:val="restart"/>
            <w:tcBorders>
              <w:top w:val="nil"/>
              <w:left w:val="single" w:sz="4" w:space="0" w:color="auto"/>
              <w:bottom w:val="single" w:sz="4" w:space="0" w:color="000000"/>
              <w:right w:val="single" w:sz="4" w:space="0" w:color="auto"/>
            </w:tcBorders>
            <w:vAlign w:val="center"/>
            <w:hideMark/>
          </w:tcPr>
          <w:p w14:paraId="42F97051"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2</w:t>
            </w:r>
          </w:p>
        </w:tc>
        <w:tc>
          <w:tcPr>
            <w:tcW w:w="1649" w:type="dxa"/>
            <w:vMerge w:val="restart"/>
            <w:tcBorders>
              <w:top w:val="nil"/>
              <w:left w:val="single" w:sz="4" w:space="0" w:color="auto"/>
              <w:bottom w:val="single" w:sz="4" w:space="0" w:color="000000"/>
              <w:right w:val="single" w:sz="4" w:space="0" w:color="auto"/>
            </w:tcBorders>
            <w:vAlign w:val="center"/>
            <w:hideMark/>
          </w:tcPr>
          <w:p w14:paraId="7656B9A0"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5</w:t>
            </w:r>
          </w:p>
        </w:tc>
        <w:tc>
          <w:tcPr>
            <w:tcW w:w="1086" w:type="dxa"/>
            <w:vMerge w:val="restart"/>
            <w:tcBorders>
              <w:top w:val="nil"/>
              <w:left w:val="single" w:sz="4" w:space="0" w:color="auto"/>
              <w:bottom w:val="single" w:sz="4" w:space="0" w:color="000000"/>
              <w:right w:val="single" w:sz="4" w:space="0" w:color="auto"/>
            </w:tcBorders>
            <w:vAlign w:val="center"/>
            <w:hideMark/>
          </w:tcPr>
          <w:p w14:paraId="781C2608"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7</w:t>
            </w:r>
          </w:p>
        </w:tc>
        <w:tc>
          <w:tcPr>
            <w:tcW w:w="2250" w:type="dxa"/>
            <w:vMerge w:val="restart"/>
            <w:tcBorders>
              <w:top w:val="nil"/>
              <w:left w:val="single" w:sz="4" w:space="0" w:color="auto"/>
              <w:bottom w:val="single" w:sz="4" w:space="0" w:color="000000"/>
              <w:right w:val="single" w:sz="4" w:space="0" w:color="auto"/>
            </w:tcBorders>
            <w:vAlign w:val="center"/>
            <w:hideMark/>
          </w:tcPr>
          <w:p w14:paraId="6AEC0B4C"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 xml:space="preserve">Achieved </w:t>
            </w:r>
          </w:p>
        </w:tc>
      </w:tr>
      <w:tr w:rsidR="004E03A1" w14:paraId="2FE4131E" w14:textId="77777777" w:rsidTr="00E40BCD">
        <w:trPr>
          <w:trHeight w:val="435"/>
        </w:trPr>
        <w:tc>
          <w:tcPr>
            <w:tcW w:w="3973" w:type="dxa"/>
            <w:tcBorders>
              <w:top w:val="nil"/>
              <w:left w:val="single" w:sz="4" w:space="0" w:color="auto"/>
              <w:bottom w:val="nil"/>
              <w:right w:val="single" w:sz="4" w:space="0" w:color="auto"/>
            </w:tcBorders>
            <w:vAlign w:val="center"/>
            <w:hideMark/>
          </w:tcPr>
          <w:p w14:paraId="27FB7EC8" w14:textId="77777777" w:rsidR="00561865" w:rsidRDefault="00561865">
            <w:pPr>
              <w:rPr>
                <w:rFonts w:ascii="Montserrat" w:hAnsi="Montserrat"/>
                <w:color w:val="000000"/>
                <w:sz w:val="14"/>
                <w:szCs w:val="14"/>
              </w:rPr>
            </w:pPr>
            <w:r>
              <w:rPr>
                <w:rFonts w:ascii="Montserrat" w:hAnsi="Montserrat"/>
                <w:color w:val="000000"/>
                <w:sz w:val="14"/>
                <w:szCs w:val="14"/>
                <w:lang w:val="en-AU"/>
              </w:rPr>
              <w:t>Pacific Integrated ESG</w:t>
            </w:r>
          </w:p>
        </w:tc>
        <w:tc>
          <w:tcPr>
            <w:tcW w:w="3312" w:type="dxa"/>
            <w:vMerge/>
            <w:tcBorders>
              <w:top w:val="nil"/>
              <w:left w:val="nil"/>
              <w:bottom w:val="single" w:sz="4" w:space="0" w:color="000000"/>
              <w:right w:val="single" w:sz="4" w:space="0" w:color="auto"/>
            </w:tcBorders>
            <w:vAlign w:val="center"/>
            <w:hideMark/>
          </w:tcPr>
          <w:p w14:paraId="763B8888"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64F1CD5A"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2B5FF0F4"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1AAB92C4"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432A1FAD"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420E0BB6" w14:textId="77777777" w:rsidR="00561865" w:rsidRDefault="00561865">
            <w:pPr>
              <w:rPr>
                <w:rFonts w:ascii="Montserrat" w:hAnsi="Montserrat"/>
                <w:color w:val="000000"/>
                <w:sz w:val="14"/>
                <w:szCs w:val="14"/>
              </w:rPr>
            </w:pPr>
          </w:p>
        </w:tc>
      </w:tr>
      <w:tr w:rsidR="004E03A1" w14:paraId="25C9A014" w14:textId="77777777" w:rsidTr="00E40BCD">
        <w:trPr>
          <w:trHeight w:val="332"/>
        </w:trPr>
        <w:tc>
          <w:tcPr>
            <w:tcW w:w="3973" w:type="dxa"/>
            <w:tcBorders>
              <w:top w:val="single" w:sz="4" w:space="0" w:color="auto"/>
              <w:left w:val="single" w:sz="4" w:space="0" w:color="auto"/>
              <w:bottom w:val="nil"/>
              <w:right w:val="single" w:sz="4" w:space="0" w:color="auto"/>
            </w:tcBorders>
            <w:vAlign w:val="center"/>
            <w:hideMark/>
          </w:tcPr>
          <w:p w14:paraId="74A6BE58" w14:textId="77777777" w:rsidR="00561865" w:rsidRDefault="00561865">
            <w:pPr>
              <w:rPr>
                <w:rFonts w:ascii="Montserrat" w:hAnsi="Montserrat"/>
                <w:color w:val="000000"/>
                <w:sz w:val="14"/>
                <w:szCs w:val="14"/>
              </w:rPr>
            </w:pPr>
            <w:r>
              <w:rPr>
                <w:rFonts w:ascii="Montserrat" w:hAnsi="Montserrat"/>
                <w:color w:val="000000"/>
                <w:sz w:val="14"/>
                <w:szCs w:val="14"/>
                <w:lang w:val="en-AU"/>
              </w:rPr>
              <w:t>Fiji Winvest</w:t>
            </w:r>
          </w:p>
        </w:tc>
        <w:tc>
          <w:tcPr>
            <w:tcW w:w="3312" w:type="dxa"/>
            <w:vMerge w:val="restart"/>
            <w:tcBorders>
              <w:top w:val="nil"/>
              <w:left w:val="nil"/>
              <w:bottom w:val="single" w:sz="4" w:space="0" w:color="000000"/>
              <w:right w:val="single" w:sz="4" w:space="0" w:color="auto"/>
            </w:tcBorders>
            <w:vAlign w:val="center"/>
            <w:hideMark/>
          </w:tcPr>
          <w:p w14:paraId="3BE13B6B"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new laws/regulations/amendments/codes/government policies drafted, or contributed to the drafting</w:t>
            </w:r>
          </w:p>
        </w:tc>
        <w:tc>
          <w:tcPr>
            <w:tcW w:w="1633" w:type="dxa"/>
            <w:vMerge w:val="restart"/>
            <w:tcBorders>
              <w:top w:val="nil"/>
              <w:left w:val="single" w:sz="4" w:space="0" w:color="auto"/>
              <w:bottom w:val="single" w:sz="4" w:space="0" w:color="000000"/>
              <w:right w:val="single" w:sz="4" w:space="0" w:color="auto"/>
            </w:tcBorders>
            <w:vAlign w:val="center"/>
            <w:hideMark/>
          </w:tcPr>
          <w:p w14:paraId="4AB13EAE"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5</w:t>
            </w:r>
          </w:p>
        </w:tc>
        <w:tc>
          <w:tcPr>
            <w:tcW w:w="1392" w:type="dxa"/>
            <w:vMerge w:val="restart"/>
            <w:tcBorders>
              <w:top w:val="nil"/>
              <w:left w:val="single" w:sz="4" w:space="0" w:color="auto"/>
              <w:bottom w:val="single" w:sz="4" w:space="0" w:color="000000"/>
              <w:right w:val="single" w:sz="4" w:space="0" w:color="auto"/>
            </w:tcBorders>
            <w:vAlign w:val="center"/>
            <w:hideMark/>
          </w:tcPr>
          <w:p w14:paraId="0CBE65A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w:t>
            </w:r>
          </w:p>
        </w:tc>
        <w:tc>
          <w:tcPr>
            <w:tcW w:w="1649" w:type="dxa"/>
            <w:vMerge w:val="restart"/>
            <w:tcBorders>
              <w:top w:val="nil"/>
              <w:left w:val="single" w:sz="4" w:space="0" w:color="auto"/>
              <w:bottom w:val="single" w:sz="4" w:space="0" w:color="000000"/>
              <w:right w:val="single" w:sz="4" w:space="0" w:color="auto"/>
            </w:tcBorders>
            <w:vAlign w:val="center"/>
            <w:hideMark/>
          </w:tcPr>
          <w:p w14:paraId="7F4E028A"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1086" w:type="dxa"/>
            <w:vMerge w:val="restart"/>
            <w:tcBorders>
              <w:top w:val="nil"/>
              <w:left w:val="single" w:sz="4" w:space="0" w:color="auto"/>
              <w:bottom w:val="single" w:sz="4" w:space="0" w:color="000000"/>
              <w:right w:val="single" w:sz="4" w:space="0" w:color="auto"/>
            </w:tcBorders>
            <w:vAlign w:val="center"/>
            <w:hideMark/>
          </w:tcPr>
          <w:p w14:paraId="6EC470A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4</w:t>
            </w:r>
          </w:p>
        </w:tc>
        <w:tc>
          <w:tcPr>
            <w:tcW w:w="2250" w:type="dxa"/>
            <w:vMerge w:val="restart"/>
            <w:tcBorders>
              <w:top w:val="nil"/>
              <w:left w:val="single" w:sz="4" w:space="0" w:color="auto"/>
              <w:bottom w:val="single" w:sz="4" w:space="0" w:color="000000"/>
              <w:right w:val="single" w:sz="4" w:space="0" w:color="auto"/>
            </w:tcBorders>
            <w:vAlign w:val="center"/>
            <w:hideMark/>
          </w:tcPr>
          <w:p w14:paraId="01228EB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80</w:t>
            </w:r>
          </w:p>
        </w:tc>
      </w:tr>
      <w:tr w:rsidR="004E03A1" w14:paraId="4B38961C" w14:textId="77777777" w:rsidTr="00E40BCD">
        <w:trPr>
          <w:trHeight w:val="300"/>
        </w:trPr>
        <w:tc>
          <w:tcPr>
            <w:tcW w:w="3973" w:type="dxa"/>
            <w:tcBorders>
              <w:top w:val="nil"/>
              <w:left w:val="single" w:sz="4" w:space="0" w:color="auto"/>
              <w:bottom w:val="single" w:sz="4" w:space="0" w:color="auto"/>
              <w:right w:val="single" w:sz="4" w:space="0" w:color="auto"/>
            </w:tcBorders>
            <w:vAlign w:val="center"/>
            <w:hideMark/>
          </w:tcPr>
          <w:p w14:paraId="5CE1F25D" w14:textId="77777777" w:rsidR="00561865" w:rsidRDefault="00561865">
            <w:pPr>
              <w:rPr>
                <w:rFonts w:ascii="Montserrat" w:hAnsi="Montserrat"/>
                <w:color w:val="000000"/>
                <w:sz w:val="14"/>
                <w:szCs w:val="14"/>
              </w:rPr>
            </w:pPr>
            <w:r>
              <w:rPr>
                <w:rFonts w:ascii="Montserrat" w:hAnsi="Montserrat"/>
                <w:color w:val="000000"/>
                <w:sz w:val="14"/>
                <w:szCs w:val="14"/>
                <w:lang w:val="en-AU"/>
              </w:rPr>
              <w:t>Fiji Green Finance</w:t>
            </w:r>
          </w:p>
        </w:tc>
        <w:tc>
          <w:tcPr>
            <w:tcW w:w="3312" w:type="dxa"/>
            <w:vMerge/>
            <w:tcBorders>
              <w:top w:val="nil"/>
              <w:left w:val="nil"/>
              <w:bottom w:val="single" w:sz="4" w:space="0" w:color="000000"/>
              <w:right w:val="single" w:sz="4" w:space="0" w:color="auto"/>
            </w:tcBorders>
            <w:vAlign w:val="center"/>
            <w:hideMark/>
          </w:tcPr>
          <w:p w14:paraId="631BB51F" w14:textId="77777777" w:rsidR="00561865" w:rsidRDefault="00561865">
            <w:pPr>
              <w:rPr>
                <w:rFonts w:ascii="Montserrat" w:hAnsi="Montserrat"/>
                <w:color w:val="000000"/>
                <w:sz w:val="14"/>
                <w:szCs w:val="14"/>
              </w:rPr>
            </w:pPr>
          </w:p>
        </w:tc>
        <w:tc>
          <w:tcPr>
            <w:tcW w:w="1633" w:type="dxa"/>
            <w:vMerge/>
            <w:tcBorders>
              <w:top w:val="nil"/>
              <w:left w:val="single" w:sz="4" w:space="0" w:color="auto"/>
              <w:bottom w:val="single" w:sz="4" w:space="0" w:color="000000"/>
              <w:right w:val="single" w:sz="4" w:space="0" w:color="auto"/>
            </w:tcBorders>
            <w:vAlign w:val="center"/>
            <w:hideMark/>
          </w:tcPr>
          <w:p w14:paraId="39005036" w14:textId="77777777" w:rsidR="00561865" w:rsidRDefault="00561865">
            <w:pPr>
              <w:rPr>
                <w:rFonts w:ascii="Montserrat" w:hAnsi="Montserrat"/>
                <w:color w:val="000000"/>
                <w:sz w:val="14"/>
                <w:szCs w:val="14"/>
              </w:rPr>
            </w:pPr>
          </w:p>
        </w:tc>
        <w:tc>
          <w:tcPr>
            <w:tcW w:w="1392" w:type="dxa"/>
            <w:vMerge/>
            <w:tcBorders>
              <w:top w:val="nil"/>
              <w:left w:val="single" w:sz="4" w:space="0" w:color="auto"/>
              <w:bottom w:val="single" w:sz="4" w:space="0" w:color="000000"/>
              <w:right w:val="single" w:sz="4" w:space="0" w:color="auto"/>
            </w:tcBorders>
            <w:vAlign w:val="center"/>
            <w:hideMark/>
          </w:tcPr>
          <w:p w14:paraId="5C11FB50" w14:textId="77777777" w:rsidR="00561865" w:rsidRDefault="00561865">
            <w:pPr>
              <w:rPr>
                <w:rFonts w:ascii="Montserrat" w:hAnsi="Montserrat"/>
                <w:color w:val="000000"/>
                <w:sz w:val="14"/>
                <w:szCs w:val="14"/>
              </w:rPr>
            </w:pPr>
          </w:p>
        </w:tc>
        <w:tc>
          <w:tcPr>
            <w:tcW w:w="1649" w:type="dxa"/>
            <w:vMerge/>
            <w:tcBorders>
              <w:top w:val="nil"/>
              <w:left w:val="single" w:sz="4" w:space="0" w:color="auto"/>
              <w:bottom w:val="single" w:sz="4" w:space="0" w:color="000000"/>
              <w:right w:val="single" w:sz="4" w:space="0" w:color="auto"/>
            </w:tcBorders>
            <w:vAlign w:val="center"/>
            <w:hideMark/>
          </w:tcPr>
          <w:p w14:paraId="38E301C8" w14:textId="77777777" w:rsidR="00561865" w:rsidRDefault="00561865">
            <w:pPr>
              <w:rPr>
                <w:rFonts w:ascii="Montserrat" w:hAnsi="Montserrat"/>
                <w:color w:val="000000"/>
                <w:sz w:val="14"/>
                <w:szCs w:val="14"/>
              </w:rPr>
            </w:pPr>
          </w:p>
        </w:tc>
        <w:tc>
          <w:tcPr>
            <w:tcW w:w="1086" w:type="dxa"/>
            <w:vMerge/>
            <w:tcBorders>
              <w:top w:val="nil"/>
              <w:left w:val="single" w:sz="4" w:space="0" w:color="auto"/>
              <w:bottom w:val="single" w:sz="4" w:space="0" w:color="000000"/>
              <w:right w:val="single" w:sz="4" w:space="0" w:color="auto"/>
            </w:tcBorders>
            <w:vAlign w:val="center"/>
            <w:hideMark/>
          </w:tcPr>
          <w:p w14:paraId="77C827B3" w14:textId="77777777" w:rsidR="00561865" w:rsidRDefault="00561865">
            <w:pPr>
              <w:rPr>
                <w:rFonts w:ascii="Montserrat" w:hAnsi="Montserrat"/>
                <w:color w:val="000000"/>
                <w:sz w:val="14"/>
                <w:szCs w:val="14"/>
              </w:rPr>
            </w:pPr>
          </w:p>
        </w:tc>
        <w:tc>
          <w:tcPr>
            <w:tcW w:w="2250" w:type="dxa"/>
            <w:vMerge/>
            <w:tcBorders>
              <w:top w:val="nil"/>
              <w:left w:val="single" w:sz="4" w:space="0" w:color="auto"/>
              <w:bottom w:val="single" w:sz="4" w:space="0" w:color="000000"/>
              <w:right w:val="single" w:sz="4" w:space="0" w:color="auto"/>
            </w:tcBorders>
            <w:vAlign w:val="center"/>
            <w:hideMark/>
          </w:tcPr>
          <w:p w14:paraId="54A7FA42" w14:textId="77777777" w:rsidR="00561865" w:rsidRDefault="00561865">
            <w:pPr>
              <w:rPr>
                <w:rFonts w:ascii="Montserrat" w:hAnsi="Montserrat"/>
                <w:color w:val="000000"/>
                <w:sz w:val="14"/>
                <w:szCs w:val="14"/>
              </w:rPr>
            </w:pPr>
          </w:p>
        </w:tc>
      </w:tr>
      <w:tr w:rsidR="004E03A1" w14:paraId="1C8F6DB0" w14:textId="77777777" w:rsidTr="00E40BCD">
        <w:trPr>
          <w:trHeight w:val="540"/>
        </w:trPr>
        <w:tc>
          <w:tcPr>
            <w:tcW w:w="3973" w:type="dxa"/>
            <w:tcBorders>
              <w:top w:val="nil"/>
              <w:left w:val="single" w:sz="4" w:space="0" w:color="auto"/>
              <w:bottom w:val="single" w:sz="4" w:space="0" w:color="auto"/>
              <w:right w:val="single" w:sz="4" w:space="0" w:color="auto"/>
            </w:tcBorders>
            <w:vAlign w:val="center"/>
            <w:hideMark/>
          </w:tcPr>
          <w:p w14:paraId="68F0A3B6" w14:textId="77777777" w:rsidR="00561865" w:rsidRDefault="00561865">
            <w:pPr>
              <w:rPr>
                <w:rFonts w:ascii="Montserrat" w:hAnsi="Montserrat"/>
                <w:color w:val="000000"/>
                <w:sz w:val="14"/>
                <w:szCs w:val="14"/>
              </w:rPr>
            </w:pPr>
            <w:r>
              <w:rPr>
                <w:rFonts w:ascii="Montserrat" w:hAnsi="Montserrat"/>
                <w:color w:val="000000"/>
                <w:sz w:val="14"/>
                <w:szCs w:val="14"/>
                <w:lang w:val="en-AU"/>
              </w:rPr>
              <w:t>Fiji Sustainable Tourism Project</w:t>
            </w:r>
          </w:p>
        </w:tc>
        <w:tc>
          <w:tcPr>
            <w:tcW w:w="3312" w:type="dxa"/>
            <w:tcBorders>
              <w:top w:val="nil"/>
              <w:left w:val="nil"/>
              <w:bottom w:val="single" w:sz="4" w:space="0" w:color="auto"/>
              <w:right w:val="single" w:sz="4" w:space="0" w:color="auto"/>
            </w:tcBorders>
            <w:vAlign w:val="center"/>
            <w:hideMark/>
          </w:tcPr>
          <w:p w14:paraId="72C57A52"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private sector entities being assessed to sustainable tourism/green standards</w:t>
            </w:r>
          </w:p>
        </w:tc>
        <w:tc>
          <w:tcPr>
            <w:tcW w:w="1633" w:type="dxa"/>
            <w:tcBorders>
              <w:top w:val="nil"/>
              <w:left w:val="nil"/>
              <w:bottom w:val="single" w:sz="4" w:space="0" w:color="auto"/>
              <w:right w:val="single" w:sz="4" w:space="0" w:color="auto"/>
            </w:tcBorders>
            <w:vAlign w:val="center"/>
            <w:hideMark/>
          </w:tcPr>
          <w:p w14:paraId="1CF289A3"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120</w:t>
            </w:r>
          </w:p>
        </w:tc>
        <w:tc>
          <w:tcPr>
            <w:tcW w:w="1392" w:type="dxa"/>
            <w:tcBorders>
              <w:top w:val="nil"/>
              <w:left w:val="nil"/>
              <w:bottom w:val="single" w:sz="4" w:space="0" w:color="auto"/>
              <w:right w:val="single" w:sz="4" w:space="0" w:color="auto"/>
            </w:tcBorders>
            <w:vAlign w:val="center"/>
            <w:hideMark/>
          </w:tcPr>
          <w:p w14:paraId="1F96F0C8"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1649" w:type="dxa"/>
            <w:tcBorders>
              <w:top w:val="nil"/>
              <w:left w:val="nil"/>
              <w:bottom w:val="single" w:sz="4" w:space="0" w:color="auto"/>
              <w:right w:val="single" w:sz="4" w:space="0" w:color="auto"/>
            </w:tcBorders>
            <w:vAlign w:val="center"/>
            <w:hideMark/>
          </w:tcPr>
          <w:p w14:paraId="7C9FF5D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1086" w:type="dxa"/>
            <w:tcBorders>
              <w:top w:val="nil"/>
              <w:left w:val="nil"/>
              <w:bottom w:val="single" w:sz="4" w:space="0" w:color="auto"/>
              <w:right w:val="single" w:sz="4" w:space="0" w:color="auto"/>
            </w:tcBorders>
            <w:vAlign w:val="center"/>
            <w:hideMark/>
          </w:tcPr>
          <w:p w14:paraId="1FA6C9AB"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2250" w:type="dxa"/>
            <w:tcBorders>
              <w:top w:val="nil"/>
              <w:left w:val="nil"/>
              <w:bottom w:val="single" w:sz="4" w:space="0" w:color="auto"/>
              <w:right w:val="single" w:sz="4" w:space="0" w:color="auto"/>
            </w:tcBorders>
            <w:vAlign w:val="center"/>
            <w:hideMark/>
          </w:tcPr>
          <w:p w14:paraId="5C935E2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r>
      <w:tr w:rsidR="004E03A1" w14:paraId="09D70E5A" w14:textId="77777777" w:rsidTr="00E40BCD">
        <w:trPr>
          <w:trHeight w:val="540"/>
        </w:trPr>
        <w:tc>
          <w:tcPr>
            <w:tcW w:w="3973" w:type="dxa"/>
            <w:tcBorders>
              <w:top w:val="nil"/>
              <w:left w:val="single" w:sz="4" w:space="0" w:color="auto"/>
              <w:bottom w:val="single" w:sz="4" w:space="0" w:color="auto"/>
              <w:right w:val="single" w:sz="4" w:space="0" w:color="auto"/>
            </w:tcBorders>
            <w:vAlign w:val="center"/>
            <w:hideMark/>
          </w:tcPr>
          <w:p w14:paraId="1F6373EA" w14:textId="77777777" w:rsidR="00561865" w:rsidRDefault="00561865">
            <w:pPr>
              <w:rPr>
                <w:rFonts w:ascii="Montserrat" w:hAnsi="Montserrat"/>
                <w:color w:val="000000"/>
                <w:sz w:val="14"/>
                <w:szCs w:val="14"/>
              </w:rPr>
            </w:pPr>
            <w:r>
              <w:rPr>
                <w:rFonts w:ascii="Montserrat" w:hAnsi="Montserrat"/>
                <w:color w:val="000000"/>
                <w:sz w:val="14"/>
                <w:szCs w:val="14"/>
                <w:lang w:val="en-AU"/>
              </w:rPr>
              <w:t>Fiji Sustainable Tourism Project</w:t>
            </w:r>
          </w:p>
        </w:tc>
        <w:tc>
          <w:tcPr>
            <w:tcW w:w="3312" w:type="dxa"/>
            <w:tcBorders>
              <w:top w:val="nil"/>
              <w:left w:val="nil"/>
              <w:bottom w:val="single" w:sz="4" w:space="0" w:color="auto"/>
              <w:right w:val="single" w:sz="4" w:space="0" w:color="auto"/>
            </w:tcBorders>
            <w:vAlign w:val="center"/>
            <w:hideMark/>
          </w:tcPr>
          <w:p w14:paraId="4562ADBA" w14:textId="77777777" w:rsidR="00561865" w:rsidRDefault="00561865">
            <w:pPr>
              <w:rPr>
                <w:rFonts w:ascii="Montserrat" w:hAnsi="Montserrat"/>
                <w:color w:val="000000"/>
                <w:sz w:val="14"/>
                <w:szCs w:val="14"/>
              </w:rPr>
            </w:pPr>
            <w:r>
              <w:rPr>
                <w:rFonts w:ascii="Montserrat" w:hAnsi="Montserrat"/>
                <w:color w:val="000000"/>
                <w:sz w:val="14"/>
                <w:szCs w:val="14"/>
                <w:lang w:val="en-AU"/>
              </w:rPr>
              <w:t>Number of private sector tourism operators being certified by accredited certification bodies</w:t>
            </w:r>
          </w:p>
        </w:tc>
        <w:tc>
          <w:tcPr>
            <w:tcW w:w="1633" w:type="dxa"/>
            <w:tcBorders>
              <w:top w:val="nil"/>
              <w:left w:val="nil"/>
              <w:bottom w:val="single" w:sz="4" w:space="0" w:color="auto"/>
              <w:right w:val="single" w:sz="4" w:space="0" w:color="auto"/>
            </w:tcBorders>
            <w:vAlign w:val="center"/>
            <w:hideMark/>
          </w:tcPr>
          <w:p w14:paraId="75AF8A9D"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5</w:t>
            </w:r>
          </w:p>
        </w:tc>
        <w:tc>
          <w:tcPr>
            <w:tcW w:w="1392" w:type="dxa"/>
            <w:tcBorders>
              <w:top w:val="nil"/>
              <w:left w:val="nil"/>
              <w:bottom w:val="single" w:sz="4" w:space="0" w:color="auto"/>
              <w:right w:val="single" w:sz="4" w:space="0" w:color="auto"/>
            </w:tcBorders>
            <w:vAlign w:val="center"/>
            <w:hideMark/>
          </w:tcPr>
          <w:p w14:paraId="6A65A544"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1649" w:type="dxa"/>
            <w:tcBorders>
              <w:top w:val="nil"/>
              <w:left w:val="nil"/>
              <w:bottom w:val="single" w:sz="4" w:space="0" w:color="auto"/>
              <w:right w:val="single" w:sz="4" w:space="0" w:color="auto"/>
            </w:tcBorders>
            <w:vAlign w:val="center"/>
            <w:hideMark/>
          </w:tcPr>
          <w:p w14:paraId="588201D6"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1086" w:type="dxa"/>
            <w:tcBorders>
              <w:top w:val="nil"/>
              <w:left w:val="nil"/>
              <w:bottom w:val="single" w:sz="4" w:space="0" w:color="auto"/>
              <w:right w:val="single" w:sz="4" w:space="0" w:color="auto"/>
            </w:tcBorders>
            <w:vAlign w:val="center"/>
            <w:hideMark/>
          </w:tcPr>
          <w:p w14:paraId="0E8D4A4F"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c>
          <w:tcPr>
            <w:tcW w:w="2250" w:type="dxa"/>
            <w:tcBorders>
              <w:top w:val="nil"/>
              <w:left w:val="nil"/>
              <w:bottom w:val="single" w:sz="4" w:space="0" w:color="auto"/>
              <w:right w:val="single" w:sz="4" w:space="0" w:color="auto"/>
            </w:tcBorders>
            <w:vAlign w:val="center"/>
            <w:hideMark/>
          </w:tcPr>
          <w:p w14:paraId="5D686AD3" w14:textId="77777777" w:rsidR="00561865" w:rsidRDefault="00561865">
            <w:pPr>
              <w:jc w:val="right"/>
              <w:rPr>
                <w:rFonts w:ascii="Montserrat" w:hAnsi="Montserrat"/>
                <w:color w:val="000000"/>
                <w:sz w:val="14"/>
                <w:szCs w:val="14"/>
              </w:rPr>
            </w:pPr>
            <w:r>
              <w:rPr>
                <w:rFonts w:ascii="Montserrat" w:hAnsi="Montserrat"/>
                <w:color w:val="000000"/>
                <w:sz w:val="14"/>
                <w:szCs w:val="14"/>
                <w:lang w:val="en-AU"/>
              </w:rPr>
              <w:t>0</w:t>
            </w:r>
          </w:p>
        </w:tc>
      </w:tr>
    </w:tbl>
    <w:p w14:paraId="38DFC1BD" w14:textId="77777777" w:rsidR="00552BF9" w:rsidRPr="00A26E3C" w:rsidRDefault="00552BF9" w:rsidP="00552BF9">
      <w:pPr>
        <w:rPr>
          <w:rFonts w:ascii="Montserrat" w:hAnsi="Montserrat" w:cs="Montserrat"/>
          <w:b/>
          <w:bCs/>
          <w:color w:val="005568"/>
          <w:sz w:val="20"/>
          <w:szCs w:val="20"/>
          <w:lang w:val="en-AU"/>
        </w:rPr>
        <w:sectPr w:rsidR="00552BF9" w:rsidRPr="00A26E3C" w:rsidSect="00552BF9">
          <w:pgSz w:w="16838" w:h="11906" w:orient="landscape" w:code="9"/>
          <w:pgMar w:top="720" w:right="720" w:bottom="720" w:left="720" w:header="708" w:footer="708" w:gutter="0"/>
          <w:cols w:space="708"/>
          <w:docGrid w:linePitch="360"/>
        </w:sectPr>
      </w:pPr>
    </w:p>
    <w:p w14:paraId="7B1854BC" w14:textId="77777777" w:rsidR="00552BF9" w:rsidRPr="00A26E3C" w:rsidRDefault="00552BF9" w:rsidP="00FA13BD">
      <w:pPr>
        <w:suppressAutoHyphens/>
        <w:autoSpaceDE w:val="0"/>
        <w:autoSpaceDN w:val="0"/>
        <w:adjustRightInd w:val="0"/>
        <w:spacing w:line="288" w:lineRule="auto"/>
        <w:ind w:left="-783"/>
        <w:textAlignment w:val="center"/>
        <w:rPr>
          <w:rFonts w:ascii="Montserrat" w:hAnsi="Montserrat" w:cs="Montserrat"/>
          <w:caps/>
          <w:color w:val="1C4257"/>
          <w:spacing w:val="32"/>
          <w:sz w:val="32"/>
          <w:szCs w:val="32"/>
          <w:lang w:val="en-AU"/>
        </w:rPr>
      </w:pPr>
      <w:r w:rsidRPr="00A26E3C">
        <w:rPr>
          <w:rFonts w:ascii="Montserrat" w:hAnsi="Montserrat" w:cs="Montserrat"/>
          <w:caps/>
          <w:color w:val="1C4257"/>
          <w:spacing w:val="32"/>
          <w:sz w:val="32"/>
          <w:szCs w:val="32"/>
          <w:lang w:val="en-AU"/>
        </w:rPr>
        <w:lastRenderedPageBreak/>
        <w:t xml:space="preserve">DEVELOPMENT RESULTS  </w:t>
      </w:r>
    </w:p>
    <w:p w14:paraId="6F77B1C5" w14:textId="77777777" w:rsidR="00552BF9" w:rsidRDefault="00552BF9" w:rsidP="00FA13BD">
      <w:pPr>
        <w:suppressAutoHyphens/>
        <w:autoSpaceDE w:val="0"/>
        <w:autoSpaceDN w:val="0"/>
        <w:adjustRightInd w:val="0"/>
        <w:spacing w:line="288" w:lineRule="auto"/>
        <w:ind w:left="-783"/>
        <w:textAlignment w:val="center"/>
        <w:rPr>
          <w:rFonts w:ascii="Montserrat SemiBold" w:hAnsi="Montserrat SemiBold" w:cs="Montserrat SemiBold"/>
          <w:b/>
          <w:bCs/>
          <w:caps/>
          <w:color w:val="1C4257"/>
          <w:spacing w:val="16"/>
          <w:sz w:val="20"/>
          <w:szCs w:val="20"/>
          <w:lang w:val="en-AU"/>
        </w:rPr>
      </w:pPr>
      <w:r w:rsidRPr="00A26E3C">
        <w:rPr>
          <w:rFonts w:ascii="Montserrat SemiBold" w:hAnsi="Montserrat SemiBold" w:cs="Montserrat SemiBold"/>
          <w:b/>
          <w:bCs/>
          <w:caps/>
          <w:color w:val="1C4257"/>
          <w:spacing w:val="16"/>
          <w:sz w:val="20"/>
          <w:szCs w:val="20"/>
          <w:lang w:val="en-AU"/>
        </w:rPr>
        <w:t xml:space="preserve">FPSDP Development Outcomes </w:t>
      </w:r>
    </w:p>
    <w:p w14:paraId="72F16297" w14:textId="1F0FDB22" w:rsidR="00334FFA" w:rsidRDefault="00334FFA" w:rsidP="00FA13BD">
      <w:pPr>
        <w:suppressAutoHyphens/>
        <w:autoSpaceDE w:val="0"/>
        <w:autoSpaceDN w:val="0"/>
        <w:adjustRightInd w:val="0"/>
        <w:spacing w:line="288" w:lineRule="auto"/>
        <w:ind w:left="-783"/>
        <w:textAlignment w:val="center"/>
        <w:rPr>
          <w:rFonts w:ascii="Montserrat SemiBold" w:hAnsi="Montserrat SemiBold" w:cs="Montserrat SemiBold"/>
          <w:b/>
          <w:bCs/>
          <w:caps/>
          <w:color w:val="1C4257"/>
          <w:spacing w:val="19"/>
          <w:vertAlign w:val="superscript"/>
          <w:lang w:val="en-AU"/>
        </w:rPr>
      </w:pPr>
      <w:bookmarkStart w:id="75" w:name="_Hlk221280453"/>
      <w:r>
        <w:rPr>
          <w:rFonts w:ascii="Montserrat SemiBold" w:hAnsi="Montserrat SemiBold" w:cs="Montserrat SemiBold"/>
          <w:b/>
          <w:bCs/>
          <w:caps/>
          <w:color w:val="1C4257"/>
          <w:spacing w:val="19"/>
          <w:vertAlign w:val="superscript"/>
          <w:lang w:val="en-AU"/>
        </w:rPr>
        <w:t xml:space="preserve">Partnership Pillar 1: </w:t>
      </w:r>
      <w:r w:rsidRPr="00334FFA">
        <w:rPr>
          <w:rFonts w:ascii="Montserrat SemiBold" w:hAnsi="Montserrat SemiBold" w:cs="Montserrat SemiBold"/>
          <w:b/>
          <w:bCs/>
          <w:caps/>
          <w:color w:val="1C4257"/>
          <w:spacing w:val="19"/>
          <w:vertAlign w:val="superscript"/>
          <w:lang w:val="en-AU"/>
        </w:rPr>
        <w:t>Enabling environment for the private Sector</w:t>
      </w:r>
    </w:p>
    <w:p w14:paraId="31601F09" w14:textId="1478CA19" w:rsidR="00334FFA" w:rsidRPr="00A31CD6" w:rsidRDefault="00334FFA" w:rsidP="00FA13BD">
      <w:pPr>
        <w:suppressAutoHyphens/>
        <w:autoSpaceDE w:val="0"/>
        <w:autoSpaceDN w:val="0"/>
        <w:adjustRightInd w:val="0"/>
        <w:spacing w:line="288" w:lineRule="auto"/>
        <w:ind w:left="-783"/>
        <w:textAlignment w:val="center"/>
        <w:rPr>
          <w:rFonts w:ascii="Montserrat SemiBold" w:hAnsi="Montserrat SemiBold" w:cs="Montserrat SemiBold"/>
          <w:b/>
          <w:bCs/>
          <w:caps/>
          <w:color w:val="1C4257"/>
          <w:spacing w:val="19"/>
          <w:vertAlign w:val="superscript"/>
          <w:lang w:val="en-AU"/>
        </w:rPr>
      </w:pPr>
      <w:r>
        <w:rPr>
          <w:rFonts w:ascii="Montserrat" w:hAnsi="Montserrat"/>
          <w:b/>
          <w:bCs/>
          <w:color w:val="000000"/>
          <w:sz w:val="14"/>
          <w:szCs w:val="14"/>
          <w:lang w:val="en-AU"/>
        </w:rPr>
        <w:t xml:space="preserve">Portfolio projects with expected qualitative contributions to Partnership Pillar </w:t>
      </w:r>
      <w:r>
        <w:rPr>
          <w:rFonts w:ascii="Montserrat Medium" w:hAnsi="Montserrat Medium"/>
          <w:i/>
          <w:iCs/>
          <w:color w:val="000000"/>
          <w:sz w:val="14"/>
          <w:szCs w:val="14"/>
          <w:lang w:val="en-AU"/>
        </w:rPr>
        <w:t xml:space="preserve">(as per donor application, reported against evaluative questions): </w:t>
      </w:r>
      <w:r>
        <w:rPr>
          <w:rFonts w:ascii="Montserrat SemiBold" w:hAnsi="Montserrat SemiBold"/>
          <w:color w:val="000000"/>
          <w:sz w:val="14"/>
          <w:szCs w:val="14"/>
          <w:lang w:val="en-AU"/>
        </w:rPr>
        <w:t>Fiji Payment System,</w:t>
      </w:r>
      <w:r w:rsidRPr="00561865">
        <w:rPr>
          <w:rFonts w:ascii="Montserrat SemiBold" w:hAnsi="Montserrat SemiBold"/>
          <w:color w:val="000000"/>
          <w:sz w:val="14"/>
          <w:szCs w:val="14"/>
          <w:lang w:val="en-AU"/>
        </w:rPr>
        <w:t xml:space="preserve"> </w:t>
      </w:r>
      <w:r w:rsidR="00A31CD6" w:rsidRPr="00A31CD6">
        <w:rPr>
          <w:rFonts w:ascii="Montserrat SemiBold" w:hAnsi="Montserrat SemiBold"/>
          <w:color w:val="000000"/>
          <w:sz w:val="14"/>
          <w:szCs w:val="14"/>
          <w:lang w:val="en-AU"/>
        </w:rPr>
        <w:t>Fiji Investment Competitiveness, Fiji Affordable Housing Development, Fiji Winvest, Fiji Sustainable Tourism Project, Advance2Equal, Fiji International Visitors Survey, Fiji Green Finance, Fiji Sustainable Tourism and Investment and Fiji Enabling Investment Environment</w:t>
      </w:r>
    </w:p>
    <w:bookmarkEnd w:id="75"/>
    <w:p w14:paraId="45FC1654" w14:textId="77777777" w:rsidR="00334FFA" w:rsidRDefault="00334FFA" w:rsidP="00552BF9">
      <w:pPr>
        <w:suppressAutoHyphens/>
        <w:autoSpaceDE w:val="0"/>
        <w:autoSpaceDN w:val="0"/>
        <w:adjustRightInd w:val="0"/>
        <w:spacing w:line="288" w:lineRule="auto"/>
        <w:textAlignment w:val="center"/>
        <w:rPr>
          <w:rFonts w:ascii="Montserrat SemiBold" w:hAnsi="Montserrat SemiBold" w:cs="Montserrat SemiBold"/>
          <w:b/>
          <w:bCs/>
          <w:caps/>
          <w:color w:val="1C4257"/>
          <w:spacing w:val="16"/>
          <w:sz w:val="20"/>
          <w:szCs w:val="20"/>
          <w:lang w:val="en-AU"/>
        </w:rPr>
      </w:pPr>
    </w:p>
    <w:tbl>
      <w:tblPr>
        <w:tblW w:w="15344" w:type="dxa"/>
        <w:tblInd w:w="-775" w:type="dxa"/>
        <w:tblLook w:val="04A0" w:firstRow="1" w:lastRow="0" w:firstColumn="1" w:lastColumn="0" w:noHBand="0" w:noVBand="1"/>
      </w:tblPr>
      <w:tblGrid>
        <w:gridCol w:w="3375"/>
        <w:gridCol w:w="2970"/>
        <w:gridCol w:w="1890"/>
        <w:gridCol w:w="1350"/>
        <w:gridCol w:w="1440"/>
        <w:gridCol w:w="1440"/>
        <w:gridCol w:w="1080"/>
        <w:gridCol w:w="1799"/>
      </w:tblGrid>
      <w:tr w:rsidR="00BE6597" w:rsidRPr="00A90D61" w14:paraId="2EFAD8BA" w14:textId="77777777" w:rsidTr="00E40BCD">
        <w:trPr>
          <w:trHeight w:val="755"/>
          <w:tblHeader/>
        </w:trPr>
        <w:tc>
          <w:tcPr>
            <w:tcW w:w="3375" w:type="dxa"/>
            <w:tcBorders>
              <w:top w:val="single" w:sz="4" w:space="0" w:color="auto"/>
              <w:left w:val="single" w:sz="4" w:space="0" w:color="auto"/>
              <w:bottom w:val="single" w:sz="4" w:space="0" w:color="auto"/>
              <w:right w:val="single" w:sz="8" w:space="0" w:color="FFFFFF"/>
            </w:tcBorders>
            <w:shd w:val="clear" w:color="auto" w:fill="C1E4F5" w:themeFill="accent1" w:themeFillTint="33"/>
            <w:vAlign w:val="center"/>
            <w:hideMark/>
          </w:tcPr>
          <w:p w14:paraId="5075B055" w14:textId="77777777" w:rsidR="00A31CD6" w:rsidRPr="00A90D61" w:rsidRDefault="00A31CD6" w:rsidP="00FA13BD">
            <w:pPr>
              <w:rPr>
                <w:rFonts w:ascii="Montserrat" w:hAnsi="Montserrat"/>
                <w:b/>
                <w:bCs/>
                <w:color w:val="000000"/>
                <w:sz w:val="14"/>
                <w:szCs w:val="14"/>
                <w:lang w:val="en-AU"/>
              </w:rPr>
            </w:pPr>
            <w:r>
              <w:rPr>
                <w:rFonts w:ascii="Montserrat" w:hAnsi="Montserrat"/>
                <w:b/>
                <w:bCs/>
                <w:color w:val="000000"/>
                <w:sz w:val="14"/>
                <w:szCs w:val="14"/>
                <w:lang w:val="en-AU"/>
              </w:rPr>
              <w:t xml:space="preserve">Portfolio projects with expected quantitative contributions to Partnership Pillar </w:t>
            </w:r>
            <w:r w:rsidRPr="00A90D61">
              <w:rPr>
                <w:rFonts w:ascii="Montserrat" w:hAnsi="Montserrat"/>
                <w:b/>
                <w:bCs/>
                <w:color w:val="000000"/>
                <w:sz w:val="14"/>
                <w:szCs w:val="14"/>
                <w:lang w:val="en-AU"/>
              </w:rPr>
              <w:t>(as per development outcome indicators at end-June 2024)</w:t>
            </w:r>
          </w:p>
        </w:tc>
        <w:tc>
          <w:tcPr>
            <w:tcW w:w="2970"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4DFA7CD4" w14:textId="2E4BA693" w:rsidR="00A31CD6" w:rsidRPr="00A90D61" w:rsidRDefault="00A31CD6" w:rsidP="00BE6597">
            <w:pPr>
              <w:jc w:val="center"/>
              <w:rPr>
                <w:rFonts w:ascii="Montserrat" w:hAnsi="Montserrat"/>
                <w:b/>
                <w:bCs/>
                <w:color w:val="000000"/>
                <w:sz w:val="14"/>
                <w:szCs w:val="14"/>
                <w:lang w:val="en-AU"/>
              </w:rPr>
            </w:pPr>
            <w:r>
              <w:rPr>
                <w:rFonts w:ascii="Montserrat" w:hAnsi="Montserrat"/>
                <w:b/>
                <w:bCs/>
                <w:color w:val="000000"/>
                <w:sz w:val="14"/>
                <w:szCs w:val="14"/>
                <w:lang w:val="en-AU"/>
              </w:rPr>
              <w:t>Development</w:t>
            </w:r>
            <w:r w:rsidR="004E03A1" w:rsidRPr="00A90D61">
              <w:rPr>
                <w:rFonts w:ascii="Montserrat" w:hAnsi="Montserrat"/>
                <w:b/>
                <w:bCs/>
                <w:color w:val="000000"/>
                <w:sz w:val="14"/>
                <w:szCs w:val="14"/>
                <w:lang w:val="en-AU"/>
              </w:rPr>
              <w:t xml:space="preserve"> outcome indicators</w:t>
            </w:r>
          </w:p>
        </w:tc>
        <w:tc>
          <w:tcPr>
            <w:tcW w:w="189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1D93A397" w14:textId="58BB037D" w:rsidR="00A31CD6" w:rsidRPr="00A90D61" w:rsidRDefault="00A31CD6" w:rsidP="00BE6597">
            <w:pPr>
              <w:jc w:val="right"/>
              <w:rPr>
                <w:rFonts w:ascii="Montserrat" w:hAnsi="Montserrat"/>
                <w:b/>
                <w:bCs/>
                <w:color w:val="000000"/>
                <w:sz w:val="14"/>
                <w:szCs w:val="14"/>
                <w:lang w:val="en-AU"/>
              </w:rPr>
            </w:pPr>
            <w:r>
              <w:rPr>
                <w:rFonts w:ascii="Montserrat" w:hAnsi="Montserrat"/>
                <w:b/>
                <w:bCs/>
                <w:color w:val="000000"/>
                <w:sz w:val="14"/>
                <w:szCs w:val="14"/>
                <w:lang w:val="en-AU"/>
              </w:rPr>
              <w:t>Cumulative targets</w:t>
            </w:r>
          </w:p>
        </w:tc>
        <w:tc>
          <w:tcPr>
            <w:tcW w:w="135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43F791C6" w14:textId="77777777" w:rsidR="00A31CD6" w:rsidRPr="00A90D61" w:rsidRDefault="00A31CD6" w:rsidP="00BE6597">
            <w:pPr>
              <w:jc w:val="right"/>
              <w:rPr>
                <w:rFonts w:ascii="Montserrat" w:hAnsi="Montserrat"/>
                <w:b/>
                <w:bCs/>
                <w:color w:val="000000"/>
                <w:sz w:val="14"/>
                <w:szCs w:val="14"/>
                <w:lang w:val="en-AU"/>
              </w:rPr>
            </w:pPr>
            <w:r>
              <w:rPr>
                <w:rFonts w:ascii="Montserrat" w:hAnsi="Montserrat"/>
                <w:b/>
                <w:bCs/>
                <w:color w:val="000000"/>
                <w:sz w:val="14"/>
                <w:szCs w:val="14"/>
                <w:lang w:val="en-AU"/>
              </w:rPr>
              <w:t>Results achieved prior to Jan 2022</w:t>
            </w:r>
          </w:p>
        </w:tc>
        <w:tc>
          <w:tcPr>
            <w:tcW w:w="1440"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0BA0426F" w14:textId="1981A4C2" w:rsidR="00A31CD6" w:rsidRPr="00A90D61" w:rsidRDefault="00A31CD6" w:rsidP="00BE6597">
            <w:pPr>
              <w:jc w:val="right"/>
              <w:rPr>
                <w:rFonts w:ascii="Montserrat" w:hAnsi="Montserrat"/>
                <w:b/>
                <w:bCs/>
                <w:color w:val="000000"/>
                <w:sz w:val="14"/>
                <w:szCs w:val="14"/>
                <w:lang w:val="en-AU"/>
              </w:rPr>
            </w:pPr>
            <w:r>
              <w:rPr>
                <w:rFonts w:ascii="Montserrat" w:hAnsi="Montserrat"/>
                <w:b/>
                <w:bCs/>
                <w:color w:val="000000"/>
                <w:sz w:val="14"/>
                <w:szCs w:val="14"/>
                <w:lang w:val="en-AU"/>
              </w:rPr>
              <w:t>FPSDP Results achieved</w:t>
            </w:r>
            <w:r w:rsidR="004E03A1">
              <w:rPr>
                <w:rFonts w:ascii="Montserrat" w:hAnsi="Montserrat"/>
                <w:b/>
                <w:bCs/>
                <w:color w:val="000000"/>
                <w:sz w:val="14"/>
                <w:szCs w:val="14"/>
                <w:lang w:val="en-AU"/>
              </w:rPr>
              <w:t xml:space="preserve"> </w:t>
            </w:r>
            <w:r w:rsidR="004E03A1" w:rsidRPr="00A90D61">
              <w:rPr>
                <w:rFonts w:ascii="Montserrat" w:hAnsi="Montserrat"/>
                <w:b/>
                <w:bCs/>
                <w:color w:val="000000"/>
                <w:sz w:val="14"/>
                <w:szCs w:val="14"/>
                <w:lang w:val="en-AU"/>
              </w:rPr>
              <w:t>Jan 2022 - Jun 2024</w:t>
            </w:r>
          </w:p>
        </w:tc>
        <w:tc>
          <w:tcPr>
            <w:tcW w:w="1440"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1E214636" w14:textId="2DFCEFFE" w:rsidR="00A31CD6" w:rsidRPr="00A90D61" w:rsidRDefault="00A31CD6" w:rsidP="00BE6597">
            <w:pPr>
              <w:jc w:val="right"/>
              <w:rPr>
                <w:rFonts w:ascii="Montserrat" w:hAnsi="Montserrat"/>
                <w:b/>
                <w:bCs/>
                <w:color w:val="000000"/>
                <w:sz w:val="14"/>
                <w:szCs w:val="14"/>
                <w:lang w:val="en-AU"/>
              </w:rPr>
            </w:pPr>
            <w:r>
              <w:rPr>
                <w:rFonts w:ascii="Montserrat" w:hAnsi="Montserrat"/>
                <w:b/>
                <w:bCs/>
                <w:color w:val="000000"/>
                <w:sz w:val="14"/>
                <w:szCs w:val="14"/>
                <w:lang w:val="en-AU"/>
              </w:rPr>
              <w:t>FPSDP Current results</w:t>
            </w:r>
            <w:r w:rsidR="004A0E36">
              <w:rPr>
                <w:rFonts w:ascii="Montserrat" w:hAnsi="Montserrat"/>
                <w:b/>
                <w:bCs/>
                <w:color w:val="000000"/>
                <w:sz w:val="14"/>
                <w:szCs w:val="14"/>
                <w:lang w:val="en-AU"/>
              </w:rPr>
              <w:t xml:space="preserve"> </w:t>
            </w:r>
            <w:r w:rsidR="004A0E36" w:rsidRPr="00A90D61">
              <w:rPr>
                <w:rFonts w:ascii="Montserrat" w:hAnsi="Montserrat"/>
                <w:b/>
                <w:bCs/>
                <w:color w:val="000000"/>
                <w:sz w:val="14"/>
                <w:szCs w:val="14"/>
                <w:lang w:val="en-AU"/>
              </w:rPr>
              <w:t>Jul - Dec 2024</w:t>
            </w:r>
          </w:p>
        </w:tc>
        <w:tc>
          <w:tcPr>
            <w:tcW w:w="1080"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7D8F4DB2" w14:textId="1D9A71DB" w:rsidR="00A31CD6" w:rsidRPr="00A90D61" w:rsidRDefault="00A31CD6" w:rsidP="00BE6597">
            <w:pPr>
              <w:jc w:val="right"/>
              <w:rPr>
                <w:rFonts w:ascii="Montserrat" w:hAnsi="Montserrat"/>
                <w:b/>
                <w:bCs/>
                <w:color w:val="000000"/>
                <w:sz w:val="14"/>
                <w:szCs w:val="14"/>
                <w:lang w:val="en-AU"/>
              </w:rPr>
            </w:pPr>
            <w:r>
              <w:rPr>
                <w:rFonts w:ascii="Montserrat" w:hAnsi="Montserrat"/>
                <w:b/>
                <w:bCs/>
                <w:color w:val="000000"/>
                <w:sz w:val="14"/>
                <w:szCs w:val="14"/>
                <w:lang w:val="en-AU"/>
              </w:rPr>
              <w:t>Cumulative results</w:t>
            </w:r>
          </w:p>
        </w:tc>
        <w:tc>
          <w:tcPr>
            <w:tcW w:w="1799" w:type="dxa"/>
            <w:tcBorders>
              <w:top w:val="single" w:sz="4" w:space="0" w:color="auto"/>
              <w:left w:val="single" w:sz="8" w:space="0" w:color="FFFFFF"/>
              <w:bottom w:val="single" w:sz="4" w:space="0" w:color="auto"/>
              <w:right w:val="single" w:sz="4" w:space="0" w:color="auto"/>
            </w:tcBorders>
            <w:shd w:val="clear" w:color="auto" w:fill="C1E4F5" w:themeFill="accent1" w:themeFillTint="33"/>
            <w:vAlign w:val="center"/>
            <w:hideMark/>
          </w:tcPr>
          <w:p w14:paraId="7DA49BD3" w14:textId="77777777" w:rsidR="00A31CD6" w:rsidRPr="00A90D61" w:rsidRDefault="00A31CD6" w:rsidP="00BE6597">
            <w:pPr>
              <w:jc w:val="right"/>
              <w:rPr>
                <w:rFonts w:ascii="Montserrat" w:hAnsi="Montserrat"/>
                <w:b/>
                <w:bCs/>
                <w:color w:val="000000"/>
                <w:sz w:val="14"/>
                <w:szCs w:val="14"/>
                <w:lang w:val="en-AU"/>
              </w:rPr>
            </w:pPr>
            <w:r>
              <w:rPr>
                <w:rFonts w:ascii="Montserrat" w:hAnsi="Montserrat"/>
                <w:b/>
                <w:bCs/>
                <w:color w:val="000000"/>
                <w:sz w:val="14"/>
                <w:szCs w:val="14"/>
                <w:lang w:val="en-AU"/>
              </w:rPr>
              <w:t>% Cumulative results achieved against cumulative targets</w:t>
            </w:r>
          </w:p>
        </w:tc>
      </w:tr>
      <w:tr w:rsidR="00BE6597" w14:paraId="7A899880" w14:textId="77777777" w:rsidTr="00E40BCD">
        <w:trPr>
          <w:trHeight w:val="260"/>
        </w:trPr>
        <w:tc>
          <w:tcPr>
            <w:tcW w:w="3375" w:type="dxa"/>
            <w:tcBorders>
              <w:top w:val="single" w:sz="4" w:space="0" w:color="auto"/>
              <w:left w:val="single" w:sz="4" w:space="0" w:color="auto"/>
              <w:bottom w:val="nil"/>
              <w:right w:val="single" w:sz="4" w:space="0" w:color="auto"/>
            </w:tcBorders>
            <w:vAlign w:val="center"/>
            <w:hideMark/>
          </w:tcPr>
          <w:p w14:paraId="7EB48350" w14:textId="77777777" w:rsidR="00A31CD6" w:rsidRDefault="00A31CD6">
            <w:pPr>
              <w:rPr>
                <w:rFonts w:ascii="Montserrat" w:hAnsi="Montserrat"/>
                <w:color w:val="000000"/>
                <w:sz w:val="14"/>
                <w:szCs w:val="14"/>
              </w:rPr>
            </w:pPr>
            <w:r>
              <w:rPr>
                <w:rFonts w:ascii="Montserrat" w:hAnsi="Montserrat"/>
                <w:color w:val="000000"/>
                <w:sz w:val="14"/>
                <w:szCs w:val="14"/>
                <w:lang w:val="en-AU"/>
              </w:rPr>
              <w:t>Fiji Payment System</w:t>
            </w:r>
          </w:p>
        </w:tc>
        <w:tc>
          <w:tcPr>
            <w:tcW w:w="2970" w:type="dxa"/>
            <w:vMerge w:val="restart"/>
            <w:tcBorders>
              <w:top w:val="single" w:sz="4" w:space="0" w:color="auto"/>
              <w:left w:val="nil"/>
              <w:bottom w:val="nil"/>
              <w:right w:val="nil"/>
            </w:tcBorders>
            <w:vAlign w:val="center"/>
            <w:hideMark/>
          </w:tcPr>
          <w:p w14:paraId="6E1E8DF8" w14:textId="77777777" w:rsidR="00A31CD6" w:rsidRDefault="00A31CD6">
            <w:pPr>
              <w:rPr>
                <w:rFonts w:ascii="Montserrat" w:hAnsi="Montserrat"/>
                <w:color w:val="000000"/>
                <w:sz w:val="14"/>
                <w:szCs w:val="14"/>
              </w:rPr>
            </w:pPr>
            <w:r>
              <w:rPr>
                <w:rFonts w:ascii="Montserrat" w:hAnsi="Montserrat"/>
                <w:color w:val="000000"/>
                <w:sz w:val="14"/>
                <w:szCs w:val="14"/>
                <w:lang w:val="en-AU"/>
              </w:rPr>
              <w:t>Number of entities that implemented recommended changes</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14:paraId="25395151"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17</w:t>
            </w:r>
          </w:p>
        </w:tc>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22F14B65"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8</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1DE639A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243EC550"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vMerge w:val="restart"/>
            <w:tcBorders>
              <w:top w:val="single" w:sz="4" w:space="0" w:color="auto"/>
              <w:left w:val="single" w:sz="4" w:space="0" w:color="auto"/>
              <w:bottom w:val="single" w:sz="4" w:space="0" w:color="auto"/>
              <w:right w:val="single" w:sz="4" w:space="0" w:color="auto"/>
            </w:tcBorders>
            <w:vAlign w:val="center"/>
            <w:hideMark/>
          </w:tcPr>
          <w:p w14:paraId="17245B64"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10</w:t>
            </w:r>
          </w:p>
        </w:tc>
        <w:tc>
          <w:tcPr>
            <w:tcW w:w="1799" w:type="dxa"/>
            <w:vMerge w:val="restart"/>
            <w:tcBorders>
              <w:top w:val="single" w:sz="4" w:space="0" w:color="auto"/>
              <w:left w:val="single" w:sz="4" w:space="0" w:color="auto"/>
              <w:bottom w:val="single" w:sz="4" w:space="0" w:color="auto"/>
              <w:right w:val="single" w:sz="4" w:space="0" w:color="auto"/>
            </w:tcBorders>
            <w:vAlign w:val="center"/>
            <w:hideMark/>
          </w:tcPr>
          <w:p w14:paraId="68D2D02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59</w:t>
            </w:r>
          </w:p>
        </w:tc>
      </w:tr>
      <w:tr w:rsidR="00BE6597" w14:paraId="55510CEB" w14:textId="77777777" w:rsidTr="00E40BCD">
        <w:trPr>
          <w:trHeight w:val="260"/>
        </w:trPr>
        <w:tc>
          <w:tcPr>
            <w:tcW w:w="3375" w:type="dxa"/>
            <w:tcBorders>
              <w:top w:val="nil"/>
              <w:left w:val="single" w:sz="4" w:space="0" w:color="auto"/>
              <w:bottom w:val="nil"/>
              <w:right w:val="single" w:sz="4" w:space="0" w:color="auto"/>
            </w:tcBorders>
            <w:vAlign w:val="center"/>
            <w:hideMark/>
          </w:tcPr>
          <w:p w14:paraId="11AD045C" w14:textId="77777777" w:rsidR="00A31CD6" w:rsidRDefault="00A31CD6">
            <w:pPr>
              <w:rPr>
                <w:rFonts w:ascii="Montserrat" w:hAnsi="Montserrat"/>
                <w:color w:val="000000"/>
                <w:sz w:val="14"/>
                <w:szCs w:val="14"/>
              </w:rPr>
            </w:pPr>
            <w:r>
              <w:rPr>
                <w:rFonts w:ascii="Montserrat" w:hAnsi="Montserrat"/>
                <w:color w:val="000000"/>
                <w:sz w:val="14"/>
                <w:szCs w:val="14"/>
              </w:rPr>
              <w:t>Fiji Investment Competitiveness</w:t>
            </w:r>
          </w:p>
        </w:tc>
        <w:tc>
          <w:tcPr>
            <w:tcW w:w="2970" w:type="dxa"/>
            <w:vMerge/>
            <w:tcBorders>
              <w:top w:val="nil"/>
              <w:left w:val="nil"/>
              <w:bottom w:val="nil"/>
              <w:right w:val="nil"/>
            </w:tcBorders>
            <w:vAlign w:val="center"/>
            <w:hideMark/>
          </w:tcPr>
          <w:p w14:paraId="358CEDE7"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7A8F7E65"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6DF0F3D5"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FC7180E"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3F2BDA9"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3262B770"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102422A0" w14:textId="77777777" w:rsidR="00A31CD6" w:rsidRDefault="00A31CD6">
            <w:pPr>
              <w:rPr>
                <w:rFonts w:ascii="Montserrat" w:hAnsi="Montserrat"/>
                <w:color w:val="000000"/>
                <w:sz w:val="14"/>
                <w:szCs w:val="14"/>
              </w:rPr>
            </w:pPr>
          </w:p>
        </w:tc>
      </w:tr>
      <w:tr w:rsidR="00BE6597" w14:paraId="2DCF139A" w14:textId="77777777" w:rsidTr="00E40BCD">
        <w:trPr>
          <w:trHeight w:val="305"/>
        </w:trPr>
        <w:tc>
          <w:tcPr>
            <w:tcW w:w="3375" w:type="dxa"/>
            <w:tcBorders>
              <w:top w:val="nil"/>
              <w:left w:val="single" w:sz="4" w:space="0" w:color="auto"/>
              <w:bottom w:val="nil"/>
              <w:right w:val="single" w:sz="4" w:space="0" w:color="auto"/>
            </w:tcBorders>
            <w:vAlign w:val="center"/>
            <w:hideMark/>
          </w:tcPr>
          <w:p w14:paraId="34CAF001" w14:textId="77777777" w:rsidR="00A31CD6" w:rsidRDefault="00A31CD6">
            <w:pPr>
              <w:rPr>
                <w:rFonts w:ascii="Montserrat" w:hAnsi="Montserrat"/>
                <w:color w:val="000000"/>
                <w:sz w:val="14"/>
                <w:szCs w:val="14"/>
              </w:rPr>
            </w:pPr>
            <w:r>
              <w:rPr>
                <w:rFonts w:ascii="Montserrat" w:hAnsi="Montserrat"/>
                <w:color w:val="000000"/>
                <w:sz w:val="14"/>
                <w:szCs w:val="14"/>
              </w:rPr>
              <w:t>Fiji Affordable Housing Development Project</w:t>
            </w:r>
          </w:p>
        </w:tc>
        <w:tc>
          <w:tcPr>
            <w:tcW w:w="2970" w:type="dxa"/>
            <w:vMerge/>
            <w:tcBorders>
              <w:top w:val="nil"/>
              <w:left w:val="nil"/>
              <w:bottom w:val="nil"/>
              <w:right w:val="nil"/>
            </w:tcBorders>
            <w:vAlign w:val="center"/>
            <w:hideMark/>
          </w:tcPr>
          <w:p w14:paraId="6866349F"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33FDA4EF"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24AD3141"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3474895"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0B837ED"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364630A0"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3DC44670" w14:textId="77777777" w:rsidR="00A31CD6" w:rsidRDefault="00A31CD6">
            <w:pPr>
              <w:rPr>
                <w:rFonts w:ascii="Montserrat" w:hAnsi="Montserrat"/>
                <w:color w:val="000000"/>
                <w:sz w:val="14"/>
                <w:szCs w:val="14"/>
              </w:rPr>
            </w:pPr>
          </w:p>
        </w:tc>
      </w:tr>
      <w:tr w:rsidR="00BE6597" w14:paraId="59D75DC6" w14:textId="77777777" w:rsidTr="00E40BCD">
        <w:trPr>
          <w:trHeight w:val="215"/>
        </w:trPr>
        <w:tc>
          <w:tcPr>
            <w:tcW w:w="3375" w:type="dxa"/>
            <w:tcBorders>
              <w:top w:val="nil"/>
              <w:left w:val="single" w:sz="4" w:space="0" w:color="auto"/>
              <w:bottom w:val="single" w:sz="4" w:space="0" w:color="auto"/>
              <w:right w:val="single" w:sz="4" w:space="0" w:color="auto"/>
            </w:tcBorders>
            <w:vAlign w:val="center"/>
            <w:hideMark/>
          </w:tcPr>
          <w:p w14:paraId="7A9FDEB2" w14:textId="77777777" w:rsidR="00A31CD6" w:rsidRDefault="00A31CD6">
            <w:pPr>
              <w:rPr>
                <w:rFonts w:ascii="Montserrat" w:hAnsi="Montserrat"/>
                <w:color w:val="000000"/>
                <w:sz w:val="14"/>
                <w:szCs w:val="14"/>
              </w:rPr>
            </w:pPr>
            <w:r>
              <w:rPr>
                <w:rFonts w:ascii="Montserrat" w:hAnsi="Montserrat"/>
                <w:color w:val="000000"/>
                <w:sz w:val="14"/>
                <w:szCs w:val="14"/>
              </w:rPr>
              <w:t>Fiji Green Finance</w:t>
            </w:r>
          </w:p>
        </w:tc>
        <w:tc>
          <w:tcPr>
            <w:tcW w:w="2970" w:type="dxa"/>
            <w:vMerge/>
            <w:tcBorders>
              <w:top w:val="nil"/>
              <w:left w:val="nil"/>
              <w:bottom w:val="nil"/>
              <w:right w:val="nil"/>
            </w:tcBorders>
            <w:vAlign w:val="center"/>
            <w:hideMark/>
          </w:tcPr>
          <w:p w14:paraId="622F5BC8"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4DE0F114"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498D7BE9"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3D765D9"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96B0542"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69B57D21"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728E581E" w14:textId="77777777" w:rsidR="00A31CD6" w:rsidRDefault="00A31CD6">
            <w:pPr>
              <w:rPr>
                <w:rFonts w:ascii="Montserrat" w:hAnsi="Montserrat"/>
                <w:color w:val="000000"/>
                <w:sz w:val="14"/>
                <w:szCs w:val="14"/>
              </w:rPr>
            </w:pPr>
          </w:p>
        </w:tc>
      </w:tr>
      <w:tr w:rsidR="00BE6597" w14:paraId="38C1D3E1" w14:textId="77777777" w:rsidTr="00E40BCD">
        <w:trPr>
          <w:trHeight w:val="259"/>
        </w:trPr>
        <w:tc>
          <w:tcPr>
            <w:tcW w:w="3375" w:type="dxa"/>
            <w:tcBorders>
              <w:top w:val="nil"/>
              <w:left w:val="single" w:sz="4" w:space="0" w:color="auto"/>
              <w:bottom w:val="nil"/>
              <w:right w:val="single" w:sz="4" w:space="0" w:color="auto"/>
            </w:tcBorders>
            <w:vAlign w:val="center"/>
            <w:hideMark/>
          </w:tcPr>
          <w:p w14:paraId="62616476" w14:textId="77777777" w:rsidR="00A31CD6" w:rsidRDefault="00A31CD6">
            <w:pPr>
              <w:rPr>
                <w:rFonts w:ascii="Montserrat" w:hAnsi="Montserrat"/>
                <w:color w:val="000000"/>
                <w:sz w:val="14"/>
                <w:szCs w:val="14"/>
              </w:rPr>
            </w:pPr>
            <w:r>
              <w:rPr>
                <w:rFonts w:ascii="Montserrat" w:hAnsi="Montserrat"/>
                <w:color w:val="000000"/>
                <w:sz w:val="14"/>
                <w:szCs w:val="14"/>
                <w:lang w:val="en-AU"/>
              </w:rPr>
              <w:t>Fiji Payment System</w:t>
            </w:r>
          </w:p>
        </w:tc>
        <w:tc>
          <w:tcPr>
            <w:tcW w:w="2970" w:type="dxa"/>
            <w:vMerge w:val="restart"/>
            <w:tcBorders>
              <w:top w:val="single" w:sz="4" w:space="0" w:color="auto"/>
              <w:left w:val="single" w:sz="4" w:space="0" w:color="auto"/>
              <w:bottom w:val="single" w:sz="4" w:space="0" w:color="000000"/>
              <w:right w:val="nil"/>
            </w:tcBorders>
            <w:vAlign w:val="center"/>
            <w:hideMark/>
          </w:tcPr>
          <w:p w14:paraId="4D57F668" w14:textId="77777777" w:rsidR="00A31CD6" w:rsidRDefault="00A31CD6">
            <w:pPr>
              <w:rPr>
                <w:rFonts w:ascii="Montserrat" w:hAnsi="Montserrat"/>
                <w:color w:val="000000"/>
                <w:sz w:val="14"/>
                <w:szCs w:val="14"/>
              </w:rPr>
            </w:pPr>
            <w:r>
              <w:rPr>
                <w:rFonts w:ascii="Montserrat" w:hAnsi="Montserrat"/>
                <w:color w:val="000000"/>
                <w:sz w:val="14"/>
                <w:szCs w:val="14"/>
                <w:lang w:val="en-AU"/>
              </w:rPr>
              <w:t>Number of recommended laws / regulations / amendments / codes enacted or government policies adopted</w:t>
            </w:r>
          </w:p>
        </w:tc>
        <w:tc>
          <w:tcPr>
            <w:tcW w:w="1890" w:type="dxa"/>
            <w:vMerge w:val="restart"/>
            <w:tcBorders>
              <w:top w:val="nil"/>
              <w:left w:val="single" w:sz="4" w:space="0" w:color="auto"/>
              <w:bottom w:val="single" w:sz="4" w:space="0" w:color="auto"/>
              <w:right w:val="single" w:sz="4" w:space="0" w:color="auto"/>
            </w:tcBorders>
            <w:vAlign w:val="center"/>
            <w:hideMark/>
          </w:tcPr>
          <w:p w14:paraId="4294D111"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17</w:t>
            </w:r>
          </w:p>
        </w:tc>
        <w:tc>
          <w:tcPr>
            <w:tcW w:w="1350" w:type="dxa"/>
            <w:vMerge w:val="restart"/>
            <w:tcBorders>
              <w:top w:val="nil"/>
              <w:left w:val="single" w:sz="4" w:space="0" w:color="auto"/>
              <w:bottom w:val="single" w:sz="4" w:space="0" w:color="auto"/>
              <w:right w:val="single" w:sz="4" w:space="0" w:color="auto"/>
            </w:tcBorders>
            <w:vAlign w:val="center"/>
            <w:hideMark/>
          </w:tcPr>
          <w:p w14:paraId="6225587C"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8</w:t>
            </w:r>
          </w:p>
        </w:tc>
        <w:tc>
          <w:tcPr>
            <w:tcW w:w="1440" w:type="dxa"/>
            <w:vMerge w:val="restart"/>
            <w:tcBorders>
              <w:top w:val="nil"/>
              <w:left w:val="single" w:sz="4" w:space="0" w:color="auto"/>
              <w:bottom w:val="single" w:sz="4" w:space="0" w:color="auto"/>
              <w:right w:val="single" w:sz="4" w:space="0" w:color="auto"/>
            </w:tcBorders>
            <w:vAlign w:val="center"/>
            <w:hideMark/>
          </w:tcPr>
          <w:p w14:paraId="4DC068A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9</w:t>
            </w:r>
          </w:p>
        </w:tc>
        <w:tc>
          <w:tcPr>
            <w:tcW w:w="1440" w:type="dxa"/>
            <w:vMerge w:val="restart"/>
            <w:tcBorders>
              <w:top w:val="nil"/>
              <w:left w:val="single" w:sz="4" w:space="0" w:color="auto"/>
              <w:bottom w:val="single" w:sz="4" w:space="0" w:color="auto"/>
              <w:right w:val="single" w:sz="4" w:space="0" w:color="auto"/>
            </w:tcBorders>
            <w:vAlign w:val="center"/>
            <w:hideMark/>
          </w:tcPr>
          <w:p w14:paraId="697CE108"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vMerge w:val="restart"/>
            <w:tcBorders>
              <w:top w:val="nil"/>
              <w:left w:val="single" w:sz="4" w:space="0" w:color="auto"/>
              <w:bottom w:val="single" w:sz="4" w:space="0" w:color="auto"/>
              <w:right w:val="single" w:sz="4" w:space="0" w:color="auto"/>
            </w:tcBorders>
            <w:vAlign w:val="center"/>
            <w:hideMark/>
          </w:tcPr>
          <w:p w14:paraId="76D1D97A"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17</w:t>
            </w:r>
          </w:p>
        </w:tc>
        <w:tc>
          <w:tcPr>
            <w:tcW w:w="1799" w:type="dxa"/>
            <w:vMerge w:val="restart"/>
            <w:tcBorders>
              <w:top w:val="nil"/>
              <w:left w:val="single" w:sz="4" w:space="0" w:color="auto"/>
              <w:bottom w:val="single" w:sz="4" w:space="0" w:color="auto"/>
              <w:right w:val="single" w:sz="4" w:space="0" w:color="auto"/>
            </w:tcBorders>
            <w:vAlign w:val="center"/>
            <w:hideMark/>
          </w:tcPr>
          <w:p w14:paraId="6B911AE6"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0465F347" w14:textId="77777777" w:rsidTr="00E40BCD">
        <w:trPr>
          <w:trHeight w:val="259"/>
        </w:trPr>
        <w:tc>
          <w:tcPr>
            <w:tcW w:w="3375" w:type="dxa"/>
            <w:tcBorders>
              <w:top w:val="nil"/>
              <w:left w:val="single" w:sz="4" w:space="0" w:color="auto"/>
              <w:bottom w:val="nil"/>
              <w:right w:val="single" w:sz="4" w:space="0" w:color="auto"/>
            </w:tcBorders>
            <w:vAlign w:val="center"/>
            <w:hideMark/>
          </w:tcPr>
          <w:p w14:paraId="5EB74B38" w14:textId="77777777" w:rsidR="00A31CD6" w:rsidRDefault="00A31CD6">
            <w:pPr>
              <w:rPr>
                <w:rFonts w:ascii="Montserrat" w:hAnsi="Montserrat"/>
                <w:color w:val="000000"/>
                <w:sz w:val="14"/>
                <w:szCs w:val="14"/>
              </w:rPr>
            </w:pPr>
            <w:r>
              <w:rPr>
                <w:rFonts w:ascii="Montserrat" w:hAnsi="Montserrat"/>
                <w:color w:val="000000"/>
                <w:sz w:val="14"/>
                <w:szCs w:val="14"/>
              </w:rPr>
              <w:t>Fiji Investment Competitiveness</w:t>
            </w:r>
          </w:p>
        </w:tc>
        <w:tc>
          <w:tcPr>
            <w:tcW w:w="2970" w:type="dxa"/>
            <w:vMerge/>
            <w:tcBorders>
              <w:top w:val="single" w:sz="4" w:space="0" w:color="auto"/>
              <w:left w:val="single" w:sz="4" w:space="0" w:color="auto"/>
              <w:bottom w:val="single" w:sz="4" w:space="0" w:color="000000"/>
              <w:right w:val="nil"/>
            </w:tcBorders>
            <w:vAlign w:val="center"/>
            <w:hideMark/>
          </w:tcPr>
          <w:p w14:paraId="38CD9C5B"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42F40FF2"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28149C4B"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39BCB9DF"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8336493"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06A61699"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2CBDB217" w14:textId="77777777" w:rsidR="00A31CD6" w:rsidRDefault="00A31CD6">
            <w:pPr>
              <w:rPr>
                <w:rFonts w:ascii="Montserrat" w:hAnsi="Montserrat"/>
                <w:color w:val="000000"/>
                <w:sz w:val="14"/>
                <w:szCs w:val="14"/>
              </w:rPr>
            </w:pPr>
          </w:p>
        </w:tc>
      </w:tr>
      <w:tr w:rsidR="00BE6597" w14:paraId="142C8821" w14:textId="77777777" w:rsidTr="00E40BCD">
        <w:trPr>
          <w:trHeight w:val="259"/>
        </w:trPr>
        <w:tc>
          <w:tcPr>
            <w:tcW w:w="3375" w:type="dxa"/>
            <w:tcBorders>
              <w:top w:val="nil"/>
              <w:left w:val="single" w:sz="4" w:space="0" w:color="auto"/>
              <w:bottom w:val="nil"/>
              <w:right w:val="single" w:sz="4" w:space="0" w:color="auto"/>
            </w:tcBorders>
            <w:vAlign w:val="center"/>
            <w:hideMark/>
          </w:tcPr>
          <w:p w14:paraId="5717E2AB" w14:textId="77777777" w:rsidR="00A31CD6" w:rsidRDefault="00A31CD6">
            <w:pPr>
              <w:rPr>
                <w:rFonts w:ascii="Montserrat" w:hAnsi="Montserrat"/>
                <w:color w:val="000000"/>
                <w:sz w:val="14"/>
                <w:szCs w:val="14"/>
              </w:rPr>
            </w:pPr>
            <w:r>
              <w:rPr>
                <w:rFonts w:ascii="Montserrat" w:hAnsi="Montserrat"/>
                <w:color w:val="000000"/>
                <w:sz w:val="14"/>
                <w:szCs w:val="14"/>
              </w:rPr>
              <w:t>Fiji Affordable Housing Development Project</w:t>
            </w:r>
          </w:p>
        </w:tc>
        <w:tc>
          <w:tcPr>
            <w:tcW w:w="2970" w:type="dxa"/>
            <w:vMerge/>
            <w:tcBorders>
              <w:top w:val="single" w:sz="4" w:space="0" w:color="auto"/>
              <w:left w:val="single" w:sz="4" w:space="0" w:color="auto"/>
              <w:bottom w:val="single" w:sz="4" w:space="0" w:color="000000"/>
              <w:right w:val="nil"/>
            </w:tcBorders>
            <w:vAlign w:val="center"/>
            <w:hideMark/>
          </w:tcPr>
          <w:p w14:paraId="4A5F9C34"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50F847D0"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5FE7D6FE"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C2FC5B5"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FC09F20"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0BA55775"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6118EC42" w14:textId="77777777" w:rsidR="00A31CD6" w:rsidRDefault="00A31CD6">
            <w:pPr>
              <w:rPr>
                <w:rFonts w:ascii="Montserrat" w:hAnsi="Montserrat"/>
                <w:color w:val="000000"/>
                <w:sz w:val="14"/>
                <w:szCs w:val="14"/>
              </w:rPr>
            </w:pPr>
          </w:p>
        </w:tc>
      </w:tr>
      <w:tr w:rsidR="00BE6597" w14:paraId="35495D1A" w14:textId="77777777" w:rsidTr="00E40BCD">
        <w:trPr>
          <w:trHeight w:val="259"/>
        </w:trPr>
        <w:tc>
          <w:tcPr>
            <w:tcW w:w="3375" w:type="dxa"/>
            <w:tcBorders>
              <w:top w:val="nil"/>
              <w:left w:val="single" w:sz="4" w:space="0" w:color="auto"/>
              <w:bottom w:val="nil"/>
              <w:right w:val="single" w:sz="4" w:space="0" w:color="auto"/>
            </w:tcBorders>
            <w:vAlign w:val="center"/>
            <w:hideMark/>
          </w:tcPr>
          <w:p w14:paraId="2369BB6A" w14:textId="77777777" w:rsidR="00A31CD6" w:rsidRDefault="00A31CD6">
            <w:pPr>
              <w:rPr>
                <w:rFonts w:ascii="Montserrat" w:hAnsi="Montserrat"/>
                <w:color w:val="000000"/>
                <w:sz w:val="14"/>
                <w:szCs w:val="14"/>
              </w:rPr>
            </w:pPr>
            <w:r>
              <w:rPr>
                <w:rFonts w:ascii="Montserrat" w:hAnsi="Montserrat"/>
                <w:color w:val="000000"/>
                <w:sz w:val="14"/>
                <w:szCs w:val="14"/>
              </w:rPr>
              <w:t>Fiji Winvest</w:t>
            </w:r>
          </w:p>
        </w:tc>
        <w:tc>
          <w:tcPr>
            <w:tcW w:w="2970" w:type="dxa"/>
            <w:vMerge/>
            <w:tcBorders>
              <w:top w:val="single" w:sz="4" w:space="0" w:color="auto"/>
              <w:left w:val="single" w:sz="4" w:space="0" w:color="auto"/>
              <w:bottom w:val="single" w:sz="4" w:space="0" w:color="000000"/>
              <w:right w:val="nil"/>
            </w:tcBorders>
            <w:vAlign w:val="center"/>
            <w:hideMark/>
          </w:tcPr>
          <w:p w14:paraId="2A4788CE"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155822A0"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71351B28"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D5FAEDE"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AC42C53"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52E55666"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433076C6" w14:textId="77777777" w:rsidR="00A31CD6" w:rsidRDefault="00A31CD6">
            <w:pPr>
              <w:rPr>
                <w:rFonts w:ascii="Montserrat" w:hAnsi="Montserrat"/>
                <w:color w:val="000000"/>
                <w:sz w:val="14"/>
                <w:szCs w:val="14"/>
              </w:rPr>
            </w:pPr>
          </w:p>
        </w:tc>
      </w:tr>
      <w:tr w:rsidR="00BE6597" w14:paraId="2336E876" w14:textId="77777777" w:rsidTr="00E40BCD">
        <w:trPr>
          <w:trHeight w:val="259"/>
        </w:trPr>
        <w:tc>
          <w:tcPr>
            <w:tcW w:w="3375" w:type="dxa"/>
            <w:tcBorders>
              <w:top w:val="single" w:sz="4" w:space="0" w:color="auto"/>
              <w:left w:val="single" w:sz="4" w:space="0" w:color="auto"/>
              <w:bottom w:val="nil"/>
              <w:right w:val="single" w:sz="4" w:space="0" w:color="auto"/>
            </w:tcBorders>
            <w:vAlign w:val="center"/>
            <w:hideMark/>
          </w:tcPr>
          <w:p w14:paraId="08653468" w14:textId="77777777" w:rsidR="00A31CD6" w:rsidRDefault="00A31CD6">
            <w:pPr>
              <w:rPr>
                <w:rFonts w:ascii="Montserrat" w:hAnsi="Montserrat"/>
                <w:color w:val="000000"/>
                <w:sz w:val="14"/>
                <w:szCs w:val="14"/>
              </w:rPr>
            </w:pPr>
            <w:r>
              <w:rPr>
                <w:rFonts w:ascii="Montserrat" w:hAnsi="Montserrat"/>
                <w:color w:val="000000"/>
                <w:sz w:val="14"/>
                <w:szCs w:val="14"/>
                <w:lang w:val="en-AU"/>
              </w:rPr>
              <w:t>Fiji Payment System</w:t>
            </w:r>
          </w:p>
        </w:tc>
        <w:tc>
          <w:tcPr>
            <w:tcW w:w="2970" w:type="dxa"/>
            <w:vMerge w:val="restart"/>
            <w:tcBorders>
              <w:top w:val="nil"/>
              <w:left w:val="single" w:sz="4" w:space="0" w:color="auto"/>
              <w:bottom w:val="single" w:sz="4" w:space="0" w:color="000000"/>
              <w:right w:val="single" w:sz="4" w:space="0" w:color="auto"/>
            </w:tcBorders>
            <w:vAlign w:val="center"/>
            <w:hideMark/>
          </w:tcPr>
          <w:p w14:paraId="2D9825B1" w14:textId="77777777" w:rsidR="00A31CD6" w:rsidRDefault="00A31CD6">
            <w:pPr>
              <w:rPr>
                <w:rFonts w:ascii="Montserrat" w:hAnsi="Montserrat"/>
                <w:color w:val="000000"/>
                <w:sz w:val="14"/>
                <w:szCs w:val="14"/>
              </w:rPr>
            </w:pPr>
            <w:r>
              <w:rPr>
                <w:rFonts w:ascii="Montserrat" w:hAnsi="Montserrat"/>
                <w:color w:val="000000"/>
                <w:sz w:val="14"/>
                <w:szCs w:val="14"/>
                <w:lang w:val="en-AU"/>
              </w:rPr>
              <w:t>Number of recommended procedures/firm-level policies/practices/standards that were improved or eliminated</w:t>
            </w:r>
          </w:p>
        </w:tc>
        <w:tc>
          <w:tcPr>
            <w:tcW w:w="1890" w:type="dxa"/>
            <w:vMerge w:val="restart"/>
            <w:tcBorders>
              <w:top w:val="nil"/>
              <w:left w:val="single" w:sz="4" w:space="0" w:color="auto"/>
              <w:bottom w:val="single" w:sz="4" w:space="0" w:color="auto"/>
              <w:right w:val="single" w:sz="4" w:space="0" w:color="auto"/>
            </w:tcBorders>
            <w:vAlign w:val="center"/>
            <w:hideMark/>
          </w:tcPr>
          <w:p w14:paraId="40EABBB6"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26</w:t>
            </w:r>
          </w:p>
        </w:tc>
        <w:tc>
          <w:tcPr>
            <w:tcW w:w="1350" w:type="dxa"/>
            <w:vMerge w:val="restart"/>
            <w:tcBorders>
              <w:top w:val="nil"/>
              <w:left w:val="single" w:sz="4" w:space="0" w:color="auto"/>
              <w:bottom w:val="single" w:sz="4" w:space="0" w:color="auto"/>
              <w:right w:val="single" w:sz="4" w:space="0" w:color="auto"/>
            </w:tcBorders>
            <w:vAlign w:val="center"/>
            <w:hideMark/>
          </w:tcPr>
          <w:p w14:paraId="083008BE"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8</w:t>
            </w:r>
          </w:p>
        </w:tc>
        <w:tc>
          <w:tcPr>
            <w:tcW w:w="1440" w:type="dxa"/>
            <w:vMerge w:val="restart"/>
            <w:tcBorders>
              <w:top w:val="nil"/>
              <w:left w:val="single" w:sz="4" w:space="0" w:color="auto"/>
              <w:bottom w:val="single" w:sz="4" w:space="0" w:color="auto"/>
              <w:right w:val="single" w:sz="4" w:space="0" w:color="auto"/>
            </w:tcBorders>
            <w:vAlign w:val="center"/>
            <w:hideMark/>
          </w:tcPr>
          <w:p w14:paraId="35CC096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8</w:t>
            </w:r>
          </w:p>
        </w:tc>
        <w:tc>
          <w:tcPr>
            <w:tcW w:w="1440" w:type="dxa"/>
            <w:vMerge w:val="restart"/>
            <w:tcBorders>
              <w:top w:val="nil"/>
              <w:left w:val="single" w:sz="4" w:space="0" w:color="auto"/>
              <w:bottom w:val="single" w:sz="4" w:space="0" w:color="auto"/>
              <w:right w:val="single" w:sz="4" w:space="0" w:color="auto"/>
            </w:tcBorders>
            <w:vAlign w:val="center"/>
            <w:hideMark/>
          </w:tcPr>
          <w:p w14:paraId="6F91D74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vMerge w:val="restart"/>
            <w:tcBorders>
              <w:top w:val="nil"/>
              <w:left w:val="single" w:sz="4" w:space="0" w:color="auto"/>
              <w:bottom w:val="single" w:sz="4" w:space="0" w:color="auto"/>
              <w:right w:val="single" w:sz="4" w:space="0" w:color="auto"/>
            </w:tcBorders>
            <w:vAlign w:val="center"/>
            <w:hideMark/>
          </w:tcPr>
          <w:p w14:paraId="48FDED8E"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16*</w:t>
            </w:r>
          </w:p>
        </w:tc>
        <w:tc>
          <w:tcPr>
            <w:tcW w:w="1799" w:type="dxa"/>
            <w:vMerge w:val="restart"/>
            <w:tcBorders>
              <w:top w:val="nil"/>
              <w:left w:val="single" w:sz="4" w:space="0" w:color="auto"/>
              <w:bottom w:val="single" w:sz="4" w:space="0" w:color="auto"/>
              <w:right w:val="single" w:sz="4" w:space="0" w:color="auto"/>
            </w:tcBorders>
            <w:vAlign w:val="center"/>
            <w:hideMark/>
          </w:tcPr>
          <w:p w14:paraId="508F442A"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62</w:t>
            </w:r>
          </w:p>
        </w:tc>
      </w:tr>
      <w:tr w:rsidR="00BE6597" w14:paraId="050F2D36" w14:textId="77777777" w:rsidTr="00E40BCD">
        <w:trPr>
          <w:trHeight w:val="259"/>
        </w:trPr>
        <w:tc>
          <w:tcPr>
            <w:tcW w:w="3375" w:type="dxa"/>
            <w:tcBorders>
              <w:top w:val="nil"/>
              <w:left w:val="single" w:sz="4" w:space="0" w:color="auto"/>
              <w:bottom w:val="nil"/>
              <w:right w:val="single" w:sz="4" w:space="0" w:color="auto"/>
            </w:tcBorders>
            <w:vAlign w:val="center"/>
            <w:hideMark/>
          </w:tcPr>
          <w:p w14:paraId="1F923AA8" w14:textId="77777777" w:rsidR="00A31CD6" w:rsidRDefault="00A31CD6">
            <w:pPr>
              <w:rPr>
                <w:rFonts w:ascii="Montserrat" w:hAnsi="Montserrat"/>
                <w:color w:val="000000"/>
                <w:sz w:val="14"/>
                <w:szCs w:val="14"/>
              </w:rPr>
            </w:pPr>
            <w:r>
              <w:rPr>
                <w:rFonts w:ascii="Montserrat" w:hAnsi="Montserrat"/>
                <w:color w:val="000000"/>
                <w:sz w:val="14"/>
                <w:szCs w:val="14"/>
              </w:rPr>
              <w:t>Fiji Investment Competitiveness</w:t>
            </w:r>
          </w:p>
        </w:tc>
        <w:tc>
          <w:tcPr>
            <w:tcW w:w="2970" w:type="dxa"/>
            <w:vMerge/>
            <w:tcBorders>
              <w:top w:val="nil"/>
              <w:left w:val="single" w:sz="4" w:space="0" w:color="auto"/>
              <w:bottom w:val="single" w:sz="4" w:space="0" w:color="000000"/>
              <w:right w:val="single" w:sz="4" w:space="0" w:color="auto"/>
            </w:tcBorders>
            <w:vAlign w:val="center"/>
            <w:hideMark/>
          </w:tcPr>
          <w:p w14:paraId="47E111C0"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2072E0F9"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722D6B59"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37C2CB1"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DCB69C6"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5FA5CB36"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7671C13D" w14:textId="77777777" w:rsidR="00A31CD6" w:rsidRDefault="00A31CD6">
            <w:pPr>
              <w:rPr>
                <w:rFonts w:ascii="Montserrat" w:hAnsi="Montserrat"/>
                <w:color w:val="000000"/>
                <w:sz w:val="14"/>
                <w:szCs w:val="14"/>
              </w:rPr>
            </w:pPr>
          </w:p>
        </w:tc>
      </w:tr>
      <w:tr w:rsidR="00BE6597" w14:paraId="22B53C55" w14:textId="77777777" w:rsidTr="00E40BCD">
        <w:trPr>
          <w:trHeight w:val="259"/>
        </w:trPr>
        <w:tc>
          <w:tcPr>
            <w:tcW w:w="3375" w:type="dxa"/>
            <w:tcBorders>
              <w:top w:val="nil"/>
              <w:left w:val="single" w:sz="4" w:space="0" w:color="auto"/>
              <w:bottom w:val="nil"/>
              <w:right w:val="single" w:sz="4" w:space="0" w:color="auto"/>
            </w:tcBorders>
            <w:vAlign w:val="center"/>
            <w:hideMark/>
          </w:tcPr>
          <w:p w14:paraId="7B8DB7A7" w14:textId="77777777" w:rsidR="00A31CD6" w:rsidRDefault="00A31CD6">
            <w:pPr>
              <w:rPr>
                <w:rFonts w:ascii="Montserrat" w:hAnsi="Montserrat"/>
                <w:color w:val="000000"/>
                <w:sz w:val="14"/>
                <w:szCs w:val="14"/>
              </w:rPr>
            </w:pPr>
            <w:r>
              <w:rPr>
                <w:rFonts w:ascii="Montserrat" w:hAnsi="Montserrat"/>
                <w:color w:val="000000"/>
                <w:sz w:val="14"/>
                <w:szCs w:val="14"/>
              </w:rPr>
              <w:t>Fiji Affordable Housing Development Project</w:t>
            </w:r>
          </w:p>
        </w:tc>
        <w:tc>
          <w:tcPr>
            <w:tcW w:w="2970" w:type="dxa"/>
            <w:vMerge/>
            <w:tcBorders>
              <w:top w:val="nil"/>
              <w:left w:val="single" w:sz="4" w:space="0" w:color="auto"/>
              <w:bottom w:val="single" w:sz="4" w:space="0" w:color="000000"/>
              <w:right w:val="single" w:sz="4" w:space="0" w:color="auto"/>
            </w:tcBorders>
            <w:vAlign w:val="center"/>
            <w:hideMark/>
          </w:tcPr>
          <w:p w14:paraId="06CB68C6"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447F2502"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5CBB9697"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38D0908"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4A03A24"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41E366CC"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4BEB735B" w14:textId="77777777" w:rsidR="00A31CD6" w:rsidRDefault="00A31CD6">
            <w:pPr>
              <w:rPr>
                <w:rFonts w:ascii="Montserrat" w:hAnsi="Montserrat"/>
                <w:color w:val="000000"/>
                <w:sz w:val="14"/>
                <w:szCs w:val="14"/>
              </w:rPr>
            </w:pPr>
          </w:p>
        </w:tc>
      </w:tr>
      <w:tr w:rsidR="00BE6597" w14:paraId="59FB008C" w14:textId="77777777" w:rsidTr="00E40BCD">
        <w:trPr>
          <w:trHeight w:val="259"/>
        </w:trPr>
        <w:tc>
          <w:tcPr>
            <w:tcW w:w="3375" w:type="dxa"/>
            <w:tcBorders>
              <w:top w:val="nil"/>
              <w:left w:val="single" w:sz="4" w:space="0" w:color="auto"/>
              <w:bottom w:val="nil"/>
              <w:right w:val="single" w:sz="4" w:space="0" w:color="auto"/>
            </w:tcBorders>
            <w:vAlign w:val="center"/>
            <w:hideMark/>
          </w:tcPr>
          <w:p w14:paraId="12399A9E" w14:textId="77777777" w:rsidR="00A31CD6" w:rsidRDefault="00A31CD6">
            <w:pPr>
              <w:rPr>
                <w:rFonts w:ascii="Montserrat" w:hAnsi="Montserrat"/>
                <w:color w:val="000000"/>
                <w:sz w:val="14"/>
                <w:szCs w:val="14"/>
              </w:rPr>
            </w:pPr>
            <w:r>
              <w:rPr>
                <w:rFonts w:ascii="Montserrat" w:hAnsi="Montserrat"/>
                <w:color w:val="000000"/>
                <w:sz w:val="14"/>
                <w:szCs w:val="14"/>
              </w:rPr>
              <w:t>Fiji Sustainable Tourism Project</w:t>
            </w:r>
          </w:p>
        </w:tc>
        <w:tc>
          <w:tcPr>
            <w:tcW w:w="2970" w:type="dxa"/>
            <w:vMerge/>
            <w:tcBorders>
              <w:top w:val="nil"/>
              <w:left w:val="single" w:sz="4" w:space="0" w:color="auto"/>
              <w:bottom w:val="single" w:sz="4" w:space="0" w:color="000000"/>
              <w:right w:val="single" w:sz="4" w:space="0" w:color="auto"/>
            </w:tcBorders>
            <w:vAlign w:val="center"/>
            <w:hideMark/>
          </w:tcPr>
          <w:p w14:paraId="46ED4F34"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19045363"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55FFBA1B"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E93800A"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BA3DE7F"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289B5FF7"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6BBD588D" w14:textId="77777777" w:rsidR="00A31CD6" w:rsidRDefault="00A31CD6">
            <w:pPr>
              <w:rPr>
                <w:rFonts w:ascii="Montserrat" w:hAnsi="Montserrat"/>
                <w:color w:val="000000"/>
                <w:sz w:val="14"/>
                <w:szCs w:val="14"/>
              </w:rPr>
            </w:pPr>
          </w:p>
        </w:tc>
      </w:tr>
      <w:tr w:rsidR="00BE6597" w14:paraId="6867EBA2" w14:textId="77777777" w:rsidTr="00E40BCD">
        <w:trPr>
          <w:trHeight w:val="259"/>
        </w:trPr>
        <w:tc>
          <w:tcPr>
            <w:tcW w:w="3375" w:type="dxa"/>
            <w:tcBorders>
              <w:top w:val="nil"/>
              <w:left w:val="single" w:sz="4" w:space="0" w:color="auto"/>
              <w:bottom w:val="single" w:sz="4" w:space="0" w:color="auto"/>
              <w:right w:val="single" w:sz="4" w:space="0" w:color="auto"/>
            </w:tcBorders>
            <w:vAlign w:val="center"/>
            <w:hideMark/>
          </w:tcPr>
          <w:p w14:paraId="7C17494C" w14:textId="77777777" w:rsidR="00A31CD6" w:rsidRDefault="00A31CD6">
            <w:pPr>
              <w:rPr>
                <w:rFonts w:ascii="Montserrat" w:hAnsi="Montserrat"/>
                <w:color w:val="000000"/>
                <w:sz w:val="14"/>
                <w:szCs w:val="14"/>
              </w:rPr>
            </w:pPr>
            <w:r>
              <w:rPr>
                <w:rFonts w:ascii="Montserrat" w:hAnsi="Montserrat"/>
                <w:color w:val="000000"/>
                <w:sz w:val="14"/>
                <w:szCs w:val="14"/>
              </w:rPr>
              <w:t>Fiji Green Finance</w:t>
            </w:r>
          </w:p>
        </w:tc>
        <w:tc>
          <w:tcPr>
            <w:tcW w:w="2970" w:type="dxa"/>
            <w:vMerge/>
            <w:tcBorders>
              <w:top w:val="nil"/>
              <w:left w:val="single" w:sz="4" w:space="0" w:color="auto"/>
              <w:bottom w:val="single" w:sz="4" w:space="0" w:color="000000"/>
              <w:right w:val="single" w:sz="4" w:space="0" w:color="auto"/>
            </w:tcBorders>
            <w:vAlign w:val="center"/>
            <w:hideMark/>
          </w:tcPr>
          <w:p w14:paraId="2463ED76" w14:textId="77777777" w:rsidR="00A31CD6" w:rsidRDefault="00A31CD6">
            <w:pPr>
              <w:rPr>
                <w:rFonts w:ascii="Montserrat" w:hAnsi="Montserrat"/>
                <w:color w:val="000000"/>
                <w:sz w:val="14"/>
                <w:szCs w:val="14"/>
              </w:rPr>
            </w:pPr>
          </w:p>
        </w:tc>
        <w:tc>
          <w:tcPr>
            <w:tcW w:w="1890" w:type="dxa"/>
            <w:vMerge/>
            <w:tcBorders>
              <w:top w:val="nil"/>
              <w:left w:val="single" w:sz="4" w:space="0" w:color="auto"/>
              <w:bottom w:val="single" w:sz="4" w:space="0" w:color="auto"/>
              <w:right w:val="single" w:sz="4" w:space="0" w:color="auto"/>
            </w:tcBorders>
            <w:vAlign w:val="center"/>
            <w:hideMark/>
          </w:tcPr>
          <w:p w14:paraId="28997D4B" w14:textId="77777777" w:rsidR="00A31CD6" w:rsidRDefault="00A31CD6">
            <w:pPr>
              <w:rPr>
                <w:rFonts w:ascii="Montserrat" w:hAnsi="Montserrat"/>
                <w:color w:val="000000"/>
                <w:sz w:val="14"/>
                <w:szCs w:val="14"/>
              </w:rPr>
            </w:pPr>
          </w:p>
        </w:tc>
        <w:tc>
          <w:tcPr>
            <w:tcW w:w="1350" w:type="dxa"/>
            <w:vMerge/>
            <w:tcBorders>
              <w:top w:val="nil"/>
              <w:left w:val="single" w:sz="4" w:space="0" w:color="auto"/>
              <w:bottom w:val="single" w:sz="4" w:space="0" w:color="auto"/>
              <w:right w:val="single" w:sz="4" w:space="0" w:color="auto"/>
            </w:tcBorders>
            <w:vAlign w:val="center"/>
            <w:hideMark/>
          </w:tcPr>
          <w:p w14:paraId="23686D48"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8351E1F" w14:textId="77777777" w:rsidR="00A31CD6" w:rsidRDefault="00A31CD6">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8D18998" w14:textId="77777777" w:rsidR="00A31CD6" w:rsidRDefault="00A31CD6">
            <w:pPr>
              <w:rPr>
                <w:rFonts w:ascii="Montserrat" w:hAnsi="Montserrat"/>
                <w:color w:val="000000"/>
                <w:sz w:val="14"/>
                <w:szCs w:val="14"/>
              </w:rPr>
            </w:pPr>
          </w:p>
        </w:tc>
        <w:tc>
          <w:tcPr>
            <w:tcW w:w="1080" w:type="dxa"/>
            <w:vMerge/>
            <w:tcBorders>
              <w:top w:val="nil"/>
              <w:left w:val="single" w:sz="4" w:space="0" w:color="auto"/>
              <w:bottom w:val="single" w:sz="4" w:space="0" w:color="auto"/>
              <w:right w:val="single" w:sz="4" w:space="0" w:color="auto"/>
            </w:tcBorders>
            <w:vAlign w:val="center"/>
            <w:hideMark/>
          </w:tcPr>
          <w:p w14:paraId="0998494A" w14:textId="77777777" w:rsidR="00A31CD6" w:rsidRDefault="00A31CD6">
            <w:pPr>
              <w:rPr>
                <w:rFonts w:ascii="Montserrat" w:hAnsi="Montserrat"/>
                <w:color w:val="000000"/>
                <w:sz w:val="14"/>
                <w:szCs w:val="14"/>
              </w:rPr>
            </w:pPr>
          </w:p>
        </w:tc>
        <w:tc>
          <w:tcPr>
            <w:tcW w:w="1799" w:type="dxa"/>
            <w:vMerge/>
            <w:tcBorders>
              <w:top w:val="nil"/>
              <w:left w:val="single" w:sz="4" w:space="0" w:color="auto"/>
              <w:bottom w:val="single" w:sz="4" w:space="0" w:color="auto"/>
              <w:right w:val="single" w:sz="4" w:space="0" w:color="auto"/>
            </w:tcBorders>
            <w:vAlign w:val="center"/>
            <w:hideMark/>
          </w:tcPr>
          <w:p w14:paraId="324050C9" w14:textId="77777777" w:rsidR="00A31CD6" w:rsidRDefault="00A31CD6">
            <w:pPr>
              <w:rPr>
                <w:rFonts w:ascii="Montserrat" w:hAnsi="Montserrat"/>
                <w:color w:val="000000"/>
                <w:sz w:val="14"/>
                <w:szCs w:val="14"/>
              </w:rPr>
            </w:pPr>
          </w:p>
        </w:tc>
      </w:tr>
      <w:tr w:rsidR="00BE6597" w14:paraId="3E683336" w14:textId="77777777" w:rsidTr="00E40BCD">
        <w:trPr>
          <w:trHeight w:val="259"/>
        </w:trPr>
        <w:tc>
          <w:tcPr>
            <w:tcW w:w="3375" w:type="dxa"/>
            <w:tcBorders>
              <w:top w:val="nil"/>
              <w:left w:val="single" w:sz="4" w:space="0" w:color="auto"/>
              <w:bottom w:val="single" w:sz="4" w:space="0" w:color="auto"/>
              <w:right w:val="single" w:sz="4" w:space="0" w:color="auto"/>
            </w:tcBorders>
            <w:vAlign w:val="center"/>
            <w:hideMark/>
          </w:tcPr>
          <w:p w14:paraId="3E3318E5" w14:textId="77777777" w:rsidR="00A31CD6" w:rsidRDefault="00A31CD6">
            <w:pPr>
              <w:rPr>
                <w:rFonts w:ascii="Montserrat" w:hAnsi="Montserrat"/>
                <w:color w:val="000000"/>
                <w:sz w:val="14"/>
                <w:szCs w:val="14"/>
              </w:rPr>
            </w:pPr>
            <w:r>
              <w:rPr>
                <w:rFonts w:ascii="Montserrat" w:hAnsi="Montserrat"/>
                <w:color w:val="000000"/>
                <w:sz w:val="14"/>
                <w:szCs w:val="14"/>
                <w:lang w:val="en-AU"/>
              </w:rPr>
              <w:t>Fiji Payment System</w:t>
            </w:r>
          </w:p>
        </w:tc>
        <w:tc>
          <w:tcPr>
            <w:tcW w:w="2970" w:type="dxa"/>
            <w:tcBorders>
              <w:top w:val="nil"/>
              <w:left w:val="nil"/>
              <w:bottom w:val="single" w:sz="4" w:space="0" w:color="auto"/>
              <w:right w:val="single" w:sz="4" w:space="0" w:color="auto"/>
            </w:tcBorders>
            <w:vAlign w:val="center"/>
            <w:hideMark/>
          </w:tcPr>
          <w:p w14:paraId="494ED445" w14:textId="77777777" w:rsidR="00A31CD6" w:rsidRDefault="00A31CD6">
            <w:pPr>
              <w:rPr>
                <w:rFonts w:ascii="Montserrat" w:hAnsi="Montserrat"/>
                <w:color w:val="000000"/>
                <w:sz w:val="14"/>
                <w:szCs w:val="14"/>
              </w:rPr>
            </w:pPr>
            <w:r>
              <w:rPr>
                <w:rFonts w:ascii="Montserrat" w:hAnsi="Montserrat"/>
                <w:color w:val="000000"/>
                <w:sz w:val="14"/>
                <w:szCs w:val="14"/>
                <w:lang w:val="en-AU"/>
              </w:rPr>
              <w:t xml:space="preserve">Number of systems established </w:t>
            </w:r>
          </w:p>
        </w:tc>
        <w:tc>
          <w:tcPr>
            <w:tcW w:w="1890" w:type="dxa"/>
            <w:tcBorders>
              <w:top w:val="nil"/>
              <w:left w:val="nil"/>
              <w:bottom w:val="single" w:sz="4" w:space="0" w:color="auto"/>
              <w:right w:val="single" w:sz="4" w:space="0" w:color="auto"/>
            </w:tcBorders>
            <w:vAlign w:val="center"/>
            <w:hideMark/>
          </w:tcPr>
          <w:p w14:paraId="7032350D"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w:t>
            </w:r>
          </w:p>
        </w:tc>
        <w:tc>
          <w:tcPr>
            <w:tcW w:w="1350" w:type="dxa"/>
            <w:tcBorders>
              <w:top w:val="nil"/>
              <w:left w:val="nil"/>
              <w:bottom w:val="single" w:sz="4" w:space="0" w:color="auto"/>
              <w:right w:val="single" w:sz="4" w:space="0" w:color="auto"/>
            </w:tcBorders>
            <w:vAlign w:val="center"/>
            <w:hideMark/>
          </w:tcPr>
          <w:p w14:paraId="512A39B2"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5BF432C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w:t>
            </w:r>
          </w:p>
        </w:tc>
        <w:tc>
          <w:tcPr>
            <w:tcW w:w="1440" w:type="dxa"/>
            <w:tcBorders>
              <w:top w:val="nil"/>
              <w:left w:val="nil"/>
              <w:bottom w:val="single" w:sz="4" w:space="0" w:color="auto"/>
              <w:right w:val="single" w:sz="4" w:space="0" w:color="auto"/>
            </w:tcBorders>
            <w:vAlign w:val="center"/>
            <w:hideMark/>
          </w:tcPr>
          <w:p w14:paraId="424E248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4ADC86D7"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w:t>
            </w:r>
          </w:p>
        </w:tc>
        <w:tc>
          <w:tcPr>
            <w:tcW w:w="1799" w:type="dxa"/>
            <w:tcBorders>
              <w:top w:val="nil"/>
              <w:left w:val="nil"/>
              <w:bottom w:val="single" w:sz="4" w:space="0" w:color="auto"/>
              <w:right w:val="single" w:sz="4" w:space="0" w:color="auto"/>
            </w:tcBorders>
            <w:vAlign w:val="center"/>
            <w:hideMark/>
          </w:tcPr>
          <w:p w14:paraId="092DD59A"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1CBBACA6" w14:textId="77777777" w:rsidTr="00E40BCD">
        <w:trPr>
          <w:trHeight w:val="259"/>
        </w:trPr>
        <w:tc>
          <w:tcPr>
            <w:tcW w:w="3375" w:type="dxa"/>
            <w:tcBorders>
              <w:top w:val="nil"/>
              <w:left w:val="single" w:sz="4" w:space="0" w:color="auto"/>
              <w:bottom w:val="single" w:sz="4" w:space="0" w:color="auto"/>
              <w:right w:val="single" w:sz="4" w:space="0" w:color="auto"/>
            </w:tcBorders>
            <w:vAlign w:val="center"/>
            <w:hideMark/>
          </w:tcPr>
          <w:p w14:paraId="29BB82E9" w14:textId="77777777" w:rsidR="00A31CD6" w:rsidRDefault="00A31CD6">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2970" w:type="dxa"/>
            <w:tcBorders>
              <w:top w:val="nil"/>
              <w:left w:val="nil"/>
              <w:bottom w:val="single" w:sz="4" w:space="0" w:color="auto"/>
              <w:right w:val="single" w:sz="4" w:space="0" w:color="auto"/>
            </w:tcBorders>
            <w:vAlign w:val="center"/>
            <w:hideMark/>
          </w:tcPr>
          <w:p w14:paraId="1999E802" w14:textId="77777777" w:rsidR="00A31CD6" w:rsidRDefault="00A31CD6">
            <w:pPr>
              <w:rPr>
                <w:rFonts w:ascii="Montserrat" w:hAnsi="Montserrat"/>
                <w:color w:val="000000"/>
                <w:sz w:val="14"/>
                <w:szCs w:val="14"/>
              </w:rPr>
            </w:pPr>
            <w:r>
              <w:rPr>
                <w:rFonts w:ascii="Montserrat" w:hAnsi="Montserrat"/>
                <w:color w:val="000000"/>
                <w:sz w:val="14"/>
                <w:szCs w:val="14"/>
                <w:lang w:val="en-AU"/>
              </w:rPr>
              <w:t>Increase in number of sectors allowing foreign investment into the country</w:t>
            </w:r>
          </w:p>
        </w:tc>
        <w:tc>
          <w:tcPr>
            <w:tcW w:w="1890" w:type="dxa"/>
            <w:tcBorders>
              <w:top w:val="nil"/>
              <w:left w:val="nil"/>
              <w:bottom w:val="single" w:sz="4" w:space="0" w:color="auto"/>
              <w:right w:val="single" w:sz="4" w:space="0" w:color="auto"/>
            </w:tcBorders>
            <w:vAlign w:val="center"/>
            <w:hideMark/>
          </w:tcPr>
          <w:p w14:paraId="40665384"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w:t>
            </w:r>
          </w:p>
        </w:tc>
        <w:tc>
          <w:tcPr>
            <w:tcW w:w="1350" w:type="dxa"/>
            <w:tcBorders>
              <w:top w:val="nil"/>
              <w:left w:val="nil"/>
              <w:bottom w:val="single" w:sz="4" w:space="0" w:color="auto"/>
              <w:right w:val="single" w:sz="4" w:space="0" w:color="auto"/>
            </w:tcBorders>
            <w:vAlign w:val="center"/>
            <w:hideMark/>
          </w:tcPr>
          <w:p w14:paraId="309ED10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57C61731"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9</w:t>
            </w:r>
          </w:p>
        </w:tc>
        <w:tc>
          <w:tcPr>
            <w:tcW w:w="1440" w:type="dxa"/>
            <w:tcBorders>
              <w:top w:val="nil"/>
              <w:left w:val="nil"/>
              <w:bottom w:val="single" w:sz="4" w:space="0" w:color="auto"/>
              <w:right w:val="single" w:sz="4" w:space="0" w:color="auto"/>
            </w:tcBorders>
            <w:vAlign w:val="center"/>
            <w:hideMark/>
          </w:tcPr>
          <w:p w14:paraId="6574933B"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444135D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9</w:t>
            </w:r>
          </w:p>
        </w:tc>
        <w:tc>
          <w:tcPr>
            <w:tcW w:w="1799" w:type="dxa"/>
            <w:tcBorders>
              <w:top w:val="nil"/>
              <w:left w:val="nil"/>
              <w:bottom w:val="single" w:sz="4" w:space="0" w:color="auto"/>
              <w:right w:val="single" w:sz="4" w:space="0" w:color="auto"/>
            </w:tcBorders>
            <w:vAlign w:val="center"/>
            <w:hideMark/>
          </w:tcPr>
          <w:p w14:paraId="14BC7405"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1FBE7745" w14:textId="77777777" w:rsidTr="00E40BCD">
        <w:trPr>
          <w:trHeight w:val="259"/>
        </w:trPr>
        <w:tc>
          <w:tcPr>
            <w:tcW w:w="3375" w:type="dxa"/>
            <w:tcBorders>
              <w:top w:val="nil"/>
              <w:left w:val="single" w:sz="4" w:space="0" w:color="auto"/>
              <w:bottom w:val="single" w:sz="4" w:space="0" w:color="auto"/>
              <w:right w:val="single" w:sz="4" w:space="0" w:color="auto"/>
            </w:tcBorders>
            <w:vAlign w:val="center"/>
            <w:hideMark/>
          </w:tcPr>
          <w:p w14:paraId="56D011DA" w14:textId="77777777" w:rsidR="00A31CD6" w:rsidRDefault="00A31CD6">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2970" w:type="dxa"/>
            <w:tcBorders>
              <w:top w:val="nil"/>
              <w:left w:val="nil"/>
              <w:bottom w:val="single" w:sz="4" w:space="0" w:color="auto"/>
              <w:right w:val="single" w:sz="4" w:space="0" w:color="auto"/>
            </w:tcBorders>
            <w:vAlign w:val="center"/>
            <w:hideMark/>
          </w:tcPr>
          <w:p w14:paraId="0749C419" w14:textId="77777777" w:rsidR="00A31CD6" w:rsidRDefault="00A31CD6">
            <w:pPr>
              <w:rPr>
                <w:rFonts w:ascii="Montserrat" w:hAnsi="Montserrat"/>
                <w:color w:val="000000"/>
                <w:sz w:val="14"/>
                <w:szCs w:val="14"/>
              </w:rPr>
            </w:pPr>
            <w:r>
              <w:rPr>
                <w:rFonts w:ascii="Montserrat" w:hAnsi="Montserrat"/>
                <w:color w:val="000000"/>
                <w:sz w:val="14"/>
                <w:szCs w:val="14"/>
                <w:lang w:val="en-AU"/>
              </w:rPr>
              <w:t>Number of firms that benefit from reformed licensing requirements</w:t>
            </w:r>
          </w:p>
        </w:tc>
        <w:tc>
          <w:tcPr>
            <w:tcW w:w="1890" w:type="dxa"/>
            <w:tcBorders>
              <w:top w:val="nil"/>
              <w:left w:val="nil"/>
              <w:bottom w:val="single" w:sz="4" w:space="0" w:color="auto"/>
              <w:right w:val="single" w:sz="4" w:space="0" w:color="auto"/>
            </w:tcBorders>
            <w:vAlign w:val="center"/>
            <w:hideMark/>
          </w:tcPr>
          <w:p w14:paraId="33F4A42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300</w:t>
            </w:r>
          </w:p>
        </w:tc>
        <w:tc>
          <w:tcPr>
            <w:tcW w:w="1350" w:type="dxa"/>
            <w:tcBorders>
              <w:top w:val="nil"/>
              <w:left w:val="nil"/>
              <w:bottom w:val="single" w:sz="4" w:space="0" w:color="auto"/>
              <w:right w:val="single" w:sz="4" w:space="0" w:color="auto"/>
            </w:tcBorders>
            <w:vAlign w:val="center"/>
            <w:hideMark/>
          </w:tcPr>
          <w:p w14:paraId="4B4A91C2"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06C6A9A7"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14,443</w:t>
            </w:r>
          </w:p>
        </w:tc>
        <w:tc>
          <w:tcPr>
            <w:tcW w:w="1440" w:type="dxa"/>
            <w:tcBorders>
              <w:top w:val="nil"/>
              <w:left w:val="nil"/>
              <w:bottom w:val="single" w:sz="4" w:space="0" w:color="auto"/>
              <w:right w:val="single" w:sz="4" w:space="0" w:color="auto"/>
            </w:tcBorders>
            <w:vAlign w:val="center"/>
            <w:hideMark/>
          </w:tcPr>
          <w:p w14:paraId="0E672DE8"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2758E6A3"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14,443</w:t>
            </w:r>
          </w:p>
        </w:tc>
        <w:tc>
          <w:tcPr>
            <w:tcW w:w="1799" w:type="dxa"/>
            <w:tcBorders>
              <w:top w:val="nil"/>
              <w:left w:val="nil"/>
              <w:bottom w:val="single" w:sz="4" w:space="0" w:color="auto"/>
              <w:right w:val="single" w:sz="4" w:space="0" w:color="auto"/>
            </w:tcBorders>
            <w:vAlign w:val="center"/>
            <w:hideMark/>
          </w:tcPr>
          <w:p w14:paraId="1894CE63"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158214FC" w14:textId="77777777" w:rsidTr="00E40BCD">
        <w:trPr>
          <w:trHeight w:val="259"/>
        </w:trPr>
        <w:tc>
          <w:tcPr>
            <w:tcW w:w="3375" w:type="dxa"/>
            <w:tcBorders>
              <w:top w:val="nil"/>
              <w:left w:val="single" w:sz="4" w:space="0" w:color="auto"/>
              <w:bottom w:val="single" w:sz="4" w:space="0" w:color="auto"/>
              <w:right w:val="single" w:sz="4" w:space="0" w:color="auto"/>
            </w:tcBorders>
            <w:vAlign w:val="center"/>
            <w:hideMark/>
          </w:tcPr>
          <w:p w14:paraId="3E64014A" w14:textId="77777777" w:rsidR="00A31CD6" w:rsidRDefault="00A31CD6">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2970" w:type="dxa"/>
            <w:tcBorders>
              <w:top w:val="nil"/>
              <w:left w:val="nil"/>
              <w:bottom w:val="single" w:sz="4" w:space="0" w:color="auto"/>
              <w:right w:val="single" w:sz="4" w:space="0" w:color="auto"/>
            </w:tcBorders>
            <w:vAlign w:val="center"/>
            <w:hideMark/>
          </w:tcPr>
          <w:p w14:paraId="1D92384B" w14:textId="77777777" w:rsidR="00A31CD6" w:rsidRDefault="00A31CD6">
            <w:pPr>
              <w:rPr>
                <w:rFonts w:ascii="Montserrat" w:hAnsi="Montserrat"/>
                <w:color w:val="000000"/>
                <w:sz w:val="14"/>
                <w:szCs w:val="14"/>
              </w:rPr>
            </w:pPr>
            <w:r>
              <w:rPr>
                <w:rFonts w:ascii="Montserrat" w:hAnsi="Montserrat"/>
                <w:color w:val="000000"/>
                <w:sz w:val="14"/>
                <w:szCs w:val="14"/>
                <w:lang w:val="en-AU"/>
              </w:rPr>
              <w:t xml:space="preserve">Number of procedures to comply with business regulation </w:t>
            </w:r>
          </w:p>
        </w:tc>
        <w:tc>
          <w:tcPr>
            <w:tcW w:w="1890" w:type="dxa"/>
            <w:tcBorders>
              <w:top w:val="nil"/>
              <w:left w:val="nil"/>
              <w:bottom w:val="single" w:sz="4" w:space="0" w:color="auto"/>
              <w:right w:val="single" w:sz="4" w:space="0" w:color="auto"/>
            </w:tcBorders>
            <w:vAlign w:val="center"/>
            <w:hideMark/>
          </w:tcPr>
          <w:p w14:paraId="0D8668D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 xml:space="preserve">Reduction in the number of procedures </w:t>
            </w:r>
          </w:p>
        </w:tc>
        <w:tc>
          <w:tcPr>
            <w:tcW w:w="1350" w:type="dxa"/>
            <w:tcBorders>
              <w:top w:val="nil"/>
              <w:left w:val="nil"/>
              <w:bottom w:val="single" w:sz="4" w:space="0" w:color="auto"/>
              <w:right w:val="single" w:sz="4" w:space="0" w:color="auto"/>
            </w:tcBorders>
            <w:vAlign w:val="center"/>
            <w:hideMark/>
          </w:tcPr>
          <w:p w14:paraId="7871DB65"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440" w:type="dxa"/>
            <w:tcBorders>
              <w:top w:val="nil"/>
              <w:left w:val="nil"/>
              <w:bottom w:val="single" w:sz="4" w:space="0" w:color="auto"/>
              <w:right w:val="single" w:sz="4" w:space="0" w:color="auto"/>
            </w:tcBorders>
            <w:vAlign w:val="center"/>
            <w:hideMark/>
          </w:tcPr>
          <w:p w14:paraId="42FAAE3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2</w:t>
            </w:r>
          </w:p>
        </w:tc>
        <w:tc>
          <w:tcPr>
            <w:tcW w:w="1440" w:type="dxa"/>
            <w:tcBorders>
              <w:top w:val="nil"/>
              <w:left w:val="nil"/>
              <w:bottom w:val="single" w:sz="4" w:space="0" w:color="auto"/>
              <w:right w:val="single" w:sz="4" w:space="0" w:color="auto"/>
            </w:tcBorders>
            <w:vAlign w:val="center"/>
            <w:hideMark/>
          </w:tcPr>
          <w:p w14:paraId="25FA965A"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1966C5C7"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3</w:t>
            </w:r>
          </w:p>
        </w:tc>
        <w:tc>
          <w:tcPr>
            <w:tcW w:w="1799" w:type="dxa"/>
            <w:tcBorders>
              <w:top w:val="nil"/>
              <w:left w:val="nil"/>
              <w:bottom w:val="single" w:sz="4" w:space="0" w:color="auto"/>
              <w:right w:val="single" w:sz="4" w:space="0" w:color="auto"/>
            </w:tcBorders>
            <w:vAlign w:val="center"/>
            <w:hideMark/>
          </w:tcPr>
          <w:p w14:paraId="16BE16EC"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27A55D96" w14:textId="77777777" w:rsidTr="00E40BCD">
        <w:trPr>
          <w:trHeight w:val="259"/>
        </w:trPr>
        <w:tc>
          <w:tcPr>
            <w:tcW w:w="3375" w:type="dxa"/>
            <w:tcBorders>
              <w:top w:val="nil"/>
              <w:left w:val="single" w:sz="4" w:space="0" w:color="auto"/>
              <w:bottom w:val="nil"/>
              <w:right w:val="single" w:sz="4" w:space="0" w:color="auto"/>
            </w:tcBorders>
            <w:vAlign w:val="center"/>
            <w:hideMark/>
          </w:tcPr>
          <w:p w14:paraId="6D0FD744" w14:textId="77777777" w:rsidR="00A31CD6" w:rsidRDefault="00A31CD6">
            <w:pPr>
              <w:rPr>
                <w:rFonts w:ascii="Montserrat" w:hAnsi="Montserrat"/>
                <w:color w:val="000000"/>
                <w:sz w:val="14"/>
                <w:szCs w:val="14"/>
              </w:rPr>
            </w:pPr>
            <w:r>
              <w:rPr>
                <w:rFonts w:ascii="Montserrat" w:hAnsi="Montserrat"/>
                <w:color w:val="000000"/>
                <w:sz w:val="14"/>
                <w:szCs w:val="14"/>
                <w:lang w:val="en-AU"/>
              </w:rPr>
              <w:t>Fiji Investment Competitiveness</w:t>
            </w:r>
          </w:p>
        </w:tc>
        <w:tc>
          <w:tcPr>
            <w:tcW w:w="2970" w:type="dxa"/>
            <w:tcBorders>
              <w:top w:val="nil"/>
              <w:left w:val="nil"/>
              <w:bottom w:val="single" w:sz="4" w:space="0" w:color="auto"/>
              <w:right w:val="single" w:sz="4" w:space="0" w:color="auto"/>
            </w:tcBorders>
            <w:vAlign w:val="center"/>
            <w:hideMark/>
          </w:tcPr>
          <w:p w14:paraId="13C23B33" w14:textId="77777777" w:rsidR="00A31CD6" w:rsidRDefault="00A31CD6">
            <w:pPr>
              <w:rPr>
                <w:rFonts w:ascii="Montserrat" w:hAnsi="Montserrat"/>
                <w:color w:val="000000"/>
                <w:sz w:val="14"/>
                <w:szCs w:val="14"/>
              </w:rPr>
            </w:pPr>
            <w:r>
              <w:rPr>
                <w:rFonts w:ascii="Montserrat" w:hAnsi="Montserrat"/>
                <w:color w:val="000000"/>
                <w:sz w:val="14"/>
                <w:szCs w:val="14"/>
                <w:lang w:val="en-AU"/>
              </w:rPr>
              <w:t>Average number of days to comply with business regulation</w:t>
            </w:r>
          </w:p>
        </w:tc>
        <w:tc>
          <w:tcPr>
            <w:tcW w:w="1890" w:type="dxa"/>
            <w:tcBorders>
              <w:top w:val="nil"/>
              <w:left w:val="nil"/>
              <w:bottom w:val="single" w:sz="4" w:space="0" w:color="auto"/>
              <w:right w:val="single" w:sz="4" w:space="0" w:color="auto"/>
            </w:tcBorders>
            <w:vAlign w:val="center"/>
            <w:hideMark/>
          </w:tcPr>
          <w:p w14:paraId="1D65D1CC"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Reduction in the number of days by 10% (from 40 to 36 days)</w:t>
            </w:r>
          </w:p>
        </w:tc>
        <w:tc>
          <w:tcPr>
            <w:tcW w:w="1350" w:type="dxa"/>
            <w:tcBorders>
              <w:top w:val="nil"/>
              <w:left w:val="nil"/>
              <w:bottom w:val="single" w:sz="4" w:space="0" w:color="auto"/>
              <w:right w:val="single" w:sz="4" w:space="0" w:color="auto"/>
            </w:tcBorders>
            <w:vAlign w:val="center"/>
            <w:hideMark/>
          </w:tcPr>
          <w:p w14:paraId="662E306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150419EB"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8</w:t>
            </w:r>
          </w:p>
        </w:tc>
        <w:tc>
          <w:tcPr>
            <w:tcW w:w="1440" w:type="dxa"/>
            <w:tcBorders>
              <w:top w:val="nil"/>
              <w:left w:val="nil"/>
              <w:bottom w:val="single" w:sz="4" w:space="0" w:color="auto"/>
              <w:right w:val="single" w:sz="4" w:space="0" w:color="auto"/>
            </w:tcBorders>
            <w:vAlign w:val="center"/>
            <w:hideMark/>
          </w:tcPr>
          <w:p w14:paraId="596303D1"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469652A6"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8</w:t>
            </w:r>
          </w:p>
        </w:tc>
        <w:tc>
          <w:tcPr>
            <w:tcW w:w="1799" w:type="dxa"/>
            <w:tcBorders>
              <w:top w:val="nil"/>
              <w:left w:val="nil"/>
              <w:bottom w:val="single" w:sz="4" w:space="0" w:color="auto"/>
              <w:right w:val="single" w:sz="4" w:space="0" w:color="auto"/>
            </w:tcBorders>
            <w:vAlign w:val="center"/>
            <w:hideMark/>
          </w:tcPr>
          <w:p w14:paraId="0FED8F76"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7F657956" w14:textId="77777777" w:rsidTr="00E40BCD">
        <w:trPr>
          <w:trHeight w:val="259"/>
        </w:trPr>
        <w:tc>
          <w:tcPr>
            <w:tcW w:w="3375" w:type="dxa"/>
            <w:tcBorders>
              <w:top w:val="single" w:sz="4" w:space="0" w:color="auto"/>
              <w:left w:val="single" w:sz="4" w:space="0" w:color="auto"/>
              <w:bottom w:val="single" w:sz="4" w:space="0" w:color="auto"/>
              <w:right w:val="single" w:sz="4" w:space="0" w:color="auto"/>
            </w:tcBorders>
            <w:vAlign w:val="center"/>
            <w:hideMark/>
          </w:tcPr>
          <w:p w14:paraId="29671CA0" w14:textId="77777777" w:rsidR="00A31CD6" w:rsidRDefault="00A31CD6">
            <w:pPr>
              <w:rPr>
                <w:rFonts w:ascii="Montserrat" w:hAnsi="Montserrat"/>
                <w:color w:val="000000"/>
                <w:sz w:val="14"/>
                <w:szCs w:val="14"/>
              </w:rPr>
            </w:pPr>
            <w:r>
              <w:rPr>
                <w:rFonts w:ascii="Montserrat" w:hAnsi="Montserrat"/>
                <w:color w:val="000000"/>
                <w:sz w:val="14"/>
                <w:szCs w:val="14"/>
                <w:lang w:val="en-AU"/>
              </w:rPr>
              <w:t>Fiji Winvest</w:t>
            </w:r>
          </w:p>
        </w:tc>
        <w:tc>
          <w:tcPr>
            <w:tcW w:w="2970" w:type="dxa"/>
            <w:tcBorders>
              <w:top w:val="nil"/>
              <w:left w:val="nil"/>
              <w:bottom w:val="single" w:sz="4" w:space="0" w:color="auto"/>
              <w:right w:val="single" w:sz="4" w:space="0" w:color="auto"/>
            </w:tcBorders>
            <w:vAlign w:val="center"/>
            <w:hideMark/>
          </w:tcPr>
          <w:p w14:paraId="73C1EE21" w14:textId="77777777" w:rsidR="00A31CD6" w:rsidRDefault="00A31CD6">
            <w:pPr>
              <w:rPr>
                <w:rFonts w:ascii="Montserrat" w:hAnsi="Montserrat"/>
                <w:color w:val="000000"/>
                <w:sz w:val="14"/>
                <w:szCs w:val="14"/>
              </w:rPr>
            </w:pPr>
            <w:r>
              <w:rPr>
                <w:rFonts w:ascii="Montserrat" w:hAnsi="Montserrat"/>
                <w:color w:val="000000"/>
                <w:sz w:val="14"/>
                <w:szCs w:val="14"/>
                <w:lang w:val="en-AU"/>
              </w:rPr>
              <w:t>Number of agreements (concession, etc.) signed</w:t>
            </w:r>
          </w:p>
        </w:tc>
        <w:tc>
          <w:tcPr>
            <w:tcW w:w="1890" w:type="dxa"/>
            <w:tcBorders>
              <w:top w:val="nil"/>
              <w:left w:val="nil"/>
              <w:bottom w:val="single" w:sz="4" w:space="0" w:color="auto"/>
              <w:right w:val="single" w:sz="4" w:space="0" w:color="auto"/>
            </w:tcBorders>
            <w:vAlign w:val="center"/>
            <w:hideMark/>
          </w:tcPr>
          <w:p w14:paraId="71D9572E"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350" w:type="dxa"/>
            <w:tcBorders>
              <w:top w:val="nil"/>
              <w:left w:val="nil"/>
              <w:bottom w:val="single" w:sz="4" w:space="0" w:color="auto"/>
              <w:right w:val="single" w:sz="4" w:space="0" w:color="auto"/>
            </w:tcBorders>
            <w:vAlign w:val="center"/>
            <w:hideMark/>
          </w:tcPr>
          <w:p w14:paraId="39F26ED5"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440" w:type="dxa"/>
            <w:tcBorders>
              <w:top w:val="nil"/>
              <w:left w:val="nil"/>
              <w:bottom w:val="single" w:sz="4" w:space="0" w:color="auto"/>
              <w:right w:val="single" w:sz="4" w:space="0" w:color="auto"/>
            </w:tcBorders>
            <w:vAlign w:val="center"/>
            <w:hideMark/>
          </w:tcPr>
          <w:p w14:paraId="2492A33E"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288D4E67"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500586D4"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799" w:type="dxa"/>
            <w:tcBorders>
              <w:top w:val="nil"/>
              <w:left w:val="nil"/>
              <w:bottom w:val="single" w:sz="4" w:space="0" w:color="auto"/>
              <w:right w:val="single" w:sz="4" w:space="0" w:color="auto"/>
            </w:tcBorders>
            <w:vAlign w:val="center"/>
            <w:hideMark/>
          </w:tcPr>
          <w:p w14:paraId="7F1262CE"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r w:rsidR="00BE6597" w14:paraId="24CD97FA" w14:textId="77777777" w:rsidTr="00E40BCD">
        <w:trPr>
          <w:trHeight w:val="259"/>
        </w:trPr>
        <w:tc>
          <w:tcPr>
            <w:tcW w:w="3375" w:type="dxa"/>
            <w:tcBorders>
              <w:top w:val="nil"/>
              <w:left w:val="single" w:sz="4" w:space="0" w:color="auto"/>
              <w:bottom w:val="single" w:sz="4" w:space="0" w:color="auto"/>
              <w:right w:val="single" w:sz="4" w:space="0" w:color="auto"/>
            </w:tcBorders>
            <w:vAlign w:val="center"/>
            <w:hideMark/>
          </w:tcPr>
          <w:p w14:paraId="5070F371" w14:textId="77777777" w:rsidR="00A31CD6" w:rsidRDefault="00A31CD6">
            <w:pPr>
              <w:rPr>
                <w:rFonts w:ascii="Montserrat" w:hAnsi="Montserrat"/>
                <w:color w:val="000000"/>
                <w:sz w:val="14"/>
                <w:szCs w:val="14"/>
              </w:rPr>
            </w:pPr>
            <w:r>
              <w:rPr>
                <w:rFonts w:ascii="Montserrat" w:hAnsi="Montserrat"/>
                <w:color w:val="000000"/>
                <w:sz w:val="14"/>
                <w:szCs w:val="14"/>
                <w:lang w:val="en-AU"/>
              </w:rPr>
              <w:t>Fiji Winvest</w:t>
            </w:r>
          </w:p>
        </w:tc>
        <w:tc>
          <w:tcPr>
            <w:tcW w:w="2970" w:type="dxa"/>
            <w:tcBorders>
              <w:top w:val="nil"/>
              <w:left w:val="nil"/>
              <w:bottom w:val="single" w:sz="4" w:space="0" w:color="auto"/>
              <w:right w:val="nil"/>
            </w:tcBorders>
            <w:vAlign w:val="center"/>
            <w:hideMark/>
          </w:tcPr>
          <w:p w14:paraId="18381D4E" w14:textId="77777777" w:rsidR="00A31CD6" w:rsidRDefault="00A31CD6">
            <w:pPr>
              <w:rPr>
                <w:rFonts w:ascii="Montserrat" w:hAnsi="Montserrat"/>
                <w:color w:val="000000"/>
                <w:sz w:val="14"/>
                <w:szCs w:val="14"/>
              </w:rPr>
            </w:pPr>
            <w:r>
              <w:rPr>
                <w:rFonts w:ascii="Montserrat" w:hAnsi="Montserrat"/>
                <w:color w:val="000000"/>
                <w:sz w:val="14"/>
                <w:szCs w:val="14"/>
                <w:lang w:val="en-AU"/>
              </w:rPr>
              <w:t>Number of new institutional structures implemented</w:t>
            </w:r>
          </w:p>
        </w:tc>
        <w:tc>
          <w:tcPr>
            <w:tcW w:w="1890" w:type="dxa"/>
            <w:tcBorders>
              <w:top w:val="nil"/>
              <w:left w:val="single" w:sz="4" w:space="0" w:color="auto"/>
              <w:bottom w:val="single" w:sz="4" w:space="0" w:color="auto"/>
              <w:right w:val="single" w:sz="4" w:space="0" w:color="auto"/>
            </w:tcBorders>
            <w:vAlign w:val="center"/>
            <w:hideMark/>
          </w:tcPr>
          <w:p w14:paraId="3BC903D1"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350" w:type="dxa"/>
            <w:tcBorders>
              <w:top w:val="nil"/>
              <w:left w:val="nil"/>
              <w:bottom w:val="single" w:sz="4" w:space="0" w:color="auto"/>
              <w:right w:val="single" w:sz="4" w:space="0" w:color="auto"/>
            </w:tcBorders>
            <w:vAlign w:val="center"/>
            <w:hideMark/>
          </w:tcPr>
          <w:p w14:paraId="29A43188"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440" w:type="dxa"/>
            <w:tcBorders>
              <w:top w:val="nil"/>
              <w:left w:val="nil"/>
              <w:bottom w:val="single" w:sz="4" w:space="0" w:color="auto"/>
              <w:right w:val="single" w:sz="4" w:space="0" w:color="auto"/>
            </w:tcBorders>
            <w:vAlign w:val="center"/>
            <w:hideMark/>
          </w:tcPr>
          <w:p w14:paraId="1B0D089F"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5E1089E9"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0</w:t>
            </w:r>
          </w:p>
        </w:tc>
        <w:tc>
          <w:tcPr>
            <w:tcW w:w="1080" w:type="dxa"/>
            <w:tcBorders>
              <w:top w:val="nil"/>
              <w:left w:val="nil"/>
              <w:bottom w:val="single" w:sz="4" w:space="0" w:color="auto"/>
              <w:right w:val="single" w:sz="4" w:space="0" w:color="auto"/>
            </w:tcBorders>
            <w:vAlign w:val="center"/>
            <w:hideMark/>
          </w:tcPr>
          <w:p w14:paraId="3B879ACB"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1</w:t>
            </w:r>
          </w:p>
        </w:tc>
        <w:tc>
          <w:tcPr>
            <w:tcW w:w="1799" w:type="dxa"/>
            <w:tcBorders>
              <w:top w:val="nil"/>
              <w:left w:val="nil"/>
              <w:bottom w:val="single" w:sz="4" w:space="0" w:color="auto"/>
              <w:right w:val="single" w:sz="4" w:space="0" w:color="auto"/>
            </w:tcBorders>
            <w:vAlign w:val="center"/>
            <w:hideMark/>
          </w:tcPr>
          <w:p w14:paraId="5C4A2DD8" w14:textId="77777777" w:rsidR="00A31CD6" w:rsidRDefault="00A31CD6">
            <w:pPr>
              <w:jc w:val="right"/>
              <w:rPr>
                <w:rFonts w:ascii="Montserrat" w:hAnsi="Montserrat"/>
                <w:color w:val="000000"/>
                <w:sz w:val="14"/>
                <w:szCs w:val="14"/>
              </w:rPr>
            </w:pPr>
            <w:r>
              <w:rPr>
                <w:rFonts w:ascii="Montserrat" w:hAnsi="Montserrat"/>
                <w:color w:val="000000"/>
                <w:sz w:val="14"/>
                <w:szCs w:val="14"/>
                <w:lang w:val="en-AU"/>
              </w:rPr>
              <w:t>Achieved</w:t>
            </w:r>
          </w:p>
        </w:tc>
      </w:tr>
    </w:tbl>
    <w:p w14:paraId="232E2FC9" w14:textId="77777777" w:rsidR="00F95D15" w:rsidRPr="00A26E3C" w:rsidRDefault="00F95D15" w:rsidP="00FA13BD">
      <w:pPr>
        <w:suppressAutoHyphens/>
        <w:autoSpaceDE w:val="0"/>
        <w:autoSpaceDN w:val="0"/>
        <w:adjustRightInd w:val="0"/>
        <w:spacing w:line="288" w:lineRule="auto"/>
        <w:ind w:left="-810"/>
        <w:textAlignment w:val="center"/>
        <w:rPr>
          <w:rFonts w:ascii="Montserrat" w:hAnsi="Montserrat" w:cs="Montserrat"/>
          <w:i/>
          <w:iCs/>
          <w:color w:val="000000"/>
          <w:sz w:val="14"/>
          <w:szCs w:val="14"/>
          <w:lang w:val="en-AU"/>
        </w:rPr>
      </w:pPr>
      <w:r w:rsidRPr="00A26E3C">
        <w:rPr>
          <w:rFonts w:ascii="Montserrat" w:hAnsi="Montserrat" w:cs="Montserrat"/>
          <w:i/>
          <w:iCs/>
          <w:color w:val="000000"/>
          <w:sz w:val="14"/>
          <w:szCs w:val="14"/>
          <w:lang w:val="en-AU"/>
        </w:rPr>
        <w:t>* This result has been updated in this report due to a previously incorrectly recorded entry following the closure of the Fiji Investment Competitiveness project.</w:t>
      </w:r>
    </w:p>
    <w:p w14:paraId="172EC4D6" w14:textId="22D0928D" w:rsidR="000C0319" w:rsidRDefault="000C0319" w:rsidP="000C0319">
      <w:pPr>
        <w:suppressAutoHyphens/>
        <w:autoSpaceDE w:val="0"/>
        <w:autoSpaceDN w:val="0"/>
        <w:adjustRightInd w:val="0"/>
        <w:spacing w:line="288" w:lineRule="auto"/>
        <w:ind w:left="-783"/>
        <w:textAlignment w:val="center"/>
        <w:rPr>
          <w:rFonts w:ascii="Montserrat SemiBold" w:hAnsi="Montserrat SemiBold" w:cs="Montserrat SemiBold"/>
          <w:b/>
          <w:bCs/>
          <w:caps/>
          <w:color w:val="1C4257"/>
          <w:spacing w:val="19"/>
          <w:vertAlign w:val="superscript"/>
          <w:lang w:val="en-AU"/>
        </w:rPr>
      </w:pPr>
      <w:bookmarkStart w:id="76" w:name="_Hlk221280838"/>
      <w:r>
        <w:rPr>
          <w:rFonts w:ascii="Montserrat SemiBold" w:hAnsi="Montserrat SemiBold" w:cs="Montserrat SemiBold"/>
          <w:b/>
          <w:bCs/>
          <w:caps/>
          <w:color w:val="1C4257"/>
          <w:spacing w:val="19"/>
          <w:vertAlign w:val="superscript"/>
          <w:lang w:val="en-AU"/>
        </w:rPr>
        <w:lastRenderedPageBreak/>
        <w:t xml:space="preserve">Partnership Pillar 2: </w:t>
      </w:r>
      <w:r w:rsidRPr="000C0319">
        <w:rPr>
          <w:rFonts w:ascii="Montserrat SemiBold" w:hAnsi="Montserrat SemiBold" w:cs="Montserrat SemiBold"/>
          <w:b/>
          <w:bCs/>
          <w:caps/>
          <w:color w:val="1C4257"/>
          <w:spacing w:val="19"/>
          <w:vertAlign w:val="superscript"/>
          <w:lang w:val="en-AU"/>
        </w:rPr>
        <w:t>Accelerating inclusive and climate-smart private investment in key growth areas</w:t>
      </w:r>
    </w:p>
    <w:p w14:paraId="416EBA94" w14:textId="71163A5D" w:rsidR="000C0319" w:rsidRPr="000C0319" w:rsidRDefault="000C0319" w:rsidP="000C0319">
      <w:pPr>
        <w:suppressAutoHyphens/>
        <w:autoSpaceDE w:val="0"/>
        <w:autoSpaceDN w:val="0"/>
        <w:adjustRightInd w:val="0"/>
        <w:spacing w:line="288" w:lineRule="auto"/>
        <w:ind w:left="-783"/>
        <w:textAlignment w:val="center"/>
        <w:rPr>
          <w:rFonts w:ascii="Montserrat SemiBold" w:hAnsi="Montserrat SemiBold"/>
          <w:color w:val="000000"/>
          <w:sz w:val="14"/>
          <w:szCs w:val="14"/>
          <w:lang w:val="en-AU"/>
        </w:rPr>
      </w:pPr>
      <w:r>
        <w:rPr>
          <w:rFonts w:ascii="Montserrat" w:hAnsi="Montserrat"/>
          <w:b/>
          <w:bCs/>
          <w:color w:val="000000"/>
          <w:sz w:val="14"/>
          <w:szCs w:val="14"/>
          <w:lang w:val="en-AU"/>
        </w:rPr>
        <w:t xml:space="preserve">Portfolio projects with expected qualitative contributions to Partnership Pillar </w:t>
      </w:r>
      <w:r>
        <w:rPr>
          <w:rFonts w:ascii="Montserrat Medium" w:hAnsi="Montserrat Medium"/>
          <w:i/>
          <w:iCs/>
          <w:color w:val="000000"/>
          <w:sz w:val="14"/>
          <w:szCs w:val="14"/>
          <w:lang w:val="en-AU"/>
        </w:rPr>
        <w:t xml:space="preserve">(as per donor application, reported against evaluative questions): </w:t>
      </w:r>
      <w:r w:rsidRPr="000C0319">
        <w:rPr>
          <w:rFonts w:ascii="Montserrat SemiBold" w:hAnsi="Montserrat SemiBold"/>
          <w:color w:val="000000"/>
          <w:sz w:val="14"/>
          <w:szCs w:val="14"/>
          <w:lang w:val="en-AU"/>
        </w:rPr>
        <w:t>Fiji Health PPP Post Transaction Advisory Support</w:t>
      </w:r>
      <w:r>
        <w:rPr>
          <w:rFonts w:ascii="Montserrat SemiBold" w:hAnsi="Montserrat SemiBold"/>
          <w:color w:val="000000"/>
          <w:sz w:val="14"/>
          <w:szCs w:val="14"/>
          <w:lang w:val="en-AU"/>
        </w:rPr>
        <w:t>,</w:t>
      </w:r>
      <w:r w:rsidRPr="000C0319">
        <w:rPr>
          <w:rFonts w:ascii="Montserrat SemiBold" w:hAnsi="Montserrat SemiBold"/>
          <w:color w:val="000000"/>
          <w:sz w:val="14"/>
          <w:szCs w:val="14"/>
          <w:lang w:val="en-AU"/>
        </w:rPr>
        <w:t xml:space="preserve"> </w:t>
      </w:r>
    </w:p>
    <w:p w14:paraId="784210BE" w14:textId="07990477" w:rsidR="000C0319" w:rsidRPr="00461A4C" w:rsidRDefault="000C0319" w:rsidP="00461A4C">
      <w:pPr>
        <w:suppressAutoHyphens/>
        <w:autoSpaceDE w:val="0"/>
        <w:autoSpaceDN w:val="0"/>
        <w:adjustRightInd w:val="0"/>
        <w:spacing w:line="288" w:lineRule="auto"/>
        <w:ind w:left="-783"/>
        <w:textAlignment w:val="center"/>
        <w:rPr>
          <w:rFonts w:ascii="Montserrat SemiBold" w:hAnsi="Montserrat SemiBold"/>
          <w:color w:val="000000"/>
          <w:sz w:val="14"/>
          <w:szCs w:val="14"/>
          <w:lang w:val="en-AU"/>
        </w:rPr>
      </w:pPr>
      <w:r w:rsidRPr="000C0319">
        <w:rPr>
          <w:rFonts w:ascii="Montserrat SemiBold" w:hAnsi="Montserrat SemiBold"/>
          <w:color w:val="000000"/>
          <w:sz w:val="14"/>
          <w:szCs w:val="14"/>
          <w:lang w:val="en-AU"/>
        </w:rPr>
        <w:t xml:space="preserve">Fiji Sustainable Tourism </w:t>
      </w:r>
      <w:r w:rsidR="00F913F3" w:rsidRPr="000C0319">
        <w:rPr>
          <w:rFonts w:ascii="Montserrat SemiBold" w:hAnsi="Montserrat SemiBold"/>
          <w:color w:val="000000"/>
          <w:sz w:val="14"/>
          <w:szCs w:val="14"/>
          <w:lang w:val="en-AU"/>
        </w:rPr>
        <w:t>Project,</w:t>
      </w:r>
      <w:r>
        <w:rPr>
          <w:rFonts w:ascii="Montserrat SemiBold" w:hAnsi="Montserrat SemiBold"/>
          <w:color w:val="000000"/>
          <w:sz w:val="14"/>
          <w:szCs w:val="14"/>
          <w:lang w:val="en-AU"/>
        </w:rPr>
        <w:t xml:space="preserve"> </w:t>
      </w:r>
      <w:r w:rsidRPr="000C0319">
        <w:rPr>
          <w:rFonts w:ascii="Montserrat SemiBold" w:hAnsi="Montserrat SemiBold"/>
          <w:color w:val="000000"/>
          <w:sz w:val="14"/>
          <w:szCs w:val="14"/>
          <w:lang w:val="en-AU"/>
        </w:rPr>
        <w:t>Advance2Equal</w:t>
      </w:r>
      <w:r>
        <w:rPr>
          <w:rFonts w:ascii="Montserrat SemiBold" w:hAnsi="Montserrat SemiBold"/>
          <w:color w:val="000000"/>
          <w:sz w:val="14"/>
          <w:szCs w:val="14"/>
          <w:lang w:val="en-AU"/>
        </w:rPr>
        <w:t xml:space="preserve">, </w:t>
      </w:r>
      <w:r w:rsidRPr="000C0319">
        <w:rPr>
          <w:rFonts w:ascii="Montserrat SemiBold" w:hAnsi="Montserrat SemiBold"/>
          <w:color w:val="000000"/>
          <w:sz w:val="14"/>
          <w:szCs w:val="14"/>
          <w:lang w:val="en-AU"/>
        </w:rPr>
        <w:t>Pacific Integrated ESG</w:t>
      </w:r>
      <w:r w:rsidR="00461A4C">
        <w:rPr>
          <w:rFonts w:ascii="Montserrat SemiBold" w:hAnsi="Montserrat SemiBold"/>
          <w:color w:val="000000"/>
          <w:sz w:val="14"/>
          <w:szCs w:val="14"/>
          <w:lang w:val="en-AU"/>
        </w:rPr>
        <w:t xml:space="preserve">, </w:t>
      </w:r>
      <w:r w:rsidRPr="000C0319">
        <w:rPr>
          <w:rFonts w:ascii="Montserrat SemiBold" w:hAnsi="Montserrat SemiBold"/>
          <w:color w:val="000000"/>
          <w:sz w:val="14"/>
          <w:szCs w:val="14"/>
          <w:lang w:val="en-AU"/>
        </w:rPr>
        <w:t>Fiji Housing Development Project</w:t>
      </w:r>
      <w:r w:rsidR="00461A4C">
        <w:rPr>
          <w:rFonts w:ascii="Montserrat SemiBold" w:hAnsi="Montserrat SemiBold"/>
          <w:color w:val="000000"/>
          <w:sz w:val="14"/>
          <w:szCs w:val="14"/>
          <w:lang w:val="en-AU"/>
        </w:rPr>
        <w:t xml:space="preserve">, </w:t>
      </w:r>
      <w:r w:rsidRPr="000C0319">
        <w:rPr>
          <w:rFonts w:ascii="Montserrat SemiBold" w:hAnsi="Montserrat SemiBold"/>
          <w:color w:val="000000"/>
          <w:sz w:val="14"/>
          <w:szCs w:val="14"/>
          <w:lang w:val="en-AU"/>
        </w:rPr>
        <w:t>Fiji Affordable Housing PPP</w:t>
      </w:r>
      <w:r w:rsidR="00461A4C">
        <w:rPr>
          <w:rFonts w:ascii="Montserrat SemiBold" w:hAnsi="Montserrat SemiBold"/>
          <w:color w:val="000000"/>
          <w:sz w:val="14"/>
          <w:szCs w:val="14"/>
          <w:lang w:val="en-AU"/>
        </w:rPr>
        <w:t xml:space="preserve">, </w:t>
      </w:r>
      <w:r w:rsidRPr="000C0319">
        <w:rPr>
          <w:rFonts w:ascii="Montserrat SemiBold" w:hAnsi="Montserrat SemiBold"/>
          <w:color w:val="000000"/>
          <w:sz w:val="14"/>
          <w:szCs w:val="14"/>
          <w:lang w:val="en-AU"/>
        </w:rPr>
        <w:t>Fiji Investment Competitiveness</w:t>
      </w:r>
      <w:r w:rsidR="00461A4C">
        <w:rPr>
          <w:rFonts w:ascii="Montserrat SemiBold" w:hAnsi="Montserrat SemiBold"/>
          <w:color w:val="000000"/>
          <w:sz w:val="14"/>
          <w:szCs w:val="14"/>
          <w:lang w:val="en-AU"/>
        </w:rPr>
        <w:t xml:space="preserve">, </w:t>
      </w:r>
      <w:r w:rsidRPr="000C0319">
        <w:rPr>
          <w:rFonts w:ascii="Montserrat SemiBold" w:hAnsi="Montserrat SemiBold"/>
          <w:color w:val="000000"/>
          <w:sz w:val="14"/>
          <w:szCs w:val="14"/>
          <w:lang w:val="en-AU"/>
        </w:rPr>
        <w:t>Fiji Enabling Investment Environment</w:t>
      </w:r>
      <w:r w:rsidR="00461A4C">
        <w:rPr>
          <w:rFonts w:ascii="Montserrat SemiBold" w:hAnsi="Montserrat SemiBold"/>
          <w:color w:val="000000"/>
          <w:sz w:val="14"/>
          <w:szCs w:val="14"/>
          <w:lang w:val="en-AU"/>
        </w:rPr>
        <w:t xml:space="preserve"> and </w:t>
      </w:r>
      <w:r w:rsidRPr="000C0319">
        <w:rPr>
          <w:rFonts w:ascii="Montserrat SemiBold" w:hAnsi="Montserrat SemiBold"/>
          <w:color w:val="000000"/>
          <w:sz w:val="14"/>
          <w:szCs w:val="14"/>
          <w:lang w:val="en-AU"/>
        </w:rPr>
        <w:t>Fiji Sustainable Tourism and Investment</w:t>
      </w:r>
    </w:p>
    <w:bookmarkEnd w:id="76"/>
    <w:p w14:paraId="1B0B4CA3" w14:textId="77777777" w:rsidR="000C0319" w:rsidRPr="00A26E3C" w:rsidRDefault="000C0319" w:rsidP="00552BF9">
      <w:pPr>
        <w:suppressAutoHyphens/>
        <w:autoSpaceDE w:val="0"/>
        <w:autoSpaceDN w:val="0"/>
        <w:adjustRightInd w:val="0"/>
        <w:spacing w:line="288" w:lineRule="auto"/>
        <w:textAlignment w:val="center"/>
        <w:rPr>
          <w:rFonts w:ascii="Montserrat" w:hAnsi="Montserrat" w:cs="Montserrat"/>
          <w:i/>
          <w:iCs/>
          <w:color w:val="000000"/>
          <w:sz w:val="14"/>
          <w:szCs w:val="14"/>
          <w:lang w:val="en-AU"/>
        </w:rPr>
      </w:pPr>
    </w:p>
    <w:tbl>
      <w:tblPr>
        <w:tblW w:w="15364" w:type="dxa"/>
        <w:tblInd w:w="-775" w:type="dxa"/>
        <w:tblLayout w:type="fixed"/>
        <w:tblLook w:val="04A0" w:firstRow="1" w:lastRow="0" w:firstColumn="1" w:lastColumn="0" w:noHBand="0" w:noVBand="1"/>
      </w:tblPr>
      <w:tblGrid>
        <w:gridCol w:w="3357"/>
        <w:gridCol w:w="2988"/>
        <w:gridCol w:w="1908"/>
        <w:gridCol w:w="1332"/>
        <w:gridCol w:w="1440"/>
        <w:gridCol w:w="1458"/>
        <w:gridCol w:w="1062"/>
        <w:gridCol w:w="1819"/>
      </w:tblGrid>
      <w:tr w:rsidR="00E83C17" w14:paraId="2A03BEA4" w14:textId="77777777" w:rsidTr="00E40BCD">
        <w:trPr>
          <w:trHeight w:val="692"/>
          <w:tblHeader/>
        </w:trPr>
        <w:tc>
          <w:tcPr>
            <w:tcW w:w="3357" w:type="dxa"/>
            <w:tcBorders>
              <w:top w:val="single" w:sz="4" w:space="0" w:color="auto"/>
              <w:left w:val="single" w:sz="4" w:space="0" w:color="auto"/>
              <w:bottom w:val="single" w:sz="4" w:space="0" w:color="auto"/>
              <w:right w:val="single" w:sz="8" w:space="0" w:color="FFFFFF"/>
            </w:tcBorders>
            <w:shd w:val="clear" w:color="auto" w:fill="C1E4F5" w:themeFill="accent1" w:themeFillTint="33"/>
            <w:vAlign w:val="center"/>
            <w:hideMark/>
          </w:tcPr>
          <w:p w14:paraId="23B1DF41" w14:textId="77777777" w:rsidR="00461A4C" w:rsidRPr="005A2912" w:rsidRDefault="00461A4C">
            <w:pPr>
              <w:rPr>
                <w:rFonts w:ascii="Montserrat" w:hAnsi="Montserrat"/>
                <w:b/>
                <w:bCs/>
                <w:color w:val="000000"/>
                <w:sz w:val="14"/>
                <w:szCs w:val="14"/>
                <w:lang w:val="en-AU"/>
              </w:rPr>
            </w:pPr>
            <w:r>
              <w:rPr>
                <w:rFonts w:ascii="Montserrat" w:hAnsi="Montserrat"/>
                <w:b/>
                <w:bCs/>
                <w:color w:val="000000"/>
                <w:sz w:val="14"/>
                <w:szCs w:val="14"/>
                <w:lang w:val="en-AU"/>
              </w:rPr>
              <w:t xml:space="preserve">Portfolio projects with expected quantitative contributions to Partnership Pillar </w:t>
            </w:r>
            <w:r w:rsidRPr="005A2912">
              <w:rPr>
                <w:rFonts w:ascii="Montserrat" w:hAnsi="Montserrat"/>
                <w:b/>
                <w:bCs/>
                <w:color w:val="000000"/>
                <w:sz w:val="14"/>
                <w:szCs w:val="14"/>
                <w:lang w:val="en-AU"/>
              </w:rPr>
              <w:t>(as per development outcome indicators at end-June 2024)</w:t>
            </w:r>
          </w:p>
        </w:tc>
        <w:tc>
          <w:tcPr>
            <w:tcW w:w="2988"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79CE8445" w14:textId="1F408FB6" w:rsidR="00461A4C" w:rsidRPr="005A2912" w:rsidRDefault="00461A4C" w:rsidP="00E83C17">
            <w:pPr>
              <w:jc w:val="center"/>
              <w:rPr>
                <w:rFonts w:ascii="Montserrat" w:hAnsi="Montserrat"/>
                <w:b/>
                <w:bCs/>
                <w:color w:val="000000"/>
                <w:sz w:val="14"/>
                <w:szCs w:val="14"/>
                <w:lang w:val="en-AU"/>
              </w:rPr>
            </w:pPr>
            <w:r>
              <w:rPr>
                <w:rFonts w:ascii="Montserrat" w:hAnsi="Montserrat"/>
                <w:b/>
                <w:bCs/>
                <w:color w:val="000000"/>
                <w:sz w:val="14"/>
                <w:szCs w:val="14"/>
                <w:lang w:val="en-AU"/>
              </w:rPr>
              <w:t>Development</w:t>
            </w:r>
            <w:r w:rsidRPr="005A2912">
              <w:rPr>
                <w:rFonts w:ascii="Montserrat" w:hAnsi="Montserrat"/>
                <w:b/>
                <w:bCs/>
                <w:color w:val="000000"/>
                <w:sz w:val="14"/>
                <w:szCs w:val="14"/>
                <w:lang w:val="en-AU"/>
              </w:rPr>
              <w:t xml:space="preserve"> outcome indicators</w:t>
            </w:r>
          </w:p>
        </w:tc>
        <w:tc>
          <w:tcPr>
            <w:tcW w:w="1908"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02B54C19" w14:textId="77777777" w:rsidR="00461A4C" w:rsidRPr="005A2912" w:rsidRDefault="00461A4C" w:rsidP="00E83C17">
            <w:pPr>
              <w:jc w:val="right"/>
              <w:rPr>
                <w:rFonts w:ascii="Montserrat" w:hAnsi="Montserrat"/>
                <w:b/>
                <w:bCs/>
                <w:color w:val="000000"/>
                <w:sz w:val="14"/>
                <w:szCs w:val="14"/>
                <w:lang w:val="en-AU"/>
              </w:rPr>
            </w:pPr>
            <w:r>
              <w:rPr>
                <w:rFonts w:ascii="Montserrat" w:hAnsi="Montserrat"/>
                <w:b/>
                <w:bCs/>
                <w:color w:val="000000"/>
                <w:sz w:val="14"/>
                <w:szCs w:val="14"/>
                <w:lang w:val="en-AU"/>
              </w:rPr>
              <w:t xml:space="preserve">Cumulative targets </w:t>
            </w:r>
          </w:p>
        </w:tc>
        <w:tc>
          <w:tcPr>
            <w:tcW w:w="1332"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00350678" w14:textId="77777777" w:rsidR="00461A4C" w:rsidRPr="005A2912" w:rsidRDefault="00461A4C" w:rsidP="00E83C17">
            <w:pPr>
              <w:jc w:val="right"/>
              <w:rPr>
                <w:rFonts w:ascii="Montserrat" w:hAnsi="Montserrat"/>
                <w:b/>
                <w:bCs/>
                <w:color w:val="000000"/>
                <w:sz w:val="14"/>
                <w:szCs w:val="14"/>
                <w:lang w:val="en-AU"/>
              </w:rPr>
            </w:pPr>
            <w:r>
              <w:rPr>
                <w:rFonts w:ascii="Montserrat" w:hAnsi="Montserrat"/>
                <w:b/>
                <w:bCs/>
                <w:color w:val="000000"/>
                <w:sz w:val="14"/>
                <w:szCs w:val="14"/>
                <w:lang w:val="en-AU"/>
              </w:rPr>
              <w:t>Results achieved prior to Jan 2022</w:t>
            </w:r>
          </w:p>
        </w:tc>
        <w:tc>
          <w:tcPr>
            <w:tcW w:w="1440"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0D45E398" w14:textId="2FC1FE12" w:rsidR="00461A4C" w:rsidRPr="005A2912" w:rsidRDefault="00461A4C" w:rsidP="00E83C17">
            <w:pPr>
              <w:jc w:val="right"/>
              <w:rPr>
                <w:rFonts w:ascii="Montserrat" w:hAnsi="Montserrat"/>
                <w:b/>
                <w:bCs/>
                <w:color w:val="000000"/>
                <w:sz w:val="14"/>
                <w:szCs w:val="14"/>
                <w:lang w:val="en-AU"/>
              </w:rPr>
            </w:pPr>
            <w:r>
              <w:rPr>
                <w:rFonts w:ascii="Montserrat" w:hAnsi="Montserrat"/>
                <w:b/>
                <w:bCs/>
                <w:color w:val="000000"/>
                <w:sz w:val="14"/>
                <w:szCs w:val="14"/>
                <w:lang w:val="en-AU"/>
              </w:rPr>
              <w:t xml:space="preserve">FPSDP Results achieved </w:t>
            </w:r>
            <w:r w:rsidRPr="005A2912">
              <w:rPr>
                <w:rFonts w:ascii="Montserrat" w:hAnsi="Montserrat"/>
                <w:b/>
                <w:bCs/>
                <w:color w:val="000000"/>
                <w:sz w:val="14"/>
                <w:szCs w:val="14"/>
                <w:lang w:val="en-AU"/>
              </w:rPr>
              <w:t>Jan 2022 - Jun 2024</w:t>
            </w:r>
            <w:r>
              <w:rPr>
                <w:rFonts w:ascii="Montserrat" w:hAnsi="Montserrat"/>
                <w:b/>
                <w:bCs/>
                <w:color w:val="000000"/>
                <w:sz w:val="14"/>
                <w:szCs w:val="14"/>
                <w:lang w:val="en-AU"/>
              </w:rPr>
              <w:t xml:space="preserve">  </w:t>
            </w:r>
          </w:p>
        </w:tc>
        <w:tc>
          <w:tcPr>
            <w:tcW w:w="1458" w:type="dxa"/>
            <w:tcBorders>
              <w:top w:val="single" w:sz="4" w:space="0" w:color="auto"/>
              <w:left w:val="nil"/>
              <w:bottom w:val="single" w:sz="4" w:space="0" w:color="auto"/>
              <w:right w:val="nil"/>
            </w:tcBorders>
            <w:shd w:val="clear" w:color="auto" w:fill="C1E4F5" w:themeFill="accent1" w:themeFillTint="33"/>
            <w:vAlign w:val="center"/>
            <w:hideMark/>
          </w:tcPr>
          <w:p w14:paraId="4D38F8F5" w14:textId="2D659342" w:rsidR="00461A4C" w:rsidRPr="005A2912" w:rsidRDefault="00461A4C" w:rsidP="00E83C17">
            <w:pPr>
              <w:jc w:val="right"/>
              <w:rPr>
                <w:rFonts w:ascii="Montserrat" w:hAnsi="Montserrat"/>
                <w:b/>
                <w:bCs/>
                <w:color w:val="000000"/>
                <w:sz w:val="14"/>
                <w:szCs w:val="14"/>
                <w:lang w:val="en-AU"/>
              </w:rPr>
            </w:pPr>
            <w:r>
              <w:rPr>
                <w:rFonts w:ascii="Montserrat" w:hAnsi="Montserrat"/>
                <w:b/>
                <w:bCs/>
                <w:color w:val="000000"/>
                <w:sz w:val="14"/>
                <w:szCs w:val="14"/>
                <w:lang w:val="en-AU"/>
              </w:rPr>
              <w:t xml:space="preserve">FPSDP Current results </w:t>
            </w:r>
            <w:r w:rsidRPr="005A2912">
              <w:rPr>
                <w:rFonts w:ascii="Montserrat" w:hAnsi="Montserrat"/>
                <w:b/>
                <w:bCs/>
                <w:color w:val="000000"/>
                <w:sz w:val="14"/>
                <w:szCs w:val="14"/>
                <w:lang w:val="en-AU"/>
              </w:rPr>
              <w:t>Jul - Dec 2024</w:t>
            </w:r>
          </w:p>
        </w:tc>
        <w:tc>
          <w:tcPr>
            <w:tcW w:w="1062" w:type="dxa"/>
            <w:tcBorders>
              <w:top w:val="single" w:sz="4" w:space="0" w:color="auto"/>
              <w:left w:val="nil"/>
              <w:bottom w:val="single" w:sz="4" w:space="0" w:color="auto"/>
              <w:right w:val="nil"/>
            </w:tcBorders>
            <w:shd w:val="clear" w:color="auto" w:fill="C1E4F5" w:themeFill="accent1" w:themeFillTint="33"/>
            <w:vAlign w:val="center"/>
            <w:hideMark/>
          </w:tcPr>
          <w:p w14:paraId="1DB3A82E" w14:textId="77777777" w:rsidR="00461A4C" w:rsidRPr="005A2912" w:rsidRDefault="00461A4C" w:rsidP="00E83C17">
            <w:pPr>
              <w:jc w:val="right"/>
              <w:rPr>
                <w:rFonts w:ascii="Montserrat" w:hAnsi="Montserrat"/>
                <w:b/>
                <w:bCs/>
                <w:color w:val="000000"/>
                <w:sz w:val="14"/>
                <w:szCs w:val="14"/>
                <w:lang w:val="en-AU"/>
              </w:rPr>
            </w:pPr>
            <w:r>
              <w:rPr>
                <w:rFonts w:ascii="Montserrat" w:hAnsi="Montserrat"/>
                <w:b/>
                <w:bCs/>
                <w:color w:val="000000"/>
                <w:sz w:val="14"/>
                <w:szCs w:val="14"/>
                <w:lang w:val="en-AU"/>
              </w:rPr>
              <w:t xml:space="preserve">Cumulative results </w:t>
            </w:r>
          </w:p>
        </w:tc>
        <w:tc>
          <w:tcPr>
            <w:tcW w:w="1819" w:type="dxa"/>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1047B552" w14:textId="77777777" w:rsidR="00461A4C" w:rsidRPr="005A2912" w:rsidRDefault="00461A4C" w:rsidP="00E83C17">
            <w:pPr>
              <w:jc w:val="right"/>
              <w:rPr>
                <w:rFonts w:ascii="Montserrat" w:hAnsi="Montserrat"/>
                <w:b/>
                <w:bCs/>
                <w:color w:val="000000"/>
                <w:sz w:val="14"/>
                <w:szCs w:val="14"/>
                <w:lang w:val="en-AU"/>
              </w:rPr>
            </w:pPr>
            <w:r>
              <w:rPr>
                <w:rFonts w:ascii="Montserrat" w:hAnsi="Montserrat"/>
                <w:b/>
                <w:bCs/>
                <w:color w:val="000000"/>
                <w:sz w:val="14"/>
                <w:szCs w:val="14"/>
                <w:lang w:val="en-AU"/>
              </w:rPr>
              <w:t>% Cumulative results achieved against cumulative targets</w:t>
            </w:r>
          </w:p>
        </w:tc>
      </w:tr>
      <w:tr w:rsidR="00E83C17" w14:paraId="0BFE5A88" w14:textId="77777777" w:rsidTr="00E40BCD">
        <w:trPr>
          <w:trHeight w:val="259"/>
        </w:trPr>
        <w:tc>
          <w:tcPr>
            <w:tcW w:w="3357" w:type="dxa"/>
            <w:tcBorders>
              <w:top w:val="single" w:sz="4" w:space="0" w:color="auto"/>
              <w:left w:val="single" w:sz="4" w:space="0" w:color="auto"/>
              <w:bottom w:val="nil"/>
              <w:right w:val="single" w:sz="4" w:space="0" w:color="auto"/>
            </w:tcBorders>
            <w:vAlign w:val="center"/>
            <w:hideMark/>
          </w:tcPr>
          <w:p w14:paraId="24D5AF38" w14:textId="77777777" w:rsidR="00461A4C" w:rsidRDefault="00461A4C">
            <w:pPr>
              <w:rPr>
                <w:rFonts w:ascii="Montserrat" w:hAnsi="Montserrat"/>
                <w:color w:val="000000"/>
                <w:sz w:val="14"/>
                <w:szCs w:val="14"/>
              </w:rPr>
            </w:pPr>
            <w:bookmarkStart w:id="77" w:name="_Hlk221280543"/>
            <w:r>
              <w:rPr>
                <w:rFonts w:ascii="Montserrat" w:hAnsi="Montserrat"/>
                <w:color w:val="000000"/>
                <w:sz w:val="14"/>
                <w:szCs w:val="14"/>
                <w:lang w:val="en-AU"/>
              </w:rPr>
              <w:t>Fiji Sustainable Tourism Project</w:t>
            </w:r>
          </w:p>
        </w:tc>
        <w:tc>
          <w:tcPr>
            <w:tcW w:w="2988" w:type="dxa"/>
            <w:vMerge w:val="restart"/>
            <w:tcBorders>
              <w:top w:val="single" w:sz="4" w:space="0" w:color="auto"/>
              <w:left w:val="single" w:sz="4" w:space="0" w:color="auto"/>
              <w:bottom w:val="single" w:sz="4" w:space="0" w:color="auto"/>
              <w:right w:val="single" w:sz="4" w:space="0" w:color="auto"/>
            </w:tcBorders>
            <w:vAlign w:val="center"/>
            <w:hideMark/>
          </w:tcPr>
          <w:p w14:paraId="34AFAE0B" w14:textId="77777777" w:rsidR="00461A4C" w:rsidRDefault="00461A4C">
            <w:pPr>
              <w:rPr>
                <w:rFonts w:ascii="Montserrat" w:hAnsi="Montserrat"/>
                <w:color w:val="000000"/>
                <w:sz w:val="14"/>
                <w:szCs w:val="14"/>
              </w:rPr>
            </w:pPr>
            <w:r>
              <w:rPr>
                <w:rFonts w:ascii="Montserrat" w:hAnsi="Montserrat"/>
                <w:color w:val="000000"/>
                <w:sz w:val="14"/>
                <w:szCs w:val="14"/>
                <w:lang w:val="en-AU"/>
              </w:rPr>
              <w:t>Number of new active leads</w:t>
            </w:r>
          </w:p>
        </w:tc>
        <w:tc>
          <w:tcPr>
            <w:tcW w:w="1908" w:type="dxa"/>
            <w:vMerge w:val="restart"/>
            <w:tcBorders>
              <w:top w:val="single" w:sz="4" w:space="0" w:color="auto"/>
              <w:left w:val="single" w:sz="4" w:space="0" w:color="auto"/>
              <w:bottom w:val="single" w:sz="4" w:space="0" w:color="auto"/>
              <w:right w:val="single" w:sz="4" w:space="0" w:color="auto"/>
            </w:tcBorders>
            <w:vAlign w:val="center"/>
            <w:hideMark/>
          </w:tcPr>
          <w:p w14:paraId="52B4A666"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8</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77607F0D"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4BF71A6C"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21</w:t>
            </w:r>
          </w:p>
        </w:tc>
        <w:tc>
          <w:tcPr>
            <w:tcW w:w="1458" w:type="dxa"/>
            <w:vMerge w:val="restart"/>
            <w:tcBorders>
              <w:top w:val="single" w:sz="4" w:space="0" w:color="auto"/>
              <w:left w:val="single" w:sz="4" w:space="0" w:color="auto"/>
              <w:bottom w:val="single" w:sz="4" w:space="0" w:color="auto"/>
              <w:right w:val="single" w:sz="4" w:space="0" w:color="auto"/>
            </w:tcBorders>
            <w:vAlign w:val="center"/>
            <w:hideMark/>
          </w:tcPr>
          <w:p w14:paraId="61BD6F15"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single" w:sz="4" w:space="0" w:color="auto"/>
              <w:left w:val="single" w:sz="4" w:space="0" w:color="auto"/>
              <w:bottom w:val="single" w:sz="4" w:space="0" w:color="auto"/>
              <w:right w:val="single" w:sz="4" w:space="0" w:color="auto"/>
            </w:tcBorders>
            <w:vAlign w:val="center"/>
            <w:hideMark/>
          </w:tcPr>
          <w:p w14:paraId="3B5B6E44"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21</w:t>
            </w:r>
          </w:p>
        </w:tc>
        <w:tc>
          <w:tcPr>
            <w:tcW w:w="1819" w:type="dxa"/>
            <w:vMerge w:val="restart"/>
            <w:tcBorders>
              <w:top w:val="single" w:sz="4" w:space="0" w:color="auto"/>
              <w:left w:val="single" w:sz="4" w:space="0" w:color="auto"/>
              <w:bottom w:val="single" w:sz="4" w:space="0" w:color="auto"/>
              <w:right w:val="single" w:sz="4" w:space="0" w:color="auto"/>
            </w:tcBorders>
            <w:vAlign w:val="center"/>
            <w:hideMark/>
          </w:tcPr>
          <w:p w14:paraId="3DA20749"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Achieved</w:t>
            </w:r>
          </w:p>
        </w:tc>
      </w:tr>
      <w:tr w:rsidR="00E83C17" w14:paraId="2118F896" w14:textId="77777777" w:rsidTr="00E40BCD">
        <w:trPr>
          <w:trHeight w:val="259"/>
        </w:trPr>
        <w:tc>
          <w:tcPr>
            <w:tcW w:w="3357" w:type="dxa"/>
            <w:tcBorders>
              <w:top w:val="nil"/>
              <w:left w:val="single" w:sz="4" w:space="0" w:color="auto"/>
              <w:bottom w:val="single" w:sz="4" w:space="0" w:color="auto"/>
              <w:right w:val="single" w:sz="4" w:space="0" w:color="auto"/>
            </w:tcBorders>
            <w:vAlign w:val="center"/>
            <w:hideMark/>
          </w:tcPr>
          <w:p w14:paraId="533A6463" w14:textId="77777777" w:rsidR="00461A4C" w:rsidRDefault="00461A4C">
            <w:pPr>
              <w:rPr>
                <w:rFonts w:ascii="Montserrat" w:hAnsi="Montserrat"/>
                <w:color w:val="000000"/>
                <w:sz w:val="14"/>
                <w:szCs w:val="14"/>
              </w:rPr>
            </w:pPr>
            <w:r>
              <w:rPr>
                <w:rFonts w:ascii="Montserrat" w:hAnsi="Montserrat"/>
                <w:color w:val="000000"/>
                <w:sz w:val="14"/>
                <w:szCs w:val="14"/>
              </w:rPr>
              <w:t xml:space="preserve">Fiji Investment Competitiveness </w:t>
            </w:r>
          </w:p>
        </w:tc>
        <w:tc>
          <w:tcPr>
            <w:tcW w:w="2988" w:type="dxa"/>
            <w:vMerge/>
            <w:tcBorders>
              <w:top w:val="nil"/>
              <w:left w:val="single" w:sz="4" w:space="0" w:color="auto"/>
              <w:bottom w:val="single" w:sz="4" w:space="0" w:color="auto"/>
              <w:right w:val="single" w:sz="4" w:space="0" w:color="auto"/>
            </w:tcBorders>
            <w:vAlign w:val="center"/>
            <w:hideMark/>
          </w:tcPr>
          <w:p w14:paraId="022A0F46" w14:textId="77777777" w:rsidR="00461A4C" w:rsidRDefault="00461A4C">
            <w:pPr>
              <w:rPr>
                <w:rFonts w:ascii="Montserrat" w:hAnsi="Montserrat"/>
                <w:color w:val="000000"/>
                <w:sz w:val="14"/>
                <w:szCs w:val="14"/>
              </w:rPr>
            </w:pPr>
          </w:p>
        </w:tc>
        <w:tc>
          <w:tcPr>
            <w:tcW w:w="1908" w:type="dxa"/>
            <w:vMerge/>
            <w:tcBorders>
              <w:top w:val="nil"/>
              <w:left w:val="single" w:sz="4" w:space="0" w:color="auto"/>
              <w:bottom w:val="single" w:sz="4" w:space="0" w:color="auto"/>
              <w:right w:val="single" w:sz="4" w:space="0" w:color="auto"/>
            </w:tcBorders>
            <w:vAlign w:val="center"/>
            <w:hideMark/>
          </w:tcPr>
          <w:p w14:paraId="229893B9" w14:textId="77777777" w:rsidR="00461A4C" w:rsidRDefault="00461A4C">
            <w:pPr>
              <w:rPr>
                <w:rFonts w:ascii="Montserrat" w:hAnsi="Montserrat"/>
                <w:color w:val="000000"/>
                <w:sz w:val="14"/>
                <w:szCs w:val="14"/>
              </w:rPr>
            </w:pPr>
          </w:p>
        </w:tc>
        <w:tc>
          <w:tcPr>
            <w:tcW w:w="1332" w:type="dxa"/>
            <w:vMerge/>
            <w:tcBorders>
              <w:top w:val="nil"/>
              <w:left w:val="single" w:sz="4" w:space="0" w:color="auto"/>
              <w:bottom w:val="single" w:sz="4" w:space="0" w:color="auto"/>
              <w:right w:val="single" w:sz="4" w:space="0" w:color="auto"/>
            </w:tcBorders>
            <w:vAlign w:val="center"/>
            <w:hideMark/>
          </w:tcPr>
          <w:p w14:paraId="5267E8E4" w14:textId="77777777" w:rsidR="00461A4C" w:rsidRDefault="00461A4C">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75E44A6" w14:textId="77777777" w:rsidR="00461A4C" w:rsidRDefault="00461A4C">
            <w:pPr>
              <w:rPr>
                <w:rFonts w:ascii="Montserrat" w:hAnsi="Montserrat"/>
                <w:color w:val="000000"/>
                <w:sz w:val="14"/>
                <w:szCs w:val="14"/>
              </w:rPr>
            </w:pPr>
          </w:p>
        </w:tc>
        <w:tc>
          <w:tcPr>
            <w:tcW w:w="1458" w:type="dxa"/>
            <w:vMerge/>
            <w:tcBorders>
              <w:top w:val="nil"/>
              <w:left w:val="single" w:sz="4" w:space="0" w:color="auto"/>
              <w:bottom w:val="single" w:sz="4" w:space="0" w:color="auto"/>
              <w:right w:val="single" w:sz="4" w:space="0" w:color="auto"/>
            </w:tcBorders>
            <w:vAlign w:val="center"/>
            <w:hideMark/>
          </w:tcPr>
          <w:p w14:paraId="767C7BA1" w14:textId="77777777" w:rsidR="00461A4C" w:rsidRDefault="00461A4C">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209FBBE9" w14:textId="77777777" w:rsidR="00461A4C" w:rsidRDefault="00461A4C">
            <w:pPr>
              <w:rPr>
                <w:rFonts w:ascii="Montserrat" w:hAnsi="Montserrat"/>
                <w:color w:val="000000"/>
                <w:sz w:val="14"/>
                <w:szCs w:val="14"/>
              </w:rPr>
            </w:pPr>
          </w:p>
        </w:tc>
        <w:tc>
          <w:tcPr>
            <w:tcW w:w="1819" w:type="dxa"/>
            <w:vMerge/>
            <w:tcBorders>
              <w:top w:val="nil"/>
              <w:left w:val="single" w:sz="4" w:space="0" w:color="auto"/>
              <w:bottom w:val="single" w:sz="4" w:space="0" w:color="auto"/>
              <w:right w:val="single" w:sz="4" w:space="0" w:color="auto"/>
            </w:tcBorders>
            <w:vAlign w:val="center"/>
            <w:hideMark/>
          </w:tcPr>
          <w:p w14:paraId="2AF8AD31" w14:textId="77777777" w:rsidR="00461A4C" w:rsidRDefault="00461A4C">
            <w:pPr>
              <w:rPr>
                <w:rFonts w:ascii="Montserrat" w:hAnsi="Montserrat"/>
                <w:color w:val="000000"/>
                <w:sz w:val="14"/>
                <w:szCs w:val="14"/>
              </w:rPr>
            </w:pPr>
          </w:p>
        </w:tc>
      </w:tr>
      <w:tr w:rsidR="00E83C17" w14:paraId="578DD8E0" w14:textId="77777777" w:rsidTr="00E40BCD">
        <w:trPr>
          <w:trHeight w:val="259"/>
        </w:trPr>
        <w:tc>
          <w:tcPr>
            <w:tcW w:w="3357" w:type="dxa"/>
            <w:tcBorders>
              <w:top w:val="nil"/>
              <w:left w:val="single" w:sz="4" w:space="0" w:color="auto"/>
              <w:bottom w:val="nil"/>
              <w:right w:val="nil"/>
            </w:tcBorders>
            <w:vAlign w:val="center"/>
            <w:hideMark/>
          </w:tcPr>
          <w:p w14:paraId="664F0FEF" w14:textId="77777777" w:rsidR="00461A4C" w:rsidRDefault="00461A4C">
            <w:pPr>
              <w:rPr>
                <w:rFonts w:ascii="Montserrat" w:hAnsi="Montserrat"/>
                <w:color w:val="000000"/>
                <w:sz w:val="14"/>
                <w:szCs w:val="14"/>
              </w:rPr>
            </w:pPr>
            <w:r>
              <w:rPr>
                <w:rFonts w:ascii="Montserrat" w:hAnsi="Montserrat"/>
                <w:color w:val="000000"/>
                <w:sz w:val="14"/>
                <w:szCs w:val="14"/>
                <w:lang w:val="en-AU"/>
              </w:rPr>
              <w:t>Fiji Sustainable Tourism Project</w:t>
            </w:r>
          </w:p>
        </w:tc>
        <w:tc>
          <w:tcPr>
            <w:tcW w:w="2988" w:type="dxa"/>
            <w:vMerge w:val="restart"/>
            <w:tcBorders>
              <w:top w:val="nil"/>
              <w:left w:val="single" w:sz="4" w:space="0" w:color="auto"/>
              <w:bottom w:val="single" w:sz="4" w:space="0" w:color="auto"/>
              <w:right w:val="single" w:sz="4" w:space="0" w:color="auto"/>
            </w:tcBorders>
            <w:vAlign w:val="center"/>
            <w:hideMark/>
          </w:tcPr>
          <w:p w14:paraId="02233AAA" w14:textId="77777777" w:rsidR="00461A4C" w:rsidRDefault="00461A4C">
            <w:pPr>
              <w:rPr>
                <w:rFonts w:ascii="Montserrat" w:hAnsi="Montserrat"/>
                <w:color w:val="000000"/>
                <w:sz w:val="14"/>
                <w:szCs w:val="14"/>
              </w:rPr>
            </w:pPr>
            <w:r>
              <w:rPr>
                <w:rFonts w:ascii="Montserrat" w:hAnsi="Montserrat"/>
                <w:color w:val="000000"/>
                <w:sz w:val="14"/>
                <w:szCs w:val="14"/>
                <w:lang w:val="en-AU"/>
              </w:rPr>
              <w:t>Number of new committed leads</w:t>
            </w:r>
          </w:p>
        </w:tc>
        <w:tc>
          <w:tcPr>
            <w:tcW w:w="1908" w:type="dxa"/>
            <w:vMerge w:val="restart"/>
            <w:tcBorders>
              <w:top w:val="nil"/>
              <w:left w:val="single" w:sz="4" w:space="0" w:color="auto"/>
              <w:bottom w:val="single" w:sz="4" w:space="0" w:color="auto"/>
              <w:right w:val="single" w:sz="4" w:space="0" w:color="auto"/>
            </w:tcBorders>
            <w:vAlign w:val="center"/>
            <w:hideMark/>
          </w:tcPr>
          <w:p w14:paraId="1C8E4262"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332" w:type="dxa"/>
            <w:vMerge w:val="restart"/>
            <w:tcBorders>
              <w:top w:val="nil"/>
              <w:left w:val="single" w:sz="4" w:space="0" w:color="auto"/>
              <w:bottom w:val="single" w:sz="4" w:space="0" w:color="auto"/>
              <w:right w:val="single" w:sz="4" w:space="0" w:color="auto"/>
            </w:tcBorders>
            <w:vAlign w:val="center"/>
            <w:hideMark/>
          </w:tcPr>
          <w:p w14:paraId="18956D0B"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440" w:type="dxa"/>
            <w:vMerge w:val="restart"/>
            <w:tcBorders>
              <w:top w:val="nil"/>
              <w:left w:val="single" w:sz="4" w:space="0" w:color="auto"/>
              <w:bottom w:val="single" w:sz="4" w:space="0" w:color="auto"/>
              <w:right w:val="single" w:sz="4" w:space="0" w:color="auto"/>
            </w:tcBorders>
            <w:vAlign w:val="center"/>
            <w:hideMark/>
          </w:tcPr>
          <w:p w14:paraId="3784F565"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11</w:t>
            </w:r>
          </w:p>
        </w:tc>
        <w:tc>
          <w:tcPr>
            <w:tcW w:w="1458" w:type="dxa"/>
            <w:vMerge w:val="restart"/>
            <w:tcBorders>
              <w:top w:val="nil"/>
              <w:left w:val="single" w:sz="4" w:space="0" w:color="auto"/>
              <w:bottom w:val="single" w:sz="4" w:space="0" w:color="auto"/>
              <w:right w:val="single" w:sz="4" w:space="0" w:color="auto"/>
            </w:tcBorders>
            <w:vAlign w:val="center"/>
            <w:hideMark/>
          </w:tcPr>
          <w:p w14:paraId="02C6F897"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263B649E"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11</w:t>
            </w:r>
          </w:p>
        </w:tc>
        <w:tc>
          <w:tcPr>
            <w:tcW w:w="1819" w:type="dxa"/>
            <w:vMerge w:val="restart"/>
            <w:tcBorders>
              <w:top w:val="nil"/>
              <w:left w:val="single" w:sz="4" w:space="0" w:color="auto"/>
              <w:bottom w:val="single" w:sz="4" w:space="0" w:color="auto"/>
              <w:right w:val="single" w:sz="4" w:space="0" w:color="auto"/>
            </w:tcBorders>
            <w:vAlign w:val="center"/>
            <w:hideMark/>
          </w:tcPr>
          <w:p w14:paraId="4F8FB7DF"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Achieved</w:t>
            </w:r>
          </w:p>
        </w:tc>
      </w:tr>
      <w:tr w:rsidR="00E83C17" w14:paraId="22CBB748" w14:textId="77777777" w:rsidTr="00E40BCD">
        <w:trPr>
          <w:trHeight w:val="259"/>
        </w:trPr>
        <w:tc>
          <w:tcPr>
            <w:tcW w:w="3357" w:type="dxa"/>
            <w:tcBorders>
              <w:top w:val="nil"/>
              <w:left w:val="single" w:sz="4" w:space="0" w:color="auto"/>
              <w:bottom w:val="nil"/>
              <w:right w:val="nil"/>
            </w:tcBorders>
            <w:vAlign w:val="center"/>
            <w:hideMark/>
          </w:tcPr>
          <w:p w14:paraId="7012EEA7" w14:textId="77777777" w:rsidR="00461A4C" w:rsidRDefault="00461A4C">
            <w:pPr>
              <w:rPr>
                <w:rFonts w:ascii="Montserrat" w:hAnsi="Montserrat"/>
                <w:color w:val="000000"/>
                <w:sz w:val="14"/>
                <w:szCs w:val="14"/>
              </w:rPr>
            </w:pPr>
            <w:r>
              <w:rPr>
                <w:rFonts w:ascii="Montserrat" w:hAnsi="Montserrat"/>
                <w:color w:val="000000"/>
                <w:sz w:val="14"/>
                <w:szCs w:val="14"/>
              </w:rPr>
              <w:t xml:space="preserve">Fiji Investment Competitiveness </w:t>
            </w:r>
          </w:p>
        </w:tc>
        <w:tc>
          <w:tcPr>
            <w:tcW w:w="2988" w:type="dxa"/>
            <w:vMerge/>
            <w:tcBorders>
              <w:top w:val="nil"/>
              <w:left w:val="single" w:sz="4" w:space="0" w:color="auto"/>
              <w:bottom w:val="single" w:sz="4" w:space="0" w:color="auto"/>
              <w:right w:val="single" w:sz="4" w:space="0" w:color="auto"/>
            </w:tcBorders>
            <w:vAlign w:val="center"/>
            <w:hideMark/>
          </w:tcPr>
          <w:p w14:paraId="215A82CB" w14:textId="77777777" w:rsidR="00461A4C" w:rsidRDefault="00461A4C">
            <w:pPr>
              <w:rPr>
                <w:rFonts w:ascii="Montserrat" w:hAnsi="Montserrat"/>
                <w:color w:val="000000"/>
                <w:sz w:val="14"/>
                <w:szCs w:val="14"/>
              </w:rPr>
            </w:pPr>
          </w:p>
        </w:tc>
        <w:tc>
          <w:tcPr>
            <w:tcW w:w="1908" w:type="dxa"/>
            <w:vMerge/>
            <w:tcBorders>
              <w:top w:val="nil"/>
              <w:left w:val="single" w:sz="4" w:space="0" w:color="auto"/>
              <w:bottom w:val="single" w:sz="4" w:space="0" w:color="auto"/>
              <w:right w:val="single" w:sz="4" w:space="0" w:color="auto"/>
            </w:tcBorders>
            <w:vAlign w:val="center"/>
            <w:hideMark/>
          </w:tcPr>
          <w:p w14:paraId="28586CDB" w14:textId="77777777" w:rsidR="00461A4C" w:rsidRDefault="00461A4C">
            <w:pPr>
              <w:rPr>
                <w:rFonts w:ascii="Montserrat" w:hAnsi="Montserrat"/>
                <w:color w:val="000000"/>
                <w:sz w:val="14"/>
                <w:szCs w:val="14"/>
              </w:rPr>
            </w:pPr>
          </w:p>
        </w:tc>
        <w:tc>
          <w:tcPr>
            <w:tcW w:w="1332" w:type="dxa"/>
            <w:vMerge/>
            <w:tcBorders>
              <w:top w:val="nil"/>
              <w:left w:val="single" w:sz="4" w:space="0" w:color="auto"/>
              <w:bottom w:val="single" w:sz="4" w:space="0" w:color="auto"/>
              <w:right w:val="single" w:sz="4" w:space="0" w:color="auto"/>
            </w:tcBorders>
            <w:vAlign w:val="center"/>
            <w:hideMark/>
          </w:tcPr>
          <w:p w14:paraId="6354CF7E" w14:textId="77777777" w:rsidR="00461A4C" w:rsidRDefault="00461A4C">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7A90EFB" w14:textId="77777777" w:rsidR="00461A4C" w:rsidRDefault="00461A4C">
            <w:pPr>
              <w:rPr>
                <w:rFonts w:ascii="Montserrat" w:hAnsi="Montserrat"/>
                <w:color w:val="000000"/>
                <w:sz w:val="14"/>
                <w:szCs w:val="14"/>
              </w:rPr>
            </w:pPr>
          </w:p>
        </w:tc>
        <w:tc>
          <w:tcPr>
            <w:tcW w:w="1458" w:type="dxa"/>
            <w:vMerge/>
            <w:tcBorders>
              <w:top w:val="nil"/>
              <w:left w:val="single" w:sz="4" w:space="0" w:color="auto"/>
              <w:bottom w:val="single" w:sz="4" w:space="0" w:color="auto"/>
              <w:right w:val="single" w:sz="4" w:space="0" w:color="auto"/>
            </w:tcBorders>
            <w:vAlign w:val="center"/>
            <w:hideMark/>
          </w:tcPr>
          <w:p w14:paraId="3BB096D7" w14:textId="77777777" w:rsidR="00461A4C" w:rsidRDefault="00461A4C">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00977FEA" w14:textId="77777777" w:rsidR="00461A4C" w:rsidRDefault="00461A4C">
            <w:pPr>
              <w:rPr>
                <w:rFonts w:ascii="Montserrat" w:hAnsi="Montserrat"/>
                <w:color w:val="000000"/>
                <w:sz w:val="14"/>
                <w:szCs w:val="14"/>
              </w:rPr>
            </w:pPr>
          </w:p>
        </w:tc>
        <w:tc>
          <w:tcPr>
            <w:tcW w:w="1819" w:type="dxa"/>
            <w:vMerge/>
            <w:tcBorders>
              <w:top w:val="nil"/>
              <w:left w:val="single" w:sz="4" w:space="0" w:color="auto"/>
              <w:bottom w:val="single" w:sz="4" w:space="0" w:color="auto"/>
              <w:right w:val="single" w:sz="4" w:space="0" w:color="auto"/>
            </w:tcBorders>
            <w:vAlign w:val="center"/>
            <w:hideMark/>
          </w:tcPr>
          <w:p w14:paraId="4F12E443" w14:textId="77777777" w:rsidR="00461A4C" w:rsidRDefault="00461A4C">
            <w:pPr>
              <w:rPr>
                <w:rFonts w:ascii="Montserrat" w:hAnsi="Montserrat"/>
                <w:color w:val="000000"/>
                <w:sz w:val="14"/>
                <w:szCs w:val="14"/>
              </w:rPr>
            </w:pPr>
          </w:p>
        </w:tc>
      </w:tr>
      <w:tr w:rsidR="00E83C17" w14:paraId="156479EF" w14:textId="77777777" w:rsidTr="00E40BCD">
        <w:trPr>
          <w:trHeight w:val="259"/>
        </w:trPr>
        <w:tc>
          <w:tcPr>
            <w:tcW w:w="3357" w:type="dxa"/>
            <w:tcBorders>
              <w:top w:val="single" w:sz="4" w:space="0" w:color="auto"/>
              <w:left w:val="single" w:sz="4" w:space="0" w:color="auto"/>
              <w:bottom w:val="nil"/>
              <w:right w:val="single" w:sz="4" w:space="0" w:color="auto"/>
            </w:tcBorders>
            <w:vAlign w:val="center"/>
            <w:hideMark/>
          </w:tcPr>
          <w:p w14:paraId="62774B7C" w14:textId="77777777" w:rsidR="00461A4C" w:rsidRDefault="00461A4C">
            <w:pPr>
              <w:rPr>
                <w:rFonts w:ascii="Montserrat" w:hAnsi="Montserrat"/>
                <w:color w:val="000000"/>
                <w:sz w:val="14"/>
                <w:szCs w:val="14"/>
              </w:rPr>
            </w:pPr>
            <w:r>
              <w:rPr>
                <w:rFonts w:ascii="Montserrat" w:hAnsi="Montserrat"/>
                <w:color w:val="000000"/>
                <w:sz w:val="14"/>
                <w:szCs w:val="14"/>
                <w:lang w:val="en-AU"/>
              </w:rPr>
              <w:t>Fiji Health PPP</w:t>
            </w:r>
          </w:p>
        </w:tc>
        <w:tc>
          <w:tcPr>
            <w:tcW w:w="2988" w:type="dxa"/>
            <w:vMerge w:val="restart"/>
            <w:tcBorders>
              <w:top w:val="nil"/>
              <w:left w:val="single" w:sz="4" w:space="0" w:color="auto"/>
              <w:bottom w:val="single" w:sz="4" w:space="0" w:color="auto"/>
              <w:right w:val="single" w:sz="4" w:space="0" w:color="auto"/>
            </w:tcBorders>
            <w:vAlign w:val="center"/>
            <w:hideMark/>
          </w:tcPr>
          <w:p w14:paraId="1597C498" w14:textId="77777777" w:rsidR="00461A4C" w:rsidRDefault="00461A4C">
            <w:pPr>
              <w:rPr>
                <w:rFonts w:ascii="Montserrat" w:hAnsi="Montserrat"/>
                <w:color w:val="000000"/>
                <w:sz w:val="14"/>
                <w:szCs w:val="14"/>
              </w:rPr>
            </w:pPr>
            <w:r>
              <w:rPr>
                <w:rFonts w:ascii="Montserrat" w:hAnsi="Montserrat"/>
                <w:color w:val="000000"/>
                <w:sz w:val="14"/>
                <w:szCs w:val="14"/>
                <w:lang w:val="en-AU"/>
              </w:rPr>
              <w:t>Number of agreements (concession, etc.) signed</w:t>
            </w:r>
          </w:p>
        </w:tc>
        <w:tc>
          <w:tcPr>
            <w:tcW w:w="1908" w:type="dxa"/>
            <w:vMerge w:val="restart"/>
            <w:tcBorders>
              <w:top w:val="nil"/>
              <w:left w:val="single" w:sz="4" w:space="0" w:color="auto"/>
              <w:bottom w:val="single" w:sz="4" w:space="0" w:color="auto"/>
              <w:right w:val="single" w:sz="4" w:space="0" w:color="auto"/>
            </w:tcBorders>
            <w:vAlign w:val="center"/>
            <w:hideMark/>
          </w:tcPr>
          <w:p w14:paraId="7A5DA7F3"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332" w:type="dxa"/>
            <w:vMerge w:val="restart"/>
            <w:tcBorders>
              <w:top w:val="nil"/>
              <w:left w:val="single" w:sz="4" w:space="0" w:color="auto"/>
              <w:bottom w:val="single" w:sz="4" w:space="0" w:color="auto"/>
              <w:right w:val="single" w:sz="4" w:space="0" w:color="auto"/>
            </w:tcBorders>
            <w:vAlign w:val="center"/>
            <w:hideMark/>
          </w:tcPr>
          <w:p w14:paraId="7600FFF9"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w:t>
            </w:r>
          </w:p>
        </w:tc>
        <w:tc>
          <w:tcPr>
            <w:tcW w:w="1440" w:type="dxa"/>
            <w:vMerge w:val="restart"/>
            <w:tcBorders>
              <w:top w:val="nil"/>
              <w:left w:val="single" w:sz="4" w:space="0" w:color="auto"/>
              <w:bottom w:val="single" w:sz="4" w:space="0" w:color="auto"/>
              <w:right w:val="single" w:sz="4" w:space="0" w:color="auto"/>
            </w:tcBorders>
            <w:vAlign w:val="center"/>
            <w:hideMark/>
          </w:tcPr>
          <w:p w14:paraId="1F68E679"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458" w:type="dxa"/>
            <w:vMerge w:val="restart"/>
            <w:tcBorders>
              <w:top w:val="nil"/>
              <w:left w:val="single" w:sz="4" w:space="0" w:color="auto"/>
              <w:bottom w:val="single" w:sz="4" w:space="0" w:color="auto"/>
              <w:right w:val="single" w:sz="4" w:space="0" w:color="auto"/>
            </w:tcBorders>
            <w:vAlign w:val="center"/>
            <w:hideMark/>
          </w:tcPr>
          <w:p w14:paraId="165E82E8"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42D0B4AE"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w:t>
            </w:r>
          </w:p>
        </w:tc>
        <w:tc>
          <w:tcPr>
            <w:tcW w:w="1819" w:type="dxa"/>
            <w:vMerge w:val="restart"/>
            <w:tcBorders>
              <w:top w:val="nil"/>
              <w:left w:val="single" w:sz="4" w:space="0" w:color="auto"/>
              <w:bottom w:val="single" w:sz="4" w:space="0" w:color="auto"/>
              <w:right w:val="single" w:sz="4" w:space="0" w:color="auto"/>
            </w:tcBorders>
            <w:vAlign w:val="center"/>
            <w:hideMark/>
          </w:tcPr>
          <w:p w14:paraId="5BB04C1A"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50</w:t>
            </w:r>
          </w:p>
        </w:tc>
      </w:tr>
      <w:tr w:rsidR="00E83C17" w14:paraId="02755812" w14:textId="77777777" w:rsidTr="00E40BCD">
        <w:trPr>
          <w:trHeight w:val="259"/>
        </w:trPr>
        <w:tc>
          <w:tcPr>
            <w:tcW w:w="3357" w:type="dxa"/>
            <w:tcBorders>
              <w:top w:val="nil"/>
              <w:left w:val="single" w:sz="4" w:space="0" w:color="auto"/>
              <w:bottom w:val="single" w:sz="4" w:space="0" w:color="auto"/>
              <w:right w:val="single" w:sz="4" w:space="0" w:color="auto"/>
            </w:tcBorders>
            <w:vAlign w:val="center"/>
            <w:hideMark/>
          </w:tcPr>
          <w:p w14:paraId="168B2EF6" w14:textId="77777777" w:rsidR="00461A4C" w:rsidRDefault="00461A4C">
            <w:pPr>
              <w:rPr>
                <w:rFonts w:ascii="Montserrat" w:hAnsi="Montserrat"/>
                <w:color w:val="000000"/>
                <w:sz w:val="14"/>
                <w:szCs w:val="14"/>
              </w:rPr>
            </w:pPr>
            <w:r>
              <w:rPr>
                <w:rFonts w:ascii="Montserrat" w:hAnsi="Montserrat"/>
                <w:color w:val="000000"/>
                <w:sz w:val="14"/>
                <w:szCs w:val="14"/>
              </w:rPr>
              <w:t>Fiji Affordable Housing PPP</w:t>
            </w:r>
          </w:p>
        </w:tc>
        <w:tc>
          <w:tcPr>
            <w:tcW w:w="2988" w:type="dxa"/>
            <w:vMerge/>
            <w:tcBorders>
              <w:top w:val="nil"/>
              <w:left w:val="single" w:sz="4" w:space="0" w:color="auto"/>
              <w:bottom w:val="single" w:sz="4" w:space="0" w:color="auto"/>
              <w:right w:val="single" w:sz="4" w:space="0" w:color="auto"/>
            </w:tcBorders>
            <w:vAlign w:val="center"/>
            <w:hideMark/>
          </w:tcPr>
          <w:p w14:paraId="74954A49" w14:textId="77777777" w:rsidR="00461A4C" w:rsidRDefault="00461A4C">
            <w:pPr>
              <w:rPr>
                <w:rFonts w:ascii="Montserrat" w:hAnsi="Montserrat"/>
                <w:color w:val="000000"/>
                <w:sz w:val="14"/>
                <w:szCs w:val="14"/>
              </w:rPr>
            </w:pPr>
          </w:p>
        </w:tc>
        <w:tc>
          <w:tcPr>
            <w:tcW w:w="1908" w:type="dxa"/>
            <w:vMerge/>
            <w:tcBorders>
              <w:top w:val="nil"/>
              <w:left w:val="single" w:sz="4" w:space="0" w:color="auto"/>
              <w:bottom w:val="single" w:sz="4" w:space="0" w:color="auto"/>
              <w:right w:val="single" w:sz="4" w:space="0" w:color="auto"/>
            </w:tcBorders>
            <w:vAlign w:val="center"/>
            <w:hideMark/>
          </w:tcPr>
          <w:p w14:paraId="1E4FD832" w14:textId="77777777" w:rsidR="00461A4C" w:rsidRDefault="00461A4C">
            <w:pPr>
              <w:rPr>
                <w:rFonts w:ascii="Montserrat" w:hAnsi="Montserrat"/>
                <w:color w:val="000000"/>
                <w:sz w:val="14"/>
                <w:szCs w:val="14"/>
              </w:rPr>
            </w:pPr>
          </w:p>
        </w:tc>
        <w:tc>
          <w:tcPr>
            <w:tcW w:w="1332" w:type="dxa"/>
            <w:vMerge/>
            <w:tcBorders>
              <w:top w:val="nil"/>
              <w:left w:val="single" w:sz="4" w:space="0" w:color="auto"/>
              <w:bottom w:val="single" w:sz="4" w:space="0" w:color="auto"/>
              <w:right w:val="single" w:sz="4" w:space="0" w:color="auto"/>
            </w:tcBorders>
            <w:vAlign w:val="center"/>
            <w:hideMark/>
          </w:tcPr>
          <w:p w14:paraId="7825AB6F" w14:textId="77777777" w:rsidR="00461A4C" w:rsidRDefault="00461A4C">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82EC725" w14:textId="77777777" w:rsidR="00461A4C" w:rsidRDefault="00461A4C">
            <w:pPr>
              <w:rPr>
                <w:rFonts w:ascii="Montserrat" w:hAnsi="Montserrat"/>
                <w:color w:val="000000"/>
                <w:sz w:val="14"/>
                <w:szCs w:val="14"/>
              </w:rPr>
            </w:pPr>
          </w:p>
        </w:tc>
        <w:tc>
          <w:tcPr>
            <w:tcW w:w="1458" w:type="dxa"/>
            <w:vMerge/>
            <w:tcBorders>
              <w:top w:val="nil"/>
              <w:left w:val="single" w:sz="4" w:space="0" w:color="auto"/>
              <w:bottom w:val="single" w:sz="4" w:space="0" w:color="auto"/>
              <w:right w:val="single" w:sz="4" w:space="0" w:color="auto"/>
            </w:tcBorders>
            <w:vAlign w:val="center"/>
            <w:hideMark/>
          </w:tcPr>
          <w:p w14:paraId="159AC02B" w14:textId="77777777" w:rsidR="00461A4C" w:rsidRDefault="00461A4C">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6CCAF069" w14:textId="77777777" w:rsidR="00461A4C" w:rsidRDefault="00461A4C">
            <w:pPr>
              <w:rPr>
                <w:rFonts w:ascii="Montserrat" w:hAnsi="Montserrat"/>
                <w:color w:val="000000"/>
                <w:sz w:val="14"/>
                <w:szCs w:val="14"/>
              </w:rPr>
            </w:pPr>
          </w:p>
        </w:tc>
        <w:tc>
          <w:tcPr>
            <w:tcW w:w="1819" w:type="dxa"/>
            <w:vMerge/>
            <w:tcBorders>
              <w:top w:val="nil"/>
              <w:left w:val="single" w:sz="4" w:space="0" w:color="auto"/>
              <w:bottom w:val="single" w:sz="4" w:space="0" w:color="auto"/>
              <w:right w:val="single" w:sz="4" w:space="0" w:color="auto"/>
            </w:tcBorders>
            <w:vAlign w:val="center"/>
            <w:hideMark/>
          </w:tcPr>
          <w:p w14:paraId="4075CE3A" w14:textId="77777777" w:rsidR="00461A4C" w:rsidRDefault="00461A4C">
            <w:pPr>
              <w:rPr>
                <w:rFonts w:ascii="Montserrat" w:hAnsi="Montserrat"/>
                <w:color w:val="000000"/>
                <w:sz w:val="14"/>
                <w:szCs w:val="14"/>
              </w:rPr>
            </w:pPr>
          </w:p>
        </w:tc>
      </w:tr>
      <w:tr w:rsidR="00E83C17" w14:paraId="2D8575DA" w14:textId="77777777" w:rsidTr="00E40BCD">
        <w:trPr>
          <w:trHeight w:val="259"/>
        </w:trPr>
        <w:tc>
          <w:tcPr>
            <w:tcW w:w="3357" w:type="dxa"/>
            <w:tcBorders>
              <w:top w:val="nil"/>
              <w:left w:val="single" w:sz="4" w:space="0" w:color="auto"/>
              <w:bottom w:val="nil"/>
              <w:right w:val="nil"/>
            </w:tcBorders>
            <w:vAlign w:val="center"/>
            <w:hideMark/>
          </w:tcPr>
          <w:p w14:paraId="5D0C473A" w14:textId="77777777" w:rsidR="00461A4C" w:rsidRDefault="00461A4C">
            <w:pPr>
              <w:rPr>
                <w:rFonts w:ascii="Montserrat" w:hAnsi="Montserrat"/>
                <w:color w:val="000000"/>
                <w:sz w:val="14"/>
                <w:szCs w:val="14"/>
              </w:rPr>
            </w:pPr>
            <w:r>
              <w:rPr>
                <w:rFonts w:ascii="Montserrat" w:hAnsi="Montserrat"/>
                <w:color w:val="000000"/>
                <w:sz w:val="14"/>
                <w:szCs w:val="14"/>
                <w:lang w:val="en-AU"/>
              </w:rPr>
              <w:t>Fiji Health PPP</w:t>
            </w:r>
          </w:p>
        </w:tc>
        <w:tc>
          <w:tcPr>
            <w:tcW w:w="2988" w:type="dxa"/>
            <w:vMerge w:val="restart"/>
            <w:tcBorders>
              <w:top w:val="nil"/>
              <w:left w:val="single" w:sz="4" w:space="0" w:color="auto"/>
              <w:bottom w:val="single" w:sz="4" w:space="0" w:color="auto"/>
              <w:right w:val="single" w:sz="4" w:space="0" w:color="auto"/>
            </w:tcBorders>
            <w:vAlign w:val="center"/>
            <w:hideMark/>
          </w:tcPr>
          <w:p w14:paraId="3B155EC0" w14:textId="77777777" w:rsidR="00461A4C" w:rsidRDefault="00461A4C">
            <w:pPr>
              <w:rPr>
                <w:rFonts w:ascii="Montserrat" w:hAnsi="Montserrat"/>
                <w:color w:val="000000"/>
                <w:sz w:val="14"/>
                <w:szCs w:val="14"/>
              </w:rPr>
            </w:pPr>
            <w:r>
              <w:rPr>
                <w:rFonts w:ascii="Montserrat" w:hAnsi="Montserrat"/>
                <w:color w:val="000000"/>
                <w:sz w:val="14"/>
                <w:szCs w:val="14"/>
                <w:lang w:val="en-AU"/>
              </w:rPr>
              <w:t>Number of bids conducted</w:t>
            </w:r>
          </w:p>
        </w:tc>
        <w:tc>
          <w:tcPr>
            <w:tcW w:w="1908" w:type="dxa"/>
            <w:vMerge w:val="restart"/>
            <w:tcBorders>
              <w:top w:val="nil"/>
              <w:left w:val="single" w:sz="4" w:space="0" w:color="auto"/>
              <w:bottom w:val="single" w:sz="4" w:space="0" w:color="auto"/>
              <w:right w:val="single" w:sz="4" w:space="0" w:color="auto"/>
            </w:tcBorders>
            <w:vAlign w:val="center"/>
            <w:hideMark/>
          </w:tcPr>
          <w:p w14:paraId="3DE0CE0E"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332" w:type="dxa"/>
            <w:vMerge w:val="restart"/>
            <w:tcBorders>
              <w:top w:val="nil"/>
              <w:left w:val="single" w:sz="4" w:space="0" w:color="auto"/>
              <w:bottom w:val="single" w:sz="4" w:space="0" w:color="auto"/>
              <w:right w:val="single" w:sz="4" w:space="0" w:color="auto"/>
            </w:tcBorders>
            <w:vAlign w:val="center"/>
            <w:hideMark/>
          </w:tcPr>
          <w:p w14:paraId="744DD4E9"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w:t>
            </w:r>
          </w:p>
        </w:tc>
        <w:tc>
          <w:tcPr>
            <w:tcW w:w="1440" w:type="dxa"/>
            <w:vMerge w:val="restart"/>
            <w:tcBorders>
              <w:top w:val="nil"/>
              <w:left w:val="single" w:sz="4" w:space="0" w:color="auto"/>
              <w:bottom w:val="single" w:sz="4" w:space="0" w:color="auto"/>
              <w:right w:val="single" w:sz="4" w:space="0" w:color="auto"/>
            </w:tcBorders>
            <w:vAlign w:val="center"/>
            <w:hideMark/>
          </w:tcPr>
          <w:p w14:paraId="68EDE913"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w:t>
            </w:r>
          </w:p>
        </w:tc>
        <w:tc>
          <w:tcPr>
            <w:tcW w:w="1458" w:type="dxa"/>
            <w:vMerge w:val="restart"/>
            <w:tcBorders>
              <w:top w:val="nil"/>
              <w:left w:val="single" w:sz="4" w:space="0" w:color="auto"/>
              <w:bottom w:val="single" w:sz="4" w:space="0" w:color="auto"/>
              <w:right w:val="single" w:sz="4" w:space="0" w:color="auto"/>
            </w:tcBorders>
            <w:vAlign w:val="center"/>
            <w:hideMark/>
          </w:tcPr>
          <w:p w14:paraId="0A13769E"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27BA306A"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819" w:type="dxa"/>
            <w:vMerge w:val="restart"/>
            <w:tcBorders>
              <w:top w:val="nil"/>
              <w:left w:val="single" w:sz="4" w:space="0" w:color="auto"/>
              <w:bottom w:val="single" w:sz="4" w:space="0" w:color="auto"/>
              <w:right w:val="single" w:sz="4" w:space="0" w:color="auto"/>
            </w:tcBorders>
            <w:vAlign w:val="center"/>
            <w:hideMark/>
          </w:tcPr>
          <w:p w14:paraId="2CE02202"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Achieved</w:t>
            </w:r>
          </w:p>
        </w:tc>
      </w:tr>
      <w:tr w:rsidR="00E83C17" w14:paraId="163C1AB7" w14:textId="77777777" w:rsidTr="00E40BCD">
        <w:trPr>
          <w:trHeight w:val="259"/>
        </w:trPr>
        <w:tc>
          <w:tcPr>
            <w:tcW w:w="3357" w:type="dxa"/>
            <w:tcBorders>
              <w:top w:val="nil"/>
              <w:left w:val="single" w:sz="4" w:space="0" w:color="auto"/>
              <w:bottom w:val="nil"/>
              <w:right w:val="nil"/>
            </w:tcBorders>
            <w:vAlign w:val="center"/>
            <w:hideMark/>
          </w:tcPr>
          <w:p w14:paraId="721C3995" w14:textId="77777777" w:rsidR="00461A4C" w:rsidRDefault="00461A4C">
            <w:pPr>
              <w:rPr>
                <w:rFonts w:ascii="Montserrat" w:hAnsi="Montserrat"/>
                <w:color w:val="000000"/>
                <w:sz w:val="14"/>
                <w:szCs w:val="14"/>
              </w:rPr>
            </w:pPr>
            <w:r>
              <w:rPr>
                <w:rFonts w:ascii="Montserrat" w:hAnsi="Montserrat"/>
                <w:color w:val="000000"/>
                <w:sz w:val="14"/>
                <w:szCs w:val="14"/>
              </w:rPr>
              <w:t>Fiji Affordable Housing PPP</w:t>
            </w:r>
          </w:p>
        </w:tc>
        <w:tc>
          <w:tcPr>
            <w:tcW w:w="2988" w:type="dxa"/>
            <w:vMerge/>
            <w:tcBorders>
              <w:top w:val="nil"/>
              <w:left w:val="single" w:sz="4" w:space="0" w:color="auto"/>
              <w:bottom w:val="single" w:sz="4" w:space="0" w:color="auto"/>
              <w:right w:val="single" w:sz="4" w:space="0" w:color="auto"/>
            </w:tcBorders>
            <w:vAlign w:val="center"/>
            <w:hideMark/>
          </w:tcPr>
          <w:p w14:paraId="3FDA0E0D" w14:textId="77777777" w:rsidR="00461A4C" w:rsidRDefault="00461A4C">
            <w:pPr>
              <w:rPr>
                <w:rFonts w:ascii="Montserrat" w:hAnsi="Montserrat"/>
                <w:color w:val="000000"/>
                <w:sz w:val="14"/>
                <w:szCs w:val="14"/>
              </w:rPr>
            </w:pPr>
          </w:p>
        </w:tc>
        <w:tc>
          <w:tcPr>
            <w:tcW w:w="1908" w:type="dxa"/>
            <w:vMerge/>
            <w:tcBorders>
              <w:top w:val="nil"/>
              <w:left w:val="single" w:sz="4" w:space="0" w:color="auto"/>
              <w:bottom w:val="single" w:sz="4" w:space="0" w:color="auto"/>
              <w:right w:val="single" w:sz="4" w:space="0" w:color="auto"/>
            </w:tcBorders>
            <w:vAlign w:val="center"/>
            <w:hideMark/>
          </w:tcPr>
          <w:p w14:paraId="2B59EB8E" w14:textId="77777777" w:rsidR="00461A4C" w:rsidRDefault="00461A4C">
            <w:pPr>
              <w:rPr>
                <w:rFonts w:ascii="Montserrat" w:hAnsi="Montserrat"/>
                <w:color w:val="000000"/>
                <w:sz w:val="14"/>
                <w:szCs w:val="14"/>
              </w:rPr>
            </w:pPr>
          </w:p>
        </w:tc>
        <w:tc>
          <w:tcPr>
            <w:tcW w:w="1332" w:type="dxa"/>
            <w:vMerge/>
            <w:tcBorders>
              <w:top w:val="nil"/>
              <w:left w:val="single" w:sz="4" w:space="0" w:color="auto"/>
              <w:bottom w:val="single" w:sz="4" w:space="0" w:color="auto"/>
              <w:right w:val="single" w:sz="4" w:space="0" w:color="auto"/>
            </w:tcBorders>
            <w:vAlign w:val="center"/>
            <w:hideMark/>
          </w:tcPr>
          <w:p w14:paraId="33AE7077" w14:textId="77777777" w:rsidR="00461A4C" w:rsidRDefault="00461A4C">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61D62D1" w14:textId="77777777" w:rsidR="00461A4C" w:rsidRDefault="00461A4C">
            <w:pPr>
              <w:rPr>
                <w:rFonts w:ascii="Montserrat" w:hAnsi="Montserrat"/>
                <w:color w:val="000000"/>
                <w:sz w:val="14"/>
                <w:szCs w:val="14"/>
              </w:rPr>
            </w:pPr>
          </w:p>
        </w:tc>
        <w:tc>
          <w:tcPr>
            <w:tcW w:w="1458" w:type="dxa"/>
            <w:vMerge/>
            <w:tcBorders>
              <w:top w:val="nil"/>
              <w:left w:val="single" w:sz="4" w:space="0" w:color="auto"/>
              <w:bottom w:val="single" w:sz="4" w:space="0" w:color="auto"/>
              <w:right w:val="single" w:sz="4" w:space="0" w:color="auto"/>
            </w:tcBorders>
            <w:vAlign w:val="center"/>
            <w:hideMark/>
          </w:tcPr>
          <w:p w14:paraId="7064C0BE" w14:textId="77777777" w:rsidR="00461A4C" w:rsidRDefault="00461A4C">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64432A8A" w14:textId="77777777" w:rsidR="00461A4C" w:rsidRDefault="00461A4C">
            <w:pPr>
              <w:rPr>
                <w:rFonts w:ascii="Montserrat" w:hAnsi="Montserrat"/>
                <w:color w:val="000000"/>
                <w:sz w:val="14"/>
                <w:szCs w:val="14"/>
              </w:rPr>
            </w:pPr>
          </w:p>
        </w:tc>
        <w:tc>
          <w:tcPr>
            <w:tcW w:w="1819" w:type="dxa"/>
            <w:vMerge/>
            <w:tcBorders>
              <w:top w:val="nil"/>
              <w:left w:val="single" w:sz="4" w:space="0" w:color="auto"/>
              <w:bottom w:val="single" w:sz="4" w:space="0" w:color="auto"/>
              <w:right w:val="single" w:sz="4" w:space="0" w:color="auto"/>
            </w:tcBorders>
            <w:vAlign w:val="center"/>
            <w:hideMark/>
          </w:tcPr>
          <w:p w14:paraId="7FC3D129" w14:textId="77777777" w:rsidR="00461A4C" w:rsidRDefault="00461A4C">
            <w:pPr>
              <w:rPr>
                <w:rFonts w:ascii="Montserrat" w:hAnsi="Montserrat"/>
                <w:color w:val="000000"/>
                <w:sz w:val="14"/>
                <w:szCs w:val="14"/>
              </w:rPr>
            </w:pPr>
          </w:p>
        </w:tc>
      </w:tr>
      <w:tr w:rsidR="00E83C17" w14:paraId="7BB39568" w14:textId="77777777" w:rsidTr="00E40BCD">
        <w:trPr>
          <w:trHeight w:val="259"/>
        </w:trPr>
        <w:tc>
          <w:tcPr>
            <w:tcW w:w="3357" w:type="dxa"/>
            <w:tcBorders>
              <w:top w:val="single" w:sz="4" w:space="0" w:color="auto"/>
              <w:left w:val="single" w:sz="4" w:space="0" w:color="auto"/>
              <w:bottom w:val="nil"/>
              <w:right w:val="single" w:sz="4" w:space="0" w:color="auto"/>
            </w:tcBorders>
            <w:vAlign w:val="center"/>
            <w:hideMark/>
          </w:tcPr>
          <w:p w14:paraId="21ECF931" w14:textId="77777777" w:rsidR="00461A4C" w:rsidRDefault="00461A4C">
            <w:pPr>
              <w:rPr>
                <w:rFonts w:ascii="Montserrat" w:hAnsi="Montserrat"/>
                <w:color w:val="000000"/>
                <w:sz w:val="14"/>
                <w:szCs w:val="14"/>
              </w:rPr>
            </w:pPr>
            <w:r>
              <w:rPr>
                <w:rFonts w:ascii="Montserrat" w:hAnsi="Montserrat"/>
                <w:color w:val="000000"/>
                <w:sz w:val="14"/>
                <w:szCs w:val="14"/>
                <w:lang w:val="en-AU"/>
              </w:rPr>
              <w:t>Fiji Health PPP</w:t>
            </w:r>
          </w:p>
        </w:tc>
        <w:tc>
          <w:tcPr>
            <w:tcW w:w="2988" w:type="dxa"/>
            <w:vMerge w:val="restart"/>
            <w:tcBorders>
              <w:top w:val="nil"/>
              <w:left w:val="single" w:sz="4" w:space="0" w:color="auto"/>
              <w:bottom w:val="single" w:sz="4" w:space="0" w:color="auto"/>
              <w:right w:val="single" w:sz="4" w:space="0" w:color="auto"/>
            </w:tcBorders>
            <w:vAlign w:val="center"/>
            <w:hideMark/>
          </w:tcPr>
          <w:p w14:paraId="1B2083F3" w14:textId="77777777" w:rsidR="00461A4C" w:rsidRDefault="00461A4C">
            <w:pPr>
              <w:rPr>
                <w:rFonts w:ascii="Montserrat" w:hAnsi="Montserrat"/>
                <w:color w:val="000000"/>
                <w:sz w:val="14"/>
                <w:szCs w:val="14"/>
              </w:rPr>
            </w:pPr>
            <w:r>
              <w:rPr>
                <w:rFonts w:ascii="Montserrat" w:hAnsi="Montserrat"/>
                <w:color w:val="000000"/>
                <w:sz w:val="14"/>
                <w:szCs w:val="14"/>
                <w:lang w:val="en-AU"/>
              </w:rPr>
              <w:t>Number of successful bids</w:t>
            </w:r>
          </w:p>
        </w:tc>
        <w:tc>
          <w:tcPr>
            <w:tcW w:w="1908" w:type="dxa"/>
            <w:vMerge w:val="restart"/>
            <w:tcBorders>
              <w:top w:val="nil"/>
              <w:left w:val="single" w:sz="4" w:space="0" w:color="auto"/>
              <w:bottom w:val="single" w:sz="4" w:space="0" w:color="auto"/>
              <w:right w:val="single" w:sz="4" w:space="0" w:color="auto"/>
            </w:tcBorders>
            <w:vAlign w:val="center"/>
            <w:hideMark/>
          </w:tcPr>
          <w:p w14:paraId="4972CF21"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332" w:type="dxa"/>
            <w:vMerge w:val="restart"/>
            <w:tcBorders>
              <w:top w:val="nil"/>
              <w:left w:val="single" w:sz="4" w:space="0" w:color="auto"/>
              <w:bottom w:val="single" w:sz="4" w:space="0" w:color="auto"/>
              <w:right w:val="single" w:sz="4" w:space="0" w:color="auto"/>
            </w:tcBorders>
            <w:vAlign w:val="center"/>
            <w:hideMark/>
          </w:tcPr>
          <w:p w14:paraId="5480F443"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w:t>
            </w:r>
          </w:p>
        </w:tc>
        <w:tc>
          <w:tcPr>
            <w:tcW w:w="1440" w:type="dxa"/>
            <w:vMerge w:val="restart"/>
            <w:tcBorders>
              <w:top w:val="nil"/>
              <w:left w:val="single" w:sz="4" w:space="0" w:color="auto"/>
              <w:bottom w:val="single" w:sz="4" w:space="0" w:color="auto"/>
              <w:right w:val="single" w:sz="4" w:space="0" w:color="auto"/>
            </w:tcBorders>
            <w:vAlign w:val="center"/>
            <w:hideMark/>
          </w:tcPr>
          <w:p w14:paraId="72278EEB"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1</w:t>
            </w:r>
          </w:p>
        </w:tc>
        <w:tc>
          <w:tcPr>
            <w:tcW w:w="1458" w:type="dxa"/>
            <w:vMerge w:val="restart"/>
            <w:tcBorders>
              <w:top w:val="nil"/>
              <w:left w:val="single" w:sz="4" w:space="0" w:color="auto"/>
              <w:bottom w:val="single" w:sz="4" w:space="0" w:color="auto"/>
              <w:right w:val="single" w:sz="4" w:space="0" w:color="auto"/>
            </w:tcBorders>
            <w:vAlign w:val="center"/>
            <w:hideMark/>
          </w:tcPr>
          <w:p w14:paraId="72A2D2BE"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6B7BA926"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819" w:type="dxa"/>
            <w:vMerge w:val="restart"/>
            <w:tcBorders>
              <w:top w:val="nil"/>
              <w:left w:val="single" w:sz="4" w:space="0" w:color="auto"/>
              <w:bottom w:val="single" w:sz="4" w:space="0" w:color="auto"/>
              <w:right w:val="single" w:sz="4" w:space="0" w:color="auto"/>
            </w:tcBorders>
            <w:vAlign w:val="center"/>
            <w:hideMark/>
          </w:tcPr>
          <w:p w14:paraId="021506D4"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Achieved</w:t>
            </w:r>
          </w:p>
        </w:tc>
      </w:tr>
      <w:bookmarkEnd w:id="77"/>
      <w:tr w:rsidR="00E83C17" w14:paraId="6C0B1B38" w14:textId="77777777" w:rsidTr="00E40BCD">
        <w:trPr>
          <w:trHeight w:val="259"/>
        </w:trPr>
        <w:tc>
          <w:tcPr>
            <w:tcW w:w="3357" w:type="dxa"/>
            <w:tcBorders>
              <w:top w:val="nil"/>
              <w:left w:val="single" w:sz="4" w:space="0" w:color="auto"/>
              <w:bottom w:val="single" w:sz="4" w:space="0" w:color="auto"/>
              <w:right w:val="single" w:sz="4" w:space="0" w:color="auto"/>
            </w:tcBorders>
            <w:vAlign w:val="center"/>
            <w:hideMark/>
          </w:tcPr>
          <w:p w14:paraId="5019D5FF" w14:textId="77777777" w:rsidR="00461A4C" w:rsidRDefault="00461A4C">
            <w:pPr>
              <w:rPr>
                <w:rFonts w:ascii="Montserrat" w:hAnsi="Montserrat"/>
                <w:color w:val="000000"/>
                <w:sz w:val="14"/>
                <w:szCs w:val="14"/>
              </w:rPr>
            </w:pPr>
            <w:r>
              <w:rPr>
                <w:rFonts w:ascii="Montserrat" w:hAnsi="Montserrat"/>
                <w:color w:val="000000"/>
                <w:sz w:val="14"/>
                <w:szCs w:val="14"/>
              </w:rPr>
              <w:t>Fiji Affordable Housing PPP</w:t>
            </w:r>
          </w:p>
        </w:tc>
        <w:tc>
          <w:tcPr>
            <w:tcW w:w="2988" w:type="dxa"/>
            <w:vMerge/>
            <w:tcBorders>
              <w:top w:val="nil"/>
              <w:left w:val="single" w:sz="4" w:space="0" w:color="auto"/>
              <w:bottom w:val="single" w:sz="4" w:space="0" w:color="auto"/>
              <w:right w:val="single" w:sz="4" w:space="0" w:color="auto"/>
            </w:tcBorders>
            <w:vAlign w:val="center"/>
            <w:hideMark/>
          </w:tcPr>
          <w:p w14:paraId="0A3383C3" w14:textId="77777777" w:rsidR="00461A4C" w:rsidRDefault="00461A4C">
            <w:pPr>
              <w:rPr>
                <w:rFonts w:ascii="Montserrat" w:hAnsi="Montserrat"/>
                <w:color w:val="000000"/>
                <w:sz w:val="14"/>
                <w:szCs w:val="14"/>
              </w:rPr>
            </w:pPr>
          </w:p>
        </w:tc>
        <w:tc>
          <w:tcPr>
            <w:tcW w:w="1908" w:type="dxa"/>
            <w:vMerge/>
            <w:tcBorders>
              <w:top w:val="nil"/>
              <w:left w:val="single" w:sz="4" w:space="0" w:color="auto"/>
              <w:bottom w:val="single" w:sz="4" w:space="0" w:color="auto"/>
              <w:right w:val="single" w:sz="4" w:space="0" w:color="auto"/>
            </w:tcBorders>
            <w:vAlign w:val="center"/>
            <w:hideMark/>
          </w:tcPr>
          <w:p w14:paraId="7552876F" w14:textId="77777777" w:rsidR="00461A4C" w:rsidRDefault="00461A4C">
            <w:pPr>
              <w:rPr>
                <w:rFonts w:ascii="Montserrat" w:hAnsi="Montserrat"/>
                <w:color w:val="000000"/>
                <w:sz w:val="14"/>
                <w:szCs w:val="14"/>
              </w:rPr>
            </w:pPr>
          </w:p>
        </w:tc>
        <w:tc>
          <w:tcPr>
            <w:tcW w:w="1332" w:type="dxa"/>
            <w:vMerge/>
            <w:tcBorders>
              <w:top w:val="nil"/>
              <w:left w:val="single" w:sz="4" w:space="0" w:color="auto"/>
              <w:bottom w:val="single" w:sz="4" w:space="0" w:color="auto"/>
              <w:right w:val="single" w:sz="4" w:space="0" w:color="auto"/>
            </w:tcBorders>
            <w:vAlign w:val="center"/>
            <w:hideMark/>
          </w:tcPr>
          <w:p w14:paraId="7A22A4FB" w14:textId="77777777" w:rsidR="00461A4C" w:rsidRDefault="00461A4C">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E203489" w14:textId="77777777" w:rsidR="00461A4C" w:rsidRDefault="00461A4C">
            <w:pPr>
              <w:rPr>
                <w:rFonts w:ascii="Montserrat" w:hAnsi="Montserrat"/>
                <w:color w:val="000000"/>
                <w:sz w:val="14"/>
                <w:szCs w:val="14"/>
              </w:rPr>
            </w:pPr>
          </w:p>
        </w:tc>
        <w:tc>
          <w:tcPr>
            <w:tcW w:w="1458" w:type="dxa"/>
            <w:vMerge/>
            <w:tcBorders>
              <w:top w:val="nil"/>
              <w:left w:val="single" w:sz="4" w:space="0" w:color="auto"/>
              <w:bottom w:val="single" w:sz="4" w:space="0" w:color="auto"/>
              <w:right w:val="single" w:sz="4" w:space="0" w:color="auto"/>
            </w:tcBorders>
            <w:vAlign w:val="center"/>
            <w:hideMark/>
          </w:tcPr>
          <w:p w14:paraId="548C2F47" w14:textId="77777777" w:rsidR="00461A4C" w:rsidRDefault="00461A4C">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20FEA9E3" w14:textId="77777777" w:rsidR="00461A4C" w:rsidRDefault="00461A4C">
            <w:pPr>
              <w:rPr>
                <w:rFonts w:ascii="Montserrat" w:hAnsi="Montserrat"/>
                <w:color w:val="000000"/>
                <w:sz w:val="14"/>
                <w:szCs w:val="14"/>
              </w:rPr>
            </w:pPr>
          </w:p>
        </w:tc>
        <w:tc>
          <w:tcPr>
            <w:tcW w:w="1819" w:type="dxa"/>
            <w:vMerge/>
            <w:tcBorders>
              <w:top w:val="nil"/>
              <w:left w:val="single" w:sz="4" w:space="0" w:color="auto"/>
              <w:bottom w:val="single" w:sz="4" w:space="0" w:color="auto"/>
              <w:right w:val="single" w:sz="4" w:space="0" w:color="auto"/>
            </w:tcBorders>
            <w:vAlign w:val="center"/>
            <w:hideMark/>
          </w:tcPr>
          <w:p w14:paraId="64C81CF0" w14:textId="77777777" w:rsidR="00461A4C" w:rsidRDefault="00461A4C">
            <w:pPr>
              <w:rPr>
                <w:rFonts w:ascii="Montserrat" w:hAnsi="Montserrat"/>
                <w:color w:val="000000"/>
                <w:sz w:val="14"/>
                <w:szCs w:val="14"/>
              </w:rPr>
            </w:pPr>
          </w:p>
        </w:tc>
      </w:tr>
      <w:tr w:rsidR="00E83C17" w14:paraId="7052A5D6" w14:textId="77777777" w:rsidTr="00E40BCD">
        <w:trPr>
          <w:trHeight w:val="259"/>
        </w:trPr>
        <w:tc>
          <w:tcPr>
            <w:tcW w:w="3357" w:type="dxa"/>
            <w:tcBorders>
              <w:top w:val="nil"/>
              <w:left w:val="single" w:sz="4" w:space="0" w:color="auto"/>
              <w:bottom w:val="nil"/>
              <w:right w:val="nil"/>
            </w:tcBorders>
            <w:vAlign w:val="center"/>
            <w:hideMark/>
          </w:tcPr>
          <w:p w14:paraId="19FBC654" w14:textId="77777777" w:rsidR="00461A4C" w:rsidRDefault="00461A4C">
            <w:pPr>
              <w:rPr>
                <w:rFonts w:ascii="Montserrat" w:hAnsi="Montserrat"/>
                <w:color w:val="000000"/>
                <w:sz w:val="14"/>
                <w:szCs w:val="14"/>
              </w:rPr>
            </w:pPr>
            <w:r>
              <w:rPr>
                <w:rFonts w:ascii="Montserrat" w:hAnsi="Montserrat"/>
                <w:color w:val="000000"/>
                <w:sz w:val="14"/>
                <w:szCs w:val="14"/>
                <w:lang w:val="en-AU"/>
              </w:rPr>
              <w:t>Fiji Health PPP</w:t>
            </w:r>
          </w:p>
        </w:tc>
        <w:tc>
          <w:tcPr>
            <w:tcW w:w="2988" w:type="dxa"/>
            <w:vMerge w:val="restart"/>
            <w:tcBorders>
              <w:top w:val="nil"/>
              <w:left w:val="single" w:sz="4" w:space="0" w:color="auto"/>
              <w:bottom w:val="single" w:sz="4" w:space="0" w:color="auto"/>
              <w:right w:val="single" w:sz="4" w:space="0" w:color="auto"/>
            </w:tcBorders>
            <w:vAlign w:val="center"/>
            <w:hideMark/>
          </w:tcPr>
          <w:p w14:paraId="6AF43178" w14:textId="77777777" w:rsidR="00461A4C" w:rsidRDefault="00461A4C">
            <w:pPr>
              <w:rPr>
                <w:rFonts w:ascii="Montserrat" w:hAnsi="Montserrat"/>
                <w:color w:val="000000"/>
                <w:sz w:val="14"/>
                <w:szCs w:val="14"/>
              </w:rPr>
            </w:pPr>
            <w:r>
              <w:rPr>
                <w:rFonts w:ascii="Montserrat" w:hAnsi="Montserrat"/>
                <w:color w:val="000000"/>
                <w:sz w:val="14"/>
                <w:szCs w:val="14"/>
                <w:lang w:val="en-AU"/>
              </w:rPr>
              <w:t>Number of reports accepted by client</w:t>
            </w:r>
          </w:p>
        </w:tc>
        <w:tc>
          <w:tcPr>
            <w:tcW w:w="1908" w:type="dxa"/>
            <w:vMerge w:val="restart"/>
            <w:tcBorders>
              <w:top w:val="nil"/>
              <w:left w:val="single" w:sz="4" w:space="0" w:color="auto"/>
              <w:bottom w:val="single" w:sz="4" w:space="0" w:color="auto"/>
              <w:right w:val="single" w:sz="4" w:space="0" w:color="auto"/>
            </w:tcBorders>
            <w:vAlign w:val="center"/>
            <w:hideMark/>
          </w:tcPr>
          <w:p w14:paraId="351AC833"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332" w:type="dxa"/>
            <w:vMerge w:val="restart"/>
            <w:tcBorders>
              <w:top w:val="nil"/>
              <w:left w:val="single" w:sz="4" w:space="0" w:color="auto"/>
              <w:bottom w:val="single" w:sz="4" w:space="0" w:color="auto"/>
              <w:right w:val="single" w:sz="4" w:space="0" w:color="auto"/>
            </w:tcBorders>
            <w:vAlign w:val="center"/>
            <w:hideMark/>
          </w:tcPr>
          <w:p w14:paraId="5F7F0CE4"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440" w:type="dxa"/>
            <w:vMerge w:val="restart"/>
            <w:tcBorders>
              <w:top w:val="nil"/>
              <w:left w:val="single" w:sz="4" w:space="0" w:color="auto"/>
              <w:bottom w:val="single" w:sz="4" w:space="0" w:color="auto"/>
              <w:right w:val="single" w:sz="4" w:space="0" w:color="auto"/>
            </w:tcBorders>
            <w:vAlign w:val="center"/>
            <w:hideMark/>
          </w:tcPr>
          <w:p w14:paraId="281E61CB"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458" w:type="dxa"/>
            <w:vMerge w:val="restart"/>
            <w:tcBorders>
              <w:top w:val="nil"/>
              <w:left w:val="single" w:sz="4" w:space="0" w:color="auto"/>
              <w:bottom w:val="single" w:sz="4" w:space="0" w:color="auto"/>
              <w:right w:val="single" w:sz="4" w:space="0" w:color="auto"/>
            </w:tcBorders>
            <w:vAlign w:val="center"/>
            <w:hideMark/>
          </w:tcPr>
          <w:p w14:paraId="309A6FDB"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2FC1E67F"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2</w:t>
            </w:r>
          </w:p>
        </w:tc>
        <w:tc>
          <w:tcPr>
            <w:tcW w:w="1819" w:type="dxa"/>
            <w:vMerge w:val="restart"/>
            <w:tcBorders>
              <w:top w:val="nil"/>
              <w:left w:val="single" w:sz="4" w:space="0" w:color="auto"/>
              <w:bottom w:val="single" w:sz="4" w:space="0" w:color="auto"/>
              <w:right w:val="single" w:sz="4" w:space="0" w:color="auto"/>
            </w:tcBorders>
            <w:vAlign w:val="center"/>
            <w:hideMark/>
          </w:tcPr>
          <w:p w14:paraId="3CB469FB" w14:textId="77777777" w:rsidR="00461A4C" w:rsidRDefault="00461A4C">
            <w:pPr>
              <w:jc w:val="right"/>
              <w:rPr>
                <w:rFonts w:ascii="Montserrat" w:hAnsi="Montserrat"/>
                <w:color w:val="000000"/>
                <w:sz w:val="14"/>
                <w:szCs w:val="14"/>
              </w:rPr>
            </w:pPr>
            <w:r>
              <w:rPr>
                <w:rFonts w:ascii="Montserrat" w:hAnsi="Montserrat"/>
                <w:color w:val="000000"/>
                <w:sz w:val="14"/>
                <w:szCs w:val="14"/>
                <w:lang w:val="en-AU"/>
              </w:rPr>
              <w:t>Achieved</w:t>
            </w:r>
          </w:p>
        </w:tc>
      </w:tr>
      <w:tr w:rsidR="00E83C17" w14:paraId="4D752111" w14:textId="77777777" w:rsidTr="00E40BCD">
        <w:trPr>
          <w:trHeight w:val="259"/>
        </w:trPr>
        <w:tc>
          <w:tcPr>
            <w:tcW w:w="3357" w:type="dxa"/>
            <w:tcBorders>
              <w:top w:val="nil"/>
              <w:left w:val="single" w:sz="4" w:space="0" w:color="auto"/>
              <w:bottom w:val="single" w:sz="4" w:space="0" w:color="auto"/>
              <w:right w:val="nil"/>
            </w:tcBorders>
            <w:vAlign w:val="center"/>
            <w:hideMark/>
          </w:tcPr>
          <w:p w14:paraId="22B0E227" w14:textId="77777777" w:rsidR="00461A4C" w:rsidRDefault="00461A4C">
            <w:pPr>
              <w:rPr>
                <w:rFonts w:ascii="Montserrat" w:hAnsi="Montserrat"/>
                <w:color w:val="000000"/>
                <w:sz w:val="14"/>
                <w:szCs w:val="14"/>
              </w:rPr>
            </w:pPr>
            <w:r>
              <w:rPr>
                <w:rFonts w:ascii="Montserrat" w:hAnsi="Montserrat"/>
                <w:color w:val="000000"/>
                <w:sz w:val="14"/>
                <w:szCs w:val="14"/>
              </w:rPr>
              <w:t>Fiji Affordable Housing PPP</w:t>
            </w:r>
          </w:p>
        </w:tc>
        <w:tc>
          <w:tcPr>
            <w:tcW w:w="2988" w:type="dxa"/>
            <w:vMerge/>
            <w:tcBorders>
              <w:top w:val="nil"/>
              <w:left w:val="single" w:sz="4" w:space="0" w:color="auto"/>
              <w:bottom w:val="single" w:sz="4" w:space="0" w:color="auto"/>
              <w:right w:val="single" w:sz="4" w:space="0" w:color="auto"/>
            </w:tcBorders>
            <w:vAlign w:val="center"/>
            <w:hideMark/>
          </w:tcPr>
          <w:p w14:paraId="76E0B8D3" w14:textId="77777777" w:rsidR="00461A4C" w:rsidRDefault="00461A4C">
            <w:pPr>
              <w:rPr>
                <w:rFonts w:ascii="Montserrat" w:hAnsi="Montserrat"/>
                <w:color w:val="000000"/>
                <w:sz w:val="14"/>
                <w:szCs w:val="14"/>
              </w:rPr>
            </w:pPr>
          </w:p>
        </w:tc>
        <w:tc>
          <w:tcPr>
            <w:tcW w:w="1908" w:type="dxa"/>
            <w:vMerge/>
            <w:tcBorders>
              <w:top w:val="nil"/>
              <w:left w:val="single" w:sz="4" w:space="0" w:color="auto"/>
              <w:bottom w:val="single" w:sz="4" w:space="0" w:color="auto"/>
              <w:right w:val="single" w:sz="4" w:space="0" w:color="auto"/>
            </w:tcBorders>
            <w:vAlign w:val="center"/>
            <w:hideMark/>
          </w:tcPr>
          <w:p w14:paraId="261F5B82" w14:textId="77777777" w:rsidR="00461A4C" w:rsidRDefault="00461A4C">
            <w:pPr>
              <w:rPr>
                <w:rFonts w:ascii="Montserrat" w:hAnsi="Montserrat"/>
                <w:color w:val="000000"/>
                <w:sz w:val="14"/>
                <w:szCs w:val="14"/>
              </w:rPr>
            </w:pPr>
          </w:p>
        </w:tc>
        <w:tc>
          <w:tcPr>
            <w:tcW w:w="1332" w:type="dxa"/>
            <w:vMerge/>
            <w:tcBorders>
              <w:top w:val="nil"/>
              <w:left w:val="single" w:sz="4" w:space="0" w:color="auto"/>
              <w:bottom w:val="single" w:sz="4" w:space="0" w:color="auto"/>
              <w:right w:val="single" w:sz="4" w:space="0" w:color="auto"/>
            </w:tcBorders>
            <w:vAlign w:val="center"/>
            <w:hideMark/>
          </w:tcPr>
          <w:p w14:paraId="1C065096" w14:textId="77777777" w:rsidR="00461A4C" w:rsidRDefault="00461A4C">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394E5379" w14:textId="77777777" w:rsidR="00461A4C" w:rsidRDefault="00461A4C">
            <w:pPr>
              <w:rPr>
                <w:rFonts w:ascii="Montserrat" w:hAnsi="Montserrat"/>
                <w:color w:val="000000"/>
                <w:sz w:val="14"/>
                <w:szCs w:val="14"/>
              </w:rPr>
            </w:pPr>
          </w:p>
        </w:tc>
        <w:tc>
          <w:tcPr>
            <w:tcW w:w="1458" w:type="dxa"/>
            <w:vMerge/>
            <w:tcBorders>
              <w:top w:val="nil"/>
              <w:left w:val="single" w:sz="4" w:space="0" w:color="auto"/>
              <w:bottom w:val="single" w:sz="4" w:space="0" w:color="auto"/>
              <w:right w:val="single" w:sz="4" w:space="0" w:color="auto"/>
            </w:tcBorders>
            <w:vAlign w:val="center"/>
            <w:hideMark/>
          </w:tcPr>
          <w:p w14:paraId="0CE51FA7" w14:textId="77777777" w:rsidR="00461A4C" w:rsidRDefault="00461A4C">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4CFC0336" w14:textId="77777777" w:rsidR="00461A4C" w:rsidRDefault="00461A4C">
            <w:pPr>
              <w:rPr>
                <w:rFonts w:ascii="Montserrat" w:hAnsi="Montserrat"/>
                <w:color w:val="000000"/>
                <w:sz w:val="14"/>
                <w:szCs w:val="14"/>
              </w:rPr>
            </w:pPr>
          </w:p>
        </w:tc>
        <w:tc>
          <w:tcPr>
            <w:tcW w:w="1819" w:type="dxa"/>
            <w:vMerge/>
            <w:tcBorders>
              <w:top w:val="nil"/>
              <w:left w:val="single" w:sz="4" w:space="0" w:color="auto"/>
              <w:bottom w:val="single" w:sz="4" w:space="0" w:color="auto"/>
              <w:right w:val="single" w:sz="4" w:space="0" w:color="auto"/>
            </w:tcBorders>
            <w:vAlign w:val="center"/>
            <w:hideMark/>
          </w:tcPr>
          <w:p w14:paraId="7B141BA2" w14:textId="77777777" w:rsidR="00461A4C" w:rsidRDefault="00461A4C">
            <w:pPr>
              <w:rPr>
                <w:rFonts w:ascii="Montserrat" w:hAnsi="Montserrat"/>
                <w:color w:val="000000"/>
                <w:sz w:val="14"/>
                <w:szCs w:val="14"/>
              </w:rPr>
            </w:pPr>
          </w:p>
        </w:tc>
      </w:tr>
    </w:tbl>
    <w:p w14:paraId="3D820871" w14:textId="77777777" w:rsidR="00214C33" w:rsidRDefault="00214C33"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p w14:paraId="4FF1AFA5" w14:textId="77777777" w:rsidR="00F913F3" w:rsidRDefault="00F913F3" w:rsidP="00F913F3">
      <w:pPr>
        <w:suppressAutoHyphens/>
        <w:autoSpaceDE w:val="0"/>
        <w:autoSpaceDN w:val="0"/>
        <w:adjustRightInd w:val="0"/>
        <w:spacing w:line="288" w:lineRule="auto"/>
        <w:ind w:left="-810"/>
        <w:textAlignment w:val="center"/>
        <w:rPr>
          <w:rFonts w:ascii="Montserrat SemiBold" w:hAnsi="Montserrat SemiBold" w:cs="Montserrat SemiBold"/>
          <w:b/>
          <w:bCs/>
          <w:caps/>
          <w:color w:val="1C4257"/>
          <w:spacing w:val="19"/>
          <w:vertAlign w:val="superscript"/>
          <w:lang w:val="en-AU"/>
        </w:rPr>
      </w:pPr>
      <w:r>
        <w:rPr>
          <w:rFonts w:ascii="Montserrat SemiBold" w:hAnsi="Montserrat SemiBold" w:cs="Montserrat SemiBold"/>
          <w:b/>
          <w:bCs/>
          <w:caps/>
          <w:color w:val="1C4257"/>
          <w:spacing w:val="19"/>
          <w:vertAlign w:val="superscript"/>
          <w:lang w:val="en-AU"/>
        </w:rPr>
        <w:t xml:space="preserve">Partnership Pillar 3: </w:t>
      </w:r>
      <w:r w:rsidRPr="00F913F3">
        <w:rPr>
          <w:rFonts w:ascii="Montserrat SemiBold" w:hAnsi="Montserrat SemiBold" w:cs="Montserrat SemiBold"/>
          <w:b/>
          <w:bCs/>
          <w:caps/>
          <w:color w:val="1C4257"/>
          <w:spacing w:val="19"/>
          <w:vertAlign w:val="superscript"/>
          <w:lang w:val="en-AU"/>
        </w:rPr>
        <w:t xml:space="preserve">Enhancing standards and gender inclusion </w:t>
      </w:r>
    </w:p>
    <w:p w14:paraId="37CA3DEC" w14:textId="41D0C863" w:rsidR="00F913F3" w:rsidRPr="00461A4C" w:rsidRDefault="00F913F3" w:rsidP="00F913F3">
      <w:pPr>
        <w:suppressAutoHyphens/>
        <w:autoSpaceDE w:val="0"/>
        <w:autoSpaceDN w:val="0"/>
        <w:adjustRightInd w:val="0"/>
        <w:spacing w:line="288" w:lineRule="auto"/>
        <w:ind w:left="-810"/>
        <w:textAlignment w:val="center"/>
        <w:rPr>
          <w:rFonts w:ascii="Montserrat SemiBold" w:hAnsi="Montserrat SemiBold"/>
          <w:color w:val="000000"/>
          <w:sz w:val="14"/>
          <w:szCs w:val="14"/>
          <w:lang w:val="en-AU"/>
        </w:rPr>
      </w:pPr>
      <w:r>
        <w:rPr>
          <w:rFonts w:ascii="Montserrat" w:hAnsi="Montserrat"/>
          <w:b/>
          <w:bCs/>
          <w:color w:val="000000"/>
          <w:sz w:val="14"/>
          <w:szCs w:val="14"/>
          <w:lang w:val="en-AU"/>
        </w:rPr>
        <w:t xml:space="preserve">Portfolio projects with expected qualitative contributions to Partnership Pillar </w:t>
      </w:r>
      <w:r>
        <w:rPr>
          <w:rFonts w:ascii="Montserrat Medium" w:hAnsi="Montserrat Medium"/>
          <w:i/>
          <w:iCs/>
          <w:color w:val="000000"/>
          <w:sz w:val="14"/>
          <w:szCs w:val="14"/>
          <w:lang w:val="en-AU"/>
        </w:rPr>
        <w:t xml:space="preserve">(as per donor application, reported against evaluative questions): </w:t>
      </w:r>
      <w:r w:rsidRPr="00F913F3">
        <w:rPr>
          <w:rFonts w:ascii="Montserrat SemiBold" w:hAnsi="Montserrat SemiBold"/>
          <w:color w:val="000000"/>
          <w:sz w:val="14"/>
          <w:szCs w:val="14"/>
          <w:lang w:val="en-AU"/>
        </w:rPr>
        <w:t>Fiji Payment System</w:t>
      </w:r>
      <w:r>
        <w:rPr>
          <w:rFonts w:ascii="Montserrat SemiBold" w:hAnsi="Montserrat SemiBold"/>
          <w:color w:val="000000"/>
          <w:sz w:val="14"/>
          <w:szCs w:val="14"/>
          <w:lang w:val="en-AU"/>
        </w:rPr>
        <w:t xml:space="preserve">, </w:t>
      </w:r>
      <w:r w:rsidRPr="00F913F3">
        <w:rPr>
          <w:rFonts w:ascii="Montserrat SemiBold" w:hAnsi="Montserrat SemiBold"/>
          <w:color w:val="000000"/>
          <w:sz w:val="14"/>
          <w:szCs w:val="14"/>
          <w:lang w:val="en-AU"/>
        </w:rPr>
        <w:t>Fiji Winvest</w:t>
      </w:r>
      <w:r>
        <w:rPr>
          <w:rFonts w:ascii="Montserrat SemiBold" w:hAnsi="Montserrat SemiBold"/>
          <w:color w:val="000000"/>
          <w:sz w:val="14"/>
          <w:szCs w:val="14"/>
          <w:lang w:val="en-AU"/>
        </w:rPr>
        <w:t>,</w:t>
      </w:r>
      <w:r w:rsidRPr="00F913F3">
        <w:rPr>
          <w:rFonts w:ascii="Montserrat SemiBold" w:hAnsi="Montserrat SemiBold"/>
          <w:color w:val="000000"/>
          <w:sz w:val="14"/>
          <w:szCs w:val="14"/>
          <w:lang w:val="en-AU"/>
        </w:rPr>
        <w:t xml:space="preserve"> Fiji Sustainable Tourism Project</w:t>
      </w:r>
      <w:r>
        <w:rPr>
          <w:rFonts w:ascii="Montserrat SemiBold" w:hAnsi="Montserrat SemiBold"/>
          <w:color w:val="000000"/>
          <w:sz w:val="14"/>
          <w:szCs w:val="14"/>
          <w:lang w:val="en-AU"/>
        </w:rPr>
        <w:t xml:space="preserve">, </w:t>
      </w:r>
      <w:r w:rsidRPr="00F913F3">
        <w:rPr>
          <w:rFonts w:ascii="Montserrat SemiBold" w:hAnsi="Montserrat SemiBold"/>
          <w:color w:val="000000"/>
          <w:sz w:val="14"/>
          <w:szCs w:val="14"/>
          <w:lang w:val="en-AU"/>
        </w:rPr>
        <w:t>Pacific Integrated ESG</w:t>
      </w:r>
      <w:r>
        <w:rPr>
          <w:rFonts w:ascii="Montserrat SemiBold" w:hAnsi="Montserrat SemiBold"/>
          <w:color w:val="000000"/>
          <w:sz w:val="14"/>
          <w:szCs w:val="14"/>
          <w:lang w:val="en-AU"/>
        </w:rPr>
        <w:t xml:space="preserve">, </w:t>
      </w:r>
      <w:r w:rsidRPr="00F913F3">
        <w:rPr>
          <w:rFonts w:ascii="Montserrat SemiBold" w:hAnsi="Montserrat SemiBold"/>
          <w:color w:val="000000"/>
          <w:sz w:val="14"/>
          <w:szCs w:val="14"/>
          <w:lang w:val="en-AU"/>
        </w:rPr>
        <w:t>Fiji Housing Development Project</w:t>
      </w:r>
      <w:r>
        <w:rPr>
          <w:rFonts w:ascii="Montserrat SemiBold" w:hAnsi="Montserrat SemiBold"/>
          <w:color w:val="000000"/>
          <w:sz w:val="14"/>
          <w:szCs w:val="14"/>
          <w:lang w:val="en-AU"/>
        </w:rPr>
        <w:t xml:space="preserve">, </w:t>
      </w:r>
      <w:r w:rsidRPr="00F913F3">
        <w:rPr>
          <w:rFonts w:ascii="Montserrat SemiBold" w:hAnsi="Montserrat SemiBold"/>
          <w:color w:val="000000"/>
          <w:sz w:val="14"/>
          <w:szCs w:val="14"/>
          <w:lang w:val="en-AU"/>
        </w:rPr>
        <w:t>Advance2Equal</w:t>
      </w:r>
      <w:r>
        <w:rPr>
          <w:rFonts w:ascii="Montserrat SemiBold" w:hAnsi="Montserrat SemiBold"/>
          <w:color w:val="000000"/>
          <w:sz w:val="14"/>
          <w:szCs w:val="14"/>
          <w:lang w:val="en-AU"/>
        </w:rPr>
        <w:t xml:space="preserve">, </w:t>
      </w:r>
      <w:r w:rsidRPr="00F913F3">
        <w:rPr>
          <w:rFonts w:ascii="Montserrat SemiBold" w:hAnsi="Montserrat SemiBold"/>
          <w:color w:val="000000"/>
          <w:sz w:val="14"/>
          <w:szCs w:val="14"/>
          <w:lang w:val="en-AU"/>
        </w:rPr>
        <w:t>Fiji Green Finance</w:t>
      </w:r>
      <w:r>
        <w:rPr>
          <w:rFonts w:ascii="Montserrat SemiBold" w:hAnsi="Montserrat SemiBold"/>
          <w:color w:val="000000"/>
          <w:sz w:val="14"/>
          <w:szCs w:val="14"/>
          <w:lang w:val="en-AU"/>
        </w:rPr>
        <w:t xml:space="preserve"> and </w:t>
      </w:r>
      <w:r w:rsidRPr="00F913F3">
        <w:rPr>
          <w:rFonts w:ascii="Montserrat SemiBold" w:hAnsi="Montserrat SemiBold"/>
          <w:color w:val="000000"/>
          <w:sz w:val="14"/>
          <w:szCs w:val="14"/>
          <w:lang w:val="en-AU"/>
        </w:rPr>
        <w:t>Fiji Sustainable Tourism and Investment</w:t>
      </w:r>
    </w:p>
    <w:p w14:paraId="669913AB" w14:textId="77777777" w:rsidR="00F913F3" w:rsidRDefault="00F913F3"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tbl>
      <w:tblPr>
        <w:tblW w:w="15362" w:type="dxa"/>
        <w:tblInd w:w="-793" w:type="dxa"/>
        <w:tblLayout w:type="fixed"/>
        <w:tblLook w:val="04A0" w:firstRow="1" w:lastRow="0" w:firstColumn="1" w:lastColumn="0" w:noHBand="0" w:noVBand="1"/>
      </w:tblPr>
      <w:tblGrid>
        <w:gridCol w:w="3375"/>
        <w:gridCol w:w="2988"/>
        <w:gridCol w:w="1931"/>
        <w:gridCol w:w="1327"/>
        <w:gridCol w:w="1422"/>
        <w:gridCol w:w="1440"/>
        <w:gridCol w:w="1062"/>
        <w:gridCol w:w="1817"/>
      </w:tblGrid>
      <w:tr w:rsidR="003174CD" w14:paraId="2A85116D" w14:textId="77777777" w:rsidTr="006361C5">
        <w:trPr>
          <w:trHeight w:val="620"/>
          <w:tblHeader/>
        </w:trPr>
        <w:tc>
          <w:tcPr>
            <w:tcW w:w="3375" w:type="dxa"/>
            <w:tcBorders>
              <w:top w:val="single" w:sz="4" w:space="0" w:color="auto"/>
              <w:left w:val="single" w:sz="4" w:space="0" w:color="auto"/>
              <w:bottom w:val="single" w:sz="4" w:space="0" w:color="auto"/>
              <w:right w:val="single" w:sz="8" w:space="0" w:color="FFFFFF"/>
            </w:tcBorders>
            <w:shd w:val="clear" w:color="auto" w:fill="C1E4F5" w:themeFill="accent1" w:themeFillTint="33"/>
            <w:vAlign w:val="center"/>
            <w:hideMark/>
          </w:tcPr>
          <w:p w14:paraId="73DA5F9E" w14:textId="77777777" w:rsidR="00F913F3" w:rsidRDefault="00F913F3">
            <w:pPr>
              <w:rPr>
                <w:rFonts w:ascii="Montserrat" w:hAnsi="Montserrat"/>
                <w:b/>
                <w:bCs/>
                <w:color w:val="000000"/>
                <w:sz w:val="14"/>
                <w:szCs w:val="14"/>
              </w:rPr>
            </w:pPr>
            <w:r>
              <w:rPr>
                <w:rFonts w:ascii="Montserrat" w:hAnsi="Montserrat"/>
                <w:b/>
                <w:bCs/>
                <w:color w:val="000000"/>
                <w:sz w:val="14"/>
                <w:szCs w:val="14"/>
                <w:lang w:val="en-AU"/>
              </w:rPr>
              <w:t xml:space="preserve">Portfolio projects with expected quantitative contributions to Partnership Pillar </w:t>
            </w:r>
            <w:r>
              <w:rPr>
                <w:rFonts w:ascii="Montserrat Medium" w:hAnsi="Montserrat Medium"/>
                <w:i/>
                <w:iCs/>
                <w:color w:val="000000"/>
                <w:sz w:val="14"/>
                <w:szCs w:val="14"/>
                <w:lang w:val="en-AU"/>
              </w:rPr>
              <w:t>(as per development outcome indicators at end-June 2024)</w:t>
            </w:r>
          </w:p>
        </w:tc>
        <w:tc>
          <w:tcPr>
            <w:tcW w:w="2988"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1B932D75" w14:textId="561E5CBD" w:rsidR="00F913F3" w:rsidRDefault="00F913F3" w:rsidP="003174CD">
            <w:pPr>
              <w:jc w:val="center"/>
              <w:rPr>
                <w:rFonts w:ascii="Montserrat" w:hAnsi="Montserrat"/>
                <w:b/>
                <w:bCs/>
                <w:color w:val="000000"/>
                <w:sz w:val="14"/>
                <w:szCs w:val="14"/>
              </w:rPr>
            </w:pPr>
            <w:r>
              <w:rPr>
                <w:rFonts w:ascii="Montserrat" w:hAnsi="Montserrat"/>
                <w:b/>
                <w:bCs/>
                <w:color w:val="000000"/>
                <w:sz w:val="14"/>
                <w:szCs w:val="14"/>
                <w:lang w:val="en-AU"/>
              </w:rPr>
              <w:t>Development</w:t>
            </w:r>
            <w:r>
              <w:rPr>
                <w:rFonts w:ascii="Montserrat" w:hAnsi="Montserrat"/>
                <w:b/>
                <w:bCs/>
                <w:color w:val="000000"/>
                <w:sz w:val="14"/>
                <w:szCs w:val="14"/>
              </w:rPr>
              <w:t xml:space="preserve"> outcome indicators</w:t>
            </w:r>
          </w:p>
        </w:tc>
        <w:tc>
          <w:tcPr>
            <w:tcW w:w="1931"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78439B1F" w14:textId="77777777" w:rsidR="00F913F3" w:rsidRDefault="00F913F3">
            <w:pPr>
              <w:jc w:val="right"/>
              <w:rPr>
                <w:rFonts w:ascii="Montserrat" w:hAnsi="Montserrat"/>
                <w:b/>
                <w:bCs/>
                <w:color w:val="000000"/>
                <w:sz w:val="14"/>
                <w:szCs w:val="14"/>
              </w:rPr>
            </w:pPr>
            <w:r>
              <w:rPr>
                <w:rFonts w:ascii="Montserrat" w:hAnsi="Montserrat"/>
                <w:b/>
                <w:bCs/>
                <w:color w:val="000000"/>
                <w:sz w:val="14"/>
                <w:szCs w:val="14"/>
                <w:lang w:val="en-AU"/>
              </w:rPr>
              <w:t xml:space="preserve">Cumulative targets </w:t>
            </w:r>
          </w:p>
        </w:tc>
        <w:tc>
          <w:tcPr>
            <w:tcW w:w="1327" w:type="dxa"/>
            <w:tcBorders>
              <w:top w:val="single" w:sz="4" w:space="0" w:color="auto"/>
              <w:left w:val="single" w:sz="8" w:space="0" w:color="FFFFFF"/>
              <w:bottom w:val="single" w:sz="4" w:space="0" w:color="auto"/>
              <w:right w:val="single" w:sz="8" w:space="0" w:color="FFFFFF"/>
            </w:tcBorders>
            <w:shd w:val="clear" w:color="auto" w:fill="C1E4F5" w:themeFill="accent1" w:themeFillTint="33"/>
            <w:vAlign w:val="center"/>
            <w:hideMark/>
          </w:tcPr>
          <w:p w14:paraId="54A2E840" w14:textId="77777777" w:rsidR="00F913F3" w:rsidRDefault="00F913F3">
            <w:pPr>
              <w:jc w:val="right"/>
              <w:rPr>
                <w:rFonts w:ascii="Montserrat" w:hAnsi="Montserrat"/>
                <w:b/>
                <w:bCs/>
                <w:color w:val="000000"/>
                <w:sz w:val="14"/>
                <w:szCs w:val="14"/>
              </w:rPr>
            </w:pPr>
            <w:r>
              <w:rPr>
                <w:rFonts w:ascii="Montserrat" w:hAnsi="Montserrat"/>
                <w:b/>
                <w:bCs/>
                <w:color w:val="000000"/>
                <w:sz w:val="14"/>
                <w:szCs w:val="14"/>
                <w:lang w:val="en-AU"/>
              </w:rPr>
              <w:t>Results achieved prior to Jan 2022</w:t>
            </w:r>
          </w:p>
        </w:tc>
        <w:tc>
          <w:tcPr>
            <w:tcW w:w="1422" w:type="dxa"/>
            <w:tcBorders>
              <w:top w:val="single" w:sz="4" w:space="0" w:color="auto"/>
              <w:left w:val="nil"/>
              <w:bottom w:val="single" w:sz="4" w:space="0" w:color="auto"/>
              <w:right w:val="single" w:sz="8" w:space="0" w:color="FFFFFF"/>
            </w:tcBorders>
            <w:shd w:val="clear" w:color="auto" w:fill="C1E4F5" w:themeFill="accent1" w:themeFillTint="33"/>
            <w:vAlign w:val="center"/>
            <w:hideMark/>
          </w:tcPr>
          <w:p w14:paraId="08B4BFFC" w14:textId="3554433B" w:rsidR="00F913F3" w:rsidRDefault="00F913F3">
            <w:pPr>
              <w:jc w:val="right"/>
              <w:rPr>
                <w:rFonts w:ascii="Montserrat" w:hAnsi="Montserrat"/>
                <w:b/>
                <w:bCs/>
                <w:color w:val="000000"/>
                <w:sz w:val="14"/>
                <w:szCs w:val="14"/>
              </w:rPr>
            </w:pPr>
            <w:r>
              <w:rPr>
                <w:rFonts w:ascii="Montserrat" w:hAnsi="Montserrat"/>
                <w:b/>
                <w:bCs/>
                <w:color w:val="000000"/>
                <w:sz w:val="14"/>
                <w:szCs w:val="14"/>
                <w:lang w:val="en-AU"/>
              </w:rPr>
              <w:t xml:space="preserve">FPSDP Results achieved </w:t>
            </w:r>
            <w:r>
              <w:rPr>
                <w:rFonts w:ascii="Montserrat" w:hAnsi="Montserrat"/>
                <w:b/>
                <w:bCs/>
                <w:color w:val="000000"/>
                <w:sz w:val="14"/>
                <w:szCs w:val="14"/>
              </w:rPr>
              <w:t>Jan 2022 - Jun 2024</w:t>
            </w:r>
            <w:r>
              <w:rPr>
                <w:rFonts w:ascii="Montserrat" w:hAnsi="Montserrat"/>
                <w:b/>
                <w:bCs/>
                <w:color w:val="000000"/>
                <w:sz w:val="14"/>
                <w:szCs w:val="14"/>
                <w:lang w:val="en-AU"/>
              </w:rPr>
              <w:t xml:space="preserve">  </w:t>
            </w:r>
          </w:p>
        </w:tc>
        <w:tc>
          <w:tcPr>
            <w:tcW w:w="1440" w:type="dxa"/>
            <w:tcBorders>
              <w:top w:val="single" w:sz="4" w:space="0" w:color="auto"/>
              <w:left w:val="nil"/>
              <w:bottom w:val="single" w:sz="4" w:space="0" w:color="auto"/>
              <w:right w:val="nil"/>
            </w:tcBorders>
            <w:shd w:val="clear" w:color="auto" w:fill="C1E4F5" w:themeFill="accent1" w:themeFillTint="33"/>
            <w:vAlign w:val="center"/>
            <w:hideMark/>
          </w:tcPr>
          <w:p w14:paraId="1935ED22" w14:textId="049DDC77" w:rsidR="00F913F3" w:rsidRDefault="00F913F3">
            <w:pPr>
              <w:jc w:val="right"/>
              <w:rPr>
                <w:rFonts w:ascii="Montserrat" w:hAnsi="Montserrat"/>
                <w:b/>
                <w:bCs/>
                <w:color w:val="000000"/>
                <w:sz w:val="14"/>
                <w:szCs w:val="14"/>
              </w:rPr>
            </w:pPr>
            <w:r>
              <w:rPr>
                <w:rFonts w:ascii="Montserrat" w:hAnsi="Montserrat"/>
                <w:b/>
                <w:bCs/>
                <w:color w:val="000000"/>
                <w:sz w:val="14"/>
                <w:szCs w:val="14"/>
                <w:lang w:val="en-AU"/>
              </w:rPr>
              <w:t>FPSDP Current results</w:t>
            </w:r>
            <w:r>
              <w:rPr>
                <w:rFonts w:ascii="Montserrat" w:hAnsi="Montserrat"/>
                <w:b/>
                <w:bCs/>
                <w:color w:val="000000"/>
                <w:sz w:val="14"/>
                <w:szCs w:val="14"/>
              </w:rPr>
              <w:t xml:space="preserve"> Jul - Dec 2024</w:t>
            </w:r>
          </w:p>
        </w:tc>
        <w:tc>
          <w:tcPr>
            <w:tcW w:w="1062" w:type="dxa"/>
            <w:tcBorders>
              <w:top w:val="single" w:sz="4" w:space="0" w:color="auto"/>
              <w:left w:val="nil"/>
              <w:bottom w:val="single" w:sz="4" w:space="0" w:color="auto"/>
              <w:right w:val="nil"/>
            </w:tcBorders>
            <w:shd w:val="clear" w:color="auto" w:fill="C1E4F5" w:themeFill="accent1" w:themeFillTint="33"/>
            <w:vAlign w:val="center"/>
            <w:hideMark/>
          </w:tcPr>
          <w:p w14:paraId="44D6E8E0" w14:textId="77777777" w:rsidR="00F913F3" w:rsidRDefault="00F913F3">
            <w:pPr>
              <w:jc w:val="right"/>
              <w:rPr>
                <w:rFonts w:ascii="Montserrat" w:hAnsi="Montserrat"/>
                <w:b/>
                <w:bCs/>
                <w:color w:val="000000"/>
                <w:sz w:val="14"/>
                <w:szCs w:val="14"/>
              </w:rPr>
            </w:pPr>
            <w:r>
              <w:rPr>
                <w:rFonts w:ascii="Montserrat" w:hAnsi="Montserrat"/>
                <w:b/>
                <w:bCs/>
                <w:color w:val="000000"/>
                <w:sz w:val="14"/>
                <w:szCs w:val="14"/>
                <w:lang w:val="en-AU"/>
              </w:rPr>
              <w:t>Cumulative results</w:t>
            </w:r>
          </w:p>
        </w:tc>
        <w:tc>
          <w:tcPr>
            <w:tcW w:w="1817" w:type="dxa"/>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03B0A3B5" w14:textId="77777777" w:rsidR="00F913F3" w:rsidRDefault="00F913F3">
            <w:pPr>
              <w:jc w:val="right"/>
              <w:rPr>
                <w:rFonts w:ascii="Montserrat" w:hAnsi="Montserrat"/>
                <w:b/>
                <w:bCs/>
                <w:color w:val="000000"/>
                <w:sz w:val="14"/>
                <w:szCs w:val="14"/>
              </w:rPr>
            </w:pPr>
            <w:r>
              <w:rPr>
                <w:rFonts w:ascii="Montserrat" w:hAnsi="Montserrat"/>
                <w:b/>
                <w:bCs/>
                <w:color w:val="000000"/>
                <w:sz w:val="14"/>
                <w:szCs w:val="14"/>
                <w:lang w:val="en-AU"/>
              </w:rPr>
              <w:t>% Cumulative results achieved against cumulative targets</w:t>
            </w:r>
          </w:p>
        </w:tc>
      </w:tr>
      <w:tr w:rsidR="003174CD" w14:paraId="649C9310" w14:textId="77777777" w:rsidTr="006361C5">
        <w:trPr>
          <w:trHeight w:val="259"/>
        </w:trPr>
        <w:tc>
          <w:tcPr>
            <w:tcW w:w="3375" w:type="dxa"/>
            <w:tcBorders>
              <w:top w:val="single" w:sz="4" w:space="0" w:color="auto"/>
              <w:left w:val="single" w:sz="4" w:space="0" w:color="auto"/>
              <w:bottom w:val="nil"/>
              <w:right w:val="single" w:sz="4" w:space="0" w:color="auto"/>
            </w:tcBorders>
            <w:vAlign w:val="center"/>
            <w:hideMark/>
          </w:tcPr>
          <w:p w14:paraId="2227AE8D" w14:textId="77777777" w:rsidR="00F913F3" w:rsidRDefault="00F913F3">
            <w:pPr>
              <w:rPr>
                <w:rFonts w:ascii="Montserrat" w:hAnsi="Montserrat"/>
                <w:color w:val="000000"/>
                <w:sz w:val="14"/>
                <w:szCs w:val="14"/>
              </w:rPr>
            </w:pPr>
            <w:bookmarkStart w:id="78" w:name="_Hlk221280950"/>
            <w:r>
              <w:rPr>
                <w:rFonts w:ascii="Montserrat" w:hAnsi="Montserrat"/>
                <w:color w:val="000000"/>
                <w:sz w:val="14"/>
                <w:szCs w:val="14"/>
                <w:lang w:val="en-AU"/>
              </w:rPr>
              <w:t>Fiji Winvest</w:t>
            </w:r>
          </w:p>
        </w:tc>
        <w:tc>
          <w:tcPr>
            <w:tcW w:w="2988" w:type="dxa"/>
            <w:vMerge w:val="restart"/>
            <w:tcBorders>
              <w:top w:val="single" w:sz="4" w:space="0" w:color="auto"/>
              <w:left w:val="single" w:sz="4" w:space="0" w:color="auto"/>
              <w:bottom w:val="single" w:sz="4" w:space="0" w:color="auto"/>
              <w:right w:val="single" w:sz="4" w:space="0" w:color="auto"/>
            </w:tcBorders>
            <w:vAlign w:val="center"/>
            <w:hideMark/>
          </w:tcPr>
          <w:p w14:paraId="67601DF4"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entities that implemented recommended changes</w:t>
            </w:r>
          </w:p>
        </w:tc>
        <w:tc>
          <w:tcPr>
            <w:tcW w:w="1931" w:type="dxa"/>
            <w:vMerge w:val="restart"/>
            <w:tcBorders>
              <w:top w:val="single" w:sz="4" w:space="0" w:color="auto"/>
              <w:left w:val="single" w:sz="4" w:space="0" w:color="auto"/>
              <w:bottom w:val="single" w:sz="4" w:space="0" w:color="auto"/>
              <w:right w:val="single" w:sz="4" w:space="0" w:color="auto"/>
            </w:tcBorders>
            <w:vAlign w:val="center"/>
            <w:hideMark/>
          </w:tcPr>
          <w:p w14:paraId="6D6A0576"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28</w:t>
            </w:r>
          </w:p>
        </w:tc>
        <w:tc>
          <w:tcPr>
            <w:tcW w:w="1327" w:type="dxa"/>
            <w:vMerge w:val="restart"/>
            <w:tcBorders>
              <w:top w:val="single" w:sz="4" w:space="0" w:color="auto"/>
              <w:left w:val="single" w:sz="4" w:space="0" w:color="auto"/>
              <w:bottom w:val="single" w:sz="4" w:space="0" w:color="auto"/>
              <w:right w:val="single" w:sz="4" w:space="0" w:color="auto"/>
            </w:tcBorders>
            <w:vAlign w:val="center"/>
            <w:hideMark/>
          </w:tcPr>
          <w:p w14:paraId="17606852"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23</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14:paraId="688ECD5B"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2</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49690568"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062" w:type="dxa"/>
            <w:vMerge w:val="restart"/>
            <w:tcBorders>
              <w:top w:val="single" w:sz="4" w:space="0" w:color="auto"/>
              <w:left w:val="single" w:sz="4" w:space="0" w:color="auto"/>
              <w:bottom w:val="single" w:sz="4" w:space="0" w:color="auto"/>
              <w:right w:val="single" w:sz="4" w:space="0" w:color="auto"/>
            </w:tcBorders>
            <w:vAlign w:val="center"/>
            <w:hideMark/>
          </w:tcPr>
          <w:p w14:paraId="5D014F74"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26</w:t>
            </w:r>
          </w:p>
        </w:tc>
        <w:tc>
          <w:tcPr>
            <w:tcW w:w="1817" w:type="dxa"/>
            <w:vMerge w:val="restart"/>
            <w:tcBorders>
              <w:top w:val="single" w:sz="4" w:space="0" w:color="auto"/>
              <w:left w:val="single" w:sz="4" w:space="0" w:color="auto"/>
              <w:bottom w:val="single" w:sz="4" w:space="0" w:color="auto"/>
              <w:right w:val="single" w:sz="4" w:space="0" w:color="auto"/>
            </w:tcBorders>
            <w:vAlign w:val="center"/>
            <w:hideMark/>
          </w:tcPr>
          <w:p w14:paraId="16520BD4"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93</w:t>
            </w:r>
          </w:p>
        </w:tc>
      </w:tr>
      <w:tr w:rsidR="003174CD" w14:paraId="279B7751" w14:textId="77777777" w:rsidTr="006361C5">
        <w:trPr>
          <w:trHeight w:val="259"/>
        </w:trPr>
        <w:tc>
          <w:tcPr>
            <w:tcW w:w="3375" w:type="dxa"/>
            <w:tcBorders>
              <w:top w:val="nil"/>
              <w:left w:val="single" w:sz="4" w:space="0" w:color="auto"/>
              <w:bottom w:val="nil"/>
              <w:right w:val="single" w:sz="4" w:space="0" w:color="auto"/>
            </w:tcBorders>
            <w:vAlign w:val="center"/>
            <w:hideMark/>
          </w:tcPr>
          <w:p w14:paraId="2D234BAE" w14:textId="77777777" w:rsidR="00F913F3" w:rsidRDefault="00F913F3">
            <w:pPr>
              <w:rPr>
                <w:rFonts w:ascii="Montserrat" w:hAnsi="Montserrat"/>
                <w:color w:val="000000"/>
                <w:sz w:val="14"/>
                <w:szCs w:val="14"/>
              </w:rPr>
            </w:pPr>
            <w:r>
              <w:rPr>
                <w:rFonts w:ascii="Montserrat" w:hAnsi="Montserrat"/>
                <w:color w:val="000000"/>
                <w:sz w:val="14"/>
                <w:szCs w:val="14"/>
              </w:rPr>
              <w:t>Advance2Equal</w:t>
            </w:r>
          </w:p>
        </w:tc>
        <w:tc>
          <w:tcPr>
            <w:tcW w:w="2988" w:type="dxa"/>
            <w:vMerge/>
            <w:tcBorders>
              <w:top w:val="nil"/>
              <w:left w:val="single" w:sz="4" w:space="0" w:color="auto"/>
              <w:bottom w:val="single" w:sz="4" w:space="0" w:color="auto"/>
              <w:right w:val="single" w:sz="4" w:space="0" w:color="auto"/>
            </w:tcBorders>
            <w:vAlign w:val="center"/>
            <w:hideMark/>
          </w:tcPr>
          <w:p w14:paraId="3E1B265B"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329B4A39"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0A7B4C65"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372E7072"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B9C9045"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10576C27"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04DCD9C8" w14:textId="77777777" w:rsidR="00F913F3" w:rsidRDefault="00F913F3">
            <w:pPr>
              <w:rPr>
                <w:rFonts w:ascii="Montserrat" w:hAnsi="Montserrat"/>
                <w:color w:val="000000"/>
                <w:sz w:val="14"/>
                <w:szCs w:val="14"/>
              </w:rPr>
            </w:pPr>
          </w:p>
        </w:tc>
      </w:tr>
      <w:tr w:rsidR="003174CD" w14:paraId="5BBA86DA" w14:textId="77777777" w:rsidTr="006361C5">
        <w:trPr>
          <w:trHeight w:val="259"/>
        </w:trPr>
        <w:tc>
          <w:tcPr>
            <w:tcW w:w="3375" w:type="dxa"/>
            <w:tcBorders>
              <w:top w:val="nil"/>
              <w:left w:val="single" w:sz="4" w:space="0" w:color="auto"/>
              <w:bottom w:val="nil"/>
              <w:right w:val="single" w:sz="4" w:space="0" w:color="auto"/>
            </w:tcBorders>
            <w:vAlign w:val="center"/>
            <w:hideMark/>
          </w:tcPr>
          <w:p w14:paraId="701246B3" w14:textId="77777777" w:rsidR="00F913F3" w:rsidRDefault="00F913F3">
            <w:pPr>
              <w:rPr>
                <w:rFonts w:ascii="Montserrat" w:hAnsi="Montserrat"/>
                <w:color w:val="000000"/>
                <w:sz w:val="14"/>
                <w:szCs w:val="14"/>
              </w:rPr>
            </w:pPr>
            <w:r>
              <w:rPr>
                <w:rFonts w:ascii="Montserrat" w:hAnsi="Montserrat"/>
                <w:color w:val="000000"/>
                <w:sz w:val="14"/>
                <w:szCs w:val="14"/>
              </w:rPr>
              <w:t>Pacific Integrated ESG</w:t>
            </w:r>
          </w:p>
        </w:tc>
        <w:tc>
          <w:tcPr>
            <w:tcW w:w="2988" w:type="dxa"/>
            <w:vMerge/>
            <w:tcBorders>
              <w:top w:val="nil"/>
              <w:left w:val="single" w:sz="4" w:space="0" w:color="auto"/>
              <w:bottom w:val="single" w:sz="4" w:space="0" w:color="auto"/>
              <w:right w:val="single" w:sz="4" w:space="0" w:color="auto"/>
            </w:tcBorders>
            <w:vAlign w:val="center"/>
            <w:hideMark/>
          </w:tcPr>
          <w:p w14:paraId="082F341F"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15EF3CBE"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15F9F056"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3085C645"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714134B"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834EFFF"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21E7FBFB" w14:textId="77777777" w:rsidR="00F913F3" w:rsidRDefault="00F913F3">
            <w:pPr>
              <w:rPr>
                <w:rFonts w:ascii="Montserrat" w:hAnsi="Montserrat"/>
                <w:color w:val="000000"/>
                <w:sz w:val="14"/>
                <w:szCs w:val="14"/>
              </w:rPr>
            </w:pPr>
          </w:p>
        </w:tc>
      </w:tr>
      <w:tr w:rsidR="003174CD" w14:paraId="4BD009FF" w14:textId="77777777" w:rsidTr="006361C5">
        <w:trPr>
          <w:trHeight w:val="259"/>
        </w:trPr>
        <w:tc>
          <w:tcPr>
            <w:tcW w:w="3375" w:type="dxa"/>
            <w:tcBorders>
              <w:top w:val="nil"/>
              <w:left w:val="single" w:sz="4" w:space="0" w:color="auto"/>
              <w:bottom w:val="single" w:sz="4" w:space="0" w:color="auto"/>
              <w:right w:val="single" w:sz="4" w:space="0" w:color="auto"/>
            </w:tcBorders>
            <w:vAlign w:val="center"/>
            <w:hideMark/>
          </w:tcPr>
          <w:p w14:paraId="3576D55E" w14:textId="77777777" w:rsidR="00F913F3" w:rsidRDefault="00F913F3">
            <w:pPr>
              <w:rPr>
                <w:rFonts w:ascii="Montserrat" w:hAnsi="Montserrat"/>
                <w:color w:val="000000"/>
                <w:sz w:val="14"/>
                <w:szCs w:val="14"/>
              </w:rPr>
            </w:pPr>
            <w:r>
              <w:rPr>
                <w:rFonts w:ascii="Montserrat" w:hAnsi="Montserrat"/>
                <w:color w:val="000000"/>
                <w:sz w:val="14"/>
                <w:szCs w:val="14"/>
              </w:rPr>
              <w:t>Fiji Green Finance</w:t>
            </w:r>
          </w:p>
        </w:tc>
        <w:tc>
          <w:tcPr>
            <w:tcW w:w="2988" w:type="dxa"/>
            <w:vMerge/>
            <w:tcBorders>
              <w:top w:val="nil"/>
              <w:left w:val="single" w:sz="4" w:space="0" w:color="auto"/>
              <w:bottom w:val="single" w:sz="4" w:space="0" w:color="auto"/>
              <w:right w:val="single" w:sz="4" w:space="0" w:color="auto"/>
            </w:tcBorders>
            <w:vAlign w:val="center"/>
            <w:hideMark/>
          </w:tcPr>
          <w:p w14:paraId="2AE44A18"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12FB577C"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4F57DE94"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7902A5E2"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5A2D24C"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026AAFEA"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51EB52B0" w14:textId="77777777" w:rsidR="00F913F3" w:rsidRDefault="00F913F3">
            <w:pPr>
              <w:rPr>
                <w:rFonts w:ascii="Montserrat" w:hAnsi="Montserrat"/>
                <w:color w:val="000000"/>
                <w:sz w:val="14"/>
                <w:szCs w:val="14"/>
              </w:rPr>
            </w:pPr>
          </w:p>
        </w:tc>
      </w:tr>
      <w:tr w:rsidR="003174CD" w14:paraId="5BA7D817" w14:textId="77777777" w:rsidTr="006361C5">
        <w:trPr>
          <w:trHeight w:val="259"/>
        </w:trPr>
        <w:tc>
          <w:tcPr>
            <w:tcW w:w="3375" w:type="dxa"/>
            <w:tcBorders>
              <w:top w:val="nil"/>
              <w:left w:val="single" w:sz="4" w:space="0" w:color="auto"/>
              <w:bottom w:val="nil"/>
              <w:right w:val="single" w:sz="4" w:space="0" w:color="auto"/>
            </w:tcBorders>
            <w:vAlign w:val="center"/>
            <w:hideMark/>
          </w:tcPr>
          <w:p w14:paraId="1564C3C1"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vMerge w:val="restart"/>
            <w:tcBorders>
              <w:top w:val="nil"/>
              <w:left w:val="single" w:sz="4" w:space="0" w:color="auto"/>
              <w:bottom w:val="single" w:sz="4" w:space="0" w:color="auto"/>
              <w:right w:val="single" w:sz="4" w:space="0" w:color="auto"/>
            </w:tcBorders>
            <w:vAlign w:val="center"/>
            <w:hideMark/>
          </w:tcPr>
          <w:p w14:paraId="55B6770A" w14:textId="77777777" w:rsidR="00F913F3" w:rsidRDefault="00F913F3">
            <w:pPr>
              <w:rPr>
                <w:rFonts w:ascii="Montserrat" w:hAnsi="Montserrat"/>
                <w:color w:val="000000"/>
                <w:sz w:val="14"/>
                <w:szCs w:val="14"/>
              </w:rPr>
            </w:pPr>
            <w:r>
              <w:rPr>
                <w:rFonts w:ascii="Montserrat" w:hAnsi="Montserrat"/>
                <w:color w:val="000000"/>
                <w:sz w:val="14"/>
                <w:szCs w:val="14"/>
                <w:lang w:val="en-AU"/>
              </w:rPr>
              <w:t xml:space="preserve">Number of recommended procedures/firm-level </w:t>
            </w:r>
            <w:r>
              <w:rPr>
                <w:rFonts w:ascii="Montserrat" w:hAnsi="Montserrat"/>
                <w:color w:val="000000"/>
                <w:sz w:val="14"/>
                <w:szCs w:val="14"/>
                <w:lang w:val="en-AU"/>
              </w:rPr>
              <w:lastRenderedPageBreak/>
              <w:t>policies/practices/standards that were improved or eliminated</w:t>
            </w:r>
          </w:p>
        </w:tc>
        <w:tc>
          <w:tcPr>
            <w:tcW w:w="1931" w:type="dxa"/>
            <w:vMerge w:val="restart"/>
            <w:tcBorders>
              <w:top w:val="nil"/>
              <w:left w:val="single" w:sz="4" w:space="0" w:color="auto"/>
              <w:bottom w:val="single" w:sz="4" w:space="0" w:color="auto"/>
              <w:right w:val="single" w:sz="4" w:space="0" w:color="auto"/>
            </w:tcBorders>
            <w:vAlign w:val="center"/>
            <w:hideMark/>
          </w:tcPr>
          <w:p w14:paraId="54018FC0"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lastRenderedPageBreak/>
              <w:t>28</w:t>
            </w:r>
          </w:p>
        </w:tc>
        <w:tc>
          <w:tcPr>
            <w:tcW w:w="1327" w:type="dxa"/>
            <w:vMerge w:val="restart"/>
            <w:tcBorders>
              <w:top w:val="nil"/>
              <w:left w:val="single" w:sz="4" w:space="0" w:color="auto"/>
              <w:bottom w:val="single" w:sz="4" w:space="0" w:color="auto"/>
              <w:right w:val="single" w:sz="4" w:space="0" w:color="auto"/>
            </w:tcBorders>
            <w:vAlign w:val="center"/>
            <w:hideMark/>
          </w:tcPr>
          <w:p w14:paraId="5AF49FC6"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9</w:t>
            </w:r>
          </w:p>
        </w:tc>
        <w:tc>
          <w:tcPr>
            <w:tcW w:w="1422" w:type="dxa"/>
            <w:vMerge w:val="restart"/>
            <w:tcBorders>
              <w:top w:val="nil"/>
              <w:left w:val="single" w:sz="4" w:space="0" w:color="auto"/>
              <w:bottom w:val="single" w:sz="4" w:space="0" w:color="auto"/>
              <w:right w:val="single" w:sz="4" w:space="0" w:color="auto"/>
            </w:tcBorders>
            <w:vAlign w:val="center"/>
            <w:hideMark/>
          </w:tcPr>
          <w:p w14:paraId="75A265C3"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8</w:t>
            </w:r>
          </w:p>
        </w:tc>
        <w:tc>
          <w:tcPr>
            <w:tcW w:w="1440" w:type="dxa"/>
            <w:vMerge w:val="restart"/>
            <w:tcBorders>
              <w:top w:val="nil"/>
              <w:left w:val="single" w:sz="4" w:space="0" w:color="auto"/>
              <w:bottom w:val="single" w:sz="4" w:space="0" w:color="auto"/>
              <w:right w:val="single" w:sz="4" w:space="0" w:color="auto"/>
            </w:tcBorders>
            <w:vAlign w:val="center"/>
            <w:hideMark/>
          </w:tcPr>
          <w:p w14:paraId="7226ED30"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5A66344F"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17</w:t>
            </w:r>
          </w:p>
        </w:tc>
        <w:tc>
          <w:tcPr>
            <w:tcW w:w="1817" w:type="dxa"/>
            <w:vMerge w:val="restart"/>
            <w:tcBorders>
              <w:top w:val="nil"/>
              <w:left w:val="single" w:sz="4" w:space="0" w:color="auto"/>
              <w:bottom w:val="single" w:sz="4" w:space="0" w:color="auto"/>
              <w:right w:val="single" w:sz="4" w:space="0" w:color="auto"/>
            </w:tcBorders>
            <w:vAlign w:val="center"/>
            <w:hideMark/>
          </w:tcPr>
          <w:p w14:paraId="1DF1ADDE"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61</w:t>
            </w:r>
          </w:p>
        </w:tc>
      </w:tr>
      <w:tr w:rsidR="003174CD" w14:paraId="1AED377C" w14:textId="77777777" w:rsidTr="006361C5">
        <w:trPr>
          <w:trHeight w:val="259"/>
        </w:trPr>
        <w:tc>
          <w:tcPr>
            <w:tcW w:w="3375" w:type="dxa"/>
            <w:tcBorders>
              <w:top w:val="nil"/>
              <w:left w:val="single" w:sz="4" w:space="0" w:color="auto"/>
              <w:bottom w:val="nil"/>
              <w:right w:val="single" w:sz="4" w:space="0" w:color="auto"/>
            </w:tcBorders>
            <w:vAlign w:val="center"/>
            <w:hideMark/>
          </w:tcPr>
          <w:p w14:paraId="4BEE7415" w14:textId="77777777" w:rsidR="00F913F3" w:rsidRDefault="00F913F3">
            <w:pPr>
              <w:rPr>
                <w:rFonts w:ascii="Montserrat" w:hAnsi="Montserrat"/>
                <w:color w:val="000000"/>
                <w:sz w:val="14"/>
                <w:szCs w:val="14"/>
              </w:rPr>
            </w:pPr>
            <w:r>
              <w:rPr>
                <w:rFonts w:ascii="Montserrat" w:hAnsi="Montserrat"/>
                <w:color w:val="000000"/>
                <w:sz w:val="14"/>
                <w:szCs w:val="14"/>
              </w:rPr>
              <w:t>Fiji Sustainable Tourism Project</w:t>
            </w:r>
          </w:p>
        </w:tc>
        <w:tc>
          <w:tcPr>
            <w:tcW w:w="2988" w:type="dxa"/>
            <w:vMerge/>
            <w:tcBorders>
              <w:top w:val="nil"/>
              <w:left w:val="single" w:sz="4" w:space="0" w:color="auto"/>
              <w:bottom w:val="single" w:sz="4" w:space="0" w:color="auto"/>
              <w:right w:val="single" w:sz="4" w:space="0" w:color="auto"/>
            </w:tcBorders>
            <w:vAlign w:val="center"/>
            <w:hideMark/>
          </w:tcPr>
          <w:p w14:paraId="15E82724"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06325DEF"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554A42BC"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1CEF06E2"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18E7C4C0"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0E73B984"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08A0C689" w14:textId="77777777" w:rsidR="00F913F3" w:rsidRDefault="00F913F3">
            <w:pPr>
              <w:rPr>
                <w:rFonts w:ascii="Montserrat" w:hAnsi="Montserrat"/>
                <w:color w:val="000000"/>
                <w:sz w:val="14"/>
                <w:szCs w:val="14"/>
              </w:rPr>
            </w:pPr>
          </w:p>
        </w:tc>
      </w:tr>
      <w:tr w:rsidR="003174CD" w14:paraId="66160137" w14:textId="77777777" w:rsidTr="006361C5">
        <w:trPr>
          <w:trHeight w:val="259"/>
        </w:trPr>
        <w:tc>
          <w:tcPr>
            <w:tcW w:w="3375" w:type="dxa"/>
            <w:tcBorders>
              <w:top w:val="nil"/>
              <w:left w:val="single" w:sz="4" w:space="0" w:color="auto"/>
              <w:bottom w:val="nil"/>
              <w:right w:val="single" w:sz="4" w:space="0" w:color="auto"/>
            </w:tcBorders>
            <w:vAlign w:val="center"/>
            <w:hideMark/>
          </w:tcPr>
          <w:p w14:paraId="0A98C85C" w14:textId="77777777" w:rsidR="00F913F3" w:rsidRDefault="00F913F3">
            <w:pPr>
              <w:rPr>
                <w:rFonts w:ascii="Montserrat" w:hAnsi="Montserrat"/>
                <w:color w:val="000000"/>
                <w:sz w:val="14"/>
                <w:szCs w:val="14"/>
              </w:rPr>
            </w:pPr>
            <w:r>
              <w:rPr>
                <w:rFonts w:ascii="Montserrat" w:hAnsi="Montserrat"/>
                <w:color w:val="000000"/>
                <w:sz w:val="14"/>
                <w:szCs w:val="14"/>
              </w:rPr>
              <w:lastRenderedPageBreak/>
              <w:t>Advance2Equal</w:t>
            </w:r>
          </w:p>
        </w:tc>
        <w:tc>
          <w:tcPr>
            <w:tcW w:w="2988" w:type="dxa"/>
            <w:vMerge/>
            <w:tcBorders>
              <w:top w:val="nil"/>
              <w:left w:val="single" w:sz="4" w:space="0" w:color="auto"/>
              <w:bottom w:val="single" w:sz="4" w:space="0" w:color="auto"/>
              <w:right w:val="single" w:sz="4" w:space="0" w:color="auto"/>
            </w:tcBorders>
            <w:vAlign w:val="center"/>
            <w:hideMark/>
          </w:tcPr>
          <w:p w14:paraId="224B2C3E"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38ED108E"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79A0DCBE"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2B4157F7"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04D86AC9"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D856281"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0120E5A1" w14:textId="77777777" w:rsidR="00F913F3" w:rsidRDefault="00F913F3">
            <w:pPr>
              <w:rPr>
                <w:rFonts w:ascii="Montserrat" w:hAnsi="Montserrat"/>
                <w:color w:val="000000"/>
                <w:sz w:val="14"/>
                <w:szCs w:val="14"/>
              </w:rPr>
            </w:pPr>
          </w:p>
        </w:tc>
      </w:tr>
      <w:tr w:rsidR="003174CD" w14:paraId="2B8D42ED" w14:textId="77777777" w:rsidTr="006361C5">
        <w:trPr>
          <w:trHeight w:val="259"/>
        </w:trPr>
        <w:tc>
          <w:tcPr>
            <w:tcW w:w="3375" w:type="dxa"/>
            <w:tcBorders>
              <w:top w:val="nil"/>
              <w:left w:val="single" w:sz="4" w:space="0" w:color="auto"/>
              <w:bottom w:val="single" w:sz="4" w:space="0" w:color="auto"/>
              <w:right w:val="single" w:sz="4" w:space="0" w:color="auto"/>
            </w:tcBorders>
            <w:vAlign w:val="center"/>
            <w:hideMark/>
          </w:tcPr>
          <w:p w14:paraId="10E16E81" w14:textId="77777777" w:rsidR="00F913F3" w:rsidRDefault="00F913F3">
            <w:pPr>
              <w:rPr>
                <w:rFonts w:ascii="Montserrat" w:hAnsi="Montserrat"/>
                <w:color w:val="000000"/>
                <w:sz w:val="14"/>
                <w:szCs w:val="14"/>
              </w:rPr>
            </w:pPr>
            <w:r>
              <w:rPr>
                <w:rFonts w:ascii="Montserrat" w:hAnsi="Montserrat"/>
                <w:color w:val="000000"/>
                <w:sz w:val="14"/>
                <w:szCs w:val="14"/>
              </w:rPr>
              <w:t>Fiji Green Finance</w:t>
            </w:r>
          </w:p>
        </w:tc>
        <w:tc>
          <w:tcPr>
            <w:tcW w:w="2988" w:type="dxa"/>
            <w:vMerge/>
            <w:tcBorders>
              <w:top w:val="nil"/>
              <w:left w:val="single" w:sz="4" w:space="0" w:color="auto"/>
              <w:bottom w:val="single" w:sz="4" w:space="0" w:color="auto"/>
              <w:right w:val="single" w:sz="4" w:space="0" w:color="auto"/>
            </w:tcBorders>
            <w:vAlign w:val="center"/>
            <w:hideMark/>
          </w:tcPr>
          <w:p w14:paraId="3358F62C"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76E8CF5F"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5C686419"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2BD50533"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6354182"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641ED2BE"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0D87BDE9" w14:textId="77777777" w:rsidR="00F913F3" w:rsidRDefault="00F913F3">
            <w:pPr>
              <w:rPr>
                <w:rFonts w:ascii="Montserrat" w:hAnsi="Montserrat"/>
                <w:color w:val="000000"/>
                <w:sz w:val="14"/>
                <w:szCs w:val="14"/>
              </w:rPr>
            </w:pPr>
          </w:p>
        </w:tc>
      </w:tr>
      <w:bookmarkEnd w:id="78"/>
      <w:tr w:rsidR="003174CD" w14:paraId="0736D449" w14:textId="77777777" w:rsidTr="006361C5">
        <w:trPr>
          <w:trHeight w:val="259"/>
        </w:trPr>
        <w:tc>
          <w:tcPr>
            <w:tcW w:w="3375" w:type="dxa"/>
            <w:tcBorders>
              <w:top w:val="nil"/>
              <w:left w:val="single" w:sz="4" w:space="0" w:color="auto"/>
              <w:bottom w:val="nil"/>
              <w:right w:val="nil"/>
            </w:tcBorders>
            <w:vAlign w:val="center"/>
            <w:hideMark/>
          </w:tcPr>
          <w:p w14:paraId="695B4BD9"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vMerge w:val="restart"/>
            <w:tcBorders>
              <w:top w:val="nil"/>
              <w:left w:val="single" w:sz="4" w:space="0" w:color="auto"/>
              <w:bottom w:val="single" w:sz="4" w:space="0" w:color="auto"/>
              <w:right w:val="single" w:sz="4" w:space="0" w:color="auto"/>
            </w:tcBorders>
            <w:vAlign w:val="center"/>
            <w:hideMark/>
          </w:tcPr>
          <w:p w14:paraId="6E79BB57"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new laws/regulations/amendments/codes/government policies drafted, or contributed to the drafting</w:t>
            </w:r>
          </w:p>
        </w:tc>
        <w:tc>
          <w:tcPr>
            <w:tcW w:w="1931" w:type="dxa"/>
            <w:vMerge w:val="restart"/>
            <w:tcBorders>
              <w:top w:val="nil"/>
              <w:left w:val="single" w:sz="4" w:space="0" w:color="auto"/>
              <w:bottom w:val="single" w:sz="4" w:space="0" w:color="auto"/>
              <w:right w:val="single" w:sz="4" w:space="0" w:color="auto"/>
            </w:tcBorders>
            <w:vAlign w:val="center"/>
            <w:hideMark/>
          </w:tcPr>
          <w:p w14:paraId="4F14EDF1"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5</w:t>
            </w:r>
          </w:p>
        </w:tc>
        <w:tc>
          <w:tcPr>
            <w:tcW w:w="1327" w:type="dxa"/>
            <w:vMerge w:val="restart"/>
            <w:tcBorders>
              <w:top w:val="nil"/>
              <w:left w:val="single" w:sz="4" w:space="0" w:color="auto"/>
              <w:bottom w:val="single" w:sz="4" w:space="0" w:color="auto"/>
              <w:right w:val="single" w:sz="4" w:space="0" w:color="auto"/>
            </w:tcBorders>
            <w:vAlign w:val="center"/>
            <w:hideMark/>
          </w:tcPr>
          <w:p w14:paraId="70F921C5"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w:t>
            </w:r>
          </w:p>
        </w:tc>
        <w:tc>
          <w:tcPr>
            <w:tcW w:w="1422" w:type="dxa"/>
            <w:vMerge w:val="restart"/>
            <w:tcBorders>
              <w:top w:val="nil"/>
              <w:left w:val="single" w:sz="4" w:space="0" w:color="auto"/>
              <w:bottom w:val="single" w:sz="4" w:space="0" w:color="auto"/>
              <w:right w:val="single" w:sz="4" w:space="0" w:color="auto"/>
            </w:tcBorders>
            <w:vAlign w:val="center"/>
            <w:hideMark/>
          </w:tcPr>
          <w:p w14:paraId="20918000"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440" w:type="dxa"/>
            <w:vMerge w:val="restart"/>
            <w:tcBorders>
              <w:top w:val="nil"/>
              <w:left w:val="single" w:sz="4" w:space="0" w:color="auto"/>
              <w:bottom w:val="single" w:sz="4" w:space="0" w:color="auto"/>
              <w:right w:val="single" w:sz="4" w:space="0" w:color="auto"/>
            </w:tcBorders>
            <w:vAlign w:val="center"/>
            <w:hideMark/>
          </w:tcPr>
          <w:p w14:paraId="08E8362D"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vMerge w:val="restart"/>
            <w:tcBorders>
              <w:top w:val="nil"/>
              <w:left w:val="single" w:sz="4" w:space="0" w:color="auto"/>
              <w:bottom w:val="single" w:sz="4" w:space="0" w:color="auto"/>
              <w:right w:val="single" w:sz="4" w:space="0" w:color="auto"/>
            </w:tcBorders>
            <w:vAlign w:val="center"/>
            <w:hideMark/>
          </w:tcPr>
          <w:p w14:paraId="4F731C56"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w:t>
            </w:r>
          </w:p>
        </w:tc>
        <w:tc>
          <w:tcPr>
            <w:tcW w:w="1817" w:type="dxa"/>
            <w:vMerge w:val="restart"/>
            <w:tcBorders>
              <w:top w:val="nil"/>
              <w:left w:val="single" w:sz="4" w:space="0" w:color="auto"/>
              <w:bottom w:val="single" w:sz="4" w:space="0" w:color="auto"/>
              <w:right w:val="single" w:sz="4" w:space="0" w:color="auto"/>
            </w:tcBorders>
            <w:vAlign w:val="center"/>
            <w:hideMark/>
          </w:tcPr>
          <w:p w14:paraId="0E12EDBB"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80</w:t>
            </w:r>
          </w:p>
        </w:tc>
      </w:tr>
      <w:tr w:rsidR="003174CD" w14:paraId="66CFF8BC" w14:textId="77777777" w:rsidTr="006361C5">
        <w:trPr>
          <w:trHeight w:val="259"/>
        </w:trPr>
        <w:tc>
          <w:tcPr>
            <w:tcW w:w="3375" w:type="dxa"/>
            <w:tcBorders>
              <w:top w:val="nil"/>
              <w:left w:val="single" w:sz="4" w:space="0" w:color="auto"/>
              <w:bottom w:val="nil"/>
              <w:right w:val="nil"/>
            </w:tcBorders>
            <w:vAlign w:val="center"/>
            <w:hideMark/>
          </w:tcPr>
          <w:p w14:paraId="79A034B8" w14:textId="77777777" w:rsidR="00F913F3" w:rsidRDefault="00F913F3">
            <w:pPr>
              <w:rPr>
                <w:rFonts w:ascii="Montserrat" w:hAnsi="Montserrat"/>
                <w:color w:val="000000"/>
                <w:sz w:val="14"/>
                <w:szCs w:val="14"/>
              </w:rPr>
            </w:pPr>
            <w:r>
              <w:rPr>
                <w:rFonts w:ascii="Montserrat" w:hAnsi="Montserrat"/>
                <w:color w:val="000000"/>
                <w:sz w:val="14"/>
                <w:szCs w:val="14"/>
              </w:rPr>
              <w:t>Fiji Green Finance</w:t>
            </w:r>
          </w:p>
        </w:tc>
        <w:tc>
          <w:tcPr>
            <w:tcW w:w="2988" w:type="dxa"/>
            <w:vMerge/>
            <w:tcBorders>
              <w:top w:val="nil"/>
              <w:left w:val="single" w:sz="4" w:space="0" w:color="auto"/>
              <w:bottom w:val="single" w:sz="4" w:space="0" w:color="auto"/>
              <w:right w:val="single" w:sz="4" w:space="0" w:color="auto"/>
            </w:tcBorders>
            <w:vAlign w:val="center"/>
            <w:hideMark/>
          </w:tcPr>
          <w:p w14:paraId="12135DA6"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0BFC64E0"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6CB6A85C"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3665BA19"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7A1217A"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B8E41B3"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1B7B5DF3" w14:textId="77777777" w:rsidR="00F913F3" w:rsidRDefault="00F913F3">
            <w:pPr>
              <w:rPr>
                <w:rFonts w:ascii="Montserrat" w:hAnsi="Montserrat"/>
                <w:color w:val="000000"/>
                <w:sz w:val="14"/>
                <w:szCs w:val="14"/>
              </w:rPr>
            </w:pPr>
          </w:p>
        </w:tc>
      </w:tr>
      <w:tr w:rsidR="003174CD" w14:paraId="39C963A1" w14:textId="77777777" w:rsidTr="006361C5">
        <w:trPr>
          <w:trHeight w:val="259"/>
        </w:trPr>
        <w:tc>
          <w:tcPr>
            <w:tcW w:w="3375" w:type="dxa"/>
            <w:tcBorders>
              <w:top w:val="single" w:sz="4" w:space="0" w:color="auto"/>
              <w:left w:val="single" w:sz="4" w:space="0" w:color="auto"/>
              <w:bottom w:val="single" w:sz="4" w:space="0" w:color="auto"/>
              <w:right w:val="single" w:sz="4" w:space="0" w:color="auto"/>
            </w:tcBorders>
            <w:vAlign w:val="center"/>
            <w:hideMark/>
          </w:tcPr>
          <w:p w14:paraId="1921B609"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nil"/>
              <w:bottom w:val="single" w:sz="4" w:space="0" w:color="auto"/>
              <w:right w:val="single" w:sz="4" w:space="0" w:color="auto"/>
            </w:tcBorders>
            <w:vAlign w:val="center"/>
            <w:hideMark/>
          </w:tcPr>
          <w:p w14:paraId="3D5141D3"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employees reached directly through client advisory services</w:t>
            </w:r>
          </w:p>
        </w:tc>
        <w:tc>
          <w:tcPr>
            <w:tcW w:w="1931" w:type="dxa"/>
            <w:tcBorders>
              <w:top w:val="nil"/>
              <w:left w:val="nil"/>
              <w:bottom w:val="single" w:sz="4" w:space="0" w:color="auto"/>
              <w:right w:val="single" w:sz="4" w:space="0" w:color="auto"/>
            </w:tcBorders>
            <w:vAlign w:val="center"/>
            <w:hideMark/>
          </w:tcPr>
          <w:p w14:paraId="71570B3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4,500</w:t>
            </w:r>
          </w:p>
        </w:tc>
        <w:tc>
          <w:tcPr>
            <w:tcW w:w="1327" w:type="dxa"/>
            <w:tcBorders>
              <w:top w:val="nil"/>
              <w:left w:val="nil"/>
              <w:bottom w:val="single" w:sz="4" w:space="0" w:color="auto"/>
              <w:right w:val="single" w:sz="4" w:space="0" w:color="auto"/>
            </w:tcBorders>
            <w:vAlign w:val="center"/>
            <w:hideMark/>
          </w:tcPr>
          <w:p w14:paraId="3356862A"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43,488</w:t>
            </w:r>
          </w:p>
        </w:tc>
        <w:tc>
          <w:tcPr>
            <w:tcW w:w="1422" w:type="dxa"/>
            <w:tcBorders>
              <w:top w:val="nil"/>
              <w:left w:val="nil"/>
              <w:bottom w:val="single" w:sz="4" w:space="0" w:color="auto"/>
              <w:right w:val="single" w:sz="4" w:space="0" w:color="auto"/>
            </w:tcBorders>
            <w:vAlign w:val="center"/>
            <w:hideMark/>
          </w:tcPr>
          <w:p w14:paraId="1965C7DC"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1,155</w:t>
            </w:r>
          </w:p>
        </w:tc>
        <w:tc>
          <w:tcPr>
            <w:tcW w:w="1440" w:type="dxa"/>
            <w:tcBorders>
              <w:top w:val="nil"/>
              <w:left w:val="nil"/>
              <w:bottom w:val="single" w:sz="4" w:space="0" w:color="auto"/>
              <w:right w:val="single" w:sz="4" w:space="0" w:color="auto"/>
            </w:tcBorders>
            <w:vAlign w:val="center"/>
            <w:hideMark/>
          </w:tcPr>
          <w:p w14:paraId="70B10B26"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5305B4E7"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44,643</w:t>
            </w:r>
          </w:p>
        </w:tc>
        <w:tc>
          <w:tcPr>
            <w:tcW w:w="1817" w:type="dxa"/>
            <w:tcBorders>
              <w:top w:val="nil"/>
              <w:left w:val="nil"/>
              <w:bottom w:val="single" w:sz="4" w:space="0" w:color="auto"/>
              <w:right w:val="single" w:sz="4" w:space="0" w:color="auto"/>
            </w:tcBorders>
            <w:vAlign w:val="center"/>
            <w:hideMark/>
          </w:tcPr>
          <w:p w14:paraId="1CF9E4C0"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0154A398" w14:textId="77777777" w:rsidTr="006361C5">
        <w:trPr>
          <w:trHeight w:val="259"/>
        </w:trPr>
        <w:tc>
          <w:tcPr>
            <w:tcW w:w="3375" w:type="dxa"/>
            <w:tcBorders>
              <w:top w:val="nil"/>
              <w:left w:val="single" w:sz="4" w:space="0" w:color="auto"/>
              <w:bottom w:val="nil"/>
              <w:right w:val="nil"/>
            </w:tcBorders>
            <w:vAlign w:val="center"/>
            <w:hideMark/>
          </w:tcPr>
          <w:p w14:paraId="7460BA5B"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single" w:sz="4" w:space="0" w:color="auto"/>
              <w:bottom w:val="single" w:sz="4" w:space="0" w:color="auto"/>
              <w:right w:val="single" w:sz="4" w:space="0" w:color="auto"/>
            </w:tcBorders>
            <w:vAlign w:val="center"/>
            <w:hideMark/>
          </w:tcPr>
          <w:p w14:paraId="3DDA3C61"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employees (female) reached directly through client advisory services</w:t>
            </w:r>
          </w:p>
        </w:tc>
        <w:tc>
          <w:tcPr>
            <w:tcW w:w="1931" w:type="dxa"/>
            <w:tcBorders>
              <w:top w:val="nil"/>
              <w:left w:val="nil"/>
              <w:bottom w:val="single" w:sz="4" w:space="0" w:color="auto"/>
              <w:right w:val="single" w:sz="4" w:space="0" w:color="auto"/>
            </w:tcBorders>
            <w:vAlign w:val="center"/>
            <w:hideMark/>
          </w:tcPr>
          <w:p w14:paraId="784B30DF"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1,350</w:t>
            </w:r>
          </w:p>
        </w:tc>
        <w:tc>
          <w:tcPr>
            <w:tcW w:w="1327" w:type="dxa"/>
            <w:tcBorders>
              <w:top w:val="nil"/>
              <w:left w:val="nil"/>
              <w:bottom w:val="single" w:sz="4" w:space="0" w:color="auto"/>
              <w:right w:val="single" w:sz="4" w:space="0" w:color="auto"/>
            </w:tcBorders>
            <w:vAlign w:val="center"/>
            <w:hideMark/>
          </w:tcPr>
          <w:p w14:paraId="779EE0D5"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2,807</w:t>
            </w:r>
          </w:p>
        </w:tc>
        <w:tc>
          <w:tcPr>
            <w:tcW w:w="1422" w:type="dxa"/>
            <w:tcBorders>
              <w:top w:val="nil"/>
              <w:left w:val="nil"/>
              <w:bottom w:val="single" w:sz="4" w:space="0" w:color="auto"/>
              <w:right w:val="single" w:sz="4" w:space="0" w:color="auto"/>
            </w:tcBorders>
            <w:vAlign w:val="center"/>
            <w:hideMark/>
          </w:tcPr>
          <w:p w14:paraId="2524351B"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484</w:t>
            </w:r>
          </w:p>
        </w:tc>
        <w:tc>
          <w:tcPr>
            <w:tcW w:w="1440" w:type="dxa"/>
            <w:tcBorders>
              <w:top w:val="nil"/>
              <w:left w:val="nil"/>
              <w:bottom w:val="single" w:sz="4" w:space="0" w:color="auto"/>
              <w:right w:val="single" w:sz="4" w:space="0" w:color="auto"/>
            </w:tcBorders>
            <w:vAlign w:val="center"/>
            <w:hideMark/>
          </w:tcPr>
          <w:p w14:paraId="79160BAC"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5DCAAE88"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3,291</w:t>
            </w:r>
          </w:p>
        </w:tc>
        <w:tc>
          <w:tcPr>
            <w:tcW w:w="1817" w:type="dxa"/>
            <w:tcBorders>
              <w:top w:val="nil"/>
              <w:left w:val="nil"/>
              <w:bottom w:val="single" w:sz="4" w:space="0" w:color="auto"/>
              <w:right w:val="single" w:sz="4" w:space="0" w:color="auto"/>
            </w:tcBorders>
            <w:vAlign w:val="center"/>
            <w:hideMark/>
          </w:tcPr>
          <w:p w14:paraId="43968AB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314F535F" w14:textId="77777777" w:rsidTr="006361C5">
        <w:trPr>
          <w:trHeight w:val="259"/>
        </w:trPr>
        <w:tc>
          <w:tcPr>
            <w:tcW w:w="3375" w:type="dxa"/>
            <w:tcBorders>
              <w:top w:val="single" w:sz="4" w:space="0" w:color="auto"/>
              <w:left w:val="single" w:sz="4" w:space="0" w:color="auto"/>
              <w:bottom w:val="single" w:sz="4" w:space="0" w:color="auto"/>
              <w:right w:val="single" w:sz="4" w:space="0" w:color="auto"/>
            </w:tcBorders>
            <w:vAlign w:val="center"/>
            <w:hideMark/>
          </w:tcPr>
          <w:p w14:paraId="52B53117"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nil"/>
              <w:bottom w:val="single" w:sz="4" w:space="0" w:color="auto"/>
              <w:right w:val="single" w:sz="4" w:space="0" w:color="auto"/>
            </w:tcBorders>
            <w:vAlign w:val="center"/>
            <w:hideMark/>
          </w:tcPr>
          <w:p w14:paraId="0C2928B5"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entities adopting a policy to support employees facing violence</w:t>
            </w:r>
          </w:p>
        </w:tc>
        <w:tc>
          <w:tcPr>
            <w:tcW w:w="1931" w:type="dxa"/>
            <w:tcBorders>
              <w:top w:val="nil"/>
              <w:left w:val="nil"/>
              <w:bottom w:val="single" w:sz="4" w:space="0" w:color="auto"/>
              <w:right w:val="single" w:sz="4" w:space="0" w:color="auto"/>
            </w:tcBorders>
            <w:vAlign w:val="center"/>
            <w:hideMark/>
          </w:tcPr>
          <w:p w14:paraId="220B6A11"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3</w:t>
            </w:r>
          </w:p>
        </w:tc>
        <w:tc>
          <w:tcPr>
            <w:tcW w:w="1327" w:type="dxa"/>
            <w:tcBorders>
              <w:top w:val="nil"/>
              <w:left w:val="nil"/>
              <w:bottom w:val="single" w:sz="4" w:space="0" w:color="auto"/>
              <w:right w:val="single" w:sz="4" w:space="0" w:color="auto"/>
            </w:tcBorders>
            <w:vAlign w:val="center"/>
            <w:hideMark/>
          </w:tcPr>
          <w:p w14:paraId="2AF0DE80"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2</w:t>
            </w:r>
          </w:p>
        </w:tc>
        <w:tc>
          <w:tcPr>
            <w:tcW w:w="1422" w:type="dxa"/>
            <w:tcBorders>
              <w:top w:val="nil"/>
              <w:left w:val="nil"/>
              <w:bottom w:val="single" w:sz="4" w:space="0" w:color="auto"/>
              <w:right w:val="single" w:sz="4" w:space="0" w:color="auto"/>
            </w:tcBorders>
            <w:vAlign w:val="center"/>
            <w:hideMark/>
          </w:tcPr>
          <w:p w14:paraId="7594A38C"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440" w:type="dxa"/>
            <w:tcBorders>
              <w:top w:val="nil"/>
              <w:left w:val="nil"/>
              <w:bottom w:val="single" w:sz="4" w:space="0" w:color="auto"/>
              <w:right w:val="single" w:sz="4" w:space="0" w:color="auto"/>
            </w:tcBorders>
            <w:vAlign w:val="center"/>
            <w:hideMark/>
          </w:tcPr>
          <w:p w14:paraId="625323E6"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2A951A14"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3</w:t>
            </w:r>
          </w:p>
        </w:tc>
        <w:tc>
          <w:tcPr>
            <w:tcW w:w="1817" w:type="dxa"/>
            <w:tcBorders>
              <w:top w:val="nil"/>
              <w:left w:val="nil"/>
              <w:bottom w:val="single" w:sz="4" w:space="0" w:color="auto"/>
              <w:right w:val="single" w:sz="4" w:space="0" w:color="auto"/>
            </w:tcBorders>
            <w:vAlign w:val="center"/>
            <w:hideMark/>
          </w:tcPr>
          <w:p w14:paraId="35163DD8"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380A3BC2" w14:textId="77777777" w:rsidTr="006361C5">
        <w:trPr>
          <w:trHeight w:val="259"/>
        </w:trPr>
        <w:tc>
          <w:tcPr>
            <w:tcW w:w="3375" w:type="dxa"/>
            <w:tcBorders>
              <w:top w:val="nil"/>
              <w:left w:val="single" w:sz="4" w:space="0" w:color="auto"/>
              <w:bottom w:val="nil"/>
              <w:right w:val="nil"/>
            </w:tcBorders>
            <w:vAlign w:val="center"/>
            <w:hideMark/>
          </w:tcPr>
          <w:p w14:paraId="536A946D"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single" w:sz="4" w:space="0" w:color="auto"/>
              <w:bottom w:val="single" w:sz="4" w:space="0" w:color="auto"/>
              <w:right w:val="single" w:sz="4" w:space="0" w:color="auto"/>
            </w:tcBorders>
            <w:vAlign w:val="center"/>
            <w:hideMark/>
          </w:tcPr>
          <w:p w14:paraId="3ACD0E90"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entities developing action plan to put childcare assessment result into practice</w:t>
            </w:r>
          </w:p>
        </w:tc>
        <w:tc>
          <w:tcPr>
            <w:tcW w:w="1931" w:type="dxa"/>
            <w:tcBorders>
              <w:top w:val="nil"/>
              <w:left w:val="nil"/>
              <w:bottom w:val="single" w:sz="4" w:space="0" w:color="auto"/>
              <w:right w:val="single" w:sz="4" w:space="0" w:color="auto"/>
            </w:tcBorders>
            <w:vAlign w:val="center"/>
            <w:hideMark/>
          </w:tcPr>
          <w:p w14:paraId="67B4728B"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5</w:t>
            </w:r>
          </w:p>
        </w:tc>
        <w:tc>
          <w:tcPr>
            <w:tcW w:w="1327" w:type="dxa"/>
            <w:tcBorders>
              <w:top w:val="nil"/>
              <w:left w:val="nil"/>
              <w:bottom w:val="single" w:sz="4" w:space="0" w:color="auto"/>
              <w:right w:val="single" w:sz="4" w:space="0" w:color="auto"/>
            </w:tcBorders>
            <w:vAlign w:val="center"/>
            <w:hideMark/>
          </w:tcPr>
          <w:p w14:paraId="109B1C3C"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5</w:t>
            </w:r>
          </w:p>
        </w:tc>
        <w:tc>
          <w:tcPr>
            <w:tcW w:w="1422" w:type="dxa"/>
            <w:tcBorders>
              <w:top w:val="nil"/>
              <w:left w:val="nil"/>
              <w:bottom w:val="single" w:sz="4" w:space="0" w:color="auto"/>
              <w:right w:val="single" w:sz="4" w:space="0" w:color="auto"/>
            </w:tcBorders>
            <w:vAlign w:val="center"/>
            <w:hideMark/>
          </w:tcPr>
          <w:p w14:paraId="2996E631"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440" w:type="dxa"/>
            <w:tcBorders>
              <w:top w:val="nil"/>
              <w:left w:val="nil"/>
              <w:bottom w:val="single" w:sz="4" w:space="0" w:color="auto"/>
              <w:right w:val="single" w:sz="4" w:space="0" w:color="auto"/>
            </w:tcBorders>
            <w:vAlign w:val="center"/>
            <w:hideMark/>
          </w:tcPr>
          <w:p w14:paraId="1D09A8B7"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169A2FD4"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6</w:t>
            </w:r>
          </w:p>
        </w:tc>
        <w:tc>
          <w:tcPr>
            <w:tcW w:w="1817" w:type="dxa"/>
            <w:tcBorders>
              <w:top w:val="nil"/>
              <w:left w:val="nil"/>
              <w:bottom w:val="single" w:sz="4" w:space="0" w:color="auto"/>
              <w:right w:val="single" w:sz="4" w:space="0" w:color="auto"/>
            </w:tcBorders>
            <w:vAlign w:val="center"/>
            <w:hideMark/>
          </w:tcPr>
          <w:p w14:paraId="3429861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02EE4331" w14:textId="77777777" w:rsidTr="006361C5">
        <w:trPr>
          <w:trHeight w:val="259"/>
        </w:trPr>
        <w:tc>
          <w:tcPr>
            <w:tcW w:w="3375" w:type="dxa"/>
            <w:tcBorders>
              <w:top w:val="single" w:sz="4" w:space="0" w:color="auto"/>
              <w:left w:val="single" w:sz="4" w:space="0" w:color="auto"/>
              <w:bottom w:val="single" w:sz="4" w:space="0" w:color="auto"/>
              <w:right w:val="single" w:sz="4" w:space="0" w:color="auto"/>
            </w:tcBorders>
            <w:vAlign w:val="center"/>
            <w:hideMark/>
          </w:tcPr>
          <w:p w14:paraId="0EE25000"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nil"/>
              <w:bottom w:val="single" w:sz="4" w:space="0" w:color="auto"/>
              <w:right w:val="single" w:sz="4" w:space="0" w:color="auto"/>
            </w:tcBorders>
            <w:vAlign w:val="center"/>
            <w:hideMark/>
          </w:tcPr>
          <w:p w14:paraId="1B23CF64" w14:textId="77777777" w:rsidR="00F913F3" w:rsidRDefault="00F913F3">
            <w:pPr>
              <w:rPr>
                <w:rFonts w:ascii="Montserrat" w:hAnsi="Montserrat"/>
                <w:color w:val="000000"/>
                <w:sz w:val="14"/>
                <w:szCs w:val="14"/>
              </w:rPr>
            </w:pPr>
            <w:r>
              <w:rPr>
                <w:rFonts w:ascii="Montserrat" w:hAnsi="Montserrat"/>
                <w:color w:val="000000"/>
                <w:sz w:val="14"/>
                <w:szCs w:val="14"/>
                <w:lang w:val="en-AU"/>
              </w:rPr>
              <w:t xml:space="preserve">Number of partnerships for GBV and childcare action established </w:t>
            </w:r>
          </w:p>
        </w:tc>
        <w:tc>
          <w:tcPr>
            <w:tcW w:w="1931" w:type="dxa"/>
            <w:tcBorders>
              <w:top w:val="nil"/>
              <w:left w:val="nil"/>
              <w:bottom w:val="single" w:sz="4" w:space="0" w:color="auto"/>
              <w:right w:val="single" w:sz="4" w:space="0" w:color="auto"/>
            </w:tcBorders>
            <w:vAlign w:val="center"/>
            <w:hideMark/>
          </w:tcPr>
          <w:p w14:paraId="47D7FC6E"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327" w:type="dxa"/>
            <w:tcBorders>
              <w:top w:val="nil"/>
              <w:left w:val="nil"/>
              <w:bottom w:val="single" w:sz="4" w:space="0" w:color="auto"/>
              <w:right w:val="single" w:sz="4" w:space="0" w:color="auto"/>
            </w:tcBorders>
            <w:vAlign w:val="center"/>
            <w:hideMark/>
          </w:tcPr>
          <w:p w14:paraId="43FBDE47"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422" w:type="dxa"/>
            <w:tcBorders>
              <w:top w:val="nil"/>
              <w:left w:val="nil"/>
              <w:bottom w:val="single" w:sz="4" w:space="0" w:color="auto"/>
              <w:right w:val="single" w:sz="4" w:space="0" w:color="auto"/>
            </w:tcBorders>
            <w:vAlign w:val="center"/>
            <w:hideMark/>
          </w:tcPr>
          <w:p w14:paraId="308B2D3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6652BEF8"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0F751314"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817" w:type="dxa"/>
            <w:tcBorders>
              <w:top w:val="nil"/>
              <w:left w:val="nil"/>
              <w:bottom w:val="single" w:sz="4" w:space="0" w:color="auto"/>
              <w:right w:val="single" w:sz="4" w:space="0" w:color="auto"/>
            </w:tcBorders>
            <w:vAlign w:val="center"/>
            <w:hideMark/>
          </w:tcPr>
          <w:p w14:paraId="196997B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1C315D7D" w14:textId="77777777" w:rsidTr="006361C5">
        <w:trPr>
          <w:trHeight w:val="259"/>
        </w:trPr>
        <w:tc>
          <w:tcPr>
            <w:tcW w:w="3375" w:type="dxa"/>
            <w:tcBorders>
              <w:top w:val="nil"/>
              <w:left w:val="single" w:sz="4" w:space="0" w:color="auto"/>
              <w:bottom w:val="nil"/>
              <w:right w:val="nil"/>
            </w:tcBorders>
            <w:vAlign w:val="center"/>
            <w:hideMark/>
          </w:tcPr>
          <w:p w14:paraId="102FA4D9"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single" w:sz="4" w:space="0" w:color="auto"/>
              <w:bottom w:val="single" w:sz="4" w:space="0" w:color="auto"/>
              <w:right w:val="single" w:sz="4" w:space="0" w:color="auto"/>
            </w:tcBorders>
            <w:vAlign w:val="center"/>
            <w:hideMark/>
          </w:tcPr>
          <w:p w14:paraId="0ED3DFC1"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people reached by IFC partners/clients</w:t>
            </w:r>
          </w:p>
        </w:tc>
        <w:tc>
          <w:tcPr>
            <w:tcW w:w="1931" w:type="dxa"/>
            <w:tcBorders>
              <w:top w:val="nil"/>
              <w:left w:val="nil"/>
              <w:bottom w:val="single" w:sz="4" w:space="0" w:color="auto"/>
              <w:right w:val="single" w:sz="4" w:space="0" w:color="auto"/>
            </w:tcBorders>
            <w:vAlign w:val="center"/>
            <w:hideMark/>
          </w:tcPr>
          <w:p w14:paraId="713BB2CF"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3,000</w:t>
            </w:r>
          </w:p>
        </w:tc>
        <w:tc>
          <w:tcPr>
            <w:tcW w:w="1327" w:type="dxa"/>
            <w:tcBorders>
              <w:top w:val="nil"/>
              <w:left w:val="nil"/>
              <w:bottom w:val="single" w:sz="4" w:space="0" w:color="auto"/>
              <w:right w:val="single" w:sz="4" w:space="0" w:color="auto"/>
            </w:tcBorders>
            <w:vAlign w:val="center"/>
            <w:hideMark/>
          </w:tcPr>
          <w:p w14:paraId="1A47A088"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8,606</w:t>
            </w:r>
          </w:p>
        </w:tc>
        <w:tc>
          <w:tcPr>
            <w:tcW w:w="1422" w:type="dxa"/>
            <w:tcBorders>
              <w:top w:val="nil"/>
              <w:left w:val="nil"/>
              <w:bottom w:val="single" w:sz="4" w:space="0" w:color="auto"/>
              <w:right w:val="single" w:sz="4" w:space="0" w:color="auto"/>
            </w:tcBorders>
            <w:vAlign w:val="center"/>
            <w:hideMark/>
          </w:tcPr>
          <w:p w14:paraId="48E63DE0"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43E08441"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173E8F34"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8,606</w:t>
            </w:r>
          </w:p>
        </w:tc>
        <w:tc>
          <w:tcPr>
            <w:tcW w:w="1817" w:type="dxa"/>
            <w:tcBorders>
              <w:top w:val="nil"/>
              <w:left w:val="nil"/>
              <w:bottom w:val="single" w:sz="4" w:space="0" w:color="auto"/>
              <w:right w:val="single" w:sz="4" w:space="0" w:color="auto"/>
            </w:tcBorders>
            <w:vAlign w:val="center"/>
            <w:hideMark/>
          </w:tcPr>
          <w:p w14:paraId="56086C58"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4BD8B786" w14:textId="77777777" w:rsidTr="006361C5">
        <w:trPr>
          <w:trHeight w:val="259"/>
        </w:trPr>
        <w:tc>
          <w:tcPr>
            <w:tcW w:w="3375" w:type="dxa"/>
            <w:tcBorders>
              <w:top w:val="single" w:sz="4" w:space="0" w:color="auto"/>
              <w:left w:val="single" w:sz="4" w:space="0" w:color="auto"/>
              <w:bottom w:val="single" w:sz="4" w:space="0" w:color="auto"/>
              <w:right w:val="single" w:sz="4" w:space="0" w:color="auto"/>
            </w:tcBorders>
            <w:vAlign w:val="center"/>
            <w:hideMark/>
          </w:tcPr>
          <w:p w14:paraId="317D50B8"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tcBorders>
              <w:top w:val="nil"/>
              <w:left w:val="nil"/>
              <w:bottom w:val="single" w:sz="4" w:space="0" w:color="auto"/>
              <w:right w:val="single" w:sz="4" w:space="0" w:color="auto"/>
            </w:tcBorders>
            <w:vAlign w:val="center"/>
            <w:hideMark/>
          </w:tcPr>
          <w:p w14:paraId="2F8E6E4C"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entities receiving advisory services</w:t>
            </w:r>
          </w:p>
        </w:tc>
        <w:tc>
          <w:tcPr>
            <w:tcW w:w="1931" w:type="dxa"/>
            <w:tcBorders>
              <w:top w:val="nil"/>
              <w:left w:val="nil"/>
              <w:bottom w:val="single" w:sz="4" w:space="0" w:color="auto"/>
              <w:right w:val="single" w:sz="4" w:space="0" w:color="auto"/>
            </w:tcBorders>
            <w:vAlign w:val="center"/>
            <w:hideMark/>
          </w:tcPr>
          <w:p w14:paraId="062A3015"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50</w:t>
            </w:r>
          </w:p>
        </w:tc>
        <w:tc>
          <w:tcPr>
            <w:tcW w:w="1327" w:type="dxa"/>
            <w:tcBorders>
              <w:top w:val="nil"/>
              <w:left w:val="nil"/>
              <w:bottom w:val="single" w:sz="4" w:space="0" w:color="auto"/>
              <w:right w:val="single" w:sz="4" w:space="0" w:color="auto"/>
            </w:tcBorders>
            <w:vAlign w:val="center"/>
            <w:hideMark/>
          </w:tcPr>
          <w:p w14:paraId="1B833A45"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109</w:t>
            </w:r>
          </w:p>
        </w:tc>
        <w:tc>
          <w:tcPr>
            <w:tcW w:w="1422" w:type="dxa"/>
            <w:tcBorders>
              <w:top w:val="nil"/>
              <w:left w:val="nil"/>
              <w:bottom w:val="single" w:sz="4" w:space="0" w:color="auto"/>
              <w:right w:val="single" w:sz="4" w:space="0" w:color="auto"/>
            </w:tcBorders>
            <w:vAlign w:val="center"/>
            <w:hideMark/>
          </w:tcPr>
          <w:p w14:paraId="145F3C17"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440" w:type="dxa"/>
            <w:tcBorders>
              <w:top w:val="nil"/>
              <w:left w:val="nil"/>
              <w:bottom w:val="single" w:sz="4" w:space="0" w:color="auto"/>
              <w:right w:val="single" w:sz="4" w:space="0" w:color="auto"/>
            </w:tcBorders>
            <w:vAlign w:val="center"/>
            <w:hideMark/>
          </w:tcPr>
          <w:p w14:paraId="2490FBB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6915B8FA"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109</w:t>
            </w:r>
          </w:p>
        </w:tc>
        <w:tc>
          <w:tcPr>
            <w:tcW w:w="1817" w:type="dxa"/>
            <w:tcBorders>
              <w:top w:val="nil"/>
              <w:left w:val="nil"/>
              <w:bottom w:val="single" w:sz="4" w:space="0" w:color="auto"/>
              <w:right w:val="single" w:sz="4" w:space="0" w:color="auto"/>
            </w:tcBorders>
            <w:vAlign w:val="center"/>
            <w:hideMark/>
          </w:tcPr>
          <w:p w14:paraId="016647AF"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2172E956" w14:textId="77777777" w:rsidTr="006361C5">
        <w:trPr>
          <w:trHeight w:val="259"/>
        </w:trPr>
        <w:tc>
          <w:tcPr>
            <w:tcW w:w="3375" w:type="dxa"/>
            <w:tcBorders>
              <w:top w:val="nil"/>
              <w:left w:val="single" w:sz="4" w:space="0" w:color="auto"/>
              <w:bottom w:val="nil"/>
              <w:right w:val="single" w:sz="4" w:space="0" w:color="auto"/>
            </w:tcBorders>
            <w:vAlign w:val="center"/>
            <w:hideMark/>
          </w:tcPr>
          <w:p w14:paraId="5A8B96A6"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vMerge w:val="restart"/>
            <w:tcBorders>
              <w:top w:val="nil"/>
              <w:left w:val="single" w:sz="4" w:space="0" w:color="auto"/>
              <w:bottom w:val="single" w:sz="4" w:space="0" w:color="auto"/>
              <w:right w:val="single" w:sz="4" w:space="0" w:color="auto"/>
            </w:tcBorders>
            <w:vAlign w:val="center"/>
            <w:hideMark/>
          </w:tcPr>
          <w:p w14:paraId="381F3226" w14:textId="77777777" w:rsidR="00F913F3" w:rsidRDefault="00F913F3">
            <w:pPr>
              <w:rPr>
                <w:rFonts w:ascii="Montserrat" w:hAnsi="Montserrat"/>
                <w:color w:val="000000"/>
                <w:sz w:val="14"/>
                <w:szCs w:val="14"/>
              </w:rPr>
            </w:pPr>
            <w:r>
              <w:rPr>
                <w:rFonts w:ascii="Montserrat" w:hAnsi="Montserrat"/>
                <w:color w:val="000000"/>
                <w:sz w:val="14"/>
                <w:szCs w:val="14"/>
                <w:lang w:val="en-AU"/>
              </w:rPr>
              <w:t>Number of entities receiving in-depth advisory services</w:t>
            </w:r>
          </w:p>
        </w:tc>
        <w:tc>
          <w:tcPr>
            <w:tcW w:w="1931" w:type="dxa"/>
            <w:vMerge w:val="restart"/>
            <w:tcBorders>
              <w:top w:val="nil"/>
              <w:left w:val="single" w:sz="4" w:space="0" w:color="auto"/>
              <w:bottom w:val="single" w:sz="4" w:space="0" w:color="auto"/>
              <w:right w:val="single" w:sz="4" w:space="0" w:color="auto"/>
            </w:tcBorders>
            <w:vAlign w:val="center"/>
            <w:hideMark/>
          </w:tcPr>
          <w:p w14:paraId="1FD3BF76"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18</w:t>
            </w:r>
          </w:p>
        </w:tc>
        <w:tc>
          <w:tcPr>
            <w:tcW w:w="1327" w:type="dxa"/>
            <w:vMerge w:val="restart"/>
            <w:tcBorders>
              <w:top w:val="nil"/>
              <w:left w:val="single" w:sz="4" w:space="0" w:color="auto"/>
              <w:bottom w:val="single" w:sz="4" w:space="0" w:color="auto"/>
              <w:right w:val="single" w:sz="4" w:space="0" w:color="auto"/>
            </w:tcBorders>
            <w:vAlign w:val="center"/>
            <w:hideMark/>
          </w:tcPr>
          <w:p w14:paraId="1964DBAD"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11</w:t>
            </w:r>
          </w:p>
        </w:tc>
        <w:tc>
          <w:tcPr>
            <w:tcW w:w="1422" w:type="dxa"/>
            <w:vMerge w:val="restart"/>
            <w:tcBorders>
              <w:top w:val="nil"/>
              <w:left w:val="single" w:sz="4" w:space="0" w:color="auto"/>
              <w:bottom w:val="single" w:sz="4" w:space="0" w:color="auto"/>
              <w:right w:val="single" w:sz="4" w:space="0" w:color="auto"/>
            </w:tcBorders>
            <w:vAlign w:val="center"/>
            <w:hideMark/>
          </w:tcPr>
          <w:p w14:paraId="4D4C2C1A"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7</w:t>
            </w:r>
          </w:p>
        </w:tc>
        <w:tc>
          <w:tcPr>
            <w:tcW w:w="1440" w:type="dxa"/>
            <w:vMerge w:val="restart"/>
            <w:tcBorders>
              <w:top w:val="nil"/>
              <w:left w:val="single" w:sz="4" w:space="0" w:color="auto"/>
              <w:bottom w:val="single" w:sz="4" w:space="0" w:color="auto"/>
              <w:right w:val="single" w:sz="4" w:space="0" w:color="auto"/>
            </w:tcBorders>
            <w:vAlign w:val="center"/>
            <w:hideMark/>
          </w:tcPr>
          <w:p w14:paraId="7E44BA62"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w:t>
            </w:r>
          </w:p>
        </w:tc>
        <w:tc>
          <w:tcPr>
            <w:tcW w:w="1062" w:type="dxa"/>
            <w:vMerge w:val="restart"/>
            <w:tcBorders>
              <w:top w:val="nil"/>
              <w:left w:val="single" w:sz="4" w:space="0" w:color="auto"/>
              <w:bottom w:val="single" w:sz="4" w:space="0" w:color="auto"/>
              <w:right w:val="single" w:sz="4" w:space="0" w:color="auto"/>
            </w:tcBorders>
            <w:vAlign w:val="center"/>
            <w:hideMark/>
          </w:tcPr>
          <w:p w14:paraId="2DAF32BF"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19</w:t>
            </w:r>
          </w:p>
        </w:tc>
        <w:tc>
          <w:tcPr>
            <w:tcW w:w="1817" w:type="dxa"/>
            <w:vMerge w:val="restart"/>
            <w:tcBorders>
              <w:top w:val="nil"/>
              <w:left w:val="single" w:sz="4" w:space="0" w:color="auto"/>
              <w:bottom w:val="single" w:sz="4" w:space="0" w:color="auto"/>
              <w:right w:val="single" w:sz="4" w:space="0" w:color="auto"/>
            </w:tcBorders>
            <w:vAlign w:val="center"/>
            <w:hideMark/>
          </w:tcPr>
          <w:p w14:paraId="353A87A7"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3523ECF1" w14:textId="77777777" w:rsidTr="006361C5">
        <w:trPr>
          <w:trHeight w:val="259"/>
        </w:trPr>
        <w:tc>
          <w:tcPr>
            <w:tcW w:w="3375" w:type="dxa"/>
            <w:tcBorders>
              <w:top w:val="nil"/>
              <w:left w:val="single" w:sz="4" w:space="0" w:color="auto"/>
              <w:bottom w:val="nil"/>
              <w:right w:val="single" w:sz="4" w:space="0" w:color="auto"/>
            </w:tcBorders>
            <w:vAlign w:val="center"/>
            <w:hideMark/>
          </w:tcPr>
          <w:p w14:paraId="19EA4F43" w14:textId="77777777" w:rsidR="00F913F3" w:rsidRDefault="00F913F3">
            <w:pPr>
              <w:rPr>
                <w:rFonts w:ascii="Montserrat" w:hAnsi="Montserrat"/>
                <w:color w:val="000000"/>
                <w:sz w:val="14"/>
                <w:szCs w:val="14"/>
              </w:rPr>
            </w:pPr>
            <w:r>
              <w:rPr>
                <w:rFonts w:ascii="Montserrat" w:hAnsi="Montserrat"/>
                <w:color w:val="000000"/>
                <w:sz w:val="14"/>
                <w:szCs w:val="14"/>
              </w:rPr>
              <w:t>Advance2Equal</w:t>
            </w:r>
          </w:p>
        </w:tc>
        <w:tc>
          <w:tcPr>
            <w:tcW w:w="2988" w:type="dxa"/>
            <w:vMerge/>
            <w:tcBorders>
              <w:top w:val="nil"/>
              <w:left w:val="single" w:sz="4" w:space="0" w:color="auto"/>
              <w:bottom w:val="single" w:sz="4" w:space="0" w:color="auto"/>
              <w:right w:val="single" w:sz="4" w:space="0" w:color="auto"/>
            </w:tcBorders>
            <w:vAlign w:val="center"/>
            <w:hideMark/>
          </w:tcPr>
          <w:p w14:paraId="4CEF7C21"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1A79E012"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5095E376"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2144064D"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9B2890B"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6140595D"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7CB133FA" w14:textId="77777777" w:rsidR="00F913F3" w:rsidRDefault="00F913F3">
            <w:pPr>
              <w:rPr>
                <w:rFonts w:ascii="Montserrat" w:hAnsi="Montserrat"/>
                <w:color w:val="000000"/>
                <w:sz w:val="14"/>
                <w:szCs w:val="14"/>
              </w:rPr>
            </w:pPr>
          </w:p>
        </w:tc>
      </w:tr>
      <w:tr w:rsidR="003174CD" w14:paraId="465F35AF" w14:textId="77777777" w:rsidTr="006361C5">
        <w:trPr>
          <w:trHeight w:val="259"/>
        </w:trPr>
        <w:tc>
          <w:tcPr>
            <w:tcW w:w="3375" w:type="dxa"/>
            <w:tcBorders>
              <w:top w:val="nil"/>
              <w:left w:val="single" w:sz="4" w:space="0" w:color="auto"/>
              <w:bottom w:val="single" w:sz="4" w:space="0" w:color="auto"/>
              <w:right w:val="single" w:sz="4" w:space="0" w:color="auto"/>
            </w:tcBorders>
            <w:vAlign w:val="center"/>
            <w:hideMark/>
          </w:tcPr>
          <w:p w14:paraId="2396DD61" w14:textId="77777777" w:rsidR="00F913F3" w:rsidRDefault="00F913F3">
            <w:pPr>
              <w:rPr>
                <w:rFonts w:ascii="Montserrat" w:hAnsi="Montserrat"/>
                <w:color w:val="000000"/>
                <w:sz w:val="14"/>
                <w:szCs w:val="14"/>
              </w:rPr>
            </w:pPr>
            <w:r>
              <w:rPr>
                <w:rFonts w:ascii="Montserrat" w:hAnsi="Montserrat"/>
                <w:color w:val="000000"/>
                <w:sz w:val="14"/>
                <w:szCs w:val="14"/>
              </w:rPr>
              <w:t>Pacific Integrated ESG</w:t>
            </w:r>
          </w:p>
        </w:tc>
        <w:tc>
          <w:tcPr>
            <w:tcW w:w="2988" w:type="dxa"/>
            <w:vMerge/>
            <w:tcBorders>
              <w:top w:val="nil"/>
              <w:left w:val="single" w:sz="4" w:space="0" w:color="auto"/>
              <w:bottom w:val="single" w:sz="4" w:space="0" w:color="auto"/>
              <w:right w:val="single" w:sz="4" w:space="0" w:color="auto"/>
            </w:tcBorders>
            <w:vAlign w:val="center"/>
            <w:hideMark/>
          </w:tcPr>
          <w:p w14:paraId="6DB79BAA"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37DBC943"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05C4D69A"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6B697B74"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8B2031B"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702E0749"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30DA6B9D" w14:textId="77777777" w:rsidR="00F913F3" w:rsidRDefault="00F913F3">
            <w:pPr>
              <w:rPr>
                <w:rFonts w:ascii="Montserrat" w:hAnsi="Montserrat"/>
                <w:color w:val="000000"/>
                <w:sz w:val="14"/>
                <w:szCs w:val="14"/>
              </w:rPr>
            </w:pPr>
          </w:p>
        </w:tc>
      </w:tr>
      <w:tr w:rsidR="003174CD" w14:paraId="0B52C558" w14:textId="77777777" w:rsidTr="006361C5">
        <w:trPr>
          <w:trHeight w:val="259"/>
        </w:trPr>
        <w:tc>
          <w:tcPr>
            <w:tcW w:w="3375" w:type="dxa"/>
            <w:tcBorders>
              <w:top w:val="nil"/>
              <w:left w:val="single" w:sz="4" w:space="0" w:color="auto"/>
              <w:bottom w:val="nil"/>
              <w:right w:val="nil"/>
            </w:tcBorders>
            <w:vAlign w:val="center"/>
            <w:hideMark/>
          </w:tcPr>
          <w:p w14:paraId="0505DF67" w14:textId="77777777" w:rsidR="00F913F3" w:rsidRDefault="00F913F3">
            <w:pPr>
              <w:rPr>
                <w:rFonts w:ascii="Montserrat" w:hAnsi="Montserrat"/>
                <w:color w:val="000000"/>
                <w:sz w:val="14"/>
                <w:szCs w:val="14"/>
              </w:rPr>
            </w:pPr>
            <w:r>
              <w:rPr>
                <w:rFonts w:ascii="Montserrat" w:hAnsi="Montserrat"/>
                <w:color w:val="000000"/>
                <w:sz w:val="14"/>
                <w:szCs w:val="14"/>
                <w:lang w:val="en-AU"/>
              </w:rPr>
              <w:t>Fiji Winvest</w:t>
            </w:r>
          </w:p>
        </w:tc>
        <w:tc>
          <w:tcPr>
            <w:tcW w:w="2988" w:type="dxa"/>
            <w:vMerge w:val="restart"/>
            <w:tcBorders>
              <w:top w:val="nil"/>
              <w:left w:val="single" w:sz="4" w:space="0" w:color="auto"/>
              <w:bottom w:val="single" w:sz="4" w:space="0" w:color="auto"/>
              <w:right w:val="single" w:sz="4" w:space="0" w:color="auto"/>
            </w:tcBorders>
            <w:vAlign w:val="center"/>
            <w:hideMark/>
          </w:tcPr>
          <w:p w14:paraId="4D582A64" w14:textId="77777777" w:rsidR="00F913F3" w:rsidRDefault="00F913F3">
            <w:pPr>
              <w:rPr>
                <w:rFonts w:ascii="Montserrat" w:hAnsi="Montserrat"/>
                <w:color w:val="000000"/>
                <w:sz w:val="14"/>
                <w:szCs w:val="14"/>
              </w:rPr>
            </w:pPr>
            <w:r>
              <w:rPr>
                <w:rFonts w:ascii="Montserrat" w:hAnsi="Montserrat"/>
                <w:color w:val="000000"/>
                <w:sz w:val="14"/>
                <w:szCs w:val="14"/>
                <w:lang w:val="en-AU"/>
              </w:rPr>
              <w:t xml:space="preserve">Number of workshops, training events, seminars, conferences, etc. </w:t>
            </w:r>
          </w:p>
        </w:tc>
        <w:tc>
          <w:tcPr>
            <w:tcW w:w="1931" w:type="dxa"/>
            <w:vMerge w:val="restart"/>
            <w:tcBorders>
              <w:top w:val="nil"/>
              <w:left w:val="single" w:sz="4" w:space="0" w:color="auto"/>
              <w:bottom w:val="single" w:sz="4" w:space="0" w:color="auto"/>
              <w:right w:val="single" w:sz="4" w:space="0" w:color="auto"/>
            </w:tcBorders>
            <w:vAlign w:val="center"/>
            <w:hideMark/>
          </w:tcPr>
          <w:p w14:paraId="4A5F0C1A"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76</w:t>
            </w:r>
          </w:p>
        </w:tc>
        <w:tc>
          <w:tcPr>
            <w:tcW w:w="1327" w:type="dxa"/>
            <w:vMerge w:val="restart"/>
            <w:tcBorders>
              <w:top w:val="nil"/>
              <w:left w:val="single" w:sz="4" w:space="0" w:color="auto"/>
              <w:bottom w:val="single" w:sz="4" w:space="0" w:color="auto"/>
              <w:right w:val="single" w:sz="4" w:space="0" w:color="auto"/>
            </w:tcBorders>
            <w:vAlign w:val="center"/>
            <w:hideMark/>
          </w:tcPr>
          <w:p w14:paraId="3B60301D"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45</w:t>
            </w:r>
          </w:p>
        </w:tc>
        <w:tc>
          <w:tcPr>
            <w:tcW w:w="1422" w:type="dxa"/>
            <w:vMerge w:val="restart"/>
            <w:tcBorders>
              <w:top w:val="nil"/>
              <w:left w:val="single" w:sz="4" w:space="0" w:color="auto"/>
              <w:bottom w:val="single" w:sz="4" w:space="0" w:color="auto"/>
              <w:right w:val="single" w:sz="4" w:space="0" w:color="auto"/>
            </w:tcBorders>
            <w:vAlign w:val="center"/>
            <w:hideMark/>
          </w:tcPr>
          <w:p w14:paraId="7422AD3C"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34</w:t>
            </w:r>
          </w:p>
        </w:tc>
        <w:tc>
          <w:tcPr>
            <w:tcW w:w="1440" w:type="dxa"/>
            <w:vMerge w:val="restart"/>
            <w:tcBorders>
              <w:top w:val="nil"/>
              <w:left w:val="single" w:sz="4" w:space="0" w:color="auto"/>
              <w:bottom w:val="single" w:sz="4" w:space="0" w:color="auto"/>
              <w:right w:val="single" w:sz="4" w:space="0" w:color="auto"/>
            </w:tcBorders>
            <w:vAlign w:val="center"/>
            <w:hideMark/>
          </w:tcPr>
          <w:p w14:paraId="715CDBCB"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7</w:t>
            </w:r>
          </w:p>
        </w:tc>
        <w:tc>
          <w:tcPr>
            <w:tcW w:w="1062" w:type="dxa"/>
            <w:vMerge w:val="restart"/>
            <w:tcBorders>
              <w:top w:val="nil"/>
              <w:left w:val="single" w:sz="4" w:space="0" w:color="auto"/>
              <w:bottom w:val="single" w:sz="4" w:space="0" w:color="auto"/>
              <w:right w:val="single" w:sz="4" w:space="0" w:color="auto"/>
            </w:tcBorders>
            <w:vAlign w:val="center"/>
            <w:hideMark/>
          </w:tcPr>
          <w:p w14:paraId="1268E479"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86</w:t>
            </w:r>
          </w:p>
        </w:tc>
        <w:tc>
          <w:tcPr>
            <w:tcW w:w="1817" w:type="dxa"/>
            <w:vMerge w:val="restart"/>
            <w:tcBorders>
              <w:top w:val="nil"/>
              <w:left w:val="single" w:sz="4" w:space="0" w:color="auto"/>
              <w:bottom w:val="single" w:sz="4" w:space="0" w:color="auto"/>
              <w:right w:val="single" w:sz="4" w:space="0" w:color="auto"/>
            </w:tcBorders>
            <w:vAlign w:val="center"/>
            <w:hideMark/>
          </w:tcPr>
          <w:p w14:paraId="5D11B4D2" w14:textId="77777777" w:rsidR="00F913F3" w:rsidRDefault="00F913F3">
            <w:pPr>
              <w:jc w:val="right"/>
              <w:rPr>
                <w:rFonts w:ascii="Montserrat" w:hAnsi="Montserrat"/>
                <w:color w:val="000000"/>
                <w:sz w:val="14"/>
                <w:szCs w:val="14"/>
              </w:rPr>
            </w:pPr>
            <w:r>
              <w:rPr>
                <w:rFonts w:ascii="Montserrat" w:hAnsi="Montserrat"/>
                <w:color w:val="000000"/>
                <w:sz w:val="14"/>
                <w:szCs w:val="14"/>
                <w:lang w:val="en-AU"/>
              </w:rPr>
              <w:t>Achieved</w:t>
            </w:r>
          </w:p>
        </w:tc>
      </w:tr>
      <w:tr w:rsidR="003174CD" w14:paraId="5EABBDC9" w14:textId="77777777" w:rsidTr="006361C5">
        <w:trPr>
          <w:trHeight w:val="259"/>
        </w:trPr>
        <w:tc>
          <w:tcPr>
            <w:tcW w:w="3375" w:type="dxa"/>
            <w:tcBorders>
              <w:top w:val="nil"/>
              <w:left w:val="single" w:sz="4" w:space="0" w:color="auto"/>
              <w:bottom w:val="nil"/>
              <w:right w:val="nil"/>
            </w:tcBorders>
            <w:vAlign w:val="center"/>
            <w:hideMark/>
          </w:tcPr>
          <w:p w14:paraId="73CB2B68" w14:textId="77777777" w:rsidR="00F913F3" w:rsidRDefault="00F913F3">
            <w:pPr>
              <w:rPr>
                <w:rFonts w:ascii="Montserrat" w:hAnsi="Montserrat"/>
                <w:color w:val="000000"/>
                <w:sz w:val="14"/>
                <w:szCs w:val="14"/>
              </w:rPr>
            </w:pPr>
            <w:r>
              <w:rPr>
                <w:rFonts w:ascii="Montserrat" w:hAnsi="Montserrat"/>
                <w:color w:val="000000"/>
                <w:sz w:val="14"/>
                <w:szCs w:val="14"/>
              </w:rPr>
              <w:t>Advance2Equal</w:t>
            </w:r>
          </w:p>
        </w:tc>
        <w:tc>
          <w:tcPr>
            <w:tcW w:w="2988" w:type="dxa"/>
            <w:vMerge/>
            <w:tcBorders>
              <w:top w:val="nil"/>
              <w:left w:val="single" w:sz="4" w:space="0" w:color="auto"/>
              <w:bottom w:val="single" w:sz="4" w:space="0" w:color="auto"/>
              <w:right w:val="single" w:sz="4" w:space="0" w:color="auto"/>
            </w:tcBorders>
            <w:vAlign w:val="center"/>
            <w:hideMark/>
          </w:tcPr>
          <w:p w14:paraId="544D1A02"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2CEBA7DA"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679329F7"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13BDC56B"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724B67CB"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51D9D35A"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2C8E003C" w14:textId="77777777" w:rsidR="00F913F3" w:rsidRDefault="00F913F3">
            <w:pPr>
              <w:rPr>
                <w:rFonts w:ascii="Montserrat" w:hAnsi="Montserrat"/>
                <w:color w:val="000000"/>
                <w:sz w:val="14"/>
                <w:szCs w:val="14"/>
              </w:rPr>
            </w:pPr>
          </w:p>
        </w:tc>
      </w:tr>
      <w:tr w:rsidR="003174CD" w14:paraId="25EB2744" w14:textId="77777777" w:rsidTr="006361C5">
        <w:trPr>
          <w:trHeight w:val="259"/>
        </w:trPr>
        <w:tc>
          <w:tcPr>
            <w:tcW w:w="3375" w:type="dxa"/>
            <w:tcBorders>
              <w:top w:val="nil"/>
              <w:left w:val="single" w:sz="4" w:space="0" w:color="auto"/>
              <w:bottom w:val="nil"/>
              <w:right w:val="nil"/>
            </w:tcBorders>
            <w:vAlign w:val="center"/>
            <w:hideMark/>
          </w:tcPr>
          <w:p w14:paraId="5D80B3D4" w14:textId="77777777" w:rsidR="00F913F3" w:rsidRDefault="00F913F3">
            <w:pPr>
              <w:rPr>
                <w:rFonts w:ascii="Montserrat" w:hAnsi="Montserrat"/>
                <w:color w:val="000000"/>
                <w:sz w:val="14"/>
                <w:szCs w:val="14"/>
              </w:rPr>
            </w:pPr>
            <w:r>
              <w:rPr>
                <w:rFonts w:ascii="Montserrat" w:hAnsi="Montserrat"/>
                <w:color w:val="000000"/>
                <w:sz w:val="14"/>
                <w:szCs w:val="14"/>
              </w:rPr>
              <w:t>Pacific Integrated ESG</w:t>
            </w:r>
          </w:p>
        </w:tc>
        <w:tc>
          <w:tcPr>
            <w:tcW w:w="2988" w:type="dxa"/>
            <w:vMerge/>
            <w:tcBorders>
              <w:top w:val="nil"/>
              <w:left w:val="single" w:sz="4" w:space="0" w:color="auto"/>
              <w:bottom w:val="single" w:sz="4" w:space="0" w:color="auto"/>
              <w:right w:val="single" w:sz="4" w:space="0" w:color="auto"/>
            </w:tcBorders>
            <w:vAlign w:val="center"/>
            <w:hideMark/>
          </w:tcPr>
          <w:p w14:paraId="2D7FB18B"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16CB000F"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04CDFBC5"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6D407082"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5C29110D"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2E801A3B"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037B229A" w14:textId="77777777" w:rsidR="00F913F3" w:rsidRDefault="00F913F3">
            <w:pPr>
              <w:rPr>
                <w:rFonts w:ascii="Montserrat" w:hAnsi="Montserrat"/>
                <w:color w:val="000000"/>
                <w:sz w:val="14"/>
                <w:szCs w:val="14"/>
              </w:rPr>
            </w:pPr>
          </w:p>
        </w:tc>
      </w:tr>
      <w:tr w:rsidR="003174CD" w14:paraId="4C7532B5" w14:textId="77777777" w:rsidTr="006361C5">
        <w:trPr>
          <w:trHeight w:val="259"/>
        </w:trPr>
        <w:tc>
          <w:tcPr>
            <w:tcW w:w="3375" w:type="dxa"/>
            <w:tcBorders>
              <w:top w:val="nil"/>
              <w:left w:val="single" w:sz="4" w:space="0" w:color="auto"/>
              <w:bottom w:val="nil"/>
              <w:right w:val="nil"/>
            </w:tcBorders>
            <w:vAlign w:val="center"/>
            <w:hideMark/>
          </w:tcPr>
          <w:p w14:paraId="6325B286" w14:textId="77777777" w:rsidR="00F913F3" w:rsidRDefault="00F913F3">
            <w:pPr>
              <w:rPr>
                <w:rFonts w:ascii="Montserrat" w:hAnsi="Montserrat"/>
                <w:color w:val="000000"/>
                <w:sz w:val="14"/>
                <w:szCs w:val="14"/>
              </w:rPr>
            </w:pPr>
            <w:r>
              <w:rPr>
                <w:rFonts w:ascii="Montserrat" w:hAnsi="Montserrat"/>
                <w:color w:val="000000"/>
                <w:sz w:val="14"/>
                <w:szCs w:val="14"/>
              </w:rPr>
              <w:t>Fiji Sustainable Tourism</w:t>
            </w:r>
          </w:p>
        </w:tc>
        <w:tc>
          <w:tcPr>
            <w:tcW w:w="2988" w:type="dxa"/>
            <w:vMerge/>
            <w:tcBorders>
              <w:top w:val="nil"/>
              <w:left w:val="single" w:sz="4" w:space="0" w:color="auto"/>
              <w:bottom w:val="single" w:sz="4" w:space="0" w:color="auto"/>
              <w:right w:val="single" w:sz="4" w:space="0" w:color="auto"/>
            </w:tcBorders>
            <w:vAlign w:val="center"/>
            <w:hideMark/>
          </w:tcPr>
          <w:p w14:paraId="383EAAA7"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572598B1"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585F97D7"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6650EF44"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49F7ED94"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4762137E"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1892A29D" w14:textId="77777777" w:rsidR="00F913F3" w:rsidRDefault="00F913F3">
            <w:pPr>
              <w:rPr>
                <w:rFonts w:ascii="Montserrat" w:hAnsi="Montserrat"/>
                <w:color w:val="000000"/>
                <w:sz w:val="14"/>
                <w:szCs w:val="14"/>
              </w:rPr>
            </w:pPr>
          </w:p>
        </w:tc>
      </w:tr>
      <w:tr w:rsidR="003174CD" w14:paraId="11861626" w14:textId="77777777" w:rsidTr="006361C5">
        <w:trPr>
          <w:trHeight w:val="259"/>
        </w:trPr>
        <w:tc>
          <w:tcPr>
            <w:tcW w:w="3375" w:type="dxa"/>
            <w:tcBorders>
              <w:top w:val="nil"/>
              <w:left w:val="single" w:sz="4" w:space="0" w:color="auto"/>
              <w:bottom w:val="single" w:sz="4" w:space="0" w:color="auto"/>
              <w:right w:val="nil"/>
            </w:tcBorders>
            <w:vAlign w:val="center"/>
            <w:hideMark/>
          </w:tcPr>
          <w:p w14:paraId="09983BE1" w14:textId="77777777" w:rsidR="00F913F3" w:rsidRDefault="00F913F3">
            <w:pPr>
              <w:rPr>
                <w:rFonts w:ascii="Montserrat" w:hAnsi="Montserrat"/>
                <w:color w:val="000000"/>
                <w:sz w:val="14"/>
                <w:szCs w:val="14"/>
              </w:rPr>
            </w:pPr>
            <w:r>
              <w:rPr>
                <w:rFonts w:ascii="Montserrat" w:hAnsi="Montserrat"/>
                <w:color w:val="000000"/>
                <w:sz w:val="14"/>
                <w:szCs w:val="14"/>
              </w:rPr>
              <w:t xml:space="preserve">Fiji Green Finance </w:t>
            </w:r>
          </w:p>
        </w:tc>
        <w:tc>
          <w:tcPr>
            <w:tcW w:w="2988" w:type="dxa"/>
            <w:vMerge/>
            <w:tcBorders>
              <w:top w:val="nil"/>
              <w:left w:val="single" w:sz="4" w:space="0" w:color="auto"/>
              <w:bottom w:val="single" w:sz="4" w:space="0" w:color="auto"/>
              <w:right w:val="single" w:sz="4" w:space="0" w:color="auto"/>
            </w:tcBorders>
            <w:vAlign w:val="center"/>
            <w:hideMark/>
          </w:tcPr>
          <w:p w14:paraId="303DCC5B" w14:textId="77777777" w:rsidR="00F913F3" w:rsidRDefault="00F913F3">
            <w:pPr>
              <w:rPr>
                <w:rFonts w:ascii="Montserrat" w:hAnsi="Montserrat"/>
                <w:color w:val="000000"/>
                <w:sz w:val="14"/>
                <w:szCs w:val="14"/>
              </w:rPr>
            </w:pPr>
          </w:p>
        </w:tc>
        <w:tc>
          <w:tcPr>
            <w:tcW w:w="1931" w:type="dxa"/>
            <w:vMerge/>
            <w:tcBorders>
              <w:top w:val="nil"/>
              <w:left w:val="single" w:sz="4" w:space="0" w:color="auto"/>
              <w:bottom w:val="single" w:sz="4" w:space="0" w:color="auto"/>
              <w:right w:val="single" w:sz="4" w:space="0" w:color="auto"/>
            </w:tcBorders>
            <w:vAlign w:val="center"/>
            <w:hideMark/>
          </w:tcPr>
          <w:p w14:paraId="4DD57994" w14:textId="77777777" w:rsidR="00F913F3" w:rsidRDefault="00F913F3">
            <w:pPr>
              <w:rPr>
                <w:rFonts w:ascii="Montserrat" w:hAnsi="Montserrat"/>
                <w:color w:val="000000"/>
                <w:sz w:val="14"/>
                <w:szCs w:val="14"/>
              </w:rPr>
            </w:pPr>
          </w:p>
        </w:tc>
        <w:tc>
          <w:tcPr>
            <w:tcW w:w="1327" w:type="dxa"/>
            <w:vMerge/>
            <w:tcBorders>
              <w:top w:val="nil"/>
              <w:left w:val="single" w:sz="4" w:space="0" w:color="auto"/>
              <w:bottom w:val="single" w:sz="4" w:space="0" w:color="auto"/>
              <w:right w:val="single" w:sz="4" w:space="0" w:color="auto"/>
            </w:tcBorders>
            <w:vAlign w:val="center"/>
            <w:hideMark/>
          </w:tcPr>
          <w:p w14:paraId="11A5F74A" w14:textId="77777777" w:rsidR="00F913F3" w:rsidRDefault="00F913F3">
            <w:pPr>
              <w:rPr>
                <w:rFonts w:ascii="Montserrat" w:hAnsi="Montserrat"/>
                <w:color w:val="000000"/>
                <w:sz w:val="14"/>
                <w:szCs w:val="14"/>
              </w:rPr>
            </w:pPr>
          </w:p>
        </w:tc>
        <w:tc>
          <w:tcPr>
            <w:tcW w:w="1422" w:type="dxa"/>
            <w:vMerge/>
            <w:tcBorders>
              <w:top w:val="nil"/>
              <w:left w:val="single" w:sz="4" w:space="0" w:color="auto"/>
              <w:bottom w:val="single" w:sz="4" w:space="0" w:color="auto"/>
              <w:right w:val="single" w:sz="4" w:space="0" w:color="auto"/>
            </w:tcBorders>
            <w:vAlign w:val="center"/>
            <w:hideMark/>
          </w:tcPr>
          <w:p w14:paraId="270C812A" w14:textId="77777777" w:rsidR="00F913F3" w:rsidRDefault="00F913F3">
            <w:pPr>
              <w:rPr>
                <w:rFonts w:ascii="Montserrat" w:hAnsi="Montserrat"/>
                <w:color w:val="000000"/>
                <w:sz w:val="14"/>
                <w:szCs w:val="14"/>
              </w:rPr>
            </w:pPr>
          </w:p>
        </w:tc>
        <w:tc>
          <w:tcPr>
            <w:tcW w:w="1440" w:type="dxa"/>
            <w:vMerge/>
            <w:tcBorders>
              <w:top w:val="nil"/>
              <w:left w:val="single" w:sz="4" w:space="0" w:color="auto"/>
              <w:bottom w:val="single" w:sz="4" w:space="0" w:color="auto"/>
              <w:right w:val="single" w:sz="4" w:space="0" w:color="auto"/>
            </w:tcBorders>
            <w:vAlign w:val="center"/>
            <w:hideMark/>
          </w:tcPr>
          <w:p w14:paraId="25C3F356" w14:textId="77777777" w:rsidR="00F913F3" w:rsidRDefault="00F913F3">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695B043B" w14:textId="77777777" w:rsidR="00F913F3" w:rsidRDefault="00F913F3">
            <w:pPr>
              <w:rPr>
                <w:rFonts w:ascii="Montserrat" w:hAnsi="Montserrat"/>
                <w:color w:val="000000"/>
                <w:sz w:val="14"/>
                <w:szCs w:val="14"/>
              </w:rPr>
            </w:pPr>
          </w:p>
        </w:tc>
        <w:tc>
          <w:tcPr>
            <w:tcW w:w="1817" w:type="dxa"/>
            <w:vMerge/>
            <w:tcBorders>
              <w:top w:val="nil"/>
              <w:left w:val="single" w:sz="4" w:space="0" w:color="auto"/>
              <w:bottom w:val="single" w:sz="4" w:space="0" w:color="auto"/>
              <w:right w:val="single" w:sz="4" w:space="0" w:color="auto"/>
            </w:tcBorders>
            <w:vAlign w:val="center"/>
            <w:hideMark/>
          </w:tcPr>
          <w:p w14:paraId="63BE2B0A" w14:textId="77777777" w:rsidR="00F913F3" w:rsidRDefault="00F913F3">
            <w:pPr>
              <w:rPr>
                <w:rFonts w:ascii="Montserrat" w:hAnsi="Montserrat"/>
                <w:color w:val="000000"/>
                <w:sz w:val="14"/>
                <w:szCs w:val="14"/>
              </w:rPr>
            </w:pPr>
          </w:p>
        </w:tc>
      </w:tr>
    </w:tbl>
    <w:p w14:paraId="7096C938" w14:textId="77777777" w:rsidR="00552BF9" w:rsidRDefault="00552BF9"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p w14:paraId="0E0EE78E" w14:textId="77777777" w:rsidR="00634F75" w:rsidRDefault="00634F75"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p w14:paraId="67156C65" w14:textId="77777777" w:rsidR="00634F75" w:rsidRDefault="00634F75"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p w14:paraId="711C013F" w14:textId="77777777" w:rsidR="00634F75" w:rsidRDefault="00634F75"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p w14:paraId="00B465BF" w14:textId="77777777" w:rsidR="00634F75" w:rsidRPr="00A26E3C" w:rsidRDefault="00634F75"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tbl>
      <w:tblPr>
        <w:tblW w:w="15367" w:type="dxa"/>
        <w:tblInd w:w="-793" w:type="dxa"/>
        <w:tblLook w:val="04A0" w:firstRow="1" w:lastRow="0" w:firstColumn="1" w:lastColumn="0" w:noHBand="0" w:noVBand="1"/>
      </w:tblPr>
      <w:tblGrid>
        <w:gridCol w:w="3299"/>
        <w:gridCol w:w="3462"/>
        <w:gridCol w:w="1480"/>
        <w:gridCol w:w="1367"/>
        <w:gridCol w:w="1421"/>
        <w:gridCol w:w="1456"/>
        <w:gridCol w:w="1062"/>
        <w:gridCol w:w="1820"/>
      </w:tblGrid>
      <w:tr w:rsidR="00915EDE" w14:paraId="712D0CBB" w14:textId="77777777" w:rsidTr="00915EDE">
        <w:trPr>
          <w:trHeight w:val="665"/>
          <w:tblHeader/>
        </w:trPr>
        <w:tc>
          <w:tcPr>
            <w:tcW w:w="3299" w:type="dxa"/>
            <w:tcBorders>
              <w:top w:val="single" w:sz="4" w:space="0" w:color="auto"/>
              <w:left w:val="single" w:sz="4" w:space="0" w:color="auto"/>
              <w:bottom w:val="nil"/>
              <w:right w:val="single" w:sz="8" w:space="0" w:color="FFFFFF"/>
            </w:tcBorders>
            <w:shd w:val="clear" w:color="auto" w:fill="C1E4F5" w:themeFill="accent1" w:themeFillTint="33"/>
            <w:vAlign w:val="center"/>
            <w:hideMark/>
          </w:tcPr>
          <w:p w14:paraId="1AABDD14" w14:textId="77777777" w:rsidR="00915EDE" w:rsidRDefault="00915EDE">
            <w:pPr>
              <w:rPr>
                <w:rFonts w:ascii="Montserrat" w:hAnsi="Montserrat"/>
                <w:b/>
                <w:bCs/>
                <w:color w:val="000000"/>
                <w:sz w:val="14"/>
                <w:szCs w:val="14"/>
              </w:rPr>
            </w:pPr>
            <w:r>
              <w:rPr>
                <w:rFonts w:ascii="Montserrat" w:hAnsi="Montserrat"/>
                <w:b/>
                <w:bCs/>
                <w:color w:val="000000"/>
                <w:sz w:val="14"/>
                <w:szCs w:val="14"/>
                <w:lang w:val="en-AU"/>
              </w:rPr>
              <w:lastRenderedPageBreak/>
              <w:t xml:space="preserve">Portfolio projects with expected quantitative contributions to Partnership Pillar </w:t>
            </w:r>
            <w:r>
              <w:rPr>
                <w:rFonts w:ascii="Montserrat Medium" w:hAnsi="Montserrat Medium"/>
                <w:i/>
                <w:iCs/>
                <w:color w:val="000000"/>
                <w:sz w:val="14"/>
                <w:szCs w:val="14"/>
                <w:lang w:val="en-AU"/>
              </w:rPr>
              <w:t>(as per development outcome indicators at end-June 2024)</w:t>
            </w:r>
          </w:p>
        </w:tc>
        <w:tc>
          <w:tcPr>
            <w:tcW w:w="3462" w:type="dxa"/>
            <w:tcBorders>
              <w:top w:val="single" w:sz="4" w:space="0" w:color="auto"/>
              <w:left w:val="nil"/>
              <w:bottom w:val="nil"/>
              <w:right w:val="single" w:sz="8" w:space="0" w:color="FFFFFF"/>
            </w:tcBorders>
            <w:shd w:val="clear" w:color="auto" w:fill="C1E4F5" w:themeFill="accent1" w:themeFillTint="33"/>
            <w:vAlign w:val="center"/>
            <w:hideMark/>
          </w:tcPr>
          <w:p w14:paraId="4E4D009C" w14:textId="77226679" w:rsidR="00915EDE" w:rsidRDefault="00915EDE" w:rsidP="00915EDE">
            <w:pPr>
              <w:jc w:val="center"/>
              <w:rPr>
                <w:rFonts w:ascii="Montserrat" w:hAnsi="Montserrat"/>
                <w:b/>
                <w:bCs/>
                <w:color w:val="000000"/>
                <w:sz w:val="14"/>
                <w:szCs w:val="14"/>
              </w:rPr>
            </w:pPr>
            <w:r>
              <w:rPr>
                <w:rFonts w:ascii="Montserrat" w:hAnsi="Montserrat"/>
                <w:b/>
                <w:bCs/>
                <w:color w:val="000000"/>
                <w:sz w:val="14"/>
                <w:szCs w:val="14"/>
                <w:lang w:val="en-AU"/>
              </w:rPr>
              <w:t>Development</w:t>
            </w:r>
            <w:r>
              <w:rPr>
                <w:rFonts w:ascii="Montserrat" w:hAnsi="Montserrat"/>
                <w:b/>
                <w:bCs/>
                <w:color w:val="000000"/>
                <w:sz w:val="14"/>
                <w:szCs w:val="14"/>
              </w:rPr>
              <w:t xml:space="preserve"> outcome indicators</w:t>
            </w:r>
          </w:p>
        </w:tc>
        <w:tc>
          <w:tcPr>
            <w:tcW w:w="1480" w:type="dxa"/>
            <w:tcBorders>
              <w:top w:val="single" w:sz="4" w:space="0" w:color="auto"/>
              <w:left w:val="single" w:sz="8" w:space="0" w:color="FFFFFF"/>
              <w:bottom w:val="nil"/>
              <w:right w:val="single" w:sz="8" w:space="0" w:color="FFFFFF"/>
            </w:tcBorders>
            <w:shd w:val="clear" w:color="auto" w:fill="C1E4F5" w:themeFill="accent1" w:themeFillTint="33"/>
            <w:vAlign w:val="center"/>
            <w:hideMark/>
          </w:tcPr>
          <w:p w14:paraId="7B1D5149" w14:textId="77777777" w:rsidR="00915EDE" w:rsidRDefault="00915EDE">
            <w:pPr>
              <w:jc w:val="right"/>
              <w:rPr>
                <w:rFonts w:ascii="Montserrat" w:hAnsi="Montserrat"/>
                <w:b/>
                <w:bCs/>
                <w:color w:val="000000"/>
                <w:sz w:val="14"/>
                <w:szCs w:val="14"/>
              </w:rPr>
            </w:pPr>
            <w:r>
              <w:rPr>
                <w:rFonts w:ascii="Montserrat" w:hAnsi="Montserrat"/>
                <w:b/>
                <w:bCs/>
                <w:color w:val="000000"/>
                <w:sz w:val="14"/>
                <w:szCs w:val="14"/>
                <w:lang w:val="en-AU"/>
              </w:rPr>
              <w:t xml:space="preserve">Cumulative targets </w:t>
            </w:r>
          </w:p>
        </w:tc>
        <w:tc>
          <w:tcPr>
            <w:tcW w:w="1367" w:type="dxa"/>
            <w:tcBorders>
              <w:top w:val="single" w:sz="4" w:space="0" w:color="auto"/>
              <w:left w:val="single" w:sz="8" w:space="0" w:color="FFFFFF"/>
              <w:bottom w:val="nil"/>
              <w:right w:val="single" w:sz="8" w:space="0" w:color="FFFFFF"/>
            </w:tcBorders>
            <w:shd w:val="clear" w:color="auto" w:fill="C1E4F5" w:themeFill="accent1" w:themeFillTint="33"/>
            <w:vAlign w:val="center"/>
            <w:hideMark/>
          </w:tcPr>
          <w:p w14:paraId="2EC45DF3" w14:textId="77777777" w:rsidR="00915EDE" w:rsidRDefault="00915EDE">
            <w:pPr>
              <w:jc w:val="right"/>
              <w:rPr>
                <w:rFonts w:ascii="Montserrat" w:hAnsi="Montserrat"/>
                <w:b/>
                <w:bCs/>
                <w:color w:val="000000"/>
                <w:sz w:val="14"/>
                <w:szCs w:val="14"/>
              </w:rPr>
            </w:pPr>
            <w:r>
              <w:rPr>
                <w:rFonts w:ascii="Montserrat" w:hAnsi="Montserrat"/>
                <w:b/>
                <w:bCs/>
                <w:color w:val="000000"/>
                <w:sz w:val="14"/>
                <w:szCs w:val="14"/>
                <w:lang w:val="en-AU"/>
              </w:rPr>
              <w:t>Results achieved prior to Jan 2022</w:t>
            </w:r>
          </w:p>
        </w:tc>
        <w:tc>
          <w:tcPr>
            <w:tcW w:w="1421" w:type="dxa"/>
            <w:tcBorders>
              <w:top w:val="single" w:sz="4" w:space="0" w:color="auto"/>
              <w:left w:val="nil"/>
              <w:bottom w:val="nil"/>
              <w:right w:val="single" w:sz="8" w:space="0" w:color="FFFFFF"/>
            </w:tcBorders>
            <w:shd w:val="clear" w:color="auto" w:fill="C1E4F5" w:themeFill="accent1" w:themeFillTint="33"/>
            <w:vAlign w:val="center"/>
            <w:hideMark/>
          </w:tcPr>
          <w:p w14:paraId="3E54F3A4" w14:textId="7BBA518C" w:rsidR="00915EDE" w:rsidRDefault="00915EDE">
            <w:pPr>
              <w:jc w:val="right"/>
              <w:rPr>
                <w:rFonts w:ascii="Montserrat" w:hAnsi="Montserrat"/>
                <w:b/>
                <w:bCs/>
                <w:color w:val="000000"/>
                <w:sz w:val="14"/>
                <w:szCs w:val="14"/>
              </w:rPr>
            </w:pPr>
            <w:r>
              <w:rPr>
                <w:rFonts w:ascii="Montserrat" w:hAnsi="Montserrat"/>
                <w:b/>
                <w:bCs/>
                <w:color w:val="000000"/>
                <w:sz w:val="14"/>
                <w:szCs w:val="14"/>
                <w:lang w:val="en-AU"/>
              </w:rPr>
              <w:t xml:space="preserve">FPSDP Results achieved </w:t>
            </w:r>
            <w:r>
              <w:rPr>
                <w:rFonts w:ascii="Montserrat" w:hAnsi="Montserrat"/>
                <w:b/>
                <w:bCs/>
                <w:color w:val="000000"/>
                <w:sz w:val="14"/>
                <w:szCs w:val="14"/>
              </w:rPr>
              <w:t>Jan 2022 - Jun 2024</w:t>
            </w:r>
            <w:r>
              <w:rPr>
                <w:rFonts w:ascii="Montserrat" w:hAnsi="Montserrat"/>
                <w:b/>
                <w:bCs/>
                <w:color w:val="000000"/>
                <w:sz w:val="14"/>
                <w:szCs w:val="14"/>
                <w:lang w:val="en-AU"/>
              </w:rPr>
              <w:t xml:space="preserve">  </w:t>
            </w:r>
          </w:p>
        </w:tc>
        <w:tc>
          <w:tcPr>
            <w:tcW w:w="1456" w:type="dxa"/>
            <w:tcBorders>
              <w:top w:val="single" w:sz="4" w:space="0" w:color="auto"/>
              <w:left w:val="nil"/>
              <w:bottom w:val="nil"/>
              <w:right w:val="single" w:sz="8" w:space="0" w:color="FFFFFF"/>
            </w:tcBorders>
            <w:shd w:val="clear" w:color="auto" w:fill="C1E4F5" w:themeFill="accent1" w:themeFillTint="33"/>
            <w:vAlign w:val="center"/>
            <w:hideMark/>
          </w:tcPr>
          <w:p w14:paraId="5C13B58A" w14:textId="23D0743B" w:rsidR="00915EDE" w:rsidRDefault="00915EDE">
            <w:pPr>
              <w:jc w:val="right"/>
              <w:rPr>
                <w:rFonts w:ascii="Montserrat" w:hAnsi="Montserrat"/>
                <w:b/>
                <w:bCs/>
                <w:color w:val="000000"/>
                <w:sz w:val="14"/>
                <w:szCs w:val="14"/>
              </w:rPr>
            </w:pPr>
            <w:r>
              <w:rPr>
                <w:rFonts w:ascii="Montserrat" w:hAnsi="Montserrat"/>
                <w:b/>
                <w:bCs/>
                <w:color w:val="000000"/>
                <w:sz w:val="14"/>
                <w:szCs w:val="14"/>
                <w:lang w:val="en-AU"/>
              </w:rPr>
              <w:t xml:space="preserve">FPSDP Current results </w:t>
            </w:r>
            <w:r>
              <w:rPr>
                <w:rFonts w:ascii="Montserrat" w:hAnsi="Montserrat"/>
                <w:b/>
                <w:bCs/>
                <w:color w:val="000000"/>
                <w:sz w:val="14"/>
                <w:szCs w:val="14"/>
              </w:rPr>
              <w:t>Jul - Dec 2024</w:t>
            </w:r>
          </w:p>
        </w:tc>
        <w:tc>
          <w:tcPr>
            <w:tcW w:w="1062" w:type="dxa"/>
            <w:tcBorders>
              <w:top w:val="single" w:sz="4" w:space="0" w:color="auto"/>
              <w:left w:val="single" w:sz="8" w:space="0" w:color="FFFFFF"/>
              <w:bottom w:val="nil"/>
              <w:right w:val="single" w:sz="8" w:space="0" w:color="FFFFFF"/>
            </w:tcBorders>
            <w:shd w:val="clear" w:color="auto" w:fill="C1E4F5" w:themeFill="accent1" w:themeFillTint="33"/>
            <w:vAlign w:val="center"/>
            <w:hideMark/>
          </w:tcPr>
          <w:p w14:paraId="7B285C9A" w14:textId="77777777" w:rsidR="00915EDE" w:rsidRDefault="00915EDE">
            <w:pPr>
              <w:jc w:val="right"/>
              <w:rPr>
                <w:rFonts w:ascii="Montserrat" w:hAnsi="Montserrat"/>
                <w:b/>
                <w:bCs/>
                <w:color w:val="000000"/>
                <w:sz w:val="14"/>
                <w:szCs w:val="14"/>
              </w:rPr>
            </w:pPr>
            <w:r>
              <w:rPr>
                <w:rFonts w:ascii="Montserrat" w:hAnsi="Montserrat"/>
                <w:b/>
                <w:bCs/>
                <w:color w:val="000000"/>
                <w:sz w:val="14"/>
                <w:szCs w:val="14"/>
                <w:lang w:val="en-AU"/>
              </w:rPr>
              <w:t>Cumulative results</w:t>
            </w:r>
          </w:p>
        </w:tc>
        <w:tc>
          <w:tcPr>
            <w:tcW w:w="1820" w:type="dxa"/>
            <w:tcBorders>
              <w:top w:val="single" w:sz="4" w:space="0" w:color="auto"/>
              <w:left w:val="single" w:sz="8" w:space="0" w:color="FFFFFF"/>
              <w:bottom w:val="nil"/>
              <w:right w:val="single" w:sz="4" w:space="0" w:color="auto"/>
            </w:tcBorders>
            <w:shd w:val="clear" w:color="auto" w:fill="C1E4F5" w:themeFill="accent1" w:themeFillTint="33"/>
            <w:vAlign w:val="center"/>
            <w:hideMark/>
          </w:tcPr>
          <w:p w14:paraId="5675683F" w14:textId="77777777" w:rsidR="00915EDE" w:rsidRDefault="00915EDE">
            <w:pPr>
              <w:jc w:val="right"/>
              <w:rPr>
                <w:rFonts w:ascii="Montserrat" w:hAnsi="Montserrat"/>
                <w:b/>
                <w:bCs/>
                <w:color w:val="000000"/>
                <w:sz w:val="14"/>
                <w:szCs w:val="14"/>
              </w:rPr>
            </w:pPr>
            <w:r>
              <w:rPr>
                <w:rFonts w:ascii="Montserrat" w:hAnsi="Montserrat"/>
                <w:b/>
                <w:bCs/>
                <w:color w:val="000000"/>
                <w:sz w:val="14"/>
                <w:szCs w:val="14"/>
                <w:lang w:val="en-AU"/>
              </w:rPr>
              <w:t>% Cumulative results achieved against cumulative targets</w:t>
            </w:r>
          </w:p>
        </w:tc>
      </w:tr>
      <w:tr w:rsidR="00915EDE" w14:paraId="74D67936" w14:textId="77777777" w:rsidTr="00915EDE">
        <w:trPr>
          <w:trHeight w:val="259"/>
        </w:trPr>
        <w:tc>
          <w:tcPr>
            <w:tcW w:w="3299" w:type="dxa"/>
            <w:tcBorders>
              <w:top w:val="single" w:sz="4" w:space="0" w:color="auto"/>
              <w:left w:val="single" w:sz="4" w:space="0" w:color="auto"/>
              <w:bottom w:val="nil"/>
              <w:right w:val="single" w:sz="4" w:space="0" w:color="auto"/>
            </w:tcBorders>
            <w:vAlign w:val="center"/>
            <w:hideMark/>
          </w:tcPr>
          <w:p w14:paraId="4E03A52A" w14:textId="77777777" w:rsidR="00915EDE" w:rsidRDefault="00915EDE">
            <w:pPr>
              <w:rPr>
                <w:rFonts w:ascii="Montserrat" w:hAnsi="Montserrat"/>
                <w:color w:val="000000"/>
                <w:sz w:val="14"/>
                <w:szCs w:val="14"/>
              </w:rPr>
            </w:pPr>
            <w:r>
              <w:rPr>
                <w:rFonts w:ascii="Montserrat" w:hAnsi="Montserrat"/>
                <w:color w:val="000000"/>
                <w:sz w:val="14"/>
                <w:szCs w:val="14"/>
                <w:lang w:val="en-AU"/>
              </w:rPr>
              <w:t>Fiji Winvest</w:t>
            </w:r>
          </w:p>
        </w:tc>
        <w:tc>
          <w:tcPr>
            <w:tcW w:w="3462" w:type="dxa"/>
            <w:vMerge w:val="restart"/>
            <w:tcBorders>
              <w:top w:val="single" w:sz="4" w:space="0" w:color="auto"/>
              <w:left w:val="single" w:sz="4" w:space="0" w:color="auto"/>
              <w:bottom w:val="single" w:sz="4" w:space="0" w:color="auto"/>
              <w:right w:val="single" w:sz="4" w:space="0" w:color="auto"/>
            </w:tcBorders>
            <w:vAlign w:val="center"/>
            <w:hideMark/>
          </w:tcPr>
          <w:p w14:paraId="7CE422E8"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participants in workshops, training events, seminars, conferences, etc.</w:t>
            </w:r>
          </w:p>
        </w:tc>
        <w:tc>
          <w:tcPr>
            <w:tcW w:w="1480" w:type="dxa"/>
            <w:vMerge w:val="restart"/>
            <w:tcBorders>
              <w:top w:val="single" w:sz="4" w:space="0" w:color="auto"/>
              <w:left w:val="single" w:sz="4" w:space="0" w:color="auto"/>
              <w:bottom w:val="single" w:sz="4" w:space="0" w:color="auto"/>
              <w:right w:val="single" w:sz="4" w:space="0" w:color="auto"/>
            </w:tcBorders>
            <w:vAlign w:val="center"/>
            <w:hideMark/>
          </w:tcPr>
          <w:p w14:paraId="571C18A3"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615</w:t>
            </w:r>
          </w:p>
        </w:tc>
        <w:tc>
          <w:tcPr>
            <w:tcW w:w="1367" w:type="dxa"/>
            <w:vMerge w:val="restart"/>
            <w:tcBorders>
              <w:top w:val="single" w:sz="4" w:space="0" w:color="auto"/>
              <w:left w:val="single" w:sz="4" w:space="0" w:color="auto"/>
              <w:bottom w:val="single" w:sz="4" w:space="0" w:color="auto"/>
              <w:right w:val="single" w:sz="4" w:space="0" w:color="auto"/>
            </w:tcBorders>
            <w:vAlign w:val="center"/>
            <w:hideMark/>
          </w:tcPr>
          <w:p w14:paraId="6BEA16E1"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926</w:t>
            </w:r>
          </w:p>
        </w:tc>
        <w:tc>
          <w:tcPr>
            <w:tcW w:w="1421" w:type="dxa"/>
            <w:vMerge w:val="restart"/>
            <w:tcBorders>
              <w:top w:val="single" w:sz="4" w:space="0" w:color="auto"/>
              <w:left w:val="single" w:sz="4" w:space="0" w:color="auto"/>
              <w:bottom w:val="single" w:sz="4" w:space="0" w:color="auto"/>
              <w:right w:val="single" w:sz="4" w:space="0" w:color="auto"/>
            </w:tcBorders>
            <w:vAlign w:val="center"/>
            <w:hideMark/>
          </w:tcPr>
          <w:p w14:paraId="0E7CA4A3"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1,718</w:t>
            </w:r>
          </w:p>
        </w:tc>
        <w:tc>
          <w:tcPr>
            <w:tcW w:w="1456" w:type="dxa"/>
            <w:vMerge w:val="restart"/>
            <w:tcBorders>
              <w:top w:val="single" w:sz="4" w:space="0" w:color="auto"/>
              <w:left w:val="single" w:sz="4" w:space="0" w:color="auto"/>
              <w:bottom w:val="single" w:sz="4" w:space="0" w:color="auto"/>
              <w:right w:val="single" w:sz="4" w:space="0" w:color="auto"/>
            </w:tcBorders>
            <w:vAlign w:val="center"/>
            <w:hideMark/>
          </w:tcPr>
          <w:p w14:paraId="5EC4AE18"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126</w:t>
            </w:r>
          </w:p>
        </w:tc>
        <w:tc>
          <w:tcPr>
            <w:tcW w:w="1062" w:type="dxa"/>
            <w:vMerge w:val="restart"/>
            <w:tcBorders>
              <w:top w:val="single" w:sz="4" w:space="0" w:color="auto"/>
              <w:left w:val="single" w:sz="4" w:space="0" w:color="auto"/>
              <w:bottom w:val="single" w:sz="4" w:space="0" w:color="auto"/>
              <w:right w:val="single" w:sz="4" w:space="0" w:color="auto"/>
            </w:tcBorders>
            <w:vAlign w:val="center"/>
            <w:hideMark/>
          </w:tcPr>
          <w:p w14:paraId="3A57C75B"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2,770</w:t>
            </w:r>
          </w:p>
        </w:tc>
        <w:tc>
          <w:tcPr>
            <w:tcW w:w="1820" w:type="dxa"/>
            <w:vMerge w:val="restart"/>
            <w:tcBorders>
              <w:top w:val="single" w:sz="4" w:space="0" w:color="auto"/>
              <w:left w:val="single" w:sz="4" w:space="0" w:color="auto"/>
              <w:bottom w:val="single" w:sz="4" w:space="0" w:color="auto"/>
              <w:right w:val="single" w:sz="4" w:space="0" w:color="auto"/>
            </w:tcBorders>
            <w:vAlign w:val="center"/>
            <w:hideMark/>
          </w:tcPr>
          <w:p w14:paraId="5487B278"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Achieved</w:t>
            </w:r>
          </w:p>
        </w:tc>
      </w:tr>
      <w:tr w:rsidR="00915EDE" w14:paraId="7883A2A9" w14:textId="77777777" w:rsidTr="00915EDE">
        <w:trPr>
          <w:trHeight w:val="259"/>
        </w:trPr>
        <w:tc>
          <w:tcPr>
            <w:tcW w:w="3299" w:type="dxa"/>
            <w:tcBorders>
              <w:top w:val="nil"/>
              <w:left w:val="single" w:sz="4" w:space="0" w:color="auto"/>
              <w:bottom w:val="nil"/>
              <w:right w:val="single" w:sz="4" w:space="0" w:color="auto"/>
            </w:tcBorders>
            <w:vAlign w:val="center"/>
            <w:hideMark/>
          </w:tcPr>
          <w:p w14:paraId="5CAE4FCF" w14:textId="77777777" w:rsidR="00915EDE" w:rsidRDefault="00915EDE">
            <w:pPr>
              <w:rPr>
                <w:rFonts w:ascii="Montserrat" w:hAnsi="Montserrat"/>
                <w:color w:val="000000"/>
                <w:sz w:val="14"/>
                <w:szCs w:val="14"/>
              </w:rPr>
            </w:pPr>
            <w:r>
              <w:rPr>
                <w:rFonts w:ascii="Montserrat" w:hAnsi="Montserrat"/>
                <w:color w:val="000000"/>
                <w:sz w:val="14"/>
                <w:szCs w:val="14"/>
              </w:rPr>
              <w:t>Advance2Equal</w:t>
            </w:r>
          </w:p>
        </w:tc>
        <w:tc>
          <w:tcPr>
            <w:tcW w:w="3462" w:type="dxa"/>
            <w:vMerge/>
            <w:tcBorders>
              <w:top w:val="single" w:sz="4" w:space="0" w:color="auto"/>
              <w:left w:val="single" w:sz="4" w:space="0" w:color="auto"/>
              <w:bottom w:val="single" w:sz="4" w:space="0" w:color="auto"/>
              <w:right w:val="single" w:sz="4" w:space="0" w:color="auto"/>
            </w:tcBorders>
            <w:vAlign w:val="center"/>
            <w:hideMark/>
          </w:tcPr>
          <w:p w14:paraId="263897BC" w14:textId="77777777" w:rsidR="00915EDE" w:rsidRDefault="00915EDE">
            <w:pPr>
              <w:rPr>
                <w:rFonts w:ascii="Montserrat" w:hAnsi="Montserrat"/>
                <w:color w:val="000000"/>
                <w:sz w:val="14"/>
                <w:szCs w:val="14"/>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6421D179" w14:textId="77777777" w:rsidR="00915EDE" w:rsidRDefault="00915EDE">
            <w:pPr>
              <w:rPr>
                <w:rFonts w:ascii="Montserrat" w:hAnsi="Montserrat"/>
                <w:color w:val="000000"/>
                <w:sz w:val="14"/>
                <w:szCs w:val="14"/>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006E086C" w14:textId="77777777" w:rsidR="00915EDE" w:rsidRDefault="00915EDE">
            <w:pPr>
              <w:rPr>
                <w:rFonts w:ascii="Montserrat" w:hAnsi="Montserrat"/>
                <w:color w:val="000000"/>
                <w:sz w:val="14"/>
                <w:szCs w:val="14"/>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1845B535" w14:textId="77777777" w:rsidR="00915EDE" w:rsidRDefault="00915EDE">
            <w:pPr>
              <w:rPr>
                <w:rFonts w:ascii="Montserrat" w:hAnsi="Montserrat"/>
                <w:color w:val="000000"/>
                <w:sz w:val="14"/>
                <w:szCs w:val="14"/>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45457EE8" w14:textId="77777777" w:rsidR="00915EDE" w:rsidRDefault="00915EDE">
            <w:pPr>
              <w:rPr>
                <w:rFonts w:ascii="Montserrat" w:hAnsi="Montserrat"/>
                <w:color w:val="000000"/>
                <w:sz w:val="14"/>
                <w:szCs w:val="14"/>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162268A8" w14:textId="77777777" w:rsidR="00915EDE" w:rsidRDefault="00915EDE">
            <w:pPr>
              <w:rPr>
                <w:rFonts w:ascii="Montserrat" w:hAnsi="Montserrat"/>
                <w:color w:val="000000"/>
                <w:sz w:val="14"/>
                <w:szCs w:val="1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4115B312" w14:textId="77777777" w:rsidR="00915EDE" w:rsidRDefault="00915EDE">
            <w:pPr>
              <w:rPr>
                <w:rFonts w:ascii="Montserrat" w:hAnsi="Montserrat"/>
                <w:color w:val="000000"/>
                <w:sz w:val="14"/>
                <w:szCs w:val="14"/>
              </w:rPr>
            </w:pPr>
          </w:p>
        </w:tc>
      </w:tr>
      <w:tr w:rsidR="00915EDE" w14:paraId="581A26FB" w14:textId="77777777" w:rsidTr="00915EDE">
        <w:trPr>
          <w:trHeight w:val="259"/>
        </w:trPr>
        <w:tc>
          <w:tcPr>
            <w:tcW w:w="3299" w:type="dxa"/>
            <w:tcBorders>
              <w:top w:val="nil"/>
              <w:left w:val="single" w:sz="4" w:space="0" w:color="auto"/>
              <w:bottom w:val="nil"/>
              <w:right w:val="single" w:sz="4" w:space="0" w:color="auto"/>
            </w:tcBorders>
            <w:vAlign w:val="center"/>
            <w:hideMark/>
          </w:tcPr>
          <w:p w14:paraId="21AB8DAD" w14:textId="77777777" w:rsidR="00915EDE" w:rsidRDefault="00915EDE">
            <w:pPr>
              <w:rPr>
                <w:rFonts w:ascii="Montserrat" w:hAnsi="Montserrat"/>
                <w:color w:val="000000"/>
                <w:sz w:val="14"/>
                <w:szCs w:val="14"/>
              </w:rPr>
            </w:pPr>
            <w:r>
              <w:rPr>
                <w:rFonts w:ascii="Montserrat" w:hAnsi="Montserrat"/>
                <w:color w:val="000000"/>
                <w:sz w:val="14"/>
                <w:szCs w:val="14"/>
              </w:rPr>
              <w:t>Fiji Sustainable Tourism</w:t>
            </w:r>
          </w:p>
        </w:tc>
        <w:tc>
          <w:tcPr>
            <w:tcW w:w="3462" w:type="dxa"/>
            <w:vMerge/>
            <w:tcBorders>
              <w:top w:val="single" w:sz="4" w:space="0" w:color="auto"/>
              <w:left w:val="single" w:sz="4" w:space="0" w:color="auto"/>
              <w:bottom w:val="single" w:sz="4" w:space="0" w:color="auto"/>
              <w:right w:val="single" w:sz="4" w:space="0" w:color="auto"/>
            </w:tcBorders>
            <w:vAlign w:val="center"/>
            <w:hideMark/>
          </w:tcPr>
          <w:p w14:paraId="4D66FAD1" w14:textId="77777777" w:rsidR="00915EDE" w:rsidRDefault="00915EDE">
            <w:pPr>
              <w:rPr>
                <w:rFonts w:ascii="Montserrat" w:hAnsi="Montserrat"/>
                <w:color w:val="000000"/>
                <w:sz w:val="14"/>
                <w:szCs w:val="14"/>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02B0FD05" w14:textId="77777777" w:rsidR="00915EDE" w:rsidRDefault="00915EDE">
            <w:pPr>
              <w:rPr>
                <w:rFonts w:ascii="Montserrat" w:hAnsi="Montserrat"/>
                <w:color w:val="000000"/>
                <w:sz w:val="14"/>
                <w:szCs w:val="14"/>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5AE75B2B" w14:textId="77777777" w:rsidR="00915EDE" w:rsidRDefault="00915EDE">
            <w:pPr>
              <w:rPr>
                <w:rFonts w:ascii="Montserrat" w:hAnsi="Montserrat"/>
                <w:color w:val="000000"/>
                <w:sz w:val="14"/>
                <w:szCs w:val="14"/>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78A15CDB" w14:textId="77777777" w:rsidR="00915EDE" w:rsidRDefault="00915EDE">
            <w:pPr>
              <w:rPr>
                <w:rFonts w:ascii="Montserrat" w:hAnsi="Montserrat"/>
                <w:color w:val="000000"/>
                <w:sz w:val="14"/>
                <w:szCs w:val="14"/>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61744567" w14:textId="77777777" w:rsidR="00915EDE" w:rsidRDefault="00915EDE">
            <w:pPr>
              <w:rPr>
                <w:rFonts w:ascii="Montserrat" w:hAnsi="Montserrat"/>
                <w:color w:val="000000"/>
                <w:sz w:val="14"/>
                <w:szCs w:val="14"/>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44976665" w14:textId="77777777" w:rsidR="00915EDE" w:rsidRDefault="00915EDE">
            <w:pPr>
              <w:rPr>
                <w:rFonts w:ascii="Montserrat" w:hAnsi="Montserrat"/>
                <w:color w:val="000000"/>
                <w:sz w:val="14"/>
                <w:szCs w:val="1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7F4012B2" w14:textId="77777777" w:rsidR="00915EDE" w:rsidRDefault="00915EDE">
            <w:pPr>
              <w:rPr>
                <w:rFonts w:ascii="Montserrat" w:hAnsi="Montserrat"/>
                <w:color w:val="000000"/>
                <w:sz w:val="14"/>
                <w:szCs w:val="14"/>
              </w:rPr>
            </w:pPr>
          </w:p>
        </w:tc>
      </w:tr>
      <w:tr w:rsidR="00915EDE" w14:paraId="14B628C8"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5D9BBCFD" w14:textId="77777777" w:rsidR="00915EDE" w:rsidRDefault="00915EDE">
            <w:pPr>
              <w:rPr>
                <w:rFonts w:ascii="Montserrat" w:hAnsi="Montserrat"/>
                <w:color w:val="000000"/>
                <w:sz w:val="14"/>
                <w:szCs w:val="14"/>
              </w:rPr>
            </w:pPr>
            <w:r>
              <w:rPr>
                <w:rFonts w:ascii="Montserrat" w:hAnsi="Montserrat"/>
                <w:color w:val="000000"/>
                <w:sz w:val="14"/>
                <w:szCs w:val="14"/>
              </w:rPr>
              <w:t xml:space="preserve">Fiji Green Finance </w:t>
            </w:r>
          </w:p>
        </w:tc>
        <w:tc>
          <w:tcPr>
            <w:tcW w:w="3462" w:type="dxa"/>
            <w:vMerge/>
            <w:tcBorders>
              <w:top w:val="single" w:sz="4" w:space="0" w:color="auto"/>
              <w:left w:val="single" w:sz="4" w:space="0" w:color="auto"/>
              <w:bottom w:val="single" w:sz="4" w:space="0" w:color="auto"/>
              <w:right w:val="single" w:sz="4" w:space="0" w:color="auto"/>
            </w:tcBorders>
            <w:vAlign w:val="center"/>
            <w:hideMark/>
          </w:tcPr>
          <w:p w14:paraId="3AAE21A8" w14:textId="77777777" w:rsidR="00915EDE" w:rsidRDefault="00915EDE">
            <w:pPr>
              <w:rPr>
                <w:rFonts w:ascii="Montserrat" w:hAnsi="Montserrat"/>
                <w:color w:val="000000"/>
                <w:sz w:val="14"/>
                <w:szCs w:val="14"/>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454E0B83" w14:textId="77777777" w:rsidR="00915EDE" w:rsidRDefault="00915EDE">
            <w:pPr>
              <w:rPr>
                <w:rFonts w:ascii="Montserrat" w:hAnsi="Montserrat"/>
                <w:color w:val="000000"/>
                <w:sz w:val="14"/>
                <w:szCs w:val="14"/>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5E1C867E" w14:textId="77777777" w:rsidR="00915EDE" w:rsidRDefault="00915EDE">
            <w:pPr>
              <w:rPr>
                <w:rFonts w:ascii="Montserrat" w:hAnsi="Montserrat"/>
                <w:color w:val="000000"/>
                <w:sz w:val="14"/>
                <w:szCs w:val="14"/>
              </w:rPr>
            </w:pPr>
          </w:p>
        </w:tc>
        <w:tc>
          <w:tcPr>
            <w:tcW w:w="1421" w:type="dxa"/>
            <w:vMerge/>
            <w:tcBorders>
              <w:top w:val="single" w:sz="4" w:space="0" w:color="auto"/>
              <w:left w:val="single" w:sz="4" w:space="0" w:color="auto"/>
              <w:bottom w:val="single" w:sz="4" w:space="0" w:color="auto"/>
              <w:right w:val="single" w:sz="4" w:space="0" w:color="auto"/>
            </w:tcBorders>
            <w:vAlign w:val="center"/>
            <w:hideMark/>
          </w:tcPr>
          <w:p w14:paraId="07606AD1" w14:textId="77777777" w:rsidR="00915EDE" w:rsidRDefault="00915EDE">
            <w:pPr>
              <w:rPr>
                <w:rFonts w:ascii="Montserrat" w:hAnsi="Montserrat"/>
                <w:color w:val="000000"/>
                <w:sz w:val="14"/>
                <w:szCs w:val="14"/>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14:paraId="18EE7BA4" w14:textId="77777777" w:rsidR="00915EDE" w:rsidRDefault="00915EDE">
            <w:pPr>
              <w:rPr>
                <w:rFonts w:ascii="Montserrat" w:hAnsi="Montserrat"/>
                <w:color w:val="000000"/>
                <w:sz w:val="14"/>
                <w:szCs w:val="14"/>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100A0066" w14:textId="77777777" w:rsidR="00915EDE" w:rsidRDefault="00915EDE">
            <w:pPr>
              <w:rPr>
                <w:rFonts w:ascii="Montserrat" w:hAnsi="Montserrat"/>
                <w:color w:val="000000"/>
                <w:sz w:val="14"/>
                <w:szCs w:val="1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6ABDF6E9" w14:textId="77777777" w:rsidR="00915EDE" w:rsidRDefault="00915EDE">
            <w:pPr>
              <w:rPr>
                <w:rFonts w:ascii="Montserrat" w:hAnsi="Montserrat"/>
                <w:color w:val="000000"/>
                <w:sz w:val="14"/>
                <w:szCs w:val="14"/>
              </w:rPr>
            </w:pPr>
          </w:p>
        </w:tc>
      </w:tr>
      <w:tr w:rsidR="00915EDE" w14:paraId="01C1C94C" w14:textId="77777777" w:rsidTr="00915EDE">
        <w:trPr>
          <w:trHeight w:val="259"/>
        </w:trPr>
        <w:tc>
          <w:tcPr>
            <w:tcW w:w="3299" w:type="dxa"/>
            <w:tcBorders>
              <w:top w:val="nil"/>
              <w:left w:val="single" w:sz="4" w:space="0" w:color="auto"/>
              <w:bottom w:val="nil"/>
              <w:right w:val="nil"/>
            </w:tcBorders>
            <w:vAlign w:val="center"/>
            <w:hideMark/>
          </w:tcPr>
          <w:p w14:paraId="59EB190E" w14:textId="77777777" w:rsidR="00915EDE" w:rsidRDefault="00915EDE">
            <w:pPr>
              <w:rPr>
                <w:rFonts w:ascii="Montserrat" w:hAnsi="Montserrat"/>
                <w:color w:val="000000"/>
                <w:sz w:val="14"/>
                <w:szCs w:val="14"/>
              </w:rPr>
            </w:pPr>
            <w:r>
              <w:rPr>
                <w:rFonts w:ascii="Montserrat" w:hAnsi="Montserrat"/>
                <w:color w:val="000000"/>
                <w:sz w:val="14"/>
                <w:szCs w:val="14"/>
                <w:lang w:val="en-AU"/>
              </w:rPr>
              <w:t>Fiji Winvest</w:t>
            </w:r>
          </w:p>
        </w:tc>
        <w:tc>
          <w:tcPr>
            <w:tcW w:w="3462" w:type="dxa"/>
            <w:vMerge w:val="restart"/>
            <w:tcBorders>
              <w:top w:val="nil"/>
              <w:left w:val="single" w:sz="4" w:space="0" w:color="auto"/>
              <w:bottom w:val="single" w:sz="4" w:space="0" w:color="auto"/>
              <w:right w:val="single" w:sz="4" w:space="0" w:color="auto"/>
            </w:tcBorders>
            <w:vAlign w:val="center"/>
            <w:hideMark/>
          </w:tcPr>
          <w:p w14:paraId="2B2D04EE"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women participants in workshops, training events, seminars, conferences, etc.</w:t>
            </w:r>
          </w:p>
        </w:tc>
        <w:tc>
          <w:tcPr>
            <w:tcW w:w="1480" w:type="dxa"/>
            <w:vMerge w:val="restart"/>
            <w:tcBorders>
              <w:top w:val="nil"/>
              <w:left w:val="single" w:sz="4" w:space="0" w:color="auto"/>
              <w:bottom w:val="single" w:sz="4" w:space="0" w:color="auto"/>
              <w:right w:val="single" w:sz="4" w:space="0" w:color="auto"/>
            </w:tcBorders>
            <w:vAlign w:val="center"/>
            <w:hideMark/>
          </w:tcPr>
          <w:p w14:paraId="7922E5F0"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395</w:t>
            </w:r>
          </w:p>
        </w:tc>
        <w:tc>
          <w:tcPr>
            <w:tcW w:w="1367" w:type="dxa"/>
            <w:vMerge w:val="restart"/>
            <w:tcBorders>
              <w:top w:val="nil"/>
              <w:left w:val="single" w:sz="4" w:space="0" w:color="auto"/>
              <w:bottom w:val="single" w:sz="4" w:space="0" w:color="auto"/>
              <w:right w:val="single" w:sz="4" w:space="0" w:color="auto"/>
            </w:tcBorders>
            <w:vAlign w:val="center"/>
            <w:hideMark/>
          </w:tcPr>
          <w:p w14:paraId="4ADC3354"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256</w:t>
            </w:r>
          </w:p>
        </w:tc>
        <w:tc>
          <w:tcPr>
            <w:tcW w:w="1421" w:type="dxa"/>
            <w:vMerge w:val="restart"/>
            <w:tcBorders>
              <w:top w:val="nil"/>
              <w:left w:val="single" w:sz="4" w:space="0" w:color="auto"/>
              <w:bottom w:val="single" w:sz="4" w:space="0" w:color="auto"/>
              <w:right w:val="single" w:sz="4" w:space="0" w:color="auto"/>
            </w:tcBorders>
            <w:vAlign w:val="center"/>
            <w:hideMark/>
          </w:tcPr>
          <w:p w14:paraId="7CAA0331"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936</w:t>
            </w:r>
          </w:p>
        </w:tc>
        <w:tc>
          <w:tcPr>
            <w:tcW w:w="1456" w:type="dxa"/>
            <w:vMerge w:val="restart"/>
            <w:tcBorders>
              <w:top w:val="nil"/>
              <w:left w:val="single" w:sz="4" w:space="0" w:color="auto"/>
              <w:bottom w:val="single" w:sz="4" w:space="0" w:color="auto"/>
              <w:right w:val="single" w:sz="4" w:space="0" w:color="auto"/>
            </w:tcBorders>
            <w:vAlign w:val="center"/>
            <w:hideMark/>
          </w:tcPr>
          <w:p w14:paraId="21495B4D"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40</w:t>
            </w:r>
          </w:p>
        </w:tc>
        <w:tc>
          <w:tcPr>
            <w:tcW w:w="1062" w:type="dxa"/>
            <w:vMerge w:val="restart"/>
            <w:tcBorders>
              <w:top w:val="nil"/>
              <w:left w:val="single" w:sz="4" w:space="0" w:color="auto"/>
              <w:bottom w:val="single" w:sz="4" w:space="0" w:color="auto"/>
              <w:right w:val="single" w:sz="4" w:space="0" w:color="auto"/>
            </w:tcBorders>
            <w:vAlign w:val="center"/>
            <w:hideMark/>
          </w:tcPr>
          <w:p w14:paraId="16404D0D"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1,232</w:t>
            </w:r>
          </w:p>
        </w:tc>
        <w:tc>
          <w:tcPr>
            <w:tcW w:w="1820" w:type="dxa"/>
            <w:vMerge w:val="restart"/>
            <w:tcBorders>
              <w:top w:val="nil"/>
              <w:left w:val="single" w:sz="4" w:space="0" w:color="auto"/>
              <w:bottom w:val="single" w:sz="4" w:space="0" w:color="auto"/>
              <w:right w:val="single" w:sz="4" w:space="0" w:color="auto"/>
            </w:tcBorders>
            <w:vAlign w:val="center"/>
            <w:hideMark/>
          </w:tcPr>
          <w:p w14:paraId="3BD8A86A"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Achieved</w:t>
            </w:r>
          </w:p>
        </w:tc>
      </w:tr>
      <w:tr w:rsidR="00915EDE" w14:paraId="6DA93839" w14:textId="77777777" w:rsidTr="00915EDE">
        <w:trPr>
          <w:trHeight w:val="259"/>
        </w:trPr>
        <w:tc>
          <w:tcPr>
            <w:tcW w:w="3299" w:type="dxa"/>
            <w:tcBorders>
              <w:top w:val="nil"/>
              <w:left w:val="single" w:sz="4" w:space="0" w:color="auto"/>
              <w:bottom w:val="nil"/>
              <w:right w:val="nil"/>
            </w:tcBorders>
            <w:vAlign w:val="center"/>
            <w:hideMark/>
          </w:tcPr>
          <w:p w14:paraId="1B635DB9" w14:textId="77777777" w:rsidR="00915EDE" w:rsidRDefault="00915EDE">
            <w:pPr>
              <w:rPr>
                <w:rFonts w:ascii="Montserrat" w:hAnsi="Montserrat"/>
                <w:color w:val="000000"/>
                <w:sz w:val="14"/>
                <w:szCs w:val="14"/>
              </w:rPr>
            </w:pPr>
            <w:r>
              <w:rPr>
                <w:rFonts w:ascii="Montserrat" w:hAnsi="Montserrat"/>
                <w:color w:val="000000"/>
                <w:sz w:val="14"/>
                <w:szCs w:val="14"/>
              </w:rPr>
              <w:t>Fiji Payment System</w:t>
            </w:r>
          </w:p>
        </w:tc>
        <w:tc>
          <w:tcPr>
            <w:tcW w:w="3462" w:type="dxa"/>
            <w:vMerge/>
            <w:tcBorders>
              <w:top w:val="nil"/>
              <w:left w:val="single" w:sz="4" w:space="0" w:color="auto"/>
              <w:bottom w:val="single" w:sz="4" w:space="0" w:color="auto"/>
              <w:right w:val="single" w:sz="4" w:space="0" w:color="auto"/>
            </w:tcBorders>
            <w:vAlign w:val="center"/>
            <w:hideMark/>
          </w:tcPr>
          <w:p w14:paraId="4E0F3B14" w14:textId="77777777" w:rsidR="00915EDE" w:rsidRDefault="00915EDE">
            <w:pPr>
              <w:rPr>
                <w:rFonts w:ascii="Montserrat" w:hAnsi="Montserrat"/>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395A42EF" w14:textId="77777777" w:rsidR="00915EDE" w:rsidRDefault="00915EDE">
            <w:pPr>
              <w:rPr>
                <w:rFonts w:ascii="Montserrat" w:hAnsi="Montserrat"/>
                <w:color w:val="000000"/>
                <w:sz w:val="14"/>
                <w:szCs w:val="14"/>
              </w:rPr>
            </w:pPr>
          </w:p>
        </w:tc>
        <w:tc>
          <w:tcPr>
            <w:tcW w:w="1367" w:type="dxa"/>
            <w:vMerge/>
            <w:tcBorders>
              <w:top w:val="nil"/>
              <w:left w:val="single" w:sz="4" w:space="0" w:color="auto"/>
              <w:bottom w:val="single" w:sz="4" w:space="0" w:color="auto"/>
              <w:right w:val="single" w:sz="4" w:space="0" w:color="auto"/>
            </w:tcBorders>
            <w:vAlign w:val="center"/>
            <w:hideMark/>
          </w:tcPr>
          <w:p w14:paraId="56C6AE67" w14:textId="77777777" w:rsidR="00915EDE" w:rsidRDefault="00915EDE">
            <w:pPr>
              <w:rPr>
                <w:rFonts w:ascii="Montserrat" w:hAnsi="Montserrat"/>
                <w:color w:val="000000"/>
                <w:sz w:val="14"/>
                <w:szCs w:val="14"/>
              </w:rPr>
            </w:pPr>
          </w:p>
        </w:tc>
        <w:tc>
          <w:tcPr>
            <w:tcW w:w="1421" w:type="dxa"/>
            <w:vMerge/>
            <w:tcBorders>
              <w:top w:val="nil"/>
              <w:left w:val="single" w:sz="4" w:space="0" w:color="auto"/>
              <w:bottom w:val="single" w:sz="4" w:space="0" w:color="auto"/>
              <w:right w:val="single" w:sz="4" w:space="0" w:color="auto"/>
            </w:tcBorders>
            <w:vAlign w:val="center"/>
            <w:hideMark/>
          </w:tcPr>
          <w:p w14:paraId="1F1D8E9F" w14:textId="77777777" w:rsidR="00915EDE" w:rsidRDefault="00915EDE">
            <w:pPr>
              <w:rPr>
                <w:rFonts w:ascii="Montserrat" w:hAnsi="Montserrat"/>
                <w:color w:val="000000"/>
                <w:sz w:val="14"/>
                <w:szCs w:val="14"/>
              </w:rPr>
            </w:pPr>
          </w:p>
        </w:tc>
        <w:tc>
          <w:tcPr>
            <w:tcW w:w="1456" w:type="dxa"/>
            <w:vMerge/>
            <w:tcBorders>
              <w:top w:val="nil"/>
              <w:left w:val="single" w:sz="4" w:space="0" w:color="auto"/>
              <w:bottom w:val="single" w:sz="4" w:space="0" w:color="auto"/>
              <w:right w:val="single" w:sz="4" w:space="0" w:color="auto"/>
            </w:tcBorders>
            <w:vAlign w:val="center"/>
            <w:hideMark/>
          </w:tcPr>
          <w:p w14:paraId="4BF51E23" w14:textId="77777777" w:rsidR="00915EDE" w:rsidRDefault="00915EDE">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1591FD48" w14:textId="77777777" w:rsidR="00915EDE" w:rsidRDefault="00915EDE">
            <w:pPr>
              <w:rPr>
                <w:rFonts w:ascii="Montserrat" w:hAnsi="Montserrat"/>
                <w:color w:val="000000"/>
                <w:sz w:val="14"/>
                <w:szCs w:val="14"/>
              </w:rPr>
            </w:pPr>
          </w:p>
        </w:tc>
        <w:tc>
          <w:tcPr>
            <w:tcW w:w="1820" w:type="dxa"/>
            <w:vMerge/>
            <w:tcBorders>
              <w:top w:val="nil"/>
              <w:left w:val="single" w:sz="4" w:space="0" w:color="auto"/>
              <w:bottom w:val="single" w:sz="4" w:space="0" w:color="auto"/>
              <w:right w:val="single" w:sz="4" w:space="0" w:color="auto"/>
            </w:tcBorders>
            <w:vAlign w:val="center"/>
            <w:hideMark/>
          </w:tcPr>
          <w:p w14:paraId="1CAE8175" w14:textId="77777777" w:rsidR="00915EDE" w:rsidRDefault="00915EDE">
            <w:pPr>
              <w:rPr>
                <w:rFonts w:ascii="Montserrat" w:hAnsi="Montserrat"/>
                <w:color w:val="000000"/>
                <w:sz w:val="14"/>
                <w:szCs w:val="14"/>
              </w:rPr>
            </w:pPr>
          </w:p>
        </w:tc>
      </w:tr>
      <w:tr w:rsidR="00915EDE" w14:paraId="33A13C40" w14:textId="77777777" w:rsidTr="00915EDE">
        <w:trPr>
          <w:trHeight w:val="259"/>
        </w:trPr>
        <w:tc>
          <w:tcPr>
            <w:tcW w:w="3299" w:type="dxa"/>
            <w:tcBorders>
              <w:top w:val="nil"/>
              <w:left w:val="single" w:sz="4" w:space="0" w:color="auto"/>
              <w:bottom w:val="nil"/>
              <w:right w:val="nil"/>
            </w:tcBorders>
            <w:vAlign w:val="center"/>
            <w:hideMark/>
          </w:tcPr>
          <w:p w14:paraId="503154ED" w14:textId="77777777" w:rsidR="00915EDE" w:rsidRDefault="00915EDE">
            <w:pPr>
              <w:rPr>
                <w:rFonts w:ascii="Montserrat" w:hAnsi="Montserrat"/>
                <w:color w:val="000000"/>
                <w:sz w:val="14"/>
                <w:szCs w:val="14"/>
              </w:rPr>
            </w:pPr>
            <w:r>
              <w:rPr>
                <w:rFonts w:ascii="Montserrat" w:hAnsi="Montserrat"/>
                <w:color w:val="000000"/>
                <w:sz w:val="14"/>
                <w:szCs w:val="14"/>
              </w:rPr>
              <w:t>Fiji Affordable Housing Development Project</w:t>
            </w:r>
          </w:p>
        </w:tc>
        <w:tc>
          <w:tcPr>
            <w:tcW w:w="3462" w:type="dxa"/>
            <w:vMerge/>
            <w:tcBorders>
              <w:top w:val="nil"/>
              <w:left w:val="single" w:sz="4" w:space="0" w:color="auto"/>
              <w:bottom w:val="single" w:sz="4" w:space="0" w:color="auto"/>
              <w:right w:val="single" w:sz="4" w:space="0" w:color="auto"/>
            </w:tcBorders>
            <w:vAlign w:val="center"/>
            <w:hideMark/>
          </w:tcPr>
          <w:p w14:paraId="0F93EB88" w14:textId="77777777" w:rsidR="00915EDE" w:rsidRDefault="00915EDE">
            <w:pPr>
              <w:rPr>
                <w:rFonts w:ascii="Montserrat" w:hAnsi="Montserrat"/>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38BF754E" w14:textId="77777777" w:rsidR="00915EDE" w:rsidRDefault="00915EDE">
            <w:pPr>
              <w:rPr>
                <w:rFonts w:ascii="Montserrat" w:hAnsi="Montserrat"/>
                <w:color w:val="000000"/>
                <w:sz w:val="14"/>
                <w:szCs w:val="14"/>
              </w:rPr>
            </w:pPr>
          </w:p>
        </w:tc>
        <w:tc>
          <w:tcPr>
            <w:tcW w:w="1367" w:type="dxa"/>
            <w:vMerge/>
            <w:tcBorders>
              <w:top w:val="nil"/>
              <w:left w:val="single" w:sz="4" w:space="0" w:color="auto"/>
              <w:bottom w:val="single" w:sz="4" w:space="0" w:color="auto"/>
              <w:right w:val="single" w:sz="4" w:space="0" w:color="auto"/>
            </w:tcBorders>
            <w:vAlign w:val="center"/>
            <w:hideMark/>
          </w:tcPr>
          <w:p w14:paraId="24041451" w14:textId="77777777" w:rsidR="00915EDE" w:rsidRDefault="00915EDE">
            <w:pPr>
              <w:rPr>
                <w:rFonts w:ascii="Montserrat" w:hAnsi="Montserrat"/>
                <w:color w:val="000000"/>
                <w:sz w:val="14"/>
                <w:szCs w:val="14"/>
              </w:rPr>
            </w:pPr>
          </w:p>
        </w:tc>
        <w:tc>
          <w:tcPr>
            <w:tcW w:w="1421" w:type="dxa"/>
            <w:vMerge/>
            <w:tcBorders>
              <w:top w:val="nil"/>
              <w:left w:val="single" w:sz="4" w:space="0" w:color="auto"/>
              <w:bottom w:val="single" w:sz="4" w:space="0" w:color="auto"/>
              <w:right w:val="single" w:sz="4" w:space="0" w:color="auto"/>
            </w:tcBorders>
            <w:vAlign w:val="center"/>
            <w:hideMark/>
          </w:tcPr>
          <w:p w14:paraId="4B8C3F3E" w14:textId="77777777" w:rsidR="00915EDE" w:rsidRDefault="00915EDE">
            <w:pPr>
              <w:rPr>
                <w:rFonts w:ascii="Montserrat" w:hAnsi="Montserrat"/>
                <w:color w:val="000000"/>
                <w:sz w:val="14"/>
                <w:szCs w:val="14"/>
              </w:rPr>
            </w:pPr>
          </w:p>
        </w:tc>
        <w:tc>
          <w:tcPr>
            <w:tcW w:w="1456" w:type="dxa"/>
            <w:vMerge/>
            <w:tcBorders>
              <w:top w:val="nil"/>
              <w:left w:val="single" w:sz="4" w:space="0" w:color="auto"/>
              <w:bottom w:val="single" w:sz="4" w:space="0" w:color="auto"/>
              <w:right w:val="single" w:sz="4" w:space="0" w:color="auto"/>
            </w:tcBorders>
            <w:vAlign w:val="center"/>
            <w:hideMark/>
          </w:tcPr>
          <w:p w14:paraId="5E6302DD" w14:textId="77777777" w:rsidR="00915EDE" w:rsidRDefault="00915EDE">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1771D438" w14:textId="77777777" w:rsidR="00915EDE" w:rsidRDefault="00915EDE">
            <w:pPr>
              <w:rPr>
                <w:rFonts w:ascii="Montserrat" w:hAnsi="Montserrat"/>
                <w:color w:val="000000"/>
                <w:sz w:val="14"/>
                <w:szCs w:val="14"/>
              </w:rPr>
            </w:pPr>
          </w:p>
        </w:tc>
        <w:tc>
          <w:tcPr>
            <w:tcW w:w="1820" w:type="dxa"/>
            <w:vMerge/>
            <w:tcBorders>
              <w:top w:val="nil"/>
              <w:left w:val="single" w:sz="4" w:space="0" w:color="auto"/>
              <w:bottom w:val="single" w:sz="4" w:space="0" w:color="auto"/>
              <w:right w:val="single" w:sz="4" w:space="0" w:color="auto"/>
            </w:tcBorders>
            <w:vAlign w:val="center"/>
            <w:hideMark/>
          </w:tcPr>
          <w:p w14:paraId="04E72C75" w14:textId="77777777" w:rsidR="00915EDE" w:rsidRDefault="00915EDE">
            <w:pPr>
              <w:rPr>
                <w:rFonts w:ascii="Montserrat" w:hAnsi="Montserrat"/>
                <w:color w:val="000000"/>
                <w:sz w:val="14"/>
                <w:szCs w:val="14"/>
              </w:rPr>
            </w:pPr>
          </w:p>
        </w:tc>
      </w:tr>
      <w:tr w:rsidR="00915EDE" w14:paraId="028CE574" w14:textId="77777777" w:rsidTr="00915EDE">
        <w:trPr>
          <w:trHeight w:val="259"/>
        </w:trPr>
        <w:tc>
          <w:tcPr>
            <w:tcW w:w="3299" w:type="dxa"/>
            <w:tcBorders>
              <w:top w:val="nil"/>
              <w:left w:val="single" w:sz="4" w:space="0" w:color="auto"/>
              <w:bottom w:val="nil"/>
              <w:right w:val="nil"/>
            </w:tcBorders>
            <w:vAlign w:val="center"/>
            <w:hideMark/>
          </w:tcPr>
          <w:p w14:paraId="6FEE470F" w14:textId="77777777" w:rsidR="00915EDE" w:rsidRDefault="00915EDE">
            <w:pPr>
              <w:rPr>
                <w:rFonts w:ascii="Montserrat" w:hAnsi="Montserrat"/>
                <w:color w:val="000000"/>
                <w:sz w:val="14"/>
                <w:szCs w:val="14"/>
              </w:rPr>
            </w:pPr>
            <w:r>
              <w:rPr>
                <w:rFonts w:ascii="Montserrat" w:hAnsi="Montserrat"/>
                <w:color w:val="000000"/>
                <w:sz w:val="14"/>
                <w:szCs w:val="14"/>
              </w:rPr>
              <w:t>Fiji Sustainable Tourism Project</w:t>
            </w:r>
          </w:p>
        </w:tc>
        <w:tc>
          <w:tcPr>
            <w:tcW w:w="3462" w:type="dxa"/>
            <w:vMerge/>
            <w:tcBorders>
              <w:top w:val="nil"/>
              <w:left w:val="single" w:sz="4" w:space="0" w:color="auto"/>
              <w:bottom w:val="single" w:sz="4" w:space="0" w:color="auto"/>
              <w:right w:val="single" w:sz="4" w:space="0" w:color="auto"/>
            </w:tcBorders>
            <w:vAlign w:val="center"/>
            <w:hideMark/>
          </w:tcPr>
          <w:p w14:paraId="2328F3A7" w14:textId="77777777" w:rsidR="00915EDE" w:rsidRDefault="00915EDE">
            <w:pPr>
              <w:rPr>
                <w:rFonts w:ascii="Montserrat" w:hAnsi="Montserrat"/>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7518020A" w14:textId="77777777" w:rsidR="00915EDE" w:rsidRDefault="00915EDE">
            <w:pPr>
              <w:rPr>
                <w:rFonts w:ascii="Montserrat" w:hAnsi="Montserrat"/>
                <w:color w:val="000000"/>
                <w:sz w:val="14"/>
                <w:szCs w:val="14"/>
              </w:rPr>
            </w:pPr>
          </w:p>
        </w:tc>
        <w:tc>
          <w:tcPr>
            <w:tcW w:w="1367" w:type="dxa"/>
            <w:vMerge/>
            <w:tcBorders>
              <w:top w:val="nil"/>
              <w:left w:val="single" w:sz="4" w:space="0" w:color="auto"/>
              <w:bottom w:val="single" w:sz="4" w:space="0" w:color="auto"/>
              <w:right w:val="single" w:sz="4" w:space="0" w:color="auto"/>
            </w:tcBorders>
            <w:vAlign w:val="center"/>
            <w:hideMark/>
          </w:tcPr>
          <w:p w14:paraId="35133890" w14:textId="77777777" w:rsidR="00915EDE" w:rsidRDefault="00915EDE">
            <w:pPr>
              <w:rPr>
                <w:rFonts w:ascii="Montserrat" w:hAnsi="Montserrat"/>
                <w:color w:val="000000"/>
                <w:sz w:val="14"/>
                <w:szCs w:val="14"/>
              </w:rPr>
            </w:pPr>
          </w:p>
        </w:tc>
        <w:tc>
          <w:tcPr>
            <w:tcW w:w="1421" w:type="dxa"/>
            <w:vMerge/>
            <w:tcBorders>
              <w:top w:val="nil"/>
              <w:left w:val="single" w:sz="4" w:space="0" w:color="auto"/>
              <w:bottom w:val="single" w:sz="4" w:space="0" w:color="auto"/>
              <w:right w:val="single" w:sz="4" w:space="0" w:color="auto"/>
            </w:tcBorders>
            <w:vAlign w:val="center"/>
            <w:hideMark/>
          </w:tcPr>
          <w:p w14:paraId="3D6DBAC3" w14:textId="77777777" w:rsidR="00915EDE" w:rsidRDefault="00915EDE">
            <w:pPr>
              <w:rPr>
                <w:rFonts w:ascii="Montserrat" w:hAnsi="Montserrat"/>
                <w:color w:val="000000"/>
                <w:sz w:val="14"/>
                <w:szCs w:val="14"/>
              </w:rPr>
            </w:pPr>
          </w:p>
        </w:tc>
        <w:tc>
          <w:tcPr>
            <w:tcW w:w="1456" w:type="dxa"/>
            <w:vMerge/>
            <w:tcBorders>
              <w:top w:val="nil"/>
              <w:left w:val="single" w:sz="4" w:space="0" w:color="auto"/>
              <w:bottom w:val="single" w:sz="4" w:space="0" w:color="auto"/>
              <w:right w:val="single" w:sz="4" w:space="0" w:color="auto"/>
            </w:tcBorders>
            <w:vAlign w:val="center"/>
            <w:hideMark/>
          </w:tcPr>
          <w:p w14:paraId="35A2AB80" w14:textId="77777777" w:rsidR="00915EDE" w:rsidRDefault="00915EDE">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3C9A0D1D" w14:textId="77777777" w:rsidR="00915EDE" w:rsidRDefault="00915EDE">
            <w:pPr>
              <w:rPr>
                <w:rFonts w:ascii="Montserrat" w:hAnsi="Montserrat"/>
                <w:color w:val="000000"/>
                <w:sz w:val="14"/>
                <w:szCs w:val="14"/>
              </w:rPr>
            </w:pPr>
          </w:p>
        </w:tc>
        <w:tc>
          <w:tcPr>
            <w:tcW w:w="1820" w:type="dxa"/>
            <w:vMerge/>
            <w:tcBorders>
              <w:top w:val="nil"/>
              <w:left w:val="single" w:sz="4" w:space="0" w:color="auto"/>
              <w:bottom w:val="single" w:sz="4" w:space="0" w:color="auto"/>
              <w:right w:val="single" w:sz="4" w:space="0" w:color="auto"/>
            </w:tcBorders>
            <w:vAlign w:val="center"/>
            <w:hideMark/>
          </w:tcPr>
          <w:p w14:paraId="7CF5F38A" w14:textId="77777777" w:rsidR="00915EDE" w:rsidRDefault="00915EDE">
            <w:pPr>
              <w:rPr>
                <w:rFonts w:ascii="Montserrat" w:hAnsi="Montserrat"/>
                <w:color w:val="000000"/>
                <w:sz w:val="14"/>
                <w:szCs w:val="14"/>
              </w:rPr>
            </w:pPr>
          </w:p>
        </w:tc>
      </w:tr>
      <w:tr w:rsidR="00915EDE" w14:paraId="6E01C641" w14:textId="77777777" w:rsidTr="00915EDE">
        <w:trPr>
          <w:trHeight w:val="259"/>
        </w:trPr>
        <w:tc>
          <w:tcPr>
            <w:tcW w:w="3299" w:type="dxa"/>
            <w:tcBorders>
              <w:top w:val="nil"/>
              <w:left w:val="single" w:sz="4" w:space="0" w:color="auto"/>
              <w:bottom w:val="nil"/>
              <w:right w:val="nil"/>
            </w:tcBorders>
            <w:vAlign w:val="center"/>
            <w:hideMark/>
          </w:tcPr>
          <w:p w14:paraId="738F4C42" w14:textId="77777777" w:rsidR="00915EDE" w:rsidRDefault="00915EDE">
            <w:pPr>
              <w:rPr>
                <w:rFonts w:ascii="Montserrat" w:hAnsi="Montserrat"/>
                <w:color w:val="000000"/>
                <w:sz w:val="14"/>
                <w:szCs w:val="14"/>
              </w:rPr>
            </w:pPr>
            <w:r>
              <w:rPr>
                <w:rFonts w:ascii="Montserrat" w:hAnsi="Montserrat"/>
                <w:color w:val="000000"/>
                <w:sz w:val="14"/>
                <w:szCs w:val="14"/>
              </w:rPr>
              <w:t xml:space="preserve">Fiji Green Finance </w:t>
            </w:r>
          </w:p>
        </w:tc>
        <w:tc>
          <w:tcPr>
            <w:tcW w:w="3462" w:type="dxa"/>
            <w:vMerge/>
            <w:tcBorders>
              <w:top w:val="nil"/>
              <w:left w:val="single" w:sz="4" w:space="0" w:color="auto"/>
              <w:bottom w:val="single" w:sz="4" w:space="0" w:color="auto"/>
              <w:right w:val="single" w:sz="4" w:space="0" w:color="auto"/>
            </w:tcBorders>
            <w:vAlign w:val="center"/>
            <w:hideMark/>
          </w:tcPr>
          <w:p w14:paraId="5B6D820D" w14:textId="77777777" w:rsidR="00915EDE" w:rsidRDefault="00915EDE">
            <w:pPr>
              <w:rPr>
                <w:rFonts w:ascii="Montserrat" w:hAnsi="Montserrat"/>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13231327" w14:textId="77777777" w:rsidR="00915EDE" w:rsidRDefault="00915EDE">
            <w:pPr>
              <w:rPr>
                <w:rFonts w:ascii="Montserrat" w:hAnsi="Montserrat"/>
                <w:color w:val="000000"/>
                <w:sz w:val="14"/>
                <w:szCs w:val="14"/>
              </w:rPr>
            </w:pPr>
          </w:p>
        </w:tc>
        <w:tc>
          <w:tcPr>
            <w:tcW w:w="1367" w:type="dxa"/>
            <w:vMerge/>
            <w:tcBorders>
              <w:top w:val="nil"/>
              <w:left w:val="single" w:sz="4" w:space="0" w:color="auto"/>
              <w:bottom w:val="single" w:sz="4" w:space="0" w:color="auto"/>
              <w:right w:val="single" w:sz="4" w:space="0" w:color="auto"/>
            </w:tcBorders>
            <w:vAlign w:val="center"/>
            <w:hideMark/>
          </w:tcPr>
          <w:p w14:paraId="43A27E42" w14:textId="77777777" w:rsidR="00915EDE" w:rsidRDefault="00915EDE">
            <w:pPr>
              <w:rPr>
                <w:rFonts w:ascii="Montserrat" w:hAnsi="Montserrat"/>
                <w:color w:val="000000"/>
                <w:sz w:val="14"/>
                <w:szCs w:val="14"/>
              </w:rPr>
            </w:pPr>
          </w:p>
        </w:tc>
        <w:tc>
          <w:tcPr>
            <w:tcW w:w="1421" w:type="dxa"/>
            <w:vMerge/>
            <w:tcBorders>
              <w:top w:val="nil"/>
              <w:left w:val="single" w:sz="4" w:space="0" w:color="auto"/>
              <w:bottom w:val="single" w:sz="4" w:space="0" w:color="auto"/>
              <w:right w:val="single" w:sz="4" w:space="0" w:color="auto"/>
            </w:tcBorders>
            <w:vAlign w:val="center"/>
            <w:hideMark/>
          </w:tcPr>
          <w:p w14:paraId="4BD28191" w14:textId="77777777" w:rsidR="00915EDE" w:rsidRDefault="00915EDE">
            <w:pPr>
              <w:rPr>
                <w:rFonts w:ascii="Montserrat" w:hAnsi="Montserrat"/>
                <w:color w:val="000000"/>
                <w:sz w:val="14"/>
                <w:szCs w:val="14"/>
              </w:rPr>
            </w:pPr>
          </w:p>
        </w:tc>
        <w:tc>
          <w:tcPr>
            <w:tcW w:w="1456" w:type="dxa"/>
            <w:vMerge/>
            <w:tcBorders>
              <w:top w:val="nil"/>
              <w:left w:val="single" w:sz="4" w:space="0" w:color="auto"/>
              <w:bottom w:val="single" w:sz="4" w:space="0" w:color="auto"/>
              <w:right w:val="single" w:sz="4" w:space="0" w:color="auto"/>
            </w:tcBorders>
            <w:vAlign w:val="center"/>
            <w:hideMark/>
          </w:tcPr>
          <w:p w14:paraId="65C17E7A" w14:textId="77777777" w:rsidR="00915EDE" w:rsidRDefault="00915EDE">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4B1DF040" w14:textId="77777777" w:rsidR="00915EDE" w:rsidRDefault="00915EDE">
            <w:pPr>
              <w:rPr>
                <w:rFonts w:ascii="Montserrat" w:hAnsi="Montserrat"/>
                <w:color w:val="000000"/>
                <w:sz w:val="14"/>
                <w:szCs w:val="14"/>
              </w:rPr>
            </w:pPr>
          </w:p>
        </w:tc>
        <w:tc>
          <w:tcPr>
            <w:tcW w:w="1820" w:type="dxa"/>
            <w:vMerge/>
            <w:tcBorders>
              <w:top w:val="nil"/>
              <w:left w:val="single" w:sz="4" w:space="0" w:color="auto"/>
              <w:bottom w:val="single" w:sz="4" w:space="0" w:color="auto"/>
              <w:right w:val="single" w:sz="4" w:space="0" w:color="auto"/>
            </w:tcBorders>
            <w:vAlign w:val="center"/>
            <w:hideMark/>
          </w:tcPr>
          <w:p w14:paraId="5696B099" w14:textId="77777777" w:rsidR="00915EDE" w:rsidRDefault="00915EDE">
            <w:pPr>
              <w:rPr>
                <w:rFonts w:ascii="Montserrat" w:hAnsi="Montserrat"/>
                <w:color w:val="000000"/>
                <w:sz w:val="14"/>
                <w:szCs w:val="14"/>
              </w:rPr>
            </w:pPr>
          </w:p>
        </w:tc>
      </w:tr>
      <w:tr w:rsidR="00915EDE" w14:paraId="3D9D68AC" w14:textId="77777777" w:rsidTr="00915EDE">
        <w:trPr>
          <w:trHeight w:val="259"/>
        </w:trPr>
        <w:tc>
          <w:tcPr>
            <w:tcW w:w="3299" w:type="dxa"/>
            <w:tcBorders>
              <w:top w:val="single" w:sz="4" w:space="0" w:color="auto"/>
              <w:left w:val="single" w:sz="4" w:space="0" w:color="auto"/>
              <w:bottom w:val="nil"/>
              <w:right w:val="single" w:sz="4" w:space="0" w:color="auto"/>
            </w:tcBorders>
            <w:vAlign w:val="center"/>
            <w:hideMark/>
          </w:tcPr>
          <w:p w14:paraId="1E8C38DC" w14:textId="77777777" w:rsidR="00915EDE" w:rsidRDefault="00915EDE">
            <w:pPr>
              <w:rPr>
                <w:rFonts w:ascii="Montserrat" w:hAnsi="Montserrat"/>
                <w:color w:val="000000"/>
                <w:sz w:val="14"/>
                <w:szCs w:val="14"/>
              </w:rPr>
            </w:pPr>
            <w:r>
              <w:rPr>
                <w:rFonts w:ascii="Montserrat" w:hAnsi="Montserrat"/>
                <w:color w:val="000000"/>
                <w:sz w:val="14"/>
                <w:szCs w:val="14"/>
                <w:lang w:val="en-AU"/>
              </w:rPr>
              <w:t>Fiji Winvest</w:t>
            </w:r>
          </w:p>
        </w:tc>
        <w:tc>
          <w:tcPr>
            <w:tcW w:w="3462" w:type="dxa"/>
            <w:vMerge w:val="restart"/>
            <w:tcBorders>
              <w:top w:val="nil"/>
              <w:left w:val="single" w:sz="4" w:space="0" w:color="auto"/>
              <w:bottom w:val="single" w:sz="4" w:space="0" w:color="auto"/>
              <w:right w:val="single" w:sz="4" w:space="0" w:color="auto"/>
            </w:tcBorders>
            <w:vAlign w:val="center"/>
            <w:hideMark/>
          </w:tcPr>
          <w:p w14:paraId="046E14EF"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training modules and new products developed</w:t>
            </w:r>
          </w:p>
        </w:tc>
        <w:tc>
          <w:tcPr>
            <w:tcW w:w="1480" w:type="dxa"/>
            <w:vMerge w:val="restart"/>
            <w:tcBorders>
              <w:top w:val="nil"/>
              <w:left w:val="single" w:sz="4" w:space="0" w:color="auto"/>
              <w:bottom w:val="single" w:sz="4" w:space="0" w:color="auto"/>
              <w:right w:val="single" w:sz="4" w:space="0" w:color="auto"/>
            </w:tcBorders>
            <w:vAlign w:val="center"/>
            <w:hideMark/>
          </w:tcPr>
          <w:p w14:paraId="0E25D378"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6</w:t>
            </w:r>
          </w:p>
        </w:tc>
        <w:tc>
          <w:tcPr>
            <w:tcW w:w="1367" w:type="dxa"/>
            <w:vMerge w:val="restart"/>
            <w:tcBorders>
              <w:top w:val="nil"/>
              <w:left w:val="single" w:sz="4" w:space="0" w:color="auto"/>
              <w:bottom w:val="single" w:sz="4" w:space="0" w:color="auto"/>
              <w:right w:val="single" w:sz="4" w:space="0" w:color="auto"/>
            </w:tcBorders>
            <w:vAlign w:val="center"/>
            <w:hideMark/>
          </w:tcPr>
          <w:p w14:paraId="5C2E5060"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2</w:t>
            </w:r>
          </w:p>
        </w:tc>
        <w:tc>
          <w:tcPr>
            <w:tcW w:w="1421" w:type="dxa"/>
            <w:vMerge w:val="restart"/>
            <w:tcBorders>
              <w:top w:val="nil"/>
              <w:left w:val="single" w:sz="4" w:space="0" w:color="auto"/>
              <w:bottom w:val="single" w:sz="4" w:space="0" w:color="auto"/>
              <w:right w:val="single" w:sz="4" w:space="0" w:color="auto"/>
            </w:tcBorders>
            <w:vAlign w:val="center"/>
            <w:hideMark/>
          </w:tcPr>
          <w:p w14:paraId="77CE4C09"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4</w:t>
            </w:r>
          </w:p>
        </w:tc>
        <w:tc>
          <w:tcPr>
            <w:tcW w:w="1456" w:type="dxa"/>
            <w:vMerge w:val="restart"/>
            <w:tcBorders>
              <w:top w:val="nil"/>
              <w:left w:val="single" w:sz="4" w:space="0" w:color="auto"/>
              <w:bottom w:val="single" w:sz="4" w:space="0" w:color="auto"/>
              <w:right w:val="single" w:sz="4" w:space="0" w:color="auto"/>
            </w:tcBorders>
            <w:vAlign w:val="center"/>
            <w:hideMark/>
          </w:tcPr>
          <w:p w14:paraId="4047FB51"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w:t>
            </w:r>
          </w:p>
        </w:tc>
        <w:tc>
          <w:tcPr>
            <w:tcW w:w="1062" w:type="dxa"/>
            <w:vMerge w:val="restart"/>
            <w:tcBorders>
              <w:top w:val="nil"/>
              <w:left w:val="single" w:sz="4" w:space="0" w:color="auto"/>
              <w:bottom w:val="single" w:sz="4" w:space="0" w:color="auto"/>
              <w:right w:val="single" w:sz="4" w:space="0" w:color="auto"/>
            </w:tcBorders>
            <w:vAlign w:val="center"/>
            <w:hideMark/>
          </w:tcPr>
          <w:p w14:paraId="24812A9E"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7</w:t>
            </w:r>
          </w:p>
        </w:tc>
        <w:tc>
          <w:tcPr>
            <w:tcW w:w="1820" w:type="dxa"/>
            <w:vMerge w:val="restart"/>
            <w:tcBorders>
              <w:top w:val="nil"/>
              <w:left w:val="single" w:sz="4" w:space="0" w:color="auto"/>
              <w:bottom w:val="single" w:sz="4" w:space="0" w:color="auto"/>
              <w:right w:val="single" w:sz="4" w:space="0" w:color="auto"/>
            </w:tcBorders>
            <w:vAlign w:val="center"/>
            <w:hideMark/>
          </w:tcPr>
          <w:p w14:paraId="0A4CC139"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Achieved</w:t>
            </w:r>
          </w:p>
        </w:tc>
      </w:tr>
      <w:tr w:rsidR="00915EDE" w14:paraId="2BC87AFF"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26E22005" w14:textId="77777777" w:rsidR="00915EDE" w:rsidRDefault="00915EDE">
            <w:pPr>
              <w:rPr>
                <w:rFonts w:ascii="Montserrat" w:hAnsi="Montserrat"/>
                <w:color w:val="000000"/>
                <w:sz w:val="14"/>
                <w:szCs w:val="14"/>
              </w:rPr>
            </w:pPr>
            <w:r>
              <w:rPr>
                <w:rFonts w:ascii="Montserrat" w:hAnsi="Montserrat"/>
                <w:color w:val="000000"/>
                <w:sz w:val="14"/>
                <w:szCs w:val="14"/>
              </w:rPr>
              <w:t>Pacific Integrated ESG</w:t>
            </w:r>
          </w:p>
        </w:tc>
        <w:tc>
          <w:tcPr>
            <w:tcW w:w="3462" w:type="dxa"/>
            <w:vMerge/>
            <w:tcBorders>
              <w:top w:val="nil"/>
              <w:left w:val="single" w:sz="4" w:space="0" w:color="auto"/>
              <w:bottom w:val="single" w:sz="4" w:space="0" w:color="auto"/>
              <w:right w:val="single" w:sz="4" w:space="0" w:color="auto"/>
            </w:tcBorders>
            <w:vAlign w:val="center"/>
            <w:hideMark/>
          </w:tcPr>
          <w:p w14:paraId="4BF3177D" w14:textId="77777777" w:rsidR="00915EDE" w:rsidRDefault="00915EDE">
            <w:pPr>
              <w:rPr>
                <w:rFonts w:ascii="Montserrat" w:hAnsi="Montserrat"/>
                <w:color w:val="000000"/>
                <w:sz w:val="14"/>
                <w:szCs w:val="14"/>
              </w:rPr>
            </w:pPr>
          </w:p>
        </w:tc>
        <w:tc>
          <w:tcPr>
            <w:tcW w:w="1480" w:type="dxa"/>
            <w:vMerge/>
            <w:tcBorders>
              <w:top w:val="nil"/>
              <w:left w:val="single" w:sz="4" w:space="0" w:color="auto"/>
              <w:bottom w:val="single" w:sz="4" w:space="0" w:color="auto"/>
              <w:right w:val="single" w:sz="4" w:space="0" w:color="auto"/>
            </w:tcBorders>
            <w:vAlign w:val="center"/>
            <w:hideMark/>
          </w:tcPr>
          <w:p w14:paraId="47D8EEAD" w14:textId="77777777" w:rsidR="00915EDE" w:rsidRDefault="00915EDE">
            <w:pPr>
              <w:rPr>
                <w:rFonts w:ascii="Montserrat" w:hAnsi="Montserrat"/>
                <w:color w:val="000000"/>
                <w:sz w:val="14"/>
                <w:szCs w:val="14"/>
              </w:rPr>
            </w:pPr>
          </w:p>
        </w:tc>
        <w:tc>
          <w:tcPr>
            <w:tcW w:w="1367" w:type="dxa"/>
            <w:vMerge/>
            <w:tcBorders>
              <w:top w:val="nil"/>
              <w:left w:val="single" w:sz="4" w:space="0" w:color="auto"/>
              <w:bottom w:val="single" w:sz="4" w:space="0" w:color="auto"/>
              <w:right w:val="single" w:sz="4" w:space="0" w:color="auto"/>
            </w:tcBorders>
            <w:vAlign w:val="center"/>
            <w:hideMark/>
          </w:tcPr>
          <w:p w14:paraId="68493BA3" w14:textId="77777777" w:rsidR="00915EDE" w:rsidRDefault="00915EDE">
            <w:pPr>
              <w:rPr>
                <w:rFonts w:ascii="Montserrat" w:hAnsi="Montserrat"/>
                <w:color w:val="000000"/>
                <w:sz w:val="14"/>
                <w:szCs w:val="14"/>
              </w:rPr>
            </w:pPr>
          </w:p>
        </w:tc>
        <w:tc>
          <w:tcPr>
            <w:tcW w:w="1421" w:type="dxa"/>
            <w:vMerge/>
            <w:tcBorders>
              <w:top w:val="nil"/>
              <w:left w:val="single" w:sz="4" w:space="0" w:color="auto"/>
              <w:bottom w:val="single" w:sz="4" w:space="0" w:color="auto"/>
              <w:right w:val="single" w:sz="4" w:space="0" w:color="auto"/>
            </w:tcBorders>
            <w:vAlign w:val="center"/>
            <w:hideMark/>
          </w:tcPr>
          <w:p w14:paraId="5C81BF6B" w14:textId="77777777" w:rsidR="00915EDE" w:rsidRDefault="00915EDE">
            <w:pPr>
              <w:rPr>
                <w:rFonts w:ascii="Montserrat" w:hAnsi="Montserrat"/>
                <w:color w:val="000000"/>
                <w:sz w:val="14"/>
                <w:szCs w:val="14"/>
              </w:rPr>
            </w:pPr>
          </w:p>
        </w:tc>
        <w:tc>
          <w:tcPr>
            <w:tcW w:w="1456" w:type="dxa"/>
            <w:vMerge/>
            <w:tcBorders>
              <w:top w:val="nil"/>
              <w:left w:val="single" w:sz="4" w:space="0" w:color="auto"/>
              <w:bottom w:val="single" w:sz="4" w:space="0" w:color="auto"/>
              <w:right w:val="single" w:sz="4" w:space="0" w:color="auto"/>
            </w:tcBorders>
            <w:vAlign w:val="center"/>
            <w:hideMark/>
          </w:tcPr>
          <w:p w14:paraId="78995897" w14:textId="77777777" w:rsidR="00915EDE" w:rsidRDefault="00915EDE">
            <w:pPr>
              <w:rPr>
                <w:rFonts w:ascii="Montserrat" w:hAnsi="Montserrat"/>
                <w:color w:val="000000"/>
                <w:sz w:val="14"/>
                <w:szCs w:val="14"/>
              </w:rPr>
            </w:pPr>
          </w:p>
        </w:tc>
        <w:tc>
          <w:tcPr>
            <w:tcW w:w="1062" w:type="dxa"/>
            <w:vMerge/>
            <w:tcBorders>
              <w:top w:val="nil"/>
              <w:left w:val="single" w:sz="4" w:space="0" w:color="auto"/>
              <w:bottom w:val="single" w:sz="4" w:space="0" w:color="auto"/>
              <w:right w:val="single" w:sz="4" w:space="0" w:color="auto"/>
            </w:tcBorders>
            <w:vAlign w:val="center"/>
            <w:hideMark/>
          </w:tcPr>
          <w:p w14:paraId="2DE88833" w14:textId="77777777" w:rsidR="00915EDE" w:rsidRDefault="00915EDE">
            <w:pPr>
              <w:rPr>
                <w:rFonts w:ascii="Montserrat" w:hAnsi="Montserrat"/>
                <w:color w:val="000000"/>
                <w:sz w:val="14"/>
                <w:szCs w:val="14"/>
              </w:rPr>
            </w:pPr>
          </w:p>
        </w:tc>
        <w:tc>
          <w:tcPr>
            <w:tcW w:w="1820" w:type="dxa"/>
            <w:vMerge/>
            <w:tcBorders>
              <w:top w:val="nil"/>
              <w:left w:val="single" w:sz="4" w:space="0" w:color="auto"/>
              <w:bottom w:val="single" w:sz="4" w:space="0" w:color="auto"/>
              <w:right w:val="single" w:sz="4" w:space="0" w:color="auto"/>
            </w:tcBorders>
            <w:vAlign w:val="center"/>
            <w:hideMark/>
          </w:tcPr>
          <w:p w14:paraId="4CBDE35E" w14:textId="77777777" w:rsidR="00915EDE" w:rsidRDefault="00915EDE">
            <w:pPr>
              <w:rPr>
                <w:rFonts w:ascii="Montserrat" w:hAnsi="Montserrat"/>
                <w:color w:val="000000"/>
                <w:sz w:val="14"/>
                <w:szCs w:val="14"/>
              </w:rPr>
            </w:pPr>
          </w:p>
        </w:tc>
      </w:tr>
      <w:tr w:rsidR="00915EDE" w14:paraId="30701080"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70AB8CAD" w14:textId="77777777" w:rsidR="00915EDE" w:rsidRDefault="00915EDE">
            <w:pPr>
              <w:rPr>
                <w:rFonts w:ascii="Montserrat" w:hAnsi="Montserrat"/>
                <w:color w:val="000000"/>
                <w:sz w:val="14"/>
                <w:szCs w:val="14"/>
              </w:rPr>
            </w:pPr>
            <w:r>
              <w:rPr>
                <w:rFonts w:ascii="Montserrat" w:hAnsi="Montserrat"/>
                <w:color w:val="000000"/>
                <w:sz w:val="14"/>
                <w:szCs w:val="14"/>
                <w:lang w:val="en-AU"/>
              </w:rPr>
              <w:t>Pacific Integrated ESG</w:t>
            </w:r>
          </w:p>
        </w:tc>
        <w:tc>
          <w:tcPr>
            <w:tcW w:w="3462" w:type="dxa"/>
            <w:tcBorders>
              <w:top w:val="nil"/>
              <w:left w:val="nil"/>
              <w:bottom w:val="single" w:sz="4" w:space="0" w:color="auto"/>
              <w:right w:val="single" w:sz="4" w:space="0" w:color="auto"/>
            </w:tcBorders>
            <w:vAlign w:val="center"/>
            <w:hideMark/>
          </w:tcPr>
          <w:p w14:paraId="0040CDD9"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Trainers Trained</w:t>
            </w:r>
          </w:p>
        </w:tc>
        <w:tc>
          <w:tcPr>
            <w:tcW w:w="1480" w:type="dxa"/>
            <w:tcBorders>
              <w:top w:val="nil"/>
              <w:left w:val="nil"/>
              <w:bottom w:val="single" w:sz="4" w:space="0" w:color="auto"/>
              <w:right w:val="single" w:sz="4" w:space="0" w:color="auto"/>
            </w:tcBorders>
            <w:vAlign w:val="center"/>
            <w:hideMark/>
          </w:tcPr>
          <w:p w14:paraId="5125C131"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2</w:t>
            </w:r>
          </w:p>
        </w:tc>
        <w:tc>
          <w:tcPr>
            <w:tcW w:w="1367" w:type="dxa"/>
            <w:tcBorders>
              <w:top w:val="nil"/>
              <w:left w:val="nil"/>
              <w:bottom w:val="single" w:sz="4" w:space="0" w:color="auto"/>
              <w:right w:val="single" w:sz="4" w:space="0" w:color="auto"/>
            </w:tcBorders>
            <w:vAlign w:val="center"/>
            <w:hideMark/>
          </w:tcPr>
          <w:p w14:paraId="307159F5"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21" w:type="dxa"/>
            <w:tcBorders>
              <w:top w:val="nil"/>
              <w:left w:val="nil"/>
              <w:bottom w:val="single" w:sz="4" w:space="0" w:color="auto"/>
              <w:right w:val="single" w:sz="4" w:space="0" w:color="auto"/>
            </w:tcBorders>
            <w:vAlign w:val="center"/>
            <w:hideMark/>
          </w:tcPr>
          <w:p w14:paraId="0794D61D"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10</w:t>
            </w:r>
          </w:p>
        </w:tc>
        <w:tc>
          <w:tcPr>
            <w:tcW w:w="1456" w:type="dxa"/>
            <w:tcBorders>
              <w:top w:val="nil"/>
              <w:left w:val="nil"/>
              <w:bottom w:val="single" w:sz="4" w:space="0" w:color="auto"/>
              <w:right w:val="single" w:sz="4" w:space="0" w:color="auto"/>
            </w:tcBorders>
            <w:vAlign w:val="center"/>
            <w:hideMark/>
          </w:tcPr>
          <w:p w14:paraId="73E6BC4C"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75D29E6D"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10</w:t>
            </w:r>
          </w:p>
        </w:tc>
        <w:tc>
          <w:tcPr>
            <w:tcW w:w="1820" w:type="dxa"/>
            <w:tcBorders>
              <w:top w:val="nil"/>
              <w:left w:val="nil"/>
              <w:bottom w:val="single" w:sz="4" w:space="0" w:color="auto"/>
              <w:right w:val="single" w:sz="4" w:space="0" w:color="auto"/>
            </w:tcBorders>
            <w:vAlign w:val="center"/>
            <w:hideMark/>
          </w:tcPr>
          <w:p w14:paraId="2C14AE50"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Achieved</w:t>
            </w:r>
          </w:p>
        </w:tc>
      </w:tr>
      <w:tr w:rsidR="00915EDE" w14:paraId="42A05C35"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6725FDD8" w14:textId="77777777" w:rsidR="00915EDE" w:rsidRDefault="00915EDE">
            <w:pPr>
              <w:rPr>
                <w:rFonts w:ascii="Montserrat" w:hAnsi="Montserrat"/>
                <w:color w:val="000000"/>
                <w:sz w:val="14"/>
                <w:szCs w:val="14"/>
              </w:rPr>
            </w:pPr>
            <w:r>
              <w:rPr>
                <w:rFonts w:ascii="Montserrat" w:hAnsi="Montserrat"/>
                <w:color w:val="000000"/>
                <w:sz w:val="14"/>
                <w:szCs w:val="14"/>
                <w:lang w:val="en-AU"/>
              </w:rPr>
              <w:t>Pacific Integrated ESG</w:t>
            </w:r>
          </w:p>
        </w:tc>
        <w:tc>
          <w:tcPr>
            <w:tcW w:w="3462" w:type="dxa"/>
            <w:tcBorders>
              <w:top w:val="nil"/>
              <w:left w:val="nil"/>
              <w:bottom w:val="single" w:sz="4" w:space="0" w:color="auto"/>
              <w:right w:val="single" w:sz="4" w:space="0" w:color="auto"/>
            </w:tcBorders>
            <w:vAlign w:val="center"/>
            <w:hideMark/>
          </w:tcPr>
          <w:p w14:paraId="37882A00"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entities trained by partners</w:t>
            </w:r>
          </w:p>
        </w:tc>
        <w:tc>
          <w:tcPr>
            <w:tcW w:w="1480" w:type="dxa"/>
            <w:tcBorders>
              <w:top w:val="nil"/>
              <w:left w:val="nil"/>
              <w:bottom w:val="single" w:sz="4" w:space="0" w:color="auto"/>
              <w:right w:val="single" w:sz="4" w:space="0" w:color="auto"/>
            </w:tcBorders>
            <w:vAlign w:val="center"/>
            <w:hideMark/>
          </w:tcPr>
          <w:p w14:paraId="7DC0165E"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w:t>
            </w:r>
          </w:p>
        </w:tc>
        <w:tc>
          <w:tcPr>
            <w:tcW w:w="1367" w:type="dxa"/>
            <w:tcBorders>
              <w:top w:val="nil"/>
              <w:left w:val="nil"/>
              <w:bottom w:val="single" w:sz="4" w:space="0" w:color="auto"/>
              <w:right w:val="single" w:sz="4" w:space="0" w:color="auto"/>
            </w:tcBorders>
            <w:vAlign w:val="center"/>
            <w:hideMark/>
          </w:tcPr>
          <w:p w14:paraId="4D270238"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21" w:type="dxa"/>
            <w:tcBorders>
              <w:top w:val="nil"/>
              <w:left w:val="nil"/>
              <w:bottom w:val="single" w:sz="4" w:space="0" w:color="auto"/>
              <w:right w:val="single" w:sz="4" w:space="0" w:color="auto"/>
            </w:tcBorders>
            <w:vAlign w:val="center"/>
            <w:hideMark/>
          </w:tcPr>
          <w:p w14:paraId="6C8CF1BD"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56" w:type="dxa"/>
            <w:tcBorders>
              <w:top w:val="nil"/>
              <w:left w:val="nil"/>
              <w:bottom w:val="single" w:sz="4" w:space="0" w:color="auto"/>
              <w:right w:val="single" w:sz="4" w:space="0" w:color="auto"/>
            </w:tcBorders>
            <w:vAlign w:val="center"/>
            <w:hideMark/>
          </w:tcPr>
          <w:p w14:paraId="7622BFDD"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2E278A2E"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820" w:type="dxa"/>
            <w:tcBorders>
              <w:top w:val="nil"/>
              <w:left w:val="nil"/>
              <w:bottom w:val="single" w:sz="4" w:space="0" w:color="auto"/>
              <w:right w:val="single" w:sz="4" w:space="0" w:color="auto"/>
            </w:tcBorders>
            <w:vAlign w:val="center"/>
            <w:hideMark/>
          </w:tcPr>
          <w:p w14:paraId="3DECDB28"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r>
      <w:tr w:rsidR="00915EDE" w14:paraId="2EFB2CAE"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2FF3CA3F" w14:textId="77777777" w:rsidR="00915EDE" w:rsidRDefault="00915EDE">
            <w:pPr>
              <w:rPr>
                <w:rFonts w:ascii="Montserrat" w:hAnsi="Montserrat"/>
                <w:color w:val="000000"/>
                <w:sz w:val="14"/>
                <w:szCs w:val="14"/>
              </w:rPr>
            </w:pPr>
            <w:r>
              <w:rPr>
                <w:rFonts w:ascii="Montserrat" w:hAnsi="Montserrat"/>
                <w:color w:val="000000"/>
                <w:sz w:val="14"/>
                <w:szCs w:val="14"/>
                <w:lang w:val="en-AU"/>
              </w:rPr>
              <w:t>Pacific Integrated ESG</w:t>
            </w:r>
          </w:p>
        </w:tc>
        <w:tc>
          <w:tcPr>
            <w:tcW w:w="3462" w:type="dxa"/>
            <w:tcBorders>
              <w:top w:val="nil"/>
              <w:left w:val="nil"/>
              <w:bottom w:val="single" w:sz="4" w:space="0" w:color="auto"/>
              <w:right w:val="single" w:sz="4" w:space="0" w:color="auto"/>
            </w:tcBorders>
            <w:vAlign w:val="center"/>
            <w:hideMark/>
          </w:tcPr>
          <w:p w14:paraId="36A29247"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individuals trained by project-trained people and/or institutions</w:t>
            </w:r>
          </w:p>
        </w:tc>
        <w:tc>
          <w:tcPr>
            <w:tcW w:w="1480" w:type="dxa"/>
            <w:tcBorders>
              <w:top w:val="nil"/>
              <w:left w:val="nil"/>
              <w:bottom w:val="single" w:sz="4" w:space="0" w:color="auto"/>
              <w:right w:val="single" w:sz="4" w:space="0" w:color="auto"/>
            </w:tcBorders>
            <w:vAlign w:val="center"/>
            <w:hideMark/>
          </w:tcPr>
          <w:p w14:paraId="15D27AE6"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3</w:t>
            </w:r>
          </w:p>
        </w:tc>
        <w:tc>
          <w:tcPr>
            <w:tcW w:w="1367" w:type="dxa"/>
            <w:tcBorders>
              <w:top w:val="nil"/>
              <w:left w:val="nil"/>
              <w:bottom w:val="single" w:sz="4" w:space="0" w:color="auto"/>
              <w:right w:val="single" w:sz="4" w:space="0" w:color="auto"/>
            </w:tcBorders>
            <w:vAlign w:val="center"/>
            <w:hideMark/>
          </w:tcPr>
          <w:p w14:paraId="46C17982"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21" w:type="dxa"/>
            <w:tcBorders>
              <w:top w:val="nil"/>
              <w:left w:val="nil"/>
              <w:bottom w:val="single" w:sz="4" w:space="0" w:color="auto"/>
              <w:right w:val="single" w:sz="4" w:space="0" w:color="auto"/>
            </w:tcBorders>
            <w:vAlign w:val="center"/>
            <w:hideMark/>
          </w:tcPr>
          <w:p w14:paraId="075F53A9"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56" w:type="dxa"/>
            <w:tcBorders>
              <w:top w:val="nil"/>
              <w:left w:val="nil"/>
              <w:bottom w:val="single" w:sz="4" w:space="0" w:color="auto"/>
              <w:right w:val="single" w:sz="4" w:space="0" w:color="auto"/>
            </w:tcBorders>
            <w:vAlign w:val="center"/>
            <w:hideMark/>
          </w:tcPr>
          <w:p w14:paraId="6F192F4B"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3438333A"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820" w:type="dxa"/>
            <w:tcBorders>
              <w:top w:val="nil"/>
              <w:left w:val="nil"/>
              <w:bottom w:val="single" w:sz="4" w:space="0" w:color="auto"/>
              <w:right w:val="single" w:sz="4" w:space="0" w:color="auto"/>
            </w:tcBorders>
            <w:vAlign w:val="center"/>
            <w:hideMark/>
          </w:tcPr>
          <w:p w14:paraId="6B120FF5"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r>
      <w:tr w:rsidR="00915EDE" w14:paraId="5B6A1313"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2C93CD7A" w14:textId="77777777" w:rsidR="00915EDE" w:rsidRDefault="00915EDE">
            <w:pPr>
              <w:rPr>
                <w:rFonts w:ascii="Montserrat" w:hAnsi="Montserrat"/>
                <w:color w:val="000000"/>
                <w:sz w:val="14"/>
                <w:szCs w:val="14"/>
              </w:rPr>
            </w:pPr>
            <w:r>
              <w:rPr>
                <w:rFonts w:ascii="Montserrat" w:hAnsi="Montserrat"/>
                <w:color w:val="000000"/>
                <w:sz w:val="14"/>
                <w:szCs w:val="14"/>
                <w:lang w:val="en-AU"/>
              </w:rPr>
              <w:t>Fiji Sustainable Tourism Project</w:t>
            </w:r>
          </w:p>
        </w:tc>
        <w:tc>
          <w:tcPr>
            <w:tcW w:w="3462" w:type="dxa"/>
            <w:tcBorders>
              <w:top w:val="nil"/>
              <w:left w:val="nil"/>
              <w:bottom w:val="single" w:sz="4" w:space="0" w:color="auto"/>
              <w:right w:val="single" w:sz="4" w:space="0" w:color="auto"/>
            </w:tcBorders>
            <w:vAlign w:val="center"/>
            <w:hideMark/>
          </w:tcPr>
          <w:p w14:paraId="3D3E99E3"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private sector entities being assessed to sustainable tourism/green standards</w:t>
            </w:r>
          </w:p>
        </w:tc>
        <w:tc>
          <w:tcPr>
            <w:tcW w:w="1480" w:type="dxa"/>
            <w:tcBorders>
              <w:top w:val="nil"/>
              <w:left w:val="nil"/>
              <w:bottom w:val="single" w:sz="4" w:space="0" w:color="auto"/>
              <w:right w:val="single" w:sz="4" w:space="0" w:color="auto"/>
            </w:tcBorders>
            <w:vAlign w:val="center"/>
            <w:hideMark/>
          </w:tcPr>
          <w:p w14:paraId="25A267C4"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120</w:t>
            </w:r>
          </w:p>
        </w:tc>
        <w:tc>
          <w:tcPr>
            <w:tcW w:w="1367" w:type="dxa"/>
            <w:tcBorders>
              <w:top w:val="nil"/>
              <w:left w:val="nil"/>
              <w:bottom w:val="single" w:sz="4" w:space="0" w:color="auto"/>
              <w:right w:val="single" w:sz="4" w:space="0" w:color="auto"/>
            </w:tcBorders>
            <w:vAlign w:val="center"/>
            <w:hideMark/>
          </w:tcPr>
          <w:p w14:paraId="62739CEC"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21" w:type="dxa"/>
            <w:tcBorders>
              <w:top w:val="nil"/>
              <w:left w:val="nil"/>
              <w:bottom w:val="single" w:sz="4" w:space="0" w:color="auto"/>
              <w:right w:val="single" w:sz="4" w:space="0" w:color="auto"/>
            </w:tcBorders>
            <w:vAlign w:val="center"/>
            <w:hideMark/>
          </w:tcPr>
          <w:p w14:paraId="0857F7F5"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56" w:type="dxa"/>
            <w:tcBorders>
              <w:top w:val="nil"/>
              <w:left w:val="nil"/>
              <w:bottom w:val="single" w:sz="4" w:space="0" w:color="auto"/>
              <w:right w:val="single" w:sz="4" w:space="0" w:color="auto"/>
            </w:tcBorders>
            <w:vAlign w:val="center"/>
            <w:hideMark/>
          </w:tcPr>
          <w:p w14:paraId="31D02CE6"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1A57448E"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820" w:type="dxa"/>
            <w:tcBorders>
              <w:top w:val="nil"/>
              <w:left w:val="nil"/>
              <w:bottom w:val="single" w:sz="4" w:space="0" w:color="auto"/>
              <w:right w:val="single" w:sz="4" w:space="0" w:color="auto"/>
            </w:tcBorders>
            <w:vAlign w:val="center"/>
            <w:hideMark/>
          </w:tcPr>
          <w:p w14:paraId="20EDBCA0"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r>
      <w:tr w:rsidR="00915EDE" w14:paraId="3311B47B" w14:textId="77777777" w:rsidTr="00915EDE">
        <w:trPr>
          <w:trHeight w:val="259"/>
        </w:trPr>
        <w:tc>
          <w:tcPr>
            <w:tcW w:w="3299" w:type="dxa"/>
            <w:tcBorders>
              <w:top w:val="nil"/>
              <w:left w:val="single" w:sz="4" w:space="0" w:color="auto"/>
              <w:bottom w:val="single" w:sz="4" w:space="0" w:color="auto"/>
              <w:right w:val="single" w:sz="4" w:space="0" w:color="auto"/>
            </w:tcBorders>
            <w:vAlign w:val="center"/>
            <w:hideMark/>
          </w:tcPr>
          <w:p w14:paraId="3D87F08D" w14:textId="77777777" w:rsidR="00915EDE" w:rsidRDefault="00915EDE">
            <w:pPr>
              <w:rPr>
                <w:rFonts w:ascii="Montserrat" w:hAnsi="Montserrat"/>
                <w:color w:val="000000"/>
                <w:sz w:val="14"/>
                <w:szCs w:val="14"/>
              </w:rPr>
            </w:pPr>
            <w:r>
              <w:rPr>
                <w:rFonts w:ascii="Montserrat" w:hAnsi="Montserrat"/>
                <w:color w:val="000000"/>
                <w:sz w:val="14"/>
                <w:szCs w:val="14"/>
                <w:lang w:val="en-AU"/>
              </w:rPr>
              <w:t>Fiji Sustainable Tourism Project</w:t>
            </w:r>
          </w:p>
        </w:tc>
        <w:tc>
          <w:tcPr>
            <w:tcW w:w="3462" w:type="dxa"/>
            <w:tcBorders>
              <w:top w:val="nil"/>
              <w:left w:val="nil"/>
              <w:bottom w:val="single" w:sz="4" w:space="0" w:color="auto"/>
              <w:right w:val="single" w:sz="4" w:space="0" w:color="auto"/>
            </w:tcBorders>
            <w:vAlign w:val="center"/>
            <w:hideMark/>
          </w:tcPr>
          <w:p w14:paraId="232414E3" w14:textId="77777777" w:rsidR="00915EDE" w:rsidRDefault="00915EDE">
            <w:pPr>
              <w:rPr>
                <w:rFonts w:ascii="Montserrat" w:hAnsi="Montserrat"/>
                <w:color w:val="000000"/>
                <w:sz w:val="14"/>
                <w:szCs w:val="14"/>
              </w:rPr>
            </w:pPr>
            <w:r>
              <w:rPr>
                <w:rFonts w:ascii="Montserrat" w:hAnsi="Montserrat"/>
                <w:color w:val="000000"/>
                <w:sz w:val="14"/>
                <w:szCs w:val="14"/>
                <w:lang w:val="en-AU"/>
              </w:rPr>
              <w:t>Number of private sector tourism operators being certified by accredited certification bodies</w:t>
            </w:r>
          </w:p>
        </w:tc>
        <w:tc>
          <w:tcPr>
            <w:tcW w:w="1480" w:type="dxa"/>
            <w:tcBorders>
              <w:top w:val="nil"/>
              <w:left w:val="nil"/>
              <w:bottom w:val="single" w:sz="4" w:space="0" w:color="auto"/>
              <w:right w:val="single" w:sz="4" w:space="0" w:color="auto"/>
            </w:tcBorders>
            <w:vAlign w:val="center"/>
            <w:hideMark/>
          </w:tcPr>
          <w:p w14:paraId="3A41FCC4"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5</w:t>
            </w:r>
          </w:p>
        </w:tc>
        <w:tc>
          <w:tcPr>
            <w:tcW w:w="1367" w:type="dxa"/>
            <w:tcBorders>
              <w:top w:val="nil"/>
              <w:left w:val="nil"/>
              <w:bottom w:val="single" w:sz="4" w:space="0" w:color="auto"/>
              <w:right w:val="single" w:sz="4" w:space="0" w:color="auto"/>
            </w:tcBorders>
            <w:vAlign w:val="center"/>
            <w:hideMark/>
          </w:tcPr>
          <w:p w14:paraId="108ABCCE"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21" w:type="dxa"/>
            <w:tcBorders>
              <w:top w:val="nil"/>
              <w:left w:val="nil"/>
              <w:bottom w:val="single" w:sz="4" w:space="0" w:color="auto"/>
              <w:right w:val="single" w:sz="4" w:space="0" w:color="auto"/>
            </w:tcBorders>
            <w:vAlign w:val="center"/>
            <w:hideMark/>
          </w:tcPr>
          <w:p w14:paraId="3579D6E5"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456" w:type="dxa"/>
            <w:tcBorders>
              <w:top w:val="nil"/>
              <w:left w:val="nil"/>
              <w:bottom w:val="single" w:sz="4" w:space="0" w:color="auto"/>
              <w:right w:val="single" w:sz="4" w:space="0" w:color="auto"/>
            </w:tcBorders>
            <w:vAlign w:val="center"/>
            <w:hideMark/>
          </w:tcPr>
          <w:p w14:paraId="1E35E18A"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062" w:type="dxa"/>
            <w:tcBorders>
              <w:top w:val="nil"/>
              <w:left w:val="nil"/>
              <w:bottom w:val="single" w:sz="4" w:space="0" w:color="auto"/>
              <w:right w:val="single" w:sz="4" w:space="0" w:color="auto"/>
            </w:tcBorders>
            <w:vAlign w:val="center"/>
            <w:hideMark/>
          </w:tcPr>
          <w:p w14:paraId="141A3684"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c>
          <w:tcPr>
            <w:tcW w:w="1820" w:type="dxa"/>
            <w:tcBorders>
              <w:top w:val="nil"/>
              <w:left w:val="nil"/>
              <w:bottom w:val="single" w:sz="4" w:space="0" w:color="auto"/>
              <w:right w:val="single" w:sz="4" w:space="0" w:color="auto"/>
            </w:tcBorders>
            <w:vAlign w:val="center"/>
            <w:hideMark/>
          </w:tcPr>
          <w:p w14:paraId="4CAA0F17" w14:textId="77777777" w:rsidR="00915EDE" w:rsidRDefault="00915EDE">
            <w:pPr>
              <w:jc w:val="right"/>
              <w:rPr>
                <w:rFonts w:ascii="Montserrat" w:hAnsi="Montserrat"/>
                <w:color w:val="000000"/>
                <w:sz w:val="14"/>
                <w:szCs w:val="14"/>
              </w:rPr>
            </w:pPr>
            <w:r>
              <w:rPr>
                <w:rFonts w:ascii="Montserrat" w:hAnsi="Montserrat"/>
                <w:color w:val="000000"/>
                <w:sz w:val="14"/>
                <w:szCs w:val="14"/>
                <w:lang w:val="en-AU"/>
              </w:rPr>
              <w:t>0</w:t>
            </w:r>
          </w:p>
        </w:tc>
      </w:tr>
    </w:tbl>
    <w:p w14:paraId="5D0649B4" w14:textId="77777777" w:rsidR="00552BF9" w:rsidRPr="00A26E3C" w:rsidRDefault="00552BF9" w:rsidP="00552BF9">
      <w:pPr>
        <w:suppressAutoHyphens/>
        <w:autoSpaceDE w:val="0"/>
        <w:autoSpaceDN w:val="0"/>
        <w:adjustRightInd w:val="0"/>
        <w:spacing w:line="288" w:lineRule="auto"/>
        <w:textAlignment w:val="center"/>
        <w:rPr>
          <w:rFonts w:ascii="Montserrat" w:hAnsi="Montserrat" w:cs="Montserrat"/>
          <w:b/>
          <w:bCs/>
          <w:color w:val="005568"/>
          <w:sz w:val="20"/>
          <w:szCs w:val="20"/>
          <w:lang w:val="en-AU"/>
        </w:rPr>
      </w:pPr>
    </w:p>
    <w:p w14:paraId="5546730E" w14:textId="77777777" w:rsidR="00552BF9" w:rsidRPr="00A26E3C" w:rsidRDefault="00552BF9" w:rsidP="00915EDE">
      <w:pPr>
        <w:suppressAutoHyphens/>
        <w:autoSpaceDE w:val="0"/>
        <w:autoSpaceDN w:val="0"/>
        <w:adjustRightInd w:val="0"/>
        <w:spacing w:line="288" w:lineRule="auto"/>
        <w:ind w:left="-783"/>
        <w:textAlignment w:val="center"/>
        <w:rPr>
          <w:rFonts w:ascii="Montserrat" w:hAnsi="Montserrat" w:cs="Montserrat"/>
          <w:color w:val="000000"/>
          <w:sz w:val="14"/>
          <w:szCs w:val="14"/>
          <w:lang w:val="en-AU"/>
        </w:rPr>
      </w:pPr>
      <w:r w:rsidRPr="00A26E3C">
        <w:rPr>
          <w:rFonts w:ascii="Montserrat" w:hAnsi="Montserrat" w:cs="Montserrat"/>
          <w:i/>
          <w:iCs/>
          <w:color w:val="000000"/>
          <w:sz w:val="14"/>
          <w:szCs w:val="14"/>
          <w:lang w:val="en-AU"/>
        </w:rPr>
        <w:t xml:space="preserve">As flagged in the Project Summary Note, FPSDP funding is supporting early work under the Fiji Enabling Investment Environment project, with development outcomes not anticipated to be realised in the current phase of the project (by Dec 2025). Revised targets and results will be added under a new phase of the Partnership, and development outputs and other activities will continue to be reported qualitatively through semi-annual project updates. </w:t>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i/>
          <w:iCs/>
          <w:color w:val="000000"/>
          <w:sz w:val="14"/>
          <w:szCs w:val="14"/>
          <w:lang w:val="en-AU"/>
        </w:rPr>
        <w:tab/>
      </w:r>
      <w:r w:rsidRPr="00A26E3C">
        <w:rPr>
          <w:rFonts w:ascii="Montserrat" w:hAnsi="Montserrat" w:cs="Montserrat"/>
          <w:color w:val="000000"/>
          <w:sz w:val="14"/>
          <w:szCs w:val="14"/>
          <w:lang w:val="en-AU"/>
        </w:rPr>
        <w:tab/>
      </w:r>
      <w:r w:rsidRPr="00A26E3C">
        <w:rPr>
          <w:rFonts w:ascii="Montserrat" w:hAnsi="Montserrat" w:cs="Montserrat"/>
          <w:color w:val="000000"/>
          <w:sz w:val="14"/>
          <w:szCs w:val="14"/>
          <w:lang w:val="en-AU"/>
        </w:rPr>
        <w:tab/>
      </w:r>
      <w:r w:rsidRPr="00A26E3C">
        <w:rPr>
          <w:rFonts w:ascii="Montserrat" w:hAnsi="Montserrat" w:cs="Montserrat"/>
          <w:color w:val="000000"/>
          <w:sz w:val="14"/>
          <w:szCs w:val="14"/>
          <w:lang w:val="en-AU"/>
        </w:rPr>
        <w:tab/>
      </w:r>
      <w:r w:rsidRPr="00A26E3C">
        <w:rPr>
          <w:rFonts w:ascii="Montserrat" w:hAnsi="Montserrat" w:cs="Montserrat"/>
          <w:color w:val="000000"/>
          <w:sz w:val="14"/>
          <w:szCs w:val="14"/>
          <w:lang w:val="en-AU"/>
        </w:rPr>
        <w:tab/>
      </w:r>
      <w:r w:rsidRPr="00A26E3C">
        <w:rPr>
          <w:rFonts w:ascii="Montserrat" w:hAnsi="Montserrat" w:cs="Montserrat"/>
          <w:color w:val="000000"/>
          <w:sz w:val="14"/>
          <w:szCs w:val="14"/>
          <w:lang w:val="en-AU"/>
        </w:rPr>
        <w:tab/>
      </w:r>
      <w:r w:rsidRPr="00A26E3C">
        <w:rPr>
          <w:rFonts w:ascii="Montserrat" w:hAnsi="Montserrat" w:cs="Montserrat"/>
          <w:color w:val="000000"/>
          <w:sz w:val="14"/>
          <w:szCs w:val="14"/>
          <w:lang w:val="en-AU"/>
        </w:rPr>
        <w:tab/>
      </w:r>
      <w:r w:rsidRPr="00A26E3C">
        <w:rPr>
          <w:rFonts w:ascii="Montserrat" w:hAnsi="Montserrat" w:cs="Montserrat"/>
          <w:color w:val="000000"/>
          <w:sz w:val="14"/>
          <w:szCs w:val="14"/>
          <w:lang w:val="en-AU"/>
        </w:rPr>
        <w:tab/>
      </w:r>
    </w:p>
    <w:p w14:paraId="438ADFC2" w14:textId="01F5B704" w:rsidR="00552BF9" w:rsidRPr="00C723E0" w:rsidRDefault="00552BF9">
      <w:pPr>
        <w:spacing w:after="160" w:line="259" w:lineRule="auto"/>
        <w:rPr>
          <w:rFonts w:ascii="Calibri" w:hAnsi="Calibri" w:cs="Calibri"/>
          <w:lang w:val="en-AU"/>
        </w:rPr>
        <w:sectPr w:rsidR="00552BF9" w:rsidRPr="00C723E0" w:rsidSect="00116737">
          <w:pgSz w:w="16820" w:h="11900" w:orient="landscape"/>
          <w:pgMar w:top="1440" w:right="1440" w:bottom="1440" w:left="1440" w:header="709" w:footer="709" w:gutter="0"/>
          <w:cols w:space="708"/>
          <w:docGrid w:linePitch="360"/>
        </w:sectPr>
      </w:pPr>
    </w:p>
    <w:p w14:paraId="7CABEBFB" w14:textId="4C96B2A9" w:rsidR="00FB537C" w:rsidRPr="00C723E0" w:rsidRDefault="00FB537C" w:rsidP="4EF1951E">
      <w:pPr>
        <w:pStyle w:val="Heading1"/>
        <w:rPr>
          <w:rFonts w:cs="Calibri"/>
          <w:b w:val="0"/>
          <w:bCs/>
          <w:lang w:val="en-AU"/>
        </w:rPr>
      </w:pPr>
      <w:bookmarkStart w:id="79" w:name="_Toc201131786"/>
      <w:bookmarkStart w:id="80" w:name="_Toc206675832"/>
      <w:r w:rsidRPr="4EF1951E">
        <w:rPr>
          <w:rFonts w:cs="Calibri"/>
          <w:b w:val="0"/>
          <w:bCs/>
          <w:lang w:val="en-AU"/>
        </w:rPr>
        <w:lastRenderedPageBreak/>
        <w:t xml:space="preserve">Annex </w:t>
      </w:r>
      <w:r w:rsidR="00E95293" w:rsidRPr="4EF1951E">
        <w:rPr>
          <w:rFonts w:cs="Calibri"/>
          <w:b w:val="0"/>
          <w:bCs/>
          <w:lang w:val="en-AU"/>
        </w:rPr>
        <w:t>6</w:t>
      </w:r>
      <w:r w:rsidRPr="4EF1951E">
        <w:rPr>
          <w:rFonts w:cs="Calibri"/>
          <w:b w:val="0"/>
          <w:bCs/>
          <w:lang w:val="en-AU"/>
        </w:rPr>
        <w:t>: FPSDP Press Releases</w:t>
      </w:r>
      <w:bookmarkEnd w:id="79"/>
      <w:bookmarkEnd w:id="80"/>
    </w:p>
    <w:tbl>
      <w:tblPr>
        <w:tblW w:w="8931" w:type="dxa"/>
        <w:tblInd w:w="-10" w:type="dxa"/>
        <w:tblLayout w:type="fixed"/>
        <w:tblCellMar>
          <w:left w:w="0" w:type="dxa"/>
          <w:right w:w="0" w:type="dxa"/>
        </w:tblCellMar>
        <w:tblLook w:val="04A0" w:firstRow="1" w:lastRow="0" w:firstColumn="1" w:lastColumn="0" w:noHBand="0" w:noVBand="1"/>
      </w:tblPr>
      <w:tblGrid>
        <w:gridCol w:w="2329"/>
        <w:gridCol w:w="6602"/>
      </w:tblGrid>
      <w:tr w:rsidR="00FB537C" w:rsidRPr="00C723E0" w14:paraId="37304165" w14:textId="77777777" w:rsidTr="00915EDE">
        <w:trPr>
          <w:trHeight w:val="322"/>
        </w:trPr>
        <w:tc>
          <w:tcPr>
            <w:tcW w:w="2329" w:type="dxa"/>
            <w:tcBorders>
              <w:top w:val="single" w:sz="8" w:space="0" w:color="auto"/>
              <w:left w:val="single" w:sz="8" w:space="0" w:color="auto"/>
              <w:bottom w:val="single" w:sz="8" w:space="0" w:color="auto"/>
              <w:right w:val="single" w:sz="8" w:space="0" w:color="auto"/>
            </w:tcBorders>
            <w:shd w:val="clear" w:color="auto" w:fill="C1E4F5" w:themeFill="accent1" w:themeFillTint="33"/>
            <w:tcMar>
              <w:top w:w="0" w:type="dxa"/>
              <w:left w:w="108" w:type="dxa"/>
              <w:bottom w:w="0" w:type="dxa"/>
              <w:right w:w="108" w:type="dxa"/>
            </w:tcMar>
            <w:hideMark/>
          </w:tcPr>
          <w:p w14:paraId="4CFDF628" w14:textId="56A9AA7A" w:rsidR="00FB537C" w:rsidRPr="00C723E0" w:rsidRDefault="00FB537C" w:rsidP="00FB537C">
            <w:pPr>
              <w:rPr>
                <w:rFonts w:ascii="Calibri" w:hAnsi="Calibri" w:cs="Calibri"/>
                <w:sz w:val="18"/>
                <w:szCs w:val="18"/>
                <w:lang w:val="en-AU"/>
              </w:rPr>
            </w:pPr>
            <w:r w:rsidRPr="00C723E0">
              <w:rPr>
                <w:rFonts w:ascii="Calibri" w:hAnsi="Calibri" w:cs="Calibri"/>
                <w:b/>
                <w:bCs/>
                <w:sz w:val="18"/>
                <w:szCs w:val="18"/>
                <w:lang w:val="en-AU"/>
              </w:rPr>
              <w:t>Project</w:t>
            </w:r>
          </w:p>
        </w:tc>
        <w:tc>
          <w:tcPr>
            <w:tcW w:w="6602" w:type="dxa"/>
            <w:tcBorders>
              <w:top w:val="single" w:sz="8" w:space="0" w:color="auto"/>
              <w:left w:val="nil"/>
              <w:bottom w:val="single" w:sz="8" w:space="0" w:color="auto"/>
              <w:right w:val="single" w:sz="8" w:space="0" w:color="auto"/>
            </w:tcBorders>
            <w:shd w:val="clear" w:color="auto" w:fill="C1E4F5" w:themeFill="accent1" w:themeFillTint="33"/>
            <w:tcMar>
              <w:top w:w="0" w:type="dxa"/>
              <w:left w:w="108" w:type="dxa"/>
              <w:bottom w:w="0" w:type="dxa"/>
              <w:right w:w="108" w:type="dxa"/>
            </w:tcMar>
            <w:hideMark/>
          </w:tcPr>
          <w:p w14:paraId="45D92A15" w14:textId="77777777" w:rsidR="00FB537C" w:rsidRPr="00C723E0" w:rsidRDefault="00FB537C" w:rsidP="00FB537C">
            <w:pPr>
              <w:rPr>
                <w:rFonts w:ascii="Calibri" w:hAnsi="Calibri" w:cs="Calibri"/>
                <w:sz w:val="18"/>
                <w:szCs w:val="18"/>
                <w:lang w:val="en-AU"/>
              </w:rPr>
            </w:pPr>
            <w:r w:rsidRPr="00C723E0">
              <w:rPr>
                <w:rFonts w:ascii="Calibri" w:hAnsi="Calibri" w:cs="Calibri"/>
                <w:b/>
                <w:bCs/>
                <w:sz w:val="18"/>
                <w:szCs w:val="18"/>
                <w:lang w:val="en-AU"/>
              </w:rPr>
              <w:t>Press Release </w:t>
            </w:r>
          </w:p>
        </w:tc>
      </w:tr>
      <w:tr w:rsidR="00FB537C" w:rsidRPr="00C723E0" w14:paraId="2FDFF2BE"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498A65"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Fiji Investment Competitiveness, April 2022</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0D4F2235" w14:textId="77777777" w:rsidR="00FB537C" w:rsidRPr="00C723E0" w:rsidRDefault="00FB537C" w:rsidP="00FB537C">
            <w:pPr>
              <w:rPr>
                <w:rFonts w:ascii="Calibri" w:hAnsi="Calibri" w:cs="Calibri"/>
                <w:sz w:val="18"/>
                <w:szCs w:val="18"/>
                <w:lang w:val="en-AU"/>
              </w:rPr>
            </w:pPr>
            <w:hyperlink r:id="rId28" w:history="1">
              <w:r w:rsidRPr="00C723E0">
                <w:rPr>
                  <w:rFonts w:ascii="Calibri" w:hAnsi="Calibri" w:cs="Calibri"/>
                  <w:color w:val="0000FF"/>
                  <w:sz w:val="18"/>
                  <w:szCs w:val="18"/>
                  <w:u w:val="single"/>
                  <w:lang w:val="en-AU"/>
                </w:rPr>
                <w:t>https://www.ifc.org/en/pressroom/2022/investment-fiji-shifts-focus-to-attract-investors-and-drive-exports-after-ifc-technical-assistance</w:t>
              </w:r>
            </w:hyperlink>
          </w:p>
        </w:tc>
      </w:tr>
      <w:tr w:rsidR="00FB537C" w:rsidRPr="00C723E0" w14:paraId="6CFE2CCF"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70324C"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Fiji Payment System, Sep 2022</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14466E32" w14:textId="77777777" w:rsidR="00FB537C" w:rsidRPr="00C723E0" w:rsidRDefault="00FB537C" w:rsidP="00FB537C">
            <w:pPr>
              <w:rPr>
                <w:rFonts w:ascii="Calibri" w:hAnsi="Calibri" w:cs="Calibri"/>
                <w:sz w:val="18"/>
                <w:szCs w:val="18"/>
                <w:lang w:val="en-AU"/>
              </w:rPr>
            </w:pPr>
            <w:hyperlink r:id="rId29" w:history="1">
              <w:r w:rsidRPr="00C723E0">
                <w:rPr>
                  <w:rFonts w:ascii="Calibri" w:hAnsi="Calibri" w:cs="Calibri"/>
                  <w:color w:val="0000FF"/>
                  <w:sz w:val="18"/>
                  <w:szCs w:val="18"/>
                  <w:u w:val="single"/>
                  <w:lang w:val="en-AU"/>
                </w:rPr>
                <w:t>https://www.ifc.org/en/pressroom/2022/fijians-to-benefit-from-reforms-making-banking-safer-more-reliable-and-efficient</w:t>
              </w:r>
            </w:hyperlink>
          </w:p>
        </w:tc>
      </w:tr>
      <w:tr w:rsidR="00FB537C" w:rsidRPr="00C723E0" w14:paraId="45DC9FBD"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09E753"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Fiji Payment System, Nov 2022</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0CFC4B2C" w14:textId="77777777" w:rsidR="00FB537C" w:rsidRPr="00C723E0" w:rsidRDefault="00FB537C" w:rsidP="00FB537C">
            <w:pPr>
              <w:rPr>
                <w:rFonts w:ascii="Calibri" w:hAnsi="Calibri" w:cs="Calibri"/>
                <w:sz w:val="18"/>
                <w:szCs w:val="18"/>
                <w:lang w:val="en-AU"/>
              </w:rPr>
            </w:pPr>
            <w:hyperlink r:id="rId30" w:history="1">
              <w:r w:rsidRPr="00C723E0">
                <w:rPr>
                  <w:rFonts w:ascii="Calibri" w:hAnsi="Calibri" w:cs="Calibri"/>
                  <w:color w:val="0000FF"/>
                  <w:sz w:val="18"/>
                  <w:szCs w:val="18"/>
                  <w:u w:val="single"/>
                  <w:lang w:val="en-AU"/>
                </w:rPr>
                <w:t>https://www.ifc.org/en/pressroom/2022/27293</w:t>
              </w:r>
            </w:hyperlink>
          </w:p>
        </w:tc>
      </w:tr>
      <w:tr w:rsidR="00FB537C" w:rsidRPr="00C723E0" w14:paraId="4F93197D"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E8FDD0"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Fiji Capital Markets, Nov 2022 (on announcement of first wholesale corp. bond issuance)</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745DDA78" w14:textId="77777777" w:rsidR="00FB537C" w:rsidRPr="00C723E0" w:rsidRDefault="00FB537C" w:rsidP="00FB537C">
            <w:pPr>
              <w:rPr>
                <w:rFonts w:ascii="Calibri" w:hAnsi="Calibri" w:cs="Calibri"/>
                <w:sz w:val="18"/>
                <w:szCs w:val="18"/>
                <w:lang w:val="en-AU"/>
              </w:rPr>
            </w:pPr>
            <w:hyperlink r:id="rId31" w:history="1">
              <w:r w:rsidRPr="00C723E0">
                <w:rPr>
                  <w:rFonts w:ascii="Calibri" w:hAnsi="Calibri" w:cs="Calibri"/>
                  <w:color w:val="0000FF"/>
                  <w:sz w:val="18"/>
                  <w:szCs w:val="18"/>
                  <w:u w:val="single"/>
                  <w:lang w:val="en-AU"/>
                </w:rPr>
                <w:t>https://www.ifc.org/en/pressroom/2022/fiji-marks-breakthrough-with-first-wholesale-corporate-bond-off</w:t>
              </w:r>
            </w:hyperlink>
          </w:p>
        </w:tc>
      </w:tr>
      <w:tr w:rsidR="00FB537C" w:rsidRPr="00C723E0" w14:paraId="312F99A3"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45BFD4"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Advance2Equal, May 2023</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63DD05AD" w14:textId="77777777" w:rsidR="00FB537C" w:rsidRPr="00C723E0" w:rsidRDefault="00FB537C" w:rsidP="00FB537C">
            <w:pPr>
              <w:rPr>
                <w:rFonts w:ascii="Calibri" w:hAnsi="Calibri" w:cs="Calibri"/>
                <w:sz w:val="18"/>
                <w:szCs w:val="18"/>
                <w:lang w:val="en-AU"/>
              </w:rPr>
            </w:pPr>
            <w:hyperlink r:id="rId32" w:history="1">
              <w:r w:rsidRPr="00C723E0">
                <w:rPr>
                  <w:rFonts w:ascii="Calibri" w:hAnsi="Calibri" w:cs="Calibri"/>
                  <w:color w:val="0000FF"/>
                  <w:sz w:val="18"/>
                  <w:szCs w:val="18"/>
                  <w:u w:val="single"/>
                  <w:lang w:val="en-AU"/>
                </w:rPr>
                <w:t>https://www.ifc.org/en/pressroom/2023/fiji-s-cabinet-backs-recommendations-to-support-improved-childca</w:t>
              </w:r>
            </w:hyperlink>
          </w:p>
        </w:tc>
      </w:tr>
      <w:tr w:rsidR="00FB537C" w:rsidRPr="00C723E0" w14:paraId="166CD750"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25C940"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Fiji Green Finance, Sep 2023</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66A65737" w14:textId="77777777" w:rsidR="00FB537C" w:rsidRPr="00C723E0" w:rsidRDefault="00FB537C" w:rsidP="00FB537C">
            <w:pPr>
              <w:rPr>
                <w:rFonts w:ascii="Calibri" w:hAnsi="Calibri" w:cs="Calibri"/>
                <w:sz w:val="18"/>
                <w:szCs w:val="18"/>
                <w:lang w:val="en-AU"/>
              </w:rPr>
            </w:pPr>
            <w:hyperlink r:id="rId33" w:history="1">
              <w:r w:rsidRPr="00C723E0">
                <w:rPr>
                  <w:rFonts w:ascii="Calibri" w:hAnsi="Calibri" w:cs="Calibri"/>
                  <w:color w:val="0000FF"/>
                  <w:sz w:val="18"/>
                  <w:szCs w:val="18"/>
                  <w:u w:val="single"/>
                  <w:lang w:val="en-AU"/>
                </w:rPr>
                <w:t>https://www.ifc.org/en/pressroom/2023/ifc-and-reserve-bank-of-fiji-partner-to-develop-green-finance-taxonomy-boost-climate-friendly-investments-and-sustainable-growth</w:t>
              </w:r>
            </w:hyperlink>
          </w:p>
        </w:tc>
      </w:tr>
      <w:tr w:rsidR="00FB537C" w:rsidRPr="00C723E0" w14:paraId="33435C73"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8CD4FA"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IFC Investment in HFC Bank Facility, Oct 2023</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7DD36E82" w14:textId="77777777" w:rsidR="00FB537C" w:rsidRPr="00C723E0" w:rsidRDefault="00FB537C" w:rsidP="00FB537C">
            <w:pPr>
              <w:rPr>
                <w:rFonts w:ascii="Calibri" w:hAnsi="Calibri" w:cs="Calibri"/>
                <w:sz w:val="18"/>
                <w:szCs w:val="18"/>
                <w:lang w:val="en-AU"/>
              </w:rPr>
            </w:pPr>
            <w:hyperlink r:id="rId34" w:history="1">
              <w:r w:rsidRPr="00C723E0">
                <w:rPr>
                  <w:rFonts w:ascii="Calibri" w:hAnsi="Calibri" w:cs="Calibri"/>
                  <w:color w:val="0000FF"/>
                  <w:sz w:val="18"/>
                  <w:szCs w:val="18"/>
                  <w:u w:val="single"/>
                  <w:lang w:val="en-AU"/>
                </w:rPr>
                <w:t>https://www.ifc.org/en/pressroom/2023/jobs-and-growth-boost-to-flow-from-ifc-investment-in-fijis-hfc-b</w:t>
              </w:r>
            </w:hyperlink>
          </w:p>
        </w:tc>
      </w:tr>
      <w:tr w:rsidR="00FB537C" w:rsidRPr="00C723E0" w14:paraId="7F9513DC"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3E7EEB"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Pacific ESG, April 2024</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0A97E0BB" w14:textId="77777777" w:rsidR="00FB537C" w:rsidRPr="00C723E0" w:rsidRDefault="00FB537C" w:rsidP="00FB537C">
            <w:pPr>
              <w:rPr>
                <w:rFonts w:ascii="Calibri" w:hAnsi="Calibri" w:cs="Calibri"/>
                <w:sz w:val="18"/>
                <w:szCs w:val="18"/>
                <w:lang w:val="en-AU"/>
              </w:rPr>
            </w:pPr>
            <w:hyperlink r:id="rId35" w:history="1">
              <w:r w:rsidRPr="00C723E0">
                <w:rPr>
                  <w:rFonts w:ascii="Calibri" w:hAnsi="Calibri" w:cs="Calibri"/>
                  <w:color w:val="0000FF"/>
                  <w:sz w:val="18"/>
                  <w:szCs w:val="18"/>
                  <w:u w:val="single"/>
                  <w:lang w:val="en-AU"/>
                </w:rPr>
                <w:t>https://www.ifc.org/en/pressroom/2024/ifc-and-the-spx-launch-esg-program-in-fiji-to-boost-sustainable-growth-spur-investment</w:t>
              </w:r>
            </w:hyperlink>
          </w:p>
        </w:tc>
      </w:tr>
      <w:tr w:rsidR="00FB537C" w:rsidRPr="00C723E0" w14:paraId="396C93A6" w14:textId="77777777" w:rsidTr="008C32D2">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27EC64" w14:textId="77777777" w:rsidR="00FB537C" w:rsidRPr="00C723E0" w:rsidRDefault="00FB537C" w:rsidP="00FB537C">
            <w:pPr>
              <w:rPr>
                <w:rFonts w:ascii="Calibri" w:hAnsi="Calibri" w:cs="Calibri"/>
                <w:sz w:val="18"/>
                <w:szCs w:val="18"/>
                <w:lang w:val="en-AU"/>
              </w:rPr>
            </w:pPr>
            <w:r w:rsidRPr="00C723E0">
              <w:rPr>
                <w:rFonts w:ascii="Calibri" w:hAnsi="Calibri" w:cs="Calibri"/>
                <w:sz w:val="18"/>
                <w:szCs w:val="18"/>
                <w:lang w:val="en-AU"/>
              </w:rPr>
              <w:t>Pacific ESG, June 2024</w:t>
            </w:r>
          </w:p>
        </w:tc>
        <w:tc>
          <w:tcPr>
            <w:tcW w:w="6602" w:type="dxa"/>
            <w:tcBorders>
              <w:top w:val="nil"/>
              <w:left w:val="nil"/>
              <w:bottom w:val="single" w:sz="8" w:space="0" w:color="auto"/>
              <w:right w:val="single" w:sz="8" w:space="0" w:color="auto"/>
            </w:tcBorders>
            <w:tcMar>
              <w:top w:w="0" w:type="dxa"/>
              <w:left w:w="108" w:type="dxa"/>
              <w:bottom w:w="0" w:type="dxa"/>
              <w:right w:w="108" w:type="dxa"/>
            </w:tcMar>
            <w:hideMark/>
          </w:tcPr>
          <w:p w14:paraId="37A46968" w14:textId="77777777" w:rsidR="00FB537C" w:rsidRPr="00C723E0" w:rsidRDefault="00FB537C" w:rsidP="00FB537C">
            <w:pPr>
              <w:rPr>
                <w:rFonts w:ascii="Calibri" w:hAnsi="Calibri" w:cs="Calibri"/>
                <w:sz w:val="18"/>
                <w:szCs w:val="18"/>
                <w:lang w:val="en-AU"/>
              </w:rPr>
            </w:pPr>
            <w:hyperlink r:id="rId36" w:anchor=":~:text=Under%20an%20agreement%2C%20the%20Fiji,practices%20to%20Fiji's%20private%20sector" w:history="1">
              <w:r w:rsidRPr="00C723E0">
                <w:rPr>
                  <w:rFonts w:ascii="Calibri" w:hAnsi="Calibri" w:cs="Calibri"/>
                  <w:color w:val="0000FF"/>
                  <w:sz w:val="18"/>
                  <w:szCs w:val="18"/>
                  <w:u w:val="single"/>
                  <w:lang w:val="en-AU"/>
                </w:rPr>
                <w:t>https://www.ifc.org/en/pressroom/2024/fcef-and-ifc-partner-on-esg-program-in-fiji-to-boost-business-performance-economic-growth#:~:text=Under%20an%20agreement%2C%20the%20Fiji,practices%20to%20Fiji's%20private%20sector</w:t>
              </w:r>
            </w:hyperlink>
            <w:r w:rsidRPr="00C723E0">
              <w:rPr>
                <w:rFonts w:ascii="Calibri" w:hAnsi="Calibri" w:cs="Calibri"/>
                <w:sz w:val="18"/>
                <w:szCs w:val="18"/>
                <w:lang w:val="en-AU"/>
              </w:rPr>
              <w:t>.</w:t>
            </w:r>
          </w:p>
        </w:tc>
      </w:tr>
    </w:tbl>
    <w:p w14:paraId="3AFADE18" w14:textId="1D061F06" w:rsidR="00851C7B" w:rsidRPr="00C723E0" w:rsidRDefault="00851C7B" w:rsidP="00552BF9">
      <w:pPr>
        <w:rPr>
          <w:rFonts w:ascii="Calibri" w:hAnsi="Calibri" w:cs="Calibri"/>
          <w:color w:val="000000"/>
          <w:sz w:val="22"/>
          <w:szCs w:val="22"/>
          <w:lang w:val="en-AU"/>
        </w:rPr>
      </w:pPr>
    </w:p>
    <w:p w14:paraId="61D95A4A" w14:textId="4BDF0B3B" w:rsidR="00800B94" w:rsidRPr="00C723E0" w:rsidRDefault="005D7A7D" w:rsidP="00251454">
      <w:pPr>
        <w:pStyle w:val="BodyText"/>
        <w:rPr>
          <w:rFonts w:cs="Calibri"/>
          <w:szCs w:val="22"/>
          <w:lang w:val="en-AU"/>
        </w:rPr>
      </w:pPr>
      <w:r w:rsidRPr="00C723E0">
        <w:rPr>
          <w:rFonts w:cs="Calibri"/>
          <w:szCs w:val="22"/>
          <w:lang w:val="en-AU"/>
        </w:rPr>
        <w:t>The following stories are</w:t>
      </w:r>
      <w:r w:rsidR="00800B94" w:rsidRPr="00C723E0">
        <w:rPr>
          <w:rFonts w:cs="Calibri"/>
          <w:szCs w:val="22"/>
          <w:lang w:val="en-AU"/>
        </w:rPr>
        <w:t xml:space="preserve"> explicitly mentioned in the </w:t>
      </w:r>
      <w:r w:rsidRPr="00C723E0">
        <w:rPr>
          <w:rFonts w:cs="Calibri"/>
          <w:szCs w:val="22"/>
          <w:lang w:val="en-AU"/>
        </w:rPr>
        <w:t>Monitoring and Evaluation Framework</w:t>
      </w:r>
      <w:r w:rsidR="00800B94" w:rsidRPr="00C723E0">
        <w:rPr>
          <w:rFonts w:cs="Calibri"/>
          <w:szCs w:val="22"/>
          <w:lang w:val="en-AU"/>
        </w:rPr>
        <w:t>:</w:t>
      </w:r>
    </w:p>
    <w:p w14:paraId="4061D2A1" w14:textId="77777777" w:rsidR="0028012F" w:rsidRPr="00A26E3C" w:rsidRDefault="0028012F" w:rsidP="00D77455">
      <w:pPr>
        <w:pStyle w:val="BodyText"/>
        <w:numPr>
          <w:ilvl w:val="1"/>
          <w:numId w:val="12"/>
        </w:numPr>
        <w:rPr>
          <w:rFonts w:cs="Calibri"/>
          <w:szCs w:val="22"/>
          <w:lang w:val="en-AU"/>
        </w:rPr>
      </w:pPr>
      <w:r w:rsidRPr="4EF1951E">
        <w:rPr>
          <w:rFonts w:cs="Calibri"/>
          <w:szCs w:val="22"/>
          <w:lang w:val="en-AU"/>
        </w:rPr>
        <w:t>Sovereign Green bonds:</w:t>
      </w:r>
      <w:r w:rsidRPr="4EF1951E">
        <w:rPr>
          <w:rFonts w:cs="Calibri"/>
          <w:b/>
          <w:bCs/>
          <w:color w:val="156082" w:themeColor="accent1"/>
          <w:szCs w:val="22"/>
          <w:lang w:val="en-AU"/>
        </w:rPr>
        <w:t> </w:t>
      </w:r>
      <w:hyperlink r:id="rId37">
        <w:r w:rsidRPr="4EF1951E">
          <w:rPr>
            <w:rStyle w:val="Hyperlink"/>
            <w:rFonts w:cs="Calibri"/>
            <w:b/>
            <w:bCs/>
            <w:color w:val="156082" w:themeColor="accent1"/>
            <w:szCs w:val="22"/>
            <w:lang w:val="en-AU"/>
          </w:rPr>
          <w:t>interactive impact story</w:t>
        </w:r>
      </w:hyperlink>
      <w:r w:rsidRPr="4EF1951E">
        <w:rPr>
          <w:rFonts w:cs="Calibri"/>
          <w:b/>
          <w:bCs/>
          <w:color w:val="156082" w:themeColor="accent1"/>
          <w:szCs w:val="22"/>
          <w:lang w:val="en-AU"/>
        </w:rPr>
        <w:t>,</w:t>
      </w:r>
      <w:r w:rsidRPr="4EF1951E">
        <w:rPr>
          <w:rFonts w:cs="Calibri"/>
          <w:szCs w:val="22"/>
          <w:lang w:val="en-AU"/>
        </w:rPr>
        <w:t xml:space="preserve"> plus videos done of the</w:t>
      </w:r>
      <w:r w:rsidRPr="4EF1951E">
        <w:rPr>
          <w:rFonts w:cs="Calibri"/>
          <w:b/>
          <w:bCs/>
          <w:color w:val="156082" w:themeColor="accent1"/>
          <w:szCs w:val="22"/>
          <w:lang w:val="en-AU"/>
        </w:rPr>
        <w:t> </w:t>
      </w:r>
      <w:hyperlink r:id="rId38">
        <w:r w:rsidRPr="4EF1951E">
          <w:rPr>
            <w:rStyle w:val="Hyperlink"/>
            <w:rFonts w:cs="Calibri"/>
            <w:b/>
            <w:bCs/>
            <w:color w:val="156082" w:themeColor="accent1"/>
            <w:szCs w:val="22"/>
            <w:lang w:val="en-AU"/>
          </w:rPr>
          <w:t>Australian DHC</w:t>
        </w:r>
      </w:hyperlink>
      <w:r w:rsidRPr="4EF1951E">
        <w:rPr>
          <w:rFonts w:cs="Calibri"/>
          <w:szCs w:val="22"/>
          <w:lang w:val="en-AU"/>
        </w:rPr>
        <w:t> and the </w:t>
      </w:r>
      <w:hyperlink r:id="rId39">
        <w:r w:rsidRPr="4EF1951E">
          <w:rPr>
            <w:rStyle w:val="Hyperlink"/>
            <w:rFonts w:cs="Calibri"/>
            <w:b/>
            <w:bCs/>
            <w:color w:val="156082" w:themeColor="accent1"/>
            <w:szCs w:val="22"/>
            <w:lang w:val="en-AU"/>
          </w:rPr>
          <w:t>New Zealand HC</w:t>
        </w:r>
      </w:hyperlink>
      <w:r w:rsidRPr="4EF1951E">
        <w:rPr>
          <w:rFonts w:cs="Calibri"/>
          <w:szCs w:val="22"/>
          <w:lang w:val="en-AU"/>
        </w:rPr>
        <w:t> for their social media posts. </w:t>
      </w:r>
    </w:p>
    <w:p w14:paraId="03DA4215" w14:textId="77777777" w:rsidR="0028012F" w:rsidRPr="00A26E3C" w:rsidRDefault="0028012F" w:rsidP="00D77455">
      <w:pPr>
        <w:pStyle w:val="BodyText"/>
        <w:numPr>
          <w:ilvl w:val="1"/>
          <w:numId w:val="12"/>
        </w:numPr>
        <w:rPr>
          <w:rFonts w:cs="Calibri"/>
          <w:szCs w:val="22"/>
          <w:lang w:val="en-AU"/>
        </w:rPr>
      </w:pPr>
      <w:r w:rsidRPr="4EF1951E">
        <w:rPr>
          <w:rFonts w:cs="Calibri"/>
          <w:szCs w:val="22"/>
          <w:lang w:val="en-AU"/>
        </w:rPr>
        <w:t>Fiji Payment system: </w:t>
      </w:r>
      <w:hyperlink r:id="rId40">
        <w:r w:rsidRPr="4EF1951E">
          <w:rPr>
            <w:rStyle w:val="Hyperlink"/>
            <w:rFonts w:cs="Calibri"/>
            <w:b/>
            <w:bCs/>
            <w:color w:val="156082" w:themeColor="accent1"/>
            <w:szCs w:val="22"/>
            <w:lang w:val="en-AU"/>
          </w:rPr>
          <w:t>interactive impact story</w:t>
        </w:r>
      </w:hyperlink>
      <w:r w:rsidRPr="4EF1951E">
        <w:rPr>
          <w:rFonts w:cs="Calibri"/>
          <w:b/>
          <w:bCs/>
          <w:color w:val="156082" w:themeColor="accent1"/>
          <w:szCs w:val="22"/>
          <w:lang w:val="en-AU"/>
        </w:rPr>
        <w:t>.</w:t>
      </w:r>
    </w:p>
    <w:p w14:paraId="6725E011" w14:textId="77777777" w:rsidR="0028012F" w:rsidRPr="00A26E3C" w:rsidRDefault="0028012F" w:rsidP="00D77455">
      <w:pPr>
        <w:pStyle w:val="BodyText"/>
        <w:numPr>
          <w:ilvl w:val="1"/>
          <w:numId w:val="12"/>
        </w:numPr>
        <w:rPr>
          <w:rFonts w:cs="Calibri"/>
          <w:szCs w:val="22"/>
          <w:lang w:val="en-AU"/>
        </w:rPr>
      </w:pPr>
      <w:r w:rsidRPr="4EF1951E">
        <w:rPr>
          <w:rFonts w:cs="Calibri"/>
          <w:szCs w:val="22"/>
          <w:lang w:val="en-AU"/>
        </w:rPr>
        <w:t>Capital markets project:  </w:t>
      </w:r>
      <w:hyperlink r:id="rId41">
        <w:r w:rsidRPr="4EF1951E">
          <w:rPr>
            <w:rStyle w:val="Hyperlink"/>
            <w:rFonts w:cs="Calibri"/>
            <w:b/>
            <w:bCs/>
            <w:color w:val="156082" w:themeColor="accent1"/>
            <w:szCs w:val="22"/>
            <w:lang w:val="en-AU"/>
          </w:rPr>
          <w:t>op-ed in the Fiji Times</w:t>
        </w:r>
      </w:hyperlink>
      <w:r w:rsidRPr="4EF1951E">
        <w:rPr>
          <w:rFonts w:cs="Calibri"/>
          <w:b/>
          <w:bCs/>
          <w:color w:val="156082" w:themeColor="accent1"/>
          <w:szCs w:val="22"/>
          <w:lang w:val="en-AU"/>
        </w:rPr>
        <w:t> </w:t>
      </w:r>
      <w:r w:rsidRPr="4EF1951E">
        <w:rPr>
          <w:rFonts w:cs="Calibri"/>
          <w:szCs w:val="22"/>
          <w:lang w:val="en-AU"/>
        </w:rPr>
        <w:t>upon the issuance of the first wholesale corporate bond. </w:t>
      </w:r>
    </w:p>
    <w:p w14:paraId="3311CE1C" w14:textId="77777777" w:rsidR="0028012F" w:rsidRPr="00A26E3C" w:rsidRDefault="0028012F" w:rsidP="00D77455">
      <w:pPr>
        <w:pStyle w:val="BodyText"/>
        <w:numPr>
          <w:ilvl w:val="1"/>
          <w:numId w:val="12"/>
        </w:numPr>
        <w:rPr>
          <w:rFonts w:cs="Calibri"/>
          <w:szCs w:val="22"/>
          <w:lang w:val="en-AU"/>
        </w:rPr>
      </w:pPr>
      <w:r w:rsidRPr="4EF1951E">
        <w:rPr>
          <w:rFonts w:cs="Calibri"/>
          <w:szCs w:val="22"/>
          <w:lang w:val="en-AU"/>
        </w:rPr>
        <w:t>Sustainable tourism framework: </w:t>
      </w:r>
      <w:hyperlink r:id="rId42">
        <w:r w:rsidRPr="4EF1951E">
          <w:rPr>
            <w:rStyle w:val="Hyperlink"/>
            <w:rFonts w:cs="Calibri"/>
            <w:b/>
            <w:bCs/>
            <w:color w:val="156082" w:themeColor="accent1"/>
            <w:szCs w:val="22"/>
            <w:lang w:val="en-AU"/>
          </w:rPr>
          <w:t>beneficiary story</w:t>
        </w:r>
      </w:hyperlink>
      <w:r w:rsidRPr="4EF1951E">
        <w:rPr>
          <w:rFonts w:cs="Calibri"/>
          <w:b/>
          <w:bCs/>
          <w:color w:val="156082" w:themeColor="accent1"/>
          <w:szCs w:val="22"/>
          <w:lang w:val="en-AU"/>
        </w:rPr>
        <w:t> </w:t>
      </w:r>
      <w:r w:rsidRPr="4EF1951E">
        <w:rPr>
          <w:rFonts w:cs="Calibri"/>
          <w:szCs w:val="22"/>
          <w:lang w:val="en-AU"/>
        </w:rPr>
        <w:t>re. International Visitor Survey and need for the NSTF.</w:t>
      </w:r>
    </w:p>
    <w:p w14:paraId="4D1CCB28" w14:textId="6127640F" w:rsidR="0028012F" w:rsidRPr="00A26E3C" w:rsidRDefault="0028012F" w:rsidP="00D77455">
      <w:pPr>
        <w:pStyle w:val="BodyText"/>
        <w:numPr>
          <w:ilvl w:val="1"/>
          <w:numId w:val="12"/>
        </w:numPr>
        <w:rPr>
          <w:rFonts w:cs="Calibri"/>
          <w:szCs w:val="22"/>
          <w:lang w:val="en-AU"/>
        </w:rPr>
      </w:pPr>
      <w:r w:rsidRPr="4EF1951E">
        <w:rPr>
          <w:rFonts w:cs="Calibri"/>
          <w:szCs w:val="22"/>
          <w:lang w:val="en-AU"/>
        </w:rPr>
        <w:t>Pacific PPPs: including in Fiji,</w:t>
      </w:r>
      <w:r w:rsidRPr="4EF1951E">
        <w:rPr>
          <w:rFonts w:cs="Calibri"/>
          <w:b/>
          <w:bCs/>
          <w:color w:val="156082" w:themeColor="accent1"/>
          <w:szCs w:val="22"/>
          <w:lang w:val="en-AU"/>
        </w:rPr>
        <w:t xml:space="preserve"> </w:t>
      </w:r>
      <w:hyperlink r:id="rId43">
        <w:r w:rsidRPr="4EF1951E">
          <w:rPr>
            <w:rStyle w:val="Hyperlink"/>
            <w:rFonts w:cs="Calibri"/>
            <w:b/>
            <w:bCs/>
            <w:color w:val="156082" w:themeColor="accent1"/>
            <w:szCs w:val="22"/>
            <w:lang w:val="en-AU"/>
          </w:rPr>
          <w:t>interactive impact story</w:t>
        </w:r>
      </w:hyperlink>
      <w:r w:rsidRPr="4EF1951E">
        <w:rPr>
          <w:rFonts w:cs="Calibri"/>
          <w:b/>
          <w:bCs/>
          <w:color w:val="156082" w:themeColor="accent1"/>
          <w:szCs w:val="22"/>
          <w:lang w:val="en-AU"/>
        </w:rPr>
        <w:t xml:space="preserve"> </w:t>
      </w:r>
    </w:p>
    <w:p w14:paraId="7DBFD156" w14:textId="0074E880" w:rsidR="00744BE1" w:rsidRPr="00C723E0" w:rsidRDefault="003D2197" w:rsidP="00744BE1">
      <w:pPr>
        <w:pStyle w:val="Heading1"/>
        <w:rPr>
          <w:rFonts w:cs="Calibri"/>
          <w:b w:val="0"/>
          <w:bCs/>
          <w:lang w:val="en-AU"/>
        </w:rPr>
      </w:pPr>
      <w:r w:rsidRPr="00C723E0">
        <w:rPr>
          <w:rFonts w:cs="Calibri"/>
          <w:sz w:val="22"/>
          <w:szCs w:val="22"/>
          <w:lang w:val="en-AU"/>
        </w:rPr>
        <w:br w:type="page"/>
      </w:r>
      <w:bookmarkStart w:id="81" w:name="_Toc206675833"/>
      <w:r w:rsidR="00744BE1" w:rsidRPr="4EF1951E">
        <w:rPr>
          <w:rFonts w:cs="Calibri"/>
          <w:b w:val="0"/>
          <w:bCs/>
          <w:lang w:val="en-AU"/>
        </w:rPr>
        <w:lastRenderedPageBreak/>
        <w:t xml:space="preserve">Annex </w:t>
      </w:r>
      <w:r w:rsidR="00744BE1">
        <w:rPr>
          <w:rFonts w:cs="Calibri"/>
          <w:b w:val="0"/>
          <w:bCs/>
          <w:lang w:val="en-AU"/>
        </w:rPr>
        <w:t>7</w:t>
      </w:r>
      <w:r w:rsidR="00744BE1" w:rsidRPr="4EF1951E">
        <w:rPr>
          <w:rFonts w:cs="Calibri"/>
          <w:b w:val="0"/>
          <w:bCs/>
          <w:lang w:val="en-AU"/>
        </w:rPr>
        <w:t xml:space="preserve">: </w:t>
      </w:r>
      <w:r w:rsidR="00744BE1">
        <w:rPr>
          <w:rFonts w:cs="Calibri"/>
          <w:b w:val="0"/>
          <w:bCs/>
          <w:lang w:val="en-AU"/>
        </w:rPr>
        <w:t xml:space="preserve">Accessible versions of images in </w:t>
      </w:r>
      <w:r w:rsidR="00C03606">
        <w:rPr>
          <w:rFonts w:cs="Calibri"/>
          <w:b w:val="0"/>
          <w:bCs/>
          <w:lang w:val="en-AU"/>
        </w:rPr>
        <w:t>document</w:t>
      </w:r>
      <w:bookmarkEnd w:id="81"/>
    </w:p>
    <w:p w14:paraId="56F2091F" w14:textId="77777777" w:rsidR="00C03606" w:rsidRDefault="00C03606" w:rsidP="00C03606">
      <w:pPr>
        <w:pStyle w:val="BodyText"/>
        <w:rPr>
          <w:rFonts w:cs="Calibri"/>
          <w:szCs w:val="22"/>
          <w:lang w:val="en-AU"/>
        </w:rPr>
      </w:pPr>
    </w:p>
    <w:p w14:paraId="49A21D92" w14:textId="2A630F43" w:rsidR="00E14CDE" w:rsidRDefault="00F10D19" w:rsidP="00C03606">
      <w:pPr>
        <w:pStyle w:val="BodyText"/>
        <w:rPr>
          <w:rFonts w:cs="Calibri"/>
          <w:szCs w:val="22"/>
          <w:lang w:val="en-AU"/>
        </w:rPr>
      </w:pPr>
      <w:r>
        <w:rPr>
          <w:rFonts w:cs="Calibri"/>
          <w:szCs w:val="22"/>
          <w:lang w:val="en-AU"/>
        </w:rPr>
        <w:t xml:space="preserve">Diagram 1: </w:t>
      </w:r>
      <w:r w:rsidR="00E14CDE">
        <w:rPr>
          <w:rFonts w:cs="Calibri"/>
          <w:szCs w:val="22"/>
          <w:lang w:val="en-AU"/>
        </w:rPr>
        <w:t>IFC’s Approach to PPPs</w:t>
      </w:r>
    </w:p>
    <w:p w14:paraId="5BBEC3F9" w14:textId="7B7B70C5" w:rsidR="008D445B" w:rsidRPr="00362BE5" w:rsidRDefault="00705214" w:rsidP="00C03606">
      <w:pPr>
        <w:pStyle w:val="BodyText"/>
        <w:rPr>
          <w:rFonts w:cs="Calibri"/>
          <w:szCs w:val="22"/>
          <w:lang w:val="en-AU"/>
        </w:rPr>
      </w:pPr>
      <w:r w:rsidRPr="00362BE5">
        <w:rPr>
          <w:rFonts w:cs="Calibri"/>
          <w:szCs w:val="22"/>
          <w:lang w:val="en-AU"/>
        </w:rPr>
        <w:t xml:space="preserve">Sustainable </w:t>
      </w:r>
      <w:r w:rsidR="00762781" w:rsidRPr="00362BE5">
        <w:rPr>
          <w:rFonts w:cs="Calibri"/>
          <w:szCs w:val="22"/>
          <w:lang w:val="en-AU"/>
        </w:rPr>
        <w:t>Infrastructure</w:t>
      </w:r>
      <w:r w:rsidR="00410580" w:rsidRPr="00362BE5">
        <w:rPr>
          <w:rFonts w:cs="Calibri"/>
          <w:szCs w:val="22"/>
          <w:lang w:val="en-AU"/>
        </w:rPr>
        <w:t>: Public-Private Partnerships</w:t>
      </w:r>
      <w:r w:rsidR="008D445B" w:rsidRPr="00362BE5">
        <w:rPr>
          <w:rFonts w:cs="Calibri"/>
          <w:szCs w:val="22"/>
          <w:lang w:val="en-AU"/>
        </w:rPr>
        <w:t xml:space="preserve"> (PPPs)</w:t>
      </w:r>
    </w:p>
    <w:p w14:paraId="2B04F8BF" w14:textId="46C32C50" w:rsidR="00E26125" w:rsidRPr="00362BE5" w:rsidRDefault="008D445B" w:rsidP="00C03606">
      <w:pPr>
        <w:pStyle w:val="BodyText"/>
        <w:rPr>
          <w:rFonts w:cs="Calibri"/>
          <w:szCs w:val="22"/>
          <w:lang w:val="en-AU"/>
        </w:rPr>
      </w:pPr>
      <w:r w:rsidRPr="00362BE5">
        <w:rPr>
          <w:rFonts w:cs="Calibri"/>
          <w:szCs w:val="22"/>
          <w:lang w:val="en-AU"/>
        </w:rPr>
        <w:t>Business Case</w:t>
      </w:r>
      <w:r w:rsidR="00C71677">
        <w:rPr>
          <w:rFonts w:cs="Calibri"/>
          <w:szCs w:val="22"/>
          <w:lang w:val="en-AU"/>
        </w:rPr>
        <w:t xml:space="preserve"> - </w:t>
      </w:r>
      <w:r w:rsidR="002429B6" w:rsidRPr="00362BE5">
        <w:rPr>
          <w:rFonts w:cs="Calibri"/>
          <w:szCs w:val="22"/>
          <w:lang w:val="en-AU"/>
        </w:rPr>
        <w:t>Project definition</w:t>
      </w:r>
      <w:r w:rsidR="00AC0A29" w:rsidRPr="00362BE5">
        <w:rPr>
          <w:rFonts w:cs="Calibri"/>
          <w:szCs w:val="22"/>
          <w:lang w:val="en-AU"/>
        </w:rPr>
        <w:t xml:space="preserve"> – Sector studies, Delimitation</w:t>
      </w:r>
      <w:r w:rsidR="00006BDF" w:rsidRPr="00362BE5">
        <w:rPr>
          <w:rFonts w:cs="Calibri"/>
          <w:szCs w:val="22"/>
          <w:lang w:val="en-AU"/>
        </w:rPr>
        <w:t xml:space="preserve"> of transaction perimeters, Financing options and delivery models</w:t>
      </w:r>
      <w:r w:rsidR="00E26125" w:rsidRPr="00362BE5">
        <w:rPr>
          <w:rFonts w:cs="Calibri"/>
          <w:szCs w:val="22"/>
          <w:lang w:val="en-AU"/>
        </w:rPr>
        <w:t>.</w:t>
      </w:r>
    </w:p>
    <w:p w14:paraId="79C6E0AE" w14:textId="77777777" w:rsidR="00FD5BAD" w:rsidRPr="00362BE5" w:rsidRDefault="00E26125" w:rsidP="00C03606">
      <w:pPr>
        <w:pStyle w:val="BodyText"/>
        <w:rPr>
          <w:rFonts w:cs="Calibri"/>
          <w:szCs w:val="22"/>
          <w:lang w:val="en-AU"/>
        </w:rPr>
      </w:pPr>
      <w:r w:rsidRPr="00362BE5">
        <w:rPr>
          <w:rFonts w:cs="Calibri"/>
          <w:szCs w:val="22"/>
          <w:lang w:val="en-AU"/>
        </w:rPr>
        <w:t>Crucial activities</w:t>
      </w:r>
      <w:r w:rsidR="00FD5BAD" w:rsidRPr="00362BE5">
        <w:rPr>
          <w:rFonts w:cs="Calibri"/>
          <w:szCs w:val="22"/>
          <w:lang w:val="en-AU"/>
        </w:rPr>
        <w:t>:</w:t>
      </w:r>
    </w:p>
    <w:p w14:paraId="3020D9F9" w14:textId="77777777" w:rsidR="00362BE5" w:rsidRDefault="00FD5BAD" w:rsidP="00D77455">
      <w:pPr>
        <w:pStyle w:val="BodyText"/>
        <w:numPr>
          <w:ilvl w:val="0"/>
          <w:numId w:val="15"/>
        </w:numPr>
        <w:spacing w:after="0"/>
        <w:contextualSpacing/>
        <w:rPr>
          <w:rFonts w:cs="Calibri"/>
          <w:szCs w:val="22"/>
          <w:lang w:val="en-AU"/>
        </w:rPr>
      </w:pPr>
      <w:r w:rsidRPr="00362BE5">
        <w:rPr>
          <w:rFonts w:cs="Calibri"/>
          <w:szCs w:val="22"/>
          <w:lang w:val="en-AU"/>
        </w:rPr>
        <w:t>Legal</w:t>
      </w:r>
      <w:r w:rsidR="003523CF" w:rsidRPr="00362BE5">
        <w:rPr>
          <w:rFonts w:cs="Calibri"/>
          <w:szCs w:val="22"/>
          <w:lang w:val="en-AU"/>
        </w:rPr>
        <w:t>, technical, sectoral diagnostic</w:t>
      </w:r>
    </w:p>
    <w:p w14:paraId="481BE07F" w14:textId="6B65CEA0" w:rsidR="00482528" w:rsidRDefault="00482528" w:rsidP="00D77455">
      <w:pPr>
        <w:pStyle w:val="BodyText"/>
        <w:numPr>
          <w:ilvl w:val="0"/>
          <w:numId w:val="15"/>
        </w:numPr>
        <w:spacing w:after="0"/>
        <w:contextualSpacing/>
        <w:rPr>
          <w:rFonts w:cs="Calibri"/>
          <w:szCs w:val="22"/>
          <w:lang w:val="en-AU"/>
        </w:rPr>
      </w:pPr>
      <w:r>
        <w:rPr>
          <w:rFonts w:cs="Calibri"/>
          <w:szCs w:val="22"/>
          <w:lang w:val="en-AU"/>
        </w:rPr>
        <w:t xml:space="preserve">Financial </w:t>
      </w:r>
      <w:r w:rsidR="00A26CD5">
        <w:rPr>
          <w:rFonts w:cs="Calibri"/>
          <w:szCs w:val="22"/>
          <w:lang w:val="en-AU"/>
        </w:rPr>
        <w:t>analysis</w:t>
      </w:r>
      <w:r w:rsidR="00B6073C">
        <w:rPr>
          <w:rFonts w:cs="Calibri"/>
          <w:szCs w:val="22"/>
          <w:lang w:val="en-AU"/>
        </w:rPr>
        <w:t xml:space="preserve"> (financial model, costs and revenues assessment)</w:t>
      </w:r>
    </w:p>
    <w:p w14:paraId="20811118" w14:textId="59C1F008" w:rsidR="00B6073C" w:rsidRDefault="00B6073C" w:rsidP="00D77455">
      <w:pPr>
        <w:pStyle w:val="BodyText"/>
        <w:numPr>
          <w:ilvl w:val="0"/>
          <w:numId w:val="15"/>
        </w:numPr>
        <w:spacing w:after="0"/>
        <w:contextualSpacing/>
        <w:rPr>
          <w:rFonts w:cs="Calibri"/>
          <w:szCs w:val="22"/>
          <w:lang w:val="en-AU"/>
        </w:rPr>
      </w:pPr>
      <w:r>
        <w:rPr>
          <w:rFonts w:cs="Calibri"/>
          <w:szCs w:val="22"/>
          <w:lang w:val="en-AU"/>
        </w:rPr>
        <w:t>Initial discussions with financiers</w:t>
      </w:r>
    </w:p>
    <w:p w14:paraId="60E1A738" w14:textId="6F48CBB5" w:rsidR="00F600DC" w:rsidRDefault="00735CB5" w:rsidP="00D77455">
      <w:pPr>
        <w:pStyle w:val="BodyText"/>
        <w:numPr>
          <w:ilvl w:val="0"/>
          <w:numId w:val="15"/>
        </w:numPr>
        <w:spacing w:after="0"/>
        <w:contextualSpacing/>
        <w:rPr>
          <w:rFonts w:cs="Calibri"/>
          <w:szCs w:val="22"/>
          <w:lang w:val="en-AU"/>
        </w:rPr>
      </w:pPr>
      <w:r>
        <w:rPr>
          <w:rFonts w:cs="Calibri"/>
          <w:szCs w:val="22"/>
          <w:lang w:val="en-AU"/>
        </w:rPr>
        <w:t>Initial marketing to investors</w:t>
      </w:r>
    </w:p>
    <w:p w14:paraId="3DE8D4E0" w14:textId="3275D04D" w:rsidR="007B7656" w:rsidRDefault="007B7656" w:rsidP="00D77455">
      <w:pPr>
        <w:pStyle w:val="BodyText"/>
        <w:numPr>
          <w:ilvl w:val="0"/>
          <w:numId w:val="15"/>
        </w:numPr>
        <w:spacing w:after="0"/>
        <w:contextualSpacing/>
        <w:rPr>
          <w:rFonts w:cs="Calibri"/>
          <w:szCs w:val="22"/>
          <w:lang w:val="en-AU"/>
        </w:rPr>
      </w:pPr>
      <w:r>
        <w:rPr>
          <w:rFonts w:cs="Calibri"/>
          <w:szCs w:val="22"/>
          <w:lang w:val="en-AU"/>
        </w:rPr>
        <w:t>Evaluation of delivery models</w:t>
      </w:r>
    </w:p>
    <w:p w14:paraId="594ED54E" w14:textId="0F739899" w:rsidR="007B7656" w:rsidRDefault="007B7656" w:rsidP="00D77455">
      <w:pPr>
        <w:pStyle w:val="BodyText"/>
        <w:numPr>
          <w:ilvl w:val="0"/>
          <w:numId w:val="15"/>
        </w:numPr>
        <w:spacing w:after="0"/>
        <w:contextualSpacing/>
        <w:rPr>
          <w:rFonts w:cs="Calibri"/>
          <w:szCs w:val="22"/>
          <w:lang w:val="en-AU"/>
        </w:rPr>
      </w:pPr>
      <w:r>
        <w:rPr>
          <w:rFonts w:cs="Calibri"/>
          <w:szCs w:val="22"/>
          <w:lang w:val="en-AU"/>
        </w:rPr>
        <w:t>R</w:t>
      </w:r>
      <w:r w:rsidR="004A6495">
        <w:rPr>
          <w:rFonts w:cs="Calibri"/>
          <w:szCs w:val="22"/>
          <w:lang w:val="en-AU"/>
        </w:rPr>
        <w:t>ecommendations on transactions’ perimeter, technical specifications, delivery models, financing</w:t>
      </w:r>
      <w:r w:rsidR="00567236">
        <w:rPr>
          <w:rFonts w:cs="Calibri"/>
          <w:szCs w:val="22"/>
          <w:lang w:val="en-AU"/>
        </w:rPr>
        <w:t xml:space="preserve"> packages</w:t>
      </w:r>
    </w:p>
    <w:p w14:paraId="465CF46B" w14:textId="77777777" w:rsidR="00983C52" w:rsidRDefault="00983C52" w:rsidP="00983C52">
      <w:pPr>
        <w:pStyle w:val="BodyText"/>
        <w:spacing w:after="0"/>
        <w:contextualSpacing/>
        <w:rPr>
          <w:rFonts w:cs="Calibri"/>
          <w:szCs w:val="22"/>
          <w:lang w:val="en-AU"/>
        </w:rPr>
      </w:pPr>
    </w:p>
    <w:p w14:paraId="2B994B8A" w14:textId="7CC726B6" w:rsidR="00983C52" w:rsidRDefault="00504327" w:rsidP="00983C52">
      <w:pPr>
        <w:pStyle w:val="BodyText"/>
        <w:spacing w:after="0"/>
        <w:contextualSpacing/>
        <w:rPr>
          <w:rFonts w:cs="Calibri"/>
          <w:szCs w:val="22"/>
          <w:lang w:val="en-AU"/>
        </w:rPr>
      </w:pPr>
      <w:r>
        <w:rPr>
          <w:rFonts w:cs="Calibri"/>
          <w:szCs w:val="22"/>
          <w:lang w:val="en-AU"/>
        </w:rPr>
        <w:t xml:space="preserve">Phase </w:t>
      </w:r>
      <w:r w:rsidR="00760EB8">
        <w:rPr>
          <w:rFonts w:cs="Calibri"/>
          <w:szCs w:val="22"/>
          <w:lang w:val="en-AU"/>
        </w:rPr>
        <w:t>1</w:t>
      </w:r>
      <w:r>
        <w:rPr>
          <w:rFonts w:cs="Calibri"/>
          <w:szCs w:val="22"/>
          <w:lang w:val="en-AU"/>
        </w:rPr>
        <w:t xml:space="preserve"> </w:t>
      </w:r>
      <w:r w:rsidR="0091270C">
        <w:rPr>
          <w:rFonts w:cs="Calibri"/>
          <w:szCs w:val="22"/>
          <w:lang w:val="en-AU"/>
        </w:rPr>
        <w:t>–</w:t>
      </w:r>
      <w:r>
        <w:rPr>
          <w:rFonts w:cs="Calibri"/>
          <w:szCs w:val="22"/>
          <w:lang w:val="en-AU"/>
        </w:rPr>
        <w:t xml:space="preserve"> Trans</w:t>
      </w:r>
      <w:r w:rsidR="0091270C">
        <w:rPr>
          <w:rFonts w:cs="Calibri"/>
          <w:szCs w:val="22"/>
          <w:lang w:val="en-AU"/>
        </w:rPr>
        <w:t>action Structuring</w:t>
      </w:r>
    </w:p>
    <w:p w14:paraId="72177492" w14:textId="1AA6F3B4" w:rsidR="006E1CD8" w:rsidRDefault="006E1CD8" w:rsidP="00983C52">
      <w:pPr>
        <w:pStyle w:val="BodyText"/>
        <w:spacing w:after="0"/>
        <w:contextualSpacing/>
        <w:rPr>
          <w:rFonts w:cs="Calibri"/>
          <w:szCs w:val="22"/>
          <w:lang w:val="en-AU"/>
        </w:rPr>
      </w:pPr>
      <w:r>
        <w:rPr>
          <w:rFonts w:cs="Calibri"/>
          <w:szCs w:val="22"/>
          <w:lang w:val="en-AU"/>
        </w:rPr>
        <w:t>Define risk allocation</w:t>
      </w:r>
      <w:r w:rsidR="00DC78E2">
        <w:rPr>
          <w:rFonts w:cs="Calibri"/>
          <w:szCs w:val="22"/>
          <w:lang w:val="en-AU"/>
        </w:rPr>
        <w:t xml:space="preserve">, Prepare </w:t>
      </w:r>
      <w:r w:rsidR="002A5789">
        <w:rPr>
          <w:rFonts w:cs="Calibri"/>
          <w:szCs w:val="22"/>
          <w:lang w:val="en-AU"/>
        </w:rPr>
        <w:t>info package for bidders</w:t>
      </w:r>
    </w:p>
    <w:p w14:paraId="4569F59F" w14:textId="5264D280" w:rsidR="00F9776B" w:rsidRDefault="00F9776B" w:rsidP="00983C52">
      <w:pPr>
        <w:pStyle w:val="BodyText"/>
        <w:spacing w:after="0"/>
        <w:contextualSpacing/>
        <w:rPr>
          <w:rFonts w:cs="Calibri"/>
          <w:szCs w:val="22"/>
          <w:lang w:val="en-AU"/>
        </w:rPr>
      </w:pPr>
      <w:r>
        <w:rPr>
          <w:rFonts w:cs="Calibri"/>
          <w:szCs w:val="22"/>
          <w:lang w:val="en-AU"/>
        </w:rPr>
        <w:t>Crucial activities</w:t>
      </w:r>
      <w:r w:rsidR="003B3689">
        <w:rPr>
          <w:rFonts w:cs="Calibri"/>
          <w:szCs w:val="22"/>
          <w:lang w:val="en-AU"/>
        </w:rPr>
        <w:t>:</w:t>
      </w:r>
    </w:p>
    <w:p w14:paraId="03FA7279" w14:textId="54C34CAC" w:rsidR="003B3689" w:rsidRDefault="003B3689" w:rsidP="00D77455">
      <w:pPr>
        <w:pStyle w:val="BodyText"/>
        <w:numPr>
          <w:ilvl w:val="0"/>
          <w:numId w:val="16"/>
        </w:numPr>
        <w:spacing w:after="0"/>
        <w:contextualSpacing/>
        <w:rPr>
          <w:rFonts w:cs="Calibri"/>
          <w:szCs w:val="22"/>
          <w:lang w:val="en-AU"/>
        </w:rPr>
      </w:pPr>
      <w:r>
        <w:rPr>
          <w:rFonts w:cs="Calibri"/>
          <w:szCs w:val="22"/>
          <w:lang w:val="en-AU"/>
        </w:rPr>
        <w:t xml:space="preserve">Detailed </w:t>
      </w:r>
      <w:r w:rsidR="007C10CA">
        <w:rPr>
          <w:rFonts w:cs="Calibri"/>
          <w:szCs w:val="22"/>
          <w:lang w:val="en-AU"/>
        </w:rPr>
        <w:t>legal, technical</w:t>
      </w:r>
      <w:r w:rsidR="00A631F4">
        <w:rPr>
          <w:rFonts w:cs="Calibri"/>
          <w:szCs w:val="22"/>
          <w:lang w:val="en-AU"/>
        </w:rPr>
        <w:t xml:space="preserve">, financial </w:t>
      </w:r>
      <w:r w:rsidR="005C04FA">
        <w:rPr>
          <w:rFonts w:cs="Calibri"/>
          <w:szCs w:val="22"/>
          <w:lang w:val="en-AU"/>
        </w:rPr>
        <w:t>transaction</w:t>
      </w:r>
      <w:r w:rsidR="005D3C25">
        <w:rPr>
          <w:rFonts w:cs="Calibri"/>
          <w:szCs w:val="22"/>
          <w:lang w:val="en-AU"/>
        </w:rPr>
        <w:t xml:space="preserve"> preparation</w:t>
      </w:r>
      <w:r w:rsidR="00F1748B">
        <w:rPr>
          <w:rFonts w:cs="Calibri"/>
          <w:szCs w:val="22"/>
          <w:lang w:val="en-AU"/>
        </w:rPr>
        <w:t xml:space="preserve"> </w:t>
      </w:r>
      <w:r w:rsidR="006A188A">
        <w:rPr>
          <w:rFonts w:cs="Calibri"/>
          <w:szCs w:val="22"/>
          <w:lang w:val="en-AU"/>
        </w:rPr>
        <w:t>–</w:t>
      </w:r>
      <w:r w:rsidR="00F1748B">
        <w:rPr>
          <w:rFonts w:cs="Calibri"/>
          <w:szCs w:val="22"/>
          <w:lang w:val="en-AU"/>
        </w:rPr>
        <w:t xml:space="preserve"> prepar</w:t>
      </w:r>
      <w:r w:rsidR="006A188A">
        <w:rPr>
          <w:rFonts w:cs="Calibri"/>
          <w:szCs w:val="22"/>
          <w:lang w:val="en-AU"/>
        </w:rPr>
        <w:t>e info pa</w:t>
      </w:r>
      <w:r w:rsidR="00C65EEB">
        <w:rPr>
          <w:rFonts w:cs="Calibri"/>
          <w:szCs w:val="22"/>
          <w:lang w:val="en-AU"/>
        </w:rPr>
        <w:t>ckage</w:t>
      </w:r>
      <w:r w:rsidR="007F1F3A">
        <w:rPr>
          <w:rFonts w:cs="Calibri"/>
          <w:szCs w:val="22"/>
          <w:lang w:val="en-AU"/>
        </w:rPr>
        <w:t xml:space="preserve"> for bidders</w:t>
      </w:r>
    </w:p>
    <w:p w14:paraId="55AB91E9" w14:textId="5E1A2D65" w:rsidR="00604F58" w:rsidRDefault="00604F58" w:rsidP="00D77455">
      <w:pPr>
        <w:pStyle w:val="BodyText"/>
        <w:numPr>
          <w:ilvl w:val="0"/>
          <w:numId w:val="16"/>
        </w:numPr>
        <w:spacing w:after="0"/>
        <w:contextualSpacing/>
        <w:rPr>
          <w:rFonts w:cs="Calibri"/>
          <w:szCs w:val="22"/>
          <w:lang w:val="en-AU"/>
        </w:rPr>
      </w:pPr>
      <w:r>
        <w:rPr>
          <w:rFonts w:cs="Calibri"/>
          <w:szCs w:val="22"/>
          <w:lang w:val="en-AU"/>
        </w:rPr>
        <w:t>Road show to investors</w:t>
      </w:r>
    </w:p>
    <w:p w14:paraId="6648DF41" w14:textId="43FFE02B" w:rsidR="00604F58" w:rsidRDefault="00604F58" w:rsidP="00D77455">
      <w:pPr>
        <w:pStyle w:val="BodyText"/>
        <w:numPr>
          <w:ilvl w:val="0"/>
          <w:numId w:val="16"/>
        </w:numPr>
        <w:spacing w:after="0"/>
        <w:contextualSpacing/>
        <w:rPr>
          <w:rFonts w:cs="Calibri"/>
          <w:szCs w:val="22"/>
          <w:lang w:val="en-AU"/>
        </w:rPr>
      </w:pPr>
      <w:r>
        <w:rPr>
          <w:rFonts w:cs="Calibri"/>
          <w:szCs w:val="22"/>
          <w:lang w:val="en-AU"/>
        </w:rPr>
        <w:t>Draft term sheet with key risks allocation, and tender strategy</w:t>
      </w:r>
    </w:p>
    <w:p w14:paraId="382DFAB3" w14:textId="4523716F" w:rsidR="00604F58" w:rsidRDefault="00604F58" w:rsidP="00D77455">
      <w:pPr>
        <w:pStyle w:val="BodyText"/>
        <w:numPr>
          <w:ilvl w:val="0"/>
          <w:numId w:val="16"/>
        </w:numPr>
        <w:spacing w:after="0"/>
        <w:contextualSpacing/>
        <w:rPr>
          <w:rFonts w:cs="Calibri"/>
          <w:szCs w:val="22"/>
          <w:lang w:val="en-AU"/>
        </w:rPr>
      </w:pPr>
      <w:r>
        <w:rPr>
          <w:rFonts w:cs="Calibri"/>
          <w:szCs w:val="22"/>
          <w:lang w:val="en-AU"/>
        </w:rPr>
        <w:t>Refine financing plan with financiers</w:t>
      </w:r>
      <w:r w:rsidR="00463B7E">
        <w:rPr>
          <w:rFonts w:cs="Calibri"/>
          <w:szCs w:val="22"/>
          <w:lang w:val="en-AU"/>
        </w:rPr>
        <w:t>, obtain intent letters from public sector’s funders</w:t>
      </w:r>
    </w:p>
    <w:p w14:paraId="6A4866F5" w14:textId="77777777" w:rsidR="00760EB8" w:rsidRDefault="00760EB8" w:rsidP="00760EB8">
      <w:pPr>
        <w:pStyle w:val="BodyText"/>
        <w:spacing w:after="0"/>
        <w:contextualSpacing/>
        <w:rPr>
          <w:rFonts w:cs="Calibri"/>
          <w:szCs w:val="22"/>
          <w:lang w:val="en-AU"/>
        </w:rPr>
      </w:pPr>
    </w:p>
    <w:p w14:paraId="59B9FEDC" w14:textId="08492C8E" w:rsidR="00760EB8" w:rsidRDefault="00760EB8" w:rsidP="00760EB8">
      <w:pPr>
        <w:pStyle w:val="BodyText"/>
        <w:spacing w:after="0"/>
        <w:contextualSpacing/>
        <w:rPr>
          <w:rFonts w:cs="Calibri"/>
          <w:szCs w:val="22"/>
          <w:lang w:val="en-AU"/>
        </w:rPr>
      </w:pPr>
      <w:r>
        <w:rPr>
          <w:rFonts w:cs="Calibri"/>
          <w:szCs w:val="22"/>
          <w:lang w:val="en-AU"/>
        </w:rPr>
        <w:t xml:space="preserve">Phase 2 </w:t>
      </w:r>
      <w:r w:rsidR="00FA2A13">
        <w:rPr>
          <w:rFonts w:cs="Calibri"/>
          <w:szCs w:val="22"/>
          <w:lang w:val="en-AU"/>
        </w:rPr>
        <w:t>–</w:t>
      </w:r>
      <w:r>
        <w:rPr>
          <w:rFonts w:cs="Calibri"/>
          <w:szCs w:val="22"/>
          <w:lang w:val="en-AU"/>
        </w:rPr>
        <w:t xml:space="preserve"> </w:t>
      </w:r>
      <w:r w:rsidR="00FA2A13">
        <w:rPr>
          <w:rFonts w:cs="Calibri"/>
          <w:szCs w:val="22"/>
          <w:lang w:val="en-AU"/>
        </w:rPr>
        <w:t>Bid Process Management</w:t>
      </w:r>
    </w:p>
    <w:p w14:paraId="0E1DC20E" w14:textId="37D55796" w:rsidR="000C30C8" w:rsidRDefault="00E87CD3" w:rsidP="00760EB8">
      <w:pPr>
        <w:pStyle w:val="BodyText"/>
        <w:spacing w:after="0"/>
        <w:contextualSpacing/>
        <w:rPr>
          <w:rFonts w:cs="Calibri"/>
          <w:szCs w:val="22"/>
          <w:lang w:val="en-AU"/>
        </w:rPr>
      </w:pPr>
      <w:r>
        <w:rPr>
          <w:rFonts w:cs="Calibri"/>
          <w:szCs w:val="22"/>
          <w:lang w:val="en-AU"/>
        </w:rPr>
        <w:t>Market to investors, Prepare PPP contact, Conduct</w:t>
      </w:r>
      <w:r w:rsidR="00514793">
        <w:rPr>
          <w:rFonts w:cs="Calibri"/>
          <w:szCs w:val="22"/>
          <w:lang w:val="en-AU"/>
        </w:rPr>
        <w:t xml:space="preserve"> tender, Closing</w:t>
      </w:r>
      <w:r w:rsidR="00BD609C">
        <w:rPr>
          <w:rFonts w:cs="Calibri"/>
          <w:szCs w:val="22"/>
          <w:lang w:val="en-AU"/>
        </w:rPr>
        <w:t>, and achieving contract effectiveness</w:t>
      </w:r>
    </w:p>
    <w:p w14:paraId="43A39F46" w14:textId="2294620F" w:rsidR="0077387F" w:rsidRDefault="00E12C84" w:rsidP="00760EB8">
      <w:pPr>
        <w:pStyle w:val="BodyText"/>
        <w:spacing w:after="0"/>
        <w:contextualSpacing/>
        <w:rPr>
          <w:rFonts w:cs="Calibri"/>
          <w:szCs w:val="22"/>
          <w:lang w:val="en-AU"/>
        </w:rPr>
      </w:pPr>
      <w:r>
        <w:rPr>
          <w:rFonts w:cs="Calibri"/>
          <w:szCs w:val="22"/>
          <w:lang w:val="en-AU"/>
        </w:rPr>
        <w:t>Crucial activities</w:t>
      </w:r>
    </w:p>
    <w:p w14:paraId="78B5291F" w14:textId="2380B1AF" w:rsidR="00CB6D7B" w:rsidRDefault="00CB6D7B" w:rsidP="00D77455">
      <w:pPr>
        <w:pStyle w:val="BodyText"/>
        <w:numPr>
          <w:ilvl w:val="0"/>
          <w:numId w:val="17"/>
        </w:numPr>
        <w:spacing w:after="0"/>
        <w:contextualSpacing/>
        <w:rPr>
          <w:rFonts w:cs="Calibri"/>
          <w:szCs w:val="22"/>
          <w:lang w:val="en-AU"/>
        </w:rPr>
      </w:pPr>
      <w:r>
        <w:rPr>
          <w:rFonts w:cs="Calibri"/>
          <w:szCs w:val="22"/>
          <w:lang w:val="en-AU"/>
        </w:rPr>
        <w:t>Prepare instructions to bidders, and complete project documents (legal</w:t>
      </w:r>
      <w:r w:rsidR="001F4AB0">
        <w:rPr>
          <w:rFonts w:cs="Calibri"/>
          <w:szCs w:val="22"/>
          <w:lang w:val="en-AU"/>
        </w:rPr>
        <w:t xml:space="preserve">, commercial </w:t>
      </w:r>
      <w:r w:rsidR="00EC04C6">
        <w:rPr>
          <w:rFonts w:cs="Calibri"/>
          <w:szCs w:val="22"/>
          <w:lang w:val="en-AU"/>
        </w:rPr>
        <w:t>and technical provisions and schedules)</w:t>
      </w:r>
    </w:p>
    <w:p w14:paraId="35770416" w14:textId="6F8D4FF6" w:rsidR="00EC04C6" w:rsidRDefault="00EC04C6" w:rsidP="00D77455">
      <w:pPr>
        <w:pStyle w:val="BodyText"/>
        <w:numPr>
          <w:ilvl w:val="0"/>
          <w:numId w:val="17"/>
        </w:numPr>
        <w:spacing w:after="0"/>
        <w:contextualSpacing/>
        <w:rPr>
          <w:rFonts w:cs="Calibri"/>
          <w:szCs w:val="22"/>
          <w:lang w:val="en-AU"/>
        </w:rPr>
      </w:pPr>
      <w:r>
        <w:rPr>
          <w:rFonts w:cs="Calibri"/>
          <w:szCs w:val="22"/>
          <w:lang w:val="en-AU"/>
        </w:rPr>
        <w:t>Two-stage</w:t>
      </w:r>
      <w:r w:rsidR="00140818">
        <w:rPr>
          <w:rFonts w:cs="Calibri"/>
          <w:szCs w:val="22"/>
          <w:lang w:val="en-AU"/>
        </w:rPr>
        <w:t xml:space="preserve"> tender procedure (RFQ, then RFP)</w:t>
      </w:r>
    </w:p>
    <w:p w14:paraId="47F54695" w14:textId="500A5B6C" w:rsidR="00501B8B" w:rsidRDefault="00501B8B" w:rsidP="00D77455">
      <w:pPr>
        <w:pStyle w:val="BodyText"/>
        <w:numPr>
          <w:ilvl w:val="0"/>
          <w:numId w:val="17"/>
        </w:numPr>
        <w:spacing w:after="0"/>
        <w:contextualSpacing/>
        <w:rPr>
          <w:rFonts w:cs="Calibri"/>
          <w:szCs w:val="22"/>
          <w:lang w:val="en-AU"/>
        </w:rPr>
      </w:pPr>
      <w:r>
        <w:rPr>
          <w:rFonts w:cs="Calibri"/>
          <w:szCs w:val="22"/>
          <w:lang w:val="en-AU"/>
        </w:rPr>
        <w:t>Negotiations with bidders</w:t>
      </w:r>
    </w:p>
    <w:p w14:paraId="7DB3ADF4" w14:textId="37332453" w:rsidR="00BD6A33" w:rsidRDefault="0005725E" w:rsidP="00D77455">
      <w:pPr>
        <w:pStyle w:val="BodyText"/>
        <w:numPr>
          <w:ilvl w:val="0"/>
          <w:numId w:val="17"/>
        </w:numPr>
        <w:spacing w:after="0"/>
        <w:contextualSpacing/>
        <w:rPr>
          <w:rFonts w:cs="Calibri"/>
          <w:szCs w:val="22"/>
          <w:lang w:val="en-AU"/>
        </w:rPr>
      </w:pPr>
      <w:r>
        <w:rPr>
          <w:rFonts w:cs="Calibri"/>
          <w:szCs w:val="22"/>
          <w:lang w:val="en-AU"/>
        </w:rPr>
        <w:t>Bids’ evaluation</w:t>
      </w:r>
    </w:p>
    <w:p w14:paraId="5C03B7F5" w14:textId="77777777" w:rsidR="00652506" w:rsidRPr="00362BE5" w:rsidRDefault="00652506" w:rsidP="00983C52">
      <w:pPr>
        <w:pStyle w:val="BodyText"/>
        <w:spacing w:after="0"/>
        <w:contextualSpacing/>
        <w:rPr>
          <w:rFonts w:cs="Calibri"/>
          <w:szCs w:val="22"/>
          <w:lang w:val="en-AU"/>
        </w:rPr>
      </w:pPr>
    </w:p>
    <w:p w14:paraId="4ED3FC22" w14:textId="7E78A6E5" w:rsidR="00C03606" w:rsidRPr="008C74DD" w:rsidRDefault="00C03606" w:rsidP="008C74DD">
      <w:pPr>
        <w:pStyle w:val="BodyText"/>
        <w:rPr>
          <w:rFonts w:cs="Calibri"/>
          <w:szCs w:val="22"/>
          <w:highlight w:val="yellow"/>
          <w:lang w:val="en-AU"/>
        </w:rPr>
      </w:pPr>
      <w:r>
        <w:rPr>
          <w:rFonts w:cs="Calibri"/>
          <w:b/>
          <w:bCs/>
          <w:color w:val="156082" w:themeColor="accent1"/>
          <w:szCs w:val="22"/>
          <w:lang w:val="en-AU"/>
        </w:rPr>
        <w:br w:type="page"/>
      </w:r>
    </w:p>
    <w:p w14:paraId="030ABA99" w14:textId="77777777" w:rsidR="00C03606" w:rsidRPr="00A26E3C" w:rsidRDefault="00C03606" w:rsidP="00C03606">
      <w:pPr>
        <w:pStyle w:val="BodyText"/>
        <w:ind w:left="1440"/>
        <w:rPr>
          <w:rFonts w:cs="Calibri"/>
          <w:szCs w:val="22"/>
          <w:lang w:val="en-AU"/>
        </w:rPr>
      </w:pPr>
    </w:p>
    <w:p w14:paraId="7D1A1EFC" w14:textId="29515A2F" w:rsidR="00744BE1" w:rsidRDefault="00744BE1">
      <w:pPr>
        <w:spacing w:after="160" w:line="259" w:lineRule="auto"/>
        <w:rPr>
          <w:rFonts w:ascii="Calibri" w:hAnsi="Calibri" w:cs="Calibri"/>
          <w:sz w:val="22"/>
          <w:szCs w:val="22"/>
          <w:lang w:val="en-AU"/>
        </w:rPr>
      </w:pPr>
    </w:p>
    <w:p w14:paraId="2D6E5BAD" w14:textId="77777777" w:rsidR="00CC5636" w:rsidRPr="00C723E0" w:rsidRDefault="00CC5636" w:rsidP="00251454">
      <w:pPr>
        <w:pStyle w:val="BodyText"/>
        <w:rPr>
          <w:rFonts w:cs="Calibri"/>
          <w:szCs w:val="22"/>
          <w:lang w:val="en-AU"/>
        </w:rPr>
      </w:pPr>
    </w:p>
    <w:p w14:paraId="483C96DD" w14:textId="389559DB" w:rsidR="001C24DD" w:rsidRPr="00C723E0" w:rsidRDefault="003D2197" w:rsidP="00251454">
      <w:pPr>
        <w:pStyle w:val="BodyText"/>
        <w:rPr>
          <w:rFonts w:cs="Calibri"/>
          <w:lang w:val="en-AU"/>
        </w:rPr>
      </w:pPr>
      <w:r w:rsidRPr="00C723E0">
        <w:rPr>
          <w:rFonts w:cs="Calibri"/>
          <w:noProof/>
          <w:sz w:val="18"/>
          <w:szCs w:val="18"/>
          <w:lang w:val="en-AU"/>
        </w:rPr>
        <w:drawing>
          <wp:anchor distT="0" distB="0" distL="114300" distR="114300" simplePos="0" relativeHeight="251658244" behindDoc="1" locked="0" layoutInCell="1" allowOverlap="1" wp14:anchorId="54A4FF46" wp14:editId="0D6878EF">
            <wp:simplePos x="0" y="0"/>
            <wp:positionH relativeFrom="column">
              <wp:posOffset>-1423035</wp:posOffset>
            </wp:positionH>
            <wp:positionV relativeFrom="paragraph">
              <wp:posOffset>7100605</wp:posOffset>
            </wp:positionV>
            <wp:extent cx="8578800" cy="8578800"/>
            <wp:effectExtent l="0" t="0" r="0" b="0"/>
            <wp:wrapNone/>
            <wp:docPr id="11951973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97369"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78800" cy="8578800"/>
                    </a:xfrm>
                    <a:prstGeom prst="rect">
                      <a:avLst/>
                    </a:prstGeom>
                  </pic:spPr>
                </pic:pic>
              </a:graphicData>
            </a:graphic>
            <wp14:sizeRelH relativeFrom="margin">
              <wp14:pctWidth>0</wp14:pctWidth>
            </wp14:sizeRelH>
            <wp14:sizeRelV relativeFrom="margin">
              <wp14:pctHeight>0</wp14:pctHeight>
            </wp14:sizeRelV>
          </wp:anchor>
        </w:drawing>
      </w:r>
      <w:r w:rsidRPr="00C723E0">
        <w:rPr>
          <w:rFonts w:cs="Calibri"/>
          <w:noProof/>
          <w:sz w:val="18"/>
          <w:szCs w:val="18"/>
          <w:lang w:val="en-AU"/>
        </w:rPr>
        <w:drawing>
          <wp:anchor distT="0" distB="0" distL="114300" distR="114300" simplePos="0" relativeHeight="251658243" behindDoc="1" locked="0" layoutInCell="1" allowOverlap="1" wp14:anchorId="2476ED2C" wp14:editId="7BF4109C">
            <wp:simplePos x="0" y="0"/>
            <wp:positionH relativeFrom="column">
              <wp:align>center</wp:align>
            </wp:positionH>
            <wp:positionV relativeFrom="paragraph">
              <wp:posOffset>-962527</wp:posOffset>
            </wp:positionV>
            <wp:extent cx="8578800" cy="8578800"/>
            <wp:effectExtent l="0" t="0" r="0" b="0"/>
            <wp:wrapNone/>
            <wp:docPr id="613315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15288"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78800" cy="8578800"/>
                    </a:xfrm>
                    <a:prstGeom prst="rect">
                      <a:avLst/>
                    </a:prstGeom>
                  </pic:spPr>
                </pic:pic>
              </a:graphicData>
            </a:graphic>
            <wp14:sizeRelH relativeFrom="margin">
              <wp14:pctWidth>0</wp14:pctWidth>
            </wp14:sizeRelH>
            <wp14:sizeRelV relativeFrom="margin">
              <wp14:pctHeight>0</wp14:pctHeight>
            </wp14:sizeRelV>
          </wp:anchor>
        </w:drawing>
      </w:r>
    </w:p>
    <w:sectPr w:rsidR="001C24DD" w:rsidRPr="00C723E0" w:rsidSect="0011673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35668" w14:textId="77777777" w:rsidR="007215FC" w:rsidRDefault="007215FC" w:rsidP="006B0828">
      <w:r>
        <w:separator/>
      </w:r>
    </w:p>
  </w:endnote>
  <w:endnote w:type="continuationSeparator" w:id="0">
    <w:p w14:paraId="7AF7E1FB" w14:textId="77777777" w:rsidR="007215FC" w:rsidRDefault="007215FC" w:rsidP="006B0828">
      <w:r>
        <w:continuationSeparator/>
      </w:r>
    </w:p>
  </w:endnote>
  <w:endnote w:type="continuationNotice" w:id="1">
    <w:p w14:paraId="68DA8421" w14:textId="77777777" w:rsidR="007215FC" w:rsidRDefault="00721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Helvetica Neue">
    <w:altName w:val="Sylfaen"/>
    <w:charset w:val="00"/>
    <w:family w:val="auto"/>
    <w:pitch w:val="variable"/>
    <w:sig w:usb0="E50002FF" w:usb1="500079DB" w:usb2="00000010" w:usb3="00000000" w:csb0="00000001"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683A" w14:textId="4E3D4857" w:rsidR="009F1BE6" w:rsidRDefault="00B5129F" w:rsidP="005D7A7D">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40" behindDoc="0" locked="0" layoutInCell="1" allowOverlap="1" wp14:anchorId="200D0378" wp14:editId="69EC7D9B">
              <wp:simplePos x="635" y="635"/>
              <wp:positionH relativeFrom="page">
                <wp:align>right</wp:align>
              </wp:positionH>
              <wp:positionV relativeFrom="page">
                <wp:align>bottom</wp:align>
              </wp:positionV>
              <wp:extent cx="1106805" cy="345440"/>
              <wp:effectExtent l="0" t="0" r="0" b="0"/>
              <wp:wrapNone/>
              <wp:docPr id="68158983"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6395C2E" w14:textId="61921412"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00D0378" id="_x0000_t202" coordsize="21600,21600" o:spt="202" path="m,l,21600r21600,l21600,xe">
              <v:stroke joinstyle="miter"/>
              <v:path gradientshapeok="t" o:connecttype="rect"/>
            </v:shapetype>
            <v:shape id="Text Box 2" o:spid="_x0000_s1028" type="#_x0000_t202" alt="Official Use Only" style="position:absolute;margin-left:35.95pt;margin-top:0;width:87.15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SEAIAABs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36YewvVkdZBODHtnVw11HMtfHgRSNTSBiTX8EyH&#10;NtCVHAaLsxrwx9/8MZ8QpyhnHUml5Ja0zJn5ZomJqKqzgcmYzKZ5Tu5tuo3v8lm82X37AKTCMT0I&#10;J5NJXgzmbGqE9o3UvIzdKCSspJ4l357Nh3ASLr0GqZbLlEQqciKs7cbJWDqCFZF87d8EugHuQEQ9&#10;wVlMoniH+ik3/undch8I+0RJBPaE5oA3KTAxNbyWKPFf7ynr+qYXPwEAAP//AwBQSwMEFAAGAAgA&#10;AAAhACCiw8vbAAAABAEAAA8AAABkcnMvZG93bnJldi54bWxMj0FLxDAQhe+C/yGM4EXcVK1VaqeL&#10;LngQZMFV9Jo2Y1s2mZQk2+3+e7Ne9DLweI/3vqmWszViIh8GxwhXiwwEcev0wB3Cx/vz5T2IEBVr&#10;ZRwTwoECLOvTk0qV2u35jaZN7EQq4VAqhD7GsZQytD1ZFRZuJE7et/NWxSR9J7VX+1RujbzOskJa&#10;NXBa6NVIq57a7WZnEZ4uwmfzuvWHl3Xuiq9pVZhxXSCen82PDyAizfEvDEf8hA51YmrcjnUQBiE9&#10;En/v0bvLb0A0CLd5DrKu5H/4+gcAAP//AwBQSwECLQAUAAYACAAAACEAtoM4kv4AAADhAQAAEwAA&#10;AAAAAAAAAAAAAAAAAAAAW0NvbnRlbnRfVHlwZXNdLnhtbFBLAQItABQABgAIAAAAIQA4/SH/1gAA&#10;AJQBAAALAAAAAAAAAAAAAAAAAC8BAABfcmVscy8ucmVsc1BLAQItABQABgAIAAAAIQBdbTWSEAIA&#10;ABsEAAAOAAAAAAAAAAAAAAAAAC4CAABkcnMvZTJvRG9jLnhtbFBLAQItABQABgAIAAAAIQAgosPL&#10;2wAAAAQBAAAPAAAAAAAAAAAAAAAAAGoEAABkcnMvZG93bnJldi54bWxQSwUGAAAAAAQABADzAAAA&#10;cgUAAAAA&#10;" filled="f" stroked="f">
              <v:textbox style="mso-fit-shape-to-text:t" inset="0,0,20pt,15pt">
                <w:txbxContent>
                  <w:p w14:paraId="06395C2E" w14:textId="61921412"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v:textbox>
              <w10:wrap anchorx="page" anchory="page"/>
            </v:shape>
          </w:pict>
        </mc:Fallback>
      </mc:AlternateContent>
    </w:r>
  </w:p>
  <w:sdt>
    <w:sdtPr>
      <w:rPr>
        <w:rStyle w:val="PageNumber"/>
      </w:rPr>
      <w:id w:val="162287235"/>
      <w:docPartObj>
        <w:docPartGallery w:val="Page Numbers (Bottom of Page)"/>
        <w:docPartUnique/>
      </w:docPartObj>
    </w:sdtPr>
    <w:sdtContent>
      <w:p w14:paraId="7176A93B" w14:textId="77777777" w:rsidR="009F1BE6" w:rsidRDefault="009F1BE6" w:rsidP="005D7A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70188B" w14:textId="77777777" w:rsidR="009F1BE6" w:rsidRDefault="009F1BE6" w:rsidP="009F1B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C30B2" w14:textId="5B30890A" w:rsidR="00B5129F" w:rsidRDefault="00B5129F">
    <w:pPr>
      <w:pStyle w:val="Footer"/>
    </w:pPr>
    <w:r>
      <w:rPr>
        <w:noProof/>
        <w14:ligatures w14:val="standardContextual"/>
      </w:rPr>
      <mc:AlternateContent>
        <mc:Choice Requires="wps">
          <w:drawing>
            <wp:anchor distT="0" distB="0" distL="0" distR="0" simplePos="0" relativeHeight="251658241" behindDoc="0" locked="0" layoutInCell="1" allowOverlap="1" wp14:anchorId="700633C0" wp14:editId="7C21FE5C">
              <wp:simplePos x="914400" y="10220325"/>
              <wp:positionH relativeFrom="page">
                <wp:align>right</wp:align>
              </wp:positionH>
              <wp:positionV relativeFrom="page">
                <wp:align>bottom</wp:align>
              </wp:positionV>
              <wp:extent cx="1106805" cy="345440"/>
              <wp:effectExtent l="0" t="0" r="0" b="0"/>
              <wp:wrapNone/>
              <wp:docPr id="511621389"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084154A" w14:textId="26319F10"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00633C0" id="_x0000_t202" coordsize="21600,21600" o:spt="202" path="m,l,21600r21600,l21600,xe">
              <v:stroke joinstyle="miter"/>
              <v:path gradientshapeok="t" o:connecttype="rect"/>
            </v:shapetype>
            <v:shape id="Text Box 3" o:spid="_x0000_s1029" type="#_x0000_t202" alt="Official Use Only" style="position:absolute;margin-left:35.95pt;margin-top:0;width:87.15pt;height:27.2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filled="f" stroked="f">
              <v:textbox style="mso-fit-shape-to-text:t" inset="0,0,20pt,15pt">
                <w:txbxContent>
                  <w:p w14:paraId="4084154A" w14:textId="26319F10"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554697"/>
      <w:docPartObj>
        <w:docPartGallery w:val="Page Numbers (Bottom of Page)"/>
        <w:docPartUnique/>
      </w:docPartObj>
    </w:sdtPr>
    <w:sdtEndPr>
      <w:rPr>
        <w:noProof/>
      </w:rPr>
    </w:sdtEndPr>
    <w:sdtContent>
      <w:p w14:paraId="5049F1CA" w14:textId="111483C1" w:rsidR="00573C53" w:rsidRDefault="00573C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C7E346" w14:textId="1A6C857E" w:rsidR="00B5129F" w:rsidRDefault="00B512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3102788"/>
      <w:docPartObj>
        <w:docPartGallery w:val="Page Numbers (Bottom of Page)"/>
        <w:docPartUnique/>
      </w:docPartObj>
    </w:sdtPr>
    <w:sdtContent>
      <w:p w14:paraId="491A569C" w14:textId="5B726FD8" w:rsidR="0024165A" w:rsidRDefault="0024165A" w:rsidP="00AB756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8A82EC" w14:textId="156355EE" w:rsidR="00B5129F" w:rsidRDefault="00B5129F" w:rsidP="0024165A">
    <w:pPr>
      <w:pStyle w:val="Footer"/>
      <w:ind w:right="360" w:firstLine="360"/>
    </w:pPr>
    <w:r>
      <w:rPr>
        <w:noProof/>
        <w14:ligatures w14:val="standardContextual"/>
      </w:rPr>
      <mc:AlternateContent>
        <mc:Choice Requires="wps">
          <w:drawing>
            <wp:anchor distT="0" distB="0" distL="0" distR="0" simplePos="0" relativeHeight="251658242" behindDoc="0" locked="0" layoutInCell="1" allowOverlap="1" wp14:anchorId="1EE44036" wp14:editId="06247427">
              <wp:simplePos x="635" y="635"/>
              <wp:positionH relativeFrom="page">
                <wp:align>right</wp:align>
              </wp:positionH>
              <wp:positionV relativeFrom="page">
                <wp:align>bottom</wp:align>
              </wp:positionV>
              <wp:extent cx="1106805" cy="345440"/>
              <wp:effectExtent l="0" t="0" r="0" b="0"/>
              <wp:wrapNone/>
              <wp:docPr id="367880790"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19AF49BD" w14:textId="74AC8DE8"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EE44036" id="_x0000_t202" coordsize="21600,21600" o:spt="202" path="m,l,21600r21600,l21600,xe">
              <v:stroke joinstyle="miter"/>
              <v:path gradientshapeok="t" o:connecttype="rect"/>
            </v:shapetype>
            <v:shape id="Text Box 5" o:spid="_x0000_s1030" type="#_x0000_t202" alt="Official Use Only" style="position:absolute;left:0;text-align:left;margin-left:35.95pt;margin-top:0;width:87.15pt;height:27.2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filled="f" stroked="f">
              <v:textbox style="mso-fit-shape-to-text:t" inset="0,0,20pt,15pt">
                <w:txbxContent>
                  <w:p w14:paraId="19AF49BD" w14:textId="74AC8DE8"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2940549"/>
      <w:docPartObj>
        <w:docPartGallery w:val="Page Numbers (Bottom of Page)"/>
        <w:docPartUnique/>
      </w:docPartObj>
    </w:sdtPr>
    <w:sdtContent>
      <w:p w14:paraId="752EE3D0" w14:textId="50C3BEF2" w:rsidR="00AB7568" w:rsidRDefault="00AB7568" w:rsidP="00033C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3F066A88" w14:textId="1A4DD571" w:rsidR="007D53CE" w:rsidRDefault="007D53CE" w:rsidP="0024165A">
    <w:pPr>
      <w:pStyle w:val="Footer"/>
      <w:ind w:right="360" w:firstLine="360"/>
      <w:jc w:val="center"/>
    </w:pPr>
  </w:p>
  <w:p w14:paraId="4A901091" w14:textId="56741996" w:rsidR="008A10FA" w:rsidRPr="008A10FA" w:rsidRDefault="008A10FA" w:rsidP="009F1BE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155F" w14:textId="7457D2BF" w:rsidR="00B5129F" w:rsidRDefault="00B512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2EBB" w14:textId="7896DB60" w:rsidR="00577D45" w:rsidRDefault="00B5129F" w:rsidP="0024165A">
    <w:pPr>
      <w:pStyle w:val="Footer"/>
      <w:framePr w:wrap="none" w:vAnchor="text" w:hAnchor="margin" w:xAlign="right" w:y="1"/>
      <w:rPr>
        <w:rStyle w:val="PageNumber"/>
      </w:rPr>
    </w:pPr>
    <w:r>
      <w:rPr>
        <w:noProof/>
        <w14:ligatures w14:val="standardContextual"/>
      </w:rPr>
      <mc:AlternateContent>
        <mc:Choice Requires="wps">
          <w:drawing>
            <wp:anchor distT="0" distB="0" distL="0" distR="0" simplePos="0" relativeHeight="251658244" behindDoc="0" locked="0" layoutInCell="1" allowOverlap="1" wp14:anchorId="4E6AEF9B" wp14:editId="697C58A8">
              <wp:simplePos x="635" y="635"/>
              <wp:positionH relativeFrom="page">
                <wp:align>right</wp:align>
              </wp:positionH>
              <wp:positionV relativeFrom="page">
                <wp:align>bottom</wp:align>
              </wp:positionV>
              <wp:extent cx="1106805" cy="345440"/>
              <wp:effectExtent l="0" t="0" r="0" b="0"/>
              <wp:wrapNone/>
              <wp:docPr id="2046052984" name="Text Box 8"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196133B" w14:textId="056C9A00"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E6AEF9B" id="_x0000_t202" coordsize="21600,21600" o:spt="202" path="m,l,21600r21600,l21600,xe">
              <v:stroke joinstyle="miter"/>
              <v:path gradientshapeok="t" o:connecttype="rect"/>
            </v:shapetype>
            <v:shape id="Text Box 8" o:spid="_x0000_s1031" type="#_x0000_t202" alt="Official Use Only" style="position:absolute;margin-left:35.95pt;margin-top:0;width:87.15pt;height:27.2pt;z-index:2516582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AB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Ufxt9CdaStEE6EeydXDbVeCx9eBBLDtAip&#10;NjzToQ10JYezxVkN+ONv/phPwFOUs44UU3JLkubMfLNESBTXYGAyJrNpnpN7m27ju3wWb3bfPgCJ&#10;cUzvwslkkheDGUyN0L6RqJexG4WEldSz5NvBfAgn/dKjkGq5TEkkJifC2m6cjKUjZhHQ1/5NoDuj&#10;HoivJxg0JYp34J9y45/eLfeBKEjMRHxPaJ5hJyEmws6PJir913vKuj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PJlw&#10;ARQCAAAiBAAADgAAAAAAAAAAAAAAAAAuAgAAZHJzL2Uyb0RvYy54bWxQSwECLQAUAAYACAAAACEA&#10;IKLDy9sAAAAEAQAADwAAAAAAAAAAAAAAAABuBAAAZHJzL2Rvd25yZXYueG1sUEsFBgAAAAAEAAQA&#10;8wAAAHYFAAAAAA==&#10;" filled="f" stroked="f">
              <v:textbox style="mso-fit-shape-to-text:t" inset="0,0,20pt,15pt">
                <w:txbxContent>
                  <w:p w14:paraId="5196133B" w14:textId="056C9A00"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v:textbox>
              <w10:wrap anchorx="page" anchory="page"/>
            </v:shape>
          </w:pict>
        </mc:Fallback>
      </mc:AlternateContent>
    </w:r>
  </w:p>
  <w:sdt>
    <w:sdtPr>
      <w:rPr>
        <w:rStyle w:val="PageNumber"/>
      </w:rPr>
      <w:id w:val="1612015677"/>
      <w:docPartObj>
        <w:docPartGallery w:val="Page Numbers (Bottom of Page)"/>
        <w:docPartUnique/>
      </w:docPartObj>
    </w:sdtPr>
    <w:sdtContent>
      <w:p w14:paraId="14B9E746" w14:textId="77777777" w:rsidR="00577D45" w:rsidRDefault="00577D45" w:rsidP="002416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0CAB0E" w14:textId="77777777" w:rsidR="00577D45" w:rsidRDefault="00577D45" w:rsidP="00033C5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844723"/>
      <w:docPartObj>
        <w:docPartGallery w:val="Page Numbers (Bottom of Page)"/>
        <w:docPartUnique/>
      </w:docPartObj>
    </w:sdtPr>
    <w:sdtEndPr>
      <w:rPr>
        <w:noProof/>
      </w:rPr>
    </w:sdtEndPr>
    <w:sdtContent>
      <w:p w14:paraId="78153304" w14:textId="6C28A356" w:rsidR="00573C53" w:rsidRDefault="00573C53">
        <w:pPr>
          <w:pStyle w:val="Footer"/>
          <w:jc w:val="right"/>
        </w:pPr>
        <w:r>
          <w:fldChar w:fldCharType="begin"/>
        </w:r>
        <w:r>
          <w:instrText xml:space="preserve"> PAGE  \* Arabic  \* MERGEFORMAT </w:instrText>
        </w:r>
        <w:r>
          <w:fldChar w:fldCharType="separate"/>
        </w:r>
        <w:r>
          <w:rPr>
            <w:noProof/>
          </w:rPr>
          <w:t>1</w:t>
        </w:r>
        <w:r>
          <w:fldChar w:fldCharType="end"/>
        </w:r>
      </w:p>
    </w:sdtContent>
  </w:sdt>
  <w:p w14:paraId="76903BF1" w14:textId="6BF02DAD" w:rsidR="00577D45" w:rsidRPr="00E376F2" w:rsidRDefault="00577D45" w:rsidP="00033C5D">
    <w:pPr>
      <w:pStyle w:val="Footer"/>
      <w:ind w:right="360"/>
      <w:rPr>
        <w:rFonts w:ascii="Calibri" w:hAnsi="Calibri" w:cs="Calibri"/>
        <w:i/>
        <w:iCs/>
        <w:sz w:val="20"/>
        <w:szCs w:val="20"/>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1819" w14:textId="0AE7E855" w:rsidR="00B5129F" w:rsidRDefault="00B5129F">
    <w:pPr>
      <w:pStyle w:val="Footer"/>
    </w:pPr>
    <w:r>
      <w:rPr>
        <w:noProof/>
        <w14:ligatures w14:val="standardContextual"/>
      </w:rPr>
      <mc:AlternateContent>
        <mc:Choice Requires="wps">
          <w:drawing>
            <wp:anchor distT="0" distB="0" distL="0" distR="0" simplePos="0" relativeHeight="251658243" behindDoc="0" locked="0" layoutInCell="1" allowOverlap="1" wp14:anchorId="7DC8C7B6" wp14:editId="427582BB">
              <wp:simplePos x="635" y="635"/>
              <wp:positionH relativeFrom="page">
                <wp:align>right</wp:align>
              </wp:positionH>
              <wp:positionV relativeFrom="page">
                <wp:align>bottom</wp:align>
              </wp:positionV>
              <wp:extent cx="1106805" cy="345440"/>
              <wp:effectExtent l="0" t="0" r="0" b="0"/>
              <wp:wrapNone/>
              <wp:docPr id="935039365" name="Text Box 7"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64006D0" w14:textId="11524E87"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DC8C7B6" id="_x0000_t202" coordsize="21600,21600" o:spt="202" path="m,l,21600r21600,l21600,xe">
              <v:stroke joinstyle="miter"/>
              <v:path gradientshapeok="t" o:connecttype="rect"/>
            </v:shapetype>
            <v:shape id="Text Box 7" o:spid="_x0000_s1032" type="#_x0000_t202" alt="Official Use Only" style="position:absolute;margin-left:35.95pt;margin-top:0;width:87.15pt;height:27.2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YMFAIAACIEAAAOAAAAZHJzL2Uyb0RvYy54bWysU99v2jAQfp+0/8Hy+0hgULURoWKtmCah&#10;thKd+mwcm0SKfdbZkLC/fmdDYOv2NO3FOd9d7sf3fZ7f96ZlB4W+AVvy8SjnTFkJVWN3Jf/+uvp0&#10;y5kPwlaiBatKflSe3y8+fph3rlATqKGtFDIqYn3RuZLXIbgiy7yslRF+BE5ZCmpAIwJdcZdVKDqq&#10;btpskuc3WQdYOQSpvCfv4ynIF6m+1kqGZ629CqwtOc0W0onp3MYzW8xFsUPh6kaexxD/MIURjaWm&#10;l1KPIgi2x+aPUqaRCB50GEkwGWjdSJV2oG3G+bttNrVwKu1C4Hh3gcn/v7Ly6bBxL8hC/wV6IjAC&#10;0jlfeHLGfXqNJn5pUkZxgvB4gU31gcn40zi/uc1nnEmKfZ7OptOEa3b926EPXxUYFo2SI9GS0BKH&#10;tQ/UkVKHlNjMwqpp20RNa39zUGL0ZNcRoxX6bc+aquTTYfwtVEfaCuFEuHdy1VDrtfDhRSAxTIuQ&#10;asMzHbqFruRwtjirAX/8zR/zCXiKctaRYkpuSdKctd8sERLFNRiYjMlsmufk3qbb+C6fxZvdmwcg&#10;MY7pXTiZTPJiaAdTI5g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bjoW&#10;DBQCAAAiBAAADgAAAAAAAAAAAAAAAAAuAgAAZHJzL2Uyb0RvYy54bWxQSwECLQAUAAYACAAAACEA&#10;IKLDy9sAAAAEAQAADwAAAAAAAAAAAAAAAABuBAAAZHJzL2Rvd25yZXYueG1sUEsFBgAAAAAEAAQA&#10;8wAAAHYFAAAAAA==&#10;" filled="f" stroked="f">
              <v:textbox style="mso-fit-shape-to-text:t" inset="0,0,20pt,15pt">
                <w:txbxContent>
                  <w:p w14:paraId="764006D0" w14:textId="11524E87" w:rsidR="00B5129F" w:rsidRPr="00B5129F" w:rsidRDefault="00B5129F" w:rsidP="00B5129F">
                    <w:pPr>
                      <w:rPr>
                        <w:rFonts w:ascii="Calibri" w:eastAsia="Calibri" w:hAnsi="Calibri" w:cs="Calibri"/>
                        <w:noProof/>
                        <w:color w:val="000000"/>
                        <w:sz w:val="20"/>
                        <w:szCs w:val="20"/>
                      </w:rPr>
                    </w:pPr>
                    <w:r w:rsidRPr="00B5129F">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308C5" w14:textId="77777777" w:rsidR="007215FC" w:rsidRDefault="007215FC" w:rsidP="006B0828">
      <w:r>
        <w:separator/>
      </w:r>
    </w:p>
  </w:footnote>
  <w:footnote w:type="continuationSeparator" w:id="0">
    <w:p w14:paraId="5F4CDE5E" w14:textId="77777777" w:rsidR="007215FC" w:rsidRDefault="007215FC" w:rsidP="006B0828">
      <w:r>
        <w:continuationSeparator/>
      </w:r>
    </w:p>
  </w:footnote>
  <w:footnote w:type="continuationNotice" w:id="1">
    <w:p w14:paraId="28FAD97B" w14:textId="77777777" w:rsidR="007215FC" w:rsidRDefault="007215FC"/>
  </w:footnote>
  <w:footnote w:id="2">
    <w:p w14:paraId="0975796B" w14:textId="77777777" w:rsidR="00F75945" w:rsidRPr="00D972A1" w:rsidRDefault="00F75945" w:rsidP="00F75945">
      <w:pPr>
        <w:pStyle w:val="FootnoteText"/>
        <w:rPr>
          <w:rFonts w:ascii="Calibri" w:hAnsi="Calibri" w:cs="Calibri"/>
          <w:sz w:val="16"/>
          <w:szCs w:val="16"/>
          <w:lang w:val="en-US"/>
        </w:rPr>
      </w:pPr>
      <w:r w:rsidRPr="00D972A1">
        <w:rPr>
          <w:rStyle w:val="FootnoteReference"/>
          <w:rFonts w:ascii="Calibri" w:hAnsi="Calibri" w:cs="Calibri"/>
          <w:sz w:val="16"/>
          <w:szCs w:val="16"/>
        </w:rPr>
        <w:footnoteRef/>
      </w:r>
      <w:r w:rsidRPr="00D972A1">
        <w:rPr>
          <w:rFonts w:ascii="Calibri" w:hAnsi="Calibri" w:cs="Calibri"/>
          <w:sz w:val="16"/>
          <w:szCs w:val="16"/>
        </w:rPr>
        <w:t xml:space="preserve"> </w:t>
      </w:r>
      <w:r w:rsidRPr="00D972A1">
        <w:rPr>
          <w:rFonts w:ascii="Calibri" w:hAnsi="Calibri" w:cs="Calibri"/>
          <w:sz w:val="16"/>
          <w:szCs w:val="16"/>
          <w:lang w:val="en-US"/>
        </w:rPr>
        <w:t>Specifically Standard 9 with the development of an approved Evaluation Plan and Standard 10 which relates to this final evaluation report.</w:t>
      </w:r>
    </w:p>
  </w:footnote>
  <w:footnote w:id="3">
    <w:p w14:paraId="64B4294A" w14:textId="171B3D05" w:rsidR="00851C7B" w:rsidRPr="00126D14" w:rsidRDefault="00851C7B" w:rsidP="00126D14">
      <w:pPr>
        <w:spacing w:after="120"/>
        <w:contextualSpacing/>
        <w:jc w:val="both"/>
        <w:rPr>
          <w:rFonts w:ascii="Calibri" w:hAnsi="Calibri" w:cs="Calibri"/>
          <w:sz w:val="16"/>
          <w:szCs w:val="16"/>
        </w:rPr>
      </w:pPr>
      <w:r w:rsidRPr="00355865">
        <w:rPr>
          <w:rStyle w:val="FootnoteReference"/>
          <w:rFonts w:ascii="Calibri" w:hAnsi="Calibri" w:cs="Calibri"/>
          <w:sz w:val="16"/>
          <w:szCs w:val="16"/>
        </w:rPr>
        <w:footnoteRef/>
      </w:r>
      <w:r w:rsidRPr="00355865">
        <w:rPr>
          <w:rFonts w:ascii="Calibri" w:hAnsi="Calibri" w:cs="Calibri"/>
          <w:sz w:val="16"/>
          <w:szCs w:val="16"/>
        </w:rPr>
        <w:t xml:space="preserve"> IFC is the largest global development institution focused exclusively on the private sector. As part of the World Bank Group, IFC works to improve people's lives in developing countries by investing in private sector growth. To achieve this goal, IFC finances private sector investments, mobilises capital in international financial markets, facilitates trade, helps clients improve social and environmental sustainability, and provides advisory services to businesses and governments. IFC is strongly focused on measuring development results to understand the impact of its projects on clients and countries.</w:t>
      </w:r>
    </w:p>
  </w:footnote>
  <w:footnote w:id="4">
    <w:p w14:paraId="2836CED3" w14:textId="54047D6E" w:rsidR="00355865" w:rsidRPr="00D972A1" w:rsidRDefault="00355865" w:rsidP="00D972A1">
      <w:pPr>
        <w:pStyle w:val="FootnoteText"/>
        <w:rPr>
          <w:rFonts w:ascii="Calibri" w:hAnsi="Calibri" w:cs="Calibri"/>
          <w:sz w:val="16"/>
          <w:szCs w:val="16"/>
          <w:lang w:val="en-US"/>
        </w:rPr>
      </w:pPr>
      <w:r w:rsidRPr="00D972A1">
        <w:rPr>
          <w:rStyle w:val="FootnoteReference"/>
          <w:rFonts w:ascii="Calibri" w:hAnsi="Calibri" w:cs="Calibri"/>
          <w:sz w:val="16"/>
          <w:szCs w:val="16"/>
        </w:rPr>
        <w:footnoteRef/>
      </w:r>
      <w:r w:rsidRPr="00D972A1">
        <w:rPr>
          <w:rFonts w:ascii="Calibri" w:hAnsi="Calibri" w:cs="Calibri"/>
          <w:sz w:val="16"/>
          <w:szCs w:val="16"/>
        </w:rPr>
        <w:t xml:space="preserve"> </w:t>
      </w:r>
      <w:r w:rsidRPr="00D972A1">
        <w:rPr>
          <w:rFonts w:ascii="Calibri" w:hAnsi="Calibri" w:cs="Calibri"/>
          <w:sz w:val="16"/>
          <w:szCs w:val="16"/>
          <w:lang w:val="en-US"/>
        </w:rPr>
        <w:t>Specifically Standard 9 with the development of an approved Evaluation Plan and Standard 10 which relates to this final evaluation report.</w:t>
      </w:r>
    </w:p>
  </w:footnote>
  <w:footnote w:id="5">
    <w:p w14:paraId="2B3C21F5" w14:textId="77777777" w:rsidR="00355865" w:rsidRPr="00D972A1" w:rsidRDefault="00355865" w:rsidP="00D972A1">
      <w:pPr>
        <w:rPr>
          <w:rFonts w:ascii="Calibri" w:hAnsi="Calibri" w:cs="Calibri"/>
          <w:color w:val="000000" w:themeColor="text1"/>
          <w:sz w:val="16"/>
          <w:szCs w:val="16"/>
        </w:rPr>
      </w:pPr>
      <w:r w:rsidRPr="00D972A1">
        <w:rPr>
          <w:rStyle w:val="FootnoteReference"/>
          <w:rFonts w:ascii="Calibri" w:hAnsi="Calibri" w:cs="Calibri"/>
          <w:sz w:val="16"/>
          <w:szCs w:val="16"/>
        </w:rPr>
        <w:footnoteRef/>
      </w:r>
      <w:r w:rsidRPr="00D972A1">
        <w:rPr>
          <w:rFonts w:ascii="Calibri" w:hAnsi="Calibri" w:cs="Calibri"/>
          <w:color w:val="000000" w:themeColor="text1"/>
          <w:sz w:val="16"/>
          <w:szCs w:val="16"/>
        </w:rPr>
        <w:t xml:space="preserve">Patton, Michael Quinn (2013): Utilization-Focused Evaluation (U-FE) Checklist, in: Patton (2012): Essentials of Utilization-Focused Evaluation, </w:t>
      </w:r>
      <w:r w:rsidRPr="00D972A1">
        <w:rPr>
          <w:rFonts w:ascii="Calibri" w:hAnsi="Calibri" w:cs="Calibri"/>
          <w:color w:val="0563C1"/>
          <w:sz w:val="16"/>
          <w:szCs w:val="16"/>
        </w:rPr>
        <w:t>Sage Publications</w:t>
      </w:r>
      <w:r w:rsidRPr="00D972A1">
        <w:rPr>
          <w:rFonts w:ascii="Calibri" w:hAnsi="Calibri" w:cs="Calibri"/>
          <w:color w:val="000000" w:themeColor="text1"/>
          <w:sz w:val="16"/>
          <w:szCs w:val="16"/>
        </w:rPr>
        <w:t xml:space="preserve">.  </w:t>
      </w:r>
    </w:p>
    <w:p w14:paraId="3CEF84ED" w14:textId="77777777" w:rsidR="00355865" w:rsidRDefault="00355865" w:rsidP="00355865">
      <w:pPr>
        <w:pStyle w:val="BodyText"/>
      </w:pPr>
    </w:p>
  </w:footnote>
  <w:footnote w:id="6">
    <w:p w14:paraId="590C2690" w14:textId="5E9EC950" w:rsidR="006F603B" w:rsidRPr="00A26E3C" w:rsidRDefault="006F603B">
      <w:pPr>
        <w:pStyle w:val="FootnoteText"/>
        <w:rPr>
          <w:rFonts w:ascii="Calibri" w:hAnsi="Calibri" w:cs="Calibri"/>
          <w:sz w:val="16"/>
          <w:szCs w:val="16"/>
          <w:lang w:val="en-US"/>
        </w:rPr>
      </w:pPr>
      <w:r w:rsidRPr="00A26E3C">
        <w:rPr>
          <w:rStyle w:val="FootnoteReference"/>
          <w:rFonts w:ascii="Calibri" w:hAnsi="Calibri" w:cs="Calibri"/>
          <w:sz w:val="16"/>
          <w:szCs w:val="16"/>
        </w:rPr>
        <w:footnoteRef/>
      </w:r>
      <w:r w:rsidRPr="00A26E3C">
        <w:rPr>
          <w:rFonts w:ascii="Calibri" w:hAnsi="Calibri" w:cs="Calibri"/>
          <w:sz w:val="16"/>
          <w:szCs w:val="16"/>
        </w:rPr>
        <w:t xml:space="preserve"> </w:t>
      </w:r>
      <w:r w:rsidRPr="00A26E3C">
        <w:rPr>
          <w:rFonts w:ascii="Calibri" w:hAnsi="Calibri" w:cs="Calibri"/>
          <w:color w:val="000000"/>
          <w:sz w:val="16"/>
          <w:szCs w:val="16"/>
        </w:rPr>
        <w:t>OECD-DAC evaluation dimension based on a four-point scale - highly satisfactory, satisfactory, partly unsatisfactory, unsatisfactory.</w:t>
      </w:r>
    </w:p>
  </w:footnote>
  <w:footnote w:id="7">
    <w:p w14:paraId="32492CDC" w14:textId="77777777" w:rsidR="00D972A1" w:rsidRPr="00C61A13" w:rsidRDefault="00D972A1" w:rsidP="00D972A1">
      <w:pPr>
        <w:pStyle w:val="FootnoteText"/>
        <w:rPr>
          <w:rFonts w:ascii="Calibri" w:hAnsi="Calibri" w:cs="Calibri"/>
          <w:sz w:val="16"/>
          <w:szCs w:val="16"/>
        </w:rPr>
      </w:pPr>
      <w:r w:rsidRPr="00C61A13">
        <w:rPr>
          <w:rStyle w:val="FootnoteReference"/>
          <w:rFonts w:ascii="Calibri" w:eastAsiaTheme="majorEastAsia" w:hAnsi="Calibri" w:cs="Calibri"/>
          <w:sz w:val="16"/>
          <w:szCs w:val="16"/>
        </w:rPr>
        <w:footnoteRef/>
      </w:r>
      <w:r w:rsidRPr="00C61A13">
        <w:rPr>
          <w:rFonts w:ascii="Calibri" w:hAnsi="Calibri" w:cs="Calibri"/>
          <w:sz w:val="16"/>
          <w:szCs w:val="16"/>
        </w:rPr>
        <w:t xml:space="preserve"> </w:t>
      </w:r>
      <w:hyperlink r:id="rId1" w:anchor="relevance-block" w:history="1">
        <w:r w:rsidRPr="00CD2381">
          <w:rPr>
            <w:rStyle w:val="Hyperlink"/>
            <w:rFonts w:ascii="Calibri" w:eastAsiaTheme="majorEastAsia" w:hAnsi="Calibri" w:cs="Calibri"/>
            <w:color w:val="auto"/>
            <w:sz w:val="16"/>
            <w:szCs w:val="16"/>
          </w:rPr>
          <w:t>Evaluation Criteria - OECD</w:t>
        </w:r>
      </w:hyperlink>
    </w:p>
  </w:footnote>
  <w:footnote w:id="8">
    <w:p w14:paraId="05CB4F85" w14:textId="77777777" w:rsidR="00194D9B" w:rsidRPr="00A52E50" w:rsidRDefault="00194D9B" w:rsidP="00194D9B">
      <w:pPr>
        <w:pStyle w:val="FootnoteText"/>
        <w:rPr>
          <w:rFonts w:ascii="Calibri" w:hAnsi="Calibri" w:cs="Calibri"/>
          <w:sz w:val="16"/>
          <w:szCs w:val="16"/>
        </w:rPr>
      </w:pPr>
      <w:r w:rsidRPr="00A52E50">
        <w:rPr>
          <w:rStyle w:val="FootnoteReference"/>
          <w:rFonts w:ascii="Calibri" w:eastAsiaTheme="majorEastAsia" w:hAnsi="Calibri" w:cs="Calibri"/>
          <w:sz w:val="16"/>
          <w:szCs w:val="16"/>
        </w:rPr>
        <w:footnoteRef/>
      </w:r>
      <w:r w:rsidRPr="00A52E50">
        <w:rPr>
          <w:rFonts w:ascii="Calibri" w:hAnsi="Calibri" w:cs="Calibri"/>
          <w:sz w:val="16"/>
          <w:szCs w:val="16"/>
        </w:rPr>
        <w:t xml:space="preserve"> </w:t>
      </w:r>
      <w:hyperlink r:id="rId2" w:anchor="section-d1e3790" w:history="1">
        <w:r w:rsidRPr="00CD2381">
          <w:rPr>
            <w:rStyle w:val="Hyperlink"/>
            <w:rFonts w:ascii="Calibri" w:eastAsiaTheme="majorEastAsia" w:hAnsi="Calibri" w:cs="Calibri"/>
            <w:color w:val="auto"/>
            <w:sz w:val="16"/>
            <w:szCs w:val="16"/>
          </w:rPr>
          <w:t>Understanding the six criteria: Definitions, elements for analysis and key challenges | Applying Evaluation Criteria Thoughtfully | OECD iLibrary (oecd-ilibrary.org)</w:t>
        </w:r>
      </w:hyperlink>
    </w:p>
  </w:footnote>
  <w:footnote w:id="9">
    <w:p w14:paraId="0C3C5F8A" w14:textId="20701EF8" w:rsidR="00886577" w:rsidRPr="00886577" w:rsidRDefault="00886577">
      <w:pPr>
        <w:pStyle w:val="FootnoteText"/>
        <w:rPr>
          <w:lang w:val="en-US"/>
        </w:rPr>
      </w:pPr>
      <w:r w:rsidRPr="00A52E50">
        <w:rPr>
          <w:rStyle w:val="FootnoteReference"/>
          <w:rFonts w:ascii="Calibri" w:hAnsi="Calibri" w:cs="Calibri"/>
          <w:sz w:val="16"/>
          <w:szCs w:val="16"/>
        </w:rPr>
        <w:footnoteRef/>
      </w:r>
      <w:r w:rsidRPr="00A52E50">
        <w:rPr>
          <w:rFonts w:ascii="Calibri" w:hAnsi="Calibri" w:cs="Calibri"/>
          <w:sz w:val="16"/>
          <w:szCs w:val="16"/>
        </w:rPr>
        <w:t xml:space="preserve"> https://www.dfat.gov.au/geo/fiji/fiji-australia-vuvale-partnership</w:t>
      </w:r>
    </w:p>
  </w:footnote>
  <w:footnote w:id="10">
    <w:p w14:paraId="4A88C34E" w14:textId="77777777" w:rsidR="008362E5" w:rsidRPr="00A52E50" w:rsidRDefault="008362E5" w:rsidP="008362E5">
      <w:pPr>
        <w:pStyle w:val="FootnoteText"/>
        <w:jc w:val="both"/>
        <w:rPr>
          <w:rFonts w:ascii="Calibri" w:hAnsi="Calibri" w:cs="Calibri"/>
          <w:sz w:val="16"/>
          <w:szCs w:val="16"/>
          <w:lang w:val="en-US"/>
        </w:rPr>
      </w:pPr>
      <w:r w:rsidRPr="00A52E50">
        <w:rPr>
          <w:rStyle w:val="FootnoteReference"/>
          <w:rFonts w:ascii="Calibri" w:hAnsi="Calibri" w:cs="Calibri"/>
          <w:sz w:val="16"/>
          <w:szCs w:val="16"/>
        </w:rPr>
        <w:footnoteRef/>
      </w:r>
      <w:r w:rsidRPr="00A52E50">
        <w:rPr>
          <w:rFonts w:ascii="Calibri" w:hAnsi="Calibri" w:cs="Calibri"/>
          <w:sz w:val="16"/>
          <w:szCs w:val="16"/>
        </w:rPr>
        <w:t xml:space="preserve"> </w:t>
      </w:r>
      <w:r w:rsidRPr="00A52E50">
        <w:rPr>
          <w:rStyle w:val="FootnoteReference"/>
          <w:rFonts w:ascii="Calibri" w:eastAsiaTheme="majorEastAsia" w:hAnsi="Calibri" w:cs="Calibri"/>
          <w:sz w:val="16"/>
          <w:szCs w:val="16"/>
        </w:rPr>
        <w:footnoteRef/>
      </w:r>
      <w:r w:rsidRPr="00A52E50">
        <w:rPr>
          <w:rFonts w:ascii="Calibri" w:hAnsi="Calibri" w:cs="Calibri"/>
          <w:sz w:val="16"/>
          <w:szCs w:val="16"/>
        </w:rPr>
        <w:t xml:space="preserve"> </w:t>
      </w:r>
      <w:hyperlink r:id="rId3" w:anchor="relevance-block" w:history="1">
        <w:r w:rsidRPr="00CD2381">
          <w:rPr>
            <w:rStyle w:val="Hyperlink"/>
            <w:rFonts w:ascii="Calibri" w:eastAsiaTheme="majorEastAsia" w:hAnsi="Calibri" w:cs="Calibri"/>
            <w:color w:val="auto"/>
            <w:sz w:val="16"/>
            <w:szCs w:val="16"/>
          </w:rPr>
          <w:t>Evaluation Criteria - OECD</w:t>
        </w:r>
      </w:hyperlink>
    </w:p>
  </w:footnote>
  <w:footnote w:id="11">
    <w:p w14:paraId="7BB97135" w14:textId="77777777" w:rsidR="008362E5" w:rsidRPr="00A52E50" w:rsidRDefault="008362E5" w:rsidP="008362E5">
      <w:pPr>
        <w:pStyle w:val="FootnoteText"/>
        <w:jc w:val="both"/>
        <w:rPr>
          <w:rFonts w:ascii="Calibri" w:hAnsi="Calibri" w:cs="Calibri"/>
          <w:sz w:val="16"/>
          <w:szCs w:val="16"/>
          <w:lang w:val="en-US"/>
        </w:rPr>
      </w:pPr>
      <w:r w:rsidRPr="00A52E50">
        <w:rPr>
          <w:rStyle w:val="FootnoteReference"/>
          <w:rFonts w:ascii="Calibri" w:hAnsi="Calibri" w:cs="Calibri"/>
          <w:sz w:val="16"/>
          <w:szCs w:val="16"/>
        </w:rPr>
        <w:footnoteRef/>
      </w:r>
      <w:r w:rsidRPr="00A52E50">
        <w:rPr>
          <w:rFonts w:ascii="Calibri" w:hAnsi="Calibri" w:cs="Calibri"/>
          <w:sz w:val="16"/>
          <w:szCs w:val="16"/>
        </w:rPr>
        <w:t xml:space="preserve"> </w:t>
      </w:r>
      <w:r w:rsidRPr="00A52E50">
        <w:rPr>
          <w:rFonts w:ascii="Calibri" w:hAnsi="Calibri" w:cs="Calibri"/>
          <w:sz w:val="16"/>
          <w:szCs w:val="16"/>
          <w:lang w:val="en-US"/>
        </w:rPr>
        <w:t>Firm level means at the organisational and institutional level rather than traditional government to government type approaches. Firm level also refers to the intended private sector focus of the program.</w:t>
      </w:r>
    </w:p>
  </w:footnote>
  <w:footnote w:id="12">
    <w:p w14:paraId="1438F159" w14:textId="77777777" w:rsidR="008362E5" w:rsidRPr="00A52E50" w:rsidRDefault="008362E5" w:rsidP="008362E5">
      <w:pPr>
        <w:pStyle w:val="FootnoteText"/>
        <w:jc w:val="both"/>
        <w:rPr>
          <w:rFonts w:ascii="Calibri" w:hAnsi="Calibri" w:cs="Calibri"/>
          <w:sz w:val="16"/>
          <w:szCs w:val="16"/>
          <w:lang w:val="en-US"/>
        </w:rPr>
      </w:pPr>
      <w:r w:rsidRPr="00A52E50">
        <w:rPr>
          <w:rStyle w:val="FootnoteReference"/>
          <w:rFonts w:ascii="Calibri" w:hAnsi="Calibri" w:cs="Calibri"/>
          <w:sz w:val="16"/>
          <w:szCs w:val="16"/>
        </w:rPr>
        <w:footnoteRef/>
      </w:r>
      <w:r w:rsidRPr="00A52E50">
        <w:rPr>
          <w:rFonts w:ascii="Calibri" w:hAnsi="Calibri" w:cs="Calibri"/>
          <w:sz w:val="16"/>
          <w:szCs w:val="16"/>
        </w:rPr>
        <w:t xml:space="preserve"> https://marketdevelopmentfacility.org/</w:t>
      </w:r>
    </w:p>
  </w:footnote>
  <w:footnote w:id="13">
    <w:p w14:paraId="678F96CE" w14:textId="77777777" w:rsidR="008362E5" w:rsidRPr="009D736A" w:rsidRDefault="008362E5" w:rsidP="008362E5">
      <w:pPr>
        <w:pStyle w:val="FootnoteText"/>
        <w:jc w:val="both"/>
        <w:rPr>
          <w:rFonts w:ascii="Calibri" w:hAnsi="Calibri" w:cs="Calibri"/>
          <w:sz w:val="16"/>
          <w:szCs w:val="16"/>
          <w:lang w:val="en-US"/>
        </w:rPr>
      </w:pPr>
      <w:r w:rsidRPr="009D736A">
        <w:rPr>
          <w:rStyle w:val="FootnoteReference"/>
          <w:rFonts w:ascii="Calibri" w:eastAsiaTheme="majorEastAsia" w:hAnsi="Calibri" w:cs="Calibri"/>
          <w:sz w:val="16"/>
          <w:szCs w:val="16"/>
        </w:rPr>
        <w:footnoteRef/>
      </w:r>
      <w:r w:rsidRPr="009D736A">
        <w:rPr>
          <w:rFonts w:ascii="Calibri" w:hAnsi="Calibri" w:cs="Calibri"/>
          <w:sz w:val="16"/>
          <w:szCs w:val="16"/>
        </w:rPr>
        <w:t xml:space="preserve"> </w:t>
      </w:r>
      <w:r w:rsidRPr="009D736A">
        <w:rPr>
          <w:rFonts w:ascii="Calibri" w:hAnsi="Calibri" w:cs="Calibri"/>
          <w:sz w:val="16"/>
          <w:szCs w:val="16"/>
          <w:lang w:val="en-US"/>
        </w:rPr>
        <w:t>As per the Theory of Change in the FPSDP legal agreement.</w:t>
      </w:r>
    </w:p>
  </w:footnote>
  <w:footnote w:id="14">
    <w:p w14:paraId="0A9954E0" w14:textId="77777777" w:rsidR="008362E5" w:rsidRPr="009D736A" w:rsidRDefault="008362E5" w:rsidP="008362E5">
      <w:pPr>
        <w:pStyle w:val="FootnoteText"/>
        <w:jc w:val="both"/>
        <w:rPr>
          <w:rFonts w:ascii="Calibri" w:hAnsi="Calibri" w:cs="Calibri"/>
          <w:sz w:val="16"/>
          <w:szCs w:val="16"/>
        </w:rPr>
      </w:pPr>
      <w:r w:rsidRPr="009D736A">
        <w:rPr>
          <w:rStyle w:val="FootnoteReference"/>
          <w:rFonts w:ascii="Calibri" w:eastAsiaTheme="majorEastAsia" w:hAnsi="Calibri" w:cs="Calibri"/>
          <w:sz w:val="16"/>
          <w:szCs w:val="16"/>
        </w:rPr>
        <w:footnoteRef/>
      </w:r>
      <w:r w:rsidRPr="009D736A">
        <w:rPr>
          <w:rFonts w:ascii="Calibri" w:hAnsi="Calibri" w:cs="Calibri"/>
          <w:sz w:val="16"/>
          <w:szCs w:val="16"/>
        </w:rPr>
        <w:t xml:space="preserve"> This internal project logic derives from detailed project design and planning linked to in-country analysis, identification of IFC and World Bank feasible contribution to identified problems, and agreed activity with the Government of Fiji.</w:t>
      </w:r>
    </w:p>
  </w:footnote>
  <w:footnote w:id="15">
    <w:p w14:paraId="0A69E5A6" w14:textId="0B00A476" w:rsidR="008362E5" w:rsidRPr="00540E64" w:rsidRDefault="008362E5" w:rsidP="00540E64">
      <w:pPr>
        <w:pStyle w:val="FootnoteText"/>
        <w:jc w:val="both"/>
        <w:rPr>
          <w:rFonts w:ascii="Calibri" w:hAnsi="Calibri" w:cs="Calibri"/>
          <w:sz w:val="16"/>
          <w:szCs w:val="16"/>
        </w:rPr>
      </w:pPr>
      <w:r w:rsidRPr="009D736A">
        <w:rPr>
          <w:rStyle w:val="FootnoteReference"/>
          <w:rFonts w:ascii="Calibri" w:eastAsiaTheme="majorEastAsia" w:hAnsi="Calibri" w:cs="Calibri"/>
          <w:sz w:val="16"/>
          <w:szCs w:val="16"/>
        </w:rPr>
        <w:footnoteRef/>
      </w:r>
      <w:r w:rsidRPr="009D736A">
        <w:rPr>
          <w:rFonts w:ascii="Calibri" w:hAnsi="Calibri" w:cs="Calibri"/>
          <w:sz w:val="16"/>
          <w:szCs w:val="16"/>
        </w:rPr>
        <w:t xml:space="preserve"> </w:t>
      </w:r>
      <w:r w:rsidRPr="009D736A">
        <w:rPr>
          <w:rFonts w:ascii="Calibri" w:hAnsi="Calibri" w:cs="Calibri"/>
          <w:sz w:val="16"/>
          <w:szCs w:val="16"/>
          <w:lang w:val="en-US"/>
        </w:rPr>
        <w:t>A network of Results Measurement Specialists and Economists specialized in their respective sectors are utilized by IFC to i) Provide guidance on project design; ii) Set indicators and methodology; iii) Ensure consistency and compliancy; iv) Conduct data validation and verification; v) Collaborate with project team to conduct evaluations and studies; vi) Contribute to institutional learning and development strategy</w:t>
      </w:r>
    </w:p>
  </w:footnote>
  <w:footnote w:id="16">
    <w:p w14:paraId="4A5011F8" w14:textId="77777777" w:rsidR="00194D9B" w:rsidRPr="00C61A13" w:rsidRDefault="00194D9B" w:rsidP="00194D9B">
      <w:pPr>
        <w:pStyle w:val="FootnoteText"/>
        <w:rPr>
          <w:rFonts w:ascii="Calibri" w:hAnsi="Calibri" w:cs="Calibri"/>
          <w:sz w:val="16"/>
          <w:szCs w:val="16"/>
        </w:rPr>
      </w:pPr>
      <w:r w:rsidRPr="00C61A13">
        <w:rPr>
          <w:rStyle w:val="FootnoteReference"/>
          <w:rFonts w:ascii="Calibri" w:eastAsiaTheme="majorEastAsia" w:hAnsi="Calibri" w:cs="Calibri"/>
          <w:sz w:val="16"/>
          <w:szCs w:val="16"/>
        </w:rPr>
        <w:footnoteRef/>
      </w:r>
      <w:r w:rsidRPr="00C61A13">
        <w:rPr>
          <w:rFonts w:ascii="Calibri" w:hAnsi="Calibri" w:cs="Calibri"/>
          <w:sz w:val="16"/>
          <w:szCs w:val="16"/>
        </w:rPr>
        <w:t xml:space="preserve"> See: DFAT Investment Monitoring Report Guidance</w:t>
      </w:r>
    </w:p>
  </w:footnote>
  <w:footnote w:id="17">
    <w:p w14:paraId="6D489E59" w14:textId="4EFCB85C" w:rsidR="00DE5C7A" w:rsidRPr="00DE5C7A" w:rsidRDefault="00DE5C7A" w:rsidP="0025582C">
      <w:pPr>
        <w:autoSpaceDE w:val="0"/>
        <w:autoSpaceDN w:val="0"/>
        <w:adjustRightInd w:val="0"/>
        <w:jc w:val="both"/>
        <w:rPr>
          <w:lang w:val="en-US"/>
        </w:rPr>
      </w:pPr>
      <w:r w:rsidRPr="00DE5C7A">
        <w:rPr>
          <w:rStyle w:val="FootnoteReference"/>
          <w:rFonts w:ascii="Calibri" w:hAnsi="Calibri" w:cs="Calibri"/>
          <w:i/>
          <w:iCs/>
          <w:color w:val="000000" w:themeColor="text1"/>
          <w:sz w:val="16"/>
          <w:szCs w:val="16"/>
        </w:rPr>
        <w:footnoteRef/>
      </w:r>
      <w:r w:rsidRPr="00DE5C7A">
        <w:rPr>
          <w:rFonts w:ascii="Calibri" w:hAnsi="Calibri" w:cs="Calibri"/>
          <w:i/>
          <w:iCs/>
          <w:color w:val="000000" w:themeColor="text1"/>
          <w:sz w:val="16"/>
          <w:szCs w:val="16"/>
        </w:rPr>
        <w:t xml:space="preserve"> </w:t>
      </w:r>
      <w:r w:rsidR="0025582C" w:rsidRPr="0025582C">
        <w:rPr>
          <w:rFonts w:ascii="Calibri" w:eastAsiaTheme="minorHAnsi" w:hAnsi="Calibri" w:cs="Calibri"/>
          <w:i/>
          <w:iCs/>
          <w:color w:val="000000" w:themeColor="text1"/>
          <w:sz w:val="16"/>
          <w:szCs w:val="16"/>
          <w:lang w:val="en-US"/>
          <w14:ligatures w14:val="standardContextual"/>
        </w:rPr>
        <w:t>The US$</w:t>
      </w:r>
      <w:r w:rsidR="00D42925">
        <w:rPr>
          <w:rFonts w:ascii="Calibri" w:eastAsiaTheme="minorHAnsi" w:hAnsi="Calibri" w:cs="Calibri"/>
          <w:i/>
          <w:iCs/>
          <w:color w:val="000000" w:themeColor="text1"/>
          <w:sz w:val="16"/>
          <w:szCs w:val="16"/>
          <w:lang w:val="en-US"/>
          <w14:ligatures w14:val="standardContextual"/>
        </w:rPr>
        <w:t>37.5</w:t>
      </w:r>
      <w:r w:rsidR="0025582C" w:rsidRPr="0025582C">
        <w:rPr>
          <w:rFonts w:ascii="Calibri" w:eastAsiaTheme="minorHAnsi" w:hAnsi="Calibri" w:cs="Calibri"/>
          <w:i/>
          <w:iCs/>
          <w:color w:val="000000" w:themeColor="text1"/>
          <w:sz w:val="16"/>
          <w:szCs w:val="16"/>
          <w:lang w:val="en-US"/>
          <w14:ligatures w14:val="standardContextual"/>
        </w:rPr>
        <w:t xml:space="preserve"> million includes: US$2.6 million utilized from the US$7.5 million trade facility with HFC Bank, US$8.4 million financing facilitated</w:t>
      </w:r>
      <w:r w:rsidR="0025582C">
        <w:rPr>
          <w:rFonts w:ascii="Calibri" w:eastAsiaTheme="minorHAnsi" w:hAnsi="Calibri" w:cs="Calibri"/>
          <w:i/>
          <w:iCs/>
          <w:color w:val="000000" w:themeColor="text1"/>
          <w:sz w:val="16"/>
          <w:szCs w:val="16"/>
          <w:lang w:val="en-US"/>
          <w14:ligatures w14:val="standardContextual"/>
        </w:rPr>
        <w:t xml:space="preserve"> </w:t>
      </w:r>
      <w:r w:rsidR="0025582C" w:rsidRPr="0025582C">
        <w:rPr>
          <w:rFonts w:ascii="Calibri" w:eastAsiaTheme="minorHAnsi" w:hAnsi="Calibri" w:cs="Calibri"/>
          <w:i/>
          <w:iCs/>
          <w:color w:val="000000" w:themeColor="text1"/>
          <w:sz w:val="16"/>
          <w:szCs w:val="16"/>
          <w:lang w:val="en-US"/>
          <w14:ligatures w14:val="standardContextual"/>
        </w:rPr>
        <w:t>through the Fiji Investment Competitiveness project, and a total of US$</w:t>
      </w:r>
      <w:r w:rsidR="00D42925">
        <w:rPr>
          <w:rFonts w:ascii="Calibri" w:eastAsiaTheme="minorHAnsi" w:hAnsi="Calibri" w:cs="Calibri"/>
          <w:i/>
          <w:iCs/>
          <w:color w:val="000000" w:themeColor="text1"/>
          <w:sz w:val="16"/>
          <w:szCs w:val="16"/>
          <w:lang w:val="en-US"/>
          <w14:ligatures w14:val="standardContextual"/>
        </w:rPr>
        <w:t>26.5</w:t>
      </w:r>
      <w:r w:rsidR="0025582C" w:rsidRPr="0025582C">
        <w:rPr>
          <w:rFonts w:ascii="Calibri" w:eastAsiaTheme="minorHAnsi" w:hAnsi="Calibri" w:cs="Calibri"/>
          <w:i/>
          <w:iCs/>
          <w:color w:val="000000" w:themeColor="text1"/>
          <w:sz w:val="16"/>
          <w:szCs w:val="16"/>
          <w:lang w:val="en-US"/>
          <w14:ligatures w14:val="standardContextual"/>
        </w:rPr>
        <w:t xml:space="preserve"> million investment mobilized through the Fiji Health PPP project. </w:t>
      </w:r>
    </w:p>
  </w:footnote>
  <w:footnote w:id="18">
    <w:p w14:paraId="069B4A33" w14:textId="77777777" w:rsidR="00577D45" w:rsidRDefault="00577D45" w:rsidP="00577D45">
      <w:pPr>
        <w:spacing w:before="240" w:after="240"/>
        <w:rPr>
          <w:color w:val="000000" w:themeColor="text1"/>
        </w:rPr>
      </w:pPr>
      <w:r w:rsidRPr="0020570E">
        <w:rPr>
          <w:rStyle w:val="FootnoteReference"/>
        </w:rPr>
        <w:footnoteRef/>
      </w:r>
      <w:r w:rsidRPr="43DD6A0C">
        <w:rPr>
          <w:color w:val="000000" w:themeColor="text1"/>
          <w:sz w:val="16"/>
          <w:szCs w:val="16"/>
        </w:rPr>
        <w:t xml:space="preserve">Patton, Michael Quinn (2013): Utilization-Focused Evaluation (U-FE) Checklist, in: Patton (2012): Essentials of Utilization-Focused Evaluation, </w:t>
      </w:r>
      <w:r w:rsidRPr="43DD6A0C">
        <w:rPr>
          <w:color w:val="0563C1"/>
          <w:sz w:val="16"/>
          <w:szCs w:val="16"/>
        </w:rPr>
        <w:t>Sage Publications</w:t>
      </w:r>
      <w:r w:rsidRPr="43DD6A0C">
        <w:rPr>
          <w:color w:val="000000" w:themeColor="text1"/>
          <w:sz w:val="16"/>
          <w:szCs w:val="16"/>
        </w:rPr>
        <w:t>.</w:t>
      </w:r>
      <w:r w:rsidRPr="43DD6A0C">
        <w:rPr>
          <w:color w:val="000000" w:themeColor="text1"/>
        </w:rPr>
        <w:t xml:space="preserve">  </w:t>
      </w:r>
    </w:p>
    <w:p w14:paraId="0E7A3D01" w14:textId="77777777" w:rsidR="00577D45" w:rsidRDefault="00577D45" w:rsidP="00577D45">
      <w:pPr>
        <w:pStyle w:val="BodyText"/>
      </w:pPr>
    </w:p>
  </w:footnote>
  <w:footnote w:id="19">
    <w:p w14:paraId="028304DE" w14:textId="77777777" w:rsidR="00577D45" w:rsidRPr="00300A2F" w:rsidRDefault="00577D45" w:rsidP="4EF1951E">
      <w:pPr>
        <w:pStyle w:val="NormalWeb"/>
        <w:shd w:val="clear" w:color="auto" w:fill="FFFFFF" w:themeFill="background1"/>
        <w:spacing w:before="0" w:beforeAutospacing="0"/>
        <w:jc w:val="both"/>
        <w:rPr>
          <w:rFonts w:ascii="Calibri" w:hAnsi="Calibri" w:cs="Calibri"/>
          <w:color w:val="000000" w:themeColor="text1"/>
          <w:sz w:val="16"/>
          <w:szCs w:val="16"/>
        </w:rPr>
      </w:pPr>
      <w:r w:rsidRPr="4EF1951E">
        <w:rPr>
          <w:rStyle w:val="FootnoteReference"/>
          <w:rFonts w:ascii="Calibri" w:eastAsiaTheme="majorEastAsia" w:hAnsi="Calibri" w:cs="Calibri"/>
          <w:color w:val="000000" w:themeColor="text1"/>
          <w:sz w:val="16"/>
          <w:szCs w:val="16"/>
        </w:rPr>
        <w:footnoteRef/>
      </w:r>
      <w:r w:rsidR="4EF1951E" w:rsidRPr="00300A2F">
        <w:rPr>
          <w:rFonts w:ascii="Calibri" w:hAnsi="Calibri" w:cs="Calibri"/>
          <w:color w:val="000000" w:themeColor="text1"/>
          <w:sz w:val="16"/>
          <w:szCs w:val="16"/>
        </w:rPr>
        <w:t xml:space="preserve"> Purposive sampling (also known as  judgment, selective or subjective sampling) is a sampling technique in which researcher relies on his or her own judgment when choosing members of population to participate in the study. Purposive sampling is a </w:t>
      </w:r>
      <w:hyperlink r:id="rId4" w:history="1">
        <w:r w:rsidR="4EF1951E" w:rsidRPr="4EF1951E">
          <w:rPr>
            <w:rStyle w:val="Hyperlink"/>
            <w:rFonts w:ascii="Calibri" w:eastAsiaTheme="majorEastAsia" w:hAnsi="Calibri" w:cs="Calibri"/>
            <w:color w:val="000000" w:themeColor="text1"/>
            <w:sz w:val="16"/>
            <w:szCs w:val="16"/>
          </w:rPr>
          <w:t>non-probability</w:t>
        </w:r>
      </w:hyperlink>
      <w:r w:rsidR="4EF1951E" w:rsidRPr="00300A2F">
        <w:rPr>
          <w:rFonts w:ascii="Calibri" w:hAnsi="Calibri" w:cs="Calibri"/>
          <w:color w:val="000000" w:themeColor="text1"/>
          <w:sz w:val="16"/>
          <w:szCs w:val="16"/>
        </w:rPr>
        <w:t> sampling method and it occurs when “elements selected for the sample are chosen by the judgment of the researcher. Researchers often believe that they can obtain a representative sample by using a sound judgment, which will result in saving time and money</w:t>
      </w:r>
      <w:r w:rsidR="4EF1951E">
        <w:rPr>
          <w:rFonts w:ascii="Calibri" w:hAnsi="Calibri" w:cs="Calibri"/>
          <w:color w:val="000000" w:themeColor="text1"/>
          <w:sz w:val="16"/>
          <w:szCs w:val="16"/>
        </w:rPr>
        <w:t xml:space="preserve"> –</w:t>
      </w:r>
      <w:r w:rsidR="4EF1951E" w:rsidRPr="4EF1951E">
        <w:rPr>
          <w:rFonts w:ascii="Calibri" w:hAnsi="Calibri" w:cs="Calibri"/>
          <w:b/>
          <w:bCs/>
          <w:color w:val="156082" w:themeColor="accent1"/>
          <w:sz w:val="16"/>
          <w:szCs w:val="16"/>
        </w:rPr>
        <w:t xml:space="preserve"> </w:t>
      </w:r>
      <w:hyperlink r:id="rId5" w:history="1">
        <w:r w:rsidR="4EF1951E" w:rsidRPr="4EF1951E">
          <w:rPr>
            <w:rStyle w:val="Hyperlink"/>
            <w:rFonts w:ascii="Calibri" w:eastAsiaTheme="majorEastAsia" w:hAnsi="Calibri" w:cs="Calibri"/>
            <w:b/>
            <w:bCs/>
            <w:color w:val="156082" w:themeColor="accent1"/>
            <w:sz w:val="16"/>
            <w:szCs w:val="16"/>
          </w:rPr>
          <w:t>www.research-methodology.net</w:t>
        </w:r>
      </w:hyperlink>
    </w:p>
    <w:p w14:paraId="775E6048" w14:textId="77777777" w:rsidR="00577D45" w:rsidRDefault="00577D45" w:rsidP="00577D45">
      <w:pPr>
        <w:pStyle w:val="FootnoteText"/>
      </w:pPr>
    </w:p>
  </w:footnote>
  <w:footnote w:id="20">
    <w:p w14:paraId="7AA0ADBB" w14:textId="77777777" w:rsidR="00577D45" w:rsidRPr="00A26E3C" w:rsidRDefault="00577D45" w:rsidP="00577D45">
      <w:pPr>
        <w:pStyle w:val="FootnoteText"/>
        <w:rPr>
          <w:rFonts w:ascii="Calibri" w:hAnsi="Calibri" w:cs="Calibri"/>
          <w:sz w:val="16"/>
          <w:szCs w:val="16"/>
        </w:rPr>
      </w:pPr>
      <w:r w:rsidRPr="00A26E3C">
        <w:rPr>
          <w:rStyle w:val="FootnoteReference"/>
          <w:rFonts w:ascii="Calibri" w:hAnsi="Calibri" w:cs="Calibri"/>
          <w:sz w:val="16"/>
          <w:szCs w:val="16"/>
        </w:rPr>
        <w:footnoteRef/>
      </w:r>
      <w:r w:rsidRPr="00A26E3C">
        <w:rPr>
          <w:rFonts w:ascii="Calibri" w:hAnsi="Calibri" w:cs="Calibri"/>
          <w:sz w:val="16"/>
          <w:szCs w:val="16"/>
        </w:rPr>
        <w:t xml:space="preserve"> Quantitative data against indicators will be cumulative. That is, the total will be updated at each reporting period. </w:t>
      </w:r>
    </w:p>
  </w:footnote>
  <w:footnote w:id="21">
    <w:p w14:paraId="0135CE35" w14:textId="77777777" w:rsidR="00577D45" w:rsidRPr="00A26E3C" w:rsidRDefault="00577D45" w:rsidP="00577D45">
      <w:pPr>
        <w:pStyle w:val="FootnoteText"/>
        <w:rPr>
          <w:rFonts w:ascii="Calibri" w:hAnsi="Calibri" w:cs="Calibri"/>
          <w:sz w:val="16"/>
          <w:szCs w:val="16"/>
        </w:rPr>
      </w:pPr>
      <w:r w:rsidRPr="00A26E3C">
        <w:rPr>
          <w:rStyle w:val="FootnoteReference"/>
          <w:rFonts w:ascii="Calibri" w:hAnsi="Calibri" w:cs="Calibri"/>
          <w:sz w:val="16"/>
          <w:szCs w:val="16"/>
        </w:rPr>
        <w:footnoteRef/>
      </w:r>
      <w:r w:rsidRPr="00A26E3C">
        <w:rPr>
          <w:rFonts w:ascii="Calibri" w:hAnsi="Calibri" w:cs="Calibri"/>
          <w:sz w:val="16"/>
          <w:szCs w:val="16"/>
        </w:rPr>
        <w:t xml:space="preserve"> Answers to evaluative questions will draw from evidence available in that reporting period. Not all questions will be relevant every six months. </w:t>
      </w:r>
    </w:p>
  </w:footnote>
  <w:footnote w:id="22">
    <w:p w14:paraId="083470B1" w14:textId="77777777" w:rsidR="00577D45" w:rsidRPr="004C0166" w:rsidRDefault="00577D45" w:rsidP="00577D45">
      <w:pPr>
        <w:pStyle w:val="FootnoteText"/>
      </w:pPr>
      <w:r w:rsidRPr="00A26E3C">
        <w:rPr>
          <w:rStyle w:val="FootnoteReference"/>
          <w:rFonts w:ascii="Calibri" w:hAnsi="Calibri" w:cs="Calibri"/>
          <w:sz w:val="16"/>
          <w:szCs w:val="16"/>
        </w:rPr>
        <w:footnoteRef/>
      </w:r>
      <w:r w:rsidRPr="00A26E3C">
        <w:rPr>
          <w:rFonts w:ascii="Calibri" w:hAnsi="Calibri" w:cs="Calibri"/>
          <w:sz w:val="16"/>
          <w:szCs w:val="16"/>
        </w:rPr>
        <w:t xml:space="preserve"> This question is intended to be portfolio-based and forward looking, to help DFAT understand how IFC is tracking against the Partnership goal of $100M mobilized by December 2025. That is, IFC will explain the expected finance to be mobilized for each project (where relevant) and report relevant activities through the period towards this expected development impact.</w:t>
      </w:r>
    </w:p>
  </w:footnote>
  <w:footnote w:id="23">
    <w:p w14:paraId="5ED3FAEF" w14:textId="77777777" w:rsidR="00577D45" w:rsidRPr="00A26E3C" w:rsidRDefault="00577D45" w:rsidP="00577D45">
      <w:pPr>
        <w:pStyle w:val="FootnoteText"/>
        <w:rPr>
          <w:rFonts w:ascii="Calibri" w:hAnsi="Calibri" w:cs="Calibri"/>
          <w:sz w:val="16"/>
          <w:szCs w:val="16"/>
        </w:rPr>
      </w:pPr>
      <w:r w:rsidRPr="00A26E3C">
        <w:rPr>
          <w:rStyle w:val="FootnoteReference"/>
          <w:rFonts w:ascii="Calibri" w:hAnsi="Calibri" w:cs="Calibri"/>
          <w:sz w:val="16"/>
          <w:szCs w:val="16"/>
        </w:rPr>
        <w:footnoteRef/>
      </w:r>
      <w:r w:rsidRPr="00A26E3C">
        <w:rPr>
          <w:rFonts w:ascii="Calibri" w:hAnsi="Calibri" w:cs="Calibri"/>
          <w:sz w:val="16"/>
          <w:szCs w:val="16"/>
        </w:rPr>
        <w:t xml:space="preserve"> Response to this question will include reflection on all strategies utilised by IFC to support gender inclusive practice, including through modelling women’s leadership in the Program leadership team.</w:t>
      </w:r>
    </w:p>
  </w:footnote>
  <w:footnote w:id="24">
    <w:p w14:paraId="054E96DB" w14:textId="77777777" w:rsidR="00577D45" w:rsidRPr="004C0166" w:rsidRDefault="00577D45" w:rsidP="00577D45">
      <w:pPr>
        <w:pStyle w:val="FootnoteText"/>
      </w:pPr>
      <w:r w:rsidRPr="00A26E3C">
        <w:rPr>
          <w:rStyle w:val="FootnoteReference"/>
          <w:rFonts w:ascii="Calibri" w:hAnsi="Calibri" w:cs="Calibri"/>
          <w:sz w:val="16"/>
          <w:szCs w:val="16"/>
        </w:rPr>
        <w:footnoteRef/>
      </w:r>
      <w:r w:rsidRPr="00A26E3C">
        <w:rPr>
          <w:rFonts w:ascii="Calibri" w:hAnsi="Calibri" w:cs="Calibri"/>
          <w:sz w:val="16"/>
          <w:szCs w:val="16"/>
        </w:rPr>
        <w:t xml:space="preserve"> Similar to the Pillar 2 Evaluative question, this information will be provided on a portfolio basis. For the portfolio projects that address disability, IFC has taken an approach – e.g., incorporating disaggregated data – which means that the qualitative response to this question will not change significantly in each reporting period.</w:t>
      </w:r>
      <w:r>
        <w:t xml:space="preserve"> </w:t>
      </w:r>
    </w:p>
  </w:footnote>
  <w:footnote w:id="25">
    <w:p w14:paraId="32FDFA45" w14:textId="77777777" w:rsidR="00577D45" w:rsidRPr="00A26E3C" w:rsidRDefault="00577D45" w:rsidP="00577D45">
      <w:pPr>
        <w:pStyle w:val="FootnoteText"/>
        <w:rPr>
          <w:rFonts w:ascii="Calibri" w:hAnsi="Calibri" w:cs="Calibri"/>
          <w:sz w:val="16"/>
          <w:szCs w:val="16"/>
        </w:rPr>
      </w:pPr>
      <w:r w:rsidRPr="00A26E3C">
        <w:rPr>
          <w:rStyle w:val="FootnoteReference"/>
          <w:rFonts w:ascii="Calibri" w:hAnsi="Calibri" w:cs="Calibri"/>
          <w:sz w:val="16"/>
          <w:szCs w:val="16"/>
        </w:rPr>
        <w:footnoteRef/>
      </w:r>
      <w:r w:rsidRPr="00A26E3C">
        <w:rPr>
          <w:rFonts w:ascii="Calibri" w:hAnsi="Calibri" w:cs="Calibri"/>
          <w:sz w:val="16"/>
          <w:szCs w:val="16"/>
        </w:rPr>
        <w:t xml:space="preserve"> This methodology change applies from the reporting period Jan-June 2023 onwards. The social media metric was added, and media metric modified.  </w:t>
      </w:r>
    </w:p>
  </w:footnote>
  <w:footnote w:id="26">
    <w:p w14:paraId="5476F112" w14:textId="77777777" w:rsidR="00577D45" w:rsidRPr="00386F2F" w:rsidRDefault="00577D45" w:rsidP="00577D45">
      <w:pPr>
        <w:pStyle w:val="FootnoteText"/>
      </w:pPr>
      <w:r w:rsidRPr="00A26E3C">
        <w:rPr>
          <w:rStyle w:val="FootnoteReference"/>
          <w:rFonts w:ascii="Calibri" w:hAnsi="Calibri" w:cs="Calibri"/>
          <w:sz w:val="16"/>
          <w:szCs w:val="16"/>
        </w:rPr>
        <w:footnoteRef/>
      </w:r>
      <w:r w:rsidRPr="00A26E3C">
        <w:rPr>
          <w:rFonts w:ascii="Calibri" w:hAnsi="Calibri" w:cs="Calibri"/>
          <w:sz w:val="16"/>
          <w:szCs w:val="16"/>
        </w:rPr>
        <w:t xml:space="preserve"> This methodology change applies from the reporting period Jan-June 2023 onwards. Clarification sub-bullet on engagement definition added.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0AEF" w14:textId="77777777" w:rsidR="008A10FA" w:rsidRPr="00573C53" w:rsidRDefault="008A10FA" w:rsidP="00573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578D35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ABAD1C6"/>
    <w:lvl w:ilvl="0">
      <w:start w:val="1"/>
      <w:numFmt w:val="decimal"/>
      <w:pStyle w:val="ListNumber"/>
      <w:lvlText w:val="%1."/>
      <w:lvlJc w:val="left"/>
      <w:pPr>
        <w:tabs>
          <w:tab w:val="num" w:pos="360"/>
        </w:tabs>
        <w:ind w:left="360" w:hanging="360"/>
      </w:pPr>
      <w:rPr>
        <w:b/>
        <w:bCs/>
        <w:color w:val="F16969"/>
      </w:rPr>
    </w:lvl>
  </w:abstractNum>
  <w:abstractNum w:abstractNumId="2" w15:restartNumberingAfterBreak="0">
    <w:nsid w:val="FFFFFF89"/>
    <w:multiLevelType w:val="singleLevel"/>
    <w:tmpl w:val="A3A2151E"/>
    <w:lvl w:ilvl="0">
      <w:start w:val="1"/>
      <w:numFmt w:val="bullet"/>
      <w:pStyle w:val="ListBullet"/>
      <w:lvlText w:val=""/>
      <w:lvlJc w:val="left"/>
      <w:pPr>
        <w:tabs>
          <w:tab w:val="num" w:pos="360"/>
        </w:tabs>
        <w:ind w:left="360" w:hanging="360"/>
      </w:pPr>
      <w:rPr>
        <w:rFonts w:ascii="Symbol" w:hAnsi="Symbol" w:hint="default"/>
        <w:color w:val="FF4243"/>
      </w:rPr>
    </w:lvl>
  </w:abstractNum>
  <w:abstractNum w:abstractNumId="3" w15:restartNumberingAfterBreak="0">
    <w:nsid w:val="05F37BB9"/>
    <w:multiLevelType w:val="hybridMultilevel"/>
    <w:tmpl w:val="7BBA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7738B"/>
    <w:multiLevelType w:val="hybridMultilevel"/>
    <w:tmpl w:val="8C52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EA3159"/>
    <w:multiLevelType w:val="hybridMultilevel"/>
    <w:tmpl w:val="C994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F33B0"/>
    <w:multiLevelType w:val="hybridMultilevel"/>
    <w:tmpl w:val="1952C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66688"/>
    <w:multiLevelType w:val="hybridMultilevel"/>
    <w:tmpl w:val="5EEE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95EB9"/>
    <w:multiLevelType w:val="hybridMultilevel"/>
    <w:tmpl w:val="D4F09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E14AA"/>
    <w:multiLevelType w:val="hybridMultilevel"/>
    <w:tmpl w:val="E7E2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415325"/>
    <w:multiLevelType w:val="hybridMultilevel"/>
    <w:tmpl w:val="E4A2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D395D"/>
    <w:multiLevelType w:val="hybridMultilevel"/>
    <w:tmpl w:val="CEB6B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F734F"/>
    <w:multiLevelType w:val="hybridMultilevel"/>
    <w:tmpl w:val="E188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D41A2"/>
    <w:multiLevelType w:val="hybridMultilevel"/>
    <w:tmpl w:val="D05C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4A3"/>
    <w:multiLevelType w:val="hybridMultilevel"/>
    <w:tmpl w:val="34EE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B039C"/>
    <w:multiLevelType w:val="hybridMultilevel"/>
    <w:tmpl w:val="28BAD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F1E1F"/>
    <w:multiLevelType w:val="hybridMultilevel"/>
    <w:tmpl w:val="660AF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25EC1"/>
    <w:multiLevelType w:val="hybridMultilevel"/>
    <w:tmpl w:val="D102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37B9D"/>
    <w:multiLevelType w:val="hybridMultilevel"/>
    <w:tmpl w:val="13C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F91462"/>
    <w:multiLevelType w:val="hybridMultilevel"/>
    <w:tmpl w:val="6032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745FAB"/>
    <w:multiLevelType w:val="hybridMultilevel"/>
    <w:tmpl w:val="C2D0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B7F24"/>
    <w:multiLevelType w:val="hybridMultilevel"/>
    <w:tmpl w:val="3D543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4765E"/>
    <w:multiLevelType w:val="hybridMultilevel"/>
    <w:tmpl w:val="9B687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C246B1"/>
    <w:multiLevelType w:val="hybridMultilevel"/>
    <w:tmpl w:val="883A8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F12F54"/>
    <w:multiLevelType w:val="hybridMultilevel"/>
    <w:tmpl w:val="EFDC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91959"/>
    <w:multiLevelType w:val="hybridMultilevel"/>
    <w:tmpl w:val="2348C6AC"/>
    <w:lvl w:ilvl="0" w:tplc="7CF430CA">
      <w:start w:val="1"/>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2BF6C5E"/>
    <w:multiLevelType w:val="hybridMultilevel"/>
    <w:tmpl w:val="3B78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F95D5F"/>
    <w:multiLevelType w:val="hybridMultilevel"/>
    <w:tmpl w:val="7FAA0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F85F1E"/>
    <w:multiLevelType w:val="hybridMultilevel"/>
    <w:tmpl w:val="60306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094B2E"/>
    <w:multiLevelType w:val="hybridMultilevel"/>
    <w:tmpl w:val="E52A4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995E95"/>
    <w:multiLevelType w:val="hybridMultilevel"/>
    <w:tmpl w:val="900CA96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7CA936F0"/>
    <w:multiLevelType w:val="hybridMultilevel"/>
    <w:tmpl w:val="CD60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BC416D"/>
    <w:multiLevelType w:val="hybridMultilevel"/>
    <w:tmpl w:val="64381DE6"/>
    <w:lvl w:ilvl="0" w:tplc="6C82104C">
      <w:start w:val="1"/>
      <w:numFmt w:val="bullet"/>
      <w:lvlText w:val=""/>
      <w:lvlJc w:val="left"/>
      <w:pPr>
        <w:ind w:left="720" w:hanging="360"/>
      </w:pPr>
      <w:rPr>
        <w:rFonts w:ascii="Symbol" w:hAnsi="Symbol" w:hint="default"/>
      </w:rPr>
    </w:lvl>
    <w:lvl w:ilvl="1" w:tplc="AFF00B52">
      <w:start w:val="1"/>
      <w:numFmt w:val="bullet"/>
      <w:lvlText w:val="o"/>
      <w:lvlJc w:val="left"/>
      <w:pPr>
        <w:ind w:left="1440" w:hanging="360"/>
      </w:pPr>
      <w:rPr>
        <w:rFonts w:ascii="Courier New" w:hAnsi="Courier New" w:hint="default"/>
      </w:rPr>
    </w:lvl>
    <w:lvl w:ilvl="2" w:tplc="84E01CD8">
      <w:start w:val="1"/>
      <w:numFmt w:val="bullet"/>
      <w:lvlText w:val=""/>
      <w:lvlJc w:val="left"/>
      <w:pPr>
        <w:ind w:left="2160" w:hanging="360"/>
      </w:pPr>
      <w:rPr>
        <w:rFonts w:ascii="Wingdings" w:hAnsi="Wingdings" w:hint="default"/>
      </w:rPr>
    </w:lvl>
    <w:lvl w:ilvl="3" w:tplc="CEC4C86C">
      <w:start w:val="1"/>
      <w:numFmt w:val="bullet"/>
      <w:lvlText w:val=""/>
      <w:lvlJc w:val="left"/>
      <w:pPr>
        <w:ind w:left="2880" w:hanging="360"/>
      </w:pPr>
      <w:rPr>
        <w:rFonts w:ascii="Symbol" w:hAnsi="Symbol" w:hint="default"/>
      </w:rPr>
    </w:lvl>
    <w:lvl w:ilvl="4" w:tplc="5ACA527C">
      <w:start w:val="1"/>
      <w:numFmt w:val="bullet"/>
      <w:lvlText w:val="o"/>
      <w:lvlJc w:val="left"/>
      <w:pPr>
        <w:ind w:left="3600" w:hanging="360"/>
      </w:pPr>
      <w:rPr>
        <w:rFonts w:ascii="Courier New" w:hAnsi="Courier New" w:hint="default"/>
      </w:rPr>
    </w:lvl>
    <w:lvl w:ilvl="5" w:tplc="C614A5A6">
      <w:start w:val="1"/>
      <w:numFmt w:val="bullet"/>
      <w:lvlText w:val=""/>
      <w:lvlJc w:val="left"/>
      <w:pPr>
        <w:ind w:left="4320" w:hanging="360"/>
      </w:pPr>
      <w:rPr>
        <w:rFonts w:ascii="Wingdings" w:hAnsi="Wingdings" w:hint="default"/>
      </w:rPr>
    </w:lvl>
    <w:lvl w:ilvl="6" w:tplc="4C5497C2">
      <w:start w:val="1"/>
      <w:numFmt w:val="bullet"/>
      <w:lvlText w:val=""/>
      <w:lvlJc w:val="left"/>
      <w:pPr>
        <w:ind w:left="5040" w:hanging="360"/>
      </w:pPr>
      <w:rPr>
        <w:rFonts w:ascii="Symbol" w:hAnsi="Symbol" w:hint="default"/>
      </w:rPr>
    </w:lvl>
    <w:lvl w:ilvl="7" w:tplc="5906AB2E">
      <w:start w:val="1"/>
      <w:numFmt w:val="bullet"/>
      <w:lvlText w:val="o"/>
      <w:lvlJc w:val="left"/>
      <w:pPr>
        <w:ind w:left="5760" w:hanging="360"/>
      </w:pPr>
      <w:rPr>
        <w:rFonts w:ascii="Courier New" w:hAnsi="Courier New" w:hint="default"/>
      </w:rPr>
    </w:lvl>
    <w:lvl w:ilvl="8" w:tplc="A5509E62">
      <w:start w:val="1"/>
      <w:numFmt w:val="bullet"/>
      <w:lvlText w:val=""/>
      <w:lvlJc w:val="left"/>
      <w:pPr>
        <w:ind w:left="6480" w:hanging="360"/>
      </w:pPr>
      <w:rPr>
        <w:rFonts w:ascii="Wingdings" w:hAnsi="Wingdings" w:hint="default"/>
      </w:rPr>
    </w:lvl>
  </w:abstractNum>
  <w:num w:numId="1" w16cid:durableId="733040650">
    <w:abstractNumId w:val="2"/>
  </w:num>
  <w:num w:numId="2" w16cid:durableId="1353067313">
    <w:abstractNumId w:val="0"/>
  </w:num>
  <w:num w:numId="3" w16cid:durableId="1434591263">
    <w:abstractNumId w:val="1"/>
  </w:num>
  <w:num w:numId="4" w16cid:durableId="211888048">
    <w:abstractNumId w:val="32"/>
  </w:num>
  <w:num w:numId="5" w16cid:durableId="1988825589">
    <w:abstractNumId w:val="6"/>
  </w:num>
  <w:num w:numId="6" w16cid:durableId="675109927">
    <w:abstractNumId w:val="11"/>
  </w:num>
  <w:num w:numId="7" w16cid:durableId="684720356">
    <w:abstractNumId w:val="7"/>
  </w:num>
  <w:num w:numId="8" w16cid:durableId="941260129">
    <w:abstractNumId w:val="19"/>
  </w:num>
  <w:num w:numId="9" w16cid:durableId="352850477">
    <w:abstractNumId w:val="30"/>
  </w:num>
  <w:num w:numId="10" w16cid:durableId="994532044">
    <w:abstractNumId w:val="4"/>
  </w:num>
  <w:num w:numId="11" w16cid:durableId="1784425464">
    <w:abstractNumId w:val="31"/>
  </w:num>
  <w:num w:numId="12" w16cid:durableId="1251163225">
    <w:abstractNumId w:val="25"/>
  </w:num>
  <w:num w:numId="13" w16cid:durableId="986476133">
    <w:abstractNumId w:val="22"/>
  </w:num>
  <w:num w:numId="14" w16cid:durableId="117114777">
    <w:abstractNumId w:val="10"/>
  </w:num>
  <w:num w:numId="15" w16cid:durableId="249241853">
    <w:abstractNumId w:val="18"/>
  </w:num>
  <w:num w:numId="16" w16cid:durableId="910046909">
    <w:abstractNumId w:val="12"/>
  </w:num>
  <w:num w:numId="17" w16cid:durableId="1417288563">
    <w:abstractNumId w:val="17"/>
  </w:num>
  <w:num w:numId="18" w16cid:durableId="817917878">
    <w:abstractNumId w:val="28"/>
  </w:num>
  <w:num w:numId="19" w16cid:durableId="1791052100">
    <w:abstractNumId w:val="26"/>
  </w:num>
  <w:num w:numId="20" w16cid:durableId="1325284957">
    <w:abstractNumId w:val="14"/>
  </w:num>
  <w:num w:numId="21" w16cid:durableId="1746679218">
    <w:abstractNumId w:val="20"/>
  </w:num>
  <w:num w:numId="22" w16cid:durableId="935330689">
    <w:abstractNumId w:val="5"/>
  </w:num>
  <w:num w:numId="23" w16cid:durableId="1978758869">
    <w:abstractNumId w:val="8"/>
  </w:num>
  <w:num w:numId="24" w16cid:durableId="683441811">
    <w:abstractNumId w:val="9"/>
  </w:num>
  <w:num w:numId="25" w16cid:durableId="1117069252">
    <w:abstractNumId w:val="21"/>
  </w:num>
  <w:num w:numId="26" w16cid:durableId="795877335">
    <w:abstractNumId w:val="16"/>
  </w:num>
  <w:num w:numId="27" w16cid:durableId="651101601">
    <w:abstractNumId w:val="15"/>
  </w:num>
  <w:num w:numId="28" w16cid:durableId="124126774">
    <w:abstractNumId w:val="29"/>
  </w:num>
  <w:num w:numId="29" w16cid:durableId="467166920">
    <w:abstractNumId w:val="23"/>
  </w:num>
  <w:num w:numId="30" w16cid:durableId="1882550775">
    <w:abstractNumId w:val="27"/>
  </w:num>
  <w:num w:numId="31" w16cid:durableId="351686551">
    <w:abstractNumId w:val="13"/>
  </w:num>
  <w:num w:numId="32" w16cid:durableId="445854068">
    <w:abstractNumId w:val="24"/>
  </w:num>
  <w:num w:numId="33" w16cid:durableId="120895628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0FA"/>
    <w:rsid w:val="00001776"/>
    <w:rsid w:val="0000232C"/>
    <w:rsid w:val="000040B4"/>
    <w:rsid w:val="00006BDF"/>
    <w:rsid w:val="0001083B"/>
    <w:rsid w:val="0001222A"/>
    <w:rsid w:val="00012699"/>
    <w:rsid w:val="00015B90"/>
    <w:rsid w:val="00015DD9"/>
    <w:rsid w:val="00021BA2"/>
    <w:rsid w:val="00031618"/>
    <w:rsid w:val="00032560"/>
    <w:rsid w:val="00033C5D"/>
    <w:rsid w:val="00041120"/>
    <w:rsid w:val="00044006"/>
    <w:rsid w:val="000446BA"/>
    <w:rsid w:val="000458F9"/>
    <w:rsid w:val="00047C6D"/>
    <w:rsid w:val="00051E11"/>
    <w:rsid w:val="000520B6"/>
    <w:rsid w:val="0005509B"/>
    <w:rsid w:val="00055648"/>
    <w:rsid w:val="000565E6"/>
    <w:rsid w:val="00057130"/>
    <w:rsid w:val="0005725E"/>
    <w:rsid w:val="00062D6F"/>
    <w:rsid w:val="00063D20"/>
    <w:rsid w:val="00067C41"/>
    <w:rsid w:val="000701A4"/>
    <w:rsid w:val="0007021D"/>
    <w:rsid w:val="000744F8"/>
    <w:rsid w:val="000747D3"/>
    <w:rsid w:val="00074D35"/>
    <w:rsid w:val="00075089"/>
    <w:rsid w:val="00085C87"/>
    <w:rsid w:val="000900CA"/>
    <w:rsid w:val="00090B6E"/>
    <w:rsid w:val="0009235D"/>
    <w:rsid w:val="00092CD0"/>
    <w:rsid w:val="00093286"/>
    <w:rsid w:val="00094A2F"/>
    <w:rsid w:val="00094E38"/>
    <w:rsid w:val="000A1DD3"/>
    <w:rsid w:val="000A3B8F"/>
    <w:rsid w:val="000B1F18"/>
    <w:rsid w:val="000B3081"/>
    <w:rsid w:val="000B50E7"/>
    <w:rsid w:val="000B6BBB"/>
    <w:rsid w:val="000C0319"/>
    <w:rsid w:val="000C0F12"/>
    <w:rsid w:val="000C115B"/>
    <w:rsid w:val="000C30C8"/>
    <w:rsid w:val="000C364F"/>
    <w:rsid w:val="000C4C9A"/>
    <w:rsid w:val="000C4E5D"/>
    <w:rsid w:val="000C5033"/>
    <w:rsid w:val="000C6DD2"/>
    <w:rsid w:val="000D00F9"/>
    <w:rsid w:val="000D71C3"/>
    <w:rsid w:val="000E0581"/>
    <w:rsid w:val="000E3398"/>
    <w:rsid w:val="000E47A9"/>
    <w:rsid w:val="000E7AC4"/>
    <w:rsid w:val="000F0F21"/>
    <w:rsid w:val="000F1E83"/>
    <w:rsid w:val="000F33BE"/>
    <w:rsid w:val="000F3735"/>
    <w:rsid w:val="000F4425"/>
    <w:rsid w:val="0010305B"/>
    <w:rsid w:val="00103AAF"/>
    <w:rsid w:val="001048F9"/>
    <w:rsid w:val="0010604E"/>
    <w:rsid w:val="00106B33"/>
    <w:rsid w:val="00106C2D"/>
    <w:rsid w:val="00110306"/>
    <w:rsid w:val="00116737"/>
    <w:rsid w:val="0012206E"/>
    <w:rsid w:val="0012222B"/>
    <w:rsid w:val="00123C6F"/>
    <w:rsid w:val="00126D14"/>
    <w:rsid w:val="0012758E"/>
    <w:rsid w:val="00127E9D"/>
    <w:rsid w:val="001308EF"/>
    <w:rsid w:val="00131132"/>
    <w:rsid w:val="001325F7"/>
    <w:rsid w:val="001329D9"/>
    <w:rsid w:val="001345AB"/>
    <w:rsid w:val="0013618A"/>
    <w:rsid w:val="00137F63"/>
    <w:rsid w:val="00140818"/>
    <w:rsid w:val="00140B4F"/>
    <w:rsid w:val="0014615B"/>
    <w:rsid w:val="00146D37"/>
    <w:rsid w:val="001508BE"/>
    <w:rsid w:val="00150A98"/>
    <w:rsid w:val="00157492"/>
    <w:rsid w:val="00157A24"/>
    <w:rsid w:val="00157A4E"/>
    <w:rsid w:val="001618B6"/>
    <w:rsid w:val="00162E29"/>
    <w:rsid w:val="001632B2"/>
    <w:rsid w:val="00163E59"/>
    <w:rsid w:val="00165151"/>
    <w:rsid w:val="00165254"/>
    <w:rsid w:val="00166A66"/>
    <w:rsid w:val="00170CE8"/>
    <w:rsid w:val="0017509E"/>
    <w:rsid w:val="00177F63"/>
    <w:rsid w:val="00177F95"/>
    <w:rsid w:val="00180D94"/>
    <w:rsid w:val="001813E5"/>
    <w:rsid w:val="001814BE"/>
    <w:rsid w:val="001830AE"/>
    <w:rsid w:val="001837CB"/>
    <w:rsid w:val="00183FF0"/>
    <w:rsid w:val="00190C0E"/>
    <w:rsid w:val="00192C65"/>
    <w:rsid w:val="001947EB"/>
    <w:rsid w:val="00194D9B"/>
    <w:rsid w:val="00197F23"/>
    <w:rsid w:val="001A1A62"/>
    <w:rsid w:val="001A5541"/>
    <w:rsid w:val="001A5A69"/>
    <w:rsid w:val="001A78FF"/>
    <w:rsid w:val="001A7E73"/>
    <w:rsid w:val="001B04D4"/>
    <w:rsid w:val="001B07A9"/>
    <w:rsid w:val="001B0A1D"/>
    <w:rsid w:val="001B3A38"/>
    <w:rsid w:val="001B4445"/>
    <w:rsid w:val="001B6340"/>
    <w:rsid w:val="001C1232"/>
    <w:rsid w:val="001C22AB"/>
    <w:rsid w:val="001C24DD"/>
    <w:rsid w:val="001C3C78"/>
    <w:rsid w:val="001C6137"/>
    <w:rsid w:val="001C670D"/>
    <w:rsid w:val="001C72B6"/>
    <w:rsid w:val="001D2FFD"/>
    <w:rsid w:val="001D356B"/>
    <w:rsid w:val="001D682B"/>
    <w:rsid w:val="001D6B70"/>
    <w:rsid w:val="001D7885"/>
    <w:rsid w:val="001E1FE9"/>
    <w:rsid w:val="001E4E09"/>
    <w:rsid w:val="001E549A"/>
    <w:rsid w:val="001E5A0F"/>
    <w:rsid w:val="001F05EF"/>
    <w:rsid w:val="001F118D"/>
    <w:rsid w:val="001F17B9"/>
    <w:rsid w:val="001F3E23"/>
    <w:rsid w:val="001F3E28"/>
    <w:rsid w:val="001F4AB0"/>
    <w:rsid w:val="001F58C0"/>
    <w:rsid w:val="001F5BFD"/>
    <w:rsid w:val="00200BAA"/>
    <w:rsid w:val="002039C8"/>
    <w:rsid w:val="002044D0"/>
    <w:rsid w:val="00205694"/>
    <w:rsid w:val="0020758F"/>
    <w:rsid w:val="00210E37"/>
    <w:rsid w:val="00212698"/>
    <w:rsid w:val="00214C33"/>
    <w:rsid w:val="0021608C"/>
    <w:rsid w:val="00216D70"/>
    <w:rsid w:val="00217980"/>
    <w:rsid w:val="00222EBE"/>
    <w:rsid w:val="0022513C"/>
    <w:rsid w:val="00225493"/>
    <w:rsid w:val="00225661"/>
    <w:rsid w:val="00227E2A"/>
    <w:rsid w:val="0023279C"/>
    <w:rsid w:val="00233581"/>
    <w:rsid w:val="002348E5"/>
    <w:rsid w:val="0024165A"/>
    <w:rsid w:val="002429B6"/>
    <w:rsid w:val="002429C6"/>
    <w:rsid w:val="00246E20"/>
    <w:rsid w:val="00251454"/>
    <w:rsid w:val="00253905"/>
    <w:rsid w:val="0025582C"/>
    <w:rsid w:val="00256220"/>
    <w:rsid w:val="002568FF"/>
    <w:rsid w:val="002601E3"/>
    <w:rsid w:val="00260436"/>
    <w:rsid w:val="00260786"/>
    <w:rsid w:val="00262D69"/>
    <w:rsid w:val="00262EF7"/>
    <w:rsid w:val="00263CC4"/>
    <w:rsid w:val="00263E4D"/>
    <w:rsid w:val="00267C5F"/>
    <w:rsid w:val="00271484"/>
    <w:rsid w:val="002727C6"/>
    <w:rsid w:val="002756F9"/>
    <w:rsid w:val="0028012F"/>
    <w:rsid w:val="0028084C"/>
    <w:rsid w:val="002808DB"/>
    <w:rsid w:val="00280B2C"/>
    <w:rsid w:val="00280C14"/>
    <w:rsid w:val="00283CEC"/>
    <w:rsid w:val="00285704"/>
    <w:rsid w:val="00286654"/>
    <w:rsid w:val="00290694"/>
    <w:rsid w:val="002906EF"/>
    <w:rsid w:val="00293BE3"/>
    <w:rsid w:val="002A21B3"/>
    <w:rsid w:val="002A246B"/>
    <w:rsid w:val="002A2F72"/>
    <w:rsid w:val="002A4718"/>
    <w:rsid w:val="002A49F4"/>
    <w:rsid w:val="002A5789"/>
    <w:rsid w:val="002A78C7"/>
    <w:rsid w:val="002B2A40"/>
    <w:rsid w:val="002B3C2B"/>
    <w:rsid w:val="002B59A2"/>
    <w:rsid w:val="002B688F"/>
    <w:rsid w:val="002B79CF"/>
    <w:rsid w:val="002C0EB5"/>
    <w:rsid w:val="002C0F16"/>
    <w:rsid w:val="002C2224"/>
    <w:rsid w:val="002C24C5"/>
    <w:rsid w:val="002C2EE4"/>
    <w:rsid w:val="002C372C"/>
    <w:rsid w:val="002C6A7E"/>
    <w:rsid w:val="002C7B29"/>
    <w:rsid w:val="002D1AF1"/>
    <w:rsid w:val="002D27DA"/>
    <w:rsid w:val="002D60CA"/>
    <w:rsid w:val="002D71F5"/>
    <w:rsid w:val="002D7220"/>
    <w:rsid w:val="002D75DB"/>
    <w:rsid w:val="002E4840"/>
    <w:rsid w:val="002E4FF0"/>
    <w:rsid w:val="002E5779"/>
    <w:rsid w:val="002F2379"/>
    <w:rsid w:val="002F29B6"/>
    <w:rsid w:val="002F3574"/>
    <w:rsid w:val="003035D2"/>
    <w:rsid w:val="00305C1C"/>
    <w:rsid w:val="00305FD4"/>
    <w:rsid w:val="003075D1"/>
    <w:rsid w:val="00307F0D"/>
    <w:rsid w:val="00310459"/>
    <w:rsid w:val="003131D1"/>
    <w:rsid w:val="00313F80"/>
    <w:rsid w:val="003149D9"/>
    <w:rsid w:val="0031696F"/>
    <w:rsid w:val="003174CD"/>
    <w:rsid w:val="00317C9E"/>
    <w:rsid w:val="003221AD"/>
    <w:rsid w:val="0032265A"/>
    <w:rsid w:val="003233AD"/>
    <w:rsid w:val="00323CFE"/>
    <w:rsid w:val="00332E18"/>
    <w:rsid w:val="0033437A"/>
    <w:rsid w:val="00334500"/>
    <w:rsid w:val="00334FFA"/>
    <w:rsid w:val="00337073"/>
    <w:rsid w:val="00340484"/>
    <w:rsid w:val="00345344"/>
    <w:rsid w:val="003459F6"/>
    <w:rsid w:val="00345A18"/>
    <w:rsid w:val="00345A66"/>
    <w:rsid w:val="00346563"/>
    <w:rsid w:val="0034708F"/>
    <w:rsid w:val="00350C5F"/>
    <w:rsid w:val="00351FBC"/>
    <w:rsid w:val="003523CF"/>
    <w:rsid w:val="00353118"/>
    <w:rsid w:val="00354CC3"/>
    <w:rsid w:val="00355865"/>
    <w:rsid w:val="00357C75"/>
    <w:rsid w:val="00361683"/>
    <w:rsid w:val="00362BE5"/>
    <w:rsid w:val="003642C5"/>
    <w:rsid w:val="0036596C"/>
    <w:rsid w:val="00366920"/>
    <w:rsid w:val="00370AC9"/>
    <w:rsid w:val="00372319"/>
    <w:rsid w:val="00372576"/>
    <w:rsid w:val="00373AB1"/>
    <w:rsid w:val="00374B19"/>
    <w:rsid w:val="00374E71"/>
    <w:rsid w:val="00375F5A"/>
    <w:rsid w:val="0037699D"/>
    <w:rsid w:val="00376A5D"/>
    <w:rsid w:val="00377E22"/>
    <w:rsid w:val="00382664"/>
    <w:rsid w:val="0038620B"/>
    <w:rsid w:val="00386BD2"/>
    <w:rsid w:val="003941B4"/>
    <w:rsid w:val="003965D4"/>
    <w:rsid w:val="00397DEF"/>
    <w:rsid w:val="003A36D6"/>
    <w:rsid w:val="003A6FAB"/>
    <w:rsid w:val="003B18D9"/>
    <w:rsid w:val="003B1C5E"/>
    <w:rsid w:val="003B2955"/>
    <w:rsid w:val="003B32EF"/>
    <w:rsid w:val="003B3689"/>
    <w:rsid w:val="003C377A"/>
    <w:rsid w:val="003C56F0"/>
    <w:rsid w:val="003C5D27"/>
    <w:rsid w:val="003C70CF"/>
    <w:rsid w:val="003D06A1"/>
    <w:rsid w:val="003D1E11"/>
    <w:rsid w:val="003D2197"/>
    <w:rsid w:val="003D6D31"/>
    <w:rsid w:val="003D750B"/>
    <w:rsid w:val="003E2F3F"/>
    <w:rsid w:val="003E33AD"/>
    <w:rsid w:val="003E4756"/>
    <w:rsid w:val="003E5585"/>
    <w:rsid w:val="003E67E1"/>
    <w:rsid w:val="003E69DD"/>
    <w:rsid w:val="003F0C62"/>
    <w:rsid w:val="003F3096"/>
    <w:rsid w:val="004079F7"/>
    <w:rsid w:val="00410580"/>
    <w:rsid w:val="00411A49"/>
    <w:rsid w:val="004127AD"/>
    <w:rsid w:val="00415BA5"/>
    <w:rsid w:val="004162AF"/>
    <w:rsid w:val="004201D4"/>
    <w:rsid w:val="00421F6B"/>
    <w:rsid w:val="00424295"/>
    <w:rsid w:val="00425526"/>
    <w:rsid w:val="0043085F"/>
    <w:rsid w:val="00436D35"/>
    <w:rsid w:val="00437F6D"/>
    <w:rsid w:val="00442125"/>
    <w:rsid w:val="00451AC1"/>
    <w:rsid w:val="00452F47"/>
    <w:rsid w:val="0045451F"/>
    <w:rsid w:val="00454639"/>
    <w:rsid w:val="00454824"/>
    <w:rsid w:val="00454DE0"/>
    <w:rsid w:val="00454E7A"/>
    <w:rsid w:val="0045638A"/>
    <w:rsid w:val="00461A4C"/>
    <w:rsid w:val="00463B7E"/>
    <w:rsid w:val="00463BED"/>
    <w:rsid w:val="00466A66"/>
    <w:rsid w:val="00466BCD"/>
    <w:rsid w:val="004672F0"/>
    <w:rsid w:val="00467DFC"/>
    <w:rsid w:val="00467F1B"/>
    <w:rsid w:val="004701CE"/>
    <w:rsid w:val="0047162A"/>
    <w:rsid w:val="00472421"/>
    <w:rsid w:val="00473AF8"/>
    <w:rsid w:val="00477C72"/>
    <w:rsid w:val="0048014C"/>
    <w:rsid w:val="00480BA1"/>
    <w:rsid w:val="00482528"/>
    <w:rsid w:val="0048362D"/>
    <w:rsid w:val="0048440D"/>
    <w:rsid w:val="0048531F"/>
    <w:rsid w:val="00490235"/>
    <w:rsid w:val="004958DF"/>
    <w:rsid w:val="004A0E36"/>
    <w:rsid w:val="004A1686"/>
    <w:rsid w:val="004A1A6C"/>
    <w:rsid w:val="004A1F8F"/>
    <w:rsid w:val="004A39E0"/>
    <w:rsid w:val="004A4CD8"/>
    <w:rsid w:val="004A6495"/>
    <w:rsid w:val="004B20EE"/>
    <w:rsid w:val="004B3A38"/>
    <w:rsid w:val="004B5B68"/>
    <w:rsid w:val="004B6E1E"/>
    <w:rsid w:val="004C1523"/>
    <w:rsid w:val="004C5535"/>
    <w:rsid w:val="004C572D"/>
    <w:rsid w:val="004C6CDC"/>
    <w:rsid w:val="004C78E2"/>
    <w:rsid w:val="004D1564"/>
    <w:rsid w:val="004D444A"/>
    <w:rsid w:val="004D662D"/>
    <w:rsid w:val="004D6B1A"/>
    <w:rsid w:val="004D7E2B"/>
    <w:rsid w:val="004E01BF"/>
    <w:rsid w:val="004E03A1"/>
    <w:rsid w:val="004E0D51"/>
    <w:rsid w:val="004E266F"/>
    <w:rsid w:val="004E2B90"/>
    <w:rsid w:val="004E3B34"/>
    <w:rsid w:val="004E6544"/>
    <w:rsid w:val="004F046C"/>
    <w:rsid w:val="004F052F"/>
    <w:rsid w:val="004F2DA2"/>
    <w:rsid w:val="004F64F7"/>
    <w:rsid w:val="004F6A0E"/>
    <w:rsid w:val="004F7724"/>
    <w:rsid w:val="004F7A7B"/>
    <w:rsid w:val="005003C2"/>
    <w:rsid w:val="00500ECA"/>
    <w:rsid w:val="00501731"/>
    <w:rsid w:val="00501B8B"/>
    <w:rsid w:val="00504327"/>
    <w:rsid w:val="00507549"/>
    <w:rsid w:val="00513341"/>
    <w:rsid w:val="005136D5"/>
    <w:rsid w:val="0051467C"/>
    <w:rsid w:val="00514793"/>
    <w:rsid w:val="00516606"/>
    <w:rsid w:val="00521384"/>
    <w:rsid w:val="00521499"/>
    <w:rsid w:val="00521576"/>
    <w:rsid w:val="005218F5"/>
    <w:rsid w:val="005226B4"/>
    <w:rsid w:val="005233C7"/>
    <w:rsid w:val="005244CB"/>
    <w:rsid w:val="00531060"/>
    <w:rsid w:val="00535F81"/>
    <w:rsid w:val="005363FE"/>
    <w:rsid w:val="005376FF"/>
    <w:rsid w:val="005402F6"/>
    <w:rsid w:val="00540E64"/>
    <w:rsid w:val="005416B2"/>
    <w:rsid w:val="005436CA"/>
    <w:rsid w:val="0055012E"/>
    <w:rsid w:val="00552BF9"/>
    <w:rsid w:val="005531EA"/>
    <w:rsid w:val="00555605"/>
    <w:rsid w:val="00555715"/>
    <w:rsid w:val="00556E7C"/>
    <w:rsid w:val="00560C65"/>
    <w:rsid w:val="00560F6E"/>
    <w:rsid w:val="00561865"/>
    <w:rsid w:val="00562BD4"/>
    <w:rsid w:val="0056335F"/>
    <w:rsid w:val="005652EA"/>
    <w:rsid w:val="00567236"/>
    <w:rsid w:val="0057250F"/>
    <w:rsid w:val="00572F6A"/>
    <w:rsid w:val="00573C53"/>
    <w:rsid w:val="00574FA0"/>
    <w:rsid w:val="00577D45"/>
    <w:rsid w:val="0058314E"/>
    <w:rsid w:val="00584BB1"/>
    <w:rsid w:val="00596B15"/>
    <w:rsid w:val="00597350"/>
    <w:rsid w:val="005A2912"/>
    <w:rsid w:val="005A2DEC"/>
    <w:rsid w:val="005A5117"/>
    <w:rsid w:val="005A5255"/>
    <w:rsid w:val="005A68F9"/>
    <w:rsid w:val="005A78A5"/>
    <w:rsid w:val="005B0790"/>
    <w:rsid w:val="005B0891"/>
    <w:rsid w:val="005B1BF1"/>
    <w:rsid w:val="005B1EE6"/>
    <w:rsid w:val="005B3926"/>
    <w:rsid w:val="005B42B4"/>
    <w:rsid w:val="005C04FA"/>
    <w:rsid w:val="005C1F1E"/>
    <w:rsid w:val="005C3248"/>
    <w:rsid w:val="005C4541"/>
    <w:rsid w:val="005C7A3B"/>
    <w:rsid w:val="005D2395"/>
    <w:rsid w:val="005D3C25"/>
    <w:rsid w:val="005D4005"/>
    <w:rsid w:val="005D6B3B"/>
    <w:rsid w:val="005D7A7D"/>
    <w:rsid w:val="005E04D7"/>
    <w:rsid w:val="005E1FEF"/>
    <w:rsid w:val="005E24EB"/>
    <w:rsid w:val="005E3D21"/>
    <w:rsid w:val="005E3DC9"/>
    <w:rsid w:val="005E5498"/>
    <w:rsid w:val="005F04BE"/>
    <w:rsid w:val="005F0604"/>
    <w:rsid w:val="005F414F"/>
    <w:rsid w:val="005F4291"/>
    <w:rsid w:val="0060026E"/>
    <w:rsid w:val="00601CB3"/>
    <w:rsid w:val="00602694"/>
    <w:rsid w:val="00602A8C"/>
    <w:rsid w:val="0060437A"/>
    <w:rsid w:val="00604F58"/>
    <w:rsid w:val="00606B9D"/>
    <w:rsid w:val="00611AC2"/>
    <w:rsid w:val="00611E78"/>
    <w:rsid w:val="00613A24"/>
    <w:rsid w:val="00613B90"/>
    <w:rsid w:val="00613D94"/>
    <w:rsid w:val="00617338"/>
    <w:rsid w:val="00620356"/>
    <w:rsid w:val="006232CB"/>
    <w:rsid w:val="006234C4"/>
    <w:rsid w:val="00627C79"/>
    <w:rsid w:val="0063279A"/>
    <w:rsid w:val="00634F75"/>
    <w:rsid w:val="00636087"/>
    <w:rsid w:val="006361C5"/>
    <w:rsid w:val="0064335C"/>
    <w:rsid w:val="00644376"/>
    <w:rsid w:val="00650596"/>
    <w:rsid w:val="00650E63"/>
    <w:rsid w:val="00652506"/>
    <w:rsid w:val="00652959"/>
    <w:rsid w:val="00654065"/>
    <w:rsid w:val="0065517E"/>
    <w:rsid w:val="00655E4F"/>
    <w:rsid w:val="00660009"/>
    <w:rsid w:val="0066272C"/>
    <w:rsid w:val="00662EB0"/>
    <w:rsid w:val="00663956"/>
    <w:rsid w:val="00664B76"/>
    <w:rsid w:val="00665918"/>
    <w:rsid w:val="0066758A"/>
    <w:rsid w:val="00667A67"/>
    <w:rsid w:val="00670974"/>
    <w:rsid w:val="006711CA"/>
    <w:rsid w:val="00673405"/>
    <w:rsid w:val="0067380D"/>
    <w:rsid w:val="00674CCC"/>
    <w:rsid w:val="00674EB0"/>
    <w:rsid w:val="00675836"/>
    <w:rsid w:val="00676486"/>
    <w:rsid w:val="006810C4"/>
    <w:rsid w:val="00681A00"/>
    <w:rsid w:val="00681D3B"/>
    <w:rsid w:val="00682357"/>
    <w:rsid w:val="006827A6"/>
    <w:rsid w:val="00683407"/>
    <w:rsid w:val="006848CE"/>
    <w:rsid w:val="00684CFC"/>
    <w:rsid w:val="0069122E"/>
    <w:rsid w:val="006928F0"/>
    <w:rsid w:val="00692FBE"/>
    <w:rsid w:val="006951A5"/>
    <w:rsid w:val="006959DB"/>
    <w:rsid w:val="006A0C9F"/>
    <w:rsid w:val="006A0FAD"/>
    <w:rsid w:val="006A188A"/>
    <w:rsid w:val="006A2ED8"/>
    <w:rsid w:val="006A3D10"/>
    <w:rsid w:val="006A486E"/>
    <w:rsid w:val="006A629E"/>
    <w:rsid w:val="006A7D51"/>
    <w:rsid w:val="006B025B"/>
    <w:rsid w:val="006B0828"/>
    <w:rsid w:val="006B0CF4"/>
    <w:rsid w:val="006B12FB"/>
    <w:rsid w:val="006B16FC"/>
    <w:rsid w:val="006B3354"/>
    <w:rsid w:val="006B44C9"/>
    <w:rsid w:val="006C6428"/>
    <w:rsid w:val="006C6CC8"/>
    <w:rsid w:val="006C6D94"/>
    <w:rsid w:val="006C6EBB"/>
    <w:rsid w:val="006D0876"/>
    <w:rsid w:val="006D17A0"/>
    <w:rsid w:val="006D2E17"/>
    <w:rsid w:val="006D3336"/>
    <w:rsid w:val="006D5B77"/>
    <w:rsid w:val="006D5DEF"/>
    <w:rsid w:val="006D66B5"/>
    <w:rsid w:val="006E0C5B"/>
    <w:rsid w:val="006E1CD8"/>
    <w:rsid w:val="006E2C48"/>
    <w:rsid w:val="006E4685"/>
    <w:rsid w:val="006E51FE"/>
    <w:rsid w:val="006E5A1A"/>
    <w:rsid w:val="006E60F0"/>
    <w:rsid w:val="006F010C"/>
    <w:rsid w:val="006F1404"/>
    <w:rsid w:val="006F1530"/>
    <w:rsid w:val="006F24C8"/>
    <w:rsid w:val="006F4C86"/>
    <w:rsid w:val="006F603B"/>
    <w:rsid w:val="007005C8"/>
    <w:rsid w:val="00702EB4"/>
    <w:rsid w:val="007030F5"/>
    <w:rsid w:val="007049FB"/>
    <w:rsid w:val="00704BF4"/>
    <w:rsid w:val="00705214"/>
    <w:rsid w:val="00711655"/>
    <w:rsid w:val="007131BC"/>
    <w:rsid w:val="00715123"/>
    <w:rsid w:val="00717679"/>
    <w:rsid w:val="007209FF"/>
    <w:rsid w:val="00721402"/>
    <w:rsid w:val="007215FC"/>
    <w:rsid w:val="007229BC"/>
    <w:rsid w:val="007251B6"/>
    <w:rsid w:val="00731670"/>
    <w:rsid w:val="007322CC"/>
    <w:rsid w:val="0073555D"/>
    <w:rsid w:val="00735CB5"/>
    <w:rsid w:val="00736849"/>
    <w:rsid w:val="00740B0F"/>
    <w:rsid w:val="007427B9"/>
    <w:rsid w:val="00744BE1"/>
    <w:rsid w:val="00746844"/>
    <w:rsid w:val="00746CA4"/>
    <w:rsid w:val="007556CB"/>
    <w:rsid w:val="00756281"/>
    <w:rsid w:val="00760542"/>
    <w:rsid w:val="00760EB8"/>
    <w:rsid w:val="00761848"/>
    <w:rsid w:val="00762781"/>
    <w:rsid w:val="00764370"/>
    <w:rsid w:val="0076585E"/>
    <w:rsid w:val="00765B99"/>
    <w:rsid w:val="00770685"/>
    <w:rsid w:val="007711B5"/>
    <w:rsid w:val="0077387F"/>
    <w:rsid w:val="00774A32"/>
    <w:rsid w:val="00776BD5"/>
    <w:rsid w:val="00777978"/>
    <w:rsid w:val="007802BF"/>
    <w:rsid w:val="00781386"/>
    <w:rsid w:val="007836E0"/>
    <w:rsid w:val="00783DEE"/>
    <w:rsid w:val="007876B1"/>
    <w:rsid w:val="00791917"/>
    <w:rsid w:val="007936C6"/>
    <w:rsid w:val="00793E05"/>
    <w:rsid w:val="007951D8"/>
    <w:rsid w:val="007A079B"/>
    <w:rsid w:val="007A1EC5"/>
    <w:rsid w:val="007A2904"/>
    <w:rsid w:val="007A36E5"/>
    <w:rsid w:val="007A3C99"/>
    <w:rsid w:val="007A3F2E"/>
    <w:rsid w:val="007A790F"/>
    <w:rsid w:val="007B1513"/>
    <w:rsid w:val="007B17C3"/>
    <w:rsid w:val="007B32B6"/>
    <w:rsid w:val="007B3597"/>
    <w:rsid w:val="007B46AD"/>
    <w:rsid w:val="007B57B3"/>
    <w:rsid w:val="007B6840"/>
    <w:rsid w:val="007B6DCD"/>
    <w:rsid w:val="007B7656"/>
    <w:rsid w:val="007C0133"/>
    <w:rsid w:val="007C0C96"/>
    <w:rsid w:val="007C10CA"/>
    <w:rsid w:val="007C174B"/>
    <w:rsid w:val="007C1A6A"/>
    <w:rsid w:val="007C2DA2"/>
    <w:rsid w:val="007C3395"/>
    <w:rsid w:val="007C659E"/>
    <w:rsid w:val="007D259E"/>
    <w:rsid w:val="007D327C"/>
    <w:rsid w:val="007D53CE"/>
    <w:rsid w:val="007D6B1E"/>
    <w:rsid w:val="007E069B"/>
    <w:rsid w:val="007E1611"/>
    <w:rsid w:val="007E392E"/>
    <w:rsid w:val="007E4C96"/>
    <w:rsid w:val="007E5500"/>
    <w:rsid w:val="007E58F2"/>
    <w:rsid w:val="007E600B"/>
    <w:rsid w:val="007E67D7"/>
    <w:rsid w:val="007E77CE"/>
    <w:rsid w:val="007F1C5C"/>
    <w:rsid w:val="007F1F3A"/>
    <w:rsid w:val="007F2262"/>
    <w:rsid w:val="007F3808"/>
    <w:rsid w:val="007F466E"/>
    <w:rsid w:val="007F54B9"/>
    <w:rsid w:val="007F698C"/>
    <w:rsid w:val="007F7847"/>
    <w:rsid w:val="00800B94"/>
    <w:rsid w:val="00804913"/>
    <w:rsid w:val="008103E0"/>
    <w:rsid w:val="00811D0D"/>
    <w:rsid w:val="0081454E"/>
    <w:rsid w:val="0082185B"/>
    <w:rsid w:val="008239FC"/>
    <w:rsid w:val="008244A3"/>
    <w:rsid w:val="00825AE9"/>
    <w:rsid w:val="0083027A"/>
    <w:rsid w:val="00830809"/>
    <w:rsid w:val="0083172B"/>
    <w:rsid w:val="00831F16"/>
    <w:rsid w:val="008343EE"/>
    <w:rsid w:val="008362E5"/>
    <w:rsid w:val="0083642D"/>
    <w:rsid w:val="00842315"/>
    <w:rsid w:val="008423DA"/>
    <w:rsid w:val="00842C4E"/>
    <w:rsid w:val="00843766"/>
    <w:rsid w:val="0084590E"/>
    <w:rsid w:val="00851C7B"/>
    <w:rsid w:val="00852B92"/>
    <w:rsid w:val="008533B2"/>
    <w:rsid w:val="0085782E"/>
    <w:rsid w:val="00860560"/>
    <w:rsid w:val="00863675"/>
    <w:rsid w:val="00863FFD"/>
    <w:rsid w:val="00864CAA"/>
    <w:rsid w:val="00864EAA"/>
    <w:rsid w:val="008661C2"/>
    <w:rsid w:val="00871895"/>
    <w:rsid w:val="00872332"/>
    <w:rsid w:val="00873C00"/>
    <w:rsid w:val="0087428A"/>
    <w:rsid w:val="008767F5"/>
    <w:rsid w:val="00881CB0"/>
    <w:rsid w:val="008854A7"/>
    <w:rsid w:val="00886577"/>
    <w:rsid w:val="00886EC2"/>
    <w:rsid w:val="008940F2"/>
    <w:rsid w:val="00895315"/>
    <w:rsid w:val="008A10FA"/>
    <w:rsid w:val="008A5377"/>
    <w:rsid w:val="008A559D"/>
    <w:rsid w:val="008A67AC"/>
    <w:rsid w:val="008A6EC3"/>
    <w:rsid w:val="008B017C"/>
    <w:rsid w:val="008B1927"/>
    <w:rsid w:val="008B20C1"/>
    <w:rsid w:val="008B393A"/>
    <w:rsid w:val="008B3DFF"/>
    <w:rsid w:val="008B4C07"/>
    <w:rsid w:val="008B7EBB"/>
    <w:rsid w:val="008C10E4"/>
    <w:rsid w:val="008C1C79"/>
    <w:rsid w:val="008C32D2"/>
    <w:rsid w:val="008C3B42"/>
    <w:rsid w:val="008C4273"/>
    <w:rsid w:val="008C6366"/>
    <w:rsid w:val="008C74DD"/>
    <w:rsid w:val="008D0DFE"/>
    <w:rsid w:val="008D2F67"/>
    <w:rsid w:val="008D3D66"/>
    <w:rsid w:val="008D445B"/>
    <w:rsid w:val="008D7B1C"/>
    <w:rsid w:val="008E1806"/>
    <w:rsid w:val="008E45DD"/>
    <w:rsid w:val="008E6C29"/>
    <w:rsid w:val="008F166D"/>
    <w:rsid w:val="008F17C6"/>
    <w:rsid w:val="008F19AD"/>
    <w:rsid w:val="008F5D89"/>
    <w:rsid w:val="008F7D93"/>
    <w:rsid w:val="00900FA6"/>
    <w:rsid w:val="009010B9"/>
    <w:rsid w:val="0090348F"/>
    <w:rsid w:val="00906827"/>
    <w:rsid w:val="0091270C"/>
    <w:rsid w:val="00915EDE"/>
    <w:rsid w:val="009200B5"/>
    <w:rsid w:val="00923617"/>
    <w:rsid w:val="00925F1F"/>
    <w:rsid w:val="009279E3"/>
    <w:rsid w:val="00932630"/>
    <w:rsid w:val="00932FCF"/>
    <w:rsid w:val="009359EF"/>
    <w:rsid w:val="00937866"/>
    <w:rsid w:val="009378B6"/>
    <w:rsid w:val="00937BB5"/>
    <w:rsid w:val="00940566"/>
    <w:rsid w:val="009411F1"/>
    <w:rsid w:val="00941FCB"/>
    <w:rsid w:val="00943581"/>
    <w:rsid w:val="009449FE"/>
    <w:rsid w:val="0094618D"/>
    <w:rsid w:val="00947110"/>
    <w:rsid w:val="00950F20"/>
    <w:rsid w:val="00951E38"/>
    <w:rsid w:val="00952CFE"/>
    <w:rsid w:val="00960933"/>
    <w:rsid w:val="00961516"/>
    <w:rsid w:val="0096248F"/>
    <w:rsid w:val="00964321"/>
    <w:rsid w:val="009665F1"/>
    <w:rsid w:val="009667AD"/>
    <w:rsid w:val="00967E7D"/>
    <w:rsid w:val="0097165D"/>
    <w:rsid w:val="00972071"/>
    <w:rsid w:val="00976A54"/>
    <w:rsid w:val="00976C5E"/>
    <w:rsid w:val="00976EBD"/>
    <w:rsid w:val="00983C52"/>
    <w:rsid w:val="00984771"/>
    <w:rsid w:val="0098509C"/>
    <w:rsid w:val="00986FAC"/>
    <w:rsid w:val="00987B65"/>
    <w:rsid w:val="00991DB5"/>
    <w:rsid w:val="00992383"/>
    <w:rsid w:val="00995BF7"/>
    <w:rsid w:val="009A28DB"/>
    <w:rsid w:val="009A44B0"/>
    <w:rsid w:val="009B014F"/>
    <w:rsid w:val="009B4AFB"/>
    <w:rsid w:val="009C00FB"/>
    <w:rsid w:val="009C03E2"/>
    <w:rsid w:val="009C0B77"/>
    <w:rsid w:val="009C34D4"/>
    <w:rsid w:val="009C36D2"/>
    <w:rsid w:val="009C3907"/>
    <w:rsid w:val="009C67B6"/>
    <w:rsid w:val="009C6DA6"/>
    <w:rsid w:val="009D050F"/>
    <w:rsid w:val="009D44F9"/>
    <w:rsid w:val="009D5188"/>
    <w:rsid w:val="009D736A"/>
    <w:rsid w:val="009E1BEB"/>
    <w:rsid w:val="009E1EC2"/>
    <w:rsid w:val="009E4AE9"/>
    <w:rsid w:val="009E518A"/>
    <w:rsid w:val="009E7CC3"/>
    <w:rsid w:val="009F0013"/>
    <w:rsid w:val="009F108A"/>
    <w:rsid w:val="009F130F"/>
    <w:rsid w:val="009F1BE6"/>
    <w:rsid w:val="009F2921"/>
    <w:rsid w:val="009F2C0E"/>
    <w:rsid w:val="009F338F"/>
    <w:rsid w:val="009F3670"/>
    <w:rsid w:val="009F6232"/>
    <w:rsid w:val="00A001E4"/>
    <w:rsid w:val="00A047DB"/>
    <w:rsid w:val="00A049E7"/>
    <w:rsid w:val="00A04DBF"/>
    <w:rsid w:val="00A071D0"/>
    <w:rsid w:val="00A101CD"/>
    <w:rsid w:val="00A13B72"/>
    <w:rsid w:val="00A1465E"/>
    <w:rsid w:val="00A17620"/>
    <w:rsid w:val="00A20173"/>
    <w:rsid w:val="00A23F55"/>
    <w:rsid w:val="00A25135"/>
    <w:rsid w:val="00A26CD5"/>
    <w:rsid w:val="00A26E3C"/>
    <w:rsid w:val="00A30474"/>
    <w:rsid w:val="00A31CD6"/>
    <w:rsid w:val="00A32A65"/>
    <w:rsid w:val="00A3371F"/>
    <w:rsid w:val="00A34220"/>
    <w:rsid w:val="00A37584"/>
    <w:rsid w:val="00A40FAD"/>
    <w:rsid w:val="00A42C71"/>
    <w:rsid w:val="00A46373"/>
    <w:rsid w:val="00A51C8D"/>
    <w:rsid w:val="00A52E50"/>
    <w:rsid w:val="00A56ECE"/>
    <w:rsid w:val="00A6262E"/>
    <w:rsid w:val="00A62EFC"/>
    <w:rsid w:val="00A631F4"/>
    <w:rsid w:val="00A6734E"/>
    <w:rsid w:val="00A70800"/>
    <w:rsid w:val="00A735F6"/>
    <w:rsid w:val="00A73D4A"/>
    <w:rsid w:val="00A75065"/>
    <w:rsid w:val="00A77C38"/>
    <w:rsid w:val="00A823CE"/>
    <w:rsid w:val="00A8242B"/>
    <w:rsid w:val="00A86A2A"/>
    <w:rsid w:val="00A873CD"/>
    <w:rsid w:val="00A87860"/>
    <w:rsid w:val="00A87A53"/>
    <w:rsid w:val="00A90D61"/>
    <w:rsid w:val="00A92A6B"/>
    <w:rsid w:val="00A92E99"/>
    <w:rsid w:val="00A92F1A"/>
    <w:rsid w:val="00A94191"/>
    <w:rsid w:val="00A95F8C"/>
    <w:rsid w:val="00AA0C8C"/>
    <w:rsid w:val="00AA11E7"/>
    <w:rsid w:val="00AA38B3"/>
    <w:rsid w:val="00AA79F6"/>
    <w:rsid w:val="00AB058B"/>
    <w:rsid w:val="00AB2810"/>
    <w:rsid w:val="00AB7568"/>
    <w:rsid w:val="00AC00BC"/>
    <w:rsid w:val="00AC0A29"/>
    <w:rsid w:val="00AC28D7"/>
    <w:rsid w:val="00AC3842"/>
    <w:rsid w:val="00AC410E"/>
    <w:rsid w:val="00AC649A"/>
    <w:rsid w:val="00AC6E73"/>
    <w:rsid w:val="00AC7280"/>
    <w:rsid w:val="00AD187F"/>
    <w:rsid w:val="00AD1B27"/>
    <w:rsid w:val="00AE1511"/>
    <w:rsid w:val="00AE540D"/>
    <w:rsid w:val="00AF00F6"/>
    <w:rsid w:val="00AF0437"/>
    <w:rsid w:val="00AF0EA5"/>
    <w:rsid w:val="00AF1F0D"/>
    <w:rsid w:val="00AF24FB"/>
    <w:rsid w:val="00AF2BB0"/>
    <w:rsid w:val="00AF3323"/>
    <w:rsid w:val="00AF3579"/>
    <w:rsid w:val="00B015D1"/>
    <w:rsid w:val="00B01C68"/>
    <w:rsid w:val="00B03FAB"/>
    <w:rsid w:val="00B05D6A"/>
    <w:rsid w:val="00B12B7E"/>
    <w:rsid w:val="00B20CDE"/>
    <w:rsid w:val="00B217DC"/>
    <w:rsid w:val="00B2301D"/>
    <w:rsid w:val="00B231D5"/>
    <w:rsid w:val="00B251CB"/>
    <w:rsid w:val="00B254B8"/>
    <w:rsid w:val="00B25BA4"/>
    <w:rsid w:val="00B2696E"/>
    <w:rsid w:val="00B31920"/>
    <w:rsid w:val="00B319CD"/>
    <w:rsid w:val="00B3432E"/>
    <w:rsid w:val="00B36B46"/>
    <w:rsid w:val="00B40E41"/>
    <w:rsid w:val="00B41175"/>
    <w:rsid w:val="00B4269F"/>
    <w:rsid w:val="00B4294F"/>
    <w:rsid w:val="00B43610"/>
    <w:rsid w:val="00B448E6"/>
    <w:rsid w:val="00B47E81"/>
    <w:rsid w:val="00B5129F"/>
    <w:rsid w:val="00B52532"/>
    <w:rsid w:val="00B52D8C"/>
    <w:rsid w:val="00B54958"/>
    <w:rsid w:val="00B54F35"/>
    <w:rsid w:val="00B6073C"/>
    <w:rsid w:val="00B61700"/>
    <w:rsid w:val="00B67388"/>
    <w:rsid w:val="00B750C2"/>
    <w:rsid w:val="00B754B7"/>
    <w:rsid w:val="00B7687D"/>
    <w:rsid w:val="00B77B67"/>
    <w:rsid w:val="00B83196"/>
    <w:rsid w:val="00B84E02"/>
    <w:rsid w:val="00B8513B"/>
    <w:rsid w:val="00B85F7C"/>
    <w:rsid w:val="00B865C8"/>
    <w:rsid w:val="00B86F13"/>
    <w:rsid w:val="00B8745C"/>
    <w:rsid w:val="00B90F80"/>
    <w:rsid w:val="00B9107B"/>
    <w:rsid w:val="00B93E5F"/>
    <w:rsid w:val="00B947B6"/>
    <w:rsid w:val="00B94898"/>
    <w:rsid w:val="00B94F61"/>
    <w:rsid w:val="00B96EBF"/>
    <w:rsid w:val="00BA1781"/>
    <w:rsid w:val="00BA55C5"/>
    <w:rsid w:val="00BA7159"/>
    <w:rsid w:val="00BB0DBB"/>
    <w:rsid w:val="00BB19F3"/>
    <w:rsid w:val="00BB1C1F"/>
    <w:rsid w:val="00BB2D3F"/>
    <w:rsid w:val="00BB6B80"/>
    <w:rsid w:val="00BC01AF"/>
    <w:rsid w:val="00BC03A7"/>
    <w:rsid w:val="00BC08CA"/>
    <w:rsid w:val="00BC1355"/>
    <w:rsid w:val="00BC1CAC"/>
    <w:rsid w:val="00BC4247"/>
    <w:rsid w:val="00BC6E43"/>
    <w:rsid w:val="00BC79BD"/>
    <w:rsid w:val="00BD3ED7"/>
    <w:rsid w:val="00BD4BE0"/>
    <w:rsid w:val="00BD609C"/>
    <w:rsid w:val="00BD6839"/>
    <w:rsid w:val="00BD6A33"/>
    <w:rsid w:val="00BD6F87"/>
    <w:rsid w:val="00BD7846"/>
    <w:rsid w:val="00BE148F"/>
    <w:rsid w:val="00BE1D15"/>
    <w:rsid w:val="00BE2266"/>
    <w:rsid w:val="00BE3607"/>
    <w:rsid w:val="00BE5304"/>
    <w:rsid w:val="00BE593A"/>
    <w:rsid w:val="00BE6597"/>
    <w:rsid w:val="00BE7222"/>
    <w:rsid w:val="00BE7431"/>
    <w:rsid w:val="00BE7936"/>
    <w:rsid w:val="00BF2B6A"/>
    <w:rsid w:val="00BF545D"/>
    <w:rsid w:val="00BF6526"/>
    <w:rsid w:val="00C03606"/>
    <w:rsid w:val="00C04848"/>
    <w:rsid w:val="00C05888"/>
    <w:rsid w:val="00C05A52"/>
    <w:rsid w:val="00C12BA5"/>
    <w:rsid w:val="00C15ABB"/>
    <w:rsid w:val="00C17116"/>
    <w:rsid w:val="00C2055E"/>
    <w:rsid w:val="00C21789"/>
    <w:rsid w:val="00C21A8A"/>
    <w:rsid w:val="00C22DE2"/>
    <w:rsid w:val="00C23B1A"/>
    <w:rsid w:val="00C243F9"/>
    <w:rsid w:val="00C243FD"/>
    <w:rsid w:val="00C24A12"/>
    <w:rsid w:val="00C25591"/>
    <w:rsid w:val="00C27102"/>
    <w:rsid w:val="00C276FD"/>
    <w:rsid w:val="00C27CAF"/>
    <w:rsid w:val="00C3034F"/>
    <w:rsid w:val="00C309A4"/>
    <w:rsid w:val="00C32086"/>
    <w:rsid w:val="00C32AFC"/>
    <w:rsid w:val="00C3618F"/>
    <w:rsid w:val="00C367F1"/>
    <w:rsid w:val="00C36C94"/>
    <w:rsid w:val="00C36E0D"/>
    <w:rsid w:val="00C50631"/>
    <w:rsid w:val="00C5138B"/>
    <w:rsid w:val="00C51D28"/>
    <w:rsid w:val="00C533D0"/>
    <w:rsid w:val="00C54A06"/>
    <w:rsid w:val="00C56241"/>
    <w:rsid w:val="00C5682D"/>
    <w:rsid w:val="00C577A8"/>
    <w:rsid w:val="00C61A13"/>
    <w:rsid w:val="00C61C6F"/>
    <w:rsid w:val="00C621CB"/>
    <w:rsid w:val="00C62870"/>
    <w:rsid w:val="00C6329D"/>
    <w:rsid w:val="00C64B51"/>
    <w:rsid w:val="00C65457"/>
    <w:rsid w:val="00C655E8"/>
    <w:rsid w:val="00C65EEB"/>
    <w:rsid w:val="00C67C64"/>
    <w:rsid w:val="00C71677"/>
    <w:rsid w:val="00C71871"/>
    <w:rsid w:val="00C723E0"/>
    <w:rsid w:val="00C72DF2"/>
    <w:rsid w:val="00C83EBE"/>
    <w:rsid w:val="00C85EF6"/>
    <w:rsid w:val="00C871B5"/>
    <w:rsid w:val="00C90013"/>
    <w:rsid w:val="00C9009E"/>
    <w:rsid w:val="00C912F6"/>
    <w:rsid w:val="00C9354C"/>
    <w:rsid w:val="00C9404F"/>
    <w:rsid w:val="00C97552"/>
    <w:rsid w:val="00C97632"/>
    <w:rsid w:val="00C9777D"/>
    <w:rsid w:val="00CA1159"/>
    <w:rsid w:val="00CA1472"/>
    <w:rsid w:val="00CA3E54"/>
    <w:rsid w:val="00CA3F78"/>
    <w:rsid w:val="00CA45DC"/>
    <w:rsid w:val="00CA6820"/>
    <w:rsid w:val="00CB0103"/>
    <w:rsid w:val="00CB1BD7"/>
    <w:rsid w:val="00CB6D7B"/>
    <w:rsid w:val="00CC125C"/>
    <w:rsid w:val="00CC1868"/>
    <w:rsid w:val="00CC1CC1"/>
    <w:rsid w:val="00CC28F9"/>
    <w:rsid w:val="00CC3331"/>
    <w:rsid w:val="00CC359E"/>
    <w:rsid w:val="00CC390E"/>
    <w:rsid w:val="00CC3EFB"/>
    <w:rsid w:val="00CC5636"/>
    <w:rsid w:val="00CD0625"/>
    <w:rsid w:val="00CD1778"/>
    <w:rsid w:val="00CD2381"/>
    <w:rsid w:val="00CD3698"/>
    <w:rsid w:val="00CD4D54"/>
    <w:rsid w:val="00CD4E9B"/>
    <w:rsid w:val="00CD6DF1"/>
    <w:rsid w:val="00CD7A38"/>
    <w:rsid w:val="00CE0866"/>
    <w:rsid w:val="00CE0D0E"/>
    <w:rsid w:val="00CE1A09"/>
    <w:rsid w:val="00CE3768"/>
    <w:rsid w:val="00CE58A8"/>
    <w:rsid w:val="00CF0907"/>
    <w:rsid w:val="00CF0EA7"/>
    <w:rsid w:val="00CF1B29"/>
    <w:rsid w:val="00CF318E"/>
    <w:rsid w:val="00CF4608"/>
    <w:rsid w:val="00CF49D3"/>
    <w:rsid w:val="00CF61CE"/>
    <w:rsid w:val="00CF63FF"/>
    <w:rsid w:val="00CF6817"/>
    <w:rsid w:val="00CF73BE"/>
    <w:rsid w:val="00D003C0"/>
    <w:rsid w:val="00D0124B"/>
    <w:rsid w:val="00D03C63"/>
    <w:rsid w:val="00D06155"/>
    <w:rsid w:val="00D1136D"/>
    <w:rsid w:val="00D11942"/>
    <w:rsid w:val="00D123AB"/>
    <w:rsid w:val="00D1632B"/>
    <w:rsid w:val="00D16934"/>
    <w:rsid w:val="00D209D9"/>
    <w:rsid w:val="00D2119C"/>
    <w:rsid w:val="00D250AD"/>
    <w:rsid w:val="00D27972"/>
    <w:rsid w:val="00D34059"/>
    <w:rsid w:val="00D42925"/>
    <w:rsid w:val="00D43CA9"/>
    <w:rsid w:val="00D4686A"/>
    <w:rsid w:val="00D47DA6"/>
    <w:rsid w:val="00D520F1"/>
    <w:rsid w:val="00D521FC"/>
    <w:rsid w:val="00D527C7"/>
    <w:rsid w:val="00D54EA7"/>
    <w:rsid w:val="00D579CF"/>
    <w:rsid w:val="00D61582"/>
    <w:rsid w:val="00D62BDC"/>
    <w:rsid w:val="00D62F56"/>
    <w:rsid w:val="00D643FF"/>
    <w:rsid w:val="00D66D6E"/>
    <w:rsid w:val="00D67464"/>
    <w:rsid w:val="00D67FB6"/>
    <w:rsid w:val="00D7232A"/>
    <w:rsid w:val="00D72B40"/>
    <w:rsid w:val="00D72C33"/>
    <w:rsid w:val="00D76F4D"/>
    <w:rsid w:val="00D77455"/>
    <w:rsid w:val="00D84FB3"/>
    <w:rsid w:val="00D85FB8"/>
    <w:rsid w:val="00D86600"/>
    <w:rsid w:val="00D94B6B"/>
    <w:rsid w:val="00D95F8F"/>
    <w:rsid w:val="00D972A1"/>
    <w:rsid w:val="00D97CEA"/>
    <w:rsid w:val="00DA006F"/>
    <w:rsid w:val="00DA0215"/>
    <w:rsid w:val="00DA1127"/>
    <w:rsid w:val="00DA20FF"/>
    <w:rsid w:val="00DA389F"/>
    <w:rsid w:val="00DA4808"/>
    <w:rsid w:val="00DA633F"/>
    <w:rsid w:val="00DA7190"/>
    <w:rsid w:val="00DB0686"/>
    <w:rsid w:val="00DB1B61"/>
    <w:rsid w:val="00DB434F"/>
    <w:rsid w:val="00DB5AB3"/>
    <w:rsid w:val="00DB648D"/>
    <w:rsid w:val="00DB6F28"/>
    <w:rsid w:val="00DB76A5"/>
    <w:rsid w:val="00DC0A8D"/>
    <w:rsid w:val="00DC0DD4"/>
    <w:rsid w:val="00DC4220"/>
    <w:rsid w:val="00DC429B"/>
    <w:rsid w:val="00DC5365"/>
    <w:rsid w:val="00DC5F72"/>
    <w:rsid w:val="00DC6AD5"/>
    <w:rsid w:val="00DC6B53"/>
    <w:rsid w:val="00DC78E2"/>
    <w:rsid w:val="00DD3251"/>
    <w:rsid w:val="00DD64F1"/>
    <w:rsid w:val="00DD696E"/>
    <w:rsid w:val="00DD77FB"/>
    <w:rsid w:val="00DE56FE"/>
    <w:rsid w:val="00DE58CB"/>
    <w:rsid w:val="00DE5C7A"/>
    <w:rsid w:val="00DE638E"/>
    <w:rsid w:val="00DF0A19"/>
    <w:rsid w:val="00DF2991"/>
    <w:rsid w:val="00DF317A"/>
    <w:rsid w:val="00DF5477"/>
    <w:rsid w:val="00DF6080"/>
    <w:rsid w:val="00DF63C3"/>
    <w:rsid w:val="00DF7FBA"/>
    <w:rsid w:val="00E001FC"/>
    <w:rsid w:val="00E00863"/>
    <w:rsid w:val="00E04E32"/>
    <w:rsid w:val="00E05777"/>
    <w:rsid w:val="00E10277"/>
    <w:rsid w:val="00E105C8"/>
    <w:rsid w:val="00E10719"/>
    <w:rsid w:val="00E10F4B"/>
    <w:rsid w:val="00E12C84"/>
    <w:rsid w:val="00E12C9D"/>
    <w:rsid w:val="00E12D96"/>
    <w:rsid w:val="00E141DC"/>
    <w:rsid w:val="00E14CDE"/>
    <w:rsid w:val="00E15FE1"/>
    <w:rsid w:val="00E17881"/>
    <w:rsid w:val="00E17C00"/>
    <w:rsid w:val="00E2172D"/>
    <w:rsid w:val="00E26125"/>
    <w:rsid w:val="00E2746F"/>
    <w:rsid w:val="00E27CBD"/>
    <w:rsid w:val="00E3370D"/>
    <w:rsid w:val="00E348DC"/>
    <w:rsid w:val="00E3498B"/>
    <w:rsid w:val="00E35B23"/>
    <w:rsid w:val="00E3710B"/>
    <w:rsid w:val="00E37E0F"/>
    <w:rsid w:val="00E40BCD"/>
    <w:rsid w:val="00E43041"/>
    <w:rsid w:val="00E44D52"/>
    <w:rsid w:val="00E45465"/>
    <w:rsid w:val="00E50413"/>
    <w:rsid w:val="00E550A9"/>
    <w:rsid w:val="00E5609A"/>
    <w:rsid w:val="00E5697D"/>
    <w:rsid w:val="00E629A9"/>
    <w:rsid w:val="00E658C4"/>
    <w:rsid w:val="00E658D2"/>
    <w:rsid w:val="00E67637"/>
    <w:rsid w:val="00E70AD9"/>
    <w:rsid w:val="00E73BCA"/>
    <w:rsid w:val="00E757BC"/>
    <w:rsid w:val="00E75CB8"/>
    <w:rsid w:val="00E828AE"/>
    <w:rsid w:val="00E83C17"/>
    <w:rsid w:val="00E8564E"/>
    <w:rsid w:val="00E85DC2"/>
    <w:rsid w:val="00E87CD3"/>
    <w:rsid w:val="00E9345F"/>
    <w:rsid w:val="00E93502"/>
    <w:rsid w:val="00E95293"/>
    <w:rsid w:val="00E960D8"/>
    <w:rsid w:val="00EA1B9C"/>
    <w:rsid w:val="00EA1BA9"/>
    <w:rsid w:val="00EA22D5"/>
    <w:rsid w:val="00EA469F"/>
    <w:rsid w:val="00EA72CD"/>
    <w:rsid w:val="00EB120F"/>
    <w:rsid w:val="00EB2083"/>
    <w:rsid w:val="00EB46EC"/>
    <w:rsid w:val="00EB66D0"/>
    <w:rsid w:val="00EB6E61"/>
    <w:rsid w:val="00EC04C6"/>
    <w:rsid w:val="00EC258A"/>
    <w:rsid w:val="00EC49CE"/>
    <w:rsid w:val="00EC4EC5"/>
    <w:rsid w:val="00EC4F95"/>
    <w:rsid w:val="00EC574B"/>
    <w:rsid w:val="00EC67B9"/>
    <w:rsid w:val="00ED0092"/>
    <w:rsid w:val="00ED1B8A"/>
    <w:rsid w:val="00ED2A43"/>
    <w:rsid w:val="00EE1011"/>
    <w:rsid w:val="00EE2AB7"/>
    <w:rsid w:val="00EF0C80"/>
    <w:rsid w:val="00EF31FE"/>
    <w:rsid w:val="00EF3526"/>
    <w:rsid w:val="00EF560C"/>
    <w:rsid w:val="00EF5CCE"/>
    <w:rsid w:val="00EF5D25"/>
    <w:rsid w:val="00EF64E8"/>
    <w:rsid w:val="00EF7A41"/>
    <w:rsid w:val="00F040CA"/>
    <w:rsid w:val="00F04299"/>
    <w:rsid w:val="00F067B8"/>
    <w:rsid w:val="00F06D11"/>
    <w:rsid w:val="00F06EA4"/>
    <w:rsid w:val="00F10D19"/>
    <w:rsid w:val="00F1196E"/>
    <w:rsid w:val="00F1366A"/>
    <w:rsid w:val="00F143AA"/>
    <w:rsid w:val="00F1536C"/>
    <w:rsid w:val="00F1748B"/>
    <w:rsid w:val="00F21D99"/>
    <w:rsid w:val="00F23AF4"/>
    <w:rsid w:val="00F23D5A"/>
    <w:rsid w:val="00F27614"/>
    <w:rsid w:val="00F27802"/>
    <w:rsid w:val="00F316CD"/>
    <w:rsid w:val="00F31E0C"/>
    <w:rsid w:val="00F32608"/>
    <w:rsid w:val="00F32D53"/>
    <w:rsid w:val="00F3475D"/>
    <w:rsid w:val="00F348C4"/>
    <w:rsid w:val="00F34A2D"/>
    <w:rsid w:val="00F3583C"/>
    <w:rsid w:val="00F36268"/>
    <w:rsid w:val="00F42707"/>
    <w:rsid w:val="00F4308A"/>
    <w:rsid w:val="00F44ECD"/>
    <w:rsid w:val="00F4710E"/>
    <w:rsid w:val="00F548B7"/>
    <w:rsid w:val="00F55CBE"/>
    <w:rsid w:val="00F5735D"/>
    <w:rsid w:val="00F57538"/>
    <w:rsid w:val="00F600DC"/>
    <w:rsid w:val="00F60DDF"/>
    <w:rsid w:val="00F63D8E"/>
    <w:rsid w:val="00F65653"/>
    <w:rsid w:val="00F66074"/>
    <w:rsid w:val="00F6719D"/>
    <w:rsid w:val="00F72DB1"/>
    <w:rsid w:val="00F74619"/>
    <w:rsid w:val="00F75945"/>
    <w:rsid w:val="00F75A1C"/>
    <w:rsid w:val="00F76090"/>
    <w:rsid w:val="00F76B69"/>
    <w:rsid w:val="00F8158B"/>
    <w:rsid w:val="00F823FF"/>
    <w:rsid w:val="00F82C22"/>
    <w:rsid w:val="00F85A11"/>
    <w:rsid w:val="00F909AC"/>
    <w:rsid w:val="00F90B31"/>
    <w:rsid w:val="00F90D0A"/>
    <w:rsid w:val="00F913F3"/>
    <w:rsid w:val="00F92CBA"/>
    <w:rsid w:val="00F94A32"/>
    <w:rsid w:val="00F95D15"/>
    <w:rsid w:val="00F962B4"/>
    <w:rsid w:val="00F9776B"/>
    <w:rsid w:val="00F97D22"/>
    <w:rsid w:val="00FA13BD"/>
    <w:rsid w:val="00FA180C"/>
    <w:rsid w:val="00FA2A13"/>
    <w:rsid w:val="00FA35BF"/>
    <w:rsid w:val="00FA3DF7"/>
    <w:rsid w:val="00FA7E73"/>
    <w:rsid w:val="00FB1363"/>
    <w:rsid w:val="00FB1DB5"/>
    <w:rsid w:val="00FB2993"/>
    <w:rsid w:val="00FB3D6F"/>
    <w:rsid w:val="00FB43A0"/>
    <w:rsid w:val="00FB4C87"/>
    <w:rsid w:val="00FB5342"/>
    <w:rsid w:val="00FB537C"/>
    <w:rsid w:val="00FB54F9"/>
    <w:rsid w:val="00FB5E22"/>
    <w:rsid w:val="00FC1B05"/>
    <w:rsid w:val="00FC20AE"/>
    <w:rsid w:val="00FC2BB2"/>
    <w:rsid w:val="00FC7EBB"/>
    <w:rsid w:val="00FD5BAD"/>
    <w:rsid w:val="00FE114F"/>
    <w:rsid w:val="00FE1253"/>
    <w:rsid w:val="00FE268B"/>
    <w:rsid w:val="00FE5DAF"/>
    <w:rsid w:val="00FE6346"/>
    <w:rsid w:val="00FE784B"/>
    <w:rsid w:val="00FF038B"/>
    <w:rsid w:val="00FF045B"/>
    <w:rsid w:val="00FF4357"/>
    <w:rsid w:val="00FF5139"/>
    <w:rsid w:val="00FF75DA"/>
    <w:rsid w:val="00FF79BF"/>
    <w:rsid w:val="05314A9F"/>
    <w:rsid w:val="07CA3202"/>
    <w:rsid w:val="09539B1D"/>
    <w:rsid w:val="0DBC5DA3"/>
    <w:rsid w:val="14A1861D"/>
    <w:rsid w:val="2E840DA6"/>
    <w:rsid w:val="37ED81FF"/>
    <w:rsid w:val="385CBC54"/>
    <w:rsid w:val="469EEE0F"/>
    <w:rsid w:val="46A79B1E"/>
    <w:rsid w:val="46C2EF0C"/>
    <w:rsid w:val="4776F878"/>
    <w:rsid w:val="4EF1951E"/>
    <w:rsid w:val="50242499"/>
    <w:rsid w:val="545ABE6F"/>
    <w:rsid w:val="783D963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6CCA6"/>
  <w15:chartTrackingRefBased/>
  <w15:docId w15:val="{DF39E50F-451D-4A62-BF0E-EEAF9AA5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B29"/>
    <w:pPr>
      <w:spacing w:after="0" w:line="240" w:lineRule="auto"/>
    </w:pPr>
    <w:rPr>
      <w:rFonts w:ascii="Times New Roman" w:eastAsia="Times New Roman" w:hAnsi="Times New Roman" w:cs="Times New Roman"/>
      <w:kern w:val="0"/>
      <w:sz w:val="24"/>
      <w:szCs w:val="24"/>
      <w:lang w:val="en-ID"/>
      <w14:ligatures w14:val="none"/>
    </w:rPr>
  </w:style>
  <w:style w:type="paragraph" w:styleId="Heading1">
    <w:name w:val="heading 1"/>
    <w:basedOn w:val="Normal"/>
    <w:next w:val="BodyText"/>
    <w:link w:val="Heading1Char"/>
    <w:uiPriority w:val="9"/>
    <w:qFormat/>
    <w:rsid w:val="004F052F"/>
    <w:pPr>
      <w:keepNext/>
      <w:keepLines/>
      <w:spacing w:after="80"/>
      <w:outlineLvl w:val="0"/>
    </w:pPr>
    <w:rPr>
      <w:rFonts w:ascii="Calibri" w:eastAsiaTheme="majorEastAsia" w:hAnsi="Calibri" w:cstheme="majorBidi"/>
      <w:b/>
      <w:color w:val="156082" w:themeColor="accent1"/>
      <w:sz w:val="32"/>
      <w:szCs w:val="32"/>
      <w:lang w:val="en-US"/>
    </w:rPr>
  </w:style>
  <w:style w:type="paragraph" w:styleId="Heading2">
    <w:name w:val="heading 2"/>
    <w:basedOn w:val="Normal"/>
    <w:next w:val="BodyText2"/>
    <w:link w:val="Heading2Char"/>
    <w:uiPriority w:val="9"/>
    <w:unhideWhenUsed/>
    <w:qFormat/>
    <w:rsid w:val="00EB120F"/>
    <w:pPr>
      <w:keepNext/>
      <w:keepLines/>
      <w:spacing w:before="160" w:after="80"/>
      <w:outlineLvl w:val="1"/>
    </w:pPr>
    <w:rPr>
      <w:rFonts w:ascii="Calibri" w:eastAsiaTheme="majorEastAsia" w:hAnsi="Calibri"/>
      <w:b/>
      <w:i/>
      <w:color w:val="156082" w:themeColor="accent1"/>
      <w:sz w:val="28"/>
      <w:szCs w:val="28"/>
    </w:rPr>
  </w:style>
  <w:style w:type="paragraph" w:styleId="Heading3">
    <w:name w:val="heading 3"/>
    <w:basedOn w:val="Normal"/>
    <w:next w:val="BodyText"/>
    <w:link w:val="Heading3Char"/>
    <w:uiPriority w:val="9"/>
    <w:unhideWhenUsed/>
    <w:qFormat/>
    <w:rsid w:val="00EB120F"/>
    <w:pPr>
      <w:keepNext/>
      <w:keepLines/>
      <w:spacing w:before="160" w:after="80"/>
      <w:outlineLvl w:val="2"/>
    </w:pPr>
    <w:rPr>
      <w:rFonts w:ascii="Calibri Light" w:eastAsiaTheme="majorEastAsia" w:hAnsi="Calibri Light"/>
      <w:b/>
      <w:bCs/>
      <w:i/>
      <w:color w:val="000000" w:themeColor="text1"/>
    </w:rPr>
  </w:style>
  <w:style w:type="paragraph" w:styleId="Heading4">
    <w:name w:val="heading 4"/>
    <w:basedOn w:val="Normal"/>
    <w:next w:val="Normal"/>
    <w:link w:val="Heading4Char"/>
    <w:uiPriority w:val="9"/>
    <w:unhideWhenUsed/>
    <w:qFormat/>
    <w:rsid w:val="008A10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10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10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0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0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0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52F"/>
    <w:rPr>
      <w:rFonts w:ascii="Calibri" w:eastAsiaTheme="majorEastAsia" w:hAnsi="Calibri" w:cstheme="majorBidi"/>
      <w:b/>
      <w:color w:val="156082" w:themeColor="accent1"/>
      <w:kern w:val="0"/>
      <w:sz w:val="32"/>
      <w:szCs w:val="32"/>
      <w:lang w:val="en-US"/>
      <w14:ligatures w14:val="none"/>
    </w:rPr>
  </w:style>
  <w:style w:type="character" w:customStyle="1" w:styleId="Heading2Char">
    <w:name w:val="Heading 2 Char"/>
    <w:basedOn w:val="DefaultParagraphFont"/>
    <w:link w:val="Heading2"/>
    <w:uiPriority w:val="9"/>
    <w:rsid w:val="00EB120F"/>
    <w:rPr>
      <w:rFonts w:ascii="Calibri" w:eastAsiaTheme="majorEastAsia" w:hAnsi="Calibri" w:cs="Times New Roman"/>
      <w:b/>
      <w:i/>
      <w:color w:val="156082" w:themeColor="accent1"/>
      <w:kern w:val="0"/>
      <w:sz w:val="28"/>
      <w:szCs w:val="28"/>
      <w:lang w:val="en-ID"/>
      <w14:ligatures w14:val="none"/>
    </w:rPr>
  </w:style>
  <w:style w:type="character" w:customStyle="1" w:styleId="Heading3Char">
    <w:name w:val="Heading 3 Char"/>
    <w:basedOn w:val="DefaultParagraphFont"/>
    <w:link w:val="Heading3"/>
    <w:uiPriority w:val="9"/>
    <w:rsid w:val="00EB120F"/>
    <w:rPr>
      <w:rFonts w:ascii="Calibri Light" w:eastAsiaTheme="majorEastAsia" w:hAnsi="Calibri Light" w:cs="Times New Roman"/>
      <w:b/>
      <w:bCs/>
      <w:i/>
      <w:color w:val="000000" w:themeColor="text1"/>
      <w:kern w:val="0"/>
      <w:sz w:val="24"/>
      <w:szCs w:val="24"/>
      <w:lang w:val="en-ID"/>
      <w14:ligatures w14:val="none"/>
    </w:rPr>
  </w:style>
  <w:style w:type="character" w:customStyle="1" w:styleId="Heading4Char">
    <w:name w:val="Heading 4 Char"/>
    <w:basedOn w:val="DefaultParagraphFont"/>
    <w:link w:val="Heading4"/>
    <w:uiPriority w:val="9"/>
    <w:rsid w:val="008A10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10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10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0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0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0FA"/>
    <w:rPr>
      <w:rFonts w:eastAsiaTheme="majorEastAsia" w:cstheme="majorBidi"/>
      <w:color w:val="272727" w:themeColor="text1" w:themeTint="D8"/>
    </w:rPr>
  </w:style>
  <w:style w:type="paragraph" w:styleId="Title">
    <w:name w:val="Title"/>
    <w:basedOn w:val="Normal"/>
    <w:next w:val="Normal"/>
    <w:link w:val="TitleChar"/>
    <w:uiPriority w:val="10"/>
    <w:qFormat/>
    <w:rsid w:val="008A10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0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0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0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0FA"/>
    <w:pPr>
      <w:spacing w:before="160"/>
      <w:jc w:val="center"/>
    </w:pPr>
    <w:rPr>
      <w:i/>
      <w:iCs/>
      <w:color w:val="404040" w:themeColor="text1" w:themeTint="BF"/>
    </w:rPr>
  </w:style>
  <w:style w:type="character" w:customStyle="1" w:styleId="QuoteChar">
    <w:name w:val="Quote Char"/>
    <w:basedOn w:val="DefaultParagraphFont"/>
    <w:link w:val="Quote"/>
    <w:uiPriority w:val="29"/>
    <w:rsid w:val="008A10FA"/>
    <w:rPr>
      <w:i/>
      <w:iCs/>
      <w:color w:val="404040" w:themeColor="text1" w:themeTint="BF"/>
    </w:rPr>
  </w:style>
  <w:style w:type="paragraph" w:styleId="ListParagraph">
    <w:name w:val="List Paragraph"/>
    <w:aliases w:val="Bullet list,IFCL - List Paragraph,NUMBERED PARAGRAPH,List Paragraph 1,References,ReferencesCxSpLast,lp1,List Paragraph (numbered (a)),Use Case List Paragraph,Heading 41,Resume Title,Citation List,Indent Paragraph,heading 4,List Paragraph1"/>
    <w:basedOn w:val="Normal"/>
    <w:link w:val="ListParagraphChar"/>
    <w:uiPriority w:val="34"/>
    <w:qFormat/>
    <w:rsid w:val="008A10FA"/>
    <w:pPr>
      <w:ind w:left="720"/>
      <w:contextualSpacing/>
    </w:pPr>
  </w:style>
  <w:style w:type="paragraph" w:styleId="TableofFigures">
    <w:name w:val="table of figures"/>
    <w:basedOn w:val="Normal"/>
    <w:next w:val="Normal"/>
    <w:uiPriority w:val="99"/>
    <w:unhideWhenUsed/>
    <w:rsid w:val="00AF0EA5"/>
    <w:pPr>
      <w:tabs>
        <w:tab w:val="right" w:leader="dot" w:pos="9016"/>
      </w:tabs>
    </w:pPr>
    <w:rPr>
      <w:b/>
      <w:bCs/>
      <w:noProof/>
    </w:rPr>
  </w:style>
  <w:style w:type="paragraph" w:styleId="IntenseQuote">
    <w:name w:val="Intense Quote"/>
    <w:basedOn w:val="Normal"/>
    <w:next w:val="Normal"/>
    <w:link w:val="IntenseQuoteChar"/>
    <w:uiPriority w:val="30"/>
    <w:qFormat/>
    <w:rsid w:val="008A10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0FA"/>
    <w:rPr>
      <w:i/>
      <w:iCs/>
      <w:color w:val="0F4761" w:themeColor="accent1" w:themeShade="BF"/>
    </w:rPr>
  </w:style>
  <w:style w:type="character" w:styleId="IntenseReference">
    <w:name w:val="Intense Reference"/>
    <w:basedOn w:val="DefaultParagraphFont"/>
    <w:uiPriority w:val="32"/>
    <w:qFormat/>
    <w:rsid w:val="008A10FA"/>
    <w:rPr>
      <w:b/>
      <w:bCs/>
      <w:smallCaps/>
      <w:color w:val="0F4761" w:themeColor="accent1" w:themeShade="BF"/>
      <w:spacing w:val="5"/>
    </w:rPr>
  </w:style>
  <w:style w:type="paragraph" w:styleId="Header">
    <w:name w:val="header"/>
    <w:basedOn w:val="Normal"/>
    <w:link w:val="HeaderChar"/>
    <w:uiPriority w:val="99"/>
    <w:unhideWhenUsed/>
    <w:rsid w:val="008A10FA"/>
    <w:pPr>
      <w:tabs>
        <w:tab w:val="center" w:pos="4513"/>
        <w:tab w:val="right" w:pos="9026"/>
      </w:tabs>
    </w:pPr>
  </w:style>
  <w:style w:type="character" w:customStyle="1" w:styleId="HeaderChar">
    <w:name w:val="Header Char"/>
    <w:basedOn w:val="DefaultParagraphFont"/>
    <w:link w:val="Header"/>
    <w:uiPriority w:val="99"/>
    <w:rsid w:val="008A10FA"/>
  </w:style>
  <w:style w:type="paragraph" w:styleId="Footer">
    <w:name w:val="footer"/>
    <w:basedOn w:val="Normal"/>
    <w:link w:val="FooterChar"/>
    <w:uiPriority w:val="99"/>
    <w:unhideWhenUsed/>
    <w:rsid w:val="008A10FA"/>
    <w:pPr>
      <w:tabs>
        <w:tab w:val="center" w:pos="4513"/>
        <w:tab w:val="right" w:pos="9026"/>
      </w:tabs>
    </w:pPr>
    <w:rPr>
      <w:sz w:val="16"/>
      <w:szCs w:val="16"/>
    </w:rPr>
  </w:style>
  <w:style w:type="character" w:customStyle="1" w:styleId="FooterChar">
    <w:name w:val="Footer Char"/>
    <w:basedOn w:val="DefaultParagraphFont"/>
    <w:link w:val="Footer"/>
    <w:uiPriority w:val="99"/>
    <w:rsid w:val="008A10FA"/>
    <w:rPr>
      <w:rFonts w:ascii="Arial" w:hAnsi="Arial" w:cs="Arial"/>
      <w:sz w:val="16"/>
      <w:szCs w:val="16"/>
    </w:rPr>
  </w:style>
  <w:style w:type="character" w:styleId="PlaceholderText">
    <w:name w:val="Placeholder Text"/>
    <w:basedOn w:val="DefaultParagraphFont"/>
    <w:uiPriority w:val="99"/>
    <w:semiHidden/>
    <w:rsid w:val="008A10FA"/>
    <w:rPr>
      <w:color w:val="666666"/>
    </w:rPr>
  </w:style>
  <w:style w:type="paragraph" w:styleId="TOCHeading">
    <w:name w:val="TOC Heading"/>
    <w:next w:val="Normal"/>
    <w:uiPriority w:val="39"/>
    <w:qFormat/>
    <w:rsid w:val="005B0891"/>
    <w:pPr>
      <w:spacing w:before="240"/>
    </w:pPr>
    <w:rPr>
      <w:rFonts w:ascii="Arial" w:eastAsiaTheme="majorEastAsia" w:hAnsi="Arial" w:cs="Arial"/>
      <w:color w:val="FF4243"/>
      <w:sz w:val="32"/>
      <w:szCs w:val="32"/>
      <w:lang w:val="en-US"/>
    </w:rPr>
  </w:style>
  <w:style w:type="character" w:styleId="Hyperlink">
    <w:name w:val="Hyperlink"/>
    <w:basedOn w:val="DefaultParagraphFont"/>
    <w:uiPriority w:val="99"/>
    <w:unhideWhenUsed/>
    <w:rsid w:val="006B0828"/>
    <w:rPr>
      <w:color w:val="F16969"/>
      <w:u w:val="single"/>
    </w:rPr>
  </w:style>
  <w:style w:type="character" w:styleId="UnresolvedMention">
    <w:name w:val="Unresolved Mention"/>
    <w:basedOn w:val="DefaultParagraphFont"/>
    <w:uiPriority w:val="99"/>
    <w:semiHidden/>
    <w:unhideWhenUsed/>
    <w:rsid w:val="006B0828"/>
    <w:rPr>
      <w:color w:val="605E5C"/>
      <w:shd w:val="clear" w:color="auto" w:fill="E1DFDD"/>
    </w:rPr>
  </w:style>
  <w:style w:type="table" w:styleId="TableGrid">
    <w:name w:val="Table Grid"/>
    <w:basedOn w:val="TableNormal"/>
    <w:uiPriority w:val="39"/>
    <w:rsid w:val="00831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7005C8"/>
    <w:rPr>
      <w:b/>
      <w:bCs/>
      <w:sz w:val="16"/>
      <w:szCs w:val="16"/>
      <w:lang w:val="en-US"/>
    </w:rPr>
  </w:style>
  <w:style w:type="paragraph" w:customStyle="1" w:styleId="TableText">
    <w:name w:val="Table Text"/>
    <w:basedOn w:val="Normal"/>
    <w:uiPriority w:val="9"/>
    <w:qFormat/>
    <w:rsid w:val="00831F16"/>
    <w:rPr>
      <w:sz w:val="16"/>
      <w:szCs w:val="16"/>
      <w:lang w:val="en-US"/>
    </w:rPr>
  </w:style>
  <w:style w:type="character" w:styleId="FollowedHyperlink">
    <w:name w:val="FollowedHyperlink"/>
    <w:basedOn w:val="DefaultParagraphFont"/>
    <w:uiPriority w:val="99"/>
    <w:semiHidden/>
    <w:unhideWhenUsed/>
    <w:rsid w:val="00831F16"/>
    <w:rPr>
      <w:color w:val="96607D" w:themeColor="followedHyperlink"/>
      <w:u w:val="single"/>
    </w:rPr>
  </w:style>
  <w:style w:type="paragraph" w:styleId="TOC1">
    <w:name w:val="toc 1"/>
    <w:basedOn w:val="Normal"/>
    <w:next w:val="Normal"/>
    <w:autoRedefine/>
    <w:uiPriority w:val="39"/>
    <w:unhideWhenUsed/>
    <w:rsid w:val="00165254"/>
    <w:pPr>
      <w:tabs>
        <w:tab w:val="right" w:leader="dot" w:pos="9016"/>
      </w:tabs>
      <w:spacing w:before="240" w:after="120"/>
    </w:pPr>
    <w:rPr>
      <w:rFonts w:ascii="Calibri" w:hAnsi="Calibri" w:cs="Calibri"/>
      <w:b/>
      <w:bCs/>
      <w:noProof/>
      <w:szCs w:val="20"/>
    </w:rPr>
  </w:style>
  <w:style w:type="paragraph" w:styleId="TOC2">
    <w:name w:val="toc 2"/>
    <w:basedOn w:val="Normal"/>
    <w:next w:val="Normal"/>
    <w:autoRedefine/>
    <w:uiPriority w:val="39"/>
    <w:unhideWhenUsed/>
    <w:rsid w:val="00B7687D"/>
    <w:pPr>
      <w:tabs>
        <w:tab w:val="right" w:leader="dot" w:pos="9016"/>
      </w:tabs>
      <w:spacing w:after="120"/>
      <w:ind w:left="142"/>
    </w:pPr>
    <w:rPr>
      <w:rFonts w:ascii="Calibri" w:hAnsi="Calibri"/>
      <w:noProof/>
    </w:rPr>
  </w:style>
  <w:style w:type="paragraph" w:styleId="TOC3">
    <w:name w:val="toc 3"/>
    <w:basedOn w:val="Normal"/>
    <w:next w:val="Normal"/>
    <w:autoRedefine/>
    <w:uiPriority w:val="39"/>
    <w:unhideWhenUsed/>
    <w:rsid w:val="005B0891"/>
    <w:pPr>
      <w:ind w:left="400"/>
    </w:pPr>
    <w:rPr>
      <w:rFonts w:asciiTheme="minorHAnsi" w:hAnsiTheme="minorHAnsi"/>
    </w:rPr>
  </w:style>
  <w:style w:type="paragraph" w:styleId="TOC4">
    <w:name w:val="toc 4"/>
    <w:basedOn w:val="Normal"/>
    <w:next w:val="Normal"/>
    <w:autoRedefine/>
    <w:uiPriority w:val="39"/>
    <w:unhideWhenUsed/>
    <w:rsid w:val="005B0891"/>
    <w:pPr>
      <w:ind w:left="600"/>
    </w:pPr>
    <w:rPr>
      <w:rFonts w:asciiTheme="minorHAnsi" w:hAnsiTheme="minorHAnsi"/>
    </w:rPr>
  </w:style>
  <w:style w:type="paragraph" w:styleId="TOC5">
    <w:name w:val="toc 5"/>
    <w:basedOn w:val="Normal"/>
    <w:next w:val="Normal"/>
    <w:autoRedefine/>
    <w:uiPriority w:val="39"/>
    <w:unhideWhenUsed/>
    <w:rsid w:val="005B0891"/>
    <w:pPr>
      <w:ind w:left="800"/>
    </w:pPr>
    <w:rPr>
      <w:rFonts w:asciiTheme="minorHAnsi" w:hAnsiTheme="minorHAnsi"/>
    </w:rPr>
  </w:style>
  <w:style w:type="paragraph" w:styleId="TOC6">
    <w:name w:val="toc 6"/>
    <w:basedOn w:val="Normal"/>
    <w:next w:val="Normal"/>
    <w:autoRedefine/>
    <w:uiPriority w:val="39"/>
    <w:unhideWhenUsed/>
    <w:rsid w:val="005B0891"/>
    <w:pPr>
      <w:ind w:left="1000"/>
    </w:pPr>
    <w:rPr>
      <w:rFonts w:asciiTheme="minorHAnsi" w:hAnsiTheme="minorHAnsi"/>
    </w:rPr>
  </w:style>
  <w:style w:type="paragraph" w:styleId="TOC7">
    <w:name w:val="toc 7"/>
    <w:basedOn w:val="Normal"/>
    <w:next w:val="Normal"/>
    <w:autoRedefine/>
    <w:uiPriority w:val="39"/>
    <w:unhideWhenUsed/>
    <w:rsid w:val="005B0891"/>
    <w:pPr>
      <w:ind w:left="1200"/>
    </w:pPr>
    <w:rPr>
      <w:rFonts w:asciiTheme="minorHAnsi" w:hAnsiTheme="minorHAnsi"/>
    </w:rPr>
  </w:style>
  <w:style w:type="paragraph" w:styleId="TOC8">
    <w:name w:val="toc 8"/>
    <w:basedOn w:val="Normal"/>
    <w:next w:val="Normal"/>
    <w:autoRedefine/>
    <w:uiPriority w:val="39"/>
    <w:unhideWhenUsed/>
    <w:rsid w:val="005B0891"/>
    <w:pPr>
      <w:ind w:left="1400"/>
    </w:pPr>
    <w:rPr>
      <w:rFonts w:asciiTheme="minorHAnsi" w:hAnsiTheme="minorHAnsi"/>
    </w:rPr>
  </w:style>
  <w:style w:type="paragraph" w:styleId="TOC9">
    <w:name w:val="toc 9"/>
    <w:basedOn w:val="Normal"/>
    <w:next w:val="Normal"/>
    <w:autoRedefine/>
    <w:uiPriority w:val="39"/>
    <w:unhideWhenUsed/>
    <w:rsid w:val="005B0891"/>
    <w:pPr>
      <w:ind w:left="1600"/>
    </w:pPr>
    <w:rPr>
      <w:rFonts w:asciiTheme="minorHAnsi" w:hAnsiTheme="minorHAnsi"/>
    </w:rPr>
  </w:style>
  <w:style w:type="paragraph" w:styleId="BodyText">
    <w:name w:val="Body Text"/>
    <w:basedOn w:val="Normal"/>
    <w:link w:val="BodyTextChar"/>
    <w:qFormat/>
    <w:rsid w:val="003A36D6"/>
    <w:pPr>
      <w:spacing w:after="120"/>
    </w:pPr>
    <w:rPr>
      <w:rFonts w:ascii="Calibri" w:hAnsi="Calibri"/>
      <w:sz w:val="22"/>
    </w:rPr>
  </w:style>
  <w:style w:type="character" w:customStyle="1" w:styleId="BodyTextChar">
    <w:name w:val="Body Text Char"/>
    <w:basedOn w:val="DefaultParagraphFont"/>
    <w:link w:val="BodyText"/>
    <w:rsid w:val="003A36D6"/>
    <w:rPr>
      <w:rFonts w:ascii="Calibri" w:eastAsia="Times New Roman" w:hAnsi="Calibri" w:cs="Times New Roman"/>
      <w:kern w:val="0"/>
      <w:szCs w:val="24"/>
      <w:lang w:val="en-ID"/>
      <w14:ligatures w14:val="none"/>
    </w:rPr>
  </w:style>
  <w:style w:type="paragraph" w:styleId="ListBullet">
    <w:name w:val="List Bullet"/>
    <w:basedOn w:val="Normal"/>
    <w:uiPriority w:val="99"/>
    <w:rsid w:val="00251454"/>
    <w:pPr>
      <w:numPr>
        <w:numId w:val="1"/>
      </w:numPr>
      <w:contextualSpacing/>
    </w:pPr>
    <w:rPr>
      <w:lang w:val="en-US"/>
    </w:rPr>
  </w:style>
  <w:style w:type="paragraph" w:styleId="ListBullet2">
    <w:name w:val="List Bullet 2"/>
    <w:basedOn w:val="Normal"/>
    <w:uiPriority w:val="99"/>
    <w:rsid w:val="00251454"/>
    <w:pPr>
      <w:numPr>
        <w:numId w:val="2"/>
      </w:numPr>
      <w:contextualSpacing/>
    </w:pPr>
  </w:style>
  <w:style w:type="paragraph" w:styleId="BodyText2">
    <w:name w:val="Body Text 2"/>
    <w:basedOn w:val="Normal"/>
    <w:link w:val="BodyText2Char"/>
    <w:uiPriority w:val="99"/>
    <w:semiHidden/>
    <w:unhideWhenUsed/>
    <w:rsid w:val="00251454"/>
    <w:pPr>
      <w:spacing w:after="120" w:line="480" w:lineRule="auto"/>
    </w:pPr>
  </w:style>
  <w:style w:type="character" w:customStyle="1" w:styleId="BodyText2Char">
    <w:name w:val="Body Text 2 Char"/>
    <w:basedOn w:val="DefaultParagraphFont"/>
    <w:link w:val="BodyText2"/>
    <w:uiPriority w:val="99"/>
    <w:semiHidden/>
    <w:rsid w:val="00251454"/>
    <w:rPr>
      <w:rFonts w:ascii="Arial" w:hAnsi="Arial" w:cs="Arial"/>
      <w:sz w:val="20"/>
      <w:szCs w:val="20"/>
    </w:rPr>
  </w:style>
  <w:style w:type="paragraph" w:customStyle="1" w:styleId="Crossheading">
    <w:name w:val="Crossheading"/>
    <w:basedOn w:val="BodyText"/>
    <w:qFormat/>
    <w:rsid w:val="00BB2D3F"/>
    <w:rPr>
      <w:b/>
      <w:bCs/>
      <w:color w:val="808080" w:themeColor="background1" w:themeShade="80"/>
    </w:rPr>
  </w:style>
  <w:style w:type="paragraph" w:styleId="Caption">
    <w:name w:val="caption"/>
    <w:basedOn w:val="Normal"/>
    <w:next w:val="Normal"/>
    <w:uiPriority w:val="8"/>
    <w:qFormat/>
    <w:rsid w:val="00AF0EA5"/>
    <w:pPr>
      <w:keepNext/>
      <w:spacing w:after="200"/>
    </w:pPr>
    <w:rPr>
      <w:b/>
      <w:bCs/>
      <w:sz w:val="18"/>
      <w:szCs w:val="18"/>
    </w:rPr>
  </w:style>
  <w:style w:type="paragraph" w:styleId="ListNumber">
    <w:name w:val="List Number"/>
    <w:basedOn w:val="Normal"/>
    <w:uiPriority w:val="99"/>
    <w:rsid w:val="00C21789"/>
    <w:pPr>
      <w:numPr>
        <w:numId w:val="3"/>
      </w:numPr>
      <w:contextualSpacing/>
    </w:pPr>
  </w:style>
  <w:style w:type="paragraph" w:styleId="FootnoteText">
    <w:name w:val="footnote text"/>
    <w:aliases w:val="Footnote,Footnote Text Char1 Char,Footnote Text Char Char Char,Footnote Text Char1 Char Char Char,Footnote Text Char Char Char Char Char,Footnote Text Char1 Char1 Char,Footnote Text Char Char Char1 Char,5_G,single space,fn,FOOTNOTES,ft"/>
    <w:basedOn w:val="Normal"/>
    <w:link w:val="FootnoteTextChar"/>
    <w:uiPriority w:val="99"/>
    <w:unhideWhenUsed/>
    <w:qFormat/>
    <w:rsid w:val="00851C7B"/>
  </w:style>
  <w:style w:type="character" w:customStyle="1" w:styleId="FootnoteTextChar">
    <w:name w:val="Footnote Text Char"/>
    <w:aliases w:val="Footnote Char,Footnote Text Char1 Char Char,Footnote Text Char Char Char Char,Footnote Text Char1 Char Char Char Char,Footnote Text Char Char Char Char Char Char,Footnote Text Char1 Char1 Char Char,5_G Char,single space Char,fn Char"/>
    <w:basedOn w:val="DefaultParagraphFont"/>
    <w:link w:val="FootnoteText"/>
    <w:uiPriority w:val="99"/>
    <w:rsid w:val="00851C7B"/>
    <w:rPr>
      <w:rFonts w:ascii="Arial" w:hAnsi="Arial" w:cs="Arial"/>
      <w:sz w:val="20"/>
      <w:szCs w:val="20"/>
    </w:rPr>
  </w:style>
  <w:style w:type="character" w:styleId="FootnoteReference">
    <w:name w:val="footnote reference"/>
    <w:aliases w:val="ftref,16 Point,Superscript 6 Point,BVI fnr,Знак сноски 1,(NECG) Footnote Reference,fr,Footnote + Arial,10 pt,Black,Fußnotenzeichen DISS,Superscript 6 Point + 11 pt,Footnote Ref in FtNote,FnR-ANZDEC,de nota al pie,Ref,SUPERS,ftref1,f"/>
    <w:basedOn w:val="DefaultParagraphFont"/>
    <w:link w:val="referencianotaalpieChar"/>
    <w:uiPriority w:val="99"/>
    <w:unhideWhenUsed/>
    <w:qFormat/>
    <w:rsid w:val="00851C7B"/>
    <w:rPr>
      <w:vertAlign w:val="superscript"/>
    </w:rPr>
  </w:style>
  <w:style w:type="paragraph" w:customStyle="1" w:styleId="referencianotaalpieChar">
    <w:name w:val="referencia nota al pie Char"/>
    <w:aliases w:val="BVI fnr Char,BVI fnr Car Car Char,BVI fnr Car Char,BVI fnr Car Car Car Car Char Char,BVI fnr Char Char Char Char,BVI fnr Car Car Char Char Char Char"/>
    <w:basedOn w:val="Normal"/>
    <w:link w:val="FootnoteReference"/>
    <w:uiPriority w:val="99"/>
    <w:rsid w:val="00355865"/>
    <w:pPr>
      <w:pBdr>
        <w:bottom w:val="single" w:sz="4" w:space="1" w:color="FFFFFF" w:themeColor="background1"/>
      </w:pBdr>
      <w:spacing w:before="120" w:after="120" w:line="240" w:lineRule="exact"/>
      <w:jc w:val="both"/>
    </w:pPr>
    <w:rPr>
      <w:rFonts w:asciiTheme="minorHAnsi" w:hAnsiTheme="minorHAnsi" w:cstheme="minorBidi"/>
      <w:sz w:val="22"/>
      <w:szCs w:val="22"/>
      <w:vertAlign w:val="superscript"/>
    </w:rPr>
  </w:style>
  <w:style w:type="paragraph" w:styleId="NoSpacing">
    <w:name w:val="No Spacing"/>
    <w:link w:val="NoSpacingChar"/>
    <w:uiPriority w:val="1"/>
    <w:qFormat/>
    <w:rsid w:val="00355865"/>
    <w:pPr>
      <w:spacing w:after="0" w:line="240" w:lineRule="auto"/>
    </w:pPr>
    <w:rPr>
      <w:kern w:val="0"/>
      <w14:ligatures w14:val="none"/>
    </w:rPr>
  </w:style>
  <w:style w:type="character" w:customStyle="1" w:styleId="NoSpacingChar">
    <w:name w:val="No Spacing Char"/>
    <w:basedOn w:val="DefaultParagraphFont"/>
    <w:link w:val="NoSpacing"/>
    <w:uiPriority w:val="1"/>
    <w:rsid w:val="00355865"/>
    <w:rPr>
      <w:kern w:val="0"/>
      <w14:ligatures w14:val="none"/>
    </w:rPr>
  </w:style>
  <w:style w:type="paragraph" w:customStyle="1" w:styleId="p1">
    <w:name w:val="p1"/>
    <w:basedOn w:val="Normal"/>
    <w:rsid w:val="00355865"/>
    <w:rPr>
      <w:rFonts w:ascii="Helvetica" w:eastAsiaTheme="minorEastAsia" w:hAnsi="Helvetica"/>
      <w:sz w:val="14"/>
      <w:szCs w:val="14"/>
      <w:lang w:val="en-GB" w:eastAsia="en-GB"/>
    </w:rPr>
  </w:style>
  <w:style w:type="character" w:customStyle="1" w:styleId="ListParagraphChar">
    <w:name w:val="List Paragraph Char"/>
    <w:aliases w:val="Bullet list Char,IFCL - List Paragraph Char,NUMBERED PARAGRAPH Char,List Paragraph 1 Char,References Char,ReferencesCxSpLast Char,lp1 Char,List Paragraph (numbered (a)) Char,Use Case List Paragraph Char,Heading 41 Char,heading 4 Char"/>
    <w:link w:val="ListParagraph"/>
    <w:uiPriority w:val="34"/>
    <w:locked/>
    <w:rsid w:val="00C61A13"/>
    <w:rPr>
      <w:rFonts w:ascii="Arial" w:hAnsi="Arial" w:cs="Arial"/>
      <w:sz w:val="20"/>
      <w:szCs w:val="20"/>
    </w:rPr>
  </w:style>
  <w:style w:type="character" w:customStyle="1" w:styleId="apple-converted-space">
    <w:name w:val="apple-converted-space"/>
    <w:basedOn w:val="DefaultParagraphFont"/>
    <w:rsid w:val="00FB537C"/>
  </w:style>
  <w:style w:type="paragraph" w:customStyle="1" w:styleId="Default">
    <w:name w:val="Default"/>
    <w:rsid w:val="002D71F5"/>
    <w:pPr>
      <w:autoSpaceDE w:val="0"/>
      <w:autoSpaceDN w:val="0"/>
      <w:adjustRightInd w:val="0"/>
      <w:spacing w:after="0" w:line="240" w:lineRule="auto"/>
    </w:pPr>
    <w:rPr>
      <w:rFonts w:ascii="Calibri" w:hAnsi="Calibri" w:cs="Calibri"/>
      <w:color w:val="000000"/>
      <w:kern w:val="0"/>
      <w:sz w:val="24"/>
      <w:szCs w:val="24"/>
      <w:lang w:val="en-US"/>
    </w:rPr>
  </w:style>
  <w:style w:type="character" w:customStyle="1" w:styleId="font">
    <w:name w:val="font"/>
    <w:basedOn w:val="DefaultParagraphFont"/>
    <w:rsid w:val="000C4E5D"/>
  </w:style>
  <w:style w:type="character" w:customStyle="1" w:styleId="size">
    <w:name w:val="size"/>
    <w:basedOn w:val="DefaultParagraphFont"/>
    <w:rsid w:val="000C4E5D"/>
  </w:style>
  <w:style w:type="character" w:styleId="PageNumber">
    <w:name w:val="page number"/>
    <w:basedOn w:val="DefaultParagraphFont"/>
    <w:uiPriority w:val="99"/>
    <w:semiHidden/>
    <w:unhideWhenUsed/>
    <w:rsid w:val="009F1BE6"/>
  </w:style>
  <w:style w:type="character" w:styleId="CommentReference">
    <w:name w:val="annotation reference"/>
    <w:basedOn w:val="DefaultParagraphFont"/>
    <w:uiPriority w:val="99"/>
    <w:semiHidden/>
    <w:unhideWhenUsed/>
    <w:rsid w:val="00D06155"/>
    <w:rPr>
      <w:sz w:val="16"/>
      <w:szCs w:val="16"/>
    </w:rPr>
  </w:style>
  <w:style w:type="paragraph" w:styleId="CommentText">
    <w:name w:val="annotation text"/>
    <w:basedOn w:val="Normal"/>
    <w:link w:val="CommentTextChar"/>
    <w:uiPriority w:val="99"/>
    <w:unhideWhenUsed/>
    <w:rsid w:val="00D06155"/>
    <w:rPr>
      <w:sz w:val="20"/>
      <w:szCs w:val="20"/>
    </w:rPr>
  </w:style>
  <w:style w:type="character" w:customStyle="1" w:styleId="CommentTextChar">
    <w:name w:val="Comment Text Char"/>
    <w:basedOn w:val="DefaultParagraphFont"/>
    <w:link w:val="CommentText"/>
    <w:uiPriority w:val="99"/>
    <w:rsid w:val="00D06155"/>
    <w:rPr>
      <w:rFonts w:ascii="Times New Roman" w:eastAsia="Times New Roman" w:hAnsi="Times New Roman" w:cs="Times New Roman"/>
      <w:kern w:val="0"/>
      <w:sz w:val="20"/>
      <w:szCs w:val="20"/>
      <w:lang w:val="en-ID"/>
      <w14:ligatures w14:val="none"/>
    </w:rPr>
  </w:style>
  <w:style w:type="paragraph" w:styleId="CommentSubject">
    <w:name w:val="annotation subject"/>
    <w:basedOn w:val="CommentText"/>
    <w:next w:val="CommentText"/>
    <w:link w:val="CommentSubjectChar"/>
    <w:uiPriority w:val="99"/>
    <w:semiHidden/>
    <w:unhideWhenUsed/>
    <w:rsid w:val="00D06155"/>
    <w:rPr>
      <w:b/>
      <w:bCs/>
    </w:rPr>
  </w:style>
  <w:style w:type="character" w:customStyle="1" w:styleId="CommentSubjectChar">
    <w:name w:val="Comment Subject Char"/>
    <w:basedOn w:val="CommentTextChar"/>
    <w:link w:val="CommentSubject"/>
    <w:uiPriority w:val="99"/>
    <w:semiHidden/>
    <w:rsid w:val="00D06155"/>
    <w:rPr>
      <w:rFonts w:ascii="Times New Roman" w:eastAsia="Times New Roman" w:hAnsi="Times New Roman" w:cs="Times New Roman"/>
      <w:b/>
      <w:bCs/>
      <w:kern w:val="0"/>
      <w:sz w:val="20"/>
      <w:szCs w:val="20"/>
      <w:lang w:val="en-ID"/>
      <w14:ligatures w14:val="none"/>
    </w:rPr>
  </w:style>
  <w:style w:type="paragraph" w:styleId="Revision">
    <w:name w:val="Revision"/>
    <w:hidden/>
    <w:uiPriority w:val="99"/>
    <w:semiHidden/>
    <w:rsid w:val="00D06155"/>
    <w:pPr>
      <w:spacing w:after="0" w:line="240" w:lineRule="auto"/>
    </w:pPr>
    <w:rPr>
      <w:rFonts w:ascii="Times New Roman" w:eastAsia="Times New Roman" w:hAnsi="Times New Roman" w:cs="Times New Roman"/>
      <w:kern w:val="0"/>
      <w:sz w:val="24"/>
      <w:szCs w:val="24"/>
      <w:lang w:val="en-ID"/>
      <w14:ligatures w14:val="none"/>
    </w:rPr>
  </w:style>
  <w:style w:type="character" w:styleId="IntenseEmphasis">
    <w:name w:val="Intense Emphasis"/>
    <w:basedOn w:val="DefaultParagraphFont"/>
    <w:uiPriority w:val="21"/>
    <w:qFormat/>
    <w:rsid w:val="00577D45"/>
    <w:rPr>
      <w:i/>
      <w:iCs/>
      <w:color w:val="0F4761" w:themeColor="accent1" w:themeShade="BF"/>
    </w:rPr>
  </w:style>
  <w:style w:type="paragraph" w:customStyle="1" w:styleId="Footnotesrefss">
    <w:name w:val="Footnotes refss"/>
    <w:aliases w:val="Footnote Reference1, BVI fnr Car Car1 Car Car Char Car Char Car Char Char,BVI fnr Car Car1 Car Car Char Car Char Car Char Char"/>
    <w:basedOn w:val="Normal"/>
    <w:uiPriority w:val="99"/>
    <w:rsid w:val="00577D45"/>
    <w:pPr>
      <w:pBdr>
        <w:top w:val="none" w:sz="0" w:space="0" w:color="000000"/>
        <w:left w:val="none" w:sz="0" w:space="0" w:color="000000"/>
        <w:bottom w:val="none" w:sz="0" w:space="0" w:color="000000"/>
        <w:right w:val="none" w:sz="0" w:space="0" w:color="000000"/>
      </w:pBdr>
      <w:spacing w:before="120" w:after="160" w:line="240" w:lineRule="exact"/>
    </w:pPr>
    <w:rPr>
      <w:rFonts w:asciiTheme="minorHAnsi" w:eastAsiaTheme="minorEastAsia" w:hAnsiTheme="minorHAnsi" w:cstheme="minorBidi"/>
      <w:vertAlign w:val="superscript"/>
    </w:rPr>
  </w:style>
  <w:style w:type="paragraph" w:styleId="NormalWeb">
    <w:name w:val="Normal (Web)"/>
    <w:basedOn w:val="Normal"/>
    <w:uiPriority w:val="99"/>
    <w:semiHidden/>
    <w:unhideWhenUsed/>
    <w:rsid w:val="00577D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301655">
      <w:bodyDiv w:val="1"/>
      <w:marLeft w:val="0"/>
      <w:marRight w:val="0"/>
      <w:marTop w:val="0"/>
      <w:marBottom w:val="0"/>
      <w:divBdr>
        <w:top w:val="none" w:sz="0" w:space="0" w:color="auto"/>
        <w:left w:val="none" w:sz="0" w:space="0" w:color="auto"/>
        <w:bottom w:val="none" w:sz="0" w:space="0" w:color="auto"/>
        <w:right w:val="none" w:sz="0" w:space="0" w:color="auto"/>
      </w:divBdr>
    </w:div>
    <w:div w:id="558326429">
      <w:bodyDiv w:val="1"/>
      <w:marLeft w:val="0"/>
      <w:marRight w:val="0"/>
      <w:marTop w:val="0"/>
      <w:marBottom w:val="0"/>
      <w:divBdr>
        <w:top w:val="none" w:sz="0" w:space="0" w:color="auto"/>
        <w:left w:val="none" w:sz="0" w:space="0" w:color="auto"/>
        <w:bottom w:val="none" w:sz="0" w:space="0" w:color="auto"/>
        <w:right w:val="none" w:sz="0" w:space="0" w:color="auto"/>
      </w:divBdr>
    </w:div>
    <w:div w:id="1458376665">
      <w:bodyDiv w:val="1"/>
      <w:marLeft w:val="0"/>
      <w:marRight w:val="0"/>
      <w:marTop w:val="0"/>
      <w:marBottom w:val="0"/>
      <w:divBdr>
        <w:top w:val="none" w:sz="0" w:space="0" w:color="auto"/>
        <w:left w:val="none" w:sz="0" w:space="0" w:color="auto"/>
        <w:bottom w:val="none" w:sz="0" w:space="0" w:color="auto"/>
        <w:right w:val="none" w:sz="0" w:space="0" w:color="auto"/>
      </w:divBdr>
    </w:div>
    <w:div w:id="1681086180">
      <w:bodyDiv w:val="1"/>
      <w:marLeft w:val="0"/>
      <w:marRight w:val="0"/>
      <w:marTop w:val="0"/>
      <w:marBottom w:val="0"/>
      <w:divBdr>
        <w:top w:val="none" w:sz="0" w:space="0" w:color="auto"/>
        <w:left w:val="none" w:sz="0" w:space="0" w:color="auto"/>
        <w:bottom w:val="none" w:sz="0" w:space="0" w:color="auto"/>
        <w:right w:val="none" w:sz="0" w:space="0" w:color="auto"/>
      </w:divBdr>
      <w:divsChild>
        <w:div w:id="31610594">
          <w:marLeft w:val="0"/>
          <w:marRight w:val="0"/>
          <w:marTop w:val="0"/>
          <w:marBottom w:val="0"/>
          <w:divBdr>
            <w:top w:val="none" w:sz="0" w:space="0" w:color="auto"/>
            <w:left w:val="none" w:sz="0" w:space="0" w:color="auto"/>
            <w:bottom w:val="none" w:sz="0" w:space="0" w:color="auto"/>
            <w:right w:val="none" w:sz="0" w:space="0" w:color="auto"/>
          </w:divBdr>
        </w:div>
        <w:div w:id="84232173">
          <w:marLeft w:val="0"/>
          <w:marRight w:val="0"/>
          <w:marTop w:val="0"/>
          <w:marBottom w:val="0"/>
          <w:divBdr>
            <w:top w:val="none" w:sz="0" w:space="0" w:color="auto"/>
            <w:left w:val="none" w:sz="0" w:space="0" w:color="auto"/>
            <w:bottom w:val="none" w:sz="0" w:space="0" w:color="auto"/>
            <w:right w:val="none" w:sz="0" w:space="0" w:color="auto"/>
          </w:divBdr>
        </w:div>
        <w:div w:id="177892463">
          <w:marLeft w:val="0"/>
          <w:marRight w:val="0"/>
          <w:marTop w:val="0"/>
          <w:marBottom w:val="0"/>
          <w:divBdr>
            <w:top w:val="none" w:sz="0" w:space="0" w:color="auto"/>
            <w:left w:val="none" w:sz="0" w:space="0" w:color="auto"/>
            <w:bottom w:val="none" w:sz="0" w:space="0" w:color="auto"/>
            <w:right w:val="none" w:sz="0" w:space="0" w:color="auto"/>
          </w:divBdr>
        </w:div>
        <w:div w:id="425883863">
          <w:marLeft w:val="0"/>
          <w:marRight w:val="0"/>
          <w:marTop w:val="0"/>
          <w:marBottom w:val="0"/>
          <w:divBdr>
            <w:top w:val="none" w:sz="0" w:space="0" w:color="auto"/>
            <w:left w:val="none" w:sz="0" w:space="0" w:color="auto"/>
            <w:bottom w:val="none" w:sz="0" w:space="0" w:color="auto"/>
            <w:right w:val="none" w:sz="0" w:space="0" w:color="auto"/>
          </w:divBdr>
        </w:div>
        <w:div w:id="536894895">
          <w:marLeft w:val="0"/>
          <w:marRight w:val="0"/>
          <w:marTop w:val="0"/>
          <w:marBottom w:val="0"/>
          <w:divBdr>
            <w:top w:val="none" w:sz="0" w:space="0" w:color="auto"/>
            <w:left w:val="none" w:sz="0" w:space="0" w:color="auto"/>
            <w:bottom w:val="none" w:sz="0" w:space="0" w:color="auto"/>
            <w:right w:val="none" w:sz="0" w:space="0" w:color="auto"/>
          </w:divBdr>
        </w:div>
        <w:div w:id="731583368">
          <w:marLeft w:val="0"/>
          <w:marRight w:val="0"/>
          <w:marTop w:val="0"/>
          <w:marBottom w:val="0"/>
          <w:divBdr>
            <w:top w:val="none" w:sz="0" w:space="0" w:color="auto"/>
            <w:left w:val="none" w:sz="0" w:space="0" w:color="auto"/>
            <w:bottom w:val="none" w:sz="0" w:space="0" w:color="auto"/>
            <w:right w:val="none" w:sz="0" w:space="0" w:color="auto"/>
          </w:divBdr>
        </w:div>
        <w:div w:id="945120298">
          <w:marLeft w:val="0"/>
          <w:marRight w:val="0"/>
          <w:marTop w:val="0"/>
          <w:marBottom w:val="0"/>
          <w:divBdr>
            <w:top w:val="none" w:sz="0" w:space="0" w:color="auto"/>
            <w:left w:val="none" w:sz="0" w:space="0" w:color="auto"/>
            <w:bottom w:val="none" w:sz="0" w:space="0" w:color="auto"/>
            <w:right w:val="none" w:sz="0" w:space="0" w:color="auto"/>
          </w:divBdr>
        </w:div>
        <w:div w:id="997883055">
          <w:marLeft w:val="0"/>
          <w:marRight w:val="0"/>
          <w:marTop w:val="0"/>
          <w:marBottom w:val="0"/>
          <w:divBdr>
            <w:top w:val="none" w:sz="0" w:space="0" w:color="auto"/>
            <w:left w:val="none" w:sz="0" w:space="0" w:color="auto"/>
            <w:bottom w:val="none" w:sz="0" w:space="0" w:color="auto"/>
            <w:right w:val="none" w:sz="0" w:space="0" w:color="auto"/>
          </w:divBdr>
        </w:div>
        <w:div w:id="1122378534">
          <w:marLeft w:val="0"/>
          <w:marRight w:val="0"/>
          <w:marTop w:val="0"/>
          <w:marBottom w:val="0"/>
          <w:divBdr>
            <w:top w:val="none" w:sz="0" w:space="0" w:color="auto"/>
            <w:left w:val="none" w:sz="0" w:space="0" w:color="auto"/>
            <w:bottom w:val="none" w:sz="0" w:space="0" w:color="auto"/>
            <w:right w:val="none" w:sz="0" w:space="0" w:color="auto"/>
          </w:divBdr>
        </w:div>
        <w:div w:id="1143890402">
          <w:marLeft w:val="0"/>
          <w:marRight w:val="0"/>
          <w:marTop w:val="0"/>
          <w:marBottom w:val="0"/>
          <w:divBdr>
            <w:top w:val="none" w:sz="0" w:space="0" w:color="auto"/>
            <w:left w:val="none" w:sz="0" w:space="0" w:color="auto"/>
            <w:bottom w:val="none" w:sz="0" w:space="0" w:color="auto"/>
            <w:right w:val="none" w:sz="0" w:space="0" w:color="auto"/>
          </w:divBdr>
        </w:div>
        <w:div w:id="1305820182">
          <w:marLeft w:val="0"/>
          <w:marRight w:val="0"/>
          <w:marTop w:val="0"/>
          <w:marBottom w:val="0"/>
          <w:divBdr>
            <w:top w:val="none" w:sz="0" w:space="0" w:color="auto"/>
            <w:left w:val="none" w:sz="0" w:space="0" w:color="auto"/>
            <w:bottom w:val="none" w:sz="0" w:space="0" w:color="auto"/>
            <w:right w:val="none" w:sz="0" w:space="0" w:color="auto"/>
          </w:divBdr>
        </w:div>
        <w:div w:id="1562331041">
          <w:marLeft w:val="0"/>
          <w:marRight w:val="0"/>
          <w:marTop w:val="0"/>
          <w:marBottom w:val="0"/>
          <w:divBdr>
            <w:top w:val="none" w:sz="0" w:space="0" w:color="auto"/>
            <w:left w:val="none" w:sz="0" w:space="0" w:color="auto"/>
            <w:bottom w:val="none" w:sz="0" w:space="0" w:color="auto"/>
            <w:right w:val="none" w:sz="0" w:space="0" w:color="auto"/>
          </w:divBdr>
        </w:div>
        <w:div w:id="1965502705">
          <w:marLeft w:val="0"/>
          <w:marRight w:val="0"/>
          <w:marTop w:val="0"/>
          <w:marBottom w:val="0"/>
          <w:divBdr>
            <w:top w:val="none" w:sz="0" w:space="0" w:color="auto"/>
            <w:left w:val="none" w:sz="0" w:space="0" w:color="auto"/>
            <w:bottom w:val="none" w:sz="0" w:space="0" w:color="auto"/>
            <w:right w:val="none" w:sz="0" w:space="0" w:color="auto"/>
          </w:divBdr>
        </w:div>
      </w:divsChild>
    </w:div>
    <w:div w:id="209481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https://nam11.safelinks.protection.outlook.com/?url=https%3A%2F%2Fwww.facebook.com%2Fwatch%2F%3Fv%3D1632645937315536&amp;data=05%7C02%7Cfoneill1%40ifc.org%7C2537d46c470f41f4331908dd770d84b9%7C31a2fec0266b4c67b56e2796d8f59c36%7C0%7C0%7C638797622319120872%7CUnknown%7CTWFpbGZsb3d8eyJFbXB0eU1hcGkiOnRydWUsIlYiOiIwLjAuMDAwMCIsIlAiOiJXaW4zMiIsIkFOIjoiTWFpbCIsIldUIjoyfQ%3D%3D%7C0%7C%7C%7C&amp;sdata=f%2BIbcxxVFPlQlP7Zo64959MAbeqQy308iarXwa8hMOA%3D&amp;reserved=0" TargetMode="External"/><Relationship Id="rId21" Type="http://schemas.openxmlformats.org/officeDocument/2006/relationships/image" Target="media/image3.png"/><Relationship Id="rId34" Type="http://schemas.openxmlformats.org/officeDocument/2006/relationships/hyperlink" Target="https://www.ifc.org/en/pressroom/2023/jobs-and-growth-boost-to-flow-from-ifc-investment-in-fijis-hfc-b" TargetMode="External"/><Relationship Id="rId42" Type="http://schemas.openxmlformats.org/officeDocument/2006/relationships/hyperlink" Target="https://www.ifc.org/en/stories/2023/future-of-fiji-touris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ifc.org/en/pressroom/2022/fijians-to-benefit-from-reforms-making-banking-safer-more-reliable-and-effici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s://www.ifc.org/en/pressroom/2023/fiji-s-cabinet-backs-recommendations-to-support-improved-childca" TargetMode="External"/><Relationship Id="rId37" Type="http://schemas.openxmlformats.org/officeDocument/2006/relationships/hyperlink" Target="https://x-msg://4/-" TargetMode="External"/><Relationship Id="rId40" Type="http://schemas.openxmlformats.org/officeDocument/2006/relationships/hyperlink" Target="https://www.ifc.org/en/stories/2025/in-fiji-a-pivot-to-e-payments-is-strengthening-the-economy"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morrissey@iimetro.com.au" TargetMode="External"/><Relationship Id="rId23" Type="http://schemas.openxmlformats.org/officeDocument/2006/relationships/hyperlink" Target="https://documents1.worldbank.org/curated/en/816041567693920053/pdf/The-Business-Case-for-Workplace-Responses-to-Domestic-and-Sexual-Violence-in-Fiji.pdf" TargetMode="External"/><Relationship Id="rId28" Type="http://schemas.openxmlformats.org/officeDocument/2006/relationships/hyperlink" Target="https://www.ifc.org/en/pressroom/2022/investment-fiji-shifts-focus-to-attract-investors-and-drive-exports-after-ifc-technical-assistance" TargetMode="External"/><Relationship Id="rId36" Type="http://schemas.openxmlformats.org/officeDocument/2006/relationships/hyperlink" Target="https://www.ifc.org/en/pressroom/2024/fcef-and-ifc-partner-on-esg-program-in-fiji-to-boost-business-performance-economic-growth" TargetMode="Externa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hyperlink" Target="https://www.ifc.org/en/pressroom/2022/fiji-marks-breakthrough-with-first-wholesale-corporate-bond-of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www.ifc.org/content/dam/ifc/doc/mgrt/fiji-tackling-childcare.pdf" TargetMode="External"/><Relationship Id="rId27" Type="http://schemas.openxmlformats.org/officeDocument/2006/relationships/image" Target="media/image4.emf"/><Relationship Id="rId30" Type="http://schemas.openxmlformats.org/officeDocument/2006/relationships/hyperlink" Target="https://www.ifc.org/en/pressroom/2022/27293" TargetMode="External"/><Relationship Id="rId35" Type="http://schemas.openxmlformats.org/officeDocument/2006/relationships/hyperlink" Target="https://www.ifc.org/en/pressroom/2024/ifc-and-the-spx-launch-esg-program-in-fiji-to-boost-sustainable-growth-spur-investment" TargetMode="External"/><Relationship Id="rId43" Type="http://schemas.openxmlformats.org/officeDocument/2006/relationships/hyperlink" Target="https://www.ifc.org/en/stories/2023/rising-to-challenge-of-affordable-climate-housing-in-asia-pacific"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yperlink" Target="https://www.ifc.org/en/pressroom/2023/ifc-and-reserve-bank-of-fiji-partner-to-develop-green-finance-taxonomy-boost-climate-friendly-investments-and-sustainable-growth" TargetMode="External"/><Relationship Id="rId38" Type="http://schemas.openxmlformats.org/officeDocument/2006/relationships/hyperlink" Target="https://nam11.safelinks.protection.outlook.com/?url=https%3A%2F%2Fwww.facebook.com%2Fwatch%2F%3Fv%3D8054206204682974&amp;data=05%7C02%7Cfoneill1%40ifc.org%7C2537d46c470f41f4331908dd770d84b9%7C31a2fec0266b4c67b56e2796d8f59c36%7C0%7C0%7C638797622319098409%7CUnknown%7CTWFpbGZsb3d8eyJFbXB0eU1hcGkiOnRydWUsIlYiOiIwLjAuMDAwMCIsIlAiOiJXaW4zMiIsIkFOIjoiTWFpbCIsIldUIjoyfQ%3D%3D%7C0%7C%7C%7C&amp;sdata=G6TWuOYhUYlmL0gWB%2BSg%2BWieZ89tiPoNynkjE1pKxRE%3D&amp;reserved=0" TargetMode="External"/><Relationship Id="rId46"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nam11.safelinks.protection.outlook.com/?url=https%3A%2F%2Fwww.fijitimes.com.fj%2Fa-strong-corporate-bond-market-the-key-to-greater-economic-prosperity-for-all-fijians%2F&amp;data=05%7C02%7Cfoneill1%40ifc.org%7C2537d46c470f41f4331908dd770d84b9%7C31a2fec0266b4c67b56e2796d8f59c36%7C0%7C0%7C638797622319135352%7CUnknown%7CTWFpbGZsb3d8eyJFbXB0eU1hcGkiOnRydWUsIlYiOiIwLjAuMDAwMCIsIlAiOiJXaW4zMiIsIkFOIjoiTWFpbCIsIldUIjoyfQ%3D%3D%7C0%7C%7C%7C&amp;sdata=GEpDNT4d1%2Bs1TrNlCk10eYsCIVaTyVS0n1MJMKMsY4I%3D&amp;reserved=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dac/evaluation/daccriteriaforevaluatingdevelopmentassistance.htm" TargetMode="External"/><Relationship Id="rId2" Type="http://schemas.openxmlformats.org/officeDocument/2006/relationships/hyperlink" Target="https://www.oecd-ilibrary.org/sites/543e84ed-en/1/3/4/index.html?itemId=/content/publication/543e84ed-en&amp;_csp_=535d2f2a848b7727d35502d7f36e4885&amp;itemIGO=oecd&amp;itemContentType=book" TargetMode="External"/><Relationship Id="rId1" Type="http://schemas.openxmlformats.org/officeDocument/2006/relationships/hyperlink" Target="https://www.oecd.org/dac/evaluation/daccriteriaforevaluatingdevelopmentassistance.htm" TargetMode="External"/><Relationship Id="rId5" Type="http://schemas.openxmlformats.org/officeDocument/2006/relationships/hyperlink" Target="http://www.research-methodology.net" TargetMode="External"/><Relationship Id="rId4" Type="http://schemas.openxmlformats.org/officeDocument/2006/relationships/hyperlink" Target="https://research-methodology.net/sampling/non-probability-sampl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04D3BB471D4F69B0575873685A0FF3"/>
        <w:category>
          <w:name w:val="General"/>
          <w:gallery w:val="placeholder"/>
        </w:category>
        <w:types>
          <w:type w:val="bbPlcHdr"/>
        </w:types>
        <w:behaviors>
          <w:behavior w:val="content"/>
        </w:behaviors>
        <w:guid w:val="{67D1A1BE-831F-493B-98AC-338C4FB8F3CF}"/>
      </w:docPartPr>
      <w:docPartBody>
        <w:p w:rsidR="005F04E1" w:rsidRDefault="00BC4247">
          <w:r w:rsidRPr="00AB4699">
            <w:rPr>
              <w:rStyle w:val="PlaceholderText"/>
            </w:rPr>
            <w:t>[Title]</w:t>
          </w:r>
        </w:p>
      </w:docPartBody>
    </w:docPart>
    <w:docPart>
      <w:docPartPr>
        <w:name w:val="6106F4825FC84A54B7635CF462399121"/>
        <w:category>
          <w:name w:val="General"/>
          <w:gallery w:val="placeholder"/>
        </w:category>
        <w:types>
          <w:type w:val="bbPlcHdr"/>
        </w:types>
        <w:behaviors>
          <w:behavior w:val="content"/>
        </w:behaviors>
        <w:guid w:val="{B81B1EAE-E330-41A6-8502-2F9D7BCE9128}"/>
      </w:docPartPr>
      <w:docPartBody>
        <w:p w:rsidR="005F04E1" w:rsidRDefault="00BC4247">
          <w:r w:rsidRPr="00AB469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Helvetica Neue">
    <w:altName w:val="Sylfaen"/>
    <w:charset w:val="00"/>
    <w:family w:val="auto"/>
    <w:pitch w:val="variable"/>
    <w:sig w:usb0="E50002FF" w:usb1="500079DB" w:usb2="00000010" w:usb3="00000000" w:csb0="00000001"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47"/>
    <w:rsid w:val="00094AB9"/>
    <w:rsid w:val="000E1C5A"/>
    <w:rsid w:val="000F263C"/>
    <w:rsid w:val="000F5108"/>
    <w:rsid w:val="0010614F"/>
    <w:rsid w:val="001353DB"/>
    <w:rsid w:val="00151601"/>
    <w:rsid w:val="001604AD"/>
    <w:rsid w:val="00183FF0"/>
    <w:rsid w:val="00190C0E"/>
    <w:rsid w:val="001B1CEF"/>
    <w:rsid w:val="00204E12"/>
    <w:rsid w:val="002B397E"/>
    <w:rsid w:val="002B544A"/>
    <w:rsid w:val="002C2224"/>
    <w:rsid w:val="002F082C"/>
    <w:rsid w:val="00323CFE"/>
    <w:rsid w:val="00375A19"/>
    <w:rsid w:val="00375F5A"/>
    <w:rsid w:val="003A60C9"/>
    <w:rsid w:val="003B0F4E"/>
    <w:rsid w:val="003C377A"/>
    <w:rsid w:val="003E69DD"/>
    <w:rsid w:val="0047228C"/>
    <w:rsid w:val="004828D8"/>
    <w:rsid w:val="00491F24"/>
    <w:rsid w:val="004B6E1E"/>
    <w:rsid w:val="004C572D"/>
    <w:rsid w:val="004F1A83"/>
    <w:rsid w:val="00512784"/>
    <w:rsid w:val="00525E0D"/>
    <w:rsid w:val="00531060"/>
    <w:rsid w:val="005533BA"/>
    <w:rsid w:val="0058703B"/>
    <w:rsid w:val="00597809"/>
    <w:rsid w:val="005E5498"/>
    <w:rsid w:val="005F04E1"/>
    <w:rsid w:val="00650596"/>
    <w:rsid w:val="0066213C"/>
    <w:rsid w:val="00670A11"/>
    <w:rsid w:val="006D3336"/>
    <w:rsid w:val="006E51FE"/>
    <w:rsid w:val="00721F53"/>
    <w:rsid w:val="00756281"/>
    <w:rsid w:val="00760542"/>
    <w:rsid w:val="00765114"/>
    <w:rsid w:val="00770685"/>
    <w:rsid w:val="00770C0E"/>
    <w:rsid w:val="007711B5"/>
    <w:rsid w:val="007908DB"/>
    <w:rsid w:val="007A25ED"/>
    <w:rsid w:val="007A6CE8"/>
    <w:rsid w:val="007A7EA7"/>
    <w:rsid w:val="007B6840"/>
    <w:rsid w:val="007C1A6A"/>
    <w:rsid w:val="007D0558"/>
    <w:rsid w:val="00842315"/>
    <w:rsid w:val="00863675"/>
    <w:rsid w:val="00867B28"/>
    <w:rsid w:val="008F08A4"/>
    <w:rsid w:val="00957FEA"/>
    <w:rsid w:val="0097322D"/>
    <w:rsid w:val="00976A54"/>
    <w:rsid w:val="00986FAC"/>
    <w:rsid w:val="009C3ED3"/>
    <w:rsid w:val="00A813BB"/>
    <w:rsid w:val="00AA11E7"/>
    <w:rsid w:val="00AA5C59"/>
    <w:rsid w:val="00AB058B"/>
    <w:rsid w:val="00AC00BC"/>
    <w:rsid w:val="00AE500B"/>
    <w:rsid w:val="00B116FE"/>
    <w:rsid w:val="00B30560"/>
    <w:rsid w:val="00B92CF5"/>
    <w:rsid w:val="00BC4247"/>
    <w:rsid w:val="00BF2F75"/>
    <w:rsid w:val="00C054C5"/>
    <w:rsid w:val="00CB44CE"/>
    <w:rsid w:val="00CD2DC7"/>
    <w:rsid w:val="00CE0866"/>
    <w:rsid w:val="00D52643"/>
    <w:rsid w:val="00D906A4"/>
    <w:rsid w:val="00D944C2"/>
    <w:rsid w:val="00DB6467"/>
    <w:rsid w:val="00E07ECD"/>
    <w:rsid w:val="00E17939"/>
    <w:rsid w:val="00E264DF"/>
    <w:rsid w:val="00E550A9"/>
    <w:rsid w:val="00E629A9"/>
    <w:rsid w:val="00E71D66"/>
    <w:rsid w:val="00EC13FC"/>
    <w:rsid w:val="00EC1649"/>
    <w:rsid w:val="00F40359"/>
    <w:rsid w:val="00F82AD6"/>
    <w:rsid w:val="00FB0E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24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424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0371A4F72E9243A8B6031922232895" ma:contentTypeVersion="11" ma:contentTypeDescription="Create a new document." ma:contentTypeScope="" ma:versionID="6c4fcb1a92b63eb62f3492851a7567c7">
  <xsd:schema xmlns:xsd="http://www.w3.org/2001/XMLSchema" xmlns:xs="http://www.w3.org/2001/XMLSchema" xmlns:p="http://schemas.microsoft.com/office/2006/metadata/properties" xmlns:ns2="cd59fdff-6e03-4248-914d-95acabbf2acc" xmlns:ns3="dd9200f4-6870-45ce-a886-fdb6fdc1d0d1" targetNamespace="http://schemas.microsoft.com/office/2006/metadata/properties" ma:root="true" ma:fieldsID="6ebaf4beedaec3a3ff791bdfeb0b7b77" ns2:_="" ns3:_="">
    <xsd:import namespace="cd59fdff-6e03-4248-914d-95acabbf2acc"/>
    <xsd:import namespace="dd9200f4-6870-45ce-a886-fdb6fdc1d0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9fdff-6e03-4248-914d-95acabbf2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200f4-6870-45ce-a886-fdb6fdc1d0d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59fdff-6e03-4248-914d-95acabbf2ac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A25CB-21A5-48CC-BD92-86A219C95C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9fdff-6e03-4248-914d-95acabbf2acc"/>
    <ds:schemaRef ds:uri="dd9200f4-6870-45ce-a886-fdb6fdc1d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50B704-4D65-43D9-8B3C-7A29F8A6351B}">
  <ds:schemaRefs>
    <ds:schemaRef ds:uri="http://schemas.openxmlformats.org/officeDocument/2006/bibliography"/>
  </ds:schemaRefs>
</ds:datastoreItem>
</file>

<file path=customXml/itemProps3.xml><?xml version="1.0" encoding="utf-8"?>
<ds:datastoreItem xmlns:ds="http://schemas.openxmlformats.org/officeDocument/2006/customXml" ds:itemID="{A154A72A-2A2E-479B-A526-DDDD8F095E7B}">
  <ds:schemaRefs>
    <ds:schemaRef ds:uri="http://schemas.microsoft.com/office/2006/metadata/properties"/>
    <ds:schemaRef ds:uri="http://schemas.microsoft.com/office/infopath/2007/PartnerControls"/>
    <ds:schemaRef ds:uri="cd59fdff-6e03-4248-914d-95acabbf2acc"/>
  </ds:schemaRefs>
</ds:datastoreItem>
</file>

<file path=customXml/itemProps4.xml><?xml version="1.0" encoding="utf-8"?>
<ds:datastoreItem xmlns:ds="http://schemas.openxmlformats.org/officeDocument/2006/customXml" ds:itemID="{6462F496-9BB3-4EC0-A8B4-CCA1571DC0F7}">
  <ds:schemaRefs>
    <ds:schemaRef ds:uri="http://schemas.microsoft.com/sharepoint/v3/contenttype/forms"/>
  </ds:schemaRefs>
</ds:datastoreItem>
</file>

<file path=docMetadata/LabelInfo.xml><?xml version="1.0" encoding="utf-8"?>
<clbl:labelList xmlns:clbl="http://schemas.microsoft.com/office/2020/mipLabelMetadata">
  <clbl:label id="{11067652-e594-4683-81e3-2cbf4d08314b}" enabled="1" method="Standard" siteId="{dd4b51f9-ee38-4f0d-87d3-0fcc190484cf}" removed="0"/>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Template>
  <TotalTime>48</TotalTime>
  <Pages>59</Pages>
  <Words>22379</Words>
  <Characters>133608</Characters>
  <Application>Microsoft Office Word</Application>
  <DocSecurity>0</DocSecurity>
  <Lines>3929</Lines>
  <Paragraphs>1999</Paragraphs>
  <ScaleCrop>false</ScaleCrop>
  <HeadingPairs>
    <vt:vector size="2" baseType="variant">
      <vt:variant>
        <vt:lpstr>Title</vt:lpstr>
      </vt:variant>
      <vt:variant>
        <vt:i4>1</vt:i4>
      </vt:variant>
    </vt:vector>
  </HeadingPairs>
  <TitlesOfParts>
    <vt:vector size="1" baseType="lpstr">
      <vt:lpstr>Final Evaluation: Fiji Private Sector Development Partnership (FPSDP)</vt:lpstr>
    </vt:vector>
  </TitlesOfParts>
  <Company>jamesbroom.com</Company>
  <LinksUpToDate>false</LinksUpToDate>
  <CharactersWithSpaces>153988</CharactersWithSpaces>
  <SharedDoc>false</SharedDoc>
  <HLinks>
    <vt:vector size="300" baseType="variant">
      <vt:variant>
        <vt:i4>1114137</vt:i4>
      </vt:variant>
      <vt:variant>
        <vt:i4>213</vt:i4>
      </vt:variant>
      <vt:variant>
        <vt:i4>0</vt:i4>
      </vt:variant>
      <vt:variant>
        <vt:i4>5</vt:i4>
      </vt:variant>
      <vt:variant>
        <vt:lpwstr>https://www.ifc.org/en/stories/2023/rising-to-challenge-of-affordable-climate-housing-in-asia-pacific</vt:lpwstr>
      </vt:variant>
      <vt:variant>
        <vt:lpwstr/>
      </vt:variant>
      <vt:variant>
        <vt:i4>3670051</vt:i4>
      </vt:variant>
      <vt:variant>
        <vt:i4>210</vt:i4>
      </vt:variant>
      <vt:variant>
        <vt:i4>0</vt:i4>
      </vt:variant>
      <vt:variant>
        <vt:i4>5</vt:i4>
      </vt:variant>
      <vt:variant>
        <vt:lpwstr>https://www.ifc.org/en/stories/2023/future-of-fiji-tourism</vt:lpwstr>
      </vt:variant>
      <vt:variant>
        <vt:lpwstr/>
      </vt:variant>
      <vt:variant>
        <vt:i4>6357088</vt:i4>
      </vt:variant>
      <vt:variant>
        <vt:i4>207</vt:i4>
      </vt:variant>
      <vt:variant>
        <vt:i4>0</vt:i4>
      </vt:variant>
      <vt:variant>
        <vt:i4>5</vt:i4>
      </vt:variant>
      <vt:variant>
        <vt:lpwstr>https://nam11.safelinks.protection.outlook.com/?url=https%3A%2F%2Fwww.fijitimes.com.fj%2Fa-strong-corporate-bond-market-the-key-to-greater-economic-prosperity-for-all-fijians%2F&amp;data=05%7C02%7Cfoneill1%40ifc.org%7C2537d46c470f41f4331908dd770d84b9%7C31a2fec0266b4c67b56e2796d8f59c36%7C0%7C0%7C638797622319135352%7CUnknown%7CTWFpbGZsb3d8eyJFbXB0eU1hcGkiOnRydWUsIlYiOiIwLjAuMDAwMCIsIlAiOiJXaW4zMiIsIkFOIjoiTWFpbCIsIldUIjoyfQ%3D%3D%7C0%7C%7C%7C&amp;sdata=GEpDNT4d1%2Bs1TrNlCk10eYsCIVaTyVS0n1MJMKMsY4I%3D&amp;reserved=0</vt:lpwstr>
      </vt:variant>
      <vt:variant>
        <vt:lpwstr/>
      </vt:variant>
      <vt:variant>
        <vt:i4>6422561</vt:i4>
      </vt:variant>
      <vt:variant>
        <vt:i4>204</vt:i4>
      </vt:variant>
      <vt:variant>
        <vt:i4>0</vt:i4>
      </vt:variant>
      <vt:variant>
        <vt:i4>5</vt:i4>
      </vt:variant>
      <vt:variant>
        <vt:lpwstr>https://www.ifc.org/en/stories/2025/in-fiji-a-pivot-to-e-payments-is-strengthening-the-economy</vt:lpwstr>
      </vt:variant>
      <vt:variant>
        <vt:lpwstr/>
      </vt:variant>
      <vt:variant>
        <vt:i4>7602289</vt:i4>
      </vt:variant>
      <vt:variant>
        <vt:i4>201</vt:i4>
      </vt:variant>
      <vt:variant>
        <vt:i4>0</vt:i4>
      </vt:variant>
      <vt:variant>
        <vt:i4>5</vt:i4>
      </vt:variant>
      <vt:variant>
        <vt:lpwstr>https://nam11.safelinks.protection.outlook.com/?url=https%3A%2F%2Fwww.facebook.com%2Fwatch%2F%3Fv%3D1632645937315536&amp;data=05%7C02%7Cfoneill1%40ifc.org%7C2537d46c470f41f4331908dd770d84b9%7C31a2fec0266b4c67b56e2796d8f59c36%7C0%7C0%7C638797622319120872%7CUnknown%7CTWFpbGZsb3d8eyJFbXB0eU1hcGkiOnRydWUsIlYiOiIwLjAuMDAwMCIsIlAiOiJXaW4zMiIsIkFOIjoiTWFpbCIsIldUIjoyfQ%3D%3D%7C0%7C%7C%7C&amp;sdata=f%2BIbcxxVFPlQlP7Zo64959MAbeqQy308iarXwa8hMOA%3D&amp;reserved=0</vt:lpwstr>
      </vt:variant>
      <vt:variant>
        <vt:lpwstr/>
      </vt:variant>
      <vt:variant>
        <vt:i4>7405680</vt:i4>
      </vt:variant>
      <vt:variant>
        <vt:i4>198</vt:i4>
      </vt:variant>
      <vt:variant>
        <vt:i4>0</vt:i4>
      </vt:variant>
      <vt:variant>
        <vt:i4>5</vt:i4>
      </vt:variant>
      <vt:variant>
        <vt:lpwstr>https://nam11.safelinks.protection.outlook.com/?url=https%3A%2F%2Fwww.facebook.com%2Fwatch%2F%3Fv%3D8054206204682974&amp;data=05%7C02%7Cfoneill1%40ifc.org%7C2537d46c470f41f4331908dd770d84b9%7C31a2fec0266b4c67b56e2796d8f59c36%7C0%7C0%7C638797622319098409%7CUnknown%7CTWFpbGZsb3d8eyJFbXB0eU1hcGkiOnRydWUsIlYiOiIwLjAuMDAwMCIsIlAiOiJXaW4zMiIsIkFOIjoiTWFpbCIsIldUIjoyfQ%3D%3D%7C0%7C%7C%7C&amp;sdata=G6TWuOYhUYlmL0gWB%2BSg%2BWieZ89tiPoNynkjE1pKxRE%3D&amp;reserved=0</vt:lpwstr>
      </vt:variant>
      <vt:variant>
        <vt:lpwstr/>
      </vt:variant>
      <vt:variant>
        <vt:i4>7929906</vt:i4>
      </vt:variant>
      <vt:variant>
        <vt:i4>195</vt:i4>
      </vt:variant>
      <vt:variant>
        <vt:i4>0</vt:i4>
      </vt:variant>
      <vt:variant>
        <vt:i4>5</vt:i4>
      </vt:variant>
      <vt:variant>
        <vt:lpwstr>https://x-msg//4/-</vt:lpwstr>
      </vt:variant>
      <vt:variant>
        <vt:lpwstr/>
      </vt:variant>
      <vt:variant>
        <vt:i4>7798908</vt:i4>
      </vt:variant>
      <vt:variant>
        <vt:i4>192</vt:i4>
      </vt:variant>
      <vt:variant>
        <vt:i4>0</vt:i4>
      </vt:variant>
      <vt:variant>
        <vt:i4>5</vt:i4>
      </vt:variant>
      <vt:variant>
        <vt:lpwstr>https://www.ifc.org/en/pressroom/2024/fcef-and-ifc-partner-on-esg-program-in-fiji-to-boost-business-performance-economic-growth</vt:lpwstr>
      </vt:variant>
      <vt:variant>
        <vt:lpwstr>:~:text=Under%20an%20agreement%2C%20the%20Fiji,practices%20to%20Fiji's%20private%20sector</vt:lpwstr>
      </vt:variant>
      <vt:variant>
        <vt:i4>4259863</vt:i4>
      </vt:variant>
      <vt:variant>
        <vt:i4>189</vt:i4>
      </vt:variant>
      <vt:variant>
        <vt:i4>0</vt:i4>
      </vt:variant>
      <vt:variant>
        <vt:i4>5</vt:i4>
      </vt:variant>
      <vt:variant>
        <vt:lpwstr>https://www.ifc.org/en/pressroom/2024/ifc-and-the-spx-launch-esg-program-in-fiji-to-boost-sustainable-growth-spur-investment</vt:lpwstr>
      </vt:variant>
      <vt:variant>
        <vt:lpwstr/>
      </vt:variant>
      <vt:variant>
        <vt:i4>6619179</vt:i4>
      </vt:variant>
      <vt:variant>
        <vt:i4>186</vt:i4>
      </vt:variant>
      <vt:variant>
        <vt:i4>0</vt:i4>
      </vt:variant>
      <vt:variant>
        <vt:i4>5</vt:i4>
      </vt:variant>
      <vt:variant>
        <vt:lpwstr>https://www.ifc.org/en/pressroom/2023/jobs-and-growth-boost-to-flow-from-ifc-investment-in-fijis-hfc-b</vt:lpwstr>
      </vt:variant>
      <vt:variant>
        <vt:lpwstr/>
      </vt:variant>
      <vt:variant>
        <vt:i4>7340088</vt:i4>
      </vt:variant>
      <vt:variant>
        <vt:i4>183</vt:i4>
      </vt:variant>
      <vt:variant>
        <vt:i4>0</vt:i4>
      </vt:variant>
      <vt:variant>
        <vt:i4>5</vt:i4>
      </vt:variant>
      <vt:variant>
        <vt:lpwstr>https://www.ifc.org/en/pressroom/2023/ifc-and-reserve-bank-of-fiji-partner-to-develop-green-finance-taxonomy-boost-climate-friendly-investments-and-sustainable-growth</vt:lpwstr>
      </vt:variant>
      <vt:variant>
        <vt:lpwstr/>
      </vt:variant>
      <vt:variant>
        <vt:i4>7733311</vt:i4>
      </vt:variant>
      <vt:variant>
        <vt:i4>180</vt:i4>
      </vt:variant>
      <vt:variant>
        <vt:i4>0</vt:i4>
      </vt:variant>
      <vt:variant>
        <vt:i4>5</vt:i4>
      </vt:variant>
      <vt:variant>
        <vt:lpwstr>https://www.ifc.org/en/pressroom/2023/fiji-s-cabinet-backs-recommendations-to-support-improved-childca</vt:lpwstr>
      </vt:variant>
      <vt:variant>
        <vt:lpwstr/>
      </vt:variant>
      <vt:variant>
        <vt:i4>1048648</vt:i4>
      </vt:variant>
      <vt:variant>
        <vt:i4>177</vt:i4>
      </vt:variant>
      <vt:variant>
        <vt:i4>0</vt:i4>
      </vt:variant>
      <vt:variant>
        <vt:i4>5</vt:i4>
      </vt:variant>
      <vt:variant>
        <vt:lpwstr>https://www.ifc.org/en/pressroom/2022/fiji-marks-breakthrough-with-first-wholesale-corporate-bond-off</vt:lpwstr>
      </vt:variant>
      <vt:variant>
        <vt:lpwstr/>
      </vt:variant>
      <vt:variant>
        <vt:i4>7733305</vt:i4>
      </vt:variant>
      <vt:variant>
        <vt:i4>174</vt:i4>
      </vt:variant>
      <vt:variant>
        <vt:i4>0</vt:i4>
      </vt:variant>
      <vt:variant>
        <vt:i4>5</vt:i4>
      </vt:variant>
      <vt:variant>
        <vt:lpwstr>https://www.ifc.org/en/pressroom/2022/27293</vt:lpwstr>
      </vt:variant>
      <vt:variant>
        <vt:lpwstr/>
      </vt:variant>
      <vt:variant>
        <vt:i4>6488170</vt:i4>
      </vt:variant>
      <vt:variant>
        <vt:i4>171</vt:i4>
      </vt:variant>
      <vt:variant>
        <vt:i4>0</vt:i4>
      </vt:variant>
      <vt:variant>
        <vt:i4>5</vt:i4>
      </vt:variant>
      <vt:variant>
        <vt:lpwstr>https://www.ifc.org/en/pressroom/2022/fijians-to-benefit-from-reforms-making-banking-safer-more-reliable-and-efficient</vt:lpwstr>
      </vt:variant>
      <vt:variant>
        <vt:lpwstr/>
      </vt:variant>
      <vt:variant>
        <vt:i4>65553</vt:i4>
      </vt:variant>
      <vt:variant>
        <vt:i4>168</vt:i4>
      </vt:variant>
      <vt:variant>
        <vt:i4>0</vt:i4>
      </vt:variant>
      <vt:variant>
        <vt:i4>5</vt:i4>
      </vt:variant>
      <vt:variant>
        <vt:lpwstr>https://www.ifc.org/en/pressroom/2022/investment-fiji-shifts-focus-to-attract-investors-and-drive-exports-after-ifc-technical-assistance</vt:lpwstr>
      </vt:variant>
      <vt:variant>
        <vt:lpwstr/>
      </vt:variant>
      <vt:variant>
        <vt:i4>4325469</vt:i4>
      </vt:variant>
      <vt:variant>
        <vt:i4>165</vt:i4>
      </vt:variant>
      <vt:variant>
        <vt:i4>0</vt:i4>
      </vt:variant>
      <vt:variant>
        <vt:i4>5</vt:i4>
      </vt:variant>
      <vt:variant>
        <vt:lpwstr>https://documents1.worldbank.org/curated/en/816041567693920053/pdf/The-Business-Case-for-Workplace-Responses-to-Domestic-and-Sexual-Violence-in-Fiji.pdf</vt:lpwstr>
      </vt:variant>
      <vt:variant>
        <vt:lpwstr/>
      </vt:variant>
      <vt:variant>
        <vt:i4>655373</vt:i4>
      </vt:variant>
      <vt:variant>
        <vt:i4>162</vt:i4>
      </vt:variant>
      <vt:variant>
        <vt:i4>0</vt:i4>
      </vt:variant>
      <vt:variant>
        <vt:i4>5</vt:i4>
      </vt:variant>
      <vt:variant>
        <vt:lpwstr>https://www.ifc.org/content/dam/ifc/doc/mgrt/fiji-tackling-childcare.pdf</vt:lpwstr>
      </vt:variant>
      <vt:variant>
        <vt:lpwstr/>
      </vt:variant>
      <vt:variant>
        <vt:i4>1507387</vt:i4>
      </vt:variant>
      <vt:variant>
        <vt:i4>155</vt:i4>
      </vt:variant>
      <vt:variant>
        <vt:i4>0</vt:i4>
      </vt:variant>
      <vt:variant>
        <vt:i4>5</vt:i4>
      </vt:variant>
      <vt:variant>
        <vt:lpwstr/>
      </vt:variant>
      <vt:variant>
        <vt:lpwstr>_Toc206675833</vt:lpwstr>
      </vt:variant>
      <vt:variant>
        <vt:i4>1507387</vt:i4>
      </vt:variant>
      <vt:variant>
        <vt:i4>149</vt:i4>
      </vt:variant>
      <vt:variant>
        <vt:i4>0</vt:i4>
      </vt:variant>
      <vt:variant>
        <vt:i4>5</vt:i4>
      </vt:variant>
      <vt:variant>
        <vt:lpwstr/>
      </vt:variant>
      <vt:variant>
        <vt:lpwstr>_Toc206675832</vt:lpwstr>
      </vt:variant>
      <vt:variant>
        <vt:i4>1507387</vt:i4>
      </vt:variant>
      <vt:variant>
        <vt:i4>143</vt:i4>
      </vt:variant>
      <vt:variant>
        <vt:i4>0</vt:i4>
      </vt:variant>
      <vt:variant>
        <vt:i4>5</vt:i4>
      </vt:variant>
      <vt:variant>
        <vt:lpwstr/>
      </vt:variant>
      <vt:variant>
        <vt:lpwstr>_Toc206675831</vt:lpwstr>
      </vt:variant>
      <vt:variant>
        <vt:i4>1507387</vt:i4>
      </vt:variant>
      <vt:variant>
        <vt:i4>137</vt:i4>
      </vt:variant>
      <vt:variant>
        <vt:i4>0</vt:i4>
      </vt:variant>
      <vt:variant>
        <vt:i4>5</vt:i4>
      </vt:variant>
      <vt:variant>
        <vt:lpwstr/>
      </vt:variant>
      <vt:variant>
        <vt:lpwstr>_Toc206675830</vt:lpwstr>
      </vt:variant>
      <vt:variant>
        <vt:i4>1441851</vt:i4>
      </vt:variant>
      <vt:variant>
        <vt:i4>131</vt:i4>
      </vt:variant>
      <vt:variant>
        <vt:i4>0</vt:i4>
      </vt:variant>
      <vt:variant>
        <vt:i4>5</vt:i4>
      </vt:variant>
      <vt:variant>
        <vt:lpwstr/>
      </vt:variant>
      <vt:variant>
        <vt:lpwstr>_Toc206675829</vt:lpwstr>
      </vt:variant>
      <vt:variant>
        <vt:i4>1441851</vt:i4>
      </vt:variant>
      <vt:variant>
        <vt:i4>125</vt:i4>
      </vt:variant>
      <vt:variant>
        <vt:i4>0</vt:i4>
      </vt:variant>
      <vt:variant>
        <vt:i4>5</vt:i4>
      </vt:variant>
      <vt:variant>
        <vt:lpwstr/>
      </vt:variant>
      <vt:variant>
        <vt:lpwstr>_Toc206675828</vt:lpwstr>
      </vt:variant>
      <vt:variant>
        <vt:i4>1441851</vt:i4>
      </vt:variant>
      <vt:variant>
        <vt:i4>119</vt:i4>
      </vt:variant>
      <vt:variant>
        <vt:i4>0</vt:i4>
      </vt:variant>
      <vt:variant>
        <vt:i4>5</vt:i4>
      </vt:variant>
      <vt:variant>
        <vt:lpwstr/>
      </vt:variant>
      <vt:variant>
        <vt:lpwstr>_Toc206675827</vt:lpwstr>
      </vt:variant>
      <vt:variant>
        <vt:i4>1441851</vt:i4>
      </vt:variant>
      <vt:variant>
        <vt:i4>113</vt:i4>
      </vt:variant>
      <vt:variant>
        <vt:i4>0</vt:i4>
      </vt:variant>
      <vt:variant>
        <vt:i4>5</vt:i4>
      </vt:variant>
      <vt:variant>
        <vt:lpwstr/>
      </vt:variant>
      <vt:variant>
        <vt:lpwstr>_Toc206675826</vt:lpwstr>
      </vt:variant>
      <vt:variant>
        <vt:i4>1441851</vt:i4>
      </vt:variant>
      <vt:variant>
        <vt:i4>107</vt:i4>
      </vt:variant>
      <vt:variant>
        <vt:i4>0</vt:i4>
      </vt:variant>
      <vt:variant>
        <vt:i4>5</vt:i4>
      </vt:variant>
      <vt:variant>
        <vt:lpwstr/>
      </vt:variant>
      <vt:variant>
        <vt:lpwstr>_Toc206675825</vt:lpwstr>
      </vt:variant>
      <vt:variant>
        <vt:i4>1441851</vt:i4>
      </vt:variant>
      <vt:variant>
        <vt:i4>101</vt:i4>
      </vt:variant>
      <vt:variant>
        <vt:i4>0</vt:i4>
      </vt:variant>
      <vt:variant>
        <vt:i4>5</vt:i4>
      </vt:variant>
      <vt:variant>
        <vt:lpwstr/>
      </vt:variant>
      <vt:variant>
        <vt:lpwstr>_Toc206675824</vt:lpwstr>
      </vt:variant>
      <vt:variant>
        <vt:i4>1441851</vt:i4>
      </vt:variant>
      <vt:variant>
        <vt:i4>95</vt:i4>
      </vt:variant>
      <vt:variant>
        <vt:i4>0</vt:i4>
      </vt:variant>
      <vt:variant>
        <vt:i4>5</vt:i4>
      </vt:variant>
      <vt:variant>
        <vt:lpwstr/>
      </vt:variant>
      <vt:variant>
        <vt:lpwstr>_Toc206675823</vt:lpwstr>
      </vt:variant>
      <vt:variant>
        <vt:i4>1441851</vt:i4>
      </vt:variant>
      <vt:variant>
        <vt:i4>89</vt:i4>
      </vt:variant>
      <vt:variant>
        <vt:i4>0</vt:i4>
      </vt:variant>
      <vt:variant>
        <vt:i4>5</vt:i4>
      </vt:variant>
      <vt:variant>
        <vt:lpwstr/>
      </vt:variant>
      <vt:variant>
        <vt:lpwstr>_Toc206675822</vt:lpwstr>
      </vt:variant>
      <vt:variant>
        <vt:i4>1441851</vt:i4>
      </vt:variant>
      <vt:variant>
        <vt:i4>83</vt:i4>
      </vt:variant>
      <vt:variant>
        <vt:i4>0</vt:i4>
      </vt:variant>
      <vt:variant>
        <vt:i4>5</vt:i4>
      </vt:variant>
      <vt:variant>
        <vt:lpwstr/>
      </vt:variant>
      <vt:variant>
        <vt:lpwstr>_Toc206675821</vt:lpwstr>
      </vt:variant>
      <vt:variant>
        <vt:i4>1441851</vt:i4>
      </vt:variant>
      <vt:variant>
        <vt:i4>77</vt:i4>
      </vt:variant>
      <vt:variant>
        <vt:i4>0</vt:i4>
      </vt:variant>
      <vt:variant>
        <vt:i4>5</vt:i4>
      </vt:variant>
      <vt:variant>
        <vt:lpwstr/>
      </vt:variant>
      <vt:variant>
        <vt:lpwstr>_Toc206675820</vt:lpwstr>
      </vt:variant>
      <vt:variant>
        <vt:i4>1376315</vt:i4>
      </vt:variant>
      <vt:variant>
        <vt:i4>71</vt:i4>
      </vt:variant>
      <vt:variant>
        <vt:i4>0</vt:i4>
      </vt:variant>
      <vt:variant>
        <vt:i4>5</vt:i4>
      </vt:variant>
      <vt:variant>
        <vt:lpwstr/>
      </vt:variant>
      <vt:variant>
        <vt:lpwstr>_Toc206675819</vt:lpwstr>
      </vt:variant>
      <vt:variant>
        <vt:i4>1376315</vt:i4>
      </vt:variant>
      <vt:variant>
        <vt:i4>65</vt:i4>
      </vt:variant>
      <vt:variant>
        <vt:i4>0</vt:i4>
      </vt:variant>
      <vt:variant>
        <vt:i4>5</vt:i4>
      </vt:variant>
      <vt:variant>
        <vt:lpwstr/>
      </vt:variant>
      <vt:variant>
        <vt:lpwstr>_Toc206675818</vt:lpwstr>
      </vt:variant>
      <vt:variant>
        <vt:i4>1376315</vt:i4>
      </vt:variant>
      <vt:variant>
        <vt:i4>59</vt:i4>
      </vt:variant>
      <vt:variant>
        <vt:i4>0</vt:i4>
      </vt:variant>
      <vt:variant>
        <vt:i4>5</vt:i4>
      </vt:variant>
      <vt:variant>
        <vt:lpwstr/>
      </vt:variant>
      <vt:variant>
        <vt:lpwstr>_Toc206675817</vt:lpwstr>
      </vt:variant>
      <vt:variant>
        <vt:i4>1376315</vt:i4>
      </vt:variant>
      <vt:variant>
        <vt:i4>53</vt:i4>
      </vt:variant>
      <vt:variant>
        <vt:i4>0</vt:i4>
      </vt:variant>
      <vt:variant>
        <vt:i4>5</vt:i4>
      </vt:variant>
      <vt:variant>
        <vt:lpwstr/>
      </vt:variant>
      <vt:variant>
        <vt:lpwstr>_Toc206675816</vt:lpwstr>
      </vt:variant>
      <vt:variant>
        <vt:i4>1376315</vt:i4>
      </vt:variant>
      <vt:variant>
        <vt:i4>47</vt:i4>
      </vt:variant>
      <vt:variant>
        <vt:i4>0</vt:i4>
      </vt:variant>
      <vt:variant>
        <vt:i4>5</vt:i4>
      </vt:variant>
      <vt:variant>
        <vt:lpwstr/>
      </vt:variant>
      <vt:variant>
        <vt:lpwstr>_Toc206675815</vt:lpwstr>
      </vt:variant>
      <vt:variant>
        <vt:i4>1376315</vt:i4>
      </vt:variant>
      <vt:variant>
        <vt:i4>41</vt:i4>
      </vt:variant>
      <vt:variant>
        <vt:i4>0</vt:i4>
      </vt:variant>
      <vt:variant>
        <vt:i4>5</vt:i4>
      </vt:variant>
      <vt:variant>
        <vt:lpwstr/>
      </vt:variant>
      <vt:variant>
        <vt:lpwstr>_Toc206675814</vt:lpwstr>
      </vt:variant>
      <vt:variant>
        <vt:i4>1376315</vt:i4>
      </vt:variant>
      <vt:variant>
        <vt:i4>35</vt:i4>
      </vt:variant>
      <vt:variant>
        <vt:i4>0</vt:i4>
      </vt:variant>
      <vt:variant>
        <vt:i4>5</vt:i4>
      </vt:variant>
      <vt:variant>
        <vt:lpwstr/>
      </vt:variant>
      <vt:variant>
        <vt:lpwstr>_Toc206675813</vt:lpwstr>
      </vt:variant>
      <vt:variant>
        <vt:i4>1376315</vt:i4>
      </vt:variant>
      <vt:variant>
        <vt:i4>29</vt:i4>
      </vt:variant>
      <vt:variant>
        <vt:i4>0</vt:i4>
      </vt:variant>
      <vt:variant>
        <vt:i4>5</vt:i4>
      </vt:variant>
      <vt:variant>
        <vt:lpwstr/>
      </vt:variant>
      <vt:variant>
        <vt:lpwstr>_Toc206675812</vt:lpwstr>
      </vt:variant>
      <vt:variant>
        <vt:i4>1376315</vt:i4>
      </vt:variant>
      <vt:variant>
        <vt:i4>23</vt:i4>
      </vt:variant>
      <vt:variant>
        <vt:i4>0</vt:i4>
      </vt:variant>
      <vt:variant>
        <vt:i4>5</vt:i4>
      </vt:variant>
      <vt:variant>
        <vt:lpwstr/>
      </vt:variant>
      <vt:variant>
        <vt:lpwstr>_Toc206675811</vt:lpwstr>
      </vt:variant>
      <vt:variant>
        <vt:i4>1376315</vt:i4>
      </vt:variant>
      <vt:variant>
        <vt:i4>17</vt:i4>
      </vt:variant>
      <vt:variant>
        <vt:i4>0</vt:i4>
      </vt:variant>
      <vt:variant>
        <vt:i4>5</vt:i4>
      </vt:variant>
      <vt:variant>
        <vt:lpwstr/>
      </vt:variant>
      <vt:variant>
        <vt:lpwstr>_Toc206675810</vt:lpwstr>
      </vt:variant>
      <vt:variant>
        <vt:i4>1310779</vt:i4>
      </vt:variant>
      <vt:variant>
        <vt:i4>11</vt:i4>
      </vt:variant>
      <vt:variant>
        <vt:i4>0</vt:i4>
      </vt:variant>
      <vt:variant>
        <vt:i4>5</vt:i4>
      </vt:variant>
      <vt:variant>
        <vt:lpwstr/>
      </vt:variant>
      <vt:variant>
        <vt:lpwstr>_Toc206675809</vt:lpwstr>
      </vt:variant>
      <vt:variant>
        <vt:i4>1310779</vt:i4>
      </vt:variant>
      <vt:variant>
        <vt:i4>5</vt:i4>
      </vt:variant>
      <vt:variant>
        <vt:i4>0</vt:i4>
      </vt:variant>
      <vt:variant>
        <vt:i4>5</vt:i4>
      </vt:variant>
      <vt:variant>
        <vt:lpwstr/>
      </vt:variant>
      <vt:variant>
        <vt:lpwstr>_Toc206675808</vt:lpwstr>
      </vt:variant>
      <vt:variant>
        <vt:i4>7208976</vt:i4>
      </vt:variant>
      <vt:variant>
        <vt:i4>0</vt:i4>
      </vt:variant>
      <vt:variant>
        <vt:i4>0</vt:i4>
      </vt:variant>
      <vt:variant>
        <vt:i4>5</vt:i4>
      </vt:variant>
      <vt:variant>
        <vt:lpwstr>mailto:morrissey@iimetro.com.au</vt:lpwstr>
      </vt:variant>
      <vt:variant>
        <vt:lpwstr/>
      </vt:variant>
      <vt:variant>
        <vt:i4>196703</vt:i4>
      </vt:variant>
      <vt:variant>
        <vt:i4>12</vt:i4>
      </vt:variant>
      <vt:variant>
        <vt:i4>0</vt:i4>
      </vt:variant>
      <vt:variant>
        <vt:i4>5</vt:i4>
      </vt:variant>
      <vt:variant>
        <vt:lpwstr>http://www.research-methodology.net/</vt:lpwstr>
      </vt:variant>
      <vt:variant>
        <vt:lpwstr/>
      </vt:variant>
      <vt:variant>
        <vt:i4>3604588</vt:i4>
      </vt:variant>
      <vt:variant>
        <vt:i4>9</vt:i4>
      </vt:variant>
      <vt:variant>
        <vt:i4>0</vt:i4>
      </vt:variant>
      <vt:variant>
        <vt:i4>5</vt:i4>
      </vt:variant>
      <vt:variant>
        <vt:lpwstr>https://research-methodology.net/sampling/non-probability-sampling/</vt:lpwstr>
      </vt:variant>
      <vt:variant>
        <vt:lpwstr/>
      </vt:variant>
      <vt:variant>
        <vt:i4>7340135</vt:i4>
      </vt:variant>
      <vt:variant>
        <vt:i4>6</vt:i4>
      </vt:variant>
      <vt:variant>
        <vt:i4>0</vt:i4>
      </vt:variant>
      <vt:variant>
        <vt:i4>5</vt:i4>
      </vt:variant>
      <vt:variant>
        <vt:lpwstr>https://www.oecd.org/dac/evaluation/daccriteriaforevaluatingdevelopmentassistance.htm</vt:lpwstr>
      </vt:variant>
      <vt:variant>
        <vt:lpwstr>relevance-block</vt:lpwstr>
      </vt:variant>
      <vt:variant>
        <vt:i4>2293797</vt:i4>
      </vt:variant>
      <vt:variant>
        <vt:i4>3</vt:i4>
      </vt:variant>
      <vt:variant>
        <vt:i4>0</vt:i4>
      </vt:variant>
      <vt:variant>
        <vt:i4>5</vt:i4>
      </vt:variant>
      <vt:variant>
        <vt:lpwstr>https://www.oecd-ilibrary.org/sites/543e84ed-en/1/3/4/index.html?itemId=/content/publication/543e84ed-en&amp;_csp_=535d2f2a848b7727d35502d7f36e4885&amp;itemIGO=oecd&amp;itemContentType=book</vt:lpwstr>
      </vt:variant>
      <vt:variant>
        <vt:lpwstr>section-d1e3790</vt:lpwstr>
      </vt:variant>
      <vt:variant>
        <vt:i4>7340135</vt:i4>
      </vt:variant>
      <vt:variant>
        <vt:i4>0</vt:i4>
      </vt:variant>
      <vt:variant>
        <vt:i4>0</vt:i4>
      </vt:variant>
      <vt:variant>
        <vt:i4>5</vt:i4>
      </vt:variant>
      <vt:variant>
        <vt:lpwstr>https://www.oecd.org/dac/evaluation/daccriteriaforevaluatingdevelopmentassistance.htm</vt:lpwstr>
      </vt:variant>
      <vt:variant>
        <vt:lpwstr>relevance-block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Fiji Private Sector Development Partnership (FPSDP)</dc:title>
  <dc:subject/>
  <dc:creator>Emily Wilson</dc:creator>
  <cp:keywords>[SEC=OFFICIAL]</cp:keywords>
  <dc:description>DFAT-Ready Report Template as Prepared by James Broom, 2025</dc:description>
  <cp:lastModifiedBy>Swaran Lata</cp:lastModifiedBy>
  <cp:revision>26</cp:revision>
  <cp:lastPrinted>2026-02-06T03:10:00Z</cp:lastPrinted>
  <dcterms:created xsi:type="dcterms:W3CDTF">2026-02-06T02:10:00Z</dcterms:created>
  <dcterms:modified xsi:type="dcterms:W3CDTF">2026-02-06T03:10:00Z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0x010100A30371A4F72E9243A8B6031922232895</vt:lpwstr>
  </property>
  <property fmtid="{D5CDD505-2E9C-101B-9397-08002B2CF9AE}" pid="3" name="fbe16eaccf4749f086104f7c67297f76">
    <vt:lpwstr>World Bank|bc205cc9-8a56-48a3-9f30-b099e7707c1b</vt:lpwstr>
  </property>
  <property fmtid="{D5CDD505-2E9C-101B-9397-08002B2CF9AE}" pid="4" name="TaxKeyword">
    <vt:lpwstr/>
  </property>
  <property fmtid="{D5CDD505-2E9C-101B-9397-08002B2CF9AE}" pid="5" name="hbe71f8dfd024405860d37e862f27a82">
    <vt:lpwstr/>
  </property>
  <property fmtid="{D5CDD505-2E9C-101B-9397-08002B2CF9AE}" pid="6" name="WBDocs_Country">
    <vt:lpwstr/>
  </property>
  <property fmtid="{D5CDD505-2E9C-101B-9397-08002B2CF9AE}" pid="7" name="WBDocs_Local_Document_Type">
    <vt:lpwstr/>
  </property>
  <property fmtid="{D5CDD505-2E9C-101B-9397-08002B2CF9AE}" pid="8" name="MediaServiceImageTags">
    <vt:lpwstr/>
  </property>
  <property fmtid="{D5CDD505-2E9C-101B-9397-08002B2CF9AE}" pid="9" name="m23003d518f743f49dcbc82909afe93a">
    <vt:lpwstr/>
  </property>
  <property fmtid="{D5CDD505-2E9C-101B-9397-08002B2CF9AE}" pid="10" name="d744a75525f04a8c9e54f4ed11bfe7c0">
    <vt:lpwstr/>
  </property>
  <property fmtid="{D5CDD505-2E9C-101B-9397-08002B2CF9AE}" pid="11" name="WBDocs_Topic">
    <vt:lpwstr/>
  </property>
  <property fmtid="{D5CDD505-2E9C-101B-9397-08002B2CF9AE}" pid="12" name="TaxKeywordTaxHTField">
    <vt:lpwstr/>
  </property>
  <property fmtid="{D5CDD505-2E9C-101B-9397-08002B2CF9AE}" pid="13" name="WBDocs_Category">
    <vt:lpwstr/>
  </property>
  <property fmtid="{D5CDD505-2E9C-101B-9397-08002B2CF9AE}" pid="14" name="WBDocs_Language">
    <vt:lpwstr/>
  </property>
  <property fmtid="{D5CDD505-2E9C-101B-9397-08002B2CF9AE}" pid="15" name="n51c50147e554be9a5479ee6e2785bf7">
    <vt:lpwstr/>
  </property>
  <property fmtid="{D5CDD505-2E9C-101B-9397-08002B2CF9AE}" pid="16" name="pf1bc08d06b541998378c6b8090400d8">
    <vt:lpwstr/>
  </property>
  <property fmtid="{D5CDD505-2E9C-101B-9397-08002B2CF9AE}" pid="17" name="WBDocs_Business_Function">
    <vt:lpwstr/>
  </property>
  <property fmtid="{D5CDD505-2E9C-101B-9397-08002B2CF9AE}" pid="18" name="lcf76f155ced4ddcb4097134ff3c332f">
    <vt:lpwstr/>
  </property>
  <property fmtid="{D5CDD505-2E9C-101B-9397-08002B2CF9AE}" pid="19" name="WBDocs_Originating_Unit">
    <vt:lpwstr/>
  </property>
  <property fmtid="{D5CDD505-2E9C-101B-9397-08002B2CF9AE}" pid="20" name="Organization">
    <vt:lpwstr>3;#World Bank|bc205cc9-8a56-48a3-9f30-b099e7707c1b</vt:lpwstr>
  </property>
  <property fmtid="{D5CDD505-2E9C-101B-9397-08002B2CF9AE}" pid="21" name="PM_Namespace">
    <vt:lpwstr>gov.au</vt:lpwstr>
  </property>
  <property fmtid="{D5CDD505-2E9C-101B-9397-08002B2CF9AE}" pid="22" name="PM_Caveats_Count">
    <vt:lpwstr>0</vt:lpwstr>
  </property>
  <property fmtid="{D5CDD505-2E9C-101B-9397-08002B2CF9AE}" pid="23" name="PM_Version">
    <vt:lpwstr>2018.4</vt:lpwstr>
  </property>
  <property fmtid="{D5CDD505-2E9C-101B-9397-08002B2CF9AE}" pid="24" name="PM_Note">
    <vt:lpwstr/>
  </property>
  <property fmtid="{D5CDD505-2E9C-101B-9397-08002B2CF9AE}" pid="25" name="PMHMAC">
    <vt:lpwstr>v=2022.1;a=SHA256;h=B0FDE6A10738380062875D6041802F8D03EF707C955423F5F02E0851C37F1E9F</vt:lpwstr>
  </property>
  <property fmtid="{D5CDD505-2E9C-101B-9397-08002B2CF9AE}" pid="26" name="PM_Qualifier">
    <vt:lpwstr/>
  </property>
  <property fmtid="{D5CDD505-2E9C-101B-9397-08002B2CF9AE}" pid="27" name="PM_SecurityClassification">
    <vt:lpwstr>OFFICIAL</vt:lpwstr>
  </property>
  <property fmtid="{D5CDD505-2E9C-101B-9397-08002B2CF9AE}" pid="28" name="PM_ProtectiveMarkingValue_Header">
    <vt:lpwstr>OFFICIAL</vt:lpwstr>
  </property>
  <property fmtid="{D5CDD505-2E9C-101B-9397-08002B2CF9AE}" pid="29" name="PM_OriginationTimeStamp">
    <vt:lpwstr>2025-05-27T22:04:49Z</vt:lpwstr>
  </property>
  <property fmtid="{D5CDD505-2E9C-101B-9397-08002B2CF9AE}" pid="30" name="PM_Markers">
    <vt:lpwstr/>
  </property>
  <property fmtid="{D5CDD505-2E9C-101B-9397-08002B2CF9AE}" pid="31" name="PM_InsertionValue">
    <vt:lpwstr>OFFICIAL</vt:lpwstr>
  </property>
  <property fmtid="{D5CDD505-2E9C-101B-9397-08002B2CF9AE}" pid="32" name="PM_Originator_Hash_SHA1">
    <vt:lpwstr>910D4A50E83CCF27C2F4C61CA73EEAE96A6B21D4</vt:lpwstr>
  </property>
  <property fmtid="{D5CDD505-2E9C-101B-9397-08002B2CF9AE}" pid="33" name="PM_DisplayValueSecClassificationWithQualifier">
    <vt:lpwstr>OFFICIAL</vt:lpwstr>
  </property>
  <property fmtid="{D5CDD505-2E9C-101B-9397-08002B2CF9AE}" pid="34" name="PM_Originating_FileId">
    <vt:lpwstr>E1587D1D796C477FA09BE0A9A8FA4A8F</vt:lpwstr>
  </property>
  <property fmtid="{D5CDD505-2E9C-101B-9397-08002B2CF9AE}" pid="35" name="PM_ProtectiveMarkingValue_Footer">
    <vt:lpwstr>OFFICIAL</vt:lpwstr>
  </property>
  <property fmtid="{D5CDD505-2E9C-101B-9397-08002B2CF9AE}" pid="36" name="PM_ProtectiveMarkingImage_Header">
    <vt:lpwstr>C:\Program Files\Common Files\janusNET Shared\janusSEAL\Images\DocumentSlashBlue.png</vt:lpwstr>
  </property>
  <property fmtid="{D5CDD505-2E9C-101B-9397-08002B2CF9AE}" pid="37" name="PM_ProtectiveMarkingImage_Footer">
    <vt:lpwstr>C:\Program Files\Common Files\janusNET Shared\janusSEAL\Images\DocumentSlashBlue.png</vt:lpwstr>
  </property>
  <property fmtid="{D5CDD505-2E9C-101B-9397-08002B2CF9AE}" pid="38" name="PM_Display">
    <vt:lpwstr>OFFICIAL</vt:lpwstr>
  </property>
  <property fmtid="{D5CDD505-2E9C-101B-9397-08002B2CF9AE}" pid="39" name="PM_OriginatorUserAccountName_SHA256">
    <vt:lpwstr>F404A4C4031C7985BE42E610F29701C589F6B55A893743B78CF734B18B54F886</vt:lpwstr>
  </property>
  <property fmtid="{D5CDD505-2E9C-101B-9397-08002B2CF9AE}" pid="40" name="PM_OriginatorDomainName_SHA256">
    <vt:lpwstr>6F3591835F3B2A8A025B00B5BA6418010DA3A17C9C26EA9C049FFD28039489A2</vt:lpwstr>
  </property>
  <property fmtid="{D5CDD505-2E9C-101B-9397-08002B2CF9AE}" pid="41" name="PMUuid">
    <vt:lpwstr>v=2022.2;d=gov.au;g=46DD6D7C-8107-577B-BC6E-F348953B2E44</vt:lpwstr>
  </property>
  <property fmtid="{D5CDD505-2E9C-101B-9397-08002B2CF9AE}" pid="42" name="PM_Hash_Version">
    <vt:lpwstr>2022.1</vt:lpwstr>
  </property>
  <property fmtid="{D5CDD505-2E9C-101B-9397-08002B2CF9AE}" pid="43" name="PM_Hash_Salt_Prev">
    <vt:lpwstr>F2539BF58F642EF8459FC6110653316F</vt:lpwstr>
  </property>
  <property fmtid="{D5CDD505-2E9C-101B-9397-08002B2CF9AE}" pid="44" name="PM_Hash_Salt">
    <vt:lpwstr>D9B8AB24D432B3A2CB59441C260DA069</vt:lpwstr>
  </property>
  <property fmtid="{D5CDD505-2E9C-101B-9397-08002B2CF9AE}" pid="45" name="PM_Hash_SHA1">
    <vt:lpwstr>17E3321613067BFCF26FF1B6BFF2A3DB3A633458</vt:lpwstr>
  </property>
  <property fmtid="{D5CDD505-2E9C-101B-9397-08002B2CF9AE}" pid="46" name="PM_SecurityClassification_Prev">
    <vt:lpwstr>OFFICIAL</vt:lpwstr>
  </property>
  <property fmtid="{D5CDD505-2E9C-101B-9397-08002B2CF9AE}" pid="47" name="PM_Qualifier_Prev">
    <vt:lpwstr/>
  </property>
  <property fmtid="{D5CDD505-2E9C-101B-9397-08002B2CF9AE}" pid="48" name="ClassificationContentMarkingFooterShapeIds">
    <vt:lpwstr>4f9d7228,4100607,1e7eb90d,2029b420,15ed6a56,52ac94c,37bb9185,79f44a78,47268ef1</vt:lpwstr>
  </property>
  <property fmtid="{D5CDD505-2E9C-101B-9397-08002B2CF9AE}" pid="49" name="ClassificationContentMarkingFooterFontProps">
    <vt:lpwstr>#000000,10,Calibri</vt:lpwstr>
  </property>
  <property fmtid="{D5CDD505-2E9C-101B-9397-08002B2CF9AE}" pid="50" name="ClassificationContentMarkingFooterText">
    <vt:lpwstr>Official Use Only</vt:lpwstr>
  </property>
  <property fmtid="{D5CDD505-2E9C-101B-9397-08002B2CF9AE}" pid="51" name="MSIP_Label_f1bf45b6-5649-4236-82a3-f45024cd282e_Enabled">
    <vt:lpwstr>true</vt:lpwstr>
  </property>
  <property fmtid="{D5CDD505-2E9C-101B-9397-08002B2CF9AE}" pid="52" name="MSIP_Label_f1bf45b6-5649-4236-82a3-f45024cd282e_SetDate">
    <vt:lpwstr>2025-06-16T04:52:53Z</vt:lpwstr>
  </property>
  <property fmtid="{D5CDD505-2E9C-101B-9397-08002B2CF9AE}" pid="53" name="MSIP_Label_f1bf45b6-5649-4236-82a3-f45024cd282e_Method">
    <vt:lpwstr>Standard</vt:lpwstr>
  </property>
  <property fmtid="{D5CDD505-2E9C-101B-9397-08002B2CF9AE}" pid="54" name="MSIP_Label_f1bf45b6-5649-4236-82a3-f45024cd282e_Name">
    <vt:lpwstr>Official Use Only</vt:lpwstr>
  </property>
  <property fmtid="{D5CDD505-2E9C-101B-9397-08002B2CF9AE}" pid="55" name="MSIP_Label_f1bf45b6-5649-4236-82a3-f45024cd282e_SiteId">
    <vt:lpwstr>31a2fec0-266b-4c67-b56e-2796d8f59c36</vt:lpwstr>
  </property>
  <property fmtid="{D5CDD505-2E9C-101B-9397-08002B2CF9AE}" pid="56" name="MSIP_Label_f1bf45b6-5649-4236-82a3-f45024cd282e_ActionId">
    <vt:lpwstr>afa91006-3011-4c7b-a4d1-36aba1c609bb</vt:lpwstr>
  </property>
  <property fmtid="{D5CDD505-2E9C-101B-9397-08002B2CF9AE}" pid="57" name="MSIP_Label_f1bf45b6-5649-4236-82a3-f45024cd282e_ContentBits">
    <vt:lpwstr>2</vt:lpwstr>
  </property>
  <property fmtid="{D5CDD505-2E9C-101B-9397-08002B2CF9AE}" pid="58" name="MSIP_Label_f1bf45b6-5649-4236-82a3-f45024cd282e_Tag">
    <vt:lpwstr>10, 3, 0, 1</vt:lpwstr>
  </property>
  <property fmtid="{D5CDD505-2E9C-101B-9397-08002B2CF9AE}" pid="59" name="PM_Expires">
    <vt:lpwstr/>
  </property>
  <property fmtid="{D5CDD505-2E9C-101B-9397-08002B2CF9AE}" pid="60" name="PM_DownTo">
    <vt:lpwstr/>
  </property>
</Properties>
</file>