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DA4654B" w14:textId="77777777" w:rsidR="00F85388" w:rsidRDefault="00257AC3" w:rsidP="008E5557">
      <w:pPr>
        <w:pStyle w:val="Boxheading"/>
      </w:pPr>
      <w:r>
        <mc:AlternateContent>
          <mc:Choice Requires="wps">
            <w:drawing>
              <wp:anchor distT="0" distB="0" distL="114300" distR="114300" simplePos="0" relativeHeight="251716608" behindDoc="0" locked="0" layoutInCell="1" allowOverlap="1" wp14:anchorId="084E4453" wp14:editId="3D9FC93E">
                <wp:simplePos x="0" y="0"/>
                <wp:positionH relativeFrom="page">
                  <wp:posOffset>4400245</wp:posOffset>
                </wp:positionH>
                <wp:positionV relativeFrom="paragraph">
                  <wp:posOffset>-1335405</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978AA" w14:textId="77777777" w:rsidR="000B41AE" w:rsidRPr="00426D07" w:rsidRDefault="000B41AE"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E4453" id="_x0000_t202" coordsize="21600,21600" o:spt="202" path="m,l,21600r21600,l21600,xe">
                <v:stroke joinstyle="miter"/>
                <v:path gradientshapeok="t" o:connecttype="rect"/>
              </v:shapetype>
              <v:shape id="Text Box 1" o:spid="_x0000_s1026" type="#_x0000_t202" style="position:absolute;left:0;text-align:left;margin-left:346.5pt;margin-top:-105.15pt;width:244.5pt;height:67.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" filled="f" stroked="f" strokeweight=".5pt">
                <v:textbox>
                  <w:txbxContent>
                    <w:p w14:paraId="497978AA" w14:textId="77777777" w:rsidR="000B41AE" w:rsidRPr="00426D07" w:rsidRDefault="000B41AE"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r w:rsidR="008F285F">
        <w:drawing>
          <wp:anchor distT="0" distB="0" distL="114300" distR="114300" simplePos="0" relativeHeight="251710464" behindDoc="1" locked="0" layoutInCell="1" allowOverlap="1" wp14:anchorId="6B1DEB76" wp14:editId="75DF084C">
            <wp:simplePos x="0" y="0"/>
            <wp:positionH relativeFrom="page">
              <wp:posOffset>0</wp:posOffset>
            </wp:positionH>
            <wp:positionV relativeFrom="paragraph">
              <wp:posOffset>-1733140</wp:posOffset>
            </wp:positionV>
            <wp:extent cx="7623175" cy="1068976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ilimbaa/D/Dept of Foreign Affairs and Trade/DFA006 - Diplomatic Academy/Design/working/dfatworddocument/Borders-noimages/STRATEGICANDSPECIALISTPROGRAMS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23175" cy="106897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EE5D5" w14:textId="77777777" w:rsidR="00F85388" w:rsidRDefault="00F85388" w:rsidP="008E5557">
      <w:pPr>
        <w:rPr>
          <w:noProof/>
          <w:lang w:eastAsia="en-AU"/>
        </w:rPr>
      </w:pPr>
    </w:p>
    <w:p w14:paraId="5A53F252" w14:textId="77777777" w:rsidR="00F85388" w:rsidRDefault="00F85388" w:rsidP="008E5557">
      <w:pPr>
        <w:rPr>
          <w:noProof/>
          <w:lang w:eastAsia="en-AU"/>
        </w:rPr>
      </w:pPr>
    </w:p>
    <w:p w14:paraId="61841ABD" w14:textId="77777777" w:rsidR="00F85388" w:rsidRDefault="00F85388" w:rsidP="008E5557">
      <w:pPr>
        <w:rPr>
          <w:noProof/>
          <w:lang w:eastAsia="en-AU"/>
        </w:rPr>
      </w:pPr>
    </w:p>
    <w:p w14:paraId="2402B488" w14:textId="77777777" w:rsidR="00D7734C" w:rsidRDefault="00D7734C" w:rsidP="008E5557">
      <w:pPr>
        <w:rPr>
          <w:noProof/>
          <w:lang w:eastAsia="en-AU"/>
        </w:rPr>
      </w:pPr>
    </w:p>
    <w:p w14:paraId="16D48027" w14:textId="77777777" w:rsidR="00D7734C" w:rsidRDefault="00D7734C" w:rsidP="008E5557">
      <w:pPr>
        <w:rPr>
          <w:noProof/>
          <w:lang w:eastAsia="en-AU"/>
        </w:rPr>
      </w:pPr>
    </w:p>
    <w:p w14:paraId="71451B3A" w14:textId="77777777" w:rsidR="00D7734C" w:rsidRDefault="00D7734C" w:rsidP="008E5557">
      <w:pPr>
        <w:rPr>
          <w:noProof/>
          <w:lang w:eastAsia="en-AU"/>
        </w:rPr>
      </w:pPr>
    </w:p>
    <w:p w14:paraId="03326FB8" w14:textId="77777777" w:rsidR="00D7734C" w:rsidRDefault="00D7734C" w:rsidP="008E5557">
      <w:pPr>
        <w:rPr>
          <w:noProof/>
          <w:lang w:eastAsia="en-AU"/>
        </w:rPr>
      </w:pPr>
    </w:p>
    <w:p w14:paraId="40F48BD5" w14:textId="77777777" w:rsidR="00D7734C" w:rsidRDefault="00D7734C" w:rsidP="008E5557">
      <w:pPr>
        <w:rPr>
          <w:noProof/>
          <w:lang w:eastAsia="en-AU"/>
        </w:rPr>
      </w:pPr>
    </w:p>
    <w:p w14:paraId="00A547BF" w14:textId="77777777" w:rsidR="00E65F54" w:rsidRDefault="00E65F54" w:rsidP="008E5557">
      <w:pPr>
        <w:rPr>
          <w:noProof/>
          <w:lang w:eastAsia="en-AU"/>
        </w:rPr>
      </w:pPr>
    </w:p>
    <w:p w14:paraId="5FBE1AF0" w14:textId="77777777" w:rsidR="00E65F54" w:rsidRDefault="00E65F54" w:rsidP="008E5557">
      <w:pPr>
        <w:rPr>
          <w:noProof/>
          <w:lang w:eastAsia="en-AU"/>
        </w:rPr>
      </w:pPr>
    </w:p>
    <w:p w14:paraId="1B1C5E01" w14:textId="77777777" w:rsidR="00E65F54" w:rsidRDefault="00E65F54" w:rsidP="008E5557">
      <w:pPr>
        <w:rPr>
          <w:noProof/>
          <w:lang w:eastAsia="en-AU"/>
        </w:rPr>
      </w:pPr>
    </w:p>
    <w:p w14:paraId="2A4F1220" w14:textId="77777777" w:rsidR="00E65F54" w:rsidRDefault="00E65F54" w:rsidP="008E5557">
      <w:pPr>
        <w:rPr>
          <w:noProof/>
          <w:lang w:eastAsia="en-AU"/>
        </w:rPr>
      </w:pPr>
    </w:p>
    <w:p w14:paraId="36770D39" w14:textId="77777777" w:rsidR="00E65F54" w:rsidRDefault="00E65F54" w:rsidP="008E5557">
      <w:pPr>
        <w:rPr>
          <w:noProof/>
          <w:lang w:eastAsia="en-AU"/>
        </w:rPr>
      </w:pPr>
    </w:p>
    <w:p w14:paraId="10431502" w14:textId="77777777" w:rsidR="00F85388" w:rsidRDefault="00F85388">
      <w:pPr>
        <w:rPr>
          <w:color w:val="1F497D"/>
        </w:rPr>
      </w:pPr>
    </w:p>
    <w:p w14:paraId="7889A445" w14:textId="77777777" w:rsidR="00F4699C" w:rsidRDefault="00F4699C" w:rsidP="008E5557">
      <w:pPr>
        <w:rPr>
          <w:noProof/>
          <w:lang w:eastAsia="en-AU"/>
        </w:rPr>
      </w:pPr>
    </w:p>
    <w:p w14:paraId="536FF442" w14:textId="77777777" w:rsidR="00F4699C" w:rsidRDefault="00F4699C" w:rsidP="008E5557">
      <w:pPr>
        <w:rPr>
          <w:noProof/>
          <w:lang w:eastAsia="en-AU"/>
        </w:rPr>
      </w:pPr>
    </w:p>
    <w:p w14:paraId="08FA784C" w14:textId="77777777" w:rsidR="00F4699C" w:rsidRDefault="00F4699C" w:rsidP="008E5557">
      <w:pPr>
        <w:rPr>
          <w:noProof/>
          <w:lang w:eastAsia="en-AU"/>
        </w:rPr>
      </w:pPr>
    </w:p>
    <w:p w14:paraId="0BE5B9CE" w14:textId="77777777" w:rsidR="00F4699C" w:rsidRDefault="00643297" w:rsidP="008E5557">
      <w:pPr>
        <w:rPr>
          <w:noProof/>
          <w:lang w:eastAsia="en-AU"/>
        </w:rPr>
      </w:pPr>
      <w:r>
        <w:rPr>
          <w:noProof/>
          <w:lang w:eastAsia="en-AU"/>
        </w:rPr>
        <mc:AlternateContent>
          <mc:Choice Requires="wps">
            <w:drawing>
              <wp:anchor distT="0" distB="0" distL="114300" distR="114300" simplePos="0" relativeHeight="251815936" behindDoc="0" locked="0" layoutInCell="1" allowOverlap="1" wp14:anchorId="06201F01" wp14:editId="19521C51">
                <wp:simplePos x="0" y="0"/>
                <wp:positionH relativeFrom="page">
                  <wp:posOffset>-95250</wp:posOffset>
                </wp:positionH>
                <wp:positionV relativeFrom="paragraph">
                  <wp:posOffset>1465580</wp:posOffset>
                </wp:positionV>
                <wp:extent cx="5962650" cy="2393245"/>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62650" cy="2393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D03D58" w14:textId="77777777" w:rsidR="000B41AE" w:rsidRPr="00D7734C" w:rsidRDefault="000B41AE" w:rsidP="00D7734C">
                            <w:pPr>
                              <w:pStyle w:val="Title"/>
                              <w:ind w:left="567"/>
                              <w:jc w:val="left"/>
                              <w:rPr>
                                <w:rFonts w:asciiTheme="minorHAnsi" w:hAnsiTheme="minorHAnsi"/>
                                <w:b/>
                                <w:color w:val="FFFFFF" w:themeColor="background1"/>
                                <w:spacing w:val="-10"/>
                                <w:sz w:val="56"/>
                                <w:szCs w:val="56"/>
                                <w:lang w:val="en-US" w:eastAsia="en-US"/>
                              </w:rPr>
                            </w:pPr>
                            <w:r w:rsidRPr="00D7734C">
                              <w:rPr>
                                <w:rFonts w:asciiTheme="minorHAnsi" w:hAnsiTheme="minorHAnsi"/>
                                <w:b/>
                                <w:color w:val="FFFFFF" w:themeColor="background1"/>
                                <w:spacing w:val="-10"/>
                                <w:sz w:val="56"/>
                                <w:szCs w:val="56"/>
                                <w:lang w:val="en-US" w:eastAsia="en-US"/>
                              </w:rPr>
                              <w:t>Education Financing</w:t>
                            </w:r>
                          </w:p>
                          <w:p w14:paraId="42CE07CD" w14:textId="77777777" w:rsidR="000B41AE" w:rsidRPr="00D7734C" w:rsidRDefault="000B41AE" w:rsidP="00D7734C">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750E0B1A" w14:textId="77777777" w:rsidR="000B41AE" w:rsidRDefault="000B41AE" w:rsidP="00D7734C">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D7734C">
                              <w:rPr>
                                <w:rFonts w:asciiTheme="minorHAnsi" w:hAnsiTheme="minorHAnsi"/>
                                <w:caps w:val="0"/>
                                <w:color w:val="FFFFFF" w:themeColor="background1"/>
                                <w:spacing w:val="-10"/>
                                <w:sz w:val="44"/>
                                <w:szCs w:val="44"/>
                                <w:lang w:val="en-US" w:eastAsia="en-US"/>
                              </w:rPr>
                              <w:t>Foundation Level</w:t>
                            </w:r>
                            <w:r w:rsidRPr="00AE5826">
                              <w:rPr>
                                <w:rFonts w:asciiTheme="minorHAnsi" w:hAnsiTheme="minorHAnsi"/>
                                <w:caps w:val="0"/>
                                <w:color w:val="FFFFFF" w:themeColor="background1"/>
                                <w:spacing w:val="-10"/>
                                <w:sz w:val="44"/>
                                <w:szCs w:val="44"/>
                                <w:lang w:val="en-US" w:eastAsia="en-US"/>
                              </w:rPr>
                              <w:t xml:space="preserve"> </w:t>
                            </w:r>
                          </w:p>
                          <w:p w14:paraId="36CCD729" w14:textId="77777777" w:rsidR="000B41AE" w:rsidRPr="00B1533B" w:rsidRDefault="000B41AE" w:rsidP="00B1533B">
                            <w:pPr>
                              <w:pStyle w:val="Title"/>
                              <w:numPr>
                                <w:ilvl w:val="1"/>
                                <w:numId w:val="0"/>
                              </w:numPr>
                              <w:spacing w:after="120"/>
                              <w:ind w:left="567"/>
                              <w:jc w:val="left"/>
                              <w:rPr>
                                <w:lang w:val="en-US"/>
                              </w:rPr>
                            </w:pPr>
                            <w:r w:rsidRPr="00FE0AD1">
                              <w:rPr>
                                <w:rFonts w:asciiTheme="minorHAnsi" w:hAnsiTheme="minorHAnsi"/>
                                <w:caps w:val="0"/>
                                <w:color w:val="FFFFFF" w:themeColor="background1"/>
                                <w:spacing w:val="-10"/>
                                <w:sz w:val="32"/>
                                <w:szCs w:val="32"/>
                                <w:lang w:val="en-US" w:eastAsia="en-US"/>
                              </w:rPr>
                              <w:t xml:space="preserve">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01F01" id="Text Box 6" o:spid="_x0000_s1027" type="#_x0000_t202" style="position:absolute;margin-left:-7.5pt;margin-top:115.4pt;width:469.5pt;height:188.4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RQrQIAAKs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" filled="f" stroked="f">
                <v:textbox>
                  <w:txbxContent>
                    <w:p w14:paraId="0FD03D58" w14:textId="77777777" w:rsidR="000B41AE" w:rsidRPr="00D7734C" w:rsidRDefault="000B41AE" w:rsidP="00D7734C">
                      <w:pPr>
                        <w:pStyle w:val="Title"/>
                        <w:ind w:left="567"/>
                        <w:jc w:val="left"/>
                        <w:rPr>
                          <w:rFonts w:asciiTheme="minorHAnsi" w:hAnsiTheme="minorHAnsi"/>
                          <w:b/>
                          <w:color w:val="FFFFFF" w:themeColor="background1"/>
                          <w:spacing w:val="-10"/>
                          <w:sz w:val="56"/>
                          <w:szCs w:val="56"/>
                          <w:lang w:val="en-US" w:eastAsia="en-US"/>
                        </w:rPr>
                      </w:pPr>
                      <w:r w:rsidRPr="00D7734C">
                        <w:rPr>
                          <w:rFonts w:asciiTheme="minorHAnsi" w:hAnsiTheme="minorHAnsi"/>
                          <w:b/>
                          <w:color w:val="FFFFFF" w:themeColor="background1"/>
                          <w:spacing w:val="-10"/>
                          <w:sz w:val="56"/>
                          <w:szCs w:val="56"/>
                          <w:lang w:val="en-US" w:eastAsia="en-US"/>
                        </w:rPr>
                        <w:t>Education Financing</w:t>
                      </w:r>
                    </w:p>
                    <w:p w14:paraId="42CE07CD" w14:textId="77777777" w:rsidR="000B41AE" w:rsidRPr="00D7734C" w:rsidRDefault="000B41AE" w:rsidP="00D7734C">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750E0B1A" w14:textId="77777777" w:rsidR="000B41AE" w:rsidRDefault="000B41AE" w:rsidP="00D7734C">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D7734C">
                        <w:rPr>
                          <w:rFonts w:asciiTheme="minorHAnsi" w:hAnsiTheme="minorHAnsi"/>
                          <w:caps w:val="0"/>
                          <w:color w:val="FFFFFF" w:themeColor="background1"/>
                          <w:spacing w:val="-10"/>
                          <w:sz w:val="44"/>
                          <w:szCs w:val="44"/>
                          <w:lang w:val="en-US" w:eastAsia="en-US"/>
                        </w:rPr>
                        <w:t>Foundation Level</w:t>
                      </w:r>
                      <w:r w:rsidRPr="00AE5826">
                        <w:rPr>
                          <w:rFonts w:asciiTheme="minorHAnsi" w:hAnsiTheme="minorHAnsi"/>
                          <w:caps w:val="0"/>
                          <w:color w:val="FFFFFF" w:themeColor="background1"/>
                          <w:spacing w:val="-10"/>
                          <w:sz w:val="44"/>
                          <w:szCs w:val="44"/>
                          <w:lang w:val="en-US" w:eastAsia="en-US"/>
                        </w:rPr>
                        <w:t xml:space="preserve"> </w:t>
                      </w:r>
                    </w:p>
                    <w:p w14:paraId="36CCD729" w14:textId="77777777" w:rsidR="000B41AE" w:rsidRPr="00B1533B" w:rsidRDefault="000B41AE" w:rsidP="00B1533B">
                      <w:pPr>
                        <w:pStyle w:val="Title"/>
                        <w:numPr>
                          <w:ilvl w:val="1"/>
                          <w:numId w:val="0"/>
                        </w:numPr>
                        <w:spacing w:after="120"/>
                        <w:ind w:left="567"/>
                        <w:jc w:val="left"/>
                        <w:rPr>
                          <w:lang w:val="en-US"/>
                        </w:rPr>
                      </w:pPr>
                      <w:r w:rsidRPr="00FE0AD1">
                        <w:rPr>
                          <w:rFonts w:asciiTheme="minorHAnsi" w:hAnsiTheme="minorHAnsi"/>
                          <w:caps w:val="0"/>
                          <w:color w:val="FFFFFF" w:themeColor="background1"/>
                          <w:spacing w:val="-10"/>
                          <w:sz w:val="32"/>
                          <w:szCs w:val="32"/>
                          <w:lang w:val="en-US" w:eastAsia="en-US"/>
                        </w:rPr>
                        <w:t xml:space="preserve">2018 </w:t>
                      </w:r>
                    </w:p>
                  </w:txbxContent>
                </v:textbox>
                <w10:wrap anchorx="page"/>
              </v:shape>
            </w:pict>
          </mc:Fallback>
        </mc:AlternateContent>
      </w:r>
    </w:p>
    <w:p w14:paraId="0715BE2D" w14:textId="77777777" w:rsidR="00BA42F0" w:rsidRDefault="00BA42F0" w:rsidP="008E5557">
      <w:pPr>
        <w:rPr>
          <w:noProof/>
          <w:lang w:eastAsia="en-AU"/>
        </w:rPr>
        <w:sectPr w:rsidR="00BA42F0" w:rsidSect="00D02C09">
          <w:headerReference w:type="even" r:id="rId9"/>
          <w:headerReference w:type="default" r:id="rId10"/>
          <w:footerReference w:type="even" r:id="rId11"/>
          <w:footerReference w:type="default" r:id="rId12"/>
          <w:headerReference w:type="first" r:id="rId13"/>
          <w:footerReference w:type="first" r:id="rId14"/>
          <w:pgSz w:w="11906" w:h="16838" w:code="9"/>
          <w:pgMar w:top="2665" w:right="1701" w:bottom="1134" w:left="1134" w:header="567" w:footer="567" w:gutter="0"/>
          <w:cols w:space="708"/>
          <w:docGrid w:linePitch="360"/>
        </w:sectPr>
      </w:pPr>
    </w:p>
    <w:p w14:paraId="682D6983" w14:textId="77777777" w:rsidR="00C06D35" w:rsidRPr="0060365D" w:rsidRDefault="00C06D35" w:rsidP="008E5557">
      <w:pPr>
        <w:pStyle w:val="NoTOCHeading1"/>
        <w:widowControl/>
        <w:rPr>
          <w:sz w:val="48"/>
          <w:szCs w:val="48"/>
        </w:rPr>
      </w:pPr>
      <w:r w:rsidRPr="0060365D">
        <w:rPr>
          <w:sz w:val="48"/>
          <w:szCs w:val="48"/>
        </w:rPr>
        <w:lastRenderedPageBreak/>
        <w:t>CONTENTS</w:t>
      </w:r>
    </w:p>
    <w:p w14:paraId="3135A407" w14:textId="77777777" w:rsidR="00376D2F" w:rsidRDefault="00376D2F" w:rsidP="008E5557">
      <w:pPr>
        <w:pStyle w:val="BodyText"/>
        <w:widowControl/>
      </w:pPr>
    </w:p>
    <w:p w14:paraId="51C229BE" w14:textId="77777777" w:rsidR="00595FC7"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15636996" w:history="1">
        <w:r w:rsidR="00595FC7" w:rsidRPr="00BB7AF0">
          <w:rPr>
            <w:rStyle w:val="Hyperlink"/>
            <w:noProof/>
          </w:rPr>
          <w:t>Acronyms</w:t>
        </w:r>
        <w:r w:rsidR="00595FC7">
          <w:rPr>
            <w:noProof/>
            <w:webHidden/>
          </w:rPr>
          <w:tab/>
        </w:r>
        <w:r w:rsidR="00595FC7">
          <w:rPr>
            <w:noProof/>
            <w:webHidden/>
          </w:rPr>
          <w:fldChar w:fldCharType="begin"/>
        </w:r>
        <w:r w:rsidR="00595FC7">
          <w:rPr>
            <w:noProof/>
            <w:webHidden/>
          </w:rPr>
          <w:instrText xml:space="preserve"> PAGEREF _Toc15636996 \h </w:instrText>
        </w:r>
        <w:r w:rsidR="00595FC7">
          <w:rPr>
            <w:noProof/>
            <w:webHidden/>
          </w:rPr>
        </w:r>
        <w:r w:rsidR="00595FC7">
          <w:rPr>
            <w:noProof/>
            <w:webHidden/>
          </w:rPr>
          <w:fldChar w:fldCharType="separate"/>
        </w:r>
        <w:r w:rsidR="00595FC7">
          <w:rPr>
            <w:noProof/>
            <w:webHidden/>
          </w:rPr>
          <w:t>3</w:t>
        </w:r>
        <w:r w:rsidR="00595FC7">
          <w:rPr>
            <w:noProof/>
            <w:webHidden/>
          </w:rPr>
          <w:fldChar w:fldCharType="end"/>
        </w:r>
      </w:hyperlink>
    </w:p>
    <w:p w14:paraId="20C84D5E" w14:textId="77777777" w:rsidR="00595FC7" w:rsidRDefault="007D7621">
      <w:pPr>
        <w:pStyle w:val="TOC1"/>
        <w:rPr>
          <w:rFonts w:eastAsiaTheme="minorEastAsia"/>
          <w:noProof/>
          <w:sz w:val="22"/>
          <w:lang w:eastAsia="en-AU"/>
        </w:rPr>
      </w:pPr>
      <w:hyperlink w:anchor="_Toc15636997" w:history="1">
        <w:r w:rsidR="00595FC7" w:rsidRPr="00BB7AF0">
          <w:rPr>
            <w:rStyle w:val="Hyperlink"/>
            <w:noProof/>
          </w:rPr>
          <w:t>1</w:t>
        </w:r>
        <w:r w:rsidR="00595FC7">
          <w:rPr>
            <w:rFonts w:eastAsiaTheme="minorEastAsia"/>
            <w:noProof/>
            <w:sz w:val="22"/>
            <w:lang w:eastAsia="en-AU"/>
          </w:rPr>
          <w:tab/>
        </w:r>
        <w:r w:rsidR="00595FC7" w:rsidRPr="00BB7AF0">
          <w:rPr>
            <w:rStyle w:val="Hyperlink"/>
            <w:noProof/>
          </w:rPr>
          <w:t>Introduction</w:t>
        </w:r>
        <w:r w:rsidR="00595FC7">
          <w:rPr>
            <w:noProof/>
            <w:webHidden/>
          </w:rPr>
          <w:tab/>
        </w:r>
        <w:r w:rsidR="00595FC7">
          <w:rPr>
            <w:noProof/>
            <w:webHidden/>
          </w:rPr>
          <w:fldChar w:fldCharType="begin"/>
        </w:r>
        <w:r w:rsidR="00595FC7">
          <w:rPr>
            <w:noProof/>
            <w:webHidden/>
          </w:rPr>
          <w:instrText xml:space="preserve"> PAGEREF _Toc15636997 \h </w:instrText>
        </w:r>
        <w:r w:rsidR="00595FC7">
          <w:rPr>
            <w:noProof/>
            <w:webHidden/>
          </w:rPr>
        </w:r>
        <w:r w:rsidR="00595FC7">
          <w:rPr>
            <w:noProof/>
            <w:webHidden/>
          </w:rPr>
          <w:fldChar w:fldCharType="separate"/>
        </w:r>
        <w:r w:rsidR="00595FC7">
          <w:rPr>
            <w:noProof/>
            <w:webHidden/>
          </w:rPr>
          <w:t>4</w:t>
        </w:r>
        <w:r w:rsidR="00595FC7">
          <w:rPr>
            <w:noProof/>
            <w:webHidden/>
          </w:rPr>
          <w:fldChar w:fldCharType="end"/>
        </w:r>
      </w:hyperlink>
    </w:p>
    <w:p w14:paraId="3F4CE5D7" w14:textId="77777777" w:rsidR="00595FC7" w:rsidRDefault="007D7621">
      <w:pPr>
        <w:pStyle w:val="TOC1"/>
        <w:rPr>
          <w:rFonts w:eastAsiaTheme="minorEastAsia"/>
          <w:noProof/>
          <w:sz w:val="22"/>
          <w:lang w:eastAsia="en-AU"/>
        </w:rPr>
      </w:pPr>
      <w:hyperlink w:anchor="_Toc15636998" w:history="1">
        <w:r w:rsidR="00595FC7" w:rsidRPr="00BB7AF0">
          <w:rPr>
            <w:rStyle w:val="Hyperlink"/>
            <w:noProof/>
          </w:rPr>
          <w:t>2</w:t>
        </w:r>
        <w:r w:rsidR="00595FC7">
          <w:rPr>
            <w:rFonts w:eastAsiaTheme="minorEastAsia"/>
            <w:noProof/>
            <w:sz w:val="22"/>
            <w:lang w:eastAsia="en-AU"/>
          </w:rPr>
          <w:tab/>
        </w:r>
        <w:r w:rsidR="00595FC7" w:rsidRPr="00BB7AF0">
          <w:rPr>
            <w:rStyle w:val="Hyperlink"/>
            <w:noProof/>
          </w:rPr>
          <w:t>Measuring financial commitment to education</w:t>
        </w:r>
        <w:r w:rsidR="00595FC7">
          <w:rPr>
            <w:noProof/>
            <w:webHidden/>
          </w:rPr>
          <w:tab/>
        </w:r>
        <w:r w:rsidR="00595FC7">
          <w:rPr>
            <w:noProof/>
            <w:webHidden/>
          </w:rPr>
          <w:fldChar w:fldCharType="begin"/>
        </w:r>
        <w:r w:rsidR="00595FC7">
          <w:rPr>
            <w:noProof/>
            <w:webHidden/>
          </w:rPr>
          <w:instrText xml:space="preserve"> PAGEREF _Toc15636998 \h </w:instrText>
        </w:r>
        <w:r w:rsidR="00595FC7">
          <w:rPr>
            <w:noProof/>
            <w:webHidden/>
          </w:rPr>
        </w:r>
        <w:r w:rsidR="00595FC7">
          <w:rPr>
            <w:noProof/>
            <w:webHidden/>
          </w:rPr>
          <w:fldChar w:fldCharType="separate"/>
        </w:r>
        <w:r w:rsidR="00595FC7">
          <w:rPr>
            <w:noProof/>
            <w:webHidden/>
          </w:rPr>
          <w:t>4</w:t>
        </w:r>
        <w:r w:rsidR="00595FC7">
          <w:rPr>
            <w:noProof/>
            <w:webHidden/>
          </w:rPr>
          <w:fldChar w:fldCharType="end"/>
        </w:r>
      </w:hyperlink>
    </w:p>
    <w:p w14:paraId="041A4905" w14:textId="77777777" w:rsidR="00595FC7" w:rsidRDefault="007D7621">
      <w:pPr>
        <w:pStyle w:val="TOC1"/>
        <w:rPr>
          <w:rFonts w:eastAsiaTheme="minorEastAsia"/>
          <w:noProof/>
          <w:sz w:val="22"/>
          <w:lang w:eastAsia="en-AU"/>
        </w:rPr>
      </w:pPr>
      <w:hyperlink w:anchor="_Toc15636999" w:history="1">
        <w:r w:rsidR="00595FC7" w:rsidRPr="00BB7AF0">
          <w:rPr>
            <w:rStyle w:val="Hyperlink"/>
            <w:noProof/>
          </w:rPr>
          <w:t>3</w:t>
        </w:r>
        <w:r w:rsidR="00595FC7">
          <w:rPr>
            <w:rFonts w:eastAsiaTheme="minorEastAsia"/>
            <w:noProof/>
            <w:sz w:val="22"/>
            <w:lang w:eastAsia="en-AU"/>
          </w:rPr>
          <w:tab/>
        </w:r>
        <w:r w:rsidR="00595FC7" w:rsidRPr="00BB7AF0">
          <w:rPr>
            <w:rStyle w:val="Hyperlink"/>
            <w:noProof/>
          </w:rPr>
          <w:t>How can we gauge the efficiency of public expenditure for education?</w:t>
        </w:r>
        <w:r w:rsidR="00595FC7">
          <w:rPr>
            <w:noProof/>
            <w:webHidden/>
          </w:rPr>
          <w:tab/>
        </w:r>
        <w:r w:rsidR="00595FC7">
          <w:rPr>
            <w:noProof/>
            <w:webHidden/>
          </w:rPr>
          <w:fldChar w:fldCharType="begin"/>
        </w:r>
        <w:r w:rsidR="00595FC7">
          <w:rPr>
            <w:noProof/>
            <w:webHidden/>
          </w:rPr>
          <w:instrText xml:space="preserve"> PAGEREF _Toc15636999 \h </w:instrText>
        </w:r>
        <w:r w:rsidR="00595FC7">
          <w:rPr>
            <w:noProof/>
            <w:webHidden/>
          </w:rPr>
        </w:r>
        <w:r w:rsidR="00595FC7">
          <w:rPr>
            <w:noProof/>
            <w:webHidden/>
          </w:rPr>
          <w:fldChar w:fldCharType="separate"/>
        </w:r>
        <w:r w:rsidR="00595FC7">
          <w:rPr>
            <w:noProof/>
            <w:webHidden/>
          </w:rPr>
          <w:t>9</w:t>
        </w:r>
        <w:r w:rsidR="00595FC7">
          <w:rPr>
            <w:noProof/>
            <w:webHidden/>
          </w:rPr>
          <w:fldChar w:fldCharType="end"/>
        </w:r>
      </w:hyperlink>
    </w:p>
    <w:p w14:paraId="7F6FE51B" w14:textId="77777777" w:rsidR="00595FC7" w:rsidRDefault="007D7621">
      <w:pPr>
        <w:pStyle w:val="TOC1"/>
        <w:rPr>
          <w:rFonts w:eastAsiaTheme="minorEastAsia"/>
          <w:noProof/>
          <w:sz w:val="22"/>
          <w:lang w:eastAsia="en-AU"/>
        </w:rPr>
      </w:pPr>
      <w:hyperlink w:anchor="_Toc15637000" w:history="1">
        <w:r w:rsidR="00595FC7" w:rsidRPr="00BB7AF0">
          <w:rPr>
            <w:rStyle w:val="Hyperlink"/>
            <w:noProof/>
          </w:rPr>
          <w:t>4</w:t>
        </w:r>
        <w:r w:rsidR="00595FC7">
          <w:rPr>
            <w:rFonts w:eastAsiaTheme="minorEastAsia"/>
            <w:noProof/>
            <w:sz w:val="22"/>
            <w:lang w:eastAsia="en-AU"/>
          </w:rPr>
          <w:tab/>
        </w:r>
        <w:r w:rsidR="00595FC7" w:rsidRPr="00BB7AF0">
          <w:rPr>
            <w:rStyle w:val="Hyperlink"/>
            <w:noProof/>
          </w:rPr>
          <w:t>Funding patterns that promote equity of access</w:t>
        </w:r>
        <w:r w:rsidR="00595FC7">
          <w:rPr>
            <w:noProof/>
            <w:webHidden/>
          </w:rPr>
          <w:tab/>
        </w:r>
        <w:r w:rsidR="00595FC7">
          <w:rPr>
            <w:noProof/>
            <w:webHidden/>
          </w:rPr>
          <w:fldChar w:fldCharType="begin"/>
        </w:r>
        <w:r w:rsidR="00595FC7">
          <w:rPr>
            <w:noProof/>
            <w:webHidden/>
          </w:rPr>
          <w:instrText xml:space="preserve"> PAGEREF _Toc15637000 \h </w:instrText>
        </w:r>
        <w:r w:rsidR="00595FC7">
          <w:rPr>
            <w:noProof/>
            <w:webHidden/>
          </w:rPr>
        </w:r>
        <w:r w:rsidR="00595FC7">
          <w:rPr>
            <w:noProof/>
            <w:webHidden/>
          </w:rPr>
          <w:fldChar w:fldCharType="separate"/>
        </w:r>
        <w:r w:rsidR="00595FC7">
          <w:rPr>
            <w:noProof/>
            <w:webHidden/>
          </w:rPr>
          <w:t>13</w:t>
        </w:r>
        <w:r w:rsidR="00595FC7">
          <w:rPr>
            <w:noProof/>
            <w:webHidden/>
          </w:rPr>
          <w:fldChar w:fldCharType="end"/>
        </w:r>
      </w:hyperlink>
    </w:p>
    <w:p w14:paraId="02B54808" w14:textId="77777777" w:rsidR="00595FC7" w:rsidRDefault="007D7621">
      <w:pPr>
        <w:pStyle w:val="TOC1"/>
        <w:rPr>
          <w:rFonts w:eastAsiaTheme="minorEastAsia"/>
          <w:noProof/>
          <w:sz w:val="22"/>
          <w:lang w:eastAsia="en-AU"/>
        </w:rPr>
      </w:pPr>
      <w:hyperlink w:anchor="_Toc15637001" w:history="1">
        <w:r w:rsidR="00595FC7" w:rsidRPr="00BB7AF0">
          <w:rPr>
            <w:rStyle w:val="Hyperlink"/>
            <w:noProof/>
          </w:rPr>
          <w:t>5</w:t>
        </w:r>
        <w:r w:rsidR="00595FC7">
          <w:rPr>
            <w:rFonts w:eastAsiaTheme="minorEastAsia"/>
            <w:noProof/>
            <w:sz w:val="22"/>
            <w:lang w:eastAsia="en-AU"/>
          </w:rPr>
          <w:tab/>
        </w:r>
        <w:r w:rsidR="00595FC7" w:rsidRPr="00BB7AF0">
          <w:rPr>
            <w:rStyle w:val="Hyperlink"/>
            <w:noProof/>
          </w:rPr>
          <w:t>Test your knowledge</w:t>
        </w:r>
        <w:r w:rsidR="00595FC7">
          <w:rPr>
            <w:noProof/>
            <w:webHidden/>
          </w:rPr>
          <w:tab/>
        </w:r>
        <w:r w:rsidR="00595FC7">
          <w:rPr>
            <w:noProof/>
            <w:webHidden/>
          </w:rPr>
          <w:fldChar w:fldCharType="begin"/>
        </w:r>
        <w:r w:rsidR="00595FC7">
          <w:rPr>
            <w:noProof/>
            <w:webHidden/>
          </w:rPr>
          <w:instrText xml:space="preserve"> PAGEREF _Toc15637001 \h </w:instrText>
        </w:r>
        <w:r w:rsidR="00595FC7">
          <w:rPr>
            <w:noProof/>
            <w:webHidden/>
          </w:rPr>
        </w:r>
        <w:r w:rsidR="00595FC7">
          <w:rPr>
            <w:noProof/>
            <w:webHidden/>
          </w:rPr>
          <w:fldChar w:fldCharType="separate"/>
        </w:r>
        <w:r w:rsidR="00595FC7">
          <w:rPr>
            <w:noProof/>
            <w:webHidden/>
          </w:rPr>
          <w:t>16</w:t>
        </w:r>
        <w:r w:rsidR="00595FC7">
          <w:rPr>
            <w:noProof/>
            <w:webHidden/>
          </w:rPr>
          <w:fldChar w:fldCharType="end"/>
        </w:r>
      </w:hyperlink>
    </w:p>
    <w:p w14:paraId="7F98FAE6" w14:textId="77777777" w:rsidR="00595FC7" w:rsidRDefault="007D7621">
      <w:pPr>
        <w:pStyle w:val="TOC1"/>
        <w:rPr>
          <w:rFonts w:eastAsiaTheme="minorEastAsia"/>
          <w:noProof/>
          <w:sz w:val="22"/>
          <w:lang w:eastAsia="en-AU"/>
        </w:rPr>
      </w:pPr>
      <w:hyperlink w:anchor="_Toc15637002" w:history="1">
        <w:r w:rsidR="00595FC7" w:rsidRPr="00BB7AF0">
          <w:rPr>
            <w:rStyle w:val="Hyperlink"/>
            <w:noProof/>
          </w:rPr>
          <w:t>References and links</w:t>
        </w:r>
        <w:r w:rsidR="00595FC7">
          <w:rPr>
            <w:noProof/>
            <w:webHidden/>
          </w:rPr>
          <w:tab/>
        </w:r>
        <w:r w:rsidR="00595FC7">
          <w:rPr>
            <w:noProof/>
            <w:webHidden/>
          </w:rPr>
          <w:fldChar w:fldCharType="begin"/>
        </w:r>
        <w:r w:rsidR="00595FC7">
          <w:rPr>
            <w:noProof/>
            <w:webHidden/>
          </w:rPr>
          <w:instrText xml:space="preserve"> PAGEREF _Toc15637002 \h </w:instrText>
        </w:r>
        <w:r w:rsidR="00595FC7">
          <w:rPr>
            <w:noProof/>
            <w:webHidden/>
          </w:rPr>
        </w:r>
        <w:r w:rsidR="00595FC7">
          <w:rPr>
            <w:noProof/>
            <w:webHidden/>
          </w:rPr>
          <w:fldChar w:fldCharType="separate"/>
        </w:r>
        <w:r w:rsidR="00595FC7">
          <w:rPr>
            <w:noProof/>
            <w:webHidden/>
          </w:rPr>
          <w:t>20</w:t>
        </w:r>
        <w:r w:rsidR="00595FC7">
          <w:rPr>
            <w:noProof/>
            <w:webHidden/>
          </w:rPr>
          <w:fldChar w:fldCharType="end"/>
        </w:r>
      </w:hyperlink>
    </w:p>
    <w:p w14:paraId="1230D2CF" w14:textId="77777777" w:rsidR="000B3EF1" w:rsidRDefault="00C06D35" w:rsidP="008E5557">
      <w:pPr>
        <w:pStyle w:val="BodyText"/>
        <w:widowControl/>
      </w:pPr>
      <w:r>
        <w:fldChar w:fldCharType="end"/>
      </w:r>
      <w:r w:rsidR="000B3EF1">
        <w:br w:type="page"/>
      </w:r>
    </w:p>
    <w:p w14:paraId="7614115C" w14:textId="77777777" w:rsidR="00737935" w:rsidRPr="0060365D" w:rsidRDefault="00635D0F" w:rsidP="008E5557">
      <w:pPr>
        <w:pStyle w:val="Heading1"/>
        <w:widowControl/>
        <w:numPr>
          <w:ilvl w:val="0"/>
          <w:numId w:val="0"/>
        </w:numPr>
        <w:rPr>
          <w:szCs w:val="48"/>
        </w:rPr>
      </w:pPr>
      <w:bookmarkStart w:id="1" w:name="_Toc491237947"/>
      <w:bookmarkStart w:id="2" w:name="_Toc491238027"/>
      <w:bookmarkStart w:id="3" w:name="_Toc15636996"/>
      <w:r w:rsidRPr="0060365D">
        <w:rPr>
          <w:szCs w:val="48"/>
        </w:rPr>
        <w:lastRenderedPageBreak/>
        <w:t>A</w:t>
      </w:r>
      <w:bookmarkEnd w:id="1"/>
      <w:bookmarkEnd w:id="2"/>
      <w:r w:rsidRPr="0060365D">
        <w:rPr>
          <w:szCs w:val="48"/>
        </w:rPr>
        <w:t>cronyms</w:t>
      </w:r>
      <w:bookmarkEnd w:id="3"/>
    </w:p>
    <w:p w14:paraId="7AEADF2B" w14:textId="77777777" w:rsidR="00376D2F" w:rsidRDefault="00376D2F" w:rsidP="008E5557">
      <w:pPr>
        <w:pStyle w:val="BodyText"/>
        <w:widowControl/>
      </w:pPr>
    </w:p>
    <w:p w14:paraId="1F80726E" w14:textId="77777777" w:rsidR="00325F33" w:rsidRDefault="00082C23" w:rsidP="008E5557">
      <w:pPr>
        <w:pStyle w:val="BodyText"/>
        <w:widowControl/>
        <w:tabs>
          <w:tab w:val="left" w:pos="1134"/>
        </w:tabs>
      </w:pPr>
      <w:r>
        <w:t>DFAT</w:t>
      </w:r>
      <w:r w:rsidR="00325F33">
        <w:tab/>
      </w:r>
      <w:r>
        <w:t>Department of Foreign Affairs and Trade</w:t>
      </w:r>
      <w:r w:rsidR="00356226">
        <w:t xml:space="preserve"> </w:t>
      </w:r>
    </w:p>
    <w:p w14:paraId="1DB2988A" w14:textId="77777777" w:rsidR="00082C23" w:rsidRDefault="009459C4" w:rsidP="008E5557">
      <w:pPr>
        <w:pStyle w:val="BodyText"/>
        <w:widowControl/>
        <w:tabs>
          <w:tab w:val="left" w:pos="1134"/>
        </w:tabs>
      </w:pPr>
      <w:r>
        <w:t>GDP</w:t>
      </w:r>
      <w:r w:rsidR="00356226">
        <w:tab/>
      </w:r>
      <w:r w:rsidR="00597B7A">
        <w:t xml:space="preserve">Gross </w:t>
      </w:r>
      <w:r>
        <w:t xml:space="preserve">Domestic </w:t>
      </w:r>
      <w:r w:rsidR="00597B7A">
        <w:t>P</w:t>
      </w:r>
      <w:r w:rsidR="00082C23">
        <w:t>roduct</w:t>
      </w:r>
    </w:p>
    <w:p w14:paraId="6792B0E9" w14:textId="77777777" w:rsidR="00356226" w:rsidRDefault="00082C23" w:rsidP="008E5557">
      <w:pPr>
        <w:pStyle w:val="BodyText"/>
        <w:widowControl/>
        <w:tabs>
          <w:tab w:val="left" w:pos="1134"/>
        </w:tabs>
      </w:pPr>
      <w:r>
        <w:t>GPE</w:t>
      </w:r>
      <w:r>
        <w:tab/>
      </w:r>
      <w:r w:rsidRPr="00665F09">
        <w:t xml:space="preserve">The Global Partnership for Education </w:t>
      </w:r>
    </w:p>
    <w:p w14:paraId="68ED19FB" w14:textId="77777777" w:rsidR="006E4952" w:rsidRDefault="002C4A21" w:rsidP="008E5557">
      <w:pPr>
        <w:pStyle w:val="BodyText"/>
        <w:widowControl/>
        <w:tabs>
          <w:tab w:val="left" w:pos="1134"/>
        </w:tabs>
      </w:pPr>
      <w:r>
        <w:t>OECD</w:t>
      </w:r>
      <w:r>
        <w:tab/>
        <w:t>The Organisation for Economic Cooperation and Development</w:t>
      </w:r>
    </w:p>
    <w:p w14:paraId="0EE957A2" w14:textId="30FF0A01" w:rsidR="006F302E" w:rsidRDefault="006F302E" w:rsidP="008E5557">
      <w:pPr>
        <w:pStyle w:val="BodyText"/>
        <w:widowControl/>
        <w:tabs>
          <w:tab w:val="left" w:pos="1134"/>
        </w:tabs>
      </w:pPr>
      <w:r>
        <w:t>PER</w:t>
      </w:r>
      <w:r>
        <w:tab/>
        <w:t>public expenditure review</w:t>
      </w:r>
    </w:p>
    <w:p w14:paraId="3D2F532E" w14:textId="48725291" w:rsidR="006F302E" w:rsidRDefault="006F302E" w:rsidP="008E5557">
      <w:pPr>
        <w:pStyle w:val="BodyText"/>
        <w:widowControl/>
        <w:tabs>
          <w:tab w:val="left" w:pos="1134"/>
        </w:tabs>
      </w:pPr>
      <w:r>
        <w:t>PETS</w:t>
      </w:r>
      <w:r>
        <w:tab/>
        <w:t>public expenditure tracking survey</w:t>
      </w:r>
    </w:p>
    <w:p w14:paraId="0199BF21" w14:textId="4504DF7E" w:rsidR="002C4A21" w:rsidRDefault="006E4952" w:rsidP="008E5557">
      <w:pPr>
        <w:pStyle w:val="BodyText"/>
        <w:widowControl/>
        <w:tabs>
          <w:tab w:val="left" w:pos="1134"/>
        </w:tabs>
      </w:pPr>
      <w:r>
        <w:t>PFM</w:t>
      </w:r>
      <w:r>
        <w:tab/>
      </w:r>
      <w:r w:rsidR="006F302E">
        <w:t>public financial management</w:t>
      </w:r>
    </w:p>
    <w:p w14:paraId="0245F85C" w14:textId="77777777" w:rsidR="002C4A21" w:rsidRDefault="002C4A21" w:rsidP="008E5557">
      <w:pPr>
        <w:pStyle w:val="BodyText"/>
        <w:widowControl/>
        <w:tabs>
          <w:tab w:val="left" w:pos="1134"/>
        </w:tabs>
      </w:pPr>
      <w:r>
        <w:t>SABER</w:t>
      </w:r>
      <w:r>
        <w:tab/>
        <w:t>Systems Approach for Better Education Results</w:t>
      </w:r>
    </w:p>
    <w:p w14:paraId="51558AB5" w14:textId="77777777" w:rsidR="002C4A21" w:rsidRDefault="002C4A21" w:rsidP="008E5557">
      <w:pPr>
        <w:pStyle w:val="BodyText"/>
        <w:widowControl/>
        <w:tabs>
          <w:tab w:val="left" w:pos="1134"/>
        </w:tabs>
      </w:pPr>
      <w:r>
        <w:t>UNESCO</w:t>
      </w:r>
      <w:r>
        <w:tab/>
        <w:t>United Nations Educational, Scientific and Cultural Organisation</w:t>
      </w:r>
    </w:p>
    <w:p w14:paraId="59B72A50" w14:textId="77777777" w:rsidR="002C4A21" w:rsidRDefault="002C4A21" w:rsidP="008E5557">
      <w:pPr>
        <w:pStyle w:val="BodyText"/>
        <w:widowControl/>
        <w:tabs>
          <w:tab w:val="left" w:pos="1134"/>
        </w:tabs>
      </w:pPr>
    </w:p>
    <w:p w14:paraId="62DF2783" w14:textId="77777777" w:rsidR="002C4A21" w:rsidRDefault="002C4A21" w:rsidP="008E5557">
      <w:pPr>
        <w:pStyle w:val="BodyText"/>
        <w:widowControl/>
        <w:tabs>
          <w:tab w:val="left" w:pos="1134"/>
        </w:tabs>
      </w:pPr>
    </w:p>
    <w:p w14:paraId="25FBAE60" w14:textId="77777777" w:rsidR="00597B7A" w:rsidRDefault="00597B7A" w:rsidP="008E5557">
      <w:pPr>
        <w:pStyle w:val="BodyText"/>
        <w:widowControl/>
        <w:tabs>
          <w:tab w:val="left" w:pos="1134"/>
        </w:tabs>
      </w:pPr>
    </w:p>
    <w:p w14:paraId="435D4DED" w14:textId="77777777" w:rsidR="00325F33" w:rsidRDefault="00325F33" w:rsidP="008E5557">
      <w:pPr>
        <w:pStyle w:val="BodyText"/>
        <w:widowControl/>
      </w:pPr>
    </w:p>
    <w:p w14:paraId="6D8347A6" w14:textId="77777777" w:rsidR="00B75DAC" w:rsidRDefault="00B75DAC" w:rsidP="008E5557">
      <w:pPr>
        <w:pStyle w:val="BodyText"/>
        <w:widowControl/>
      </w:pPr>
    </w:p>
    <w:p w14:paraId="6060A13D" w14:textId="77777777" w:rsidR="00D57D6D" w:rsidRDefault="00D57D6D" w:rsidP="008E5557">
      <w:pPr>
        <w:pStyle w:val="BodyText"/>
        <w:widowControl/>
      </w:pPr>
    </w:p>
    <w:p w14:paraId="76169DC3" w14:textId="77777777" w:rsidR="007A469F" w:rsidRPr="00737935" w:rsidRDefault="007A469F" w:rsidP="008E5557">
      <w:pPr>
        <w:pStyle w:val="BodyText"/>
        <w:widowControl/>
      </w:pPr>
    </w:p>
    <w:p w14:paraId="5CAF44AA" w14:textId="77777777" w:rsidR="00737935" w:rsidRDefault="00737935" w:rsidP="008E5557">
      <w:pPr>
        <w:pStyle w:val="BodyText"/>
        <w:widowControl/>
      </w:pPr>
      <w:r>
        <w:br w:type="page"/>
      </w:r>
    </w:p>
    <w:p w14:paraId="4AEA0D4B" w14:textId="77777777" w:rsidR="00C263BD" w:rsidRPr="00223999" w:rsidRDefault="00DF29AD" w:rsidP="008E5557">
      <w:pPr>
        <w:pStyle w:val="Heading1"/>
        <w:widowControl/>
      </w:pPr>
      <w:bookmarkStart w:id="4" w:name="_Toc370729755"/>
      <w:bookmarkStart w:id="5" w:name="_Toc15636997"/>
      <w:r>
        <w:lastRenderedPageBreak/>
        <w:t>Introduction</w:t>
      </w:r>
      <w:bookmarkEnd w:id="4"/>
      <w:bookmarkEnd w:id="5"/>
    </w:p>
    <w:p w14:paraId="100CC06E" w14:textId="77777777" w:rsidR="00EC416D" w:rsidRPr="008013BB" w:rsidRDefault="00767BC4" w:rsidP="00EC416D">
      <w:pPr>
        <w:pStyle w:val="BodyText"/>
        <w:widowControl/>
      </w:pPr>
      <w:r w:rsidRPr="00767BC4">
        <w:t xml:space="preserve">The purpose of this module is to provide introductory information about education financing, including financial commitment to education, efficiency of expenditure, and strategies to promote equity and inclusion. </w:t>
      </w:r>
      <w:r w:rsidR="00F01A4B">
        <w:t>It</w:t>
      </w:r>
      <w:r w:rsidRPr="00767BC4">
        <w:t xml:space="preserve"> provides a foundation to engage in this topic and apply advice from staff with operational or expert levels of knowledge in education. </w:t>
      </w:r>
      <w:r w:rsidR="00F01A4B">
        <w:t xml:space="preserve">On successful completion of this module you will gain the ability to apply practical knowledge of education financing in order to make valuable contributions to the field. </w:t>
      </w:r>
    </w:p>
    <w:p w14:paraId="543EE8B1" w14:textId="77777777" w:rsidR="00D462DC" w:rsidRPr="0051125A" w:rsidRDefault="00D462DC" w:rsidP="00FB451D">
      <w:pPr>
        <w:pStyle w:val="Paraspace"/>
      </w:pPr>
    </w:p>
    <w:p w14:paraId="0C71B901" w14:textId="77777777" w:rsidR="00767BC4" w:rsidRDefault="00767BC4" w:rsidP="00767BC4">
      <w:pPr>
        <w:pStyle w:val="Heading1"/>
        <w:widowControl/>
      </w:pPr>
      <w:bookmarkStart w:id="6" w:name="_Toc15636998"/>
      <w:r>
        <w:t xml:space="preserve">Measuring </w:t>
      </w:r>
      <w:r w:rsidR="00DE1C83">
        <w:t>financial c</w:t>
      </w:r>
      <w:r>
        <w:t>ommitment to education</w:t>
      </w:r>
      <w:bookmarkEnd w:id="6"/>
    </w:p>
    <w:p w14:paraId="01D301A8" w14:textId="77777777" w:rsidR="009978CD" w:rsidRDefault="009978CD" w:rsidP="009978CD">
      <w:pPr>
        <w:pStyle w:val="BodyText"/>
      </w:pPr>
      <w:r w:rsidRPr="009978CD">
        <w:t>Developing countries spend large amounts of their public budgets on education, yet are constantly challenged to deliver better education from pre-school through to university. A scarcity of public resources, a complex educational agenda and competing demands from other sectors make for tough choices.</w:t>
      </w:r>
    </w:p>
    <w:p w14:paraId="16F3368B" w14:textId="71E9E9A0" w:rsidR="009978CD" w:rsidRDefault="009978CD" w:rsidP="009978CD">
      <w:pPr>
        <w:pStyle w:val="BodyText"/>
      </w:pPr>
      <w:r w:rsidRPr="009978CD">
        <w:t xml:space="preserve">The Australian aid program and other development partners </w:t>
      </w:r>
      <w:r w:rsidR="00701101">
        <w:t>often</w:t>
      </w:r>
      <w:r w:rsidR="00701101" w:rsidRPr="009978CD">
        <w:t xml:space="preserve"> </w:t>
      </w:r>
      <w:r w:rsidRPr="009978CD">
        <w:t xml:space="preserve">deliver development assistance through partner government systems. </w:t>
      </w:r>
      <w:hyperlink r:id="rId15" w:history="1">
        <w:r w:rsidRPr="009978CD">
          <w:t>The</w:t>
        </w:r>
        <w:r w:rsidRPr="009978CD">
          <w:rPr>
            <w:rStyle w:val="LinkChar"/>
          </w:rPr>
          <w:t xml:space="preserve"> </w:t>
        </w:r>
        <w:r w:rsidR="006E4952">
          <w:rPr>
            <w:rStyle w:val="LinkChar"/>
          </w:rPr>
          <w:t>Department of Foreign Affairs and Trade (</w:t>
        </w:r>
        <w:r w:rsidRPr="009978CD">
          <w:rPr>
            <w:rStyle w:val="LinkChar"/>
          </w:rPr>
          <w:t>DFAT</w:t>
        </w:r>
        <w:r w:rsidR="006E4952">
          <w:rPr>
            <w:rStyle w:val="LinkChar"/>
          </w:rPr>
          <w:t>)</w:t>
        </w:r>
        <w:r w:rsidRPr="009978CD">
          <w:rPr>
            <w:rStyle w:val="LinkChar"/>
          </w:rPr>
          <w:t xml:space="preserve"> Framework for Engaging on Public Financial Management</w:t>
        </w:r>
      </w:hyperlink>
      <w:r w:rsidRPr="009978CD">
        <w:t xml:space="preserve"> sets out good practice </w:t>
      </w:r>
      <w:r w:rsidR="00701101">
        <w:t xml:space="preserve">for </w:t>
      </w:r>
      <w:r w:rsidRPr="009978CD">
        <w:t xml:space="preserve">engaging on Public Finance Management </w:t>
      </w:r>
      <w:r w:rsidR="006E4952">
        <w:t xml:space="preserve">(PFM) </w:t>
      </w:r>
      <w:r w:rsidRPr="009978CD">
        <w:t>in international development assistance</w:t>
      </w:r>
      <w:r w:rsidR="00701101">
        <w:t>, including using partner government systems</w:t>
      </w:r>
      <w:r w:rsidR="006E4952">
        <w:t>. P</w:t>
      </w:r>
      <w:r w:rsidRPr="009978CD">
        <w:t>lease refer to this framework as you continue reading.</w:t>
      </w:r>
    </w:p>
    <w:p w14:paraId="0B8021EE" w14:textId="282E39CC" w:rsidR="009978CD" w:rsidRDefault="009978CD" w:rsidP="009978CD">
      <w:pPr>
        <w:pStyle w:val="Source"/>
      </w:pPr>
      <w:r>
        <w:t>Source: DFAT 2017</w:t>
      </w:r>
      <w:r w:rsidR="001E0364">
        <w:t>.</w:t>
      </w:r>
    </w:p>
    <w:p w14:paraId="4DA2711D" w14:textId="35B48D32" w:rsidR="009978CD" w:rsidRPr="006232A8" w:rsidRDefault="009978CD" w:rsidP="006232A8">
      <w:pPr>
        <w:pStyle w:val="BodyText"/>
      </w:pPr>
      <w:r w:rsidRPr="006232A8">
        <w:t>Governments’ financial commitments towards education represent important drivers of social and economic development</w:t>
      </w:r>
      <w:r w:rsidR="005C77AF">
        <w:t xml:space="preserve">. </w:t>
      </w:r>
      <w:r w:rsidR="006D4724">
        <w:t xml:space="preserve">The goal of any government should be </w:t>
      </w:r>
      <w:r w:rsidRPr="006232A8">
        <w:t xml:space="preserve">the </w:t>
      </w:r>
      <w:r w:rsidR="00497927">
        <w:t xml:space="preserve">universal </w:t>
      </w:r>
      <w:r w:rsidRPr="006232A8">
        <w:t xml:space="preserve">provision of </w:t>
      </w:r>
      <w:r w:rsidR="00701101">
        <w:t xml:space="preserve">high </w:t>
      </w:r>
      <w:r w:rsidR="00701101" w:rsidRPr="006232A8">
        <w:t>quality</w:t>
      </w:r>
      <w:r w:rsidR="00701101">
        <w:t>,</w:t>
      </w:r>
      <w:r w:rsidR="00701101" w:rsidRPr="006232A8">
        <w:t xml:space="preserve"> </w:t>
      </w:r>
      <w:r w:rsidRPr="006232A8">
        <w:t>publicly funded education. As will be discussed, there are other important sources of education financing, including private, household, official development assistance, foreign direct investments and civil society contributions.</w:t>
      </w:r>
    </w:p>
    <w:p w14:paraId="6BDA5494" w14:textId="77777777" w:rsidR="00290677" w:rsidRDefault="00290677" w:rsidP="002505ED">
      <w:pPr>
        <w:pStyle w:val="Heading2"/>
      </w:pPr>
      <w:r>
        <w:t>Recurrent and non-recurrent expenditures: what is the difference?</w:t>
      </w:r>
    </w:p>
    <w:p w14:paraId="31EB92F3" w14:textId="6FA2BDC7" w:rsidR="00DE1C83" w:rsidRDefault="00C510A8" w:rsidP="006232A8">
      <w:pPr>
        <w:pStyle w:val="BodyText"/>
      </w:pPr>
      <w:r w:rsidRPr="006232A8">
        <w:t xml:space="preserve">Education </w:t>
      </w:r>
      <w:r w:rsidR="00EB3CCF">
        <w:t>expenditures are</w:t>
      </w:r>
      <w:r w:rsidRPr="006232A8">
        <w:t xml:space="preserve"> typically organised into two categories. </w:t>
      </w:r>
    </w:p>
    <w:p w14:paraId="1F657029" w14:textId="118C9111" w:rsidR="006E4952" w:rsidRDefault="006E4952" w:rsidP="006E4952">
      <w:pPr>
        <w:pStyle w:val="Heading3"/>
      </w:pPr>
      <w:r>
        <w:t>Recurrent expenditure</w:t>
      </w:r>
    </w:p>
    <w:p w14:paraId="35713E62" w14:textId="77777777" w:rsidR="00C510A8" w:rsidRDefault="00C510A8" w:rsidP="006232A8">
      <w:pPr>
        <w:pStyle w:val="BodyText"/>
      </w:pPr>
      <w:r w:rsidRPr="006E4952">
        <w:t>Recurrent expenditure on goods</w:t>
      </w:r>
      <w:r w:rsidRPr="006232A8">
        <w:t xml:space="preserve"> and services is expenditure which does not result in the creation or acquisition of fixed assets (new or second-hand). It consists mainly of expenditure on</w:t>
      </w:r>
      <w:r w:rsidR="006D4724">
        <w:t xml:space="preserve"> </w:t>
      </w:r>
      <w:r w:rsidRPr="006232A8">
        <w:t>wages</w:t>
      </w:r>
      <w:r w:rsidR="006D4724">
        <w:t>,</w:t>
      </w:r>
      <w:r w:rsidRPr="006232A8">
        <w:t xml:space="preserve"> salaries and supplements</w:t>
      </w:r>
      <w:r w:rsidR="006D4724">
        <w:t>,</w:t>
      </w:r>
      <w:r w:rsidRPr="006232A8">
        <w:t xml:space="preserve"> purchases of goods and services</w:t>
      </w:r>
      <w:r w:rsidR="006D4724">
        <w:t>,</w:t>
      </w:r>
      <w:r w:rsidRPr="006232A8">
        <w:t xml:space="preserve"> and consumption of fixed capital (depreciation). Recurrent expenditure in the form of salaries</w:t>
      </w:r>
      <w:r w:rsidR="006D4724">
        <w:t>,</w:t>
      </w:r>
      <w:r w:rsidRPr="006232A8">
        <w:t xml:space="preserve"> typically represents the largest proportion of education budgets.</w:t>
      </w:r>
    </w:p>
    <w:p w14:paraId="26F2BE62" w14:textId="77777777" w:rsidR="0083791C" w:rsidRDefault="0083791C">
      <w:pPr>
        <w:rPr>
          <w:rFonts w:asciiTheme="majorHAnsi" w:eastAsiaTheme="majorEastAsia" w:hAnsiTheme="majorHAnsi" w:cstheme="majorBidi"/>
          <w:color w:val="007C89"/>
          <w:sz w:val="28"/>
          <w:szCs w:val="28"/>
        </w:rPr>
      </w:pPr>
      <w:r>
        <w:br w:type="page"/>
      </w:r>
    </w:p>
    <w:p w14:paraId="515774FA" w14:textId="6FE45DE3" w:rsidR="006E4952" w:rsidRPr="006232A8" w:rsidRDefault="006E4952" w:rsidP="006E4952">
      <w:pPr>
        <w:pStyle w:val="Heading3"/>
      </w:pPr>
      <w:r>
        <w:t>Non-recurrent expenditure</w:t>
      </w:r>
    </w:p>
    <w:p w14:paraId="547301BA" w14:textId="77777777" w:rsidR="00B14E1A" w:rsidRDefault="00C510A8" w:rsidP="00B14E1A">
      <w:pPr>
        <w:pStyle w:val="CommentText"/>
      </w:pPr>
      <w:r w:rsidRPr="006E4952">
        <w:rPr>
          <w:rFonts w:ascii="Calibri" w:eastAsia="Calibri" w:hAnsi="Calibri" w:cs="Calibri"/>
          <w:color w:val="231F20"/>
          <w:lang w:val="en-US" w:eastAsia="en-US"/>
        </w:rPr>
        <w:t>Non-recurrent expenditure</w:t>
      </w:r>
      <w:r w:rsidRPr="006E4952">
        <w:t xml:space="preserve"> </w:t>
      </w:r>
      <w:r w:rsidRPr="006E4952">
        <w:rPr>
          <w:rFonts w:ascii="Calibri" w:eastAsia="Calibri" w:hAnsi="Calibri" w:cs="Calibri"/>
          <w:color w:val="231F20"/>
          <w:lang w:val="en-US" w:eastAsia="en-US"/>
        </w:rPr>
        <w:t xml:space="preserve">does not ‘recur’ like salaries, </w:t>
      </w:r>
      <w:r w:rsidR="006D4724" w:rsidRPr="006E4952">
        <w:rPr>
          <w:rFonts w:ascii="Calibri" w:eastAsia="Calibri" w:hAnsi="Calibri" w:cs="Calibri"/>
          <w:color w:val="231F20"/>
          <w:lang w:val="en-US" w:eastAsia="en-US"/>
        </w:rPr>
        <w:t xml:space="preserve">which </w:t>
      </w:r>
      <w:r w:rsidRPr="006E4952">
        <w:rPr>
          <w:rFonts w:ascii="Calibri" w:eastAsia="Calibri" w:hAnsi="Calibri" w:cs="Calibri"/>
          <w:color w:val="231F20"/>
          <w:lang w:val="en-US" w:eastAsia="en-US"/>
        </w:rPr>
        <w:t>allow</w:t>
      </w:r>
      <w:r w:rsidR="006D4724" w:rsidRPr="006E4952">
        <w:rPr>
          <w:rFonts w:ascii="Calibri" w:eastAsia="Calibri" w:hAnsi="Calibri" w:cs="Calibri"/>
          <w:color w:val="231F20"/>
          <w:lang w:val="en-US" w:eastAsia="en-US"/>
        </w:rPr>
        <w:t>s</w:t>
      </w:r>
      <w:r w:rsidRPr="006E4952">
        <w:rPr>
          <w:rFonts w:ascii="Calibri" w:eastAsia="Calibri" w:hAnsi="Calibri" w:cs="Calibri"/>
          <w:color w:val="231F20"/>
          <w:lang w:val="en-US" w:eastAsia="en-US"/>
        </w:rPr>
        <w:t xml:space="preserve"> for discretion from year to year. Types of non-recurrent expenditure include capital spending on physical assets (such as a school building), and improvements or the rehabilitation of physical assets. Importantly, non-recurrent resources are used to finance key sector elements such as curriculum reforms, textbook design and procurement, and all other ‘discretionary’ expenditures outside of recurrent obligations. With the majority of education funding associated with recurrent expenditure, there can be extreme pressure on non-recurrent resources, requiring policy prioritisation and trade-offs.</w:t>
      </w:r>
      <w:r w:rsidR="00B14E1A" w:rsidRPr="006E4952">
        <w:rPr>
          <w:rFonts w:ascii="Calibri" w:eastAsia="Calibri" w:hAnsi="Calibri" w:cs="Calibri"/>
          <w:color w:val="231F20"/>
          <w:lang w:val="en-US" w:eastAsia="en-US"/>
        </w:rPr>
        <w:t xml:space="preserve"> Another problem is that some types of non-recurrent expenditure might have implications for recurrent expenditures – e.g. building additional schools will result in a need for additional teachers, teaching supplies, and generate higher depreciation of capital. These are not always factored into budget forecasts, where capital and recurrent budgets are prepared separately and where there is no medium term expenditure framework in which the implications of capital expenditures for future financial years are considered.</w:t>
      </w:r>
    </w:p>
    <w:p w14:paraId="7C8B679A" w14:textId="77777777" w:rsidR="00C510A8" w:rsidRDefault="00C510A8" w:rsidP="009978CD">
      <w:pPr>
        <w:pStyle w:val="BodyText"/>
      </w:pPr>
      <w:r w:rsidRPr="00C510A8">
        <w:t>All education systems need a certain level of funding to:</w:t>
      </w:r>
    </w:p>
    <w:p w14:paraId="0B127BB4" w14:textId="77777777" w:rsidR="00B1533B" w:rsidRDefault="00C510A8" w:rsidP="00C510A8">
      <w:pPr>
        <w:pStyle w:val="ListParagraph"/>
      </w:pPr>
      <w:r w:rsidRPr="00C510A8">
        <w:t>attract, train and retain competent and motivated teachers</w:t>
      </w:r>
    </w:p>
    <w:p w14:paraId="5F206C80" w14:textId="77777777" w:rsidR="00B1533B" w:rsidRDefault="00C510A8" w:rsidP="00C510A8">
      <w:pPr>
        <w:pStyle w:val="ListParagraph"/>
      </w:pPr>
      <w:r w:rsidRPr="00C510A8">
        <w:t>build and maintain schools</w:t>
      </w:r>
    </w:p>
    <w:p w14:paraId="79EF489B" w14:textId="77777777" w:rsidR="00B1533B" w:rsidRDefault="00C510A8" w:rsidP="00C510A8">
      <w:pPr>
        <w:pStyle w:val="ListParagraph"/>
      </w:pPr>
      <w:r w:rsidRPr="00C510A8">
        <w:t>provide adequate teaching and learning materials for classrooms</w:t>
      </w:r>
    </w:p>
    <w:p w14:paraId="6BC167E7" w14:textId="77777777" w:rsidR="00C510A8" w:rsidRDefault="00C510A8" w:rsidP="00C510A8">
      <w:pPr>
        <w:pStyle w:val="ListParagraph"/>
      </w:pPr>
      <w:r w:rsidRPr="00C510A8">
        <w:t>provide system management (including curriculum development, school monitoring, learning assessment and innovation strategies)</w:t>
      </w:r>
      <w:r>
        <w:t>.</w:t>
      </w:r>
    </w:p>
    <w:p w14:paraId="75BC0406" w14:textId="77777777" w:rsidR="00C510A8" w:rsidRDefault="00C779C3" w:rsidP="009978CD">
      <w:pPr>
        <w:pStyle w:val="BodyText"/>
      </w:pPr>
      <w:r w:rsidRPr="00C779C3">
        <w:t xml:space="preserve">The following table presents the key indicators for measuring </w:t>
      </w:r>
      <w:r w:rsidR="00BA3FB5">
        <w:t xml:space="preserve">a government’s </w:t>
      </w:r>
      <w:r w:rsidRPr="00C779C3">
        <w:t>fi</w:t>
      </w:r>
      <w:r w:rsidR="00D31D4B">
        <w:t>nancial commitment to education.</w:t>
      </w:r>
    </w:p>
    <w:p w14:paraId="48F344CD" w14:textId="77777777" w:rsidR="00D31D4B" w:rsidRPr="00801336" w:rsidRDefault="00D31D4B" w:rsidP="00D31D4B">
      <w:pPr>
        <w:pStyle w:val="Tablecaption"/>
        <w:keepNext/>
        <w:keepLines/>
        <w:widowControl/>
        <w:rPr>
          <w:sz w:val="20"/>
          <w:szCs w:val="20"/>
        </w:rPr>
      </w:pPr>
      <w:r w:rsidRPr="00801336">
        <w:t xml:space="preserve">Table </w:t>
      </w:r>
      <w:r>
        <w:t>1</w:t>
      </w:r>
      <w:r w:rsidRPr="00801336">
        <w:t xml:space="preserve"> – </w:t>
      </w:r>
      <w:r w:rsidR="00690949">
        <w:t>Measuring fi</w:t>
      </w:r>
      <w:r w:rsidR="00F2474B">
        <w:t>nancial commitment to education</w:t>
      </w:r>
      <w:r w:rsidRPr="00801336">
        <w:t xml:space="preserve"> </w:t>
      </w:r>
    </w:p>
    <w:tbl>
      <w:tblPr>
        <w:tblStyle w:val="DiplomaticAcademysasp"/>
        <w:tblW w:w="5000" w:type="pct"/>
        <w:tblLook w:val="04A0" w:firstRow="1" w:lastRow="0" w:firstColumn="1" w:lastColumn="0" w:noHBand="0" w:noVBand="1"/>
      </w:tblPr>
      <w:tblGrid>
        <w:gridCol w:w="3401"/>
        <w:gridCol w:w="5669"/>
      </w:tblGrid>
      <w:tr w:rsidR="00D31D4B" w:rsidRPr="00801336" w14:paraId="30BCBF02" w14:textId="77777777" w:rsidTr="00690949">
        <w:trPr>
          <w:cnfStyle w:val="100000000000" w:firstRow="1" w:lastRow="0" w:firstColumn="0" w:lastColumn="0" w:oddVBand="0" w:evenVBand="0" w:oddHBand="0" w:evenHBand="0" w:firstRowFirstColumn="0" w:firstRowLastColumn="0" w:lastRowFirstColumn="0" w:lastRowLastColumn="0"/>
          <w:trHeight w:val="444"/>
        </w:trPr>
        <w:tc>
          <w:tcPr>
            <w:tcW w:w="1875" w:type="pct"/>
            <w:tcBorders>
              <w:bottom w:val="single" w:sz="4" w:space="0" w:color="495965"/>
            </w:tcBorders>
            <w:shd w:val="clear" w:color="auto" w:fill="007C89"/>
            <w:vAlign w:val="center"/>
          </w:tcPr>
          <w:p w14:paraId="37A35898" w14:textId="77777777" w:rsidR="00D31D4B" w:rsidRPr="00DE1C83" w:rsidRDefault="00D31D4B" w:rsidP="006E4952">
            <w:pPr>
              <w:pStyle w:val="Tablecolumnheading"/>
              <w:spacing w:before="0"/>
              <w:ind w:left="0"/>
              <w:rPr>
                <w:b/>
                <w:sz w:val="22"/>
                <w:szCs w:val="22"/>
              </w:rPr>
            </w:pPr>
            <w:r w:rsidRPr="00DE1C83">
              <w:rPr>
                <w:b/>
                <w:sz w:val="22"/>
                <w:szCs w:val="22"/>
              </w:rPr>
              <w:t>Measure</w:t>
            </w:r>
          </w:p>
        </w:tc>
        <w:tc>
          <w:tcPr>
            <w:tcW w:w="3125" w:type="pct"/>
            <w:tcBorders>
              <w:bottom w:val="single" w:sz="4" w:space="0" w:color="495965"/>
            </w:tcBorders>
            <w:shd w:val="clear" w:color="auto" w:fill="007C89"/>
            <w:vAlign w:val="center"/>
          </w:tcPr>
          <w:p w14:paraId="108A9D2F" w14:textId="77777777" w:rsidR="00D31D4B" w:rsidRPr="00DE1C83" w:rsidRDefault="00D31D4B" w:rsidP="00DE1C83">
            <w:pPr>
              <w:pStyle w:val="Tablecolumnheading"/>
              <w:spacing w:before="0"/>
              <w:ind w:left="0"/>
              <w:rPr>
                <w:b/>
                <w:sz w:val="22"/>
                <w:szCs w:val="22"/>
              </w:rPr>
            </w:pPr>
            <w:r w:rsidRPr="00DE1C83">
              <w:rPr>
                <w:b/>
                <w:sz w:val="22"/>
                <w:szCs w:val="22"/>
              </w:rPr>
              <w:t>Indicators</w:t>
            </w:r>
          </w:p>
        </w:tc>
      </w:tr>
      <w:tr w:rsidR="00D31D4B" w:rsidRPr="00801336" w14:paraId="62FE923D" w14:textId="77777777" w:rsidTr="00F01A4B">
        <w:trPr>
          <w:trHeight w:val="429"/>
        </w:trPr>
        <w:tc>
          <w:tcPr>
            <w:tcW w:w="1875" w:type="pct"/>
            <w:vMerge w:val="restart"/>
            <w:tcBorders>
              <w:top w:val="single" w:sz="4" w:space="0" w:color="495965"/>
            </w:tcBorders>
            <w:vAlign w:val="center"/>
          </w:tcPr>
          <w:p w14:paraId="53F88CA3" w14:textId="77777777" w:rsidR="00D31D4B" w:rsidRPr="00DE1C83" w:rsidRDefault="00D31D4B" w:rsidP="00DE1C83">
            <w:pPr>
              <w:pStyle w:val="Tablebodytext"/>
              <w:spacing w:before="0"/>
              <w:ind w:left="0"/>
              <w:rPr>
                <w:color w:val="auto"/>
                <w:sz w:val="22"/>
                <w:szCs w:val="22"/>
              </w:rPr>
            </w:pPr>
            <w:r w:rsidRPr="00DE1C83">
              <w:rPr>
                <w:color w:val="auto"/>
                <w:sz w:val="22"/>
                <w:szCs w:val="22"/>
              </w:rPr>
              <w:t>Total education expenditure</w:t>
            </w:r>
          </w:p>
        </w:tc>
        <w:tc>
          <w:tcPr>
            <w:tcW w:w="3125" w:type="pct"/>
            <w:tcBorders>
              <w:top w:val="single" w:sz="4" w:space="0" w:color="495965"/>
              <w:bottom w:val="single" w:sz="4" w:space="0" w:color="495965"/>
            </w:tcBorders>
            <w:vAlign w:val="center"/>
          </w:tcPr>
          <w:p w14:paraId="01382C0D" w14:textId="7E9EB096" w:rsidR="00D31D4B" w:rsidRPr="00DE1C83" w:rsidRDefault="00D31D4B" w:rsidP="00DE1C83">
            <w:pPr>
              <w:pStyle w:val="Tablebodytext"/>
              <w:spacing w:before="0"/>
              <w:ind w:left="0"/>
              <w:rPr>
                <w:color w:val="auto"/>
                <w:sz w:val="22"/>
                <w:szCs w:val="22"/>
              </w:rPr>
            </w:pPr>
            <w:r w:rsidRPr="00DE1C83">
              <w:rPr>
                <w:color w:val="auto"/>
                <w:sz w:val="22"/>
                <w:szCs w:val="22"/>
              </w:rPr>
              <w:t xml:space="preserve">Public education expenditure as </w:t>
            </w:r>
            <w:r w:rsidR="00082C23" w:rsidRPr="00DE1C83">
              <w:rPr>
                <w:color w:val="auto"/>
                <w:sz w:val="22"/>
                <w:szCs w:val="22"/>
              </w:rPr>
              <w:t>percentage</w:t>
            </w:r>
            <w:r w:rsidRPr="00DE1C83">
              <w:rPr>
                <w:color w:val="auto"/>
                <w:sz w:val="22"/>
                <w:szCs w:val="22"/>
              </w:rPr>
              <w:t xml:space="preserve"> of </w:t>
            </w:r>
            <w:r w:rsidR="00E73750" w:rsidRPr="00DE1C83">
              <w:rPr>
                <w:color w:val="auto"/>
                <w:sz w:val="22"/>
                <w:szCs w:val="22"/>
              </w:rPr>
              <w:t>G</w:t>
            </w:r>
            <w:r w:rsidR="006E4952">
              <w:rPr>
                <w:color w:val="auto"/>
                <w:sz w:val="22"/>
                <w:szCs w:val="22"/>
              </w:rPr>
              <w:t xml:space="preserve">ross </w:t>
            </w:r>
            <w:r w:rsidR="00E73750" w:rsidRPr="00DE1C83">
              <w:rPr>
                <w:color w:val="auto"/>
                <w:sz w:val="22"/>
                <w:szCs w:val="22"/>
              </w:rPr>
              <w:t>D</w:t>
            </w:r>
            <w:r w:rsidR="006E4952">
              <w:rPr>
                <w:color w:val="auto"/>
                <w:sz w:val="22"/>
                <w:szCs w:val="22"/>
              </w:rPr>
              <w:t xml:space="preserve">omestic </w:t>
            </w:r>
            <w:r w:rsidR="00E73750" w:rsidRPr="00DE1C83">
              <w:rPr>
                <w:color w:val="auto"/>
                <w:sz w:val="22"/>
                <w:szCs w:val="22"/>
              </w:rPr>
              <w:t>P</w:t>
            </w:r>
            <w:r w:rsidR="006E4952">
              <w:rPr>
                <w:color w:val="auto"/>
                <w:sz w:val="22"/>
                <w:szCs w:val="22"/>
              </w:rPr>
              <w:t>roduct (GDP)</w:t>
            </w:r>
          </w:p>
        </w:tc>
      </w:tr>
      <w:tr w:rsidR="00D31D4B" w:rsidRPr="00801336" w14:paraId="0B204FA0" w14:textId="77777777" w:rsidTr="00F01A4B">
        <w:trPr>
          <w:trHeight w:val="429"/>
        </w:trPr>
        <w:tc>
          <w:tcPr>
            <w:tcW w:w="1875" w:type="pct"/>
            <w:vMerge/>
            <w:vAlign w:val="center"/>
          </w:tcPr>
          <w:p w14:paraId="5B3D0BBF" w14:textId="77777777" w:rsidR="00D31D4B" w:rsidRPr="00DE1C83" w:rsidRDefault="00D31D4B" w:rsidP="00D31D4B">
            <w:pPr>
              <w:pStyle w:val="Tablebodytext"/>
              <w:spacing w:before="0"/>
              <w:rPr>
                <w:color w:val="auto"/>
                <w:sz w:val="22"/>
                <w:szCs w:val="22"/>
              </w:rPr>
            </w:pPr>
          </w:p>
        </w:tc>
        <w:tc>
          <w:tcPr>
            <w:tcW w:w="3125" w:type="pct"/>
            <w:tcBorders>
              <w:top w:val="single" w:sz="4" w:space="0" w:color="495965"/>
              <w:bottom w:val="single" w:sz="4" w:space="0" w:color="495965"/>
            </w:tcBorders>
            <w:vAlign w:val="center"/>
          </w:tcPr>
          <w:p w14:paraId="4FF87EAB" w14:textId="77777777" w:rsidR="00D31D4B" w:rsidRPr="00DE1C83" w:rsidRDefault="00D31D4B" w:rsidP="00DE1C83">
            <w:pPr>
              <w:pStyle w:val="Tablebodytext"/>
              <w:spacing w:before="0"/>
              <w:ind w:left="0"/>
              <w:rPr>
                <w:color w:val="auto"/>
                <w:sz w:val="22"/>
                <w:szCs w:val="22"/>
              </w:rPr>
            </w:pPr>
            <w:r w:rsidRPr="00DE1C83">
              <w:rPr>
                <w:color w:val="auto"/>
                <w:sz w:val="22"/>
                <w:szCs w:val="22"/>
              </w:rPr>
              <w:t>Public education expenditure a</w:t>
            </w:r>
            <w:r w:rsidR="00082C23" w:rsidRPr="00DE1C83">
              <w:rPr>
                <w:color w:val="auto"/>
                <w:sz w:val="22"/>
                <w:szCs w:val="22"/>
              </w:rPr>
              <w:t xml:space="preserve">s percentage </w:t>
            </w:r>
            <w:r w:rsidRPr="00DE1C83">
              <w:rPr>
                <w:color w:val="auto"/>
                <w:sz w:val="22"/>
                <w:szCs w:val="22"/>
              </w:rPr>
              <w:t>of total public expenditure</w:t>
            </w:r>
          </w:p>
        </w:tc>
      </w:tr>
      <w:tr w:rsidR="00D31D4B" w:rsidRPr="00801336" w14:paraId="30D625EF" w14:textId="77777777" w:rsidTr="00F01A4B">
        <w:trPr>
          <w:trHeight w:val="429"/>
        </w:trPr>
        <w:tc>
          <w:tcPr>
            <w:tcW w:w="1875" w:type="pct"/>
            <w:vMerge/>
            <w:tcBorders>
              <w:bottom w:val="single" w:sz="4" w:space="0" w:color="495965"/>
            </w:tcBorders>
            <w:vAlign w:val="center"/>
          </w:tcPr>
          <w:p w14:paraId="719B5702" w14:textId="77777777" w:rsidR="00D31D4B" w:rsidRPr="00DE1C83" w:rsidRDefault="00D31D4B" w:rsidP="00D31D4B">
            <w:pPr>
              <w:pStyle w:val="Tablebodytext"/>
              <w:spacing w:before="0"/>
              <w:rPr>
                <w:color w:val="auto"/>
                <w:sz w:val="22"/>
                <w:szCs w:val="22"/>
              </w:rPr>
            </w:pPr>
          </w:p>
        </w:tc>
        <w:tc>
          <w:tcPr>
            <w:tcW w:w="3125" w:type="pct"/>
            <w:tcBorders>
              <w:top w:val="single" w:sz="4" w:space="0" w:color="495965"/>
              <w:bottom w:val="single" w:sz="4" w:space="0" w:color="495965"/>
            </w:tcBorders>
            <w:vAlign w:val="center"/>
          </w:tcPr>
          <w:p w14:paraId="6F65D62B" w14:textId="77777777" w:rsidR="00D31D4B" w:rsidRPr="00DE1C83" w:rsidRDefault="00D31D4B" w:rsidP="00DE1C83">
            <w:pPr>
              <w:pStyle w:val="Tablebodytext"/>
              <w:spacing w:before="0"/>
              <w:ind w:left="0"/>
              <w:rPr>
                <w:color w:val="auto"/>
                <w:sz w:val="22"/>
                <w:szCs w:val="22"/>
              </w:rPr>
            </w:pPr>
            <w:r w:rsidRPr="00DE1C83">
              <w:rPr>
                <w:color w:val="auto"/>
                <w:sz w:val="22"/>
                <w:szCs w:val="22"/>
              </w:rPr>
              <w:t>Donor share of total education expenditure</w:t>
            </w:r>
          </w:p>
        </w:tc>
      </w:tr>
      <w:tr w:rsidR="00D31D4B" w:rsidRPr="00801336" w14:paraId="298F11D9" w14:textId="77777777" w:rsidTr="00F01A4B">
        <w:trPr>
          <w:trHeight w:val="429"/>
        </w:trPr>
        <w:tc>
          <w:tcPr>
            <w:tcW w:w="1875" w:type="pct"/>
            <w:vMerge w:val="restart"/>
            <w:tcBorders>
              <w:top w:val="single" w:sz="4" w:space="0" w:color="495965"/>
            </w:tcBorders>
            <w:vAlign w:val="center"/>
          </w:tcPr>
          <w:p w14:paraId="227A1479" w14:textId="77777777" w:rsidR="00D31D4B" w:rsidRPr="00DE1C83" w:rsidRDefault="00D31D4B" w:rsidP="00DE1C83">
            <w:pPr>
              <w:pStyle w:val="Tablebodytext"/>
              <w:spacing w:before="0"/>
              <w:ind w:left="0"/>
              <w:rPr>
                <w:color w:val="auto"/>
                <w:sz w:val="22"/>
                <w:szCs w:val="22"/>
              </w:rPr>
            </w:pPr>
            <w:r w:rsidRPr="00DE1C83">
              <w:rPr>
                <w:color w:val="auto"/>
                <w:sz w:val="22"/>
                <w:szCs w:val="22"/>
              </w:rPr>
              <w:t>Average public unit cost</w:t>
            </w:r>
          </w:p>
        </w:tc>
        <w:tc>
          <w:tcPr>
            <w:tcW w:w="3125" w:type="pct"/>
            <w:tcBorders>
              <w:top w:val="single" w:sz="4" w:space="0" w:color="495965"/>
              <w:bottom w:val="single" w:sz="4" w:space="0" w:color="495965"/>
            </w:tcBorders>
            <w:vAlign w:val="center"/>
          </w:tcPr>
          <w:p w14:paraId="407026D8" w14:textId="77777777" w:rsidR="00D31D4B" w:rsidRPr="00DE1C83" w:rsidRDefault="00D31D4B" w:rsidP="00DE1C83">
            <w:pPr>
              <w:pStyle w:val="Tablebodytext"/>
              <w:spacing w:before="0"/>
              <w:ind w:left="0"/>
              <w:rPr>
                <w:color w:val="auto"/>
                <w:sz w:val="22"/>
                <w:szCs w:val="22"/>
              </w:rPr>
            </w:pPr>
            <w:r w:rsidRPr="00DE1C83">
              <w:rPr>
                <w:color w:val="auto"/>
                <w:sz w:val="22"/>
                <w:szCs w:val="22"/>
              </w:rPr>
              <w:t xml:space="preserve">Average public expenditure per student as </w:t>
            </w:r>
            <w:r w:rsidR="00082C23" w:rsidRPr="00DE1C83">
              <w:rPr>
                <w:color w:val="auto"/>
                <w:sz w:val="22"/>
                <w:szCs w:val="22"/>
              </w:rPr>
              <w:t>percentage</w:t>
            </w:r>
            <w:r w:rsidRPr="00DE1C83">
              <w:rPr>
                <w:color w:val="auto"/>
                <w:sz w:val="22"/>
                <w:szCs w:val="22"/>
              </w:rPr>
              <w:t xml:space="preserve"> of </w:t>
            </w:r>
            <w:r w:rsidR="00E73750" w:rsidRPr="00DE1C83">
              <w:rPr>
                <w:color w:val="auto"/>
                <w:sz w:val="22"/>
                <w:szCs w:val="22"/>
              </w:rPr>
              <w:t xml:space="preserve">GDP </w:t>
            </w:r>
            <w:r w:rsidRPr="00DE1C83">
              <w:rPr>
                <w:color w:val="auto"/>
                <w:sz w:val="22"/>
                <w:szCs w:val="22"/>
              </w:rPr>
              <w:t>per capita</w:t>
            </w:r>
          </w:p>
        </w:tc>
      </w:tr>
      <w:tr w:rsidR="00D31D4B" w:rsidRPr="00801336" w14:paraId="45EB5272" w14:textId="77777777" w:rsidTr="00F01A4B">
        <w:trPr>
          <w:trHeight w:val="429"/>
        </w:trPr>
        <w:tc>
          <w:tcPr>
            <w:tcW w:w="1875" w:type="pct"/>
            <w:vMerge/>
            <w:tcBorders>
              <w:bottom w:val="single" w:sz="4" w:space="0" w:color="495965"/>
            </w:tcBorders>
            <w:vAlign w:val="center"/>
          </w:tcPr>
          <w:p w14:paraId="70AC8274" w14:textId="77777777" w:rsidR="00D31D4B" w:rsidRPr="00DE1C83" w:rsidRDefault="00D31D4B" w:rsidP="00D31D4B">
            <w:pPr>
              <w:pStyle w:val="Tablebodytext"/>
              <w:spacing w:before="0"/>
              <w:rPr>
                <w:color w:val="auto"/>
                <w:sz w:val="22"/>
                <w:szCs w:val="22"/>
              </w:rPr>
            </w:pPr>
          </w:p>
        </w:tc>
        <w:tc>
          <w:tcPr>
            <w:tcW w:w="3125" w:type="pct"/>
            <w:tcBorders>
              <w:top w:val="single" w:sz="4" w:space="0" w:color="495965"/>
              <w:bottom w:val="single" w:sz="4" w:space="0" w:color="495965"/>
            </w:tcBorders>
            <w:vAlign w:val="center"/>
          </w:tcPr>
          <w:p w14:paraId="25158711" w14:textId="77777777" w:rsidR="00D31D4B" w:rsidRPr="00DE1C83" w:rsidRDefault="00D31D4B" w:rsidP="00DE1C83">
            <w:pPr>
              <w:pStyle w:val="Tablebodytext"/>
              <w:spacing w:before="0"/>
              <w:ind w:left="0"/>
              <w:rPr>
                <w:color w:val="auto"/>
                <w:sz w:val="22"/>
                <w:szCs w:val="22"/>
              </w:rPr>
            </w:pPr>
            <w:r w:rsidRPr="00DE1C83">
              <w:rPr>
                <w:color w:val="auto"/>
                <w:sz w:val="22"/>
                <w:szCs w:val="22"/>
              </w:rPr>
              <w:t>Average public expenditure per student</w:t>
            </w:r>
          </w:p>
        </w:tc>
      </w:tr>
    </w:tbl>
    <w:p w14:paraId="6FC6ACE3" w14:textId="77777777" w:rsidR="00E578A6" w:rsidRDefault="00E578A6" w:rsidP="002274CF">
      <w:pPr>
        <w:pStyle w:val="Paraspace"/>
        <w:spacing w:before="0"/>
      </w:pPr>
    </w:p>
    <w:p w14:paraId="33E379A0" w14:textId="77777777" w:rsidR="00EB2DC4" w:rsidRDefault="00EB2DC4" w:rsidP="002505ED">
      <w:pPr>
        <w:pStyle w:val="Heading2"/>
      </w:pPr>
      <w:r>
        <w:t xml:space="preserve">Share of </w:t>
      </w:r>
      <w:r w:rsidR="00A02FCF">
        <w:t>p</w:t>
      </w:r>
      <w:r>
        <w:t>ublic expenditure</w:t>
      </w:r>
    </w:p>
    <w:p w14:paraId="38BDBE06" w14:textId="0A58D722" w:rsidR="00EB2DC4" w:rsidRPr="006F302E" w:rsidRDefault="00665F09" w:rsidP="00665F09">
      <w:pPr>
        <w:pStyle w:val="BodyText"/>
        <w:rPr>
          <w:rStyle w:val="LinkChar"/>
          <w:lang w:val="en-AU"/>
        </w:rPr>
      </w:pPr>
      <w:r w:rsidRPr="00665F09">
        <w:t>A key indicator of financial commitment towards education is assessed through</w:t>
      </w:r>
      <w:r>
        <w:t xml:space="preserve"> </w:t>
      </w:r>
      <w:r w:rsidRPr="00665F09">
        <w:t xml:space="preserve">public expenditure on education as a proportion of the total public expenditure. This indicator measures the commitment a government gives to education relative to its other obligations. The Global Partnership for </w:t>
      </w:r>
      <w:r w:rsidRPr="006F302E">
        <w:t xml:space="preserve">Education (GPE) suggests an indicative 15 to 20 per cent share of the national budget should be invested in </w:t>
      </w:r>
      <w:r w:rsidR="00043CB0" w:rsidRPr="006F302E">
        <w:t>education</w:t>
      </w:r>
      <w:r w:rsidR="00043CB0">
        <w:t xml:space="preserve"> (</w:t>
      </w:r>
      <w:r w:rsidR="00E01CCF" w:rsidRPr="006F302E">
        <w:t>GPE developing country partners increased their average spend on education from 14.9</w:t>
      </w:r>
      <w:r w:rsidR="006E4952" w:rsidRPr="006F302E">
        <w:t xml:space="preserve"> per cent</w:t>
      </w:r>
      <w:r w:rsidR="00E01CCF" w:rsidRPr="006F302E">
        <w:t xml:space="preserve"> to 16.9</w:t>
      </w:r>
      <w:r w:rsidR="006E4952" w:rsidRPr="006F302E">
        <w:t xml:space="preserve"> per cent</w:t>
      </w:r>
      <w:r w:rsidR="00E01CCF" w:rsidRPr="006F302E">
        <w:t xml:space="preserve"> of national budget </w:t>
      </w:r>
      <w:r w:rsidR="00480776" w:rsidRPr="006F302E">
        <w:t>by 2016</w:t>
      </w:r>
      <w:r w:rsidR="00043CB0">
        <w:t>)</w:t>
      </w:r>
      <w:r w:rsidR="006F302E" w:rsidRPr="006F302E">
        <w:t>.</w:t>
      </w:r>
    </w:p>
    <w:p w14:paraId="77FF373A" w14:textId="6D44026D" w:rsidR="006F302E" w:rsidRDefault="00665F09" w:rsidP="00665F09">
      <w:pPr>
        <w:pStyle w:val="Source"/>
      </w:pPr>
      <w:r w:rsidRPr="006F302E">
        <w:t xml:space="preserve">Source: </w:t>
      </w:r>
      <w:r w:rsidR="006F302E" w:rsidRPr="006F302E">
        <w:t>GPE</w:t>
      </w:r>
      <w:r w:rsidR="006F302E">
        <w:t xml:space="preserve"> 2018, </w:t>
      </w:r>
      <w:hyperlink r:id="rId16" w:history="1">
        <w:r w:rsidR="006F302E" w:rsidRPr="006F302E">
          <w:t>GPE’s engagement on domestic financing for education</w:t>
        </w:r>
      </w:hyperlink>
      <w:r w:rsidR="006F302E" w:rsidRPr="006F302E">
        <w:t>.</w:t>
      </w:r>
    </w:p>
    <w:p w14:paraId="0CF262D3" w14:textId="77777777" w:rsidR="00665F09" w:rsidRDefault="0022716B" w:rsidP="002505ED">
      <w:pPr>
        <w:pStyle w:val="Heading2"/>
      </w:pPr>
      <w:r>
        <w:t xml:space="preserve">Share of Gross </w:t>
      </w:r>
      <w:r w:rsidR="00792F00">
        <w:t xml:space="preserve">Domestic </w:t>
      </w:r>
      <w:r>
        <w:t>Product</w:t>
      </w:r>
    </w:p>
    <w:p w14:paraId="49C5ED7A" w14:textId="77777777" w:rsidR="0022716B" w:rsidRDefault="0022716B" w:rsidP="0022716B">
      <w:pPr>
        <w:pStyle w:val="BodyText"/>
      </w:pPr>
      <w:r>
        <w:t xml:space="preserve">Public education expenditure as a percentage of Gross </w:t>
      </w:r>
      <w:r w:rsidR="00792F00">
        <w:t xml:space="preserve">Domestic </w:t>
      </w:r>
      <w:r>
        <w:t>Product (G</w:t>
      </w:r>
      <w:r w:rsidR="00792F00">
        <w:t>D</w:t>
      </w:r>
      <w:r>
        <w:t>P)</w:t>
      </w:r>
      <w:r w:rsidR="00DC76F7">
        <w:t>,</w:t>
      </w:r>
      <w:r>
        <w:t xml:space="preserve"> measures government commitment to education relative to its national wealth. By mapping education expenditure to </w:t>
      </w:r>
      <w:r w:rsidR="00792F00">
        <w:t>GDP</w:t>
      </w:r>
      <w:r>
        <w:t>, problems associated with comparisons to other countries, which may have different sized public sectors, are avoided. This also allows comparison</w:t>
      </w:r>
      <w:r w:rsidR="00DC76F7">
        <w:t>s</w:t>
      </w:r>
      <w:r>
        <w:t xml:space="preserve"> of expenditure trends in a country which has altered the size of its public sector across time. This indicator is used in tandem with education share of public expenditure.</w:t>
      </w:r>
    </w:p>
    <w:p w14:paraId="390B4134" w14:textId="0F8DFD60" w:rsidR="000B41AE" w:rsidRDefault="0022716B" w:rsidP="0022716B">
      <w:pPr>
        <w:pStyle w:val="BodyText"/>
      </w:pPr>
      <w:r w:rsidRPr="006F302E">
        <w:t xml:space="preserve">The </w:t>
      </w:r>
      <w:hyperlink r:id="rId17" w:history="1">
        <w:r w:rsidRPr="006F302E">
          <w:rPr>
            <w:rStyle w:val="LinkChar"/>
          </w:rPr>
          <w:t>Education 2030 Framework for Action</w:t>
        </w:r>
      </w:hyperlink>
      <w:r w:rsidRPr="006F302E">
        <w:t xml:space="preserve"> suggests</w:t>
      </w:r>
      <w:r>
        <w:t xml:space="preserve"> that public education expenditure should be between </w:t>
      </w:r>
      <w:r w:rsidR="00AC33BF">
        <w:t>four</w:t>
      </w:r>
      <w:r>
        <w:t xml:space="preserve"> and </w:t>
      </w:r>
      <w:r w:rsidR="00AC33BF">
        <w:t>six</w:t>
      </w:r>
      <w:r>
        <w:t xml:space="preserve"> per cent of </w:t>
      </w:r>
      <w:r w:rsidR="007F79CE">
        <w:t>GDP</w:t>
      </w:r>
      <w:r w:rsidR="006F302E">
        <w:t>.</w:t>
      </w:r>
    </w:p>
    <w:p w14:paraId="69492051" w14:textId="1700F6AA" w:rsidR="006F302E" w:rsidRDefault="006F302E" w:rsidP="006F302E">
      <w:pPr>
        <w:pStyle w:val="Source"/>
      </w:pPr>
      <w:r>
        <w:t>Source: UNESCO 2016.</w:t>
      </w:r>
    </w:p>
    <w:p w14:paraId="49343D55" w14:textId="7FD13FC7" w:rsidR="0022716B" w:rsidRDefault="0022716B" w:rsidP="0022716B">
      <w:pPr>
        <w:pStyle w:val="BodyText"/>
      </w:pPr>
      <w:r>
        <w:t xml:space="preserve">Smaller countries with dispersed or isolated populations (such as Pacific countries) will tend to have a higher percentage allocation because of the high costs associated with providing services to rural and remote locations. </w:t>
      </w:r>
      <w:r w:rsidR="00C61FD2">
        <w:t>Figure 1 shows at least 33 countries did not meet the education financing benchmarks.</w:t>
      </w:r>
    </w:p>
    <w:p w14:paraId="2C1257A2" w14:textId="48421A63" w:rsidR="000B41AE" w:rsidRPr="00801336" w:rsidRDefault="000B41AE" w:rsidP="000B41AE">
      <w:pPr>
        <w:pStyle w:val="Tablecaption"/>
        <w:keepNext/>
        <w:keepLines/>
        <w:widowControl/>
        <w:rPr>
          <w:sz w:val="20"/>
          <w:szCs w:val="20"/>
        </w:rPr>
      </w:pPr>
      <w:r>
        <w:t>Figure 1</w:t>
      </w:r>
      <w:r w:rsidRPr="00801336">
        <w:t xml:space="preserve"> – </w:t>
      </w:r>
      <w:r>
        <w:t>Public education expenditure as a share of GDP and of total public expenditure, 2015 or most recent year</w:t>
      </w:r>
    </w:p>
    <w:p w14:paraId="7421C1D0" w14:textId="77777777" w:rsidR="001555CD" w:rsidRDefault="001555CD" w:rsidP="001555CD">
      <w:pPr>
        <w:pStyle w:val="Tablecaption"/>
        <w:jc w:val="center"/>
      </w:pPr>
      <w:r>
        <w:rPr>
          <w:noProof/>
          <w:lang w:val="en-AU" w:eastAsia="en-AU"/>
        </w:rPr>
        <w:drawing>
          <wp:inline distT="0" distB="0" distL="0" distR="0" wp14:anchorId="7E1516AE" wp14:editId="0A140774">
            <wp:extent cx="5592811" cy="32956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5592" cy="3303181"/>
                    </a:xfrm>
                    <a:prstGeom prst="rect">
                      <a:avLst/>
                    </a:prstGeom>
                  </pic:spPr>
                </pic:pic>
              </a:graphicData>
            </a:graphic>
          </wp:inline>
        </w:drawing>
      </w:r>
    </w:p>
    <w:p w14:paraId="4E1543E5" w14:textId="4754A4EB" w:rsidR="0022716B" w:rsidRDefault="001555CD" w:rsidP="0022716B">
      <w:pPr>
        <w:pStyle w:val="Source"/>
      </w:pPr>
      <w:r w:rsidRPr="00DD3C1F">
        <w:rPr>
          <w:rStyle w:val="Hyperlink"/>
          <w:color w:val="808285"/>
          <w:u w:val="none"/>
        </w:rPr>
        <w:t xml:space="preserve">Source: </w:t>
      </w:r>
      <w:r w:rsidRPr="009752F2">
        <w:t xml:space="preserve">UNESCO 2017, </w:t>
      </w:r>
      <w:hyperlink r:id="rId19" w:history="1">
        <w:r w:rsidRPr="009752F2">
          <w:t>Global Education Monitoring Report 2017/18: Accountability in education: Meeting our commitments</w:t>
        </w:r>
      </w:hyperlink>
      <w:r w:rsidRPr="009752F2">
        <w:t>, p.265</w:t>
      </w:r>
      <w:r w:rsidR="009752F2">
        <w:t>.</w:t>
      </w:r>
    </w:p>
    <w:p w14:paraId="15CAC550" w14:textId="77777777" w:rsidR="0083791C" w:rsidRDefault="0083791C">
      <w:pPr>
        <w:rPr>
          <w:rStyle w:val="LinkChar"/>
          <w:rFonts w:asciiTheme="majorHAnsi" w:eastAsiaTheme="majorEastAsia" w:hAnsiTheme="majorHAnsi" w:cstheme="majorBidi"/>
          <w:b/>
          <w:sz w:val="28"/>
          <w:szCs w:val="28"/>
        </w:rPr>
      </w:pPr>
      <w:r>
        <w:rPr>
          <w:rStyle w:val="LinkChar"/>
          <w:sz w:val="28"/>
          <w:szCs w:val="28"/>
        </w:rPr>
        <w:br w:type="page"/>
      </w:r>
    </w:p>
    <w:p w14:paraId="20DA816F" w14:textId="497E8540" w:rsidR="0022716B" w:rsidRPr="005D00AC" w:rsidRDefault="0022716B" w:rsidP="002505ED">
      <w:pPr>
        <w:pStyle w:val="Heading2"/>
        <w:rPr>
          <w:rStyle w:val="LinkChar"/>
          <w:sz w:val="28"/>
          <w:szCs w:val="28"/>
        </w:rPr>
      </w:pPr>
      <w:r w:rsidRPr="005D00AC">
        <w:rPr>
          <w:rStyle w:val="LinkChar"/>
          <w:sz w:val="28"/>
          <w:szCs w:val="28"/>
        </w:rPr>
        <w:t>Donor share of total education expenditure</w:t>
      </w:r>
    </w:p>
    <w:p w14:paraId="79A43F9C" w14:textId="1759A059" w:rsidR="008666E1" w:rsidRDefault="00FA4445" w:rsidP="0022716B">
      <w:pPr>
        <w:pStyle w:val="BodyText"/>
      </w:pPr>
      <w:r w:rsidRPr="00FA4445">
        <w:t xml:space="preserve">Donor share of total education expenditure </w:t>
      </w:r>
      <w:r w:rsidR="002552F9">
        <w:t xml:space="preserve">(public and private sources) </w:t>
      </w:r>
      <w:r w:rsidRPr="00FA4445">
        <w:t xml:space="preserve">shows the extent of a government’s reliance on donors for the financing of its education system. </w:t>
      </w:r>
      <w:r w:rsidR="00EB3CCF">
        <w:t>D</w:t>
      </w:r>
      <w:r w:rsidRPr="00FA4445">
        <w:t xml:space="preserve">onor funding has tended to target non-recurrent expenditure (e.g. in support of sector reforms), </w:t>
      </w:r>
      <w:r w:rsidR="008666E1">
        <w:t>and to do so outside of partner government systems</w:t>
      </w:r>
      <w:r w:rsidR="00EB3CCF">
        <w:t>. Donor</w:t>
      </w:r>
      <w:r w:rsidR="008666E1">
        <w:t xml:space="preserve"> </w:t>
      </w:r>
      <w:r w:rsidRPr="00FA4445">
        <w:t xml:space="preserve">funding </w:t>
      </w:r>
      <w:r w:rsidR="00EB3CCF">
        <w:t xml:space="preserve">can also be </w:t>
      </w:r>
      <w:r w:rsidRPr="00FA4445">
        <w:t xml:space="preserve">channeled through partner government systems </w:t>
      </w:r>
      <w:r w:rsidR="00EB3CCF">
        <w:t xml:space="preserve">which </w:t>
      </w:r>
      <w:r w:rsidRPr="00FA4445">
        <w:t xml:space="preserve">may support recurrent or non-recurrent budget lines, </w:t>
      </w:r>
      <w:r w:rsidR="007A26A4">
        <w:t xml:space="preserve">or a mix of both, </w:t>
      </w:r>
      <w:r w:rsidRPr="00FA4445">
        <w:t>depending on partnership priorities.</w:t>
      </w:r>
    </w:p>
    <w:p w14:paraId="2D293E08" w14:textId="77777777" w:rsidR="004220BF" w:rsidRDefault="004220BF" w:rsidP="002505ED">
      <w:pPr>
        <w:pStyle w:val="Heading2"/>
      </w:pPr>
      <w:r>
        <w:t>Average public unit costs</w:t>
      </w:r>
    </w:p>
    <w:p w14:paraId="223D8436" w14:textId="097838D0" w:rsidR="004220BF" w:rsidRDefault="004220BF" w:rsidP="004220BF">
      <w:pPr>
        <w:pStyle w:val="BodyText"/>
      </w:pPr>
      <w:r w:rsidRPr="004220BF">
        <w:t xml:space="preserve">Average public unit costs for education show the real changes in funding for education by factoring in the changing size of enrolments over time. In developing countries, big school population changes can occur very quickly (e.g. if school fees are abolished, enrolments can increase </w:t>
      </w:r>
      <w:r w:rsidR="007A26A4">
        <w:t>substantially</w:t>
      </w:r>
      <w:r w:rsidRPr="004220BF">
        <w:t>), which in turn can greatly reduce the amount of investment per student.</w:t>
      </w:r>
    </w:p>
    <w:p w14:paraId="2D05D426" w14:textId="77777777" w:rsidR="003E1414" w:rsidRDefault="003E1414" w:rsidP="002505ED">
      <w:pPr>
        <w:pStyle w:val="Heading2"/>
      </w:pPr>
      <w:r>
        <w:t>Increased education expenditure?</w:t>
      </w:r>
    </w:p>
    <w:p w14:paraId="53A8890D" w14:textId="77777777" w:rsidR="003E1414" w:rsidRDefault="003E1414" w:rsidP="003E1414">
      <w:pPr>
        <w:pStyle w:val="BodyText"/>
      </w:pPr>
      <w:r w:rsidRPr="003E1414">
        <w:t>Equally important factors for analysis are the actual per student amount and trends over time. Time-series analysis and regional comparisons are valuable for all the above indicators.</w:t>
      </w:r>
      <w:r>
        <w:t xml:space="preserve"> </w:t>
      </w:r>
      <w:r w:rsidRPr="003E1414">
        <w:t>Increased education expenditure does not automatically translate to better learning outcomes for children, and monitoring levels of education expenditure does not tell us anything about how effectively that money is being used. However, monitoring trends, comparing levels with other countries, and matching these expenditures with changing expectations of government can give us a valuable perspective on what is likely to happen in terms of educational development.</w:t>
      </w:r>
    </w:p>
    <w:p w14:paraId="039E89FF" w14:textId="77777777" w:rsidR="003E1414" w:rsidRDefault="00412C72" w:rsidP="002505ED">
      <w:pPr>
        <w:pStyle w:val="Heading2"/>
      </w:pPr>
      <w:r>
        <w:t>National and international data analysis</w:t>
      </w:r>
    </w:p>
    <w:p w14:paraId="7420C00B" w14:textId="77777777" w:rsidR="00412C72" w:rsidRDefault="00412C72" w:rsidP="00412C72">
      <w:pPr>
        <w:pStyle w:val="BodyText"/>
      </w:pPr>
      <w:r w:rsidRPr="00412C72">
        <w:t xml:space="preserve">All the aforementioned indicators (except for donor share of total education expenditure) are used extensively </w:t>
      </w:r>
      <w:r w:rsidR="000C5F65">
        <w:t>by</w:t>
      </w:r>
      <w:r w:rsidRPr="00412C72">
        <w:t xml:space="preserve"> developed and developing countries</w:t>
      </w:r>
      <w:r w:rsidR="000C5F65">
        <w:t>. These indicators</w:t>
      </w:r>
      <w:r w:rsidRPr="00412C72">
        <w:t xml:space="preserve"> can be found in the statistical tables of UNESCO’s</w:t>
      </w:r>
      <w:r>
        <w:t xml:space="preserve"> </w:t>
      </w:r>
      <w:hyperlink r:id="rId20" w:history="1">
        <w:r w:rsidRPr="00AC33BF">
          <w:t xml:space="preserve">annual </w:t>
        </w:r>
        <w:r w:rsidRPr="00412C72">
          <w:rPr>
            <w:rStyle w:val="LinkChar"/>
          </w:rPr>
          <w:t>Global Education Monitoring Report</w:t>
        </w:r>
      </w:hyperlink>
      <w:r w:rsidRPr="00412C72">
        <w:t>.</w:t>
      </w:r>
      <w:r>
        <w:t xml:space="preserve"> </w:t>
      </w:r>
      <w:r w:rsidRPr="00412C72">
        <w:t>Another useful source for international education and training finance-related data is held by the</w:t>
      </w:r>
      <w:r>
        <w:t xml:space="preserve"> </w:t>
      </w:r>
      <w:hyperlink r:id="rId21" w:history="1">
        <w:r w:rsidRPr="00412C72">
          <w:rPr>
            <w:rStyle w:val="LinkChar"/>
          </w:rPr>
          <w:t>OECD.Stat</w:t>
        </w:r>
      </w:hyperlink>
      <w:r>
        <w:t>.</w:t>
      </w:r>
    </w:p>
    <w:p w14:paraId="27745FFB" w14:textId="77777777" w:rsidR="00773D7F" w:rsidRPr="00773D7F" w:rsidRDefault="00773D7F" w:rsidP="00773D7F">
      <w:pPr>
        <w:pStyle w:val="BodyText"/>
      </w:pPr>
      <w:r w:rsidRPr="00773D7F">
        <w:t>There is</w:t>
      </w:r>
      <w:r w:rsidR="000A1904">
        <w:t>,</w:t>
      </w:r>
      <w:r w:rsidRPr="00773D7F">
        <w:t xml:space="preserve"> however, still a lack of comparable finance-related data across all countries. The UNESCO Institute for Statistics (UIS) has the mandate to collate education finance-related data, and the most recent updates can be found via its</w:t>
      </w:r>
      <w:r>
        <w:t xml:space="preserve"> </w:t>
      </w:r>
      <w:hyperlink r:id="rId22" w:history="1">
        <w:r w:rsidRPr="00773D7F">
          <w:rPr>
            <w:rStyle w:val="LinkChar"/>
          </w:rPr>
          <w:t>UIS Education Finance website.</w:t>
        </w:r>
      </w:hyperlink>
    </w:p>
    <w:p w14:paraId="1CBC42EC" w14:textId="106C08E6" w:rsidR="006F302E" w:rsidRDefault="006F302E" w:rsidP="006F302E">
      <w:pPr>
        <w:pStyle w:val="Source"/>
      </w:pPr>
      <w:r>
        <w:t>Sources: UNESCO 2019, OECD</w:t>
      </w:r>
      <w:r w:rsidR="009752F2">
        <w:t xml:space="preserve"> n.d., </w:t>
      </w:r>
      <w:r>
        <w:t>UIS 2019</w:t>
      </w:r>
      <w:r w:rsidR="001E0364">
        <w:t>.</w:t>
      </w:r>
    </w:p>
    <w:p w14:paraId="3692EEEF" w14:textId="77777777" w:rsidR="00BE302D" w:rsidRDefault="00BE2A30" w:rsidP="003E1414">
      <w:pPr>
        <w:pStyle w:val="BodyText"/>
      </w:pPr>
      <w:r w:rsidRPr="00BE2A30">
        <w:t>See the following examples of education finance indicators, and source of data, and then complete the activity that follows</w:t>
      </w:r>
      <w:r>
        <w:t>.</w:t>
      </w:r>
    </w:p>
    <w:p w14:paraId="6B4EB53B" w14:textId="77777777" w:rsidR="0083791C" w:rsidRDefault="0083791C">
      <w:pPr>
        <w:rPr>
          <w:rStyle w:val="QuotedChar"/>
          <w:b/>
          <w:i w:val="0"/>
        </w:rPr>
      </w:pPr>
      <w:r>
        <w:rPr>
          <w:rStyle w:val="QuotedChar"/>
          <w:i w:val="0"/>
        </w:rPr>
        <w:br w:type="page"/>
      </w:r>
    </w:p>
    <w:p w14:paraId="3DE51CFE" w14:textId="1F005878" w:rsidR="00BE302D" w:rsidRDefault="00BE302D" w:rsidP="0031342C">
      <w:pPr>
        <w:pStyle w:val="Tablecaption"/>
      </w:pPr>
      <w:r>
        <w:rPr>
          <w:rStyle w:val="QuotedChar"/>
          <w:i w:val="0"/>
        </w:rPr>
        <w:t>Table 2 – Financial commitment to education: public spending (2015)</w:t>
      </w:r>
    </w:p>
    <w:tbl>
      <w:tblPr>
        <w:tblStyle w:val="DiplomaticAcademysasp"/>
        <w:tblW w:w="9098" w:type="dxa"/>
        <w:jc w:val="center"/>
        <w:tblLayout w:type="fixed"/>
        <w:tblLook w:val="04A0" w:firstRow="1" w:lastRow="0" w:firstColumn="1" w:lastColumn="0" w:noHBand="0" w:noVBand="1"/>
      </w:tblPr>
      <w:tblGrid>
        <w:gridCol w:w="1560"/>
        <w:gridCol w:w="1842"/>
        <w:gridCol w:w="1843"/>
        <w:gridCol w:w="1843"/>
        <w:gridCol w:w="2010"/>
      </w:tblGrid>
      <w:tr w:rsidR="00DE1C83" w:rsidRPr="00DE1C83" w14:paraId="4316915B" w14:textId="77777777" w:rsidTr="006C2640">
        <w:trPr>
          <w:cnfStyle w:val="100000000000" w:firstRow="1" w:lastRow="0" w:firstColumn="0" w:lastColumn="0" w:oddVBand="0" w:evenVBand="0" w:oddHBand="0" w:evenHBand="0" w:firstRowFirstColumn="0" w:firstRowLastColumn="0" w:lastRowFirstColumn="0" w:lastRowLastColumn="0"/>
          <w:trHeight w:val="380"/>
          <w:jc w:val="center"/>
        </w:trPr>
        <w:tc>
          <w:tcPr>
            <w:tcW w:w="1560" w:type="dxa"/>
            <w:tcBorders>
              <w:bottom w:val="single" w:sz="4" w:space="0" w:color="495965"/>
            </w:tcBorders>
            <w:shd w:val="clear" w:color="auto" w:fill="007C89"/>
            <w:vAlign w:val="center"/>
          </w:tcPr>
          <w:p w14:paraId="199611C5" w14:textId="77777777" w:rsidR="00BE302D" w:rsidRPr="00DE1C83" w:rsidRDefault="00BE302D" w:rsidP="00B51888">
            <w:pPr>
              <w:pStyle w:val="Tablecolumnheading"/>
              <w:spacing w:before="0"/>
              <w:rPr>
                <w:b/>
                <w:color w:val="auto"/>
                <w:sz w:val="22"/>
                <w:szCs w:val="22"/>
              </w:rPr>
            </w:pPr>
          </w:p>
        </w:tc>
        <w:tc>
          <w:tcPr>
            <w:tcW w:w="1842" w:type="dxa"/>
            <w:tcBorders>
              <w:bottom w:val="single" w:sz="4" w:space="0" w:color="495965"/>
            </w:tcBorders>
            <w:shd w:val="clear" w:color="auto" w:fill="007C89"/>
            <w:vAlign w:val="center"/>
          </w:tcPr>
          <w:p w14:paraId="2D346FB6" w14:textId="77777777" w:rsidR="00BE302D" w:rsidRPr="00DE1C83" w:rsidRDefault="00BE302D" w:rsidP="00DE1C83">
            <w:pPr>
              <w:pStyle w:val="Tablecolumnheading"/>
              <w:spacing w:before="0"/>
              <w:ind w:left="0"/>
              <w:rPr>
                <w:b/>
                <w:sz w:val="22"/>
                <w:szCs w:val="22"/>
              </w:rPr>
            </w:pPr>
            <w:r w:rsidRPr="00DE1C83">
              <w:rPr>
                <w:b/>
                <w:sz w:val="22"/>
                <w:szCs w:val="22"/>
              </w:rPr>
              <w:t>Government</w:t>
            </w:r>
            <w:r w:rsidR="00DE1C83" w:rsidRPr="00DE1C83">
              <w:rPr>
                <w:b/>
                <w:sz w:val="22"/>
                <w:szCs w:val="22"/>
              </w:rPr>
              <w:t xml:space="preserve"> e</w:t>
            </w:r>
            <w:r w:rsidRPr="00DE1C83">
              <w:rPr>
                <w:b/>
                <w:sz w:val="22"/>
                <w:szCs w:val="22"/>
              </w:rPr>
              <w:t xml:space="preserve">xpenditure on </w:t>
            </w:r>
            <w:r w:rsidR="00DE1C83" w:rsidRPr="00DE1C83">
              <w:rPr>
                <w:b/>
                <w:sz w:val="22"/>
                <w:szCs w:val="22"/>
              </w:rPr>
              <w:t>e</w:t>
            </w:r>
            <w:r w:rsidRPr="00DE1C83">
              <w:rPr>
                <w:b/>
                <w:sz w:val="22"/>
                <w:szCs w:val="22"/>
              </w:rPr>
              <w:t>ducation as a percentage of GDP</w:t>
            </w:r>
          </w:p>
        </w:tc>
        <w:tc>
          <w:tcPr>
            <w:tcW w:w="1843" w:type="dxa"/>
            <w:tcBorders>
              <w:bottom w:val="single" w:sz="4" w:space="0" w:color="495965"/>
            </w:tcBorders>
            <w:shd w:val="clear" w:color="auto" w:fill="007C89"/>
            <w:vAlign w:val="center"/>
          </w:tcPr>
          <w:p w14:paraId="4FAE54FC" w14:textId="77777777" w:rsidR="00BE302D" w:rsidRPr="00DE1C83" w:rsidRDefault="00BE302D" w:rsidP="00DE1C83">
            <w:pPr>
              <w:pStyle w:val="Tablecolumnheading"/>
              <w:spacing w:before="0"/>
              <w:rPr>
                <w:b/>
                <w:sz w:val="22"/>
                <w:szCs w:val="22"/>
              </w:rPr>
            </w:pPr>
            <w:r w:rsidRPr="00DE1C83">
              <w:rPr>
                <w:b/>
                <w:sz w:val="22"/>
                <w:szCs w:val="22"/>
              </w:rPr>
              <w:t xml:space="preserve">Expenditure on </w:t>
            </w:r>
            <w:r w:rsidR="00DE1C83" w:rsidRPr="00DE1C83">
              <w:rPr>
                <w:b/>
                <w:sz w:val="22"/>
                <w:szCs w:val="22"/>
              </w:rPr>
              <w:t>e</w:t>
            </w:r>
            <w:r w:rsidRPr="00DE1C83">
              <w:rPr>
                <w:b/>
                <w:sz w:val="22"/>
                <w:szCs w:val="22"/>
              </w:rPr>
              <w:t>ducation as a percentage of total government expenditure</w:t>
            </w:r>
          </w:p>
        </w:tc>
        <w:tc>
          <w:tcPr>
            <w:tcW w:w="1843" w:type="dxa"/>
            <w:tcBorders>
              <w:bottom w:val="single" w:sz="4" w:space="0" w:color="495965"/>
            </w:tcBorders>
            <w:shd w:val="clear" w:color="auto" w:fill="007C89"/>
            <w:vAlign w:val="center"/>
          </w:tcPr>
          <w:p w14:paraId="6DFF2667" w14:textId="77777777" w:rsidR="00BE302D" w:rsidRPr="00DE1C83" w:rsidRDefault="00BE302D" w:rsidP="00DE1C83">
            <w:pPr>
              <w:pStyle w:val="Tablecolumnheading"/>
              <w:spacing w:before="0"/>
              <w:ind w:left="0"/>
              <w:rPr>
                <w:b/>
                <w:sz w:val="22"/>
                <w:szCs w:val="22"/>
              </w:rPr>
            </w:pPr>
            <w:r w:rsidRPr="00DE1C83">
              <w:rPr>
                <w:b/>
                <w:sz w:val="22"/>
                <w:szCs w:val="22"/>
              </w:rPr>
              <w:t>Government expenditure on primary education as  per pupil as  percentage of GDP per capita</w:t>
            </w:r>
          </w:p>
        </w:tc>
        <w:tc>
          <w:tcPr>
            <w:tcW w:w="2010" w:type="dxa"/>
            <w:tcBorders>
              <w:bottom w:val="single" w:sz="4" w:space="0" w:color="495965"/>
            </w:tcBorders>
            <w:shd w:val="clear" w:color="auto" w:fill="007C89"/>
          </w:tcPr>
          <w:p w14:paraId="70713BF8" w14:textId="77777777" w:rsidR="00BE302D" w:rsidRPr="00DE1C83" w:rsidRDefault="00BE302D" w:rsidP="00DE1C83">
            <w:pPr>
              <w:pStyle w:val="Tablecolumnheading"/>
              <w:spacing w:before="0"/>
              <w:ind w:left="0"/>
              <w:rPr>
                <w:sz w:val="22"/>
                <w:szCs w:val="22"/>
              </w:rPr>
            </w:pPr>
            <w:r w:rsidRPr="00DE1C83">
              <w:rPr>
                <w:b/>
                <w:sz w:val="22"/>
                <w:szCs w:val="22"/>
              </w:rPr>
              <w:t>Government expenditure on secondary education per student as percentage of GDP per capita</w:t>
            </w:r>
          </w:p>
        </w:tc>
      </w:tr>
      <w:tr w:rsidR="00DE1C83" w:rsidRPr="00DE1C83" w14:paraId="15CA8A31" w14:textId="77777777" w:rsidTr="006C2640">
        <w:trPr>
          <w:trHeight w:val="367"/>
          <w:jc w:val="center"/>
        </w:trPr>
        <w:tc>
          <w:tcPr>
            <w:tcW w:w="1560" w:type="dxa"/>
            <w:tcBorders>
              <w:top w:val="single" w:sz="4" w:space="0" w:color="495965"/>
              <w:bottom w:val="single" w:sz="4" w:space="0" w:color="495965"/>
            </w:tcBorders>
            <w:vAlign w:val="center"/>
          </w:tcPr>
          <w:p w14:paraId="53D31810" w14:textId="77777777" w:rsidR="00BE302D" w:rsidRPr="00DE1C83" w:rsidRDefault="00BE302D" w:rsidP="0031342C">
            <w:pPr>
              <w:pStyle w:val="Tablebodytext"/>
              <w:spacing w:before="0"/>
              <w:jc w:val="center"/>
              <w:rPr>
                <w:color w:val="auto"/>
                <w:sz w:val="22"/>
                <w:szCs w:val="22"/>
              </w:rPr>
            </w:pPr>
          </w:p>
          <w:p w14:paraId="644F0D01" w14:textId="77777777" w:rsidR="00BE302D" w:rsidRPr="00DE1C83" w:rsidRDefault="00BE302D" w:rsidP="00DE1C83">
            <w:pPr>
              <w:pStyle w:val="Tablebodytext"/>
              <w:spacing w:before="0"/>
              <w:ind w:left="0"/>
              <w:rPr>
                <w:color w:val="auto"/>
                <w:sz w:val="22"/>
                <w:szCs w:val="22"/>
              </w:rPr>
            </w:pPr>
            <w:r w:rsidRPr="00DE1C83">
              <w:rPr>
                <w:color w:val="auto"/>
                <w:sz w:val="22"/>
                <w:szCs w:val="22"/>
              </w:rPr>
              <w:t>World</w:t>
            </w:r>
          </w:p>
          <w:p w14:paraId="47B2CE7B" w14:textId="77777777" w:rsidR="00BE302D" w:rsidRPr="00DE1C83" w:rsidRDefault="00BE302D" w:rsidP="0031342C">
            <w:pPr>
              <w:pStyle w:val="Tablebodytext"/>
              <w:spacing w:before="0"/>
              <w:jc w:val="center"/>
              <w:rPr>
                <w:color w:val="auto"/>
                <w:sz w:val="22"/>
                <w:szCs w:val="22"/>
              </w:rPr>
            </w:pPr>
          </w:p>
        </w:tc>
        <w:tc>
          <w:tcPr>
            <w:tcW w:w="1842" w:type="dxa"/>
            <w:tcBorders>
              <w:top w:val="single" w:sz="4" w:space="0" w:color="495965"/>
              <w:bottom w:val="single" w:sz="4" w:space="0" w:color="495965"/>
            </w:tcBorders>
            <w:vAlign w:val="center"/>
          </w:tcPr>
          <w:p w14:paraId="31A82CD6" w14:textId="77777777" w:rsidR="00BE302D" w:rsidRPr="00DE1C83" w:rsidRDefault="00BE302D" w:rsidP="006C2640">
            <w:pPr>
              <w:pStyle w:val="Tablebodytext"/>
              <w:spacing w:before="0"/>
              <w:ind w:left="0"/>
              <w:jc w:val="center"/>
              <w:rPr>
                <w:color w:val="auto"/>
                <w:sz w:val="22"/>
                <w:szCs w:val="22"/>
              </w:rPr>
            </w:pPr>
            <w:r w:rsidRPr="00DE1C83">
              <w:rPr>
                <w:color w:val="auto"/>
                <w:sz w:val="22"/>
                <w:szCs w:val="22"/>
              </w:rPr>
              <w:t>4.7</w:t>
            </w:r>
          </w:p>
        </w:tc>
        <w:tc>
          <w:tcPr>
            <w:tcW w:w="1843" w:type="dxa"/>
            <w:tcBorders>
              <w:top w:val="single" w:sz="4" w:space="0" w:color="495965"/>
              <w:bottom w:val="single" w:sz="4" w:space="0" w:color="495965"/>
            </w:tcBorders>
            <w:vAlign w:val="center"/>
          </w:tcPr>
          <w:p w14:paraId="1BCCD3A7" w14:textId="77777777" w:rsidR="00BE302D" w:rsidRPr="00DE1C83" w:rsidRDefault="00BE302D" w:rsidP="006C2640">
            <w:pPr>
              <w:pStyle w:val="Tablebodytext"/>
              <w:spacing w:before="0"/>
              <w:ind w:left="0"/>
              <w:jc w:val="center"/>
              <w:rPr>
                <w:color w:val="auto"/>
                <w:sz w:val="22"/>
                <w:szCs w:val="22"/>
              </w:rPr>
            </w:pPr>
            <w:r w:rsidRPr="00DE1C83">
              <w:rPr>
                <w:color w:val="auto"/>
                <w:sz w:val="22"/>
                <w:szCs w:val="22"/>
              </w:rPr>
              <w:t>13.7</w:t>
            </w:r>
          </w:p>
        </w:tc>
        <w:tc>
          <w:tcPr>
            <w:tcW w:w="1843" w:type="dxa"/>
            <w:tcBorders>
              <w:top w:val="single" w:sz="4" w:space="0" w:color="495965"/>
              <w:bottom w:val="single" w:sz="4" w:space="0" w:color="495965"/>
            </w:tcBorders>
            <w:vAlign w:val="center"/>
          </w:tcPr>
          <w:p w14:paraId="1BE07334" w14:textId="77777777" w:rsidR="00BE302D" w:rsidRPr="00DE1C83" w:rsidRDefault="00BE302D" w:rsidP="006C2640">
            <w:pPr>
              <w:pStyle w:val="Tablebodytext"/>
              <w:spacing w:before="0"/>
              <w:ind w:left="0"/>
              <w:jc w:val="center"/>
              <w:rPr>
                <w:color w:val="auto"/>
                <w:sz w:val="22"/>
                <w:szCs w:val="22"/>
              </w:rPr>
            </w:pPr>
            <w:r w:rsidRPr="00DE1C83">
              <w:rPr>
                <w:color w:val="auto"/>
                <w:sz w:val="22"/>
                <w:szCs w:val="22"/>
              </w:rPr>
              <w:t>15.4</w:t>
            </w:r>
          </w:p>
        </w:tc>
        <w:tc>
          <w:tcPr>
            <w:tcW w:w="2010" w:type="dxa"/>
            <w:tcBorders>
              <w:top w:val="single" w:sz="4" w:space="0" w:color="495965"/>
              <w:bottom w:val="single" w:sz="4" w:space="0" w:color="495965"/>
            </w:tcBorders>
            <w:vAlign w:val="center"/>
          </w:tcPr>
          <w:p w14:paraId="649DD393" w14:textId="77777777" w:rsidR="00BE302D" w:rsidRPr="00DE1C83" w:rsidRDefault="00BE302D" w:rsidP="006C2640">
            <w:pPr>
              <w:pStyle w:val="Tablebodytext"/>
              <w:spacing w:before="0"/>
              <w:ind w:left="0"/>
              <w:jc w:val="center"/>
              <w:rPr>
                <w:color w:val="auto"/>
                <w:sz w:val="22"/>
                <w:szCs w:val="22"/>
              </w:rPr>
            </w:pPr>
            <w:r w:rsidRPr="00DE1C83">
              <w:rPr>
                <w:color w:val="auto"/>
                <w:sz w:val="22"/>
                <w:szCs w:val="22"/>
              </w:rPr>
              <w:t>20.4</w:t>
            </w:r>
          </w:p>
        </w:tc>
      </w:tr>
      <w:tr w:rsidR="00DE1C83" w:rsidRPr="00DE1C83" w14:paraId="50300C91" w14:textId="77777777" w:rsidTr="006C2640">
        <w:trPr>
          <w:trHeight w:val="367"/>
          <w:jc w:val="center"/>
        </w:trPr>
        <w:tc>
          <w:tcPr>
            <w:tcW w:w="1560" w:type="dxa"/>
            <w:tcBorders>
              <w:top w:val="single" w:sz="4" w:space="0" w:color="495965"/>
              <w:bottom w:val="single" w:sz="4" w:space="0" w:color="495965"/>
            </w:tcBorders>
            <w:vAlign w:val="center"/>
          </w:tcPr>
          <w:p w14:paraId="162440D6" w14:textId="77777777" w:rsidR="00BE302D" w:rsidRPr="00DE1C83" w:rsidRDefault="00BE302D" w:rsidP="00DE1C83">
            <w:pPr>
              <w:pStyle w:val="Tablebodytext"/>
              <w:spacing w:before="0"/>
              <w:ind w:left="0"/>
              <w:rPr>
                <w:color w:val="auto"/>
                <w:sz w:val="22"/>
                <w:szCs w:val="22"/>
              </w:rPr>
            </w:pPr>
            <w:r w:rsidRPr="00DE1C83">
              <w:rPr>
                <w:color w:val="auto"/>
                <w:sz w:val="22"/>
                <w:szCs w:val="22"/>
              </w:rPr>
              <w:t>Countries with low income</w:t>
            </w:r>
          </w:p>
        </w:tc>
        <w:tc>
          <w:tcPr>
            <w:tcW w:w="1842" w:type="dxa"/>
            <w:tcBorders>
              <w:top w:val="single" w:sz="4" w:space="0" w:color="495965"/>
              <w:bottom w:val="single" w:sz="4" w:space="0" w:color="495965"/>
            </w:tcBorders>
            <w:vAlign w:val="center"/>
          </w:tcPr>
          <w:p w14:paraId="07D80CB7" w14:textId="77777777" w:rsidR="00BE302D" w:rsidRPr="00DE1C83" w:rsidRDefault="00BE302D" w:rsidP="00DE1C83">
            <w:pPr>
              <w:pStyle w:val="Tablebodytext"/>
              <w:spacing w:before="0"/>
              <w:ind w:left="0"/>
              <w:jc w:val="center"/>
              <w:rPr>
                <w:color w:val="auto"/>
                <w:sz w:val="22"/>
                <w:szCs w:val="22"/>
              </w:rPr>
            </w:pPr>
            <w:r w:rsidRPr="00DE1C83">
              <w:rPr>
                <w:color w:val="auto"/>
                <w:sz w:val="22"/>
                <w:szCs w:val="22"/>
              </w:rPr>
              <w:t>3.7</w:t>
            </w:r>
          </w:p>
        </w:tc>
        <w:tc>
          <w:tcPr>
            <w:tcW w:w="1843" w:type="dxa"/>
            <w:tcBorders>
              <w:top w:val="single" w:sz="4" w:space="0" w:color="495965"/>
              <w:bottom w:val="single" w:sz="4" w:space="0" w:color="495965"/>
            </w:tcBorders>
            <w:vAlign w:val="center"/>
          </w:tcPr>
          <w:p w14:paraId="066C7A16" w14:textId="77777777" w:rsidR="00BE302D" w:rsidRPr="00DE1C83" w:rsidRDefault="00BE302D" w:rsidP="006C2640">
            <w:pPr>
              <w:pStyle w:val="Tablebodytext"/>
              <w:spacing w:before="0"/>
              <w:ind w:left="0"/>
              <w:jc w:val="center"/>
              <w:rPr>
                <w:color w:val="auto"/>
                <w:sz w:val="22"/>
                <w:szCs w:val="22"/>
              </w:rPr>
            </w:pPr>
            <w:r w:rsidRPr="00DE1C83">
              <w:rPr>
                <w:color w:val="auto"/>
                <w:sz w:val="22"/>
                <w:szCs w:val="22"/>
              </w:rPr>
              <w:t>13.0</w:t>
            </w:r>
          </w:p>
        </w:tc>
        <w:tc>
          <w:tcPr>
            <w:tcW w:w="1843" w:type="dxa"/>
            <w:tcBorders>
              <w:top w:val="single" w:sz="4" w:space="0" w:color="495965"/>
              <w:bottom w:val="single" w:sz="4" w:space="0" w:color="495965"/>
            </w:tcBorders>
            <w:vAlign w:val="center"/>
          </w:tcPr>
          <w:p w14:paraId="0A945AEA" w14:textId="77777777" w:rsidR="00BE302D" w:rsidRPr="00DE1C83" w:rsidRDefault="00BE302D" w:rsidP="006C2640">
            <w:pPr>
              <w:pStyle w:val="Tablebodytext"/>
              <w:spacing w:before="0"/>
              <w:ind w:left="0"/>
              <w:jc w:val="center"/>
              <w:rPr>
                <w:color w:val="auto"/>
                <w:sz w:val="22"/>
                <w:szCs w:val="22"/>
              </w:rPr>
            </w:pPr>
            <w:r w:rsidRPr="00DE1C83">
              <w:rPr>
                <w:color w:val="auto"/>
                <w:sz w:val="22"/>
                <w:szCs w:val="22"/>
              </w:rPr>
              <w:t>10.3</w:t>
            </w:r>
          </w:p>
        </w:tc>
        <w:tc>
          <w:tcPr>
            <w:tcW w:w="2010" w:type="dxa"/>
            <w:tcBorders>
              <w:top w:val="single" w:sz="4" w:space="0" w:color="495965"/>
              <w:bottom w:val="single" w:sz="4" w:space="0" w:color="495965"/>
            </w:tcBorders>
            <w:vAlign w:val="center"/>
          </w:tcPr>
          <w:p w14:paraId="0B9E3A52" w14:textId="77777777" w:rsidR="00BE302D" w:rsidRPr="00DE1C83" w:rsidRDefault="00BE302D" w:rsidP="006C2640">
            <w:pPr>
              <w:pStyle w:val="Tablebodytext"/>
              <w:spacing w:before="0"/>
              <w:ind w:left="0"/>
              <w:jc w:val="center"/>
              <w:rPr>
                <w:color w:val="auto"/>
                <w:sz w:val="22"/>
                <w:szCs w:val="22"/>
              </w:rPr>
            </w:pPr>
            <w:r w:rsidRPr="00DE1C83">
              <w:rPr>
                <w:color w:val="auto"/>
                <w:sz w:val="22"/>
                <w:szCs w:val="22"/>
              </w:rPr>
              <w:t>16.6</w:t>
            </w:r>
          </w:p>
        </w:tc>
      </w:tr>
      <w:tr w:rsidR="00DE1C83" w:rsidRPr="00DE1C83" w14:paraId="3A6318C1" w14:textId="77777777" w:rsidTr="006C2640">
        <w:trPr>
          <w:trHeight w:val="367"/>
          <w:jc w:val="center"/>
        </w:trPr>
        <w:tc>
          <w:tcPr>
            <w:tcW w:w="1560" w:type="dxa"/>
            <w:tcBorders>
              <w:top w:val="single" w:sz="4" w:space="0" w:color="495965"/>
              <w:bottom w:val="single" w:sz="4" w:space="0" w:color="495965"/>
            </w:tcBorders>
            <w:vAlign w:val="center"/>
          </w:tcPr>
          <w:p w14:paraId="5E5EFA07" w14:textId="77777777" w:rsidR="00BE302D" w:rsidRPr="00DE1C83" w:rsidRDefault="00BE302D" w:rsidP="00DE1C83">
            <w:pPr>
              <w:pStyle w:val="Tablebodytext"/>
              <w:spacing w:before="0"/>
              <w:ind w:left="0"/>
              <w:rPr>
                <w:color w:val="auto"/>
                <w:sz w:val="22"/>
                <w:szCs w:val="22"/>
              </w:rPr>
            </w:pPr>
            <w:r w:rsidRPr="00DE1C83">
              <w:rPr>
                <w:color w:val="auto"/>
                <w:sz w:val="22"/>
                <w:szCs w:val="22"/>
              </w:rPr>
              <w:t>Countries with middle income</w:t>
            </w:r>
          </w:p>
        </w:tc>
        <w:tc>
          <w:tcPr>
            <w:tcW w:w="1842" w:type="dxa"/>
            <w:tcBorders>
              <w:top w:val="single" w:sz="4" w:space="0" w:color="495965"/>
              <w:bottom w:val="single" w:sz="4" w:space="0" w:color="495965"/>
            </w:tcBorders>
            <w:vAlign w:val="center"/>
          </w:tcPr>
          <w:p w14:paraId="7CAAD932" w14:textId="77777777" w:rsidR="00BE302D" w:rsidRPr="00DE1C83" w:rsidRDefault="00747437" w:rsidP="00DE1C83">
            <w:pPr>
              <w:pStyle w:val="Tablebodytext"/>
              <w:spacing w:before="0"/>
              <w:ind w:left="0"/>
              <w:jc w:val="center"/>
              <w:rPr>
                <w:color w:val="auto"/>
                <w:sz w:val="22"/>
                <w:szCs w:val="22"/>
              </w:rPr>
            </w:pPr>
            <w:r w:rsidRPr="00DE1C83">
              <w:rPr>
                <w:color w:val="auto"/>
                <w:sz w:val="22"/>
                <w:szCs w:val="22"/>
              </w:rPr>
              <w:t>4.6</w:t>
            </w:r>
          </w:p>
        </w:tc>
        <w:tc>
          <w:tcPr>
            <w:tcW w:w="1843" w:type="dxa"/>
            <w:tcBorders>
              <w:top w:val="single" w:sz="4" w:space="0" w:color="495965"/>
              <w:bottom w:val="single" w:sz="4" w:space="0" w:color="495965"/>
            </w:tcBorders>
            <w:vAlign w:val="center"/>
          </w:tcPr>
          <w:p w14:paraId="415B60A1" w14:textId="77777777" w:rsidR="00BE302D" w:rsidRPr="00DE1C83" w:rsidRDefault="00BE302D" w:rsidP="006C2640">
            <w:pPr>
              <w:pStyle w:val="Tablebodytext"/>
              <w:spacing w:before="0"/>
              <w:ind w:left="0"/>
              <w:jc w:val="center"/>
              <w:rPr>
                <w:color w:val="auto"/>
                <w:sz w:val="22"/>
                <w:szCs w:val="22"/>
              </w:rPr>
            </w:pPr>
            <w:r w:rsidRPr="00DE1C83">
              <w:rPr>
                <w:color w:val="auto"/>
                <w:sz w:val="22"/>
                <w:szCs w:val="22"/>
              </w:rPr>
              <w:t>12.2</w:t>
            </w:r>
          </w:p>
        </w:tc>
        <w:tc>
          <w:tcPr>
            <w:tcW w:w="1843" w:type="dxa"/>
            <w:tcBorders>
              <w:top w:val="single" w:sz="4" w:space="0" w:color="495965"/>
              <w:bottom w:val="single" w:sz="4" w:space="0" w:color="495965"/>
            </w:tcBorders>
            <w:vAlign w:val="center"/>
          </w:tcPr>
          <w:p w14:paraId="6996D7ED" w14:textId="77777777" w:rsidR="00BE302D" w:rsidRPr="00DE1C83" w:rsidRDefault="00BE302D" w:rsidP="006C2640">
            <w:pPr>
              <w:pStyle w:val="Tablebodytext"/>
              <w:spacing w:before="0"/>
              <w:ind w:left="0"/>
              <w:jc w:val="center"/>
              <w:rPr>
                <w:color w:val="auto"/>
                <w:sz w:val="22"/>
                <w:szCs w:val="22"/>
              </w:rPr>
            </w:pPr>
            <w:r w:rsidRPr="00DE1C83">
              <w:rPr>
                <w:color w:val="auto"/>
                <w:sz w:val="22"/>
                <w:szCs w:val="22"/>
              </w:rPr>
              <w:t>13.6</w:t>
            </w:r>
          </w:p>
        </w:tc>
        <w:tc>
          <w:tcPr>
            <w:tcW w:w="2010" w:type="dxa"/>
            <w:tcBorders>
              <w:top w:val="single" w:sz="4" w:space="0" w:color="495965"/>
              <w:bottom w:val="single" w:sz="4" w:space="0" w:color="495965"/>
            </w:tcBorders>
            <w:vAlign w:val="center"/>
          </w:tcPr>
          <w:p w14:paraId="5C54C053" w14:textId="77777777" w:rsidR="00BE302D" w:rsidRPr="00DE1C83" w:rsidRDefault="00BE302D" w:rsidP="006C2640">
            <w:pPr>
              <w:pStyle w:val="Tablebodytext"/>
              <w:spacing w:before="0"/>
              <w:ind w:left="0"/>
              <w:jc w:val="center"/>
              <w:rPr>
                <w:color w:val="auto"/>
                <w:sz w:val="22"/>
                <w:szCs w:val="22"/>
              </w:rPr>
            </w:pPr>
            <w:r w:rsidRPr="00DE1C83">
              <w:rPr>
                <w:color w:val="auto"/>
                <w:sz w:val="22"/>
                <w:szCs w:val="22"/>
              </w:rPr>
              <w:t>16.6</w:t>
            </w:r>
          </w:p>
        </w:tc>
      </w:tr>
      <w:tr w:rsidR="00DE1C83" w:rsidRPr="00DE1C83" w14:paraId="24357318" w14:textId="77777777" w:rsidTr="006C2640">
        <w:trPr>
          <w:trHeight w:val="367"/>
          <w:jc w:val="center"/>
        </w:trPr>
        <w:tc>
          <w:tcPr>
            <w:tcW w:w="1560" w:type="dxa"/>
            <w:tcBorders>
              <w:top w:val="single" w:sz="4" w:space="0" w:color="495965"/>
              <w:bottom w:val="single" w:sz="4" w:space="0" w:color="495965"/>
            </w:tcBorders>
            <w:vAlign w:val="center"/>
          </w:tcPr>
          <w:p w14:paraId="06B96D79" w14:textId="77777777" w:rsidR="00BE302D" w:rsidRPr="00DE1C83" w:rsidRDefault="00BE302D" w:rsidP="00DE1C83">
            <w:pPr>
              <w:pStyle w:val="Tablebodytext"/>
              <w:spacing w:before="0"/>
              <w:ind w:left="0"/>
              <w:rPr>
                <w:color w:val="auto"/>
                <w:sz w:val="22"/>
                <w:szCs w:val="22"/>
              </w:rPr>
            </w:pPr>
            <w:r w:rsidRPr="00DE1C83">
              <w:rPr>
                <w:color w:val="auto"/>
                <w:sz w:val="22"/>
                <w:szCs w:val="22"/>
              </w:rPr>
              <w:t>Countries with high income</w:t>
            </w:r>
          </w:p>
        </w:tc>
        <w:tc>
          <w:tcPr>
            <w:tcW w:w="1842" w:type="dxa"/>
            <w:tcBorders>
              <w:top w:val="single" w:sz="4" w:space="0" w:color="495965"/>
              <w:bottom w:val="single" w:sz="4" w:space="0" w:color="495965"/>
            </w:tcBorders>
            <w:vAlign w:val="center"/>
          </w:tcPr>
          <w:p w14:paraId="12A967C4" w14:textId="77777777" w:rsidR="00BE302D" w:rsidRPr="00DE1C83" w:rsidRDefault="00747437" w:rsidP="00DE1C83">
            <w:pPr>
              <w:pStyle w:val="Tablebodytext"/>
              <w:spacing w:before="0"/>
              <w:ind w:left="0"/>
              <w:jc w:val="center"/>
              <w:rPr>
                <w:color w:val="auto"/>
                <w:sz w:val="22"/>
                <w:szCs w:val="22"/>
              </w:rPr>
            </w:pPr>
            <w:r w:rsidRPr="00DE1C83">
              <w:rPr>
                <w:color w:val="auto"/>
                <w:sz w:val="22"/>
                <w:szCs w:val="22"/>
              </w:rPr>
              <w:t>5.1</w:t>
            </w:r>
          </w:p>
        </w:tc>
        <w:tc>
          <w:tcPr>
            <w:tcW w:w="1843" w:type="dxa"/>
            <w:tcBorders>
              <w:top w:val="single" w:sz="4" w:space="0" w:color="495965"/>
              <w:bottom w:val="single" w:sz="4" w:space="0" w:color="495965"/>
            </w:tcBorders>
            <w:vAlign w:val="center"/>
          </w:tcPr>
          <w:p w14:paraId="07FE9583" w14:textId="77777777" w:rsidR="00BE302D" w:rsidRPr="00DE1C83" w:rsidRDefault="00BE302D" w:rsidP="006C2640">
            <w:pPr>
              <w:pStyle w:val="Tablebodytext"/>
              <w:spacing w:before="0"/>
              <w:ind w:left="0"/>
              <w:jc w:val="center"/>
              <w:rPr>
                <w:color w:val="auto"/>
                <w:sz w:val="22"/>
                <w:szCs w:val="22"/>
              </w:rPr>
            </w:pPr>
            <w:r w:rsidRPr="00DE1C83">
              <w:rPr>
                <w:color w:val="auto"/>
                <w:sz w:val="22"/>
                <w:szCs w:val="22"/>
              </w:rPr>
              <w:t>15.2</w:t>
            </w:r>
          </w:p>
        </w:tc>
        <w:tc>
          <w:tcPr>
            <w:tcW w:w="1843" w:type="dxa"/>
            <w:tcBorders>
              <w:top w:val="single" w:sz="4" w:space="0" w:color="495965"/>
              <w:bottom w:val="single" w:sz="4" w:space="0" w:color="495965"/>
            </w:tcBorders>
            <w:vAlign w:val="center"/>
          </w:tcPr>
          <w:p w14:paraId="4CBA64C2" w14:textId="77777777" w:rsidR="00BE302D" w:rsidRPr="00DE1C83" w:rsidRDefault="00BE302D" w:rsidP="006C2640">
            <w:pPr>
              <w:pStyle w:val="Tablebodytext"/>
              <w:spacing w:before="0"/>
              <w:ind w:left="0"/>
              <w:jc w:val="center"/>
              <w:rPr>
                <w:color w:val="auto"/>
                <w:sz w:val="22"/>
                <w:szCs w:val="22"/>
              </w:rPr>
            </w:pPr>
            <w:r w:rsidRPr="00DE1C83">
              <w:rPr>
                <w:color w:val="auto"/>
                <w:sz w:val="22"/>
                <w:szCs w:val="22"/>
              </w:rPr>
              <w:t>19.1</w:t>
            </w:r>
          </w:p>
        </w:tc>
        <w:tc>
          <w:tcPr>
            <w:tcW w:w="2010" w:type="dxa"/>
            <w:tcBorders>
              <w:top w:val="single" w:sz="4" w:space="0" w:color="495965"/>
              <w:bottom w:val="single" w:sz="4" w:space="0" w:color="495965"/>
            </w:tcBorders>
            <w:vAlign w:val="center"/>
          </w:tcPr>
          <w:p w14:paraId="278B407B" w14:textId="77777777" w:rsidR="00BE302D" w:rsidRPr="00DE1C83" w:rsidRDefault="00BE302D" w:rsidP="006C2640">
            <w:pPr>
              <w:pStyle w:val="Tablebodytext"/>
              <w:spacing w:before="0"/>
              <w:ind w:left="0"/>
              <w:jc w:val="center"/>
              <w:rPr>
                <w:color w:val="auto"/>
                <w:sz w:val="22"/>
                <w:szCs w:val="22"/>
              </w:rPr>
            </w:pPr>
            <w:r w:rsidRPr="00DE1C83">
              <w:rPr>
                <w:color w:val="auto"/>
                <w:sz w:val="22"/>
                <w:szCs w:val="22"/>
              </w:rPr>
              <w:t>22.7</w:t>
            </w:r>
          </w:p>
        </w:tc>
      </w:tr>
    </w:tbl>
    <w:p w14:paraId="318D3357" w14:textId="1B9E2577" w:rsidR="00EA3200" w:rsidRPr="00DD3C1F" w:rsidRDefault="00EA3200" w:rsidP="003D4541">
      <w:pPr>
        <w:pStyle w:val="Source"/>
      </w:pPr>
      <w:bookmarkStart w:id="7" w:name="_Hlk482411511"/>
      <w:r w:rsidRPr="00EA3200">
        <w:rPr>
          <w:rStyle w:val="Hyperlink"/>
          <w:color w:val="808285"/>
          <w:u w:val="none"/>
        </w:rPr>
        <w:t>Source: Extracted from</w:t>
      </w:r>
      <w:r w:rsidRPr="00EA3200">
        <w:t xml:space="preserve"> UNESCO 201</w:t>
      </w:r>
      <w:r w:rsidR="00C61FD2">
        <w:t>7</w:t>
      </w:r>
      <w:r w:rsidRPr="00EA3200">
        <w:t xml:space="preserve">, </w:t>
      </w:r>
      <w:bookmarkEnd w:id="7"/>
      <w:r w:rsidR="00C61FD2">
        <w:rPr>
          <w:rStyle w:val="Hyperlink"/>
          <w:color w:val="808285"/>
          <w:u w:val="none"/>
        </w:rPr>
        <w:fldChar w:fldCharType="begin"/>
      </w:r>
      <w:r w:rsidR="00C61FD2">
        <w:rPr>
          <w:rStyle w:val="Hyperlink"/>
          <w:color w:val="808285"/>
          <w:u w:val="none"/>
        </w:rPr>
        <w:instrText xml:space="preserve"> HYPERLINK "http://unesdoc.unesco.org/images/0025/002593/259338e.pdf" </w:instrText>
      </w:r>
      <w:r w:rsidR="00C61FD2">
        <w:rPr>
          <w:rStyle w:val="Hyperlink"/>
          <w:color w:val="808285"/>
          <w:u w:val="none"/>
        </w:rPr>
        <w:fldChar w:fldCharType="separate"/>
      </w:r>
      <w:r w:rsidR="00C61FD2" w:rsidRPr="00DD3C1F">
        <w:rPr>
          <w:rStyle w:val="Hyperlink"/>
          <w:color w:val="808285"/>
          <w:u w:val="none"/>
        </w:rPr>
        <w:t>Global Education Monitoring Report 2017/18: Accountability in education: Meeting our commitments</w:t>
      </w:r>
      <w:r w:rsidR="00C61FD2">
        <w:rPr>
          <w:rStyle w:val="Hyperlink"/>
          <w:color w:val="808285"/>
          <w:u w:val="none"/>
        </w:rPr>
        <w:fldChar w:fldCharType="end"/>
      </w:r>
      <w:r w:rsidR="00C61FD2" w:rsidRPr="00DD3C1F">
        <w:rPr>
          <w:rStyle w:val="Hyperlink"/>
          <w:color w:val="808285"/>
          <w:u w:val="none"/>
        </w:rPr>
        <w:t xml:space="preserve">, </w:t>
      </w:r>
      <w:r w:rsidR="00C61FD2">
        <w:rPr>
          <w:rStyle w:val="Hyperlink"/>
          <w:color w:val="808285"/>
          <w:u w:val="none"/>
        </w:rPr>
        <w:t>Table 15, p.398</w:t>
      </w:r>
      <w:r w:rsidR="001E0364">
        <w:rPr>
          <w:rStyle w:val="Hyperlink"/>
          <w:color w:val="808285"/>
          <w:u w:val="none"/>
        </w:rPr>
        <w:t>.</w:t>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C72248" w:rsidRPr="0076572C" w14:paraId="41A62A80" w14:textId="77777777" w:rsidTr="001E0364">
        <w:trPr>
          <w:trHeight w:val="8340"/>
        </w:trPr>
        <w:tc>
          <w:tcPr>
            <w:tcW w:w="8931" w:type="dxa"/>
            <w:shd w:val="clear" w:color="auto" w:fill="D9D9D9" w:themeFill="background1" w:themeFillShade="D9"/>
          </w:tcPr>
          <w:p w14:paraId="220301E5" w14:textId="77777777" w:rsidR="00C72248" w:rsidRPr="00673528" w:rsidRDefault="00C72248" w:rsidP="00B51888">
            <w:pPr>
              <w:pStyle w:val="Boxheading"/>
              <w:rPr>
                <w:rFonts w:eastAsiaTheme="majorEastAsia"/>
              </w:rPr>
            </w:pPr>
            <w:r w:rsidRPr="00673528">
              <w:drawing>
                <wp:anchor distT="0" distB="0" distL="114300" distR="114300" simplePos="0" relativeHeight="251834368" behindDoc="1" locked="0" layoutInCell="1" allowOverlap="1" wp14:anchorId="3D6E9288" wp14:editId="55F83762">
                  <wp:simplePos x="0" y="0"/>
                  <wp:positionH relativeFrom="column">
                    <wp:posOffset>4157980</wp:posOffset>
                  </wp:positionH>
                  <wp:positionV relativeFrom="paragraph">
                    <wp:posOffset>252095</wp:posOffset>
                  </wp:positionV>
                  <wp:extent cx="1106170" cy="8420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686C7106" w14:textId="7383693B" w:rsidR="00C72248" w:rsidRPr="00E349AC" w:rsidRDefault="00C72248" w:rsidP="00C72248">
            <w:pPr>
              <w:pStyle w:val="Boxtext"/>
            </w:pPr>
            <w:r>
              <w:t>T</w:t>
            </w:r>
            <w:r w:rsidRPr="00E349AC">
              <w:t>he data provided in the example</w:t>
            </w:r>
            <w:r w:rsidR="00064075">
              <w:t xml:space="preserve"> above</w:t>
            </w:r>
            <w:r w:rsidRPr="00E349AC">
              <w:t xml:space="preserve"> can be viewed in UNESCO’s </w:t>
            </w:r>
            <w:hyperlink r:id="rId24" w:history="1">
              <w:r w:rsidRPr="00E349AC">
                <w:rPr>
                  <w:rStyle w:val="LinkChar"/>
                  <w:sz w:val="23"/>
                </w:rPr>
                <w:t>Global Education Monitoring Report</w:t>
              </w:r>
            </w:hyperlink>
            <w:r w:rsidRPr="00E349AC">
              <w:rPr>
                <w:rStyle w:val="LinkChar"/>
                <w:sz w:val="23"/>
              </w:rPr>
              <w:t xml:space="preserve"> </w:t>
            </w:r>
            <w:r w:rsidRPr="00E349AC">
              <w:t>which provides useful information.  You can also access UNESCO’s data by country at this</w:t>
            </w:r>
            <w:r>
              <w:t xml:space="preserve"> </w:t>
            </w:r>
            <w:hyperlink r:id="rId25" w:history="1">
              <w:r w:rsidRPr="00E349AC">
                <w:rPr>
                  <w:rStyle w:val="LinkChar"/>
                  <w:sz w:val="23"/>
                </w:rPr>
                <w:t>Education Finance website</w:t>
              </w:r>
            </w:hyperlink>
            <w:r>
              <w:rPr>
                <w:rStyle w:val="LinkChar"/>
                <w:sz w:val="23"/>
              </w:rPr>
              <w:t xml:space="preserve"> </w:t>
            </w:r>
            <w:r w:rsidRPr="00007F0D">
              <w:rPr>
                <w:rStyle w:val="LinkChar"/>
                <w:color w:val="auto"/>
                <w:sz w:val="23"/>
              </w:rPr>
              <w:t>(see</w:t>
            </w:r>
            <w:r>
              <w:rPr>
                <w:rStyle w:val="LinkChar"/>
                <w:color w:val="auto"/>
                <w:sz w:val="23"/>
              </w:rPr>
              <w:t xml:space="preserve"> the ‘</w:t>
            </w:r>
            <w:r w:rsidR="00764CA4">
              <w:rPr>
                <w:rStyle w:val="LinkChar"/>
                <w:color w:val="auto"/>
                <w:sz w:val="23"/>
              </w:rPr>
              <w:t xml:space="preserve">Explore </w:t>
            </w:r>
            <w:r>
              <w:rPr>
                <w:rStyle w:val="LinkChar"/>
                <w:color w:val="auto"/>
                <w:sz w:val="23"/>
              </w:rPr>
              <w:t>the Data’ section for information)</w:t>
            </w:r>
            <w:r w:rsidRPr="00007F0D">
              <w:rPr>
                <w:rStyle w:val="LinkChar"/>
                <w:color w:val="auto"/>
                <w:sz w:val="23"/>
              </w:rPr>
              <w:t>.</w:t>
            </w:r>
            <w:r>
              <w:rPr>
                <w:rStyle w:val="LinkChar"/>
                <w:color w:val="auto"/>
                <w:sz w:val="23"/>
              </w:rPr>
              <w:t xml:space="preserve"> </w:t>
            </w:r>
          </w:p>
          <w:p w14:paraId="2338F449" w14:textId="77777777" w:rsidR="00C72248" w:rsidRPr="006C2640" w:rsidRDefault="00C72248" w:rsidP="00C72248">
            <w:pPr>
              <w:pStyle w:val="Boxtext"/>
              <w:rPr>
                <w:rStyle w:val="LinkChar"/>
                <w:b/>
                <w:color w:val="auto"/>
                <w:sz w:val="23"/>
              </w:rPr>
            </w:pPr>
            <w:r w:rsidRPr="006C2640">
              <w:rPr>
                <w:rStyle w:val="LinkChar"/>
                <w:b/>
                <w:color w:val="auto"/>
                <w:sz w:val="23"/>
              </w:rPr>
              <w:t>As an exercise, please access these information sources and answer the following questions for your country program or a developing country known to you.</w:t>
            </w:r>
          </w:p>
          <w:p w14:paraId="5DC84EF2" w14:textId="77C25B62" w:rsidR="00C72248" w:rsidRPr="0083791C" w:rsidRDefault="00C72248" w:rsidP="0083791C">
            <w:pPr>
              <w:pStyle w:val="Numberedlist"/>
              <w:spacing w:before="120"/>
              <w:rPr>
                <w:b w:val="0"/>
                <w:sz w:val="23"/>
                <w:szCs w:val="23"/>
              </w:rPr>
            </w:pPr>
            <w:r w:rsidRPr="0083791C">
              <w:rPr>
                <w:b w:val="0"/>
                <w:sz w:val="23"/>
                <w:szCs w:val="23"/>
              </w:rPr>
              <w:t>Does the government have a policy target or political commitment related to any of the indicators set out in Table 15</w:t>
            </w:r>
            <w:r w:rsidR="0083791C">
              <w:rPr>
                <w:b w:val="0"/>
                <w:sz w:val="23"/>
                <w:szCs w:val="23"/>
              </w:rPr>
              <w:t>,</w:t>
            </w:r>
            <w:r w:rsidR="006C2640" w:rsidRPr="0083791C">
              <w:rPr>
                <w:b w:val="0"/>
                <w:sz w:val="23"/>
                <w:szCs w:val="23"/>
              </w:rPr>
              <w:t xml:space="preserve"> p. 398</w:t>
            </w:r>
            <w:r w:rsidRPr="0083791C">
              <w:rPr>
                <w:b w:val="0"/>
                <w:sz w:val="23"/>
                <w:szCs w:val="23"/>
              </w:rPr>
              <w:t xml:space="preserve"> of the </w:t>
            </w:r>
            <w:hyperlink r:id="rId26" w:history="1">
              <w:r w:rsidRPr="0083791C">
                <w:rPr>
                  <w:rStyle w:val="LinkChar"/>
                  <w:b w:val="0"/>
                  <w:sz w:val="23"/>
                </w:rPr>
                <w:t>2017/18 Global Education Monitoring Report</w:t>
              </w:r>
            </w:hyperlink>
            <w:r w:rsidRPr="0083791C">
              <w:rPr>
                <w:b w:val="0"/>
                <w:sz w:val="23"/>
                <w:szCs w:val="23"/>
              </w:rPr>
              <w:t>?</w:t>
            </w:r>
            <w:r w:rsidR="0083791C" w:rsidRPr="0083791C">
              <w:rPr>
                <w:b w:val="0"/>
                <w:sz w:val="23"/>
                <w:szCs w:val="23"/>
              </w:rPr>
              <w:t xml:space="preserve"> </w:t>
            </w:r>
            <w:r w:rsidRPr="0083791C">
              <w:rPr>
                <w:b w:val="0"/>
                <w:sz w:val="23"/>
                <w:szCs w:val="23"/>
              </w:rPr>
              <w:t xml:space="preserve">Is it meeting this commitment?       </w:t>
            </w:r>
          </w:p>
          <w:p w14:paraId="68898822" w14:textId="77777777" w:rsidR="00C72248" w:rsidRPr="006C2640" w:rsidRDefault="00C72248" w:rsidP="0083791C">
            <w:pPr>
              <w:pStyle w:val="Numberedlist"/>
              <w:spacing w:before="120"/>
              <w:rPr>
                <w:b w:val="0"/>
                <w:sz w:val="23"/>
                <w:szCs w:val="23"/>
              </w:rPr>
            </w:pPr>
            <w:r w:rsidRPr="006C2640">
              <w:rPr>
                <w:b w:val="0"/>
                <w:sz w:val="23"/>
                <w:szCs w:val="23"/>
              </w:rPr>
              <w:t xml:space="preserve">Do you know the country’s annual inflation rate? Is growth in education expenditure growing at a faster rate than inflation? (Hint: access World Bank factsheets and country data for your country at their </w:t>
            </w:r>
            <w:hyperlink r:id="rId27" w:history="1">
              <w:r w:rsidRPr="006C2640">
                <w:rPr>
                  <w:rStyle w:val="LinkChar"/>
                  <w:b w:val="0"/>
                  <w:sz w:val="23"/>
                </w:rPr>
                <w:t>Countries and Economies</w:t>
              </w:r>
            </w:hyperlink>
            <w:r w:rsidRPr="006C2640">
              <w:rPr>
                <w:b w:val="0"/>
                <w:sz w:val="23"/>
                <w:szCs w:val="23"/>
              </w:rPr>
              <w:t xml:space="preserve"> website)</w:t>
            </w:r>
          </w:p>
          <w:p w14:paraId="7F38619B" w14:textId="77777777" w:rsidR="00C72248" w:rsidRPr="006C2640" w:rsidRDefault="00C72248" w:rsidP="0083791C">
            <w:pPr>
              <w:pStyle w:val="Numberedlist"/>
              <w:spacing w:before="120"/>
              <w:rPr>
                <w:b w:val="0"/>
                <w:sz w:val="23"/>
                <w:szCs w:val="23"/>
              </w:rPr>
            </w:pPr>
            <w:r w:rsidRPr="006C2640">
              <w:rPr>
                <w:b w:val="0"/>
                <w:sz w:val="23"/>
                <w:szCs w:val="23"/>
              </w:rPr>
              <w:t>How does the national average vary from neighbouring countries or the regional average?</w:t>
            </w:r>
          </w:p>
          <w:p w14:paraId="31056EAC" w14:textId="77777777" w:rsidR="00C72248" w:rsidRPr="006C2640" w:rsidRDefault="00C72248" w:rsidP="0083791C">
            <w:pPr>
              <w:pStyle w:val="Numberedlist"/>
              <w:spacing w:before="120"/>
              <w:rPr>
                <w:rStyle w:val="NoteChar"/>
                <w:b w:val="0"/>
                <w:sz w:val="23"/>
                <w:szCs w:val="23"/>
              </w:rPr>
            </w:pPr>
            <w:r w:rsidRPr="006C2640">
              <w:rPr>
                <w:b w:val="0"/>
                <w:sz w:val="23"/>
                <w:szCs w:val="23"/>
              </w:rPr>
              <w:t>Have recent studies (for example, public expenditure review (PER), public expenditure tracking survey (PETS), or other government documents or donor documents) made any findings or recommendations related to any of these indicators? If yes, what are they?</w:t>
            </w:r>
            <w:r w:rsidR="007021FB" w:rsidRPr="006C2640">
              <w:rPr>
                <w:b w:val="0"/>
                <w:sz w:val="23"/>
                <w:szCs w:val="23"/>
              </w:rPr>
              <w:br/>
            </w:r>
            <w:r w:rsidR="007021FB" w:rsidRPr="006C2640">
              <w:rPr>
                <w:rStyle w:val="NoteChar"/>
                <w:b w:val="0"/>
                <w:sz w:val="23"/>
                <w:szCs w:val="23"/>
              </w:rPr>
              <w:t xml:space="preserve">(Hint: National Education or Finance ministries may publish recent studies and may be found online. Likewise organisations such as the World Bank publish recent studies at their </w:t>
            </w:r>
            <w:hyperlink r:id="rId28" w:history="1">
              <w:r w:rsidR="007021FB" w:rsidRPr="006C2640">
                <w:rPr>
                  <w:rStyle w:val="LinkChar"/>
                  <w:b w:val="0"/>
                  <w:sz w:val="23"/>
                </w:rPr>
                <w:t>Public Expenditure Review</w:t>
              </w:r>
            </w:hyperlink>
            <w:r w:rsidR="007021FB" w:rsidRPr="006C2640">
              <w:rPr>
                <w:rStyle w:val="NoteChar"/>
                <w:b w:val="0"/>
                <w:sz w:val="23"/>
                <w:szCs w:val="23"/>
              </w:rPr>
              <w:t xml:space="preserve"> website.)</w:t>
            </w:r>
          </w:p>
          <w:p w14:paraId="38737D99" w14:textId="3CD654CA" w:rsidR="00C72248" w:rsidRPr="0076572C" w:rsidRDefault="00C72248" w:rsidP="00764CA4">
            <w:pPr>
              <w:pStyle w:val="Source"/>
              <w:ind w:left="360"/>
            </w:pPr>
            <w:r>
              <w:t xml:space="preserve"> </w:t>
            </w:r>
            <w:r w:rsidR="007021FB">
              <w:t xml:space="preserve">     </w:t>
            </w:r>
            <w:r w:rsidR="006C2640">
              <w:t xml:space="preserve">  </w:t>
            </w:r>
            <w:r w:rsidR="007021FB">
              <w:t>Source</w:t>
            </w:r>
            <w:r w:rsidR="006C2640">
              <w:t>s</w:t>
            </w:r>
            <w:r w:rsidR="007021FB">
              <w:t xml:space="preserve">: </w:t>
            </w:r>
            <w:r w:rsidR="006C2640">
              <w:t xml:space="preserve">UNESCO 2017, </w:t>
            </w:r>
            <w:r w:rsidR="007021FB">
              <w:t xml:space="preserve">World Bank </w:t>
            </w:r>
            <w:r w:rsidR="00764CA4">
              <w:t>n.d</w:t>
            </w:r>
            <w:r w:rsidR="007021FB">
              <w:t>.</w:t>
            </w:r>
          </w:p>
        </w:tc>
      </w:tr>
    </w:tbl>
    <w:p w14:paraId="47E9A04F" w14:textId="5FE2D16B" w:rsidR="00767BC4" w:rsidRDefault="006C2640" w:rsidP="00767BC4">
      <w:pPr>
        <w:pStyle w:val="Heading1"/>
        <w:widowControl/>
      </w:pPr>
      <w:bookmarkStart w:id="8" w:name="_Toc15636999"/>
      <w:r>
        <w:t>How can we g</w:t>
      </w:r>
      <w:r w:rsidR="00767BC4">
        <w:t>a</w:t>
      </w:r>
      <w:r>
        <w:t>u</w:t>
      </w:r>
      <w:r w:rsidR="00767BC4">
        <w:t>ge the efficiency of public expenditure for education?</w:t>
      </w:r>
      <w:bookmarkEnd w:id="8"/>
    </w:p>
    <w:p w14:paraId="68B7CDB0" w14:textId="77777777" w:rsidR="00767BC4" w:rsidRDefault="00E578A6" w:rsidP="00E578A6">
      <w:pPr>
        <w:pStyle w:val="Heading2"/>
      </w:pPr>
      <w:r>
        <w:t>Public expenditure for education</w:t>
      </w:r>
    </w:p>
    <w:p w14:paraId="6E5AD4B7" w14:textId="77777777" w:rsidR="00E578A6" w:rsidRPr="006232A8" w:rsidRDefault="00E578A6" w:rsidP="006232A8">
      <w:pPr>
        <w:pStyle w:val="BodyText"/>
      </w:pPr>
      <w:r w:rsidRPr="006232A8">
        <w:t>The amount and proportion of public and private spending for education alone is an inadequate indicator of school system performance. The effectiveness of an education system is affected in important ways by the efficiency with which a government utilises its resources. Under-utilisation of available budgets is also a critical efficiency issue in developing countries, with some only being able to disburse 50 per cent of the allocated budget vote. The efficiency analysis of an education system is always complex and involves at least four key measures that are p</w:t>
      </w:r>
      <w:r w:rsidR="00904783" w:rsidRPr="006232A8">
        <w:t>resented in the following table.</w:t>
      </w:r>
    </w:p>
    <w:p w14:paraId="2D9F7362" w14:textId="77777777" w:rsidR="004F60BC" w:rsidRPr="00801336" w:rsidRDefault="004F60BC" w:rsidP="004F60BC">
      <w:pPr>
        <w:pStyle w:val="Tablecaption"/>
        <w:keepNext/>
        <w:keepLines/>
        <w:widowControl/>
        <w:rPr>
          <w:sz w:val="20"/>
          <w:szCs w:val="20"/>
        </w:rPr>
      </w:pPr>
      <w:r w:rsidRPr="00801336">
        <w:t xml:space="preserve">Table </w:t>
      </w:r>
      <w:r w:rsidR="00C84E10">
        <w:t>3</w:t>
      </w:r>
      <w:r w:rsidRPr="00801336">
        <w:t xml:space="preserve"> – </w:t>
      </w:r>
      <w:r>
        <w:t>Measuring efficiency of an education system</w:t>
      </w:r>
      <w:r w:rsidRPr="00801336">
        <w:t xml:space="preserve"> </w:t>
      </w:r>
    </w:p>
    <w:tbl>
      <w:tblPr>
        <w:tblStyle w:val="DiplomaticAcademysasp"/>
        <w:tblW w:w="5000" w:type="pct"/>
        <w:tblLook w:val="04A0" w:firstRow="1" w:lastRow="0" w:firstColumn="1" w:lastColumn="0" w:noHBand="0" w:noVBand="1"/>
      </w:tblPr>
      <w:tblGrid>
        <w:gridCol w:w="4111"/>
        <w:gridCol w:w="4959"/>
      </w:tblGrid>
      <w:tr w:rsidR="004F60BC" w:rsidRPr="00064075" w14:paraId="4391D835" w14:textId="77777777" w:rsidTr="0083791C">
        <w:trPr>
          <w:cnfStyle w:val="100000000000" w:firstRow="1" w:lastRow="0" w:firstColumn="0" w:lastColumn="0" w:oddVBand="0" w:evenVBand="0" w:oddHBand="0" w:evenHBand="0" w:firstRowFirstColumn="0" w:firstRowLastColumn="0" w:lastRowFirstColumn="0" w:lastRowLastColumn="0"/>
          <w:trHeight w:val="444"/>
        </w:trPr>
        <w:tc>
          <w:tcPr>
            <w:tcW w:w="2266" w:type="pct"/>
            <w:tcBorders>
              <w:bottom w:val="single" w:sz="4" w:space="0" w:color="495965"/>
            </w:tcBorders>
            <w:shd w:val="clear" w:color="auto" w:fill="007C89"/>
            <w:vAlign w:val="center"/>
          </w:tcPr>
          <w:p w14:paraId="591A36AA" w14:textId="77777777" w:rsidR="004F60BC" w:rsidRPr="00064075" w:rsidRDefault="004F60BC" w:rsidP="00064075">
            <w:pPr>
              <w:pStyle w:val="Tablecolumnheading"/>
              <w:spacing w:before="0"/>
              <w:ind w:left="0"/>
              <w:rPr>
                <w:b/>
                <w:sz w:val="22"/>
                <w:szCs w:val="22"/>
              </w:rPr>
            </w:pPr>
            <w:r w:rsidRPr="00064075">
              <w:rPr>
                <w:b/>
                <w:sz w:val="22"/>
                <w:szCs w:val="22"/>
              </w:rPr>
              <w:t>Measure</w:t>
            </w:r>
          </w:p>
        </w:tc>
        <w:tc>
          <w:tcPr>
            <w:tcW w:w="2734" w:type="pct"/>
            <w:tcBorders>
              <w:bottom w:val="single" w:sz="4" w:space="0" w:color="495965"/>
            </w:tcBorders>
            <w:shd w:val="clear" w:color="auto" w:fill="007C89"/>
            <w:vAlign w:val="center"/>
          </w:tcPr>
          <w:p w14:paraId="5DAFFD36" w14:textId="77777777" w:rsidR="004F60BC" w:rsidRPr="00064075" w:rsidRDefault="004F60BC" w:rsidP="006C2640">
            <w:pPr>
              <w:pStyle w:val="Tablecolumnheading"/>
              <w:spacing w:before="0"/>
              <w:ind w:left="0"/>
              <w:rPr>
                <w:b/>
                <w:sz w:val="22"/>
                <w:szCs w:val="22"/>
              </w:rPr>
            </w:pPr>
            <w:r w:rsidRPr="00064075">
              <w:rPr>
                <w:b/>
                <w:sz w:val="22"/>
                <w:szCs w:val="22"/>
              </w:rPr>
              <w:t>Indicators</w:t>
            </w:r>
          </w:p>
        </w:tc>
      </w:tr>
      <w:tr w:rsidR="004F60BC" w:rsidRPr="00064075" w14:paraId="422F81CD" w14:textId="77777777" w:rsidTr="0083791C">
        <w:trPr>
          <w:trHeight w:val="429"/>
        </w:trPr>
        <w:tc>
          <w:tcPr>
            <w:tcW w:w="2266" w:type="pct"/>
            <w:vMerge w:val="restart"/>
            <w:tcBorders>
              <w:top w:val="single" w:sz="4" w:space="0" w:color="495965"/>
            </w:tcBorders>
            <w:vAlign w:val="center"/>
          </w:tcPr>
          <w:p w14:paraId="4D20500E" w14:textId="77777777" w:rsidR="004F60BC" w:rsidRPr="00064075" w:rsidRDefault="004F60BC" w:rsidP="00064075">
            <w:pPr>
              <w:pStyle w:val="Tablebodytext"/>
              <w:spacing w:before="0"/>
              <w:ind w:left="0"/>
              <w:rPr>
                <w:color w:val="auto"/>
                <w:sz w:val="22"/>
                <w:szCs w:val="22"/>
              </w:rPr>
            </w:pPr>
            <w:r w:rsidRPr="00064075">
              <w:rPr>
                <w:color w:val="auto"/>
                <w:sz w:val="22"/>
                <w:szCs w:val="22"/>
              </w:rPr>
              <w:t>Internal efficiency of the education system</w:t>
            </w:r>
          </w:p>
        </w:tc>
        <w:tc>
          <w:tcPr>
            <w:tcW w:w="2734" w:type="pct"/>
            <w:tcBorders>
              <w:top w:val="single" w:sz="4" w:space="0" w:color="495965"/>
              <w:bottom w:val="single" w:sz="4" w:space="0" w:color="495965"/>
            </w:tcBorders>
            <w:vAlign w:val="center"/>
          </w:tcPr>
          <w:p w14:paraId="6BAC0B04" w14:textId="77777777" w:rsidR="004F60BC" w:rsidRPr="00064075" w:rsidRDefault="004F60BC" w:rsidP="00064075">
            <w:pPr>
              <w:pStyle w:val="Tablebodytext"/>
              <w:spacing w:before="0"/>
              <w:ind w:left="0"/>
              <w:rPr>
                <w:color w:val="auto"/>
                <w:sz w:val="22"/>
                <w:szCs w:val="22"/>
              </w:rPr>
            </w:pPr>
            <w:r w:rsidRPr="00064075">
              <w:rPr>
                <w:color w:val="auto"/>
                <w:sz w:val="22"/>
                <w:szCs w:val="22"/>
              </w:rPr>
              <w:t>Drop-out rate</w:t>
            </w:r>
          </w:p>
        </w:tc>
      </w:tr>
      <w:tr w:rsidR="004F60BC" w:rsidRPr="00064075" w14:paraId="7177BCD1" w14:textId="77777777" w:rsidTr="0083791C">
        <w:trPr>
          <w:trHeight w:val="429"/>
        </w:trPr>
        <w:tc>
          <w:tcPr>
            <w:tcW w:w="2266" w:type="pct"/>
            <w:vMerge/>
            <w:vAlign w:val="center"/>
          </w:tcPr>
          <w:p w14:paraId="33937E4C" w14:textId="77777777" w:rsidR="004F60BC" w:rsidRPr="00064075" w:rsidRDefault="004F60BC" w:rsidP="00F01A4B">
            <w:pPr>
              <w:pStyle w:val="Tablebodytext"/>
              <w:spacing w:before="0"/>
              <w:rPr>
                <w:color w:val="auto"/>
                <w:sz w:val="22"/>
                <w:szCs w:val="22"/>
              </w:rPr>
            </w:pPr>
          </w:p>
        </w:tc>
        <w:tc>
          <w:tcPr>
            <w:tcW w:w="2734" w:type="pct"/>
            <w:tcBorders>
              <w:top w:val="single" w:sz="4" w:space="0" w:color="495965"/>
              <w:bottom w:val="single" w:sz="4" w:space="0" w:color="495965"/>
            </w:tcBorders>
            <w:vAlign w:val="center"/>
          </w:tcPr>
          <w:p w14:paraId="3C6107DF" w14:textId="77777777" w:rsidR="004F60BC" w:rsidRPr="00064075" w:rsidRDefault="004F60BC" w:rsidP="00064075">
            <w:pPr>
              <w:pStyle w:val="Tablebodytext"/>
              <w:spacing w:before="0"/>
              <w:ind w:left="0"/>
              <w:rPr>
                <w:color w:val="auto"/>
                <w:sz w:val="22"/>
                <w:szCs w:val="22"/>
              </w:rPr>
            </w:pPr>
            <w:r w:rsidRPr="00064075">
              <w:rPr>
                <w:color w:val="auto"/>
                <w:sz w:val="22"/>
                <w:szCs w:val="22"/>
              </w:rPr>
              <w:t>Repetition rate</w:t>
            </w:r>
          </w:p>
        </w:tc>
      </w:tr>
      <w:tr w:rsidR="004F60BC" w:rsidRPr="00064075" w14:paraId="6ADD075A" w14:textId="77777777" w:rsidTr="0083791C">
        <w:trPr>
          <w:trHeight w:val="429"/>
        </w:trPr>
        <w:tc>
          <w:tcPr>
            <w:tcW w:w="2266" w:type="pct"/>
            <w:vMerge/>
            <w:tcBorders>
              <w:bottom w:val="single" w:sz="4" w:space="0" w:color="495965"/>
            </w:tcBorders>
            <w:vAlign w:val="center"/>
          </w:tcPr>
          <w:p w14:paraId="199390B8" w14:textId="77777777" w:rsidR="004F60BC" w:rsidRPr="00064075" w:rsidRDefault="004F60BC" w:rsidP="00F01A4B">
            <w:pPr>
              <w:pStyle w:val="Tablebodytext"/>
              <w:spacing w:before="0"/>
              <w:rPr>
                <w:color w:val="auto"/>
                <w:sz w:val="22"/>
                <w:szCs w:val="22"/>
              </w:rPr>
            </w:pPr>
          </w:p>
        </w:tc>
        <w:tc>
          <w:tcPr>
            <w:tcW w:w="2734" w:type="pct"/>
            <w:tcBorders>
              <w:top w:val="single" w:sz="4" w:space="0" w:color="495965"/>
              <w:bottom w:val="single" w:sz="4" w:space="0" w:color="495965"/>
            </w:tcBorders>
            <w:vAlign w:val="center"/>
          </w:tcPr>
          <w:p w14:paraId="4D23A0CF" w14:textId="77777777" w:rsidR="004F60BC" w:rsidRPr="00064075" w:rsidRDefault="004F60BC" w:rsidP="00064075">
            <w:pPr>
              <w:pStyle w:val="Tablebodytext"/>
              <w:spacing w:before="0"/>
              <w:ind w:left="0"/>
              <w:rPr>
                <w:color w:val="auto"/>
                <w:sz w:val="22"/>
                <w:szCs w:val="22"/>
              </w:rPr>
            </w:pPr>
            <w:r w:rsidRPr="00064075">
              <w:rPr>
                <w:color w:val="auto"/>
                <w:sz w:val="22"/>
                <w:szCs w:val="22"/>
              </w:rPr>
              <w:t>Cycle completion cost *</w:t>
            </w:r>
          </w:p>
        </w:tc>
      </w:tr>
      <w:tr w:rsidR="004F60BC" w:rsidRPr="00064075" w14:paraId="2F15AD2D" w14:textId="77777777" w:rsidTr="0083791C">
        <w:trPr>
          <w:trHeight w:val="429"/>
        </w:trPr>
        <w:tc>
          <w:tcPr>
            <w:tcW w:w="2266" w:type="pct"/>
            <w:tcBorders>
              <w:bottom w:val="single" w:sz="4" w:space="0" w:color="495965"/>
            </w:tcBorders>
            <w:vAlign w:val="center"/>
          </w:tcPr>
          <w:p w14:paraId="3C7005F3" w14:textId="77777777" w:rsidR="004F60BC" w:rsidRPr="00064075" w:rsidRDefault="004F60BC" w:rsidP="00064075">
            <w:pPr>
              <w:pStyle w:val="Tablebodytext"/>
              <w:spacing w:before="0"/>
              <w:ind w:left="0"/>
              <w:rPr>
                <w:color w:val="auto"/>
                <w:sz w:val="22"/>
                <w:szCs w:val="22"/>
              </w:rPr>
            </w:pPr>
            <w:r w:rsidRPr="00064075">
              <w:rPr>
                <w:color w:val="auto"/>
                <w:sz w:val="22"/>
                <w:szCs w:val="22"/>
              </w:rPr>
              <w:t>Administrative burden of education system management</w:t>
            </w:r>
          </w:p>
        </w:tc>
        <w:tc>
          <w:tcPr>
            <w:tcW w:w="2734" w:type="pct"/>
            <w:tcBorders>
              <w:top w:val="single" w:sz="4" w:space="0" w:color="495965"/>
              <w:bottom w:val="single" w:sz="4" w:space="0" w:color="495965"/>
            </w:tcBorders>
            <w:vAlign w:val="center"/>
          </w:tcPr>
          <w:p w14:paraId="30A117AA" w14:textId="77777777" w:rsidR="004F60BC" w:rsidRPr="00064075" w:rsidRDefault="004F60BC" w:rsidP="00064075">
            <w:pPr>
              <w:pStyle w:val="Tablebodytext"/>
              <w:spacing w:before="0"/>
              <w:ind w:left="0"/>
              <w:rPr>
                <w:color w:val="auto"/>
                <w:sz w:val="22"/>
                <w:szCs w:val="22"/>
              </w:rPr>
            </w:pPr>
            <w:r w:rsidRPr="00064075">
              <w:rPr>
                <w:color w:val="auto"/>
                <w:sz w:val="22"/>
                <w:szCs w:val="22"/>
              </w:rPr>
              <w:t xml:space="preserve">School level costs as </w:t>
            </w:r>
            <w:r w:rsidR="000A1904" w:rsidRPr="00064075">
              <w:rPr>
                <w:color w:val="auto"/>
                <w:sz w:val="22"/>
                <w:szCs w:val="22"/>
              </w:rPr>
              <w:t>percentage</w:t>
            </w:r>
            <w:r w:rsidRPr="00064075">
              <w:rPr>
                <w:color w:val="auto"/>
                <w:sz w:val="22"/>
                <w:szCs w:val="22"/>
              </w:rPr>
              <w:t xml:space="preserve"> of total costs</w:t>
            </w:r>
          </w:p>
        </w:tc>
      </w:tr>
      <w:tr w:rsidR="004F60BC" w:rsidRPr="00064075" w14:paraId="077238E4" w14:textId="77777777" w:rsidTr="0083791C">
        <w:trPr>
          <w:trHeight w:val="429"/>
        </w:trPr>
        <w:tc>
          <w:tcPr>
            <w:tcW w:w="2266" w:type="pct"/>
            <w:vMerge w:val="restart"/>
            <w:tcBorders>
              <w:top w:val="single" w:sz="4" w:space="0" w:color="495965"/>
            </w:tcBorders>
            <w:vAlign w:val="center"/>
          </w:tcPr>
          <w:p w14:paraId="6DA157B5" w14:textId="77777777" w:rsidR="004F60BC" w:rsidRPr="00064075" w:rsidRDefault="004F60BC" w:rsidP="00064075">
            <w:pPr>
              <w:pStyle w:val="Tablebodytext"/>
              <w:spacing w:before="0"/>
              <w:ind w:left="0"/>
              <w:rPr>
                <w:color w:val="auto"/>
                <w:sz w:val="22"/>
                <w:szCs w:val="22"/>
              </w:rPr>
            </w:pPr>
            <w:r w:rsidRPr="00064075">
              <w:rPr>
                <w:color w:val="auto"/>
                <w:sz w:val="22"/>
                <w:szCs w:val="22"/>
              </w:rPr>
              <w:t>Resource prioritization for education sub-sectors</w:t>
            </w:r>
          </w:p>
        </w:tc>
        <w:tc>
          <w:tcPr>
            <w:tcW w:w="2734" w:type="pct"/>
            <w:tcBorders>
              <w:top w:val="single" w:sz="4" w:space="0" w:color="495965"/>
              <w:bottom w:val="single" w:sz="4" w:space="0" w:color="495965"/>
            </w:tcBorders>
            <w:vAlign w:val="center"/>
          </w:tcPr>
          <w:p w14:paraId="61AEBC14" w14:textId="77777777" w:rsidR="004F60BC" w:rsidRPr="00064075" w:rsidRDefault="004F60BC" w:rsidP="00064075">
            <w:pPr>
              <w:pStyle w:val="Tablebodytext"/>
              <w:spacing w:before="0"/>
              <w:ind w:left="0"/>
              <w:rPr>
                <w:color w:val="auto"/>
                <w:sz w:val="22"/>
                <w:szCs w:val="22"/>
              </w:rPr>
            </w:pPr>
            <w:r w:rsidRPr="00064075">
              <w:rPr>
                <w:color w:val="auto"/>
                <w:sz w:val="22"/>
                <w:szCs w:val="22"/>
              </w:rPr>
              <w:t>Average public expenditure per student by sub-sector</w:t>
            </w:r>
          </w:p>
        </w:tc>
      </w:tr>
      <w:tr w:rsidR="004F60BC" w:rsidRPr="00064075" w14:paraId="6858C2A8" w14:textId="77777777" w:rsidTr="0083791C">
        <w:trPr>
          <w:trHeight w:val="429"/>
        </w:trPr>
        <w:tc>
          <w:tcPr>
            <w:tcW w:w="2266" w:type="pct"/>
            <w:vMerge/>
            <w:tcBorders>
              <w:top w:val="single" w:sz="4" w:space="0" w:color="495965"/>
            </w:tcBorders>
            <w:vAlign w:val="center"/>
          </w:tcPr>
          <w:p w14:paraId="43FD2C57" w14:textId="77777777" w:rsidR="004F60BC" w:rsidRPr="00064075" w:rsidRDefault="004F60BC" w:rsidP="00F01A4B">
            <w:pPr>
              <w:pStyle w:val="Tablebodytext"/>
              <w:spacing w:before="0"/>
              <w:rPr>
                <w:color w:val="auto"/>
                <w:sz w:val="22"/>
                <w:szCs w:val="22"/>
              </w:rPr>
            </w:pPr>
          </w:p>
        </w:tc>
        <w:tc>
          <w:tcPr>
            <w:tcW w:w="2734" w:type="pct"/>
            <w:tcBorders>
              <w:top w:val="single" w:sz="4" w:space="0" w:color="495965"/>
              <w:bottom w:val="single" w:sz="4" w:space="0" w:color="495965"/>
            </w:tcBorders>
            <w:vAlign w:val="center"/>
          </w:tcPr>
          <w:p w14:paraId="629AD135" w14:textId="77777777" w:rsidR="004F60BC" w:rsidRPr="00064075" w:rsidRDefault="004F60BC" w:rsidP="00064075">
            <w:pPr>
              <w:pStyle w:val="Tablebodytext"/>
              <w:spacing w:before="0"/>
              <w:ind w:left="0"/>
              <w:rPr>
                <w:color w:val="auto"/>
                <w:sz w:val="22"/>
                <w:szCs w:val="22"/>
              </w:rPr>
            </w:pPr>
            <w:r w:rsidRPr="00064075">
              <w:rPr>
                <w:color w:val="auto"/>
                <w:sz w:val="22"/>
                <w:szCs w:val="22"/>
              </w:rPr>
              <w:t>Total public expenditure by sub-sector</w:t>
            </w:r>
          </w:p>
        </w:tc>
      </w:tr>
      <w:tr w:rsidR="004F60BC" w:rsidRPr="00064075" w14:paraId="5C8BC0A8" w14:textId="77777777" w:rsidTr="0083791C">
        <w:trPr>
          <w:trHeight w:val="429"/>
        </w:trPr>
        <w:tc>
          <w:tcPr>
            <w:tcW w:w="2266" w:type="pct"/>
            <w:vMerge/>
            <w:vAlign w:val="center"/>
          </w:tcPr>
          <w:p w14:paraId="30309028" w14:textId="77777777" w:rsidR="004F60BC" w:rsidRPr="00064075" w:rsidRDefault="004F60BC" w:rsidP="00F01A4B">
            <w:pPr>
              <w:pStyle w:val="Tablebodytext"/>
              <w:spacing w:before="0"/>
              <w:rPr>
                <w:color w:val="auto"/>
                <w:sz w:val="22"/>
                <w:szCs w:val="22"/>
              </w:rPr>
            </w:pPr>
          </w:p>
        </w:tc>
        <w:tc>
          <w:tcPr>
            <w:tcW w:w="2734" w:type="pct"/>
            <w:tcBorders>
              <w:top w:val="single" w:sz="4" w:space="0" w:color="495965"/>
              <w:bottom w:val="single" w:sz="4" w:space="0" w:color="495965"/>
            </w:tcBorders>
            <w:vAlign w:val="center"/>
          </w:tcPr>
          <w:p w14:paraId="5217224D" w14:textId="77777777" w:rsidR="004F60BC" w:rsidRPr="00064075" w:rsidRDefault="004F60BC" w:rsidP="00064075">
            <w:pPr>
              <w:pStyle w:val="Tablebodytext"/>
              <w:spacing w:before="0"/>
              <w:ind w:left="0"/>
              <w:rPr>
                <w:color w:val="auto"/>
                <w:sz w:val="22"/>
                <w:szCs w:val="22"/>
              </w:rPr>
            </w:pPr>
            <w:r w:rsidRPr="00064075">
              <w:rPr>
                <w:color w:val="auto"/>
                <w:sz w:val="22"/>
                <w:szCs w:val="22"/>
              </w:rPr>
              <w:t>Private expenditure per student by sub-sector</w:t>
            </w:r>
          </w:p>
        </w:tc>
      </w:tr>
      <w:tr w:rsidR="004F60BC" w:rsidRPr="00064075" w14:paraId="00F65872" w14:textId="77777777" w:rsidTr="0083791C">
        <w:trPr>
          <w:trHeight w:val="429"/>
        </w:trPr>
        <w:tc>
          <w:tcPr>
            <w:tcW w:w="2266" w:type="pct"/>
            <w:tcBorders>
              <w:bottom w:val="single" w:sz="4" w:space="0" w:color="495965"/>
            </w:tcBorders>
            <w:vAlign w:val="center"/>
          </w:tcPr>
          <w:p w14:paraId="786AE151" w14:textId="77777777" w:rsidR="004F60BC" w:rsidRPr="00064075" w:rsidRDefault="004F60BC" w:rsidP="00064075">
            <w:pPr>
              <w:pStyle w:val="Tablebodytext"/>
              <w:spacing w:before="0"/>
              <w:ind w:left="0"/>
              <w:rPr>
                <w:color w:val="auto"/>
                <w:sz w:val="22"/>
                <w:szCs w:val="22"/>
              </w:rPr>
            </w:pPr>
            <w:r w:rsidRPr="00064075">
              <w:rPr>
                <w:color w:val="auto"/>
                <w:sz w:val="22"/>
                <w:szCs w:val="22"/>
              </w:rPr>
              <w:t>Expenditure for resources/materials other than salaries</w:t>
            </w:r>
          </w:p>
        </w:tc>
        <w:tc>
          <w:tcPr>
            <w:tcW w:w="2734" w:type="pct"/>
            <w:tcBorders>
              <w:top w:val="single" w:sz="4" w:space="0" w:color="495965"/>
              <w:bottom w:val="single" w:sz="4" w:space="0" w:color="495965"/>
            </w:tcBorders>
            <w:vAlign w:val="center"/>
          </w:tcPr>
          <w:p w14:paraId="3752DD08" w14:textId="77777777" w:rsidR="004F60BC" w:rsidRPr="00064075" w:rsidRDefault="004F60BC" w:rsidP="00064075">
            <w:pPr>
              <w:pStyle w:val="Tablebodytext"/>
              <w:spacing w:before="0"/>
              <w:ind w:left="0"/>
              <w:rPr>
                <w:color w:val="auto"/>
                <w:sz w:val="22"/>
                <w:szCs w:val="22"/>
              </w:rPr>
            </w:pPr>
            <w:r w:rsidRPr="00064075">
              <w:rPr>
                <w:color w:val="auto"/>
                <w:sz w:val="22"/>
                <w:szCs w:val="22"/>
              </w:rPr>
              <w:t xml:space="preserve">Non-salary items as </w:t>
            </w:r>
            <w:r w:rsidR="000A1904" w:rsidRPr="00064075">
              <w:rPr>
                <w:color w:val="auto"/>
                <w:sz w:val="22"/>
                <w:szCs w:val="22"/>
              </w:rPr>
              <w:t>percentage</w:t>
            </w:r>
            <w:r w:rsidRPr="00064075">
              <w:rPr>
                <w:color w:val="auto"/>
                <w:sz w:val="22"/>
                <w:szCs w:val="22"/>
              </w:rPr>
              <w:t xml:space="preserve"> of public recurrent expenditure</w:t>
            </w:r>
          </w:p>
        </w:tc>
      </w:tr>
    </w:tbl>
    <w:p w14:paraId="05ABCD68" w14:textId="77777777" w:rsidR="00D247C1" w:rsidRDefault="00C76C5C" w:rsidP="0031342C">
      <w:pPr>
        <w:pStyle w:val="Note"/>
      </w:pPr>
      <w:r>
        <w:t>* Cycle completion cost is the average cost of producing a graduate for each level of schooling.</w:t>
      </w:r>
      <w:r w:rsidR="007021FB">
        <w:t xml:space="preserve"> The cost is higher than a simple average unit cost because it takes account of the number of drop-outs and repeaters.</w:t>
      </w:r>
    </w:p>
    <w:p w14:paraId="2AF3C6E8" w14:textId="77777777" w:rsidR="006232A8" w:rsidRDefault="006232A8" w:rsidP="002505ED">
      <w:pPr>
        <w:pStyle w:val="Heading2"/>
      </w:pPr>
      <w:r>
        <w:t>Internal efficiency of the education system</w:t>
      </w:r>
    </w:p>
    <w:p w14:paraId="65227320" w14:textId="77777777" w:rsidR="006232A8" w:rsidRDefault="006232A8" w:rsidP="006232A8">
      <w:pPr>
        <w:pStyle w:val="BodyText"/>
      </w:pPr>
      <w:r w:rsidRPr="006232A8">
        <w:t xml:space="preserve">The </w:t>
      </w:r>
      <w:r w:rsidR="002505ED">
        <w:t>i</w:t>
      </w:r>
      <w:r w:rsidRPr="006232A8">
        <w:t>nternal efficiency of a school system is the rate at which a system enrols and teaches its student body to complete each level of schooling. Efficiency indicators include drop-out rates, repetition rates, and cycle completion rates (average length of time needed to complete a level of schooling, such as primary education).</w:t>
      </w:r>
    </w:p>
    <w:p w14:paraId="75A7800E" w14:textId="77777777" w:rsidR="003D4541" w:rsidRDefault="006A5B40" w:rsidP="0083791C">
      <w:pPr>
        <w:pStyle w:val="BodyText"/>
        <w:spacing w:before="120" w:after="120"/>
      </w:pPr>
      <w:r w:rsidRPr="006A5B40">
        <w:t>A good general resource that covers issues including efficiency and effectiveness of school finance has been produced by the World Bank and can be found at the</w:t>
      </w:r>
      <w:r>
        <w:t xml:space="preserve"> </w:t>
      </w:r>
      <w:hyperlink r:id="rId29" w:history="1">
        <w:r w:rsidRPr="006A5B40">
          <w:rPr>
            <w:rStyle w:val="LinkChar"/>
          </w:rPr>
          <w:t>SABER School Finance</w:t>
        </w:r>
      </w:hyperlink>
      <w:r w:rsidRPr="006A5B40">
        <w:rPr>
          <w:rStyle w:val="LinkChar"/>
        </w:rPr>
        <w:t xml:space="preserve"> </w:t>
      </w:r>
      <w:r w:rsidRPr="006A5B40">
        <w:t>website.</w:t>
      </w:r>
    </w:p>
    <w:p w14:paraId="1B88E00C" w14:textId="189E0880" w:rsidR="006C2640" w:rsidRDefault="006C2640" w:rsidP="006C2640">
      <w:pPr>
        <w:pStyle w:val="Source"/>
      </w:pPr>
      <w:r>
        <w:t>Source: World Bank 2012.</w:t>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3D4541" w:rsidRPr="0076572C" w14:paraId="0CCF762C" w14:textId="77777777" w:rsidTr="0083791C">
        <w:trPr>
          <w:trHeight w:val="4820"/>
        </w:trPr>
        <w:tc>
          <w:tcPr>
            <w:tcW w:w="8931" w:type="dxa"/>
            <w:shd w:val="clear" w:color="auto" w:fill="D9D9D9" w:themeFill="background1" w:themeFillShade="D9"/>
          </w:tcPr>
          <w:p w14:paraId="35E8911F" w14:textId="77777777" w:rsidR="003D4541" w:rsidRDefault="003D4541" w:rsidP="003D4541">
            <w:pPr>
              <w:pStyle w:val="Boxheading"/>
            </w:pPr>
            <w:r w:rsidRPr="00673528">
              <w:drawing>
                <wp:anchor distT="0" distB="0" distL="114300" distR="114300" simplePos="0" relativeHeight="251838464" behindDoc="1" locked="0" layoutInCell="1" allowOverlap="1" wp14:anchorId="2E718B7C" wp14:editId="5500E891">
                  <wp:simplePos x="0" y="0"/>
                  <wp:positionH relativeFrom="column">
                    <wp:posOffset>4157980</wp:posOffset>
                  </wp:positionH>
                  <wp:positionV relativeFrom="paragraph">
                    <wp:posOffset>252095</wp:posOffset>
                  </wp:positionV>
                  <wp:extent cx="1106170" cy="8420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00064075">
              <w:t>An a</w:t>
            </w:r>
            <w:r w:rsidR="00CB308C">
              <w:t>ctivity for you</w:t>
            </w:r>
            <w:r>
              <w:t xml:space="preserve"> </w:t>
            </w:r>
          </w:p>
          <w:p w14:paraId="36142BCD" w14:textId="77777777" w:rsidR="003D4541" w:rsidRPr="00064075" w:rsidRDefault="003D4541" w:rsidP="0031342C">
            <w:pPr>
              <w:pStyle w:val="Boxtext"/>
              <w:rPr>
                <w:b/>
              </w:rPr>
            </w:pPr>
            <w:r w:rsidRPr="00064075">
              <w:rPr>
                <w:b/>
              </w:rPr>
              <w:t>Think about your country program or a developing country and answer the following questions:</w:t>
            </w:r>
          </w:p>
          <w:p w14:paraId="3EE133A3" w14:textId="77777777" w:rsidR="003D4541" w:rsidRPr="00064075" w:rsidRDefault="003D4541" w:rsidP="00064075">
            <w:pPr>
              <w:pStyle w:val="Numberedlist"/>
              <w:numPr>
                <w:ilvl w:val="0"/>
                <w:numId w:val="10"/>
              </w:numPr>
              <w:rPr>
                <w:b w:val="0"/>
              </w:rPr>
            </w:pPr>
            <w:r w:rsidRPr="00064075">
              <w:rPr>
                <w:b w:val="0"/>
              </w:rPr>
              <w:t>Is the trend over time for drop-out and repetition rates showing an improvement, a decline, or is it static?</w:t>
            </w:r>
          </w:p>
          <w:p w14:paraId="6086B7B9" w14:textId="77777777" w:rsidR="003D4541" w:rsidRPr="00064075" w:rsidRDefault="003D4541" w:rsidP="00064075">
            <w:pPr>
              <w:pStyle w:val="Numberedlist"/>
              <w:numPr>
                <w:ilvl w:val="0"/>
                <w:numId w:val="10"/>
              </w:numPr>
              <w:rPr>
                <w:b w:val="0"/>
              </w:rPr>
            </w:pPr>
            <w:r w:rsidRPr="00064075">
              <w:rPr>
                <w:b w:val="0"/>
              </w:rPr>
              <w:t>Have there been any studies into the reasons for students dropping-out?</w:t>
            </w:r>
          </w:p>
          <w:p w14:paraId="2B43274C" w14:textId="77777777" w:rsidR="003D4541" w:rsidRPr="00064075" w:rsidRDefault="003D4541" w:rsidP="00064075">
            <w:pPr>
              <w:pStyle w:val="Numberedlist"/>
              <w:numPr>
                <w:ilvl w:val="0"/>
                <w:numId w:val="10"/>
              </w:numPr>
              <w:rPr>
                <w:b w:val="0"/>
              </w:rPr>
            </w:pPr>
            <w:r w:rsidRPr="00064075">
              <w:rPr>
                <w:b w:val="0"/>
              </w:rPr>
              <w:t>Is drop-out focused in particular geographic areas or populations?</w:t>
            </w:r>
          </w:p>
          <w:p w14:paraId="4A476873" w14:textId="77777777" w:rsidR="003D4541" w:rsidRPr="00064075" w:rsidRDefault="003D4541" w:rsidP="00064075">
            <w:pPr>
              <w:pStyle w:val="Numberedlist"/>
              <w:numPr>
                <w:ilvl w:val="0"/>
                <w:numId w:val="10"/>
              </w:numPr>
              <w:rPr>
                <w:b w:val="0"/>
              </w:rPr>
            </w:pPr>
            <w:r w:rsidRPr="00064075">
              <w:rPr>
                <w:b w:val="0"/>
              </w:rPr>
              <w:t>Is there a difference in drop-out between girls and boys? Which has the lowest drop-out and repetition rate?</w:t>
            </w:r>
          </w:p>
          <w:p w14:paraId="307ED573" w14:textId="77777777" w:rsidR="003D4541" w:rsidRPr="0031342C" w:rsidRDefault="003D4541" w:rsidP="00064075">
            <w:pPr>
              <w:pStyle w:val="Numberedlist"/>
              <w:numPr>
                <w:ilvl w:val="0"/>
                <w:numId w:val="10"/>
              </w:numPr>
            </w:pPr>
            <w:r w:rsidRPr="00064075">
              <w:rPr>
                <w:b w:val="0"/>
              </w:rPr>
              <w:t>Are there any proposed strategies for dealing with drop-out and repetition rates, and have these been costed?</w:t>
            </w:r>
          </w:p>
        </w:tc>
      </w:tr>
    </w:tbl>
    <w:p w14:paraId="0F86D996" w14:textId="77777777" w:rsidR="00B47A81" w:rsidRDefault="003E46FF" w:rsidP="002274CF">
      <w:pPr>
        <w:pStyle w:val="Heading2"/>
      </w:pPr>
      <w:r>
        <w:t>Administrative burden of education system management</w:t>
      </w:r>
    </w:p>
    <w:p w14:paraId="43561B78" w14:textId="08F0E9F4" w:rsidR="003E46FF" w:rsidRDefault="003E46FF" w:rsidP="003E46FF">
      <w:pPr>
        <w:pStyle w:val="BodyText"/>
      </w:pPr>
      <w:r>
        <w:t>Administrative burden of education system management refers to the proportion of the budget allocated for system management. This includes payments for teacher supervisors, conducting examinations, curriculum development and professional development of teachers. If these expenditures are too high they may represent an inefficient system.  However, if they are too low they impede the ability of the system to provide adequate support and guidance to schools.</w:t>
      </w:r>
    </w:p>
    <w:p w14:paraId="5968AB7A" w14:textId="09C72B56" w:rsidR="004E630C" w:rsidRPr="00184B67" w:rsidRDefault="003E46FF" w:rsidP="0031342C">
      <w:pPr>
        <w:pStyle w:val="BodyText"/>
        <w:spacing w:after="240"/>
      </w:pPr>
      <w:r>
        <w:t xml:space="preserve">Efficient administrative systems are especially important for small education systems and those with a high proportion of remote or isolated schools. The size of these 'out of school' expenditures will be greater in smaller systems. This is because the basic overhead costs of running a system are distributed across a smaller number of schools. As a general guide, for larger scale systems, out of school expenses should be in the zone of </w:t>
      </w:r>
      <w:r w:rsidR="009459C4">
        <w:t>five</w:t>
      </w:r>
      <w:r>
        <w:t xml:space="preserve"> to</w:t>
      </w:r>
      <w:r w:rsidR="009459C4">
        <w:t xml:space="preserve"> </w:t>
      </w:r>
      <w:r w:rsidR="005F6F2F">
        <w:t>10</w:t>
      </w:r>
      <w:r>
        <w:t xml:space="preserve"> per cent of total expenses.</w:t>
      </w:r>
      <w:r w:rsidR="004E630C">
        <w:rPr>
          <w:noProof/>
          <w:lang w:eastAsia="en-AU"/>
        </w:rPr>
        <w:t xml:space="preserve"> </w:t>
      </w:r>
    </w:p>
    <w:tbl>
      <w:tblPr>
        <w:tblStyle w:val="TableGrid"/>
        <w:tblW w:w="8868"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868"/>
      </w:tblGrid>
      <w:tr w:rsidR="004E630C" w:rsidRPr="0076572C" w14:paraId="7FEED59A" w14:textId="77777777" w:rsidTr="0031342C">
        <w:trPr>
          <w:trHeight w:val="4467"/>
        </w:trPr>
        <w:tc>
          <w:tcPr>
            <w:tcW w:w="8868" w:type="dxa"/>
            <w:shd w:val="clear" w:color="auto" w:fill="D9D9D9" w:themeFill="background1" w:themeFillShade="D9"/>
          </w:tcPr>
          <w:p w14:paraId="1F873BD7" w14:textId="77777777" w:rsidR="0077064D" w:rsidRDefault="004E630C" w:rsidP="0077064D">
            <w:pPr>
              <w:pStyle w:val="Boxheading"/>
            </w:pPr>
            <w:r w:rsidRPr="00673528">
              <w:drawing>
                <wp:anchor distT="0" distB="0" distL="114300" distR="114300" simplePos="0" relativeHeight="251842560" behindDoc="1" locked="0" layoutInCell="1" allowOverlap="1" wp14:anchorId="1EE6D852" wp14:editId="19058CDF">
                  <wp:simplePos x="0" y="0"/>
                  <wp:positionH relativeFrom="column">
                    <wp:posOffset>4157980</wp:posOffset>
                  </wp:positionH>
                  <wp:positionV relativeFrom="paragraph">
                    <wp:posOffset>252095</wp:posOffset>
                  </wp:positionV>
                  <wp:extent cx="1106170" cy="84201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0077064D" w:rsidRPr="00106E2E">
              <w:drawing>
                <wp:anchor distT="0" distB="0" distL="114300" distR="114300" simplePos="0" relativeHeight="251844608" behindDoc="0" locked="0" layoutInCell="1" allowOverlap="1" wp14:anchorId="04F9FAA4" wp14:editId="05111ED4">
                  <wp:simplePos x="0" y="0"/>
                  <wp:positionH relativeFrom="column">
                    <wp:posOffset>4191635</wp:posOffset>
                  </wp:positionH>
                  <wp:positionV relativeFrom="paragraph">
                    <wp:posOffset>236220</wp:posOffset>
                  </wp:positionV>
                  <wp:extent cx="1106170" cy="852805"/>
                  <wp:effectExtent l="0" t="0" r="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0077064D">
              <w:t xml:space="preserve">An </w:t>
            </w:r>
            <w:r w:rsidR="00064075">
              <w:t>a</w:t>
            </w:r>
            <w:r w:rsidR="008C4277">
              <w:t>ctivity for you</w:t>
            </w:r>
          </w:p>
          <w:p w14:paraId="220F7CC0" w14:textId="0DC63AC9" w:rsidR="0077064D" w:rsidRPr="00064075" w:rsidRDefault="0077064D" w:rsidP="0031342C">
            <w:pPr>
              <w:pStyle w:val="Boxtext"/>
              <w:rPr>
                <w:b/>
              </w:rPr>
            </w:pPr>
            <w:r w:rsidRPr="00064075">
              <w:rPr>
                <w:b/>
              </w:rPr>
              <w:t>Think about your country program or a developing country and</w:t>
            </w:r>
            <w:r w:rsidR="005F6F2F">
              <w:rPr>
                <w:b/>
              </w:rPr>
              <w:t xml:space="preserve"> answer the following questions.</w:t>
            </w:r>
          </w:p>
          <w:p w14:paraId="47319CD4" w14:textId="77777777" w:rsidR="0077064D" w:rsidRPr="00064075" w:rsidRDefault="0077064D" w:rsidP="00064075">
            <w:pPr>
              <w:pStyle w:val="Numberedlist"/>
              <w:numPr>
                <w:ilvl w:val="0"/>
                <w:numId w:val="11"/>
              </w:numPr>
              <w:rPr>
                <w:b w:val="0"/>
              </w:rPr>
            </w:pPr>
            <w:r w:rsidRPr="00064075">
              <w:rPr>
                <w:b w:val="0"/>
              </w:rPr>
              <w:t>Is it possible to calculate from the education budget what proportion of education expenditure is for ‘out of school’ purposes? For example, payments to teacher supervisors, conducting examinations, curriculum development and professional development of teachers.</w:t>
            </w:r>
          </w:p>
          <w:p w14:paraId="555A4B01" w14:textId="77777777" w:rsidR="0077064D" w:rsidRPr="00064075" w:rsidRDefault="0077064D" w:rsidP="00064075">
            <w:pPr>
              <w:pStyle w:val="Numberedlist"/>
              <w:numPr>
                <w:ilvl w:val="0"/>
                <w:numId w:val="11"/>
              </w:numPr>
              <w:rPr>
                <w:b w:val="0"/>
              </w:rPr>
            </w:pPr>
            <w:r w:rsidRPr="00064075">
              <w:rPr>
                <w:b w:val="0"/>
              </w:rPr>
              <w:t>What elements of education system management could be adjusted to reduce its overall cost?</w:t>
            </w:r>
          </w:p>
          <w:p w14:paraId="03FC44FA" w14:textId="77777777" w:rsidR="004E630C" w:rsidRPr="0031342C" w:rsidRDefault="0077064D" w:rsidP="00064075">
            <w:pPr>
              <w:pStyle w:val="Numberedlist"/>
              <w:numPr>
                <w:ilvl w:val="0"/>
                <w:numId w:val="11"/>
              </w:numPr>
            </w:pPr>
            <w:r w:rsidRPr="00064075">
              <w:rPr>
                <w:b w:val="0"/>
              </w:rPr>
              <w:t>What expenditure</w:t>
            </w:r>
            <w:r w:rsidR="00FD45E7">
              <w:rPr>
                <w:b w:val="0"/>
              </w:rPr>
              <w:t>s</w:t>
            </w:r>
            <w:r w:rsidRPr="00064075">
              <w:rPr>
                <w:b w:val="0"/>
              </w:rPr>
              <w:t xml:space="preserve"> or investments in system management could be introduced to yield improvement in educational quality or access to education?</w:t>
            </w:r>
          </w:p>
        </w:tc>
      </w:tr>
    </w:tbl>
    <w:p w14:paraId="08856A49" w14:textId="77777777" w:rsidR="00A966C8" w:rsidRPr="003E46FF" w:rsidRDefault="00C364E6" w:rsidP="002505ED">
      <w:pPr>
        <w:pStyle w:val="Heading2"/>
        <w:spacing w:before="240"/>
      </w:pPr>
      <w:r>
        <w:t>Resourcing priorities for education sub-sectors</w:t>
      </w:r>
    </w:p>
    <w:p w14:paraId="014B3762" w14:textId="77777777" w:rsidR="00A966C8" w:rsidRDefault="00C364E6" w:rsidP="00C364E6">
      <w:pPr>
        <w:pStyle w:val="BodyText"/>
      </w:pPr>
      <w:r w:rsidRPr="00C364E6">
        <w:t>Assessing expenditures by sub sector</w:t>
      </w:r>
      <w:r w:rsidR="000A1904">
        <w:t>s</w:t>
      </w:r>
      <w:r w:rsidRPr="00C364E6">
        <w:t xml:space="preserve"> show</w:t>
      </w:r>
      <w:r w:rsidR="000A1904">
        <w:t>s</w:t>
      </w:r>
      <w:r w:rsidRPr="00C364E6">
        <w:t xml:space="preserve"> how the funding ‘pie’ is divided between different levels of education. Historical trends in overall expenditure combined with unit cost analyses can point to a mismatch between government objectives as set out in its Education Sector Plan and actual resource allocations.</w:t>
      </w:r>
    </w:p>
    <w:p w14:paraId="3D985B4E" w14:textId="77777777" w:rsidR="00C364E6" w:rsidRDefault="00C364E6" w:rsidP="00C364E6">
      <w:pPr>
        <w:pStyle w:val="Heading3"/>
      </w:pPr>
      <w:r>
        <w:t>Private household expenditures</w:t>
      </w:r>
    </w:p>
    <w:p w14:paraId="18F39BBA" w14:textId="77777777" w:rsidR="00C364E6" w:rsidRDefault="00C364E6" w:rsidP="00C364E6">
      <w:pPr>
        <w:pStyle w:val="BodyText"/>
      </w:pPr>
      <w:r w:rsidRPr="00C364E6">
        <w:t>Private household expenditures for education should be tracked to see how they intersect with the outlay of public money. These household expenditures are often very significant, meaning they can help improve the quality of schooling. However, this expenditure also imposes barriers to entry and sustained participation, especially for poor families. Equity and access objectives mean that private expenditures should be lowest for the basic level of education. This means that families should be required to pay little or no money for education at the pre-primary and primary levels, i.e. low fees or none, and no other ‘hidden’ costs, such as for learning materials, uniforms, taking exams, and equipment. As the incidence of private expenditures increases towards higher education levels, it is important to see if there are targeted financing mechanisms to support poorer sections of society.</w:t>
      </w:r>
    </w:p>
    <w:p w14:paraId="54A9EC16" w14:textId="77777777" w:rsidR="00C364E6" w:rsidRDefault="00C364E6" w:rsidP="00C364E6">
      <w:pPr>
        <w:pStyle w:val="Heading3"/>
      </w:pPr>
      <w:r>
        <w:t xml:space="preserve">Definition of </w:t>
      </w:r>
      <w:r w:rsidR="009459C4">
        <w:t>unit c</w:t>
      </w:r>
      <w:r>
        <w:t>ost</w:t>
      </w:r>
    </w:p>
    <w:p w14:paraId="15D2E6B4" w14:textId="77777777" w:rsidR="00C364E6" w:rsidRDefault="00C364E6" w:rsidP="00C364E6">
      <w:pPr>
        <w:pStyle w:val="BodyText"/>
      </w:pPr>
      <w:r w:rsidRPr="00C364E6">
        <w:t>A unit cost is the expenditure incurred in producing one unit of a good or service. It is usually computed as an average cost. In education, the unit cost usually refers to the average annual cost per enrolled student.</w:t>
      </w:r>
    </w:p>
    <w:p w14:paraId="56E951A5" w14:textId="2FF9058B" w:rsidR="00C364E6" w:rsidRDefault="00C364E6" w:rsidP="00C364E6">
      <w:pPr>
        <w:pStyle w:val="BodyText"/>
      </w:pPr>
      <w:r w:rsidRPr="00C364E6">
        <w:t>The appropriate levels of expenditure by sub-sector is a function of the number of students enrolled across sub-sectors. It is important to look at the number of student beneficiaries between sectors to judge if expenditure is disproportionate. Generally, per student spending increase</w:t>
      </w:r>
      <w:r w:rsidR="00955833">
        <w:t>s</w:t>
      </w:r>
      <w:r w:rsidRPr="00C364E6">
        <w:t xml:space="preserve"> with the levels of education. For example, in Indonesia, government expenditure on primary education per pupil was equivalent to USD $1</w:t>
      </w:r>
      <w:r w:rsidR="00637793">
        <w:t>,</w:t>
      </w:r>
      <w:r w:rsidR="00E9606A">
        <w:t>514</w:t>
      </w:r>
      <w:r w:rsidRPr="00C364E6">
        <w:t>, compared to USD $3,</w:t>
      </w:r>
      <w:r w:rsidR="00E9606A">
        <w:t>764</w:t>
      </w:r>
      <w:r w:rsidRPr="00C364E6">
        <w:t xml:space="preserve"> on tertiary education per pupil (201</w:t>
      </w:r>
      <w:r w:rsidR="00E9606A">
        <w:t>5</w:t>
      </w:r>
      <w:r w:rsidRPr="00C364E6">
        <w:t>).</w:t>
      </w:r>
    </w:p>
    <w:p w14:paraId="4FEE0101" w14:textId="7A76A630" w:rsidR="0077064D" w:rsidRPr="009C4C3B" w:rsidRDefault="00756B93" w:rsidP="00756B93">
      <w:pPr>
        <w:pStyle w:val="Source"/>
      </w:pPr>
      <w:r w:rsidRPr="004F4F58">
        <w:t xml:space="preserve">Source: </w:t>
      </w:r>
      <w:r w:rsidR="00E9606A" w:rsidRPr="004F4F58">
        <w:t xml:space="preserve">OECD </w:t>
      </w:r>
      <w:r w:rsidR="004F4F58">
        <w:t xml:space="preserve">2019, </w:t>
      </w:r>
      <w:hyperlink r:id="rId31" w:history="1">
        <w:r w:rsidR="00E9606A" w:rsidRPr="004F4F58">
          <w:t xml:space="preserve">Education at a Glance, Education Finance </w:t>
        </w:r>
        <w:r w:rsidR="004F4F58">
          <w:t>Indicators</w:t>
        </w:r>
        <w:r w:rsidR="004F4F58" w:rsidRPr="004F4F58">
          <w:t>.</w:t>
        </w:r>
      </w:hyperlink>
    </w:p>
    <w:tbl>
      <w:tblPr>
        <w:tblStyle w:val="TableGrid"/>
        <w:tblW w:w="9032"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9032"/>
      </w:tblGrid>
      <w:tr w:rsidR="0077064D" w:rsidRPr="0076572C" w14:paraId="27E5DC74" w14:textId="77777777" w:rsidTr="0031342C">
        <w:trPr>
          <w:trHeight w:val="4605"/>
        </w:trPr>
        <w:tc>
          <w:tcPr>
            <w:tcW w:w="9032" w:type="dxa"/>
            <w:shd w:val="clear" w:color="auto" w:fill="D9D9D9" w:themeFill="background1" w:themeFillShade="D9"/>
          </w:tcPr>
          <w:p w14:paraId="16520F94" w14:textId="77777777" w:rsidR="0077064D" w:rsidRDefault="0077064D" w:rsidP="00B51888">
            <w:pPr>
              <w:pStyle w:val="Boxheading"/>
            </w:pPr>
            <w:r w:rsidRPr="00673528">
              <w:drawing>
                <wp:anchor distT="0" distB="0" distL="114300" distR="114300" simplePos="0" relativeHeight="251848704" behindDoc="1" locked="0" layoutInCell="1" allowOverlap="1" wp14:anchorId="7CD855CC" wp14:editId="12606873">
                  <wp:simplePos x="0" y="0"/>
                  <wp:positionH relativeFrom="column">
                    <wp:posOffset>4157980</wp:posOffset>
                  </wp:positionH>
                  <wp:positionV relativeFrom="paragraph">
                    <wp:posOffset>252095</wp:posOffset>
                  </wp:positionV>
                  <wp:extent cx="1106170" cy="8420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r>
              <w:t xml:space="preserve"> </w:t>
            </w:r>
          </w:p>
          <w:p w14:paraId="652C701D" w14:textId="20D4E4B5" w:rsidR="0077064D" w:rsidRPr="00064075" w:rsidRDefault="0077064D" w:rsidP="0031342C">
            <w:pPr>
              <w:pStyle w:val="Boxtext"/>
              <w:rPr>
                <w:b/>
              </w:rPr>
            </w:pPr>
            <w:r w:rsidRPr="00064075">
              <w:rPr>
                <w:b/>
              </w:rPr>
              <w:t>Think about your country program or a developing country and</w:t>
            </w:r>
            <w:r w:rsidR="005F6F2F">
              <w:rPr>
                <w:b/>
              </w:rPr>
              <w:t xml:space="preserve"> answer the following questions.</w:t>
            </w:r>
          </w:p>
          <w:p w14:paraId="74D5F015" w14:textId="77777777" w:rsidR="0077064D" w:rsidRPr="001E0364" w:rsidRDefault="0077064D" w:rsidP="00064075">
            <w:pPr>
              <w:pStyle w:val="Numberedlist"/>
              <w:numPr>
                <w:ilvl w:val="0"/>
                <w:numId w:val="12"/>
              </w:numPr>
              <w:rPr>
                <w:b w:val="0"/>
                <w:sz w:val="23"/>
                <w:szCs w:val="23"/>
              </w:rPr>
            </w:pPr>
            <w:r w:rsidRPr="001E0364">
              <w:rPr>
                <w:b w:val="0"/>
                <w:sz w:val="23"/>
                <w:szCs w:val="23"/>
              </w:rPr>
              <w:t>Is it possible to calculate from the education budget the proportion of education expenditure that is allocated between the education sectors (pre-school, primary, secondary and post-secondary)? Have there been studies that have made these calculations?</w:t>
            </w:r>
          </w:p>
          <w:p w14:paraId="4E6856E1" w14:textId="77777777" w:rsidR="0077064D" w:rsidRPr="001E0364" w:rsidRDefault="0077064D" w:rsidP="00064075">
            <w:pPr>
              <w:pStyle w:val="Numberedlist"/>
              <w:numPr>
                <w:ilvl w:val="0"/>
                <w:numId w:val="12"/>
              </w:numPr>
              <w:rPr>
                <w:b w:val="0"/>
                <w:sz w:val="23"/>
                <w:szCs w:val="23"/>
              </w:rPr>
            </w:pPr>
            <w:r w:rsidRPr="001E0364">
              <w:rPr>
                <w:b w:val="0"/>
                <w:sz w:val="23"/>
                <w:szCs w:val="23"/>
              </w:rPr>
              <w:t>How many students can be provided primary education for the cost of one in post-secondary education?</w:t>
            </w:r>
          </w:p>
          <w:p w14:paraId="13D9DC51" w14:textId="77777777" w:rsidR="0077064D" w:rsidRPr="00774448" w:rsidRDefault="0077064D" w:rsidP="00064075">
            <w:pPr>
              <w:pStyle w:val="Numberedlist"/>
              <w:numPr>
                <w:ilvl w:val="0"/>
                <w:numId w:val="12"/>
              </w:numPr>
            </w:pPr>
            <w:r w:rsidRPr="001E0364">
              <w:rPr>
                <w:b w:val="0"/>
                <w:sz w:val="23"/>
                <w:szCs w:val="23"/>
              </w:rPr>
              <w:t>Are there any institutional and political factors that direct greater funding towards one education sub-sector over another?</w:t>
            </w:r>
            <w:r w:rsidRPr="00774448">
              <w:t xml:space="preserve"> </w:t>
            </w:r>
          </w:p>
        </w:tc>
      </w:tr>
    </w:tbl>
    <w:p w14:paraId="38471D7E" w14:textId="77777777" w:rsidR="00986F7C" w:rsidRDefault="00091F0E" w:rsidP="002274CF">
      <w:pPr>
        <w:pStyle w:val="Heading2"/>
        <w:spacing w:before="240"/>
      </w:pPr>
      <w:r>
        <w:t>Expenditure for resources/materials other than salaries</w:t>
      </w:r>
    </w:p>
    <w:p w14:paraId="1B432BF7" w14:textId="77777777" w:rsidR="00A70A51" w:rsidRDefault="009669FD" w:rsidP="009669FD">
      <w:pPr>
        <w:pStyle w:val="Heading3"/>
      </w:pPr>
      <w:r>
        <w:t>Salary and non-salary shares of expenditure</w:t>
      </w:r>
    </w:p>
    <w:p w14:paraId="7AFA5740" w14:textId="77777777" w:rsidR="009669FD" w:rsidRDefault="009669FD" w:rsidP="009669FD">
      <w:pPr>
        <w:pStyle w:val="BodyText"/>
      </w:pPr>
      <w:r w:rsidRPr="009669FD">
        <w:t>Salary and non-salary shares of expenditure reveal the amount of funds available within a system to spend on equipment, materials and facilities that are important to education quality. While the quality of teachers is central to the quality of learning in a school, other resources</w:t>
      </w:r>
      <w:r w:rsidR="009459C4">
        <w:t xml:space="preserve"> </w:t>
      </w:r>
      <w:r w:rsidRPr="009669FD">
        <w:t>– especially learning materials, student assessment tools and teaching</w:t>
      </w:r>
      <w:r>
        <w:t xml:space="preserve"> </w:t>
      </w:r>
      <w:r w:rsidRPr="009669FD">
        <w:t>resources –</w:t>
      </w:r>
      <w:r w:rsidR="009459C4">
        <w:t xml:space="preserve"> </w:t>
      </w:r>
      <w:r w:rsidRPr="009669FD">
        <w:t>are vital to enriching the teaching and learning process. As a general guide, large and efficient systems may have salaries at around 70 per cent of total recurrent expenditures. This enables the balance of resources to be devoted to enriching the teaching and learning process. The reality in developing countries is frequently different, with up to 90 per cent of education budgets devoted to salaries. This leaves very little space from domestic resources to support the non-salary components of a well-functioning education system. For this reason, development partner and system level investments tend to target non-recurrent priorities, such as curriculum reform, teacher development, data systems and assessment. As an example, in Zimbabwe compensation to primary teaching staff as a percentage of current expenditure on primary education is nearly 99 per cent. This compares to a nominal 0.2 per cent of expenditure on primary level textbooks and teaching materials as a percentage of current expenditure on primary education.</w:t>
      </w:r>
    </w:p>
    <w:p w14:paraId="70F23F1D" w14:textId="7CCF54BD" w:rsidR="00E8499C" w:rsidRDefault="009669FD" w:rsidP="009669FD">
      <w:pPr>
        <w:pStyle w:val="Source"/>
      </w:pPr>
      <w:r>
        <w:t xml:space="preserve">Source: </w:t>
      </w:r>
      <w:r w:rsidRPr="00747437">
        <w:t xml:space="preserve">UNESCO 2017, </w:t>
      </w:r>
      <w:hyperlink r:id="rId32" w:history="1">
        <w:r w:rsidRPr="0031342C">
          <w:t>Global Education Monitoring Report 2017/18: Accountability in education, meeting our commitments</w:t>
        </w:r>
      </w:hyperlink>
      <w:r w:rsidRPr="00747437">
        <w:t>, p.403.</w:t>
      </w:r>
    </w:p>
    <w:tbl>
      <w:tblPr>
        <w:tblStyle w:val="TableGrid"/>
        <w:tblW w:w="8944"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44"/>
      </w:tblGrid>
      <w:tr w:rsidR="00E8499C" w:rsidRPr="0076572C" w14:paraId="6D68D197" w14:textId="77777777" w:rsidTr="0031342C">
        <w:trPr>
          <w:trHeight w:val="4807"/>
        </w:trPr>
        <w:tc>
          <w:tcPr>
            <w:tcW w:w="8944" w:type="dxa"/>
            <w:shd w:val="clear" w:color="auto" w:fill="D9D9D9" w:themeFill="background1" w:themeFillShade="D9"/>
          </w:tcPr>
          <w:p w14:paraId="186C27F6" w14:textId="77777777" w:rsidR="00E8499C" w:rsidRDefault="00E8499C" w:rsidP="00B51888">
            <w:pPr>
              <w:pStyle w:val="Boxheading"/>
            </w:pPr>
            <w:r w:rsidRPr="00673528">
              <w:drawing>
                <wp:anchor distT="0" distB="0" distL="114300" distR="114300" simplePos="0" relativeHeight="251852800" behindDoc="1" locked="0" layoutInCell="1" allowOverlap="1" wp14:anchorId="1793C8A4" wp14:editId="1B84EC49">
                  <wp:simplePos x="0" y="0"/>
                  <wp:positionH relativeFrom="column">
                    <wp:posOffset>4157980</wp:posOffset>
                  </wp:positionH>
                  <wp:positionV relativeFrom="paragraph">
                    <wp:posOffset>252095</wp:posOffset>
                  </wp:positionV>
                  <wp:extent cx="1106170" cy="84201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r>
              <w:t xml:space="preserve"> </w:t>
            </w:r>
          </w:p>
          <w:p w14:paraId="0845B58D" w14:textId="77777777" w:rsidR="00E8499C" w:rsidRPr="00064075" w:rsidRDefault="00E8499C" w:rsidP="0031342C">
            <w:pPr>
              <w:pStyle w:val="Boxtext"/>
              <w:rPr>
                <w:b/>
              </w:rPr>
            </w:pPr>
            <w:r w:rsidRPr="00064075">
              <w:rPr>
                <w:b/>
              </w:rPr>
              <w:t>Think about your country program or a developing country and answer the following questions:</w:t>
            </w:r>
          </w:p>
          <w:p w14:paraId="7552AA00" w14:textId="77777777" w:rsidR="00E8499C" w:rsidRPr="001E0364" w:rsidRDefault="00E8499C" w:rsidP="00064075">
            <w:pPr>
              <w:pStyle w:val="Numberedlist"/>
              <w:numPr>
                <w:ilvl w:val="0"/>
                <w:numId w:val="13"/>
              </w:numPr>
              <w:rPr>
                <w:b w:val="0"/>
                <w:sz w:val="23"/>
                <w:szCs w:val="23"/>
              </w:rPr>
            </w:pPr>
            <w:r w:rsidRPr="001E0364">
              <w:rPr>
                <w:b w:val="0"/>
                <w:sz w:val="23"/>
                <w:szCs w:val="23"/>
              </w:rPr>
              <w:t>Is it possible to calculate from the education budget the proportion of education expenditure that is for salary related expenses?</w:t>
            </w:r>
          </w:p>
          <w:p w14:paraId="7F50C2A6" w14:textId="77777777" w:rsidR="00E8499C" w:rsidRPr="001E0364" w:rsidRDefault="00E8499C" w:rsidP="00064075">
            <w:pPr>
              <w:pStyle w:val="Numberedlist"/>
              <w:numPr>
                <w:ilvl w:val="0"/>
                <w:numId w:val="13"/>
              </w:numPr>
              <w:rPr>
                <w:b w:val="0"/>
                <w:sz w:val="23"/>
                <w:szCs w:val="23"/>
              </w:rPr>
            </w:pPr>
            <w:r w:rsidRPr="001E0364">
              <w:rPr>
                <w:b w:val="0"/>
                <w:sz w:val="23"/>
                <w:szCs w:val="23"/>
              </w:rPr>
              <w:t>Have there been any studies that have made these calculations? If so, what did those studies reveal?</w:t>
            </w:r>
          </w:p>
          <w:p w14:paraId="584855DC" w14:textId="77777777" w:rsidR="00E8499C" w:rsidRPr="001E0364" w:rsidRDefault="00E8499C" w:rsidP="00064075">
            <w:pPr>
              <w:pStyle w:val="Numberedlist"/>
              <w:numPr>
                <w:ilvl w:val="0"/>
                <w:numId w:val="13"/>
              </w:numPr>
              <w:rPr>
                <w:b w:val="0"/>
                <w:sz w:val="23"/>
                <w:szCs w:val="23"/>
              </w:rPr>
            </w:pPr>
            <w:r w:rsidRPr="001E0364">
              <w:rPr>
                <w:b w:val="0"/>
                <w:sz w:val="23"/>
                <w:szCs w:val="23"/>
              </w:rPr>
              <w:t>Is the average teacher salary close to the average public servant salary? Does it differ for women and men?</w:t>
            </w:r>
          </w:p>
          <w:p w14:paraId="6A12C6FD" w14:textId="77777777" w:rsidR="00E8499C" w:rsidRPr="0076572C" w:rsidRDefault="00E8499C" w:rsidP="00064075">
            <w:pPr>
              <w:pStyle w:val="Numberedlist"/>
              <w:numPr>
                <w:ilvl w:val="0"/>
                <w:numId w:val="13"/>
              </w:numPr>
            </w:pPr>
            <w:r w:rsidRPr="001E0364">
              <w:rPr>
                <w:b w:val="0"/>
                <w:sz w:val="23"/>
                <w:szCs w:val="23"/>
              </w:rPr>
              <w:t>What is the average pupil: teacher ratio for the different levels of schooling? Does it show significant differences across regions? Across levels?</w:t>
            </w:r>
            <w:r>
              <w:t xml:space="preserve"> </w:t>
            </w:r>
          </w:p>
        </w:tc>
      </w:tr>
    </w:tbl>
    <w:p w14:paraId="693D8D75" w14:textId="77777777" w:rsidR="00E8499C" w:rsidRDefault="00E8499C" w:rsidP="00CD59C1">
      <w:pPr>
        <w:pStyle w:val="Paraspace"/>
      </w:pPr>
    </w:p>
    <w:p w14:paraId="4F68A6EF" w14:textId="77777777" w:rsidR="00767BC4" w:rsidRDefault="009459C4" w:rsidP="00767BC4">
      <w:pPr>
        <w:pStyle w:val="Heading1"/>
        <w:widowControl/>
      </w:pPr>
      <w:bookmarkStart w:id="9" w:name="_Toc15637000"/>
      <w:r>
        <w:t>F</w:t>
      </w:r>
      <w:r w:rsidR="00767BC4">
        <w:t>unding patterns that promote equity of access</w:t>
      </w:r>
      <w:bookmarkEnd w:id="9"/>
    </w:p>
    <w:p w14:paraId="7CD910C9" w14:textId="77777777" w:rsidR="00767BC4" w:rsidRDefault="009034C1" w:rsidP="009034C1">
      <w:pPr>
        <w:pStyle w:val="BodyText"/>
      </w:pPr>
      <w:r w:rsidRPr="009034C1">
        <w:t>Equity in education spending refers to funding patterns promoting equity of access to learning opportunities for all children. It can be considered the first step towards more equitable learning outcomes. To be equitable, education systems need to allocate resources to address poverty, gender disparities, social barriers and the integration of students with disabilities.</w:t>
      </w:r>
    </w:p>
    <w:p w14:paraId="2E65F9CA" w14:textId="77777777" w:rsidR="00627CF4" w:rsidRPr="00D74D2A" w:rsidRDefault="009034C1" w:rsidP="00627CF4">
      <w:pPr>
        <w:pStyle w:val="BodyText"/>
      </w:pPr>
      <w:r w:rsidRPr="009034C1">
        <w:t xml:space="preserve">Equity analysis needs to consider public and non-government sectors of schooling. This is especially important in countries with a significant share of children enrolled in non-government schools (or where the poor are overly represented in non-government schools). In Pakistan, for example, a significant proportion of students are enrolled in non-government and/or private schools. Alternately, in Indonesia, while enrolments in non-government schools under the jurisdiction of the Ministry of Religious Affairs are </w:t>
      </w:r>
      <w:r w:rsidRPr="00D74D2A">
        <w:t xml:space="preserve">proportionately small, they absorb large numbers of the very poor. In both cases this indicates the need for strong regulatory oversight, to ensure consistent educational standards across all parts of the system.  </w:t>
      </w:r>
    </w:p>
    <w:p w14:paraId="192C7D26" w14:textId="0F6AC469" w:rsidR="00627CF4" w:rsidRPr="00D74D2A" w:rsidRDefault="00627CF4" w:rsidP="00627CF4">
      <w:pPr>
        <w:pStyle w:val="BodyText"/>
        <w:rPr>
          <w:rFonts w:cs="Arial"/>
          <w:color w:val="auto"/>
          <w:sz w:val="20"/>
          <w:szCs w:val="20"/>
        </w:rPr>
      </w:pPr>
      <w:r w:rsidRPr="00D74D2A">
        <w:rPr>
          <w:rStyle w:val="BodyTextChar"/>
        </w:rPr>
        <w:t>The following table</w:t>
      </w:r>
      <w:r w:rsidR="00D74D2A" w:rsidRPr="00D74D2A">
        <w:rPr>
          <w:rStyle w:val="BodyTextChar"/>
        </w:rPr>
        <w:t xml:space="preserve"> </w:t>
      </w:r>
      <w:r w:rsidRPr="00D74D2A">
        <w:rPr>
          <w:rStyle w:val="BodyTextChar"/>
        </w:rPr>
        <w:t>presents the key indicators for measuring funding patterns promoting equity of access to learning opportunities for all children.</w:t>
      </w:r>
      <w:r w:rsidRPr="00D74D2A">
        <w:rPr>
          <w:rFonts w:cs="Arial"/>
          <w:color w:val="auto"/>
          <w:sz w:val="20"/>
          <w:szCs w:val="20"/>
        </w:rPr>
        <w:t xml:space="preserve">  </w:t>
      </w:r>
    </w:p>
    <w:p w14:paraId="6367CB99" w14:textId="77777777" w:rsidR="0083791C" w:rsidRDefault="0083791C">
      <w:pPr>
        <w:rPr>
          <w:rFonts w:ascii="Calibri" w:eastAsia="Calibri" w:hAnsi="Calibri" w:cs="Calibri"/>
          <w:b/>
          <w:color w:val="231F20"/>
          <w:sz w:val="24"/>
          <w:szCs w:val="24"/>
          <w:lang w:val="en-US"/>
        </w:rPr>
      </w:pPr>
      <w:r>
        <w:br w:type="page"/>
      </w:r>
    </w:p>
    <w:p w14:paraId="0A129C4F" w14:textId="52CB7C2E" w:rsidR="00207F84" w:rsidRDefault="00C84E10" w:rsidP="002A1273">
      <w:pPr>
        <w:pStyle w:val="Tablecaption"/>
      </w:pPr>
      <w:r>
        <w:t>Table 4</w:t>
      </w:r>
      <w:r w:rsidR="002A1273">
        <w:t xml:space="preserve"> – </w:t>
      </w:r>
      <w:r w:rsidR="00973639">
        <w:t>Measuring funding for promoting equity</w:t>
      </w:r>
    </w:p>
    <w:tbl>
      <w:tblPr>
        <w:tblStyle w:val="DiplomaticAcademysasp"/>
        <w:tblW w:w="5000" w:type="pct"/>
        <w:tblLook w:val="04A0" w:firstRow="1" w:lastRow="0" w:firstColumn="1" w:lastColumn="0" w:noHBand="0" w:noVBand="1"/>
      </w:tblPr>
      <w:tblGrid>
        <w:gridCol w:w="3401"/>
        <w:gridCol w:w="5669"/>
      </w:tblGrid>
      <w:tr w:rsidR="002A1273" w:rsidRPr="00D366AE" w14:paraId="05308A98" w14:textId="77777777" w:rsidTr="00F01A4B">
        <w:trPr>
          <w:cnfStyle w:val="100000000000" w:firstRow="1" w:lastRow="0" w:firstColumn="0" w:lastColumn="0" w:oddVBand="0" w:evenVBand="0" w:oddHBand="0" w:evenHBand="0" w:firstRowFirstColumn="0" w:firstRowLastColumn="0" w:lastRowFirstColumn="0" w:lastRowLastColumn="0"/>
          <w:trHeight w:val="444"/>
        </w:trPr>
        <w:tc>
          <w:tcPr>
            <w:tcW w:w="1875" w:type="pct"/>
            <w:tcBorders>
              <w:bottom w:val="single" w:sz="4" w:space="0" w:color="495965"/>
            </w:tcBorders>
            <w:shd w:val="clear" w:color="auto" w:fill="007C89"/>
            <w:vAlign w:val="center"/>
          </w:tcPr>
          <w:p w14:paraId="07032A44" w14:textId="77777777" w:rsidR="002A1273" w:rsidRPr="00D366AE" w:rsidRDefault="002A1273" w:rsidP="00D366AE">
            <w:pPr>
              <w:pStyle w:val="Tablecolumnheading"/>
              <w:spacing w:before="0"/>
              <w:ind w:left="0"/>
              <w:rPr>
                <w:b/>
                <w:sz w:val="22"/>
                <w:szCs w:val="22"/>
              </w:rPr>
            </w:pPr>
            <w:r w:rsidRPr="00D366AE">
              <w:rPr>
                <w:b/>
                <w:sz w:val="22"/>
                <w:szCs w:val="22"/>
              </w:rPr>
              <w:t>Measure</w:t>
            </w:r>
          </w:p>
        </w:tc>
        <w:tc>
          <w:tcPr>
            <w:tcW w:w="3125" w:type="pct"/>
            <w:tcBorders>
              <w:bottom w:val="single" w:sz="4" w:space="0" w:color="495965"/>
            </w:tcBorders>
            <w:shd w:val="clear" w:color="auto" w:fill="007C89"/>
            <w:vAlign w:val="center"/>
          </w:tcPr>
          <w:p w14:paraId="1F792296" w14:textId="77777777" w:rsidR="002A1273" w:rsidRPr="00D366AE" w:rsidRDefault="002A1273" w:rsidP="00D366AE">
            <w:pPr>
              <w:pStyle w:val="Tablecolumnheading"/>
              <w:spacing w:before="0"/>
              <w:ind w:left="2160"/>
              <w:jc w:val="left"/>
              <w:rPr>
                <w:b/>
                <w:sz w:val="22"/>
                <w:szCs w:val="22"/>
              </w:rPr>
            </w:pPr>
            <w:r w:rsidRPr="00D366AE">
              <w:rPr>
                <w:b/>
                <w:sz w:val="22"/>
                <w:szCs w:val="22"/>
              </w:rPr>
              <w:t>Indicators</w:t>
            </w:r>
          </w:p>
        </w:tc>
      </w:tr>
      <w:tr w:rsidR="002A1273" w:rsidRPr="00D366AE" w14:paraId="7F309A8A" w14:textId="77777777" w:rsidTr="00F01A4B">
        <w:trPr>
          <w:trHeight w:val="429"/>
        </w:trPr>
        <w:tc>
          <w:tcPr>
            <w:tcW w:w="1875" w:type="pct"/>
            <w:vMerge w:val="restart"/>
            <w:tcBorders>
              <w:top w:val="single" w:sz="4" w:space="0" w:color="495965"/>
            </w:tcBorders>
            <w:vAlign w:val="center"/>
          </w:tcPr>
          <w:p w14:paraId="3241A23E" w14:textId="77777777" w:rsidR="002A1273" w:rsidRPr="00D366AE" w:rsidRDefault="002A1273" w:rsidP="00D366AE">
            <w:pPr>
              <w:pStyle w:val="Tablebodytext"/>
              <w:spacing w:before="0"/>
              <w:ind w:left="0"/>
              <w:rPr>
                <w:color w:val="auto"/>
                <w:sz w:val="22"/>
                <w:szCs w:val="22"/>
              </w:rPr>
            </w:pPr>
            <w:r w:rsidRPr="00D366AE">
              <w:rPr>
                <w:color w:val="auto"/>
                <w:sz w:val="22"/>
                <w:szCs w:val="22"/>
              </w:rPr>
              <w:t>Adequacy of public funds to provide education for schools in poor and remote areas</w:t>
            </w:r>
          </w:p>
        </w:tc>
        <w:tc>
          <w:tcPr>
            <w:tcW w:w="3125" w:type="pct"/>
            <w:tcBorders>
              <w:top w:val="single" w:sz="4" w:space="0" w:color="495965"/>
              <w:bottom w:val="single" w:sz="4" w:space="0" w:color="495965"/>
            </w:tcBorders>
            <w:vAlign w:val="center"/>
          </w:tcPr>
          <w:p w14:paraId="1AF9E0C5" w14:textId="77777777" w:rsidR="002A1273" w:rsidRPr="00D366AE" w:rsidRDefault="002A1273" w:rsidP="00D366AE">
            <w:pPr>
              <w:pStyle w:val="Tablebodytext"/>
              <w:spacing w:before="0"/>
              <w:ind w:left="0"/>
              <w:rPr>
                <w:color w:val="auto"/>
                <w:sz w:val="22"/>
                <w:szCs w:val="22"/>
              </w:rPr>
            </w:pPr>
            <w:r w:rsidRPr="00D366AE">
              <w:rPr>
                <w:color w:val="auto"/>
                <w:sz w:val="22"/>
                <w:szCs w:val="22"/>
              </w:rPr>
              <w:t>Average public expenditure per student by sub-national setting. For example: region, district, island</w:t>
            </w:r>
          </w:p>
        </w:tc>
      </w:tr>
      <w:tr w:rsidR="002A1273" w:rsidRPr="00D366AE" w14:paraId="33BDD49D" w14:textId="77777777" w:rsidTr="00F01A4B">
        <w:trPr>
          <w:trHeight w:val="429"/>
        </w:trPr>
        <w:tc>
          <w:tcPr>
            <w:tcW w:w="1875" w:type="pct"/>
            <w:vMerge/>
            <w:vAlign w:val="center"/>
          </w:tcPr>
          <w:p w14:paraId="06A58A16" w14:textId="77777777" w:rsidR="002A1273" w:rsidRPr="00D366AE" w:rsidRDefault="002A1273" w:rsidP="00F01A4B">
            <w:pPr>
              <w:pStyle w:val="Tablebodytext"/>
              <w:spacing w:before="0"/>
              <w:rPr>
                <w:color w:val="auto"/>
                <w:sz w:val="22"/>
                <w:szCs w:val="22"/>
              </w:rPr>
            </w:pPr>
          </w:p>
        </w:tc>
        <w:tc>
          <w:tcPr>
            <w:tcW w:w="3125" w:type="pct"/>
            <w:tcBorders>
              <w:top w:val="single" w:sz="4" w:space="0" w:color="495965"/>
              <w:bottom w:val="single" w:sz="4" w:space="0" w:color="495965"/>
            </w:tcBorders>
            <w:vAlign w:val="center"/>
          </w:tcPr>
          <w:p w14:paraId="17AF1B7A" w14:textId="77777777" w:rsidR="002A1273" w:rsidRPr="00D366AE" w:rsidRDefault="002A1273" w:rsidP="00D366AE">
            <w:pPr>
              <w:pStyle w:val="Tablebodytext"/>
              <w:spacing w:before="0"/>
              <w:ind w:left="0"/>
              <w:rPr>
                <w:color w:val="auto"/>
                <w:sz w:val="22"/>
                <w:szCs w:val="22"/>
              </w:rPr>
            </w:pPr>
            <w:r w:rsidRPr="00D366AE">
              <w:rPr>
                <w:color w:val="auto"/>
                <w:sz w:val="22"/>
                <w:szCs w:val="22"/>
              </w:rPr>
              <w:t>Average education expenditure per student in ethnic</w:t>
            </w:r>
            <w:r w:rsidR="00E9606A">
              <w:rPr>
                <w:color w:val="auto"/>
                <w:sz w:val="22"/>
                <w:szCs w:val="22"/>
              </w:rPr>
              <w:t xml:space="preserve"> or religious </w:t>
            </w:r>
            <w:r w:rsidRPr="00D366AE">
              <w:rPr>
                <w:color w:val="auto"/>
                <w:sz w:val="22"/>
                <w:szCs w:val="22"/>
              </w:rPr>
              <w:t xml:space="preserve"> minority localities</w:t>
            </w:r>
          </w:p>
        </w:tc>
      </w:tr>
      <w:tr w:rsidR="002A1273" w:rsidRPr="00D366AE" w14:paraId="05829C27" w14:textId="77777777" w:rsidTr="00F01A4B">
        <w:trPr>
          <w:trHeight w:val="429"/>
        </w:trPr>
        <w:tc>
          <w:tcPr>
            <w:tcW w:w="1875" w:type="pct"/>
            <w:vMerge/>
            <w:tcBorders>
              <w:bottom w:val="single" w:sz="4" w:space="0" w:color="495965"/>
            </w:tcBorders>
            <w:vAlign w:val="center"/>
          </w:tcPr>
          <w:p w14:paraId="149254D8" w14:textId="77777777" w:rsidR="002A1273" w:rsidRPr="00D366AE" w:rsidRDefault="002A1273" w:rsidP="00F01A4B">
            <w:pPr>
              <w:pStyle w:val="Tablebodytext"/>
              <w:spacing w:before="0"/>
              <w:rPr>
                <w:color w:val="auto"/>
                <w:sz w:val="22"/>
                <w:szCs w:val="22"/>
              </w:rPr>
            </w:pPr>
          </w:p>
        </w:tc>
        <w:tc>
          <w:tcPr>
            <w:tcW w:w="3125" w:type="pct"/>
            <w:tcBorders>
              <w:top w:val="single" w:sz="4" w:space="0" w:color="495965"/>
              <w:bottom w:val="single" w:sz="4" w:space="0" w:color="495965"/>
            </w:tcBorders>
            <w:vAlign w:val="center"/>
          </w:tcPr>
          <w:p w14:paraId="4CCD92B9" w14:textId="77777777" w:rsidR="002A1273" w:rsidRPr="00D366AE" w:rsidRDefault="002A1273" w:rsidP="00D366AE">
            <w:pPr>
              <w:pStyle w:val="Tablebodytext"/>
              <w:spacing w:before="0"/>
              <w:ind w:left="0"/>
              <w:rPr>
                <w:color w:val="auto"/>
                <w:sz w:val="22"/>
                <w:szCs w:val="22"/>
              </w:rPr>
            </w:pPr>
            <w:r w:rsidRPr="00D366AE">
              <w:rPr>
                <w:color w:val="auto"/>
                <w:sz w:val="22"/>
                <w:szCs w:val="22"/>
              </w:rPr>
              <w:t xml:space="preserve">Non-salary items as </w:t>
            </w:r>
            <w:r w:rsidR="00955833" w:rsidRPr="00D366AE">
              <w:rPr>
                <w:color w:val="auto"/>
                <w:sz w:val="22"/>
                <w:szCs w:val="22"/>
              </w:rPr>
              <w:t>percentage</w:t>
            </w:r>
            <w:r w:rsidRPr="00D366AE">
              <w:rPr>
                <w:color w:val="auto"/>
                <w:sz w:val="22"/>
                <w:szCs w:val="22"/>
              </w:rPr>
              <w:t xml:space="preserve"> of public recurrent expenditure</w:t>
            </w:r>
          </w:p>
        </w:tc>
      </w:tr>
      <w:tr w:rsidR="002A1273" w:rsidRPr="00D366AE" w14:paraId="55BBEA7A" w14:textId="77777777" w:rsidTr="00F01A4B">
        <w:trPr>
          <w:trHeight w:val="429"/>
        </w:trPr>
        <w:tc>
          <w:tcPr>
            <w:tcW w:w="1875" w:type="pct"/>
            <w:tcBorders>
              <w:bottom w:val="single" w:sz="4" w:space="0" w:color="495965"/>
            </w:tcBorders>
            <w:vAlign w:val="center"/>
          </w:tcPr>
          <w:p w14:paraId="7EAD2894" w14:textId="77777777" w:rsidR="002A1273" w:rsidRPr="00D366AE" w:rsidRDefault="002A1273" w:rsidP="00D366AE">
            <w:pPr>
              <w:pStyle w:val="Tablebodytext"/>
              <w:spacing w:before="0"/>
              <w:ind w:left="0"/>
              <w:rPr>
                <w:color w:val="auto"/>
                <w:sz w:val="22"/>
                <w:szCs w:val="22"/>
              </w:rPr>
            </w:pPr>
            <w:r w:rsidRPr="00D366AE">
              <w:rPr>
                <w:color w:val="auto"/>
                <w:sz w:val="22"/>
                <w:szCs w:val="22"/>
              </w:rPr>
              <w:t>Targeted expenditure for students with disability</w:t>
            </w:r>
          </w:p>
        </w:tc>
        <w:tc>
          <w:tcPr>
            <w:tcW w:w="3125" w:type="pct"/>
            <w:tcBorders>
              <w:top w:val="single" w:sz="4" w:space="0" w:color="495965"/>
              <w:bottom w:val="single" w:sz="4" w:space="0" w:color="495965"/>
            </w:tcBorders>
            <w:vAlign w:val="center"/>
          </w:tcPr>
          <w:p w14:paraId="53FAC09B" w14:textId="77777777" w:rsidR="002A1273" w:rsidRPr="00D366AE" w:rsidRDefault="002A1273" w:rsidP="00D366AE">
            <w:pPr>
              <w:pStyle w:val="Tablebodytext"/>
              <w:spacing w:before="0"/>
              <w:ind w:left="0"/>
              <w:rPr>
                <w:color w:val="auto"/>
                <w:sz w:val="22"/>
                <w:szCs w:val="22"/>
              </w:rPr>
            </w:pPr>
            <w:r w:rsidRPr="00D366AE">
              <w:rPr>
                <w:color w:val="auto"/>
                <w:sz w:val="22"/>
                <w:szCs w:val="22"/>
              </w:rPr>
              <w:t>Volume of targeted funding for students with disabilities</w:t>
            </w:r>
            <w:r w:rsidR="00E9606A">
              <w:rPr>
                <w:color w:val="auto"/>
                <w:sz w:val="22"/>
                <w:szCs w:val="22"/>
              </w:rPr>
              <w:t xml:space="preserve"> (in systems with more developed approach for students with disability, this can be expressed as percentage of total expenditure)</w:t>
            </w:r>
          </w:p>
        </w:tc>
      </w:tr>
      <w:tr w:rsidR="002A1273" w:rsidRPr="00D366AE" w14:paraId="3ABD6CC4" w14:textId="77777777" w:rsidTr="00F01A4B">
        <w:trPr>
          <w:trHeight w:val="429"/>
        </w:trPr>
        <w:tc>
          <w:tcPr>
            <w:tcW w:w="1875" w:type="pct"/>
            <w:tcBorders>
              <w:bottom w:val="single" w:sz="4" w:space="0" w:color="495965"/>
            </w:tcBorders>
            <w:vAlign w:val="center"/>
          </w:tcPr>
          <w:p w14:paraId="251F20F0" w14:textId="77777777" w:rsidR="002A1273" w:rsidRPr="00D366AE" w:rsidRDefault="002A1273" w:rsidP="00D366AE">
            <w:pPr>
              <w:pStyle w:val="Tablebodytext"/>
              <w:spacing w:before="0"/>
              <w:ind w:left="0"/>
              <w:rPr>
                <w:color w:val="auto"/>
                <w:sz w:val="22"/>
                <w:szCs w:val="22"/>
              </w:rPr>
            </w:pPr>
            <w:r w:rsidRPr="00D366AE">
              <w:rPr>
                <w:color w:val="auto"/>
                <w:sz w:val="22"/>
                <w:szCs w:val="22"/>
              </w:rPr>
              <w:t>Gender shares of education expenditure</w:t>
            </w:r>
          </w:p>
        </w:tc>
        <w:tc>
          <w:tcPr>
            <w:tcW w:w="3125" w:type="pct"/>
            <w:tcBorders>
              <w:top w:val="single" w:sz="4" w:space="0" w:color="495965"/>
              <w:bottom w:val="single" w:sz="4" w:space="0" w:color="495965"/>
            </w:tcBorders>
            <w:vAlign w:val="center"/>
          </w:tcPr>
          <w:p w14:paraId="363F7021" w14:textId="77777777" w:rsidR="002A1273" w:rsidRPr="00D366AE" w:rsidRDefault="002A1273" w:rsidP="00D366AE">
            <w:pPr>
              <w:pStyle w:val="Tablebodytext"/>
              <w:spacing w:before="0"/>
              <w:ind w:left="0"/>
              <w:rPr>
                <w:color w:val="auto"/>
                <w:sz w:val="22"/>
                <w:szCs w:val="22"/>
              </w:rPr>
            </w:pPr>
            <w:r w:rsidRPr="00D366AE">
              <w:rPr>
                <w:color w:val="auto"/>
                <w:sz w:val="22"/>
                <w:szCs w:val="22"/>
              </w:rPr>
              <w:t>Female enrolments at different levels of schooling</w:t>
            </w:r>
          </w:p>
        </w:tc>
      </w:tr>
    </w:tbl>
    <w:p w14:paraId="10027FAF" w14:textId="77777777" w:rsidR="00622D96" w:rsidRPr="00316AC7" w:rsidRDefault="00622D96" w:rsidP="002505ED">
      <w:pPr>
        <w:pStyle w:val="Heading2"/>
        <w:spacing w:before="240"/>
      </w:pPr>
      <w:r>
        <w:t>Distribution of education expenditures</w:t>
      </w:r>
    </w:p>
    <w:p w14:paraId="4AE9264E" w14:textId="77777777" w:rsidR="00627CF4" w:rsidRDefault="00D43217" w:rsidP="00622D96">
      <w:pPr>
        <w:pStyle w:val="Heading3"/>
      </w:pPr>
      <w:r>
        <w:t>Funding for poor and remote areas</w:t>
      </w:r>
    </w:p>
    <w:p w14:paraId="6D6F4DFB" w14:textId="77777777" w:rsidR="00D43217" w:rsidRDefault="00C45224" w:rsidP="00D43217">
      <w:pPr>
        <w:pStyle w:val="BodyText"/>
      </w:pPr>
      <w:r w:rsidRPr="00C45224">
        <w:t>Funding for poor and remote areas needs to be monitored to ensure that adequate resourcing goes to highly needy areas. Unit costs for providing education in remote areas are often much higher than in other locations because of lower pupil/teacher ratios and the need to provide additional resourcing such as boarding facilities, school feeding programs, and housing for teachers. If average expenditure per student in remote areas is less than or equal to the national average, this usually indicates an inequitable resource allocation.</w:t>
      </w:r>
    </w:p>
    <w:p w14:paraId="620F999B" w14:textId="77777777" w:rsidR="00622D96" w:rsidRDefault="00316AC7" w:rsidP="00622D96">
      <w:pPr>
        <w:pStyle w:val="BodyText"/>
      </w:pPr>
      <w:r w:rsidRPr="00316AC7">
        <w:t>Non-salary share of expenditure for poor and remote areas is very important because these communities are usually the least able to provide private sources of funding for classroom materials, equipment and school maintenance.</w:t>
      </w:r>
    </w:p>
    <w:p w14:paraId="0B84C03B" w14:textId="77777777" w:rsidR="00622D96" w:rsidRDefault="00622D96" w:rsidP="00622D96">
      <w:pPr>
        <w:pStyle w:val="Heading3"/>
      </w:pPr>
      <w:r>
        <w:t>Targeted funding for students with disabilities</w:t>
      </w:r>
    </w:p>
    <w:p w14:paraId="7ECF40A4" w14:textId="77777777" w:rsidR="00622D96" w:rsidRDefault="00622D96" w:rsidP="00622D96">
      <w:pPr>
        <w:pStyle w:val="BodyText"/>
      </w:pPr>
      <w:r w:rsidRPr="00622D96">
        <w:t>Targeted funding for students with disabilities helps track the annual amount of operational expenditure and capital investment that is available to meet the specific needs of this group.</w:t>
      </w:r>
    </w:p>
    <w:p w14:paraId="6FEFD008" w14:textId="77777777" w:rsidR="00622D96" w:rsidRDefault="00622D96" w:rsidP="00622D96">
      <w:pPr>
        <w:pStyle w:val="Heading3"/>
      </w:pPr>
      <w:r>
        <w:t>Gender shares of education expenditure</w:t>
      </w:r>
    </w:p>
    <w:p w14:paraId="5E0CB7DE" w14:textId="77777777" w:rsidR="0010220F" w:rsidRDefault="00622D96" w:rsidP="002505ED">
      <w:pPr>
        <w:pStyle w:val="BodyText"/>
      </w:pPr>
      <w:r w:rsidRPr="00622D96">
        <w:t>Female enrolment rates at different levels of schooling can be applied to the distribution of educational expenditure to calculate the female share of education expenditure. This provides a useful measure of comparison to the male share of education expenditure.</w:t>
      </w:r>
      <w:r w:rsidR="0010220F">
        <w:t xml:space="preserve"> </w:t>
      </w:r>
    </w:p>
    <w:p w14:paraId="28F6AE52" w14:textId="77777777" w:rsidR="002505ED" w:rsidRPr="00184B67" w:rsidRDefault="002505ED" w:rsidP="002505ED">
      <w:pPr>
        <w:pStyle w:val="BodyText"/>
        <w:spacing w:before="0"/>
      </w:pPr>
    </w:p>
    <w:p w14:paraId="1A8A3E22" w14:textId="77777777" w:rsidR="007021FB" w:rsidRDefault="007021FB">
      <w:r>
        <w:rPr>
          <w:b/>
        </w:rPr>
        <w:br w:type="page"/>
      </w:r>
    </w:p>
    <w:tbl>
      <w:tblPr>
        <w:tblStyle w:val="TableGrid"/>
        <w:tblW w:w="9218"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9218"/>
      </w:tblGrid>
      <w:tr w:rsidR="0010220F" w:rsidRPr="0076572C" w14:paraId="2B7A0D2B" w14:textId="77777777" w:rsidTr="001C4D73">
        <w:trPr>
          <w:trHeight w:val="10490"/>
        </w:trPr>
        <w:tc>
          <w:tcPr>
            <w:tcW w:w="9218" w:type="dxa"/>
            <w:shd w:val="clear" w:color="auto" w:fill="D9D9D9" w:themeFill="background1" w:themeFillShade="D9"/>
          </w:tcPr>
          <w:p w14:paraId="447E569F" w14:textId="77777777" w:rsidR="0010220F" w:rsidRDefault="0010220F" w:rsidP="00B51888">
            <w:pPr>
              <w:pStyle w:val="Boxheading"/>
            </w:pPr>
            <w:r w:rsidRPr="00673528">
              <w:drawing>
                <wp:anchor distT="0" distB="0" distL="114300" distR="114300" simplePos="0" relativeHeight="251856896" behindDoc="1" locked="0" layoutInCell="1" allowOverlap="1" wp14:anchorId="5569628B" wp14:editId="46F646E9">
                  <wp:simplePos x="0" y="0"/>
                  <wp:positionH relativeFrom="column">
                    <wp:posOffset>4405630</wp:posOffset>
                  </wp:positionH>
                  <wp:positionV relativeFrom="paragraph">
                    <wp:posOffset>118745</wp:posOffset>
                  </wp:positionV>
                  <wp:extent cx="1106170" cy="84201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2232C955" w14:textId="6369ABAE" w:rsidR="002505ED" w:rsidRPr="007F7A22" w:rsidRDefault="007F7A22" w:rsidP="001C4D73">
            <w:pPr>
              <w:pStyle w:val="Boxtext"/>
              <w:spacing w:after="120"/>
              <w:rPr>
                <w:b/>
              </w:rPr>
            </w:pPr>
            <w:r w:rsidRPr="007F7A22">
              <w:rPr>
                <w:b/>
              </w:rPr>
              <w:t xml:space="preserve">Complete the table below to consider the key equity concerns </w:t>
            </w:r>
            <w:r w:rsidR="002E27AA">
              <w:rPr>
                <w:b/>
              </w:rPr>
              <w:t xml:space="preserve">impacting on education </w:t>
            </w:r>
            <w:r w:rsidRPr="007F7A22">
              <w:rPr>
                <w:b/>
              </w:rPr>
              <w:t>in your country program or a d</w:t>
            </w:r>
            <w:r>
              <w:rPr>
                <w:b/>
              </w:rPr>
              <w:t>eveloping country known to you.</w:t>
            </w:r>
          </w:p>
          <w:tbl>
            <w:tblPr>
              <w:tblStyle w:val="DiplomaticAcademysasp"/>
              <w:tblW w:w="8986" w:type="dxa"/>
              <w:tblInd w:w="4" w:type="dxa"/>
              <w:tblLayout w:type="fixed"/>
              <w:tblLook w:val="04A0" w:firstRow="1" w:lastRow="0" w:firstColumn="1" w:lastColumn="0" w:noHBand="0" w:noVBand="1"/>
            </w:tblPr>
            <w:tblGrid>
              <w:gridCol w:w="1865"/>
              <w:gridCol w:w="1729"/>
              <w:gridCol w:w="1796"/>
              <w:gridCol w:w="1798"/>
              <w:gridCol w:w="1798"/>
            </w:tblGrid>
            <w:tr w:rsidR="0010220F" w:rsidRPr="007F7A22" w14:paraId="4C748DD0" w14:textId="77777777" w:rsidTr="0010220F">
              <w:trPr>
                <w:cnfStyle w:val="100000000000" w:firstRow="1" w:lastRow="0" w:firstColumn="0" w:lastColumn="0" w:oddVBand="0" w:evenVBand="0" w:oddHBand="0" w:evenHBand="0" w:firstRowFirstColumn="0" w:firstRowLastColumn="0" w:lastRowFirstColumn="0" w:lastRowLastColumn="0"/>
                <w:trHeight w:val="408"/>
              </w:trPr>
              <w:tc>
                <w:tcPr>
                  <w:tcW w:w="1865" w:type="dxa"/>
                  <w:tcBorders>
                    <w:bottom w:val="single" w:sz="4" w:space="0" w:color="495965"/>
                  </w:tcBorders>
                  <w:shd w:val="clear" w:color="auto" w:fill="007C89"/>
                  <w:vAlign w:val="center"/>
                </w:tcPr>
                <w:p w14:paraId="116281B9" w14:textId="77777777" w:rsidR="0010220F" w:rsidRPr="007F7A22" w:rsidRDefault="0010220F" w:rsidP="007F7A22">
                  <w:pPr>
                    <w:pStyle w:val="Tablecolumnheading"/>
                    <w:spacing w:before="0"/>
                    <w:ind w:left="0"/>
                    <w:rPr>
                      <w:b/>
                      <w:sz w:val="22"/>
                      <w:szCs w:val="22"/>
                    </w:rPr>
                  </w:pPr>
                  <w:r w:rsidRPr="007F7A22">
                    <w:rPr>
                      <w:b/>
                      <w:sz w:val="22"/>
                      <w:szCs w:val="22"/>
                    </w:rPr>
                    <w:t>Issue</w:t>
                  </w:r>
                </w:p>
              </w:tc>
              <w:tc>
                <w:tcPr>
                  <w:tcW w:w="1729" w:type="dxa"/>
                  <w:tcBorders>
                    <w:bottom w:val="single" w:sz="4" w:space="0" w:color="495965"/>
                  </w:tcBorders>
                  <w:shd w:val="clear" w:color="auto" w:fill="007C89"/>
                  <w:vAlign w:val="center"/>
                </w:tcPr>
                <w:p w14:paraId="0B174065" w14:textId="77777777" w:rsidR="0010220F" w:rsidRPr="007F7A22" w:rsidRDefault="0010220F" w:rsidP="007F7A22">
                  <w:pPr>
                    <w:pStyle w:val="Tablecolumnheading"/>
                    <w:spacing w:before="0"/>
                    <w:ind w:left="0"/>
                    <w:rPr>
                      <w:b/>
                      <w:sz w:val="22"/>
                      <w:szCs w:val="22"/>
                    </w:rPr>
                  </w:pPr>
                  <w:r w:rsidRPr="007F7A22">
                    <w:rPr>
                      <w:b/>
                      <w:sz w:val="22"/>
                      <w:szCs w:val="22"/>
                    </w:rPr>
                    <w:t>Type</w:t>
                  </w:r>
                  <w:r w:rsidR="007021FB">
                    <w:rPr>
                      <w:b/>
                      <w:sz w:val="22"/>
                      <w:szCs w:val="22"/>
                    </w:rPr>
                    <w:t>s</w:t>
                  </w:r>
                  <w:r w:rsidRPr="007F7A22">
                    <w:rPr>
                      <w:b/>
                      <w:sz w:val="22"/>
                      <w:szCs w:val="22"/>
                    </w:rPr>
                    <w:t xml:space="preserve"> of problem</w:t>
                  </w:r>
                  <w:r w:rsidR="007021FB">
                    <w:rPr>
                      <w:b/>
                      <w:sz w:val="22"/>
                      <w:szCs w:val="22"/>
                    </w:rPr>
                    <w:t xml:space="preserve"> e.g. enrolment, retention, repetition, performance, transition</w:t>
                  </w:r>
                </w:p>
              </w:tc>
              <w:tc>
                <w:tcPr>
                  <w:tcW w:w="1796" w:type="dxa"/>
                  <w:tcBorders>
                    <w:bottom w:val="single" w:sz="4" w:space="0" w:color="495965"/>
                  </w:tcBorders>
                  <w:shd w:val="clear" w:color="auto" w:fill="007C89"/>
                  <w:vAlign w:val="center"/>
                </w:tcPr>
                <w:p w14:paraId="160E2049" w14:textId="77777777" w:rsidR="0010220F" w:rsidRPr="007F7A22" w:rsidRDefault="0010220F" w:rsidP="007F7A22">
                  <w:pPr>
                    <w:pStyle w:val="Tablecolumnheading"/>
                    <w:spacing w:before="0"/>
                    <w:ind w:left="0"/>
                    <w:rPr>
                      <w:b/>
                      <w:sz w:val="22"/>
                      <w:szCs w:val="22"/>
                    </w:rPr>
                  </w:pPr>
                  <w:r w:rsidRPr="007F7A22">
                    <w:rPr>
                      <w:b/>
                      <w:sz w:val="22"/>
                      <w:szCs w:val="22"/>
                    </w:rPr>
                    <w:t>Proportion of population affected</w:t>
                  </w:r>
                </w:p>
              </w:tc>
              <w:tc>
                <w:tcPr>
                  <w:tcW w:w="1798" w:type="dxa"/>
                  <w:tcBorders>
                    <w:bottom w:val="single" w:sz="4" w:space="0" w:color="495965"/>
                  </w:tcBorders>
                  <w:shd w:val="clear" w:color="auto" w:fill="007C89"/>
                  <w:vAlign w:val="center"/>
                </w:tcPr>
                <w:p w14:paraId="36F94FD6" w14:textId="77777777" w:rsidR="0010220F" w:rsidRPr="007F7A22" w:rsidRDefault="0010220F" w:rsidP="007F7A22">
                  <w:pPr>
                    <w:pStyle w:val="Tablecolumnheading"/>
                    <w:spacing w:before="0"/>
                    <w:ind w:left="0"/>
                    <w:rPr>
                      <w:b/>
                      <w:sz w:val="22"/>
                      <w:szCs w:val="22"/>
                    </w:rPr>
                  </w:pPr>
                  <w:r w:rsidRPr="007F7A22">
                    <w:rPr>
                      <w:b/>
                      <w:sz w:val="22"/>
                      <w:szCs w:val="22"/>
                    </w:rPr>
                    <w:t>Mechanisms used to direct funding to meet these concerns</w:t>
                  </w:r>
                  <w:r w:rsidR="007021FB">
                    <w:rPr>
                      <w:b/>
                      <w:sz w:val="22"/>
                      <w:szCs w:val="22"/>
                    </w:rPr>
                    <w:t xml:space="preserve"> e.g. funding formula, targeted programs, charity</w:t>
                  </w:r>
                </w:p>
              </w:tc>
              <w:tc>
                <w:tcPr>
                  <w:tcW w:w="1798" w:type="dxa"/>
                  <w:tcBorders>
                    <w:bottom w:val="single" w:sz="4" w:space="0" w:color="495965"/>
                  </w:tcBorders>
                  <w:shd w:val="clear" w:color="auto" w:fill="007C89"/>
                  <w:vAlign w:val="center"/>
                </w:tcPr>
                <w:p w14:paraId="15788AE1" w14:textId="77777777" w:rsidR="0010220F" w:rsidRPr="007F7A22" w:rsidRDefault="0010220F" w:rsidP="007F7A22">
                  <w:pPr>
                    <w:pStyle w:val="Tablecolumnheading"/>
                    <w:spacing w:before="0"/>
                    <w:ind w:left="0"/>
                    <w:rPr>
                      <w:b/>
                      <w:sz w:val="22"/>
                      <w:szCs w:val="22"/>
                    </w:rPr>
                  </w:pPr>
                  <w:r w:rsidRPr="007F7A22">
                    <w:rPr>
                      <w:b/>
                      <w:sz w:val="22"/>
                      <w:szCs w:val="22"/>
                    </w:rPr>
                    <w:t>How much is allocated annually for these groups</w:t>
                  </w:r>
                  <w:r w:rsidR="007021FB">
                    <w:rPr>
                      <w:b/>
                      <w:sz w:val="22"/>
                      <w:szCs w:val="22"/>
                    </w:rPr>
                    <w:t xml:space="preserve"> (if known)</w:t>
                  </w:r>
                  <w:r w:rsidRPr="007F7A22">
                    <w:rPr>
                      <w:b/>
                      <w:sz w:val="22"/>
                      <w:szCs w:val="22"/>
                    </w:rPr>
                    <w:t>?</w:t>
                  </w:r>
                </w:p>
              </w:tc>
            </w:tr>
            <w:tr w:rsidR="0010220F" w:rsidRPr="007F7A22" w14:paraId="602D63B9" w14:textId="77777777" w:rsidTr="0010220F">
              <w:trPr>
                <w:trHeight w:val="395"/>
              </w:trPr>
              <w:tc>
                <w:tcPr>
                  <w:tcW w:w="1865" w:type="dxa"/>
                  <w:tcBorders>
                    <w:top w:val="single" w:sz="4" w:space="0" w:color="495965"/>
                    <w:bottom w:val="single" w:sz="4" w:space="0" w:color="495965"/>
                  </w:tcBorders>
                  <w:vAlign w:val="center"/>
                </w:tcPr>
                <w:p w14:paraId="2E71479E" w14:textId="77777777" w:rsidR="0010220F" w:rsidRPr="007F7A22" w:rsidRDefault="0010220F" w:rsidP="007F7A22">
                  <w:pPr>
                    <w:pStyle w:val="Tablebodytext"/>
                    <w:spacing w:before="0"/>
                    <w:ind w:left="0"/>
                    <w:rPr>
                      <w:color w:val="auto"/>
                      <w:sz w:val="22"/>
                      <w:szCs w:val="22"/>
                    </w:rPr>
                  </w:pPr>
                  <w:r w:rsidRPr="007F7A22">
                    <w:rPr>
                      <w:color w:val="auto"/>
                      <w:sz w:val="22"/>
                      <w:szCs w:val="22"/>
                    </w:rPr>
                    <w:t>Remoteness – land related</w:t>
                  </w:r>
                </w:p>
              </w:tc>
              <w:tc>
                <w:tcPr>
                  <w:tcW w:w="1729" w:type="dxa"/>
                  <w:tcBorders>
                    <w:top w:val="single" w:sz="4" w:space="0" w:color="495965"/>
                    <w:bottom w:val="single" w:sz="4" w:space="0" w:color="495965"/>
                  </w:tcBorders>
                  <w:vAlign w:val="center"/>
                </w:tcPr>
                <w:p w14:paraId="4AD5572F" w14:textId="77777777" w:rsidR="0010220F" w:rsidRPr="007F7A22" w:rsidRDefault="0010220F" w:rsidP="0010220F">
                  <w:pPr>
                    <w:pStyle w:val="Tablebodytext"/>
                    <w:spacing w:before="0"/>
                    <w:rPr>
                      <w:color w:val="auto"/>
                      <w:sz w:val="22"/>
                      <w:szCs w:val="22"/>
                    </w:rPr>
                  </w:pPr>
                </w:p>
              </w:tc>
              <w:tc>
                <w:tcPr>
                  <w:tcW w:w="1796" w:type="dxa"/>
                  <w:tcBorders>
                    <w:top w:val="single" w:sz="4" w:space="0" w:color="495965"/>
                    <w:bottom w:val="single" w:sz="4" w:space="0" w:color="495965"/>
                  </w:tcBorders>
                  <w:vAlign w:val="center"/>
                </w:tcPr>
                <w:p w14:paraId="757E774B" w14:textId="77777777" w:rsidR="0010220F" w:rsidRPr="007F7A22" w:rsidRDefault="0010220F" w:rsidP="0010220F">
                  <w:pPr>
                    <w:pStyle w:val="Tablebodytext"/>
                    <w:spacing w:before="0"/>
                    <w:rPr>
                      <w:color w:val="auto"/>
                      <w:sz w:val="22"/>
                      <w:szCs w:val="22"/>
                    </w:rPr>
                  </w:pPr>
                </w:p>
              </w:tc>
              <w:tc>
                <w:tcPr>
                  <w:tcW w:w="1798" w:type="dxa"/>
                  <w:tcBorders>
                    <w:top w:val="single" w:sz="4" w:space="0" w:color="495965"/>
                    <w:bottom w:val="single" w:sz="4" w:space="0" w:color="495965"/>
                  </w:tcBorders>
                </w:tcPr>
                <w:p w14:paraId="0FB3748E" w14:textId="77777777" w:rsidR="0010220F" w:rsidRPr="007F7A22" w:rsidRDefault="0010220F" w:rsidP="0010220F">
                  <w:pPr>
                    <w:pStyle w:val="Tablebodytext"/>
                    <w:spacing w:before="0"/>
                    <w:rPr>
                      <w:color w:val="auto"/>
                      <w:sz w:val="22"/>
                      <w:szCs w:val="22"/>
                    </w:rPr>
                  </w:pPr>
                </w:p>
              </w:tc>
              <w:tc>
                <w:tcPr>
                  <w:tcW w:w="1798" w:type="dxa"/>
                  <w:tcBorders>
                    <w:top w:val="single" w:sz="4" w:space="0" w:color="495965"/>
                    <w:bottom w:val="single" w:sz="4" w:space="0" w:color="495965"/>
                  </w:tcBorders>
                  <w:vAlign w:val="center"/>
                </w:tcPr>
                <w:p w14:paraId="728B2C3F" w14:textId="77777777" w:rsidR="0010220F" w:rsidRPr="007F7A22" w:rsidRDefault="0010220F" w:rsidP="0010220F">
                  <w:pPr>
                    <w:pStyle w:val="Tablebodytext"/>
                    <w:spacing w:before="0"/>
                    <w:rPr>
                      <w:color w:val="auto"/>
                      <w:sz w:val="22"/>
                      <w:szCs w:val="22"/>
                    </w:rPr>
                  </w:pPr>
                </w:p>
              </w:tc>
            </w:tr>
            <w:tr w:rsidR="0010220F" w:rsidRPr="007F7A22" w14:paraId="718311FF" w14:textId="77777777" w:rsidTr="0010220F">
              <w:trPr>
                <w:trHeight w:val="395"/>
              </w:trPr>
              <w:tc>
                <w:tcPr>
                  <w:tcW w:w="1865" w:type="dxa"/>
                  <w:tcBorders>
                    <w:top w:val="single" w:sz="4" w:space="0" w:color="495965"/>
                    <w:bottom w:val="single" w:sz="4" w:space="0" w:color="495965"/>
                  </w:tcBorders>
                  <w:vAlign w:val="center"/>
                </w:tcPr>
                <w:p w14:paraId="48578D58" w14:textId="77777777" w:rsidR="0010220F" w:rsidRPr="007F7A22" w:rsidRDefault="0010220F" w:rsidP="007F7A22">
                  <w:pPr>
                    <w:pStyle w:val="Tablebodytext"/>
                    <w:spacing w:before="0"/>
                    <w:ind w:left="0"/>
                    <w:rPr>
                      <w:color w:val="auto"/>
                      <w:sz w:val="22"/>
                      <w:szCs w:val="22"/>
                    </w:rPr>
                  </w:pPr>
                  <w:r w:rsidRPr="007F7A22">
                    <w:rPr>
                      <w:color w:val="auto"/>
                      <w:sz w:val="22"/>
                      <w:szCs w:val="22"/>
                    </w:rPr>
                    <w:t>Remoteness – island related</w:t>
                  </w:r>
                </w:p>
              </w:tc>
              <w:tc>
                <w:tcPr>
                  <w:tcW w:w="1729" w:type="dxa"/>
                  <w:tcBorders>
                    <w:top w:val="single" w:sz="4" w:space="0" w:color="495965"/>
                    <w:bottom w:val="single" w:sz="4" w:space="0" w:color="495965"/>
                  </w:tcBorders>
                  <w:vAlign w:val="center"/>
                </w:tcPr>
                <w:p w14:paraId="61D63A57" w14:textId="77777777" w:rsidR="0010220F" w:rsidRPr="007F7A22" w:rsidRDefault="0010220F" w:rsidP="0010220F">
                  <w:pPr>
                    <w:pStyle w:val="Tablebodytext"/>
                    <w:spacing w:before="0"/>
                    <w:rPr>
                      <w:color w:val="auto"/>
                      <w:sz w:val="22"/>
                      <w:szCs w:val="22"/>
                    </w:rPr>
                  </w:pPr>
                </w:p>
              </w:tc>
              <w:tc>
                <w:tcPr>
                  <w:tcW w:w="1796" w:type="dxa"/>
                  <w:tcBorders>
                    <w:top w:val="single" w:sz="4" w:space="0" w:color="495965"/>
                    <w:bottom w:val="single" w:sz="4" w:space="0" w:color="495965"/>
                  </w:tcBorders>
                  <w:vAlign w:val="center"/>
                </w:tcPr>
                <w:p w14:paraId="7288FF7B" w14:textId="77777777" w:rsidR="0010220F" w:rsidRPr="007F7A22" w:rsidRDefault="0010220F" w:rsidP="0010220F">
                  <w:pPr>
                    <w:pStyle w:val="Tablebodytext"/>
                    <w:spacing w:before="0"/>
                    <w:rPr>
                      <w:color w:val="auto"/>
                      <w:sz w:val="22"/>
                      <w:szCs w:val="22"/>
                    </w:rPr>
                  </w:pPr>
                </w:p>
              </w:tc>
              <w:tc>
                <w:tcPr>
                  <w:tcW w:w="1798" w:type="dxa"/>
                  <w:tcBorders>
                    <w:top w:val="single" w:sz="4" w:space="0" w:color="495965"/>
                    <w:bottom w:val="single" w:sz="4" w:space="0" w:color="495965"/>
                  </w:tcBorders>
                </w:tcPr>
                <w:p w14:paraId="0CBE16C2" w14:textId="77777777" w:rsidR="0010220F" w:rsidRPr="007F7A22" w:rsidRDefault="0010220F" w:rsidP="0010220F">
                  <w:pPr>
                    <w:pStyle w:val="Tablebodytext"/>
                    <w:spacing w:before="0"/>
                    <w:rPr>
                      <w:color w:val="auto"/>
                      <w:sz w:val="22"/>
                      <w:szCs w:val="22"/>
                    </w:rPr>
                  </w:pPr>
                </w:p>
              </w:tc>
              <w:tc>
                <w:tcPr>
                  <w:tcW w:w="1798" w:type="dxa"/>
                  <w:tcBorders>
                    <w:top w:val="single" w:sz="4" w:space="0" w:color="495965"/>
                    <w:bottom w:val="single" w:sz="4" w:space="0" w:color="495965"/>
                  </w:tcBorders>
                  <w:vAlign w:val="center"/>
                </w:tcPr>
                <w:p w14:paraId="737BDABA" w14:textId="77777777" w:rsidR="0010220F" w:rsidRPr="007F7A22" w:rsidRDefault="0010220F" w:rsidP="0010220F">
                  <w:pPr>
                    <w:pStyle w:val="Tablebodytext"/>
                    <w:spacing w:before="0"/>
                    <w:rPr>
                      <w:color w:val="auto"/>
                      <w:sz w:val="22"/>
                      <w:szCs w:val="22"/>
                    </w:rPr>
                  </w:pPr>
                </w:p>
              </w:tc>
            </w:tr>
            <w:tr w:rsidR="0010220F" w:rsidRPr="007F7A22" w14:paraId="4C9A423A" w14:textId="77777777" w:rsidTr="0010220F">
              <w:trPr>
                <w:trHeight w:val="395"/>
              </w:trPr>
              <w:tc>
                <w:tcPr>
                  <w:tcW w:w="1865" w:type="dxa"/>
                  <w:tcBorders>
                    <w:top w:val="single" w:sz="4" w:space="0" w:color="495965"/>
                    <w:bottom w:val="single" w:sz="4" w:space="0" w:color="495965"/>
                  </w:tcBorders>
                  <w:vAlign w:val="center"/>
                </w:tcPr>
                <w:p w14:paraId="4C564A5D" w14:textId="77777777" w:rsidR="0010220F" w:rsidRPr="007F7A22" w:rsidRDefault="0010220F" w:rsidP="007F7A22">
                  <w:pPr>
                    <w:pStyle w:val="Tablebodytext"/>
                    <w:spacing w:before="0"/>
                    <w:ind w:left="0"/>
                    <w:rPr>
                      <w:color w:val="auto"/>
                      <w:sz w:val="22"/>
                      <w:szCs w:val="22"/>
                    </w:rPr>
                  </w:pPr>
                  <w:r w:rsidRPr="007F7A22">
                    <w:rPr>
                      <w:color w:val="auto"/>
                      <w:sz w:val="22"/>
                      <w:szCs w:val="22"/>
                    </w:rPr>
                    <w:t xml:space="preserve">Ethnicity </w:t>
                  </w:r>
                </w:p>
              </w:tc>
              <w:tc>
                <w:tcPr>
                  <w:tcW w:w="1729" w:type="dxa"/>
                  <w:tcBorders>
                    <w:top w:val="single" w:sz="4" w:space="0" w:color="495965"/>
                    <w:bottom w:val="single" w:sz="4" w:space="0" w:color="495965"/>
                  </w:tcBorders>
                  <w:vAlign w:val="center"/>
                </w:tcPr>
                <w:p w14:paraId="256FACD3" w14:textId="77777777" w:rsidR="0010220F" w:rsidRPr="007F7A22" w:rsidRDefault="0010220F" w:rsidP="0010220F">
                  <w:pPr>
                    <w:pStyle w:val="Tablebodytext"/>
                    <w:spacing w:before="0"/>
                    <w:rPr>
                      <w:color w:val="auto"/>
                      <w:sz w:val="22"/>
                      <w:szCs w:val="22"/>
                    </w:rPr>
                  </w:pPr>
                </w:p>
              </w:tc>
              <w:tc>
                <w:tcPr>
                  <w:tcW w:w="1796" w:type="dxa"/>
                  <w:tcBorders>
                    <w:top w:val="single" w:sz="4" w:space="0" w:color="495965"/>
                    <w:bottom w:val="single" w:sz="4" w:space="0" w:color="495965"/>
                  </w:tcBorders>
                  <w:vAlign w:val="center"/>
                </w:tcPr>
                <w:p w14:paraId="4845E8BA" w14:textId="77777777" w:rsidR="0010220F" w:rsidRPr="007F7A22" w:rsidRDefault="0010220F" w:rsidP="0010220F">
                  <w:pPr>
                    <w:pStyle w:val="Tablebodytext"/>
                    <w:spacing w:before="0"/>
                    <w:rPr>
                      <w:color w:val="auto"/>
                      <w:sz w:val="22"/>
                      <w:szCs w:val="22"/>
                    </w:rPr>
                  </w:pPr>
                </w:p>
              </w:tc>
              <w:tc>
                <w:tcPr>
                  <w:tcW w:w="1798" w:type="dxa"/>
                  <w:tcBorders>
                    <w:top w:val="single" w:sz="4" w:space="0" w:color="495965"/>
                    <w:bottom w:val="single" w:sz="4" w:space="0" w:color="495965"/>
                  </w:tcBorders>
                </w:tcPr>
                <w:p w14:paraId="3CFE0BC0" w14:textId="77777777" w:rsidR="0010220F" w:rsidRPr="007F7A22" w:rsidRDefault="0010220F" w:rsidP="0010220F">
                  <w:pPr>
                    <w:pStyle w:val="Tablebodytext"/>
                    <w:spacing w:before="0"/>
                    <w:rPr>
                      <w:color w:val="auto"/>
                      <w:sz w:val="22"/>
                      <w:szCs w:val="22"/>
                    </w:rPr>
                  </w:pPr>
                </w:p>
              </w:tc>
              <w:tc>
                <w:tcPr>
                  <w:tcW w:w="1798" w:type="dxa"/>
                  <w:tcBorders>
                    <w:top w:val="single" w:sz="4" w:space="0" w:color="495965"/>
                    <w:bottom w:val="single" w:sz="4" w:space="0" w:color="495965"/>
                  </w:tcBorders>
                  <w:vAlign w:val="center"/>
                </w:tcPr>
                <w:p w14:paraId="791598F7" w14:textId="77777777" w:rsidR="0010220F" w:rsidRPr="007F7A22" w:rsidRDefault="0010220F" w:rsidP="0010220F">
                  <w:pPr>
                    <w:pStyle w:val="Tablebodytext"/>
                    <w:spacing w:before="0"/>
                    <w:rPr>
                      <w:color w:val="auto"/>
                      <w:sz w:val="22"/>
                      <w:szCs w:val="22"/>
                    </w:rPr>
                  </w:pPr>
                </w:p>
              </w:tc>
            </w:tr>
            <w:tr w:rsidR="0010220F" w:rsidRPr="007F7A22" w14:paraId="39F56278" w14:textId="77777777" w:rsidTr="0010220F">
              <w:trPr>
                <w:trHeight w:val="395"/>
              </w:trPr>
              <w:tc>
                <w:tcPr>
                  <w:tcW w:w="1865" w:type="dxa"/>
                  <w:tcBorders>
                    <w:top w:val="single" w:sz="4" w:space="0" w:color="495965"/>
                    <w:bottom w:val="single" w:sz="4" w:space="0" w:color="495965"/>
                  </w:tcBorders>
                  <w:vAlign w:val="center"/>
                </w:tcPr>
                <w:p w14:paraId="54EB86B5" w14:textId="77777777" w:rsidR="0010220F" w:rsidRPr="007F7A22" w:rsidRDefault="0010220F" w:rsidP="007F7A22">
                  <w:pPr>
                    <w:pStyle w:val="Tablebodytext"/>
                    <w:spacing w:before="0"/>
                    <w:ind w:left="0"/>
                    <w:rPr>
                      <w:color w:val="auto"/>
                      <w:sz w:val="22"/>
                      <w:szCs w:val="22"/>
                    </w:rPr>
                  </w:pPr>
                  <w:r w:rsidRPr="007F7A22">
                    <w:rPr>
                      <w:color w:val="auto"/>
                      <w:sz w:val="22"/>
                      <w:szCs w:val="22"/>
                    </w:rPr>
                    <w:t>Gender</w:t>
                  </w:r>
                </w:p>
              </w:tc>
              <w:tc>
                <w:tcPr>
                  <w:tcW w:w="1729" w:type="dxa"/>
                  <w:tcBorders>
                    <w:top w:val="single" w:sz="4" w:space="0" w:color="495965"/>
                    <w:bottom w:val="single" w:sz="4" w:space="0" w:color="495965"/>
                  </w:tcBorders>
                  <w:vAlign w:val="center"/>
                </w:tcPr>
                <w:p w14:paraId="6A9BAD36" w14:textId="77777777" w:rsidR="0010220F" w:rsidRPr="007F7A22" w:rsidRDefault="0010220F" w:rsidP="0010220F">
                  <w:pPr>
                    <w:pStyle w:val="Tablebodytext"/>
                    <w:spacing w:before="0"/>
                    <w:rPr>
                      <w:color w:val="auto"/>
                      <w:sz w:val="22"/>
                      <w:szCs w:val="22"/>
                    </w:rPr>
                  </w:pPr>
                </w:p>
              </w:tc>
              <w:tc>
                <w:tcPr>
                  <w:tcW w:w="1796" w:type="dxa"/>
                  <w:tcBorders>
                    <w:top w:val="single" w:sz="4" w:space="0" w:color="495965"/>
                    <w:bottom w:val="single" w:sz="4" w:space="0" w:color="495965"/>
                  </w:tcBorders>
                  <w:vAlign w:val="center"/>
                </w:tcPr>
                <w:p w14:paraId="7150DA30" w14:textId="77777777" w:rsidR="0010220F" w:rsidRPr="007F7A22" w:rsidRDefault="0010220F" w:rsidP="0010220F">
                  <w:pPr>
                    <w:pStyle w:val="Tablebodytext"/>
                    <w:spacing w:before="0"/>
                    <w:rPr>
                      <w:color w:val="auto"/>
                      <w:sz w:val="22"/>
                      <w:szCs w:val="22"/>
                    </w:rPr>
                  </w:pPr>
                </w:p>
              </w:tc>
              <w:tc>
                <w:tcPr>
                  <w:tcW w:w="1798" w:type="dxa"/>
                  <w:tcBorders>
                    <w:top w:val="single" w:sz="4" w:space="0" w:color="495965"/>
                    <w:bottom w:val="single" w:sz="4" w:space="0" w:color="495965"/>
                  </w:tcBorders>
                </w:tcPr>
                <w:p w14:paraId="45CF6104" w14:textId="77777777" w:rsidR="0010220F" w:rsidRPr="007F7A22" w:rsidRDefault="0010220F" w:rsidP="0010220F">
                  <w:pPr>
                    <w:pStyle w:val="Tablebodytext"/>
                    <w:spacing w:before="0"/>
                    <w:rPr>
                      <w:color w:val="auto"/>
                      <w:sz w:val="22"/>
                      <w:szCs w:val="22"/>
                    </w:rPr>
                  </w:pPr>
                </w:p>
              </w:tc>
              <w:tc>
                <w:tcPr>
                  <w:tcW w:w="1798" w:type="dxa"/>
                  <w:tcBorders>
                    <w:top w:val="single" w:sz="4" w:space="0" w:color="495965"/>
                    <w:bottom w:val="single" w:sz="4" w:space="0" w:color="495965"/>
                  </w:tcBorders>
                  <w:vAlign w:val="center"/>
                </w:tcPr>
                <w:p w14:paraId="3FC9C0C7" w14:textId="77777777" w:rsidR="0010220F" w:rsidRPr="007F7A22" w:rsidRDefault="0010220F" w:rsidP="0010220F">
                  <w:pPr>
                    <w:pStyle w:val="Tablebodytext"/>
                    <w:spacing w:before="0"/>
                    <w:rPr>
                      <w:color w:val="auto"/>
                      <w:sz w:val="22"/>
                      <w:szCs w:val="22"/>
                    </w:rPr>
                  </w:pPr>
                </w:p>
              </w:tc>
            </w:tr>
            <w:tr w:rsidR="0010220F" w:rsidRPr="007F7A22" w14:paraId="7CDB63A3" w14:textId="77777777" w:rsidTr="0010220F">
              <w:trPr>
                <w:trHeight w:val="395"/>
              </w:trPr>
              <w:tc>
                <w:tcPr>
                  <w:tcW w:w="1865" w:type="dxa"/>
                  <w:tcBorders>
                    <w:top w:val="single" w:sz="4" w:space="0" w:color="495965"/>
                    <w:bottom w:val="single" w:sz="4" w:space="0" w:color="495965"/>
                  </w:tcBorders>
                  <w:vAlign w:val="center"/>
                </w:tcPr>
                <w:p w14:paraId="15CF56B6" w14:textId="77777777" w:rsidR="0010220F" w:rsidRPr="007F7A22" w:rsidRDefault="0010220F" w:rsidP="007F7A22">
                  <w:pPr>
                    <w:pStyle w:val="Tablebodytext"/>
                    <w:spacing w:before="0"/>
                    <w:ind w:left="0"/>
                    <w:rPr>
                      <w:color w:val="auto"/>
                      <w:sz w:val="22"/>
                      <w:szCs w:val="22"/>
                    </w:rPr>
                  </w:pPr>
                  <w:r w:rsidRPr="007F7A22">
                    <w:rPr>
                      <w:color w:val="auto"/>
                      <w:sz w:val="22"/>
                      <w:szCs w:val="22"/>
                    </w:rPr>
                    <w:t>Disability</w:t>
                  </w:r>
                </w:p>
              </w:tc>
              <w:tc>
                <w:tcPr>
                  <w:tcW w:w="1729" w:type="dxa"/>
                  <w:tcBorders>
                    <w:top w:val="single" w:sz="4" w:space="0" w:color="495965"/>
                    <w:bottom w:val="single" w:sz="4" w:space="0" w:color="495965"/>
                  </w:tcBorders>
                  <w:vAlign w:val="center"/>
                </w:tcPr>
                <w:p w14:paraId="4E3E31AC" w14:textId="77777777" w:rsidR="0010220F" w:rsidRPr="007F7A22" w:rsidRDefault="0010220F" w:rsidP="0010220F">
                  <w:pPr>
                    <w:pStyle w:val="Tablebodytext"/>
                    <w:spacing w:before="0"/>
                    <w:rPr>
                      <w:color w:val="auto"/>
                      <w:sz w:val="22"/>
                      <w:szCs w:val="22"/>
                    </w:rPr>
                  </w:pPr>
                </w:p>
              </w:tc>
              <w:tc>
                <w:tcPr>
                  <w:tcW w:w="1796" w:type="dxa"/>
                  <w:tcBorders>
                    <w:top w:val="single" w:sz="4" w:space="0" w:color="495965"/>
                    <w:bottom w:val="single" w:sz="4" w:space="0" w:color="495965"/>
                  </w:tcBorders>
                  <w:vAlign w:val="center"/>
                </w:tcPr>
                <w:p w14:paraId="43047E1C" w14:textId="77777777" w:rsidR="0010220F" w:rsidRPr="007F7A22" w:rsidRDefault="0010220F" w:rsidP="0010220F">
                  <w:pPr>
                    <w:pStyle w:val="Tablebodytext"/>
                    <w:spacing w:before="0"/>
                    <w:rPr>
                      <w:color w:val="auto"/>
                      <w:sz w:val="22"/>
                      <w:szCs w:val="22"/>
                    </w:rPr>
                  </w:pPr>
                </w:p>
              </w:tc>
              <w:tc>
                <w:tcPr>
                  <w:tcW w:w="1798" w:type="dxa"/>
                  <w:tcBorders>
                    <w:top w:val="single" w:sz="4" w:space="0" w:color="495965"/>
                    <w:bottom w:val="single" w:sz="4" w:space="0" w:color="495965"/>
                  </w:tcBorders>
                </w:tcPr>
                <w:p w14:paraId="1E66BDDC" w14:textId="77777777" w:rsidR="0010220F" w:rsidRPr="007F7A22" w:rsidRDefault="0010220F" w:rsidP="0010220F">
                  <w:pPr>
                    <w:pStyle w:val="Tablebodytext"/>
                    <w:spacing w:before="0"/>
                    <w:rPr>
                      <w:color w:val="auto"/>
                      <w:sz w:val="22"/>
                      <w:szCs w:val="22"/>
                    </w:rPr>
                  </w:pPr>
                </w:p>
              </w:tc>
              <w:tc>
                <w:tcPr>
                  <w:tcW w:w="1798" w:type="dxa"/>
                  <w:tcBorders>
                    <w:top w:val="single" w:sz="4" w:space="0" w:color="495965"/>
                    <w:bottom w:val="single" w:sz="4" w:space="0" w:color="495965"/>
                  </w:tcBorders>
                  <w:vAlign w:val="center"/>
                </w:tcPr>
                <w:p w14:paraId="668E518C" w14:textId="77777777" w:rsidR="0010220F" w:rsidRPr="007F7A22" w:rsidRDefault="0010220F" w:rsidP="0010220F">
                  <w:pPr>
                    <w:pStyle w:val="Tablebodytext"/>
                    <w:spacing w:before="0"/>
                    <w:rPr>
                      <w:color w:val="auto"/>
                      <w:sz w:val="22"/>
                      <w:szCs w:val="22"/>
                    </w:rPr>
                  </w:pPr>
                </w:p>
              </w:tc>
            </w:tr>
            <w:tr w:rsidR="0010220F" w:rsidRPr="007F7A22" w14:paraId="1AF89FF0" w14:textId="77777777" w:rsidTr="0010220F">
              <w:trPr>
                <w:trHeight w:val="395"/>
              </w:trPr>
              <w:tc>
                <w:tcPr>
                  <w:tcW w:w="1865" w:type="dxa"/>
                  <w:tcBorders>
                    <w:top w:val="single" w:sz="4" w:space="0" w:color="495965"/>
                    <w:bottom w:val="single" w:sz="4" w:space="0" w:color="495965"/>
                  </w:tcBorders>
                  <w:vAlign w:val="center"/>
                </w:tcPr>
                <w:p w14:paraId="078A671E" w14:textId="77777777" w:rsidR="0010220F" w:rsidRPr="007F7A22" w:rsidRDefault="0010220F" w:rsidP="007F7A22">
                  <w:pPr>
                    <w:pStyle w:val="Tablebodytext"/>
                    <w:spacing w:before="0"/>
                    <w:ind w:left="0"/>
                    <w:rPr>
                      <w:color w:val="auto"/>
                      <w:sz w:val="22"/>
                      <w:szCs w:val="22"/>
                    </w:rPr>
                  </w:pPr>
                  <w:r w:rsidRPr="007F7A22">
                    <w:rPr>
                      <w:color w:val="auto"/>
                      <w:sz w:val="22"/>
                      <w:szCs w:val="22"/>
                    </w:rPr>
                    <w:t>Other</w:t>
                  </w:r>
                </w:p>
              </w:tc>
              <w:tc>
                <w:tcPr>
                  <w:tcW w:w="1729" w:type="dxa"/>
                  <w:tcBorders>
                    <w:top w:val="single" w:sz="4" w:space="0" w:color="495965"/>
                    <w:bottom w:val="single" w:sz="4" w:space="0" w:color="495965"/>
                  </w:tcBorders>
                  <w:vAlign w:val="center"/>
                </w:tcPr>
                <w:p w14:paraId="63A2A9F6" w14:textId="77777777" w:rsidR="0010220F" w:rsidRPr="007F7A22" w:rsidRDefault="0010220F" w:rsidP="0010220F">
                  <w:pPr>
                    <w:pStyle w:val="Tablebodytext"/>
                    <w:spacing w:before="0"/>
                    <w:rPr>
                      <w:color w:val="auto"/>
                      <w:sz w:val="22"/>
                      <w:szCs w:val="22"/>
                    </w:rPr>
                  </w:pPr>
                </w:p>
              </w:tc>
              <w:tc>
                <w:tcPr>
                  <w:tcW w:w="1796" w:type="dxa"/>
                  <w:tcBorders>
                    <w:top w:val="single" w:sz="4" w:space="0" w:color="495965"/>
                    <w:bottom w:val="single" w:sz="4" w:space="0" w:color="495965"/>
                  </w:tcBorders>
                  <w:vAlign w:val="center"/>
                </w:tcPr>
                <w:p w14:paraId="725F27D1" w14:textId="77777777" w:rsidR="0010220F" w:rsidRPr="007F7A22" w:rsidRDefault="0010220F" w:rsidP="0010220F">
                  <w:pPr>
                    <w:pStyle w:val="Tablebodytext"/>
                    <w:spacing w:before="0"/>
                    <w:rPr>
                      <w:color w:val="auto"/>
                      <w:sz w:val="22"/>
                      <w:szCs w:val="22"/>
                    </w:rPr>
                  </w:pPr>
                </w:p>
              </w:tc>
              <w:tc>
                <w:tcPr>
                  <w:tcW w:w="1798" w:type="dxa"/>
                  <w:tcBorders>
                    <w:top w:val="single" w:sz="4" w:space="0" w:color="495965"/>
                    <w:bottom w:val="single" w:sz="4" w:space="0" w:color="495965"/>
                  </w:tcBorders>
                </w:tcPr>
                <w:p w14:paraId="47877AE1" w14:textId="77777777" w:rsidR="0010220F" w:rsidRPr="007F7A22" w:rsidRDefault="0010220F" w:rsidP="0010220F">
                  <w:pPr>
                    <w:pStyle w:val="Tablebodytext"/>
                    <w:spacing w:before="0"/>
                    <w:rPr>
                      <w:color w:val="auto"/>
                      <w:sz w:val="22"/>
                      <w:szCs w:val="22"/>
                    </w:rPr>
                  </w:pPr>
                </w:p>
              </w:tc>
              <w:tc>
                <w:tcPr>
                  <w:tcW w:w="1798" w:type="dxa"/>
                  <w:tcBorders>
                    <w:top w:val="single" w:sz="4" w:space="0" w:color="495965"/>
                    <w:bottom w:val="single" w:sz="4" w:space="0" w:color="495965"/>
                  </w:tcBorders>
                  <w:vAlign w:val="center"/>
                </w:tcPr>
                <w:p w14:paraId="3381F09E" w14:textId="77777777" w:rsidR="0010220F" w:rsidRPr="007F7A22" w:rsidRDefault="0010220F" w:rsidP="0010220F">
                  <w:pPr>
                    <w:pStyle w:val="Tablebodytext"/>
                    <w:spacing w:before="0"/>
                    <w:rPr>
                      <w:color w:val="auto"/>
                      <w:sz w:val="22"/>
                      <w:szCs w:val="22"/>
                    </w:rPr>
                  </w:pPr>
                </w:p>
              </w:tc>
            </w:tr>
          </w:tbl>
          <w:p w14:paraId="4F1C790D" w14:textId="77777777" w:rsidR="007F7A22" w:rsidRPr="00764CA4" w:rsidRDefault="0010220F" w:rsidP="007F7A22">
            <w:pPr>
              <w:pStyle w:val="Paraspace"/>
              <w:rPr>
                <w:sz w:val="22"/>
                <w:szCs w:val="22"/>
              </w:rPr>
            </w:pPr>
            <w:r w:rsidRPr="007F7A22">
              <w:t xml:space="preserve"> </w:t>
            </w:r>
            <w:r w:rsidR="007F7A22" w:rsidRPr="00764CA4">
              <w:rPr>
                <w:sz w:val="22"/>
                <w:szCs w:val="22"/>
              </w:rPr>
              <w:t xml:space="preserve">Use your completed table above to answer the following questions: </w:t>
            </w:r>
          </w:p>
          <w:p w14:paraId="125CD0C6" w14:textId="77777777" w:rsidR="007F7A22" w:rsidRPr="00764CA4" w:rsidRDefault="007F7A22" w:rsidP="002505ED">
            <w:pPr>
              <w:pStyle w:val="Numberedlist"/>
              <w:numPr>
                <w:ilvl w:val="0"/>
                <w:numId w:val="14"/>
              </w:numPr>
              <w:rPr>
                <w:b w:val="0"/>
                <w:sz w:val="22"/>
                <w:szCs w:val="22"/>
              </w:rPr>
            </w:pPr>
            <w:r w:rsidRPr="00764CA4">
              <w:rPr>
                <w:b w:val="0"/>
                <w:sz w:val="22"/>
                <w:szCs w:val="22"/>
              </w:rPr>
              <w:t xml:space="preserve">Based on the table, is there a clear picture of the equity concerns? </w:t>
            </w:r>
          </w:p>
          <w:p w14:paraId="0DC208BC" w14:textId="77777777" w:rsidR="007F7A22" w:rsidRPr="00764CA4" w:rsidRDefault="007F7A22" w:rsidP="002505ED">
            <w:pPr>
              <w:pStyle w:val="Numberedlist"/>
              <w:rPr>
                <w:b w:val="0"/>
                <w:sz w:val="22"/>
                <w:szCs w:val="22"/>
              </w:rPr>
            </w:pPr>
            <w:r w:rsidRPr="00764CA4">
              <w:rPr>
                <w:b w:val="0"/>
                <w:sz w:val="22"/>
                <w:szCs w:val="22"/>
              </w:rPr>
              <w:t>Have there been any studies that have identified the shortfall in funding for any of these disadvantaged groups?</w:t>
            </w:r>
          </w:p>
          <w:p w14:paraId="67D5CEBD" w14:textId="77777777" w:rsidR="007F7A22" w:rsidRPr="00764CA4" w:rsidRDefault="007F7A22" w:rsidP="002505ED">
            <w:pPr>
              <w:pStyle w:val="Numberedlist"/>
              <w:rPr>
                <w:b w:val="0"/>
                <w:sz w:val="22"/>
                <w:szCs w:val="22"/>
              </w:rPr>
            </w:pPr>
            <w:r w:rsidRPr="00764CA4">
              <w:rPr>
                <w:b w:val="0"/>
                <w:sz w:val="22"/>
                <w:szCs w:val="22"/>
              </w:rPr>
              <w:t xml:space="preserve">Is there a policy or program already developed to address the needs of these groups? Has it been costed? </w:t>
            </w:r>
          </w:p>
          <w:p w14:paraId="10691C94" w14:textId="77777777" w:rsidR="007F7A22" w:rsidRPr="002505ED" w:rsidRDefault="007F7A22" w:rsidP="002505ED">
            <w:pPr>
              <w:pStyle w:val="Numberedlist"/>
              <w:rPr>
                <w:b w:val="0"/>
              </w:rPr>
            </w:pPr>
            <w:r w:rsidRPr="00764CA4">
              <w:rPr>
                <w:b w:val="0"/>
                <w:sz w:val="22"/>
                <w:szCs w:val="22"/>
              </w:rPr>
              <w:t>Which indicators in this module do you think would best help you track the high priority equity concerns in your country of interest?</w:t>
            </w:r>
            <w:r w:rsidRPr="002505ED">
              <w:rPr>
                <w:b w:val="0"/>
              </w:rPr>
              <w:t xml:space="preserve"> </w:t>
            </w:r>
          </w:p>
        </w:tc>
      </w:tr>
    </w:tbl>
    <w:p w14:paraId="0457F554" w14:textId="77777777" w:rsidR="0010220F" w:rsidRDefault="0010220F" w:rsidP="008E5557">
      <w:pPr>
        <w:pStyle w:val="Paraspace"/>
        <w:widowControl/>
      </w:pPr>
    </w:p>
    <w:p w14:paraId="3D6B4EAA" w14:textId="77777777" w:rsidR="007021FB" w:rsidRDefault="007021FB">
      <w:pPr>
        <w:rPr>
          <w:rFonts w:ascii="Calibri" w:eastAsia="Calibri" w:hAnsi="Calibri" w:cs="Calibri"/>
          <w:b/>
          <w:bCs/>
          <w:caps/>
          <w:color w:val="231F20"/>
          <w:spacing w:val="18"/>
          <w:sz w:val="48"/>
          <w:szCs w:val="52"/>
          <w:lang w:val="en-US"/>
        </w:rPr>
      </w:pPr>
      <w:r>
        <w:br w:type="page"/>
      </w:r>
    </w:p>
    <w:p w14:paraId="58B59D9B" w14:textId="77777777" w:rsidR="00EA2591" w:rsidRPr="009D500A" w:rsidRDefault="00DF29AD" w:rsidP="008E5557">
      <w:pPr>
        <w:pStyle w:val="Heading1"/>
        <w:widowControl/>
      </w:pPr>
      <w:bookmarkStart w:id="10" w:name="_Toc15637001"/>
      <w:r>
        <w:t>Test your knowledge</w:t>
      </w:r>
      <w:bookmarkEnd w:id="10"/>
    </w:p>
    <w:p w14:paraId="4A6C38F2" w14:textId="77777777" w:rsidR="00325F33" w:rsidRPr="00325F33" w:rsidRDefault="00325F33" w:rsidP="008E5557">
      <w:pPr>
        <w:pStyle w:val="BodyText"/>
        <w:widowControl/>
      </w:pPr>
    </w:p>
    <w:p w14:paraId="34D17C7F" w14:textId="77777777" w:rsidR="00EA2591" w:rsidRDefault="00EA2591" w:rsidP="008E5557">
      <w:pPr>
        <w:pStyle w:val="Heading2"/>
        <w:tabs>
          <w:tab w:val="left" w:pos="6237"/>
          <w:tab w:val="left" w:pos="7938"/>
        </w:tabs>
        <w:spacing w:before="161"/>
        <w:ind w:right="-568"/>
      </w:pPr>
      <w:r>
        <w:t>Assessment questions</w:t>
      </w:r>
    </w:p>
    <w:p w14:paraId="63A1F325" w14:textId="77777777" w:rsidR="00EA2591" w:rsidRDefault="00EA2591" w:rsidP="008E5557">
      <w:pPr>
        <w:pStyle w:val="BodyText"/>
        <w:widowControl/>
        <w:tabs>
          <w:tab w:val="left" w:pos="6237"/>
          <w:tab w:val="left" w:pos="7938"/>
        </w:tabs>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56F9B891" w14:textId="77777777" w:rsidR="00BA17CD" w:rsidRDefault="00BA17CD" w:rsidP="008E5557">
      <w:pPr>
        <w:pStyle w:val="BodyText"/>
        <w:widowControl/>
        <w:tabs>
          <w:tab w:val="left" w:pos="6237"/>
          <w:tab w:val="left" w:pos="7938"/>
        </w:tabs>
      </w:pPr>
    </w:p>
    <w:p w14:paraId="452A829E" w14:textId="77777777" w:rsidR="00EA2591" w:rsidRPr="003B6098" w:rsidRDefault="00EA2591" w:rsidP="008E5557">
      <w:pPr>
        <w:pStyle w:val="Questionheading"/>
        <w:widowControl/>
      </w:pPr>
      <w:r w:rsidRPr="003B6098">
        <w:t>Question 1</w:t>
      </w:r>
    </w:p>
    <w:p w14:paraId="0AE1CF7A" w14:textId="77777777" w:rsidR="00F35CDE" w:rsidRDefault="00910CA1" w:rsidP="008E5557">
      <w:pPr>
        <w:pStyle w:val="BodyText"/>
        <w:widowControl/>
        <w:tabs>
          <w:tab w:val="left" w:pos="6237"/>
          <w:tab w:val="left" w:pos="7938"/>
        </w:tabs>
      </w:pPr>
      <w:r w:rsidRPr="00910CA1">
        <w:t xml:space="preserve">Public education expenditure as a per cent of </w:t>
      </w:r>
      <w:r w:rsidR="009459C4">
        <w:t>GDP</w:t>
      </w:r>
      <w:r w:rsidR="009459C4" w:rsidRPr="00910CA1">
        <w:t xml:space="preserve"> </w:t>
      </w:r>
      <w:r w:rsidRPr="00910CA1">
        <w:t xml:space="preserve">is a measure of government financial commitment towards education. </w:t>
      </w:r>
      <w:r w:rsidR="00E94C06" w:rsidRPr="00E94C06">
        <w:t xml:space="preserve"> </w:t>
      </w:r>
    </w:p>
    <w:p w14:paraId="13E13A43" w14:textId="77777777" w:rsidR="00EA2591" w:rsidRDefault="00EA2591"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4284E5FF" w14:textId="77777777" w:rsidR="00EA2591" w:rsidRPr="000B3EF1" w:rsidRDefault="00EA2591"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20704" behindDoc="0" locked="0" layoutInCell="1" allowOverlap="1" wp14:anchorId="710B3F5E" wp14:editId="578AFA79">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4ABAD"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F783050" w14:textId="77777777" w:rsidR="00EA2591" w:rsidRPr="003B6098" w:rsidRDefault="00EA2591" w:rsidP="008E5557">
      <w:pPr>
        <w:pStyle w:val="Questionheading"/>
        <w:widowControl/>
      </w:pPr>
      <w:r w:rsidRPr="003B6098">
        <w:t>Question 2</w:t>
      </w:r>
    </w:p>
    <w:p w14:paraId="40E2749C" w14:textId="77777777" w:rsidR="00C30210" w:rsidRDefault="00910CA1" w:rsidP="008E5557">
      <w:pPr>
        <w:pStyle w:val="BodyText"/>
        <w:widowControl/>
        <w:tabs>
          <w:tab w:val="left" w:pos="6237"/>
          <w:tab w:val="left" w:pos="7938"/>
        </w:tabs>
      </w:pPr>
      <w:r w:rsidRPr="00910CA1">
        <w:t>Recurrent expenditure does not include wages and salaries.</w:t>
      </w:r>
      <w:r w:rsidR="00C30210" w:rsidRPr="00E94C06">
        <w:t xml:space="preserve"> </w:t>
      </w:r>
    </w:p>
    <w:p w14:paraId="4AA04EC7"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02FAF46D"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5520" behindDoc="0" locked="0" layoutInCell="1" allowOverlap="1" wp14:anchorId="09B7E195" wp14:editId="6E55BAA3">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703B80"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07F9BB0" w14:textId="77777777" w:rsidR="00EA2591" w:rsidRPr="003B6098" w:rsidRDefault="002E7073" w:rsidP="008E5557">
      <w:pPr>
        <w:pStyle w:val="Questionheading"/>
        <w:widowControl/>
      </w:pPr>
      <w:r w:rsidRPr="003B6098">
        <w:t>Q</w:t>
      </w:r>
      <w:r w:rsidR="00EA2591" w:rsidRPr="003B6098">
        <w:t>uestion 3</w:t>
      </w:r>
    </w:p>
    <w:p w14:paraId="6A84A194" w14:textId="77777777" w:rsidR="00C30210" w:rsidRDefault="005E0603" w:rsidP="008E5557">
      <w:pPr>
        <w:pStyle w:val="BodyText"/>
        <w:widowControl/>
        <w:tabs>
          <w:tab w:val="left" w:pos="6237"/>
          <w:tab w:val="left" w:pos="7938"/>
        </w:tabs>
      </w:pPr>
      <w:r w:rsidRPr="005E0603">
        <w:t>Per student unit cost analyses enable comparisons over time.</w:t>
      </w:r>
      <w:r w:rsidR="00C30210" w:rsidRPr="00E94C06">
        <w:t xml:space="preserve"> </w:t>
      </w:r>
    </w:p>
    <w:p w14:paraId="7D37983C"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58D81E19"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7568" behindDoc="0" locked="0" layoutInCell="1" allowOverlap="1" wp14:anchorId="69E5F12E" wp14:editId="35625631">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9D86C"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60778EC" w14:textId="77777777" w:rsidR="00EA2591" w:rsidRPr="003B6098" w:rsidRDefault="00EA2591" w:rsidP="008E5557">
      <w:pPr>
        <w:pStyle w:val="Questionheading"/>
        <w:widowControl/>
      </w:pPr>
      <w:r w:rsidRPr="003B6098">
        <w:t>Question 4</w:t>
      </w:r>
    </w:p>
    <w:p w14:paraId="17B6FFC1" w14:textId="77777777" w:rsidR="00C30210" w:rsidRDefault="00C018BB" w:rsidP="008E5557">
      <w:pPr>
        <w:pStyle w:val="BodyText"/>
        <w:widowControl/>
        <w:tabs>
          <w:tab w:val="left" w:pos="6237"/>
          <w:tab w:val="left" w:pos="7938"/>
        </w:tabs>
      </w:pPr>
      <w:r w:rsidRPr="00C018BB">
        <w:t>Drop-out and repetition rates are indicators of efficiency in an education system.</w:t>
      </w:r>
      <w:r w:rsidR="00C30210" w:rsidRPr="00E94C06">
        <w:t xml:space="preserve"> </w:t>
      </w:r>
    </w:p>
    <w:p w14:paraId="627E5911"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242BC5BB" w14:textId="77777777" w:rsidR="002E7073" w:rsidRPr="000B3EF1" w:rsidRDefault="002E7073"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759616" behindDoc="0" locked="0" layoutInCell="1" allowOverlap="1" wp14:anchorId="18915F88" wp14:editId="1C0AB40F">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5D989"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3E4D67A2" w14:textId="77777777" w:rsidR="009B3FEF" w:rsidRPr="003B6098" w:rsidRDefault="009B3FEF" w:rsidP="008E5557">
      <w:pPr>
        <w:pStyle w:val="Questionheading"/>
        <w:widowControl/>
      </w:pPr>
      <w:r w:rsidRPr="003B6098">
        <w:t>Question 5</w:t>
      </w:r>
    </w:p>
    <w:p w14:paraId="3A8D7D61" w14:textId="77777777" w:rsidR="009B3FEF" w:rsidRDefault="00C018BB" w:rsidP="008E5557">
      <w:pPr>
        <w:pStyle w:val="BodyText"/>
        <w:widowControl/>
        <w:tabs>
          <w:tab w:val="left" w:pos="6237"/>
          <w:tab w:val="left" w:pos="7938"/>
        </w:tabs>
      </w:pPr>
      <w:r w:rsidRPr="00C018BB">
        <w:t>Equity and access objectives mean that private household expenditures should be highest for the basic level of education.</w:t>
      </w:r>
      <w:r w:rsidR="009B3FEF" w:rsidRPr="00E94C06">
        <w:t xml:space="preserve"> </w:t>
      </w:r>
    </w:p>
    <w:p w14:paraId="610FCFAC"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69EE6BB" w14:textId="77777777" w:rsidR="009B3FEF" w:rsidRPr="000B3EF1" w:rsidRDefault="009B3FEF"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1600" behindDoc="0" locked="0" layoutInCell="1" allowOverlap="1" wp14:anchorId="61AA5A25" wp14:editId="5F512E35">
                <wp:simplePos x="0" y="0"/>
                <wp:positionH relativeFrom="margin">
                  <wp:align>left</wp:align>
                </wp:positionH>
                <wp:positionV relativeFrom="paragraph">
                  <wp:posOffset>82931</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1476E6" id="Straight Connector 4" o:spid="_x0000_s1026" style="position:absolute;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" strokecolor="#d8d8d8 [2732]" strokeweight=".5pt">
                <v:stroke joinstyle="miter"/>
                <o:lock v:ext="edit" aspectratio="t" shapetype="f"/>
                <w10:wrap anchorx="margin"/>
              </v:line>
            </w:pict>
          </mc:Fallback>
        </mc:AlternateContent>
      </w:r>
    </w:p>
    <w:p w14:paraId="09066755" w14:textId="77777777" w:rsidR="009B3FEF" w:rsidRPr="003B6098" w:rsidRDefault="009B3FEF" w:rsidP="008E5557">
      <w:pPr>
        <w:pStyle w:val="Questionheading"/>
        <w:widowControl/>
      </w:pPr>
      <w:r w:rsidRPr="003B6098">
        <w:t>Question 6</w:t>
      </w:r>
    </w:p>
    <w:p w14:paraId="55B6E1B9" w14:textId="77777777" w:rsidR="009B3FEF" w:rsidRDefault="00015496" w:rsidP="008E5557">
      <w:pPr>
        <w:pStyle w:val="BodyText"/>
        <w:widowControl/>
        <w:tabs>
          <w:tab w:val="left" w:pos="6237"/>
          <w:tab w:val="left" w:pos="7938"/>
        </w:tabs>
      </w:pPr>
      <w:r w:rsidRPr="00015496">
        <w:t>Increased education expenditure will result in better learning outcomes for students.</w:t>
      </w:r>
      <w:r w:rsidR="009B3FEF" w:rsidRPr="00E94C06">
        <w:t xml:space="preserve"> </w:t>
      </w:r>
    </w:p>
    <w:p w14:paraId="63FE58BC"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2F9F1F08" w14:textId="77777777" w:rsidR="009B3FEF" w:rsidRPr="000B3EF1" w:rsidRDefault="009B3FEF"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3648" behindDoc="0" locked="0" layoutInCell="1" allowOverlap="1" wp14:anchorId="48668F41" wp14:editId="21928EF3">
                <wp:simplePos x="0" y="0"/>
                <wp:positionH relativeFrom="margin">
                  <wp:align>left</wp:align>
                </wp:positionH>
                <wp:positionV relativeFrom="paragraph">
                  <wp:posOffset>82931</wp:posOffset>
                </wp:positionV>
                <wp:extent cx="6181344" cy="0"/>
                <wp:effectExtent l="0" t="0" r="29210" b="19050"/>
                <wp:wrapNone/>
                <wp:docPr id="5" name="Straight Connector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A4A14" id="Straight Connector 5" o:spid="_x0000_s1026" style="position:absolute;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BzH2rZ/gEAAFY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06763D9E" w14:textId="77777777" w:rsidR="00015496" w:rsidRPr="003B6098" w:rsidRDefault="00C641F0" w:rsidP="00015496">
      <w:pPr>
        <w:pStyle w:val="Questionheading"/>
        <w:widowControl/>
      </w:pPr>
      <w:r>
        <w:t>Question 7</w:t>
      </w:r>
    </w:p>
    <w:p w14:paraId="0126835C" w14:textId="77777777" w:rsidR="00C641F0" w:rsidRDefault="00C641F0" w:rsidP="00015496">
      <w:pPr>
        <w:pStyle w:val="BodyText"/>
        <w:widowControl/>
        <w:tabs>
          <w:tab w:val="left" w:pos="5954"/>
          <w:tab w:val="left" w:pos="7371"/>
        </w:tabs>
      </w:pPr>
      <w:r w:rsidRPr="00C641F0">
        <w:t>Average expenditure per student in remote areas less than or equal to the national average can indicate an inequitable resource allocation.</w:t>
      </w:r>
    </w:p>
    <w:p w14:paraId="3D8A134C" w14:textId="77777777" w:rsidR="00015496" w:rsidRDefault="00015496" w:rsidP="00015496">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5133142" w14:textId="77777777" w:rsidR="00015496" w:rsidRPr="000B3EF1" w:rsidRDefault="00015496" w:rsidP="00015496">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26176" behindDoc="0" locked="0" layoutInCell="1" allowOverlap="1" wp14:anchorId="0E82CE0E" wp14:editId="4B27B764">
                <wp:simplePos x="0" y="0"/>
                <wp:positionH relativeFrom="margin">
                  <wp:align>left</wp:align>
                </wp:positionH>
                <wp:positionV relativeFrom="paragraph">
                  <wp:posOffset>82931</wp:posOffset>
                </wp:positionV>
                <wp:extent cx="6181344" cy="0"/>
                <wp:effectExtent l="0" t="0" r="29210" b="19050"/>
                <wp:wrapNone/>
                <wp:docPr id="18" name="Straight Connector 1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AC585" id="Straight Connector 18" o:spid="_x0000_s1026" style="position:absolute;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DgcMv+/gEAAFg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7C55B6CC" w14:textId="77777777" w:rsidR="008E01E2" w:rsidRDefault="008E01E2" w:rsidP="008E5557">
      <w:pPr>
        <w:rPr>
          <w:rFonts w:ascii="Calibri" w:eastAsia="Calibri" w:hAnsi="Calibri" w:cs="Calibri"/>
          <w:color w:val="231F20"/>
          <w:sz w:val="23"/>
          <w:szCs w:val="23"/>
          <w:lang w:val="en-US"/>
        </w:rPr>
      </w:pPr>
      <w:r>
        <w:br w:type="page"/>
      </w:r>
    </w:p>
    <w:p w14:paraId="7F5299D4" w14:textId="77777777" w:rsidR="00A65D11" w:rsidRPr="00A65D11" w:rsidRDefault="00325F33" w:rsidP="008E5557">
      <w:pPr>
        <w:pStyle w:val="BodyText"/>
        <w:widowControl/>
      </w:pPr>
      <w:r>
        <w:rPr>
          <w:noProof/>
          <w:lang w:val="en-AU" w:eastAsia="en-AU"/>
        </w:rPr>
        <w:drawing>
          <wp:anchor distT="0" distB="0" distL="114300" distR="114300" simplePos="0" relativeHeight="251728896" behindDoc="0" locked="0" layoutInCell="1" allowOverlap="1" wp14:anchorId="4DB35C08" wp14:editId="74DE7D8A">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1EE4659C" w14:textId="77777777" w:rsidR="00EA2591" w:rsidRPr="002E7073" w:rsidRDefault="00EA2591" w:rsidP="008E5557">
      <w:pPr>
        <w:pStyle w:val="Heading2"/>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3B1AD46F" w14:textId="77777777" w:rsidR="00EA2591" w:rsidRDefault="00EA2591" w:rsidP="008E5557">
      <w:pPr>
        <w:pStyle w:val="Paraspace"/>
        <w:widowControl/>
      </w:pPr>
    </w:p>
    <w:p w14:paraId="0F547A19" w14:textId="77777777" w:rsidR="00EA2591" w:rsidRPr="003B6098" w:rsidRDefault="00EA2591" w:rsidP="008E5557">
      <w:pPr>
        <w:pStyle w:val="Questionheading"/>
        <w:widowControl/>
      </w:pPr>
      <w:r w:rsidRPr="003B6098">
        <w:t>Question 1</w:t>
      </w:r>
    </w:p>
    <w:p w14:paraId="36DCC768" w14:textId="77777777" w:rsidR="00A65D11" w:rsidRDefault="002A2AE6" w:rsidP="008E5557">
      <w:pPr>
        <w:pStyle w:val="BodyText"/>
        <w:widowControl/>
      </w:pPr>
      <w:r w:rsidRPr="002A2AE6">
        <w:t xml:space="preserve">Public education expenditure as a per cent of </w:t>
      </w:r>
      <w:r w:rsidR="009459C4">
        <w:t>GDP</w:t>
      </w:r>
      <w:r w:rsidR="009459C4" w:rsidRPr="002A2AE6">
        <w:t xml:space="preserve"> </w:t>
      </w:r>
      <w:r w:rsidRPr="002A2AE6">
        <w:t>is a measure of government financial commitment towards education.</w:t>
      </w:r>
    </w:p>
    <w:p w14:paraId="4EDAAEB5" w14:textId="77777777" w:rsidR="00A65D11" w:rsidRDefault="00EA2591" w:rsidP="008E5557">
      <w:pPr>
        <w:pStyle w:val="BodyText"/>
        <w:widowControl/>
      </w:pPr>
      <w:r w:rsidRPr="001908B8">
        <w:rPr>
          <w:b/>
        </w:rPr>
        <w:t xml:space="preserve">This statement </w:t>
      </w:r>
      <w:r w:rsidRPr="002A2AE6">
        <w:rPr>
          <w:b/>
        </w:rPr>
        <w:t xml:space="preserve">is </w:t>
      </w:r>
      <w:r w:rsidR="002A2AE6" w:rsidRPr="002A2AE6">
        <w:rPr>
          <w:b/>
        </w:rPr>
        <w:t>true</w:t>
      </w:r>
      <w:r w:rsidR="00A65D11" w:rsidRPr="002A2AE6">
        <w:rPr>
          <w:b/>
        </w:rPr>
        <w:t>.</w:t>
      </w:r>
      <w:r w:rsidR="005550B3" w:rsidRPr="002A2AE6">
        <w:rPr>
          <w:b/>
        </w:rPr>
        <w:t xml:space="preserve"> </w:t>
      </w:r>
      <w:r w:rsidR="002A2AE6" w:rsidRPr="002A2AE6">
        <w:t xml:space="preserve">Public education expenditure as a per cent of </w:t>
      </w:r>
      <w:r w:rsidR="009459C4">
        <w:t>GDP</w:t>
      </w:r>
      <w:r w:rsidR="009459C4" w:rsidRPr="002A2AE6">
        <w:t xml:space="preserve"> </w:t>
      </w:r>
      <w:r w:rsidR="002A2AE6" w:rsidRPr="002A2AE6">
        <w:t>is a measure of government financial commitment towards education. Public education expenditure as a per cent of government expenditure is an even more accurate indicator of government prioritisation.</w:t>
      </w:r>
      <w:r w:rsidR="00C30210">
        <w:t xml:space="preserve"> </w:t>
      </w:r>
    </w:p>
    <w:p w14:paraId="366D2BFF" w14:textId="77777777" w:rsidR="009B3FEF" w:rsidRPr="00364D8E" w:rsidRDefault="009B3FEF" w:rsidP="008E5557">
      <w:pPr>
        <w:pStyle w:val="BodyText"/>
        <w:widowControl/>
        <w:rPr>
          <w:szCs w:val="20"/>
        </w:rPr>
      </w:pPr>
    </w:p>
    <w:p w14:paraId="153DB21A" w14:textId="77777777" w:rsidR="00EA2591" w:rsidRDefault="00EA2591" w:rsidP="008E5557">
      <w:pPr>
        <w:pStyle w:val="BodyText"/>
        <w:widowControl/>
      </w:pPr>
      <w:r>
        <w:rPr>
          <w:noProof/>
          <w:lang w:val="en-AU" w:eastAsia="en-AU"/>
        </w:rPr>
        <mc:AlternateContent>
          <mc:Choice Requires="wps">
            <w:drawing>
              <wp:anchor distT="0" distB="0" distL="114300" distR="114300" simplePos="0" relativeHeight="251729920" behindDoc="0" locked="0" layoutInCell="1" allowOverlap="1" wp14:anchorId="168300C9" wp14:editId="3AC1D6FE">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75E3A"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7AE64876" w14:textId="77777777" w:rsidR="00EA2591" w:rsidRPr="003B6098" w:rsidRDefault="00EA2591" w:rsidP="008E5557">
      <w:pPr>
        <w:pStyle w:val="Questionheading"/>
        <w:widowControl/>
      </w:pPr>
      <w:r w:rsidRPr="003B6098">
        <w:t>Question 2</w:t>
      </w:r>
    </w:p>
    <w:p w14:paraId="6F76DFD5" w14:textId="77777777" w:rsidR="00C30210" w:rsidRDefault="00BF1ACE" w:rsidP="008E5557">
      <w:pPr>
        <w:pStyle w:val="BodyText"/>
        <w:widowControl/>
      </w:pPr>
      <w:r w:rsidRPr="00BF1ACE">
        <w:t>Recurrent expenditure does not include wages and salaries.</w:t>
      </w:r>
    </w:p>
    <w:p w14:paraId="3E75F015" w14:textId="77777777" w:rsidR="00C30210" w:rsidRDefault="00C30210" w:rsidP="008E5557">
      <w:pPr>
        <w:pStyle w:val="BodyText"/>
        <w:widowControl/>
      </w:pPr>
      <w:r w:rsidRPr="001908B8">
        <w:rPr>
          <w:b/>
        </w:rPr>
        <w:t xml:space="preserve">This </w:t>
      </w:r>
      <w:r w:rsidRPr="00BF1ACE">
        <w:rPr>
          <w:b/>
        </w:rPr>
        <w:t>statement is fa</w:t>
      </w:r>
      <w:r w:rsidR="00175568" w:rsidRPr="00BF1ACE">
        <w:rPr>
          <w:b/>
        </w:rPr>
        <w:t>ls</w:t>
      </w:r>
      <w:r w:rsidRPr="00BF1ACE">
        <w:rPr>
          <w:b/>
        </w:rPr>
        <w:t xml:space="preserve">e. </w:t>
      </w:r>
      <w:r w:rsidR="00BF1ACE" w:rsidRPr="00BF1ACE">
        <w:t>Recurrent expenditure does include wages and salaries.</w:t>
      </w:r>
      <w:r>
        <w:t xml:space="preserve"> </w:t>
      </w:r>
    </w:p>
    <w:p w14:paraId="4D88194A" w14:textId="77777777" w:rsidR="009B3FEF" w:rsidRPr="00364D8E" w:rsidRDefault="009B3FEF" w:rsidP="008E5557">
      <w:pPr>
        <w:pStyle w:val="BodyText"/>
        <w:widowControl/>
        <w:rPr>
          <w:szCs w:val="20"/>
        </w:rPr>
      </w:pPr>
    </w:p>
    <w:p w14:paraId="793F068B"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1184" behindDoc="0" locked="0" layoutInCell="1" allowOverlap="1" wp14:anchorId="39619C0D" wp14:editId="70AC670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B75DB5"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01EAFA76" w14:textId="77777777" w:rsidR="00EA2591" w:rsidRPr="003B6098" w:rsidRDefault="00EA2591" w:rsidP="008E5557">
      <w:pPr>
        <w:pStyle w:val="Questionheading"/>
        <w:widowControl/>
      </w:pPr>
      <w:r w:rsidRPr="003B6098">
        <w:t>Question 3</w:t>
      </w:r>
    </w:p>
    <w:p w14:paraId="2E972D00" w14:textId="77777777" w:rsidR="00C30210" w:rsidRDefault="00617082" w:rsidP="008E5557">
      <w:pPr>
        <w:pStyle w:val="BodyText"/>
        <w:widowControl/>
      </w:pPr>
      <w:r w:rsidRPr="00617082">
        <w:t>Per student unit cost analyses enable comparisons over time.</w:t>
      </w:r>
    </w:p>
    <w:p w14:paraId="78A63250" w14:textId="77777777" w:rsidR="00C30210" w:rsidRDefault="00C30210" w:rsidP="008E5557">
      <w:pPr>
        <w:pStyle w:val="BodyText"/>
        <w:widowControl/>
      </w:pPr>
      <w:r w:rsidRPr="00617082">
        <w:rPr>
          <w:b/>
        </w:rPr>
        <w:t xml:space="preserve">This statement is </w:t>
      </w:r>
      <w:r w:rsidR="00617082" w:rsidRPr="00617082">
        <w:rPr>
          <w:b/>
        </w:rPr>
        <w:t>true</w:t>
      </w:r>
      <w:r w:rsidRPr="00617082">
        <w:rPr>
          <w:b/>
        </w:rPr>
        <w:t xml:space="preserve">. </w:t>
      </w:r>
      <w:r w:rsidR="00617082" w:rsidRPr="00617082">
        <w:t>Per student unit cost analyses enable comparisons over time.</w:t>
      </w:r>
      <w:r>
        <w:t xml:space="preserve"> </w:t>
      </w:r>
    </w:p>
    <w:p w14:paraId="1AE52BB0" w14:textId="77777777" w:rsidR="009B3FEF" w:rsidRPr="00364D8E" w:rsidRDefault="009B3FEF" w:rsidP="008E5557">
      <w:pPr>
        <w:pStyle w:val="BodyText"/>
        <w:widowControl/>
        <w:rPr>
          <w:szCs w:val="20"/>
        </w:rPr>
      </w:pPr>
    </w:p>
    <w:p w14:paraId="64C9C5E5"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3232" behindDoc="0" locked="0" layoutInCell="1" allowOverlap="1" wp14:anchorId="20F95C40" wp14:editId="1954BB86">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B4E8A"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2BB9BC8E" w14:textId="77777777" w:rsidR="00EA2591" w:rsidRPr="003B6098" w:rsidRDefault="00EA2591" w:rsidP="008E5557">
      <w:pPr>
        <w:pStyle w:val="Questionheading"/>
        <w:widowControl/>
      </w:pPr>
      <w:r w:rsidRPr="003B6098">
        <w:t>Question 4</w:t>
      </w:r>
    </w:p>
    <w:p w14:paraId="0F836FAD" w14:textId="77777777" w:rsidR="00C30210" w:rsidRDefault="00880FFE" w:rsidP="008E5557">
      <w:pPr>
        <w:pStyle w:val="BodyText"/>
        <w:widowControl/>
      </w:pPr>
      <w:r w:rsidRPr="00880FFE">
        <w:t>Drop-out and repetition rates are indicators of efficiency in an education system.</w:t>
      </w:r>
    </w:p>
    <w:p w14:paraId="405FFC64" w14:textId="77777777" w:rsidR="00C30210" w:rsidRDefault="00C30210" w:rsidP="008E5557">
      <w:pPr>
        <w:pStyle w:val="BodyText"/>
        <w:widowControl/>
      </w:pPr>
      <w:r w:rsidRPr="001908B8">
        <w:rPr>
          <w:b/>
        </w:rPr>
        <w:t xml:space="preserve">This </w:t>
      </w:r>
      <w:r w:rsidRPr="00880FFE">
        <w:rPr>
          <w:b/>
        </w:rPr>
        <w:t xml:space="preserve">statement is </w:t>
      </w:r>
      <w:r w:rsidR="00880FFE" w:rsidRPr="00880FFE">
        <w:rPr>
          <w:b/>
        </w:rPr>
        <w:t>true</w:t>
      </w:r>
      <w:r w:rsidRPr="00880FFE">
        <w:rPr>
          <w:b/>
        </w:rPr>
        <w:t xml:space="preserve">. </w:t>
      </w:r>
      <w:r w:rsidR="00880FFE" w:rsidRPr="00880FFE">
        <w:t>Drop-out and repetition rates are indicators of efficiency in an education.</w:t>
      </w:r>
      <w:r>
        <w:t xml:space="preserve"> </w:t>
      </w:r>
    </w:p>
    <w:p w14:paraId="3D62592D" w14:textId="77777777" w:rsidR="009B3FEF" w:rsidRPr="00364D8E" w:rsidRDefault="009B3FEF" w:rsidP="008E5557">
      <w:pPr>
        <w:pStyle w:val="BodyText"/>
        <w:widowControl/>
        <w:rPr>
          <w:szCs w:val="20"/>
        </w:rPr>
      </w:pPr>
    </w:p>
    <w:p w14:paraId="0103ECD1"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9376" behindDoc="0" locked="0" layoutInCell="1" allowOverlap="1" wp14:anchorId="62AAC6F7" wp14:editId="4C9FCFEA">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679E9"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0EA0BCC2" w14:textId="77777777" w:rsidR="009D3122" w:rsidRDefault="009D3122" w:rsidP="008E5557">
      <w:pPr>
        <w:pStyle w:val="Questionheading"/>
        <w:widowControl/>
      </w:pPr>
    </w:p>
    <w:p w14:paraId="4776261C" w14:textId="77777777" w:rsidR="009D3122" w:rsidRDefault="009D3122" w:rsidP="008E5557">
      <w:pPr>
        <w:pStyle w:val="Questionheading"/>
        <w:widowControl/>
      </w:pPr>
    </w:p>
    <w:p w14:paraId="1AA0D807" w14:textId="77777777" w:rsidR="009B3FEF" w:rsidRPr="003B6098" w:rsidRDefault="009B3FEF" w:rsidP="008E5557">
      <w:pPr>
        <w:pStyle w:val="Questionheading"/>
        <w:widowControl/>
      </w:pPr>
      <w:r w:rsidRPr="003B6098">
        <w:t>Question 5</w:t>
      </w:r>
    </w:p>
    <w:p w14:paraId="278C4A3A" w14:textId="77777777" w:rsidR="009B3FEF" w:rsidRDefault="008B4F55" w:rsidP="008E5557">
      <w:pPr>
        <w:pStyle w:val="BodyText"/>
        <w:widowControl/>
      </w:pPr>
      <w:r w:rsidRPr="008B4F55">
        <w:t>Equity and access objectives mean that private household expenditures should be highest for the basic level of education.</w:t>
      </w:r>
    </w:p>
    <w:p w14:paraId="4C086A10" w14:textId="77777777" w:rsidR="009B3FEF" w:rsidRDefault="009B3FEF" w:rsidP="008E5557">
      <w:pPr>
        <w:pStyle w:val="BodyText"/>
        <w:widowControl/>
      </w:pPr>
      <w:r w:rsidRPr="001908B8">
        <w:rPr>
          <w:b/>
        </w:rPr>
        <w:t xml:space="preserve">This </w:t>
      </w:r>
      <w:r w:rsidRPr="002102C3">
        <w:rPr>
          <w:b/>
        </w:rPr>
        <w:t xml:space="preserve">statement is false. </w:t>
      </w:r>
      <w:r w:rsidR="008B4F55" w:rsidRPr="002102C3">
        <w:t>Equity</w:t>
      </w:r>
      <w:r w:rsidR="008B4F55" w:rsidRPr="008B4F55">
        <w:t xml:space="preserve"> and access objectives do not mean that private household expenditures should be highest for the basic level of education. Equity and access objectives mean that public expenditures should be proportionally highest at the basic levels of education (pre-primary, primary and lower secondary), to reduce financial barriers for poorer families. This means that families should be required to pay little or no money for education at the pre-primary and primary levels, either directly as fees or indirectly for ‘voluntary contributions’ or other school-level charges.</w:t>
      </w:r>
      <w:r>
        <w:t xml:space="preserve"> </w:t>
      </w:r>
    </w:p>
    <w:p w14:paraId="79D9BD3A" w14:textId="77777777" w:rsidR="009B3FEF" w:rsidRPr="00364D8E" w:rsidRDefault="009B3FEF" w:rsidP="008E5557">
      <w:pPr>
        <w:pStyle w:val="BodyText"/>
        <w:widowControl/>
        <w:rPr>
          <w:szCs w:val="20"/>
        </w:rPr>
      </w:pPr>
    </w:p>
    <w:p w14:paraId="313D5CF9" w14:textId="77777777" w:rsidR="009B3FEF" w:rsidRDefault="009B3FEF" w:rsidP="008E5557">
      <w:pPr>
        <w:pStyle w:val="BodyText"/>
        <w:widowControl/>
      </w:pPr>
      <w:r>
        <w:rPr>
          <w:noProof/>
          <w:lang w:val="en-AU" w:eastAsia="en-AU"/>
        </w:rPr>
        <mc:AlternateContent>
          <mc:Choice Requires="wps">
            <w:drawing>
              <wp:anchor distT="0" distB="0" distL="114300" distR="114300" simplePos="0" relativeHeight="251805696" behindDoc="0" locked="0" layoutInCell="1" allowOverlap="1" wp14:anchorId="29F82A36" wp14:editId="30782A2B">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8F46B" id="Straight Connector 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1A247C86" w14:textId="77777777" w:rsidR="009B3FEF" w:rsidRPr="003B6098" w:rsidRDefault="009B3FEF" w:rsidP="008E5557">
      <w:pPr>
        <w:pStyle w:val="Questionheading"/>
        <w:widowControl/>
      </w:pPr>
      <w:r w:rsidRPr="003B6098">
        <w:t>Question 6</w:t>
      </w:r>
    </w:p>
    <w:p w14:paraId="04C9DFC6" w14:textId="77777777" w:rsidR="009B3FEF" w:rsidRDefault="00232B3E" w:rsidP="008E5557">
      <w:pPr>
        <w:pStyle w:val="BodyText"/>
        <w:widowControl/>
      </w:pPr>
      <w:r w:rsidRPr="00232B3E">
        <w:t>Increased education expenditure will result in better learning outcomes for students.</w:t>
      </w:r>
    </w:p>
    <w:p w14:paraId="4F9A6028" w14:textId="77777777" w:rsidR="009B3FEF" w:rsidRDefault="009B3FEF" w:rsidP="008E5557">
      <w:pPr>
        <w:pStyle w:val="BodyText"/>
        <w:widowControl/>
      </w:pPr>
      <w:r w:rsidRPr="001908B8">
        <w:rPr>
          <w:b/>
        </w:rPr>
        <w:t xml:space="preserve">This </w:t>
      </w:r>
      <w:r w:rsidRPr="00D23281">
        <w:rPr>
          <w:b/>
        </w:rPr>
        <w:t xml:space="preserve">statement is false. </w:t>
      </w:r>
      <w:r w:rsidR="00D23281" w:rsidRPr="00D23281">
        <w:t>Increased education expenditure does not automatically translate to better learning outcomes for children as increased expenditure does not necessarily mean improved quality, nor does it reflect changing student: teacher ratios. In developing countries, big school population changes can occur very quickly, which in turn can greatly reduce the amount of investment per student, even if overall investment is increasing.</w:t>
      </w:r>
      <w:r>
        <w:t xml:space="preserve"> </w:t>
      </w:r>
    </w:p>
    <w:p w14:paraId="7067C555" w14:textId="77777777" w:rsidR="009B3FEF" w:rsidRPr="00364D8E" w:rsidRDefault="009B3FEF" w:rsidP="008E5557">
      <w:pPr>
        <w:pStyle w:val="BodyText"/>
        <w:widowControl/>
        <w:rPr>
          <w:szCs w:val="20"/>
        </w:rPr>
      </w:pPr>
    </w:p>
    <w:p w14:paraId="580A2FCF" w14:textId="77777777" w:rsidR="009B3FEF" w:rsidRDefault="009B3FEF" w:rsidP="008E5557">
      <w:pPr>
        <w:pStyle w:val="BodyText"/>
        <w:widowControl/>
      </w:pPr>
      <w:r>
        <w:rPr>
          <w:noProof/>
          <w:lang w:val="en-AU" w:eastAsia="en-AU"/>
        </w:rPr>
        <mc:AlternateContent>
          <mc:Choice Requires="wps">
            <w:drawing>
              <wp:anchor distT="0" distB="0" distL="114300" distR="114300" simplePos="0" relativeHeight="251807744" behindDoc="0" locked="0" layoutInCell="1" allowOverlap="1" wp14:anchorId="0CF67137" wp14:editId="65620A4B">
                <wp:simplePos x="0" y="0"/>
                <wp:positionH relativeFrom="margin">
                  <wp:align>left</wp:align>
                </wp:positionH>
                <wp:positionV relativeFrom="paragraph">
                  <wp:posOffset>85852</wp:posOffset>
                </wp:positionV>
                <wp:extent cx="5632704" cy="0"/>
                <wp:effectExtent l="0" t="0" r="25400" b="19050"/>
                <wp:wrapNone/>
                <wp:docPr id="8" name="Straigh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4C151" id="Straight Connector 8" o:spid="_x0000_s1026" style="position:absolute;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FTv737+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19D901A0" w14:textId="77777777" w:rsidR="002A2AE6" w:rsidRPr="003B6098" w:rsidRDefault="002A2AE6" w:rsidP="002A2AE6">
      <w:pPr>
        <w:pStyle w:val="Questionheading"/>
        <w:widowControl/>
      </w:pPr>
      <w:r>
        <w:t>Question 7</w:t>
      </w:r>
    </w:p>
    <w:p w14:paraId="35202068" w14:textId="77777777" w:rsidR="002A2AE6" w:rsidRDefault="006D540E" w:rsidP="002A2AE6">
      <w:pPr>
        <w:pStyle w:val="BodyText"/>
        <w:widowControl/>
      </w:pPr>
      <w:r w:rsidRPr="006D540E">
        <w:t>Average expenditure per student in remote areas less than or equal to the national average usually indicates an inequitable resource allocation.</w:t>
      </w:r>
    </w:p>
    <w:p w14:paraId="2C8801FC" w14:textId="77777777" w:rsidR="002A2AE6" w:rsidRDefault="002A2AE6" w:rsidP="002A2AE6">
      <w:pPr>
        <w:pStyle w:val="BodyText"/>
        <w:widowControl/>
      </w:pPr>
      <w:r w:rsidRPr="001908B8">
        <w:rPr>
          <w:b/>
        </w:rPr>
        <w:t xml:space="preserve">This </w:t>
      </w:r>
      <w:r w:rsidRPr="006D540E">
        <w:rPr>
          <w:b/>
        </w:rPr>
        <w:t xml:space="preserve">statement is </w:t>
      </w:r>
      <w:r w:rsidR="006D540E" w:rsidRPr="006D540E">
        <w:rPr>
          <w:b/>
        </w:rPr>
        <w:t>true</w:t>
      </w:r>
      <w:r w:rsidRPr="006D540E">
        <w:rPr>
          <w:b/>
        </w:rPr>
        <w:t xml:space="preserve">. </w:t>
      </w:r>
      <w:r w:rsidR="006D540E" w:rsidRPr="006D540E">
        <w:t>Average expenditure per student in remote areas less than or equal to the national average usually indicates an inequitable resource allocation, due to the higher costs associated with educational delivery in remote locations.</w:t>
      </w:r>
      <w:r>
        <w:t xml:space="preserve"> </w:t>
      </w:r>
    </w:p>
    <w:p w14:paraId="78C0EFF8" w14:textId="77777777" w:rsidR="002A2AE6" w:rsidRPr="00364D8E" w:rsidRDefault="002A2AE6" w:rsidP="002A2AE6">
      <w:pPr>
        <w:pStyle w:val="BodyText"/>
        <w:widowControl/>
        <w:rPr>
          <w:szCs w:val="20"/>
        </w:rPr>
      </w:pPr>
    </w:p>
    <w:p w14:paraId="1CC2EB9E" w14:textId="77777777" w:rsidR="002A2AE6" w:rsidRDefault="002A2AE6" w:rsidP="002A2AE6">
      <w:pPr>
        <w:pStyle w:val="BodyText"/>
        <w:widowControl/>
      </w:pPr>
      <w:r>
        <w:rPr>
          <w:noProof/>
          <w:lang w:val="en-AU" w:eastAsia="en-AU"/>
        </w:rPr>
        <mc:AlternateContent>
          <mc:Choice Requires="wps">
            <w:drawing>
              <wp:anchor distT="0" distB="0" distL="114300" distR="114300" simplePos="0" relativeHeight="251828224" behindDoc="0" locked="0" layoutInCell="1" allowOverlap="1" wp14:anchorId="7D31CBBD" wp14:editId="7A621275">
                <wp:simplePos x="0" y="0"/>
                <wp:positionH relativeFrom="margin">
                  <wp:align>left</wp:align>
                </wp:positionH>
                <wp:positionV relativeFrom="paragraph">
                  <wp:posOffset>85852</wp:posOffset>
                </wp:positionV>
                <wp:extent cx="5632704" cy="0"/>
                <wp:effectExtent l="0" t="0" r="25400" b="19050"/>
                <wp:wrapNone/>
                <wp:docPr id="19" name="Straight Connector 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0605E" id="Straight Connector 19" o:spid="_x0000_s1026" style="position:absolute;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" strokecolor="#d8d8d8 [2732]" strokeweight=".5pt">
                <v:stroke joinstyle="miter"/>
                <o:lock v:ext="edit" aspectratio="t" shapetype="f"/>
                <w10:wrap anchorx="margin"/>
              </v:line>
            </w:pict>
          </mc:Fallback>
        </mc:AlternateContent>
      </w:r>
    </w:p>
    <w:p w14:paraId="7CD5BCE0" w14:textId="77777777" w:rsidR="00184B67" w:rsidRDefault="00184B67" w:rsidP="008E5557">
      <w:pPr>
        <w:pStyle w:val="BodyText"/>
        <w:widowControl/>
      </w:pPr>
      <w:r>
        <w:br w:type="page"/>
      </w:r>
    </w:p>
    <w:p w14:paraId="2EBBCB39" w14:textId="77777777" w:rsidR="00EA2591" w:rsidRDefault="00DF29AD" w:rsidP="008E5557">
      <w:pPr>
        <w:pStyle w:val="Heading1"/>
        <w:widowControl/>
        <w:numPr>
          <w:ilvl w:val="0"/>
          <w:numId w:val="0"/>
        </w:numPr>
      </w:pPr>
      <w:bookmarkStart w:id="11" w:name="_Toc15637002"/>
      <w:r>
        <w:t>References and links</w:t>
      </w:r>
      <w:bookmarkEnd w:id="11"/>
    </w:p>
    <w:p w14:paraId="75700845" w14:textId="4454B596" w:rsidR="005E7A2A" w:rsidRDefault="001B7374" w:rsidP="008E5557">
      <w:pPr>
        <w:pStyle w:val="BodyText"/>
        <w:widowControl/>
      </w:pPr>
      <w:r w:rsidRPr="0031342C">
        <w:rPr>
          <w:b/>
        </w:rPr>
        <w:t xml:space="preserve">All links accessed </w:t>
      </w:r>
      <w:r w:rsidR="009752F2">
        <w:rPr>
          <w:b/>
        </w:rPr>
        <w:t>August</w:t>
      </w:r>
      <w:r w:rsidRPr="0031342C">
        <w:rPr>
          <w:b/>
        </w:rPr>
        <w:t>, 201</w:t>
      </w:r>
      <w:r w:rsidR="009752F2">
        <w:rPr>
          <w:b/>
        </w:rPr>
        <w:t>9</w:t>
      </w:r>
    </w:p>
    <w:p w14:paraId="65FA329B" w14:textId="406948CC" w:rsidR="005E7A2A" w:rsidRPr="00764CA4" w:rsidRDefault="005E7A2A" w:rsidP="0031342C">
      <w:pPr>
        <w:widowControl w:val="0"/>
        <w:autoSpaceDE w:val="0"/>
        <w:autoSpaceDN w:val="0"/>
        <w:adjustRightInd w:val="0"/>
        <w:spacing w:before="120" w:after="120"/>
        <w:rPr>
          <w:rFonts w:eastAsia="Calibri" w:cs="Arial"/>
          <w:sz w:val="24"/>
          <w:szCs w:val="24"/>
        </w:rPr>
      </w:pPr>
      <w:r w:rsidRPr="00764CA4">
        <w:rPr>
          <w:rFonts w:eastAsia="Calibri" w:cs="Arial"/>
          <w:sz w:val="24"/>
          <w:szCs w:val="24"/>
        </w:rPr>
        <w:t>DFAT 2017, Framework for engaging on public financial management, Australian Governme</w:t>
      </w:r>
      <w:r w:rsidR="008B7C51" w:rsidRPr="00764CA4">
        <w:rPr>
          <w:rFonts w:eastAsia="Calibri" w:cs="Arial"/>
          <w:sz w:val="24"/>
          <w:szCs w:val="24"/>
        </w:rPr>
        <w:t>nt DFAT</w:t>
      </w:r>
      <w:r w:rsidRPr="00764CA4">
        <w:rPr>
          <w:rFonts w:eastAsia="Calibri" w:cs="Arial"/>
          <w:sz w:val="24"/>
          <w:szCs w:val="24"/>
        </w:rPr>
        <w:t xml:space="preserve">, </w:t>
      </w:r>
      <w:hyperlink r:id="rId33" w:history="1">
        <w:r w:rsidRPr="00764CA4">
          <w:rPr>
            <w:rStyle w:val="LinkChar"/>
          </w:rPr>
          <w:t>http://dfat.gov.au/about-us/publications/Pages/framework-for-engaging-on-public-financial-management.aspx</w:t>
        </w:r>
      </w:hyperlink>
    </w:p>
    <w:p w14:paraId="52BDDB8A" w14:textId="35B13A40" w:rsidR="009752F2" w:rsidRPr="00764CA4" w:rsidRDefault="009752F2" w:rsidP="0031342C">
      <w:pPr>
        <w:widowControl w:val="0"/>
        <w:autoSpaceDE w:val="0"/>
        <w:autoSpaceDN w:val="0"/>
        <w:adjustRightInd w:val="0"/>
        <w:spacing w:before="120" w:after="120"/>
        <w:rPr>
          <w:rFonts w:eastAsia="Calibri" w:cs="Arial"/>
          <w:sz w:val="24"/>
          <w:szCs w:val="24"/>
        </w:rPr>
      </w:pPr>
      <w:r w:rsidRPr="00764CA4">
        <w:rPr>
          <w:rFonts w:eastAsia="Calibri" w:cs="Arial"/>
          <w:sz w:val="24"/>
          <w:szCs w:val="24"/>
        </w:rPr>
        <w:t xml:space="preserve">GPE 2018, GPE’s engagement on domestic financing for education, GPE, </w:t>
      </w:r>
      <w:hyperlink r:id="rId34" w:history="1">
        <w:r w:rsidRPr="00764CA4">
          <w:rPr>
            <w:rStyle w:val="LinkChar"/>
          </w:rPr>
          <w:t>https://www.globalpartnership.org/sites/default/files/2019-02-gpe-domestic-policy-brief_web.pdf</w:t>
        </w:r>
      </w:hyperlink>
    </w:p>
    <w:p w14:paraId="690B0344" w14:textId="77777777" w:rsidR="006A5526" w:rsidRPr="00764CA4" w:rsidRDefault="006A5526" w:rsidP="0031342C">
      <w:pPr>
        <w:widowControl w:val="0"/>
        <w:autoSpaceDE w:val="0"/>
        <w:autoSpaceDN w:val="0"/>
        <w:adjustRightInd w:val="0"/>
        <w:spacing w:before="120" w:after="120"/>
        <w:rPr>
          <w:rStyle w:val="LinkChar"/>
        </w:rPr>
      </w:pPr>
      <w:r w:rsidRPr="00764CA4">
        <w:rPr>
          <w:rFonts w:eastAsia="Calibri" w:cs="Arial"/>
          <w:sz w:val="24"/>
          <w:szCs w:val="24"/>
        </w:rPr>
        <w:t>OECD n.d., OECD.Stat</w:t>
      </w:r>
      <w:r w:rsidR="008B7C51" w:rsidRPr="00764CA4">
        <w:rPr>
          <w:rFonts w:eastAsia="Calibri" w:cs="Arial"/>
          <w:sz w:val="24"/>
          <w:szCs w:val="24"/>
        </w:rPr>
        <w:t>, OECD</w:t>
      </w:r>
      <w:r w:rsidRPr="00764CA4">
        <w:rPr>
          <w:rFonts w:eastAsia="Calibri" w:cs="Arial"/>
          <w:sz w:val="24"/>
          <w:szCs w:val="24"/>
        </w:rPr>
        <w:t xml:space="preserve">, </w:t>
      </w:r>
      <w:hyperlink r:id="rId35" w:history="1">
        <w:r w:rsidRPr="00764CA4">
          <w:rPr>
            <w:rStyle w:val="LinkChar"/>
          </w:rPr>
          <w:t>https://stats.oecd.org/</w:t>
        </w:r>
      </w:hyperlink>
    </w:p>
    <w:p w14:paraId="057FB00A" w14:textId="7C3ED31C" w:rsidR="00764CA4" w:rsidRPr="00764CA4" w:rsidRDefault="00764CA4" w:rsidP="00A3744E">
      <w:pPr>
        <w:pStyle w:val="Boxtext"/>
      </w:pPr>
      <w:r w:rsidRPr="00764CA4">
        <w:t xml:space="preserve">2019, Education at a Glance, Education Finance Indicators, OECD, </w:t>
      </w:r>
      <w:hyperlink r:id="rId36" w:history="1">
        <w:r w:rsidRPr="00764CA4">
          <w:rPr>
            <w:rStyle w:val="LinkChar"/>
          </w:rPr>
          <w:t>https://www.oecd-ilibrary.org/education/data/education-at-a-glance/educational-finance-datasets_c4e1b551-en</w:t>
        </w:r>
      </w:hyperlink>
      <w:r w:rsidRPr="00764CA4">
        <w:t xml:space="preserve"> </w:t>
      </w:r>
    </w:p>
    <w:p w14:paraId="61C163E7" w14:textId="47607580" w:rsidR="00764CA4" w:rsidRPr="00764CA4" w:rsidRDefault="00764CA4" w:rsidP="00764CA4">
      <w:pPr>
        <w:pStyle w:val="BodyText"/>
        <w:widowControl/>
        <w:rPr>
          <w:rStyle w:val="LinkChar"/>
        </w:rPr>
      </w:pPr>
      <w:r w:rsidRPr="00764CA4">
        <w:t xml:space="preserve">UNESCO 2016, Global Education Monitoring Report 2016: Education for people and planet: Creating sustainable futures for all, UNESCO, </w:t>
      </w:r>
      <w:hyperlink r:id="rId37" w:history="1">
        <w:r w:rsidRPr="00764CA4">
          <w:rPr>
            <w:rStyle w:val="LinkChar"/>
          </w:rPr>
          <w:t>http://unesdoc.unesco.org/images/0024/002457/245752e.pdf</w:t>
        </w:r>
      </w:hyperlink>
    </w:p>
    <w:p w14:paraId="53227A98" w14:textId="77777777" w:rsidR="00764CA4" w:rsidRPr="00764CA4" w:rsidRDefault="00764CA4" w:rsidP="00764CA4">
      <w:pPr>
        <w:pStyle w:val="Boxtext"/>
        <w:rPr>
          <w:sz w:val="24"/>
          <w:szCs w:val="24"/>
        </w:rPr>
      </w:pPr>
      <w:r w:rsidRPr="00764CA4">
        <w:rPr>
          <w:sz w:val="24"/>
          <w:szCs w:val="24"/>
        </w:rPr>
        <w:t xml:space="preserve">2017, Global Education Monitoring Report 2017/18: Accountability in education, meeting our commitments, UNESCO, </w:t>
      </w:r>
      <w:hyperlink r:id="rId38" w:history="1">
        <w:r w:rsidRPr="00764CA4">
          <w:rPr>
            <w:rStyle w:val="LinkChar"/>
          </w:rPr>
          <w:t>http://unesdoc.unesco.org/images/0025/002593/259338e.pdf</w:t>
        </w:r>
      </w:hyperlink>
    </w:p>
    <w:p w14:paraId="6CC605B6" w14:textId="77777777" w:rsidR="00764CA4" w:rsidRPr="00764CA4" w:rsidRDefault="00764CA4" w:rsidP="00764CA4">
      <w:pPr>
        <w:pStyle w:val="Boxtext"/>
        <w:rPr>
          <w:rStyle w:val="LinkChar"/>
        </w:rPr>
      </w:pPr>
      <w:r w:rsidRPr="00764CA4">
        <w:rPr>
          <w:sz w:val="24"/>
          <w:szCs w:val="24"/>
        </w:rPr>
        <w:t xml:space="preserve">2019, Global Education Monitoring Report, UNESCO, </w:t>
      </w:r>
      <w:hyperlink r:id="rId39" w:history="1">
        <w:r w:rsidRPr="00764CA4">
          <w:rPr>
            <w:rStyle w:val="LinkChar"/>
          </w:rPr>
          <w:t>https://en.unesco.org/gem-report/</w:t>
        </w:r>
      </w:hyperlink>
    </w:p>
    <w:p w14:paraId="6B147F44" w14:textId="191F7473" w:rsidR="009752F2" w:rsidRPr="00764CA4" w:rsidRDefault="009752F2" w:rsidP="008E5557">
      <w:pPr>
        <w:pStyle w:val="BodyText"/>
        <w:widowControl/>
      </w:pPr>
      <w:r w:rsidRPr="00764CA4">
        <w:t xml:space="preserve">UNESCO Institute for Statistics 2016, Education 2030: Incheon Declaration and Framework for Action for the implementation of Sustainable Development Goal 4, </w:t>
      </w:r>
      <w:hyperlink r:id="rId40" w:history="1">
        <w:r w:rsidRPr="00764CA4">
          <w:rPr>
            <w:rStyle w:val="LinkChar"/>
          </w:rPr>
          <w:t>http://uis.unesco.org/sites/default/files/documents/education-2030-incheon-framework-for-action-implementation-of-sdg4-2016-en_2.pdf</w:t>
        </w:r>
      </w:hyperlink>
    </w:p>
    <w:p w14:paraId="4C9AC67E" w14:textId="19B4CD99" w:rsidR="009752F2" w:rsidRPr="00764CA4" w:rsidRDefault="009752F2" w:rsidP="0031342C">
      <w:pPr>
        <w:pStyle w:val="Boxtext"/>
      </w:pPr>
      <w:r w:rsidRPr="00764CA4">
        <w:rPr>
          <w:sz w:val="24"/>
          <w:szCs w:val="24"/>
        </w:rPr>
        <w:t xml:space="preserve">2019, Education Finance, UIS, </w:t>
      </w:r>
      <w:hyperlink r:id="rId41" w:history="1">
        <w:r w:rsidRPr="00764CA4">
          <w:rPr>
            <w:rStyle w:val="LinkChar"/>
          </w:rPr>
          <w:t>http://uis.unesco.org/en/topic/education-finance</w:t>
        </w:r>
      </w:hyperlink>
      <w:r w:rsidRPr="00764CA4">
        <w:rPr>
          <w:sz w:val="24"/>
          <w:szCs w:val="24"/>
        </w:rPr>
        <w:t xml:space="preserve"> </w:t>
      </w:r>
    </w:p>
    <w:p w14:paraId="051F940E" w14:textId="77777777" w:rsidR="005E7A2A" w:rsidRPr="00764CA4" w:rsidRDefault="005E7A2A" w:rsidP="0031342C">
      <w:pPr>
        <w:widowControl w:val="0"/>
        <w:autoSpaceDE w:val="0"/>
        <w:autoSpaceDN w:val="0"/>
        <w:adjustRightInd w:val="0"/>
        <w:spacing w:before="120" w:after="120"/>
        <w:rPr>
          <w:rFonts w:eastAsia="Calibri" w:cs="Arial"/>
          <w:sz w:val="24"/>
          <w:szCs w:val="24"/>
        </w:rPr>
      </w:pPr>
      <w:r w:rsidRPr="00764CA4">
        <w:rPr>
          <w:rFonts w:eastAsia="Calibri" w:cs="Arial"/>
          <w:sz w:val="24"/>
          <w:szCs w:val="24"/>
        </w:rPr>
        <w:t>World Bank n.d., Countries and economies, Worl</w:t>
      </w:r>
      <w:r w:rsidR="008B7C51" w:rsidRPr="00764CA4">
        <w:rPr>
          <w:rFonts w:eastAsia="Calibri" w:cs="Arial"/>
          <w:sz w:val="24"/>
          <w:szCs w:val="24"/>
        </w:rPr>
        <w:t>d Bank</w:t>
      </w:r>
      <w:r w:rsidRPr="00764CA4">
        <w:rPr>
          <w:rFonts w:eastAsia="Calibri" w:cs="Arial"/>
          <w:sz w:val="24"/>
          <w:szCs w:val="24"/>
        </w:rPr>
        <w:t xml:space="preserve">, </w:t>
      </w:r>
      <w:hyperlink r:id="rId42" w:history="1">
        <w:r w:rsidRPr="00764CA4">
          <w:rPr>
            <w:rStyle w:val="LinkChar"/>
          </w:rPr>
          <w:t>https://data.worldbank.org/country</w:t>
        </w:r>
      </w:hyperlink>
    </w:p>
    <w:p w14:paraId="277F8AB8" w14:textId="77777777" w:rsidR="00EA0D43" w:rsidRDefault="005E7A2A" w:rsidP="0031342C">
      <w:pPr>
        <w:widowControl w:val="0"/>
        <w:autoSpaceDE w:val="0"/>
        <w:autoSpaceDN w:val="0"/>
        <w:adjustRightInd w:val="0"/>
        <w:spacing w:before="120" w:after="120"/>
        <w:ind w:left="360"/>
        <w:rPr>
          <w:rStyle w:val="LinkChar"/>
        </w:rPr>
      </w:pPr>
      <w:r w:rsidRPr="00764CA4">
        <w:rPr>
          <w:rFonts w:eastAsia="Calibri" w:cs="Arial"/>
          <w:sz w:val="24"/>
          <w:szCs w:val="24"/>
        </w:rPr>
        <w:t>2012, SABER-School finance: What matters most in school finance, Worl</w:t>
      </w:r>
      <w:r w:rsidR="008B7C51" w:rsidRPr="00764CA4">
        <w:rPr>
          <w:rFonts w:eastAsia="Calibri" w:cs="Arial"/>
          <w:sz w:val="24"/>
          <w:szCs w:val="24"/>
        </w:rPr>
        <w:t>d Bank</w:t>
      </w:r>
      <w:r w:rsidRPr="00764CA4">
        <w:rPr>
          <w:rFonts w:eastAsia="Calibri" w:cs="Arial"/>
          <w:sz w:val="24"/>
          <w:szCs w:val="24"/>
        </w:rPr>
        <w:t xml:space="preserve">, </w:t>
      </w:r>
      <w:hyperlink r:id="rId43" w:history="1">
        <w:r w:rsidRPr="00764CA4">
          <w:rPr>
            <w:rStyle w:val="LinkChar"/>
          </w:rPr>
          <w:t>http://siteresources.worldbank.org/EDUCATION/Resources/278200-1290520949227/7575842-1299533754312/SABER-School_Finance_Framework_July10.2012.pdf</w:t>
        </w:r>
      </w:hyperlink>
    </w:p>
    <w:p w14:paraId="62F98012" w14:textId="77777777" w:rsidR="005007EE" w:rsidRPr="00764CA4" w:rsidRDefault="005007EE" w:rsidP="0031342C">
      <w:pPr>
        <w:widowControl w:val="0"/>
        <w:autoSpaceDE w:val="0"/>
        <w:autoSpaceDN w:val="0"/>
        <w:adjustRightInd w:val="0"/>
        <w:spacing w:before="120" w:after="120"/>
        <w:ind w:left="360"/>
        <w:rPr>
          <w:rStyle w:val="LinkChar"/>
        </w:rPr>
      </w:pPr>
      <w:r>
        <w:rPr>
          <w:rFonts w:eastAsia="Calibri" w:cs="Arial"/>
          <w:sz w:val="24"/>
          <w:szCs w:val="24"/>
        </w:rPr>
        <w:t>2019</w:t>
      </w:r>
      <w:r w:rsidRPr="0031342C">
        <w:rPr>
          <w:rFonts w:eastAsia="Calibri" w:cs="Arial"/>
          <w:sz w:val="24"/>
          <w:szCs w:val="24"/>
        </w:rPr>
        <w:t xml:space="preserve">, </w:t>
      </w:r>
      <w:r>
        <w:rPr>
          <w:rFonts w:eastAsia="Calibri" w:cs="Arial"/>
          <w:sz w:val="24"/>
          <w:szCs w:val="24"/>
        </w:rPr>
        <w:t>Public Expenditure Review</w:t>
      </w:r>
      <w:r w:rsidRPr="0031342C">
        <w:rPr>
          <w:rFonts w:eastAsia="Calibri" w:cs="Arial"/>
          <w:sz w:val="24"/>
          <w:szCs w:val="24"/>
        </w:rPr>
        <w:t xml:space="preserve">, World Bank, </w:t>
      </w:r>
      <w:hyperlink r:id="rId44" w:history="1">
        <w:r w:rsidRPr="00764CA4">
          <w:rPr>
            <w:rStyle w:val="LinkChar"/>
          </w:rPr>
          <w:t>https://openknowledge.worldbank.org/handle/10986/2109</w:t>
        </w:r>
      </w:hyperlink>
    </w:p>
    <w:p w14:paraId="18B31A78" w14:textId="77777777" w:rsidR="005007EE" w:rsidRDefault="005007EE" w:rsidP="008E5557">
      <w:pPr>
        <w:pStyle w:val="Boldgreenheading"/>
        <w:widowControl/>
        <w:rPr>
          <w:rStyle w:val="Hyperlink"/>
          <w:color w:val="007C89"/>
          <w:u w:val="none"/>
        </w:rPr>
      </w:pPr>
    </w:p>
    <w:p w14:paraId="5CA670DC" w14:textId="77777777" w:rsidR="00764CA4" w:rsidRDefault="00764CA4">
      <w:pPr>
        <w:rPr>
          <w:rStyle w:val="Hyperlink"/>
          <w:rFonts w:ascii="Calibri" w:eastAsia="Calibri" w:hAnsi="Calibri" w:cs="Calibri"/>
          <w:b/>
          <w:noProof/>
          <w:color w:val="007C89"/>
          <w:sz w:val="24"/>
          <w:szCs w:val="24"/>
          <w:u w:val="none"/>
          <w:lang w:val="en-US"/>
        </w:rPr>
      </w:pPr>
      <w:r>
        <w:rPr>
          <w:rStyle w:val="Hyperlink"/>
          <w:color w:val="007C89"/>
          <w:u w:val="none"/>
        </w:rPr>
        <w:br w:type="page"/>
      </w:r>
    </w:p>
    <w:p w14:paraId="2A0B1E99" w14:textId="339B01F2" w:rsidR="00EA0D43" w:rsidRPr="00184B67" w:rsidRDefault="00EA0D43" w:rsidP="008E5557">
      <w:pPr>
        <w:pStyle w:val="Boldgreenheading"/>
        <w:widowControl/>
        <w:rPr>
          <w:rStyle w:val="Hyperlink"/>
          <w:b w:val="0"/>
          <w:color w:val="007C89"/>
          <w:u w:val="none"/>
        </w:rPr>
      </w:pPr>
      <w:r w:rsidRPr="00184B67">
        <w:rPr>
          <w:rStyle w:val="Hyperlink"/>
          <w:color w:val="007C89"/>
          <w:u w:val="none"/>
        </w:rPr>
        <w:t>Learn more about…</w:t>
      </w:r>
    </w:p>
    <w:p w14:paraId="07A1A57B" w14:textId="77777777" w:rsidR="00E94C06" w:rsidRPr="0031342C" w:rsidRDefault="00E94C06" w:rsidP="008E5557">
      <w:pPr>
        <w:pStyle w:val="ListLinks"/>
        <w:rPr>
          <w:rStyle w:val="LinkChar"/>
          <w:color w:val="auto"/>
          <w:szCs w:val="24"/>
        </w:rPr>
      </w:pPr>
      <w:r w:rsidRPr="0031342C">
        <w:rPr>
          <w:i/>
          <w:szCs w:val="24"/>
        </w:rPr>
        <w:t>The education syst</w:t>
      </w:r>
      <w:r w:rsidR="00AB5A8A" w:rsidRPr="00B1533B">
        <w:rPr>
          <w:i/>
          <w:szCs w:val="24"/>
        </w:rPr>
        <w:t>em in Indonesia at this website:</w:t>
      </w:r>
      <w:r w:rsidR="00AB5A8A" w:rsidRPr="00B1533B">
        <w:rPr>
          <w:szCs w:val="24"/>
        </w:rPr>
        <w:t xml:space="preserve"> </w:t>
      </w:r>
      <w:r w:rsidRPr="00B1533B">
        <w:rPr>
          <w:i/>
          <w:szCs w:val="24"/>
        </w:rPr>
        <w:t xml:space="preserve">Jalal N &amp; Sardjunani N 2006, Figure 13: School system in Indonesia, </w:t>
      </w:r>
      <w:r w:rsidRPr="00A02FCF">
        <w:rPr>
          <w:i/>
          <w:szCs w:val="24"/>
        </w:rPr>
        <w:t>image, Journal Adult Education and Development, edition 67/2006</w:t>
      </w:r>
      <w:r w:rsidR="00AB5A8A" w:rsidRPr="00AC33BF">
        <w:rPr>
          <w:i/>
          <w:szCs w:val="24"/>
        </w:rPr>
        <w:t>,</w:t>
      </w:r>
      <w:r w:rsidR="001A789A" w:rsidRPr="00AC33BF">
        <w:rPr>
          <w:i/>
          <w:szCs w:val="24"/>
        </w:rPr>
        <w:t xml:space="preserve"> found at</w:t>
      </w:r>
      <w:r w:rsidR="001A789A" w:rsidRPr="00AC33BF">
        <w:rPr>
          <w:szCs w:val="24"/>
        </w:rPr>
        <w:t xml:space="preserve">: </w:t>
      </w:r>
      <w:hyperlink r:id="rId45" w:history="1">
        <w:r w:rsidRPr="0031342C">
          <w:rPr>
            <w:rStyle w:val="LinkChar"/>
            <w:szCs w:val="24"/>
          </w:rPr>
          <w:t>http://www.dvv-international.de/adult-education-and-development/editions/aed-672006/literacy-for-life/increasing-literacy-in-indonesia/</w:t>
        </w:r>
      </w:hyperlink>
    </w:p>
    <w:p w14:paraId="073A9A44" w14:textId="77777777" w:rsidR="006A5526" w:rsidRPr="0031342C" w:rsidRDefault="007D7621" w:rsidP="0031342C">
      <w:pPr>
        <w:pStyle w:val="ListLinks"/>
        <w:rPr>
          <w:rStyle w:val="Hyperlink"/>
          <w:rFonts w:eastAsia="Calibri"/>
          <w:i/>
          <w:color w:val="auto"/>
          <w:szCs w:val="24"/>
          <w:u w:val="none"/>
        </w:rPr>
      </w:pPr>
      <w:hyperlink r:id="rId46" w:history="1">
        <w:r w:rsidR="006A5526" w:rsidRPr="0031342C">
          <w:rPr>
            <w:rFonts w:eastAsia="Calibri"/>
            <w:i/>
            <w:szCs w:val="24"/>
          </w:rPr>
          <w:t>Saber Systems Approach for Better Education Result</w:t>
        </w:r>
      </w:hyperlink>
      <w:r w:rsidR="00DB521D">
        <w:rPr>
          <w:rFonts w:eastAsia="Calibri"/>
          <w:i/>
          <w:szCs w:val="24"/>
        </w:rPr>
        <w:t xml:space="preserve"> found at</w:t>
      </w:r>
      <w:r w:rsidR="006A5526" w:rsidRPr="0031342C">
        <w:rPr>
          <w:rFonts w:eastAsia="Calibri"/>
          <w:i/>
          <w:szCs w:val="24"/>
        </w:rPr>
        <w:t>:</w:t>
      </w:r>
      <w:r w:rsidR="00CF3921">
        <w:rPr>
          <w:rFonts w:eastAsia="Calibri"/>
          <w:i/>
          <w:szCs w:val="24"/>
        </w:rPr>
        <w:t xml:space="preserve"> </w:t>
      </w:r>
      <w:hyperlink r:id="rId47" w:history="1">
        <w:r w:rsidR="006A5526" w:rsidRPr="00764CA4">
          <w:rPr>
            <w:rStyle w:val="LinkChar"/>
          </w:rPr>
          <w:t>http://saber.worldbank.org/index.cfm?indx=8&amp;pd=3</w:t>
        </w:r>
      </w:hyperlink>
    </w:p>
    <w:p w14:paraId="6E3CC937" w14:textId="77777777" w:rsidR="006A5526" w:rsidRPr="00764CA4" w:rsidRDefault="007D7621">
      <w:pPr>
        <w:pStyle w:val="ListLinks"/>
        <w:rPr>
          <w:rStyle w:val="LinkChar"/>
        </w:rPr>
      </w:pPr>
      <w:hyperlink r:id="rId48" w:history="1">
        <w:r w:rsidR="006A5526" w:rsidRPr="0031342C">
          <w:rPr>
            <w:rFonts w:eastAsia="Calibri"/>
            <w:i/>
            <w:szCs w:val="24"/>
          </w:rPr>
          <w:t>Saber School Finance</w:t>
        </w:r>
      </w:hyperlink>
      <w:r w:rsidR="006A5526" w:rsidRPr="0031342C">
        <w:rPr>
          <w:rFonts w:eastAsia="Calibri"/>
          <w:i/>
          <w:szCs w:val="24"/>
        </w:rPr>
        <w:t xml:space="preserve"> - Res</w:t>
      </w:r>
      <w:r w:rsidR="00DB521D">
        <w:rPr>
          <w:rFonts w:eastAsia="Calibri"/>
          <w:i/>
          <w:szCs w:val="24"/>
        </w:rPr>
        <w:t>ources and Tools found at</w:t>
      </w:r>
      <w:r w:rsidR="006A5526" w:rsidRPr="0031342C">
        <w:rPr>
          <w:rFonts w:eastAsia="Calibri"/>
          <w:i/>
          <w:szCs w:val="24"/>
        </w:rPr>
        <w:t>:</w:t>
      </w:r>
      <w:r w:rsidR="00CF3921">
        <w:rPr>
          <w:rFonts w:eastAsia="Calibri"/>
          <w:i/>
          <w:szCs w:val="24"/>
        </w:rPr>
        <w:t xml:space="preserve"> </w:t>
      </w:r>
      <w:hyperlink r:id="rId49" w:history="1">
        <w:r w:rsidR="006A5526" w:rsidRPr="00764CA4">
          <w:rPr>
            <w:rStyle w:val="LinkChar"/>
          </w:rPr>
          <w:t>http://saber.worldbank.org/index.cfm?indx=8&amp;pd=3&amp;sub=4</w:t>
        </w:r>
      </w:hyperlink>
      <w:r w:rsidR="006A5526" w:rsidRPr="00764CA4">
        <w:rPr>
          <w:rStyle w:val="LinkChar"/>
        </w:rPr>
        <w:t xml:space="preserve"> </w:t>
      </w:r>
    </w:p>
    <w:p w14:paraId="2D002AC2" w14:textId="77777777" w:rsidR="006A5526" w:rsidRPr="0031342C" w:rsidRDefault="007D7621" w:rsidP="0031342C">
      <w:pPr>
        <w:pStyle w:val="ListLinks"/>
        <w:rPr>
          <w:rStyle w:val="Hyperlink"/>
          <w:rFonts w:eastAsia="Calibri"/>
          <w:i/>
          <w:color w:val="auto"/>
          <w:szCs w:val="24"/>
          <w:u w:val="none"/>
        </w:rPr>
      </w:pPr>
      <w:hyperlink r:id="rId50" w:history="1">
        <w:r w:rsidR="00956848" w:rsidRPr="0031342C">
          <w:rPr>
            <w:rFonts w:eastAsia="Calibri"/>
            <w:i/>
            <w:szCs w:val="24"/>
          </w:rPr>
          <w:t>Saber School Finance</w:t>
        </w:r>
      </w:hyperlink>
      <w:r w:rsidR="00956848" w:rsidRPr="0031342C">
        <w:rPr>
          <w:rFonts w:eastAsia="Calibri"/>
          <w:i/>
          <w:szCs w:val="24"/>
        </w:rPr>
        <w:t xml:space="preserve"> </w:t>
      </w:r>
      <w:r w:rsidR="00DB521D">
        <w:rPr>
          <w:rFonts w:eastAsia="Calibri"/>
          <w:i/>
          <w:szCs w:val="24"/>
        </w:rPr>
        <w:t>Ratings and Data found at</w:t>
      </w:r>
      <w:r w:rsidR="00956848" w:rsidRPr="0031342C">
        <w:rPr>
          <w:rFonts w:eastAsia="Calibri"/>
          <w:i/>
          <w:szCs w:val="24"/>
        </w:rPr>
        <w:t>:</w:t>
      </w:r>
      <w:r w:rsidR="00CF3921">
        <w:rPr>
          <w:rFonts w:eastAsia="Calibri"/>
          <w:i/>
          <w:szCs w:val="24"/>
        </w:rPr>
        <w:t xml:space="preserve"> </w:t>
      </w:r>
      <w:hyperlink w:history="1"/>
      <w:hyperlink r:id="rId51" w:history="1">
        <w:r w:rsidR="00956848" w:rsidRPr="00764CA4">
          <w:rPr>
            <w:rStyle w:val="LinkChar"/>
          </w:rPr>
          <w:t>http://saber.worldbank.org/index.cfm?indx=8&amp;pd=3&amp;sub=1</w:t>
        </w:r>
      </w:hyperlink>
    </w:p>
    <w:p w14:paraId="29995A49" w14:textId="77777777" w:rsidR="00764CA4" w:rsidRPr="0031342C" w:rsidRDefault="00764CA4" w:rsidP="00764CA4">
      <w:pPr>
        <w:pStyle w:val="ListLinks"/>
        <w:rPr>
          <w:rStyle w:val="Hyperlink"/>
          <w:i/>
          <w:color w:val="auto"/>
          <w:szCs w:val="24"/>
          <w:u w:val="none"/>
        </w:rPr>
      </w:pPr>
      <w:r>
        <w:rPr>
          <w:i/>
          <w:szCs w:val="24"/>
        </w:rPr>
        <w:t>Brookings Institution’s What Works in Girls’ Education</w:t>
      </w:r>
      <w:r w:rsidRPr="00B1533B">
        <w:rPr>
          <w:i/>
          <w:szCs w:val="24"/>
        </w:rPr>
        <w:t xml:space="preserve"> found at</w:t>
      </w:r>
      <w:r w:rsidRPr="0031342C">
        <w:rPr>
          <w:i/>
          <w:szCs w:val="24"/>
        </w:rPr>
        <w:t xml:space="preserve">: </w:t>
      </w:r>
      <w:r w:rsidRPr="00764CA4">
        <w:rPr>
          <w:rStyle w:val="Hyperlink"/>
          <w:color w:val="007C89"/>
          <w:u w:val="none"/>
        </w:rPr>
        <w:t>https://www.brookings.edu/wp-content/uploads/2016/07/What-Works-in-Girls-Educationlowres.pdf</w:t>
      </w:r>
    </w:p>
    <w:p w14:paraId="7A0C074A" w14:textId="77777777" w:rsidR="00956848" w:rsidRPr="00B1533B" w:rsidRDefault="00956848" w:rsidP="00956848">
      <w:pPr>
        <w:pStyle w:val="ListLinks"/>
        <w:rPr>
          <w:color w:val="466F6D"/>
          <w:szCs w:val="24"/>
        </w:rPr>
      </w:pPr>
      <w:r w:rsidRPr="0031342C">
        <w:rPr>
          <w:i/>
          <w:szCs w:val="24"/>
        </w:rPr>
        <w:t>UNESCO’s A Winnin</w:t>
      </w:r>
      <w:r w:rsidR="00DB521D">
        <w:rPr>
          <w:i/>
          <w:szCs w:val="24"/>
        </w:rPr>
        <w:t>g Equation found at</w:t>
      </w:r>
      <w:r w:rsidRPr="0031342C">
        <w:rPr>
          <w:i/>
          <w:szCs w:val="24"/>
        </w:rPr>
        <w:t xml:space="preserve">: </w:t>
      </w:r>
      <w:hyperlink r:id="rId52" w:history="1">
        <w:r w:rsidRPr="0031342C">
          <w:rPr>
            <w:rStyle w:val="LinkChar"/>
          </w:rPr>
          <w:t>http://www.unesco.org/archives/multimedia/?pg=33&amp;s=films_details&amp;id=2261</w:t>
        </w:r>
      </w:hyperlink>
    </w:p>
    <w:p w14:paraId="706D1F0D" w14:textId="77777777" w:rsidR="00956848" w:rsidRPr="0031342C" w:rsidRDefault="00956848">
      <w:pPr>
        <w:pStyle w:val="ListLinks"/>
        <w:rPr>
          <w:rStyle w:val="ListHyperlinks"/>
          <w:rFonts w:asciiTheme="minorHAnsi" w:hAnsiTheme="minorHAnsi"/>
          <w:i/>
          <w:sz w:val="24"/>
          <w:szCs w:val="24"/>
        </w:rPr>
      </w:pPr>
      <w:r w:rsidRPr="0031342C">
        <w:rPr>
          <w:i/>
          <w:szCs w:val="24"/>
        </w:rPr>
        <w:t>UNESCO – Invest in Girls</w:t>
      </w:r>
      <w:r w:rsidR="00DB521D">
        <w:rPr>
          <w:i/>
          <w:szCs w:val="24"/>
        </w:rPr>
        <w:t xml:space="preserve"> Education video found at</w:t>
      </w:r>
      <w:r w:rsidRPr="0031342C">
        <w:rPr>
          <w:i/>
          <w:szCs w:val="24"/>
        </w:rPr>
        <w:t>:</w:t>
      </w:r>
      <w:r w:rsidR="00CF3921">
        <w:rPr>
          <w:i/>
          <w:szCs w:val="24"/>
        </w:rPr>
        <w:t xml:space="preserve"> </w:t>
      </w:r>
      <w:hyperlink r:id="rId53" w:history="1">
        <w:r w:rsidRPr="00764CA4">
          <w:rPr>
            <w:rStyle w:val="LinkChar"/>
          </w:rPr>
          <w:t>http://www.youtube.com/watch?v=c_te9wClv3M</w:t>
        </w:r>
      </w:hyperlink>
      <w:r w:rsidRPr="0031342C">
        <w:rPr>
          <w:rStyle w:val="ListHyperlinks"/>
          <w:rFonts w:asciiTheme="minorHAnsi" w:hAnsiTheme="minorHAnsi"/>
          <w:color w:val="007C89"/>
          <w:sz w:val="24"/>
        </w:rPr>
        <w:t xml:space="preserve"> </w:t>
      </w:r>
    </w:p>
    <w:p w14:paraId="254D2F42" w14:textId="77777777" w:rsidR="00956848" w:rsidRPr="0031342C" w:rsidRDefault="00956848">
      <w:pPr>
        <w:pStyle w:val="ListLinks"/>
        <w:rPr>
          <w:i/>
          <w:szCs w:val="24"/>
        </w:rPr>
      </w:pPr>
      <w:r w:rsidRPr="0031342C">
        <w:rPr>
          <w:i/>
          <w:szCs w:val="24"/>
        </w:rPr>
        <w:t>World Inequality Datab</w:t>
      </w:r>
      <w:r w:rsidR="00DB521D">
        <w:rPr>
          <w:i/>
          <w:szCs w:val="24"/>
        </w:rPr>
        <w:t>ase on Education found at</w:t>
      </w:r>
      <w:r w:rsidRPr="0031342C">
        <w:rPr>
          <w:i/>
          <w:szCs w:val="24"/>
        </w:rPr>
        <w:t>:</w:t>
      </w:r>
      <w:r w:rsidR="00CF3921">
        <w:rPr>
          <w:i/>
          <w:szCs w:val="24"/>
        </w:rPr>
        <w:t xml:space="preserve"> </w:t>
      </w:r>
      <w:hyperlink r:id="rId54" w:history="1">
        <w:r w:rsidRPr="00764CA4">
          <w:rPr>
            <w:rStyle w:val="LinkChar"/>
          </w:rPr>
          <w:t>http://www.education-inequalities.org/</w:t>
        </w:r>
      </w:hyperlink>
      <w:r w:rsidRPr="00764CA4">
        <w:rPr>
          <w:rStyle w:val="LinkChar"/>
        </w:rPr>
        <w:t xml:space="preserve"> </w:t>
      </w:r>
    </w:p>
    <w:p w14:paraId="26A1CC6E" w14:textId="63BF170F" w:rsidR="00956848" w:rsidRPr="0031342C" w:rsidRDefault="00956848" w:rsidP="0031342C">
      <w:pPr>
        <w:spacing w:after="120"/>
        <w:ind w:left="567" w:hanging="283"/>
        <w:rPr>
          <w:sz w:val="20"/>
          <w:szCs w:val="20"/>
        </w:rPr>
      </w:pPr>
    </w:p>
    <w:sectPr w:rsidR="00956848" w:rsidRPr="0031342C" w:rsidSect="00DE56E5">
      <w:headerReference w:type="default" r:id="rId55"/>
      <w:footerReference w:type="default" r:id="rId56"/>
      <w:pgSz w:w="11906" w:h="16838" w:code="9"/>
      <w:pgMar w:top="1440" w:right="1418" w:bottom="1440"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34480" w14:textId="77777777" w:rsidR="000B41AE" w:rsidRDefault="000B41AE" w:rsidP="00737935">
      <w:pPr>
        <w:spacing w:after="0" w:line="240" w:lineRule="auto"/>
      </w:pPr>
      <w:r>
        <w:separator/>
      </w:r>
    </w:p>
  </w:endnote>
  <w:endnote w:type="continuationSeparator" w:id="0">
    <w:p w14:paraId="3A4B3E39" w14:textId="77777777" w:rsidR="000B41AE" w:rsidRDefault="000B41AE"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4E36D" w14:textId="77777777" w:rsidR="007D7621" w:rsidRDefault="007D76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47C97" w14:textId="77777777" w:rsidR="007D7621" w:rsidRDefault="007D76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22"/>
    </w:tblGrid>
    <w:tr w:rsidR="000B41AE" w14:paraId="0F6074D6" w14:textId="77777777" w:rsidTr="00AE5826">
      <w:tc>
        <w:tcPr>
          <w:tcW w:w="11022" w:type="dxa"/>
        </w:tcPr>
        <w:p w14:paraId="343C7BA7" w14:textId="77777777" w:rsidR="000B41AE" w:rsidRDefault="000B41AE" w:rsidP="00AE5826">
          <w:pPr>
            <w:pStyle w:val="Footer"/>
            <w:rPr>
              <w:lang w:val="en-GB"/>
            </w:rPr>
          </w:pPr>
          <w:r>
            <w:rPr>
              <w:lang w:val="en-GB"/>
            </w:rPr>
            <w:t>Print Version</w:t>
          </w:r>
        </w:p>
      </w:tc>
    </w:tr>
  </w:tbl>
  <w:p w14:paraId="026EEDF1" w14:textId="77777777" w:rsidR="000B41AE" w:rsidRDefault="000B41AE"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4B40DB47" w14:textId="5FF1A32B" w:rsidR="000B41AE" w:rsidRPr="00907A6E" w:rsidRDefault="000B41AE"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7D7621">
          <w:rPr>
            <w:b/>
            <w:noProof/>
            <w:color w:val="FFFFFF" w:themeColor="background1"/>
          </w:rPr>
          <w:t>4</w:t>
        </w:r>
        <w:r w:rsidRPr="00907A6E">
          <w:rPr>
            <w:b/>
            <w:noProof/>
            <w:color w:val="FFFFFF" w:themeColor="background1"/>
          </w:rPr>
          <w:fldChar w:fldCharType="end"/>
        </w:r>
      </w:p>
    </w:sdtContent>
  </w:sdt>
  <w:p w14:paraId="122916E6" w14:textId="77777777" w:rsidR="000B41AE" w:rsidRPr="00907A6E" w:rsidRDefault="000B41AE"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EA8268" w14:textId="77777777" w:rsidR="000B41AE" w:rsidRDefault="000B41AE" w:rsidP="00737935">
      <w:pPr>
        <w:spacing w:after="0" w:line="240" w:lineRule="auto"/>
      </w:pPr>
      <w:r>
        <w:separator/>
      </w:r>
    </w:p>
  </w:footnote>
  <w:footnote w:type="continuationSeparator" w:id="0">
    <w:p w14:paraId="34357422" w14:textId="77777777" w:rsidR="000B41AE" w:rsidRDefault="000B41AE"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51B5E" w14:textId="77777777" w:rsidR="007D7621" w:rsidRDefault="007D76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ED442" w14:textId="77777777" w:rsidR="007D7621" w:rsidRDefault="007D76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17E3E" w14:textId="77777777" w:rsidR="007D7621" w:rsidRDefault="007D76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410F5" w14:textId="77777777" w:rsidR="000B41AE" w:rsidRPr="00737935" w:rsidRDefault="000B41AE"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4C0B29">
      <w:rPr>
        <w:noProof/>
        <w:lang w:eastAsia="en-AU"/>
      </w:rPr>
      <mc:AlternateContent>
        <mc:Choice Requires="wpg">
          <w:drawing>
            <wp:anchor distT="0" distB="0" distL="114300" distR="114300" simplePos="0" relativeHeight="251655680" behindDoc="1" locked="0" layoutInCell="1" allowOverlap="1" wp14:anchorId="0835F68C" wp14:editId="19400E83">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05CB12"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EDUCATION FINANCING</w:t>
    </w:r>
    <w:r w:rsidRPr="004C0B29">
      <w:rPr>
        <w:b/>
        <w:color w:val="FFFFFF" w:themeColor="background1"/>
      </w:rPr>
      <w:t xml:space="preserve"> – </w:t>
    </w:r>
    <w:r>
      <w:rPr>
        <w:b/>
        <w:color w:val="FFFFFF" w:themeColor="background1"/>
      </w:rPr>
      <w:t>FOUNDATION</w:t>
    </w:r>
    <w:r w:rsidRPr="004C0B29">
      <w:rPr>
        <w:b/>
        <w:color w:val="FFFFFF" w:themeColor="background1"/>
      </w:rPr>
      <w:t xml:space="preserve"> LEVEL</w:t>
    </w:r>
  </w:p>
  <w:p w14:paraId="317B5D8C" w14:textId="77777777" w:rsidR="000B41AE" w:rsidRPr="00737935" w:rsidRDefault="000B41AE"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B1DEB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 o:bullet="t">
        <v:imagedata r:id="rId1" o:title="list-link"/>
      </v:shape>
    </w:pict>
  </w:numPicBullet>
  <w:numPicBullet w:numPicBulletId="1">
    <w:pict>
      <v:shape id="_x0000_i1027" type="#_x0000_t75" style="width:21.75pt;height:21.75pt" o:bullet="t">
        <v:imagedata r:id="rId2"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2"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3"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B386B6B"/>
    <w:multiLevelType w:val="hybridMultilevel"/>
    <w:tmpl w:val="55B20768"/>
    <w:lvl w:ilvl="0" w:tplc="6FC69F50">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7"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1544E1"/>
    <w:multiLevelType w:val="hybridMultilevel"/>
    <w:tmpl w:val="65ACE55A"/>
    <w:lvl w:ilvl="0" w:tplc="509AA792">
      <w:start w:val="1"/>
      <w:numFmt w:val="decimal"/>
      <w:pStyle w:val="Numberedlist"/>
      <w:lvlText w:val="%1."/>
      <w:lvlJc w:val="left"/>
      <w:pPr>
        <w:ind w:left="720" w:hanging="360"/>
      </w:pPr>
      <w:rPr>
        <w:b w:val="0"/>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
  </w:num>
  <w:num w:numId="3">
    <w:abstractNumId w:val="7"/>
  </w:num>
  <w:num w:numId="4">
    <w:abstractNumId w:val="0"/>
  </w:num>
  <w:num w:numId="5">
    <w:abstractNumId w:val="5"/>
  </w:num>
  <w:num w:numId="6">
    <w:abstractNumId w:val="1"/>
  </w:num>
  <w:num w:numId="7">
    <w:abstractNumId w:val="6"/>
  </w:num>
  <w:num w:numId="8">
    <w:abstractNumId w:val="4"/>
  </w:num>
  <w:num w:numId="9">
    <w:abstractNumId w:val="8"/>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07F0D"/>
    <w:rsid w:val="0001348E"/>
    <w:rsid w:val="000137F6"/>
    <w:rsid w:val="00015496"/>
    <w:rsid w:val="00027D27"/>
    <w:rsid w:val="00043CB0"/>
    <w:rsid w:val="00043E97"/>
    <w:rsid w:val="00043F8C"/>
    <w:rsid w:val="00064075"/>
    <w:rsid w:val="00076977"/>
    <w:rsid w:val="00076FF6"/>
    <w:rsid w:val="00082C23"/>
    <w:rsid w:val="00084310"/>
    <w:rsid w:val="00091F0E"/>
    <w:rsid w:val="000966AA"/>
    <w:rsid w:val="000A1904"/>
    <w:rsid w:val="000A3490"/>
    <w:rsid w:val="000B3EF1"/>
    <w:rsid w:val="000B41AE"/>
    <w:rsid w:val="000C5F65"/>
    <w:rsid w:val="000D0B3B"/>
    <w:rsid w:val="000E5A84"/>
    <w:rsid w:val="000F0260"/>
    <w:rsid w:val="000F263E"/>
    <w:rsid w:val="000F396C"/>
    <w:rsid w:val="000F55BC"/>
    <w:rsid w:val="0010220F"/>
    <w:rsid w:val="00103E07"/>
    <w:rsid w:val="001065F5"/>
    <w:rsid w:val="00106E2E"/>
    <w:rsid w:val="00110526"/>
    <w:rsid w:val="001156DB"/>
    <w:rsid w:val="00137AB3"/>
    <w:rsid w:val="00154089"/>
    <w:rsid w:val="001551A3"/>
    <w:rsid w:val="001555CD"/>
    <w:rsid w:val="00175568"/>
    <w:rsid w:val="00184B67"/>
    <w:rsid w:val="001A0B05"/>
    <w:rsid w:val="001A480E"/>
    <w:rsid w:val="001A490A"/>
    <w:rsid w:val="001A789A"/>
    <w:rsid w:val="001B25F0"/>
    <w:rsid w:val="001B58EE"/>
    <w:rsid w:val="001B7374"/>
    <w:rsid w:val="001C0C45"/>
    <w:rsid w:val="001C4D73"/>
    <w:rsid w:val="001C50DA"/>
    <w:rsid w:val="001E0364"/>
    <w:rsid w:val="001E52B1"/>
    <w:rsid w:val="002023E6"/>
    <w:rsid w:val="00203229"/>
    <w:rsid w:val="00203E73"/>
    <w:rsid w:val="00207F84"/>
    <w:rsid w:val="002102C3"/>
    <w:rsid w:val="00223999"/>
    <w:rsid w:val="0022716B"/>
    <w:rsid w:val="002274CF"/>
    <w:rsid w:val="00227882"/>
    <w:rsid w:val="00232B3E"/>
    <w:rsid w:val="00234173"/>
    <w:rsid w:val="00240F58"/>
    <w:rsid w:val="00244B63"/>
    <w:rsid w:val="00245BC9"/>
    <w:rsid w:val="00247B19"/>
    <w:rsid w:val="002505ED"/>
    <w:rsid w:val="002552F9"/>
    <w:rsid w:val="002575D2"/>
    <w:rsid w:val="00257AC3"/>
    <w:rsid w:val="00265D1D"/>
    <w:rsid w:val="002723FE"/>
    <w:rsid w:val="0027608B"/>
    <w:rsid w:val="0027745A"/>
    <w:rsid w:val="00286389"/>
    <w:rsid w:val="00290677"/>
    <w:rsid w:val="002A1273"/>
    <w:rsid w:val="002A2AE6"/>
    <w:rsid w:val="002C12B8"/>
    <w:rsid w:val="002C4412"/>
    <w:rsid w:val="002C4840"/>
    <w:rsid w:val="002C4A21"/>
    <w:rsid w:val="002D308B"/>
    <w:rsid w:val="002E27AA"/>
    <w:rsid w:val="002E34CE"/>
    <w:rsid w:val="002E7073"/>
    <w:rsid w:val="002F2A3E"/>
    <w:rsid w:val="002F5B16"/>
    <w:rsid w:val="002F62C4"/>
    <w:rsid w:val="00301CE4"/>
    <w:rsid w:val="00301F0B"/>
    <w:rsid w:val="003045FE"/>
    <w:rsid w:val="003124DE"/>
    <w:rsid w:val="0031342C"/>
    <w:rsid w:val="00316AC7"/>
    <w:rsid w:val="0032014F"/>
    <w:rsid w:val="00325F33"/>
    <w:rsid w:val="003314BA"/>
    <w:rsid w:val="0033265A"/>
    <w:rsid w:val="0034078D"/>
    <w:rsid w:val="00343172"/>
    <w:rsid w:val="00343712"/>
    <w:rsid w:val="00354067"/>
    <w:rsid w:val="00356226"/>
    <w:rsid w:val="00363ABA"/>
    <w:rsid w:val="003655E5"/>
    <w:rsid w:val="00376D2F"/>
    <w:rsid w:val="00383A83"/>
    <w:rsid w:val="00390818"/>
    <w:rsid w:val="00392C61"/>
    <w:rsid w:val="003A7698"/>
    <w:rsid w:val="003B6098"/>
    <w:rsid w:val="003C5831"/>
    <w:rsid w:val="003D4541"/>
    <w:rsid w:val="003D6C21"/>
    <w:rsid w:val="003E12C8"/>
    <w:rsid w:val="003E1414"/>
    <w:rsid w:val="003E3AC3"/>
    <w:rsid w:val="003E4056"/>
    <w:rsid w:val="003E46FF"/>
    <w:rsid w:val="003F4D67"/>
    <w:rsid w:val="00412C72"/>
    <w:rsid w:val="00417661"/>
    <w:rsid w:val="004220BF"/>
    <w:rsid w:val="0043166B"/>
    <w:rsid w:val="004461B0"/>
    <w:rsid w:val="00465B68"/>
    <w:rsid w:val="00466F65"/>
    <w:rsid w:val="00472681"/>
    <w:rsid w:val="00480776"/>
    <w:rsid w:val="00486EBF"/>
    <w:rsid w:val="00487458"/>
    <w:rsid w:val="00497927"/>
    <w:rsid w:val="004A3A4A"/>
    <w:rsid w:val="004B557F"/>
    <w:rsid w:val="004C0266"/>
    <w:rsid w:val="004C0B29"/>
    <w:rsid w:val="004D2BCE"/>
    <w:rsid w:val="004D3D9A"/>
    <w:rsid w:val="004E2865"/>
    <w:rsid w:val="004E50FD"/>
    <w:rsid w:val="004E59EE"/>
    <w:rsid w:val="004E630C"/>
    <w:rsid w:val="004F1971"/>
    <w:rsid w:val="004F4D30"/>
    <w:rsid w:val="004F4F58"/>
    <w:rsid w:val="004F60BC"/>
    <w:rsid w:val="005007EE"/>
    <w:rsid w:val="0051125A"/>
    <w:rsid w:val="005215EF"/>
    <w:rsid w:val="00525DCB"/>
    <w:rsid w:val="00542C93"/>
    <w:rsid w:val="005550B3"/>
    <w:rsid w:val="005811A5"/>
    <w:rsid w:val="005945CF"/>
    <w:rsid w:val="00595FC7"/>
    <w:rsid w:val="00597B7A"/>
    <w:rsid w:val="005A2207"/>
    <w:rsid w:val="005A26FC"/>
    <w:rsid w:val="005A466E"/>
    <w:rsid w:val="005B3363"/>
    <w:rsid w:val="005B3D44"/>
    <w:rsid w:val="005C5305"/>
    <w:rsid w:val="005C77AF"/>
    <w:rsid w:val="005D00AC"/>
    <w:rsid w:val="005E0603"/>
    <w:rsid w:val="005E15AE"/>
    <w:rsid w:val="005E7A2A"/>
    <w:rsid w:val="005F6F2F"/>
    <w:rsid w:val="00602D4B"/>
    <w:rsid w:val="0060365D"/>
    <w:rsid w:val="006067E0"/>
    <w:rsid w:val="0061530B"/>
    <w:rsid w:val="00617082"/>
    <w:rsid w:val="00622D96"/>
    <w:rsid w:val="006232A8"/>
    <w:rsid w:val="00623819"/>
    <w:rsid w:val="006258E3"/>
    <w:rsid w:val="00627CF4"/>
    <w:rsid w:val="00635D0F"/>
    <w:rsid w:val="00637793"/>
    <w:rsid w:val="00643186"/>
    <w:rsid w:val="00643297"/>
    <w:rsid w:val="00651DBA"/>
    <w:rsid w:val="006555EE"/>
    <w:rsid w:val="00664ACF"/>
    <w:rsid w:val="00665F09"/>
    <w:rsid w:val="006717B2"/>
    <w:rsid w:val="00673528"/>
    <w:rsid w:val="00676F80"/>
    <w:rsid w:val="0067736E"/>
    <w:rsid w:val="0068334E"/>
    <w:rsid w:val="006864BD"/>
    <w:rsid w:val="00690949"/>
    <w:rsid w:val="00691D0D"/>
    <w:rsid w:val="006940CF"/>
    <w:rsid w:val="006960D5"/>
    <w:rsid w:val="006A0F4F"/>
    <w:rsid w:val="006A5526"/>
    <w:rsid w:val="006A5B40"/>
    <w:rsid w:val="006B04CC"/>
    <w:rsid w:val="006B53A2"/>
    <w:rsid w:val="006B6AFE"/>
    <w:rsid w:val="006C1D33"/>
    <w:rsid w:val="006C2640"/>
    <w:rsid w:val="006D4724"/>
    <w:rsid w:val="006D540E"/>
    <w:rsid w:val="006E0CB4"/>
    <w:rsid w:val="006E32FA"/>
    <w:rsid w:val="006E4952"/>
    <w:rsid w:val="006E67EF"/>
    <w:rsid w:val="006F302E"/>
    <w:rsid w:val="006F613E"/>
    <w:rsid w:val="00700E68"/>
    <w:rsid w:val="00701101"/>
    <w:rsid w:val="007021FB"/>
    <w:rsid w:val="007134BB"/>
    <w:rsid w:val="00737935"/>
    <w:rsid w:val="00745E3B"/>
    <w:rsid w:val="00746270"/>
    <w:rsid w:val="00747437"/>
    <w:rsid w:val="00756B93"/>
    <w:rsid w:val="007630CE"/>
    <w:rsid w:val="00764CA4"/>
    <w:rsid w:val="0076572C"/>
    <w:rsid w:val="00767BC4"/>
    <w:rsid w:val="0077064D"/>
    <w:rsid w:val="00773D7F"/>
    <w:rsid w:val="00774448"/>
    <w:rsid w:val="007849E4"/>
    <w:rsid w:val="00792F00"/>
    <w:rsid w:val="007A029D"/>
    <w:rsid w:val="007A26A4"/>
    <w:rsid w:val="007A3AAB"/>
    <w:rsid w:val="007A3DDF"/>
    <w:rsid w:val="007A469F"/>
    <w:rsid w:val="007A51B9"/>
    <w:rsid w:val="007A6237"/>
    <w:rsid w:val="007B6779"/>
    <w:rsid w:val="007D7621"/>
    <w:rsid w:val="007E5783"/>
    <w:rsid w:val="007F0E44"/>
    <w:rsid w:val="007F3660"/>
    <w:rsid w:val="007F79CE"/>
    <w:rsid w:val="007F7A22"/>
    <w:rsid w:val="00801336"/>
    <w:rsid w:val="00807F0F"/>
    <w:rsid w:val="0081526B"/>
    <w:rsid w:val="008169A1"/>
    <w:rsid w:val="008261DF"/>
    <w:rsid w:val="00826437"/>
    <w:rsid w:val="00831C3C"/>
    <w:rsid w:val="0083791C"/>
    <w:rsid w:val="008456DF"/>
    <w:rsid w:val="008464F3"/>
    <w:rsid w:val="0084749E"/>
    <w:rsid w:val="00847F13"/>
    <w:rsid w:val="00852FD8"/>
    <w:rsid w:val="008666E1"/>
    <w:rsid w:val="0087585B"/>
    <w:rsid w:val="00880FFE"/>
    <w:rsid w:val="00887FC4"/>
    <w:rsid w:val="00893859"/>
    <w:rsid w:val="008A266C"/>
    <w:rsid w:val="008A2DAD"/>
    <w:rsid w:val="008A3CD9"/>
    <w:rsid w:val="008B002A"/>
    <w:rsid w:val="008B11EA"/>
    <w:rsid w:val="008B2F30"/>
    <w:rsid w:val="008B4F55"/>
    <w:rsid w:val="008B7C51"/>
    <w:rsid w:val="008C4277"/>
    <w:rsid w:val="008C5EE4"/>
    <w:rsid w:val="008D1834"/>
    <w:rsid w:val="008D417E"/>
    <w:rsid w:val="008E01E2"/>
    <w:rsid w:val="008E1562"/>
    <w:rsid w:val="008E5557"/>
    <w:rsid w:val="008F0B5C"/>
    <w:rsid w:val="008F285F"/>
    <w:rsid w:val="008F5ED1"/>
    <w:rsid w:val="00901DCB"/>
    <w:rsid w:val="009034C1"/>
    <w:rsid w:val="00904783"/>
    <w:rsid w:val="00907A6E"/>
    <w:rsid w:val="00910CA1"/>
    <w:rsid w:val="00911845"/>
    <w:rsid w:val="0092106F"/>
    <w:rsid w:val="00922713"/>
    <w:rsid w:val="00923E11"/>
    <w:rsid w:val="009243B8"/>
    <w:rsid w:val="00925C47"/>
    <w:rsid w:val="0093417D"/>
    <w:rsid w:val="009459C4"/>
    <w:rsid w:val="00952895"/>
    <w:rsid w:val="00952F4F"/>
    <w:rsid w:val="00955833"/>
    <w:rsid w:val="00956848"/>
    <w:rsid w:val="009669FD"/>
    <w:rsid w:val="00973639"/>
    <w:rsid w:val="009752F2"/>
    <w:rsid w:val="00977EF5"/>
    <w:rsid w:val="00983F60"/>
    <w:rsid w:val="00986F7C"/>
    <w:rsid w:val="009978CD"/>
    <w:rsid w:val="009A1B35"/>
    <w:rsid w:val="009B3FEF"/>
    <w:rsid w:val="009D3122"/>
    <w:rsid w:val="009D4930"/>
    <w:rsid w:val="009D500A"/>
    <w:rsid w:val="009D56A3"/>
    <w:rsid w:val="009E1DA8"/>
    <w:rsid w:val="009F4628"/>
    <w:rsid w:val="009F57F7"/>
    <w:rsid w:val="00A02FCF"/>
    <w:rsid w:val="00A11C08"/>
    <w:rsid w:val="00A32721"/>
    <w:rsid w:val="00A3744E"/>
    <w:rsid w:val="00A47E77"/>
    <w:rsid w:val="00A627D2"/>
    <w:rsid w:val="00A65D11"/>
    <w:rsid w:val="00A667BB"/>
    <w:rsid w:val="00A70A51"/>
    <w:rsid w:val="00A71417"/>
    <w:rsid w:val="00A77BA8"/>
    <w:rsid w:val="00A905AF"/>
    <w:rsid w:val="00A949A2"/>
    <w:rsid w:val="00A966C8"/>
    <w:rsid w:val="00AA06DB"/>
    <w:rsid w:val="00AA494B"/>
    <w:rsid w:val="00AA5698"/>
    <w:rsid w:val="00AB1D32"/>
    <w:rsid w:val="00AB431D"/>
    <w:rsid w:val="00AB5A8A"/>
    <w:rsid w:val="00AC33BF"/>
    <w:rsid w:val="00AD2E4F"/>
    <w:rsid w:val="00AE21D9"/>
    <w:rsid w:val="00AE5826"/>
    <w:rsid w:val="00AE78FF"/>
    <w:rsid w:val="00AF0776"/>
    <w:rsid w:val="00B10A00"/>
    <w:rsid w:val="00B14E1A"/>
    <w:rsid w:val="00B1533B"/>
    <w:rsid w:val="00B22788"/>
    <w:rsid w:val="00B258FD"/>
    <w:rsid w:val="00B354FE"/>
    <w:rsid w:val="00B35604"/>
    <w:rsid w:val="00B410E7"/>
    <w:rsid w:val="00B47A81"/>
    <w:rsid w:val="00B504FE"/>
    <w:rsid w:val="00B51888"/>
    <w:rsid w:val="00B6409F"/>
    <w:rsid w:val="00B75DAC"/>
    <w:rsid w:val="00B86E79"/>
    <w:rsid w:val="00B912C8"/>
    <w:rsid w:val="00B924FF"/>
    <w:rsid w:val="00BA17CD"/>
    <w:rsid w:val="00BA3D78"/>
    <w:rsid w:val="00BA3FB5"/>
    <w:rsid w:val="00BA42F0"/>
    <w:rsid w:val="00BB0F1B"/>
    <w:rsid w:val="00BC00B5"/>
    <w:rsid w:val="00BC025B"/>
    <w:rsid w:val="00BD4963"/>
    <w:rsid w:val="00BE2A30"/>
    <w:rsid w:val="00BE302D"/>
    <w:rsid w:val="00BF0B70"/>
    <w:rsid w:val="00BF1ACE"/>
    <w:rsid w:val="00BF51A8"/>
    <w:rsid w:val="00C018BB"/>
    <w:rsid w:val="00C06D35"/>
    <w:rsid w:val="00C263BD"/>
    <w:rsid w:val="00C30210"/>
    <w:rsid w:val="00C30F4C"/>
    <w:rsid w:val="00C31283"/>
    <w:rsid w:val="00C3629F"/>
    <w:rsid w:val="00C364E6"/>
    <w:rsid w:val="00C44DD6"/>
    <w:rsid w:val="00C45224"/>
    <w:rsid w:val="00C510A8"/>
    <w:rsid w:val="00C555DD"/>
    <w:rsid w:val="00C61FD2"/>
    <w:rsid w:val="00C641F0"/>
    <w:rsid w:val="00C66EBE"/>
    <w:rsid w:val="00C705DE"/>
    <w:rsid w:val="00C72248"/>
    <w:rsid w:val="00C75AE9"/>
    <w:rsid w:val="00C76C5C"/>
    <w:rsid w:val="00C779C3"/>
    <w:rsid w:val="00C8091F"/>
    <w:rsid w:val="00C8312D"/>
    <w:rsid w:val="00C83EA2"/>
    <w:rsid w:val="00C84E10"/>
    <w:rsid w:val="00C91F59"/>
    <w:rsid w:val="00CA0119"/>
    <w:rsid w:val="00CB308C"/>
    <w:rsid w:val="00CD3107"/>
    <w:rsid w:val="00CD59C1"/>
    <w:rsid w:val="00CE19D2"/>
    <w:rsid w:val="00CE618F"/>
    <w:rsid w:val="00CE626D"/>
    <w:rsid w:val="00CF3921"/>
    <w:rsid w:val="00CF579D"/>
    <w:rsid w:val="00D02257"/>
    <w:rsid w:val="00D02C09"/>
    <w:rsid w:val="00D07A25"/>
    <w:rsid w:val="00D23281"/>
    <w:rsid w:val="00D247C1"/>
    <w:rsid w:val="00D31D4B"/>
    <w:rsid w:val="00D366AE"/>
    <w:rsid w:val="00D37C38"/>
    <w:rsid w:val="00D37D18"/>
    <w:rsid w:val="00D43143"/>
    <w:rsid w:val="00D43217"/>
    <w:rsid w:val="00D43690"/>
    <w:rsid w:val="00D462DC"/>
    <w:rsid w:val="00D46C67"/>
    <w:rsid w:val="00D50331"/>
    <w:rsid w:val="00D5218F"/>
    <w:rsid w:val="00D53EB9"/>
    <w:rsid w:val="00D571A1"/>
    <w:rsid w:val="00D57D6D"/>
    <w:rsid w:val="00D60E94"/>
    <w:rsid w:val="00D74D2A"/>
    <w:rsid w:val="00D7734C"/>
    <w:rsid w:val="00D777C8"/>
    <w:rsid w:val="00D87886"/>
    <w:rsid w:val="00D95F95"/>
    <w:rsid w:val="00D9641F"/>
    <w:rsid w:val="00D97A85"/>
    <w:rsid w:val="00DB219F"/>
    <w:rsid w:val="00DB521D"/>
    <w:rsid w:val="00DC69EE"/>
    <w:rsid w:val="00DC76F7"/>
    <w:rsid w:val="00DD1A2B"/>
    <w:rsid w:val="00DD3803"/>
    <w:rsid w:val="00DD3C1F"/>
    <w:rsid w:val="00DD4703"/>
    <w:rsid w:val="00DD6E5B"/>
    <w:rsid w:val="00DE120E"/>
    <w:rsid w:val="00DE1C83"/>
    <w:rsid w:val="00DE56E5"/>
    <w:rsid w:val="00DE70A6"/>
    <w:rsid w:val="00DF1C93"/>
    <w:rsid w:val="00DF29AD"/>
    <w:rsid w:val="00E00B24"/>
    <w:rsid w:val="00E01CCF"/>
    <w:rsid w:val="00E06702"/>
    <w:rsid w:val="00E349AC"/>
    <w:rsid w:val="00E50743"/>
    <w:rsid w:val="00E52585"/>
    <w:rsid w:val="00E578A6"/>
    <w:rsid w:val="00E6298D"/>
    <w:rsid w:val="00E62A37"/>
    <w:rsid w:val="00E6381C"/>
    <w:rsid w:val="00E65F54"/>
    <w:rsid w:val="00E73750"/>
    <w:rsid w:val="00E74C78"/>
    <w:rsid w:val="00E764A9"/>
    <w:rsid w:val="00E8421B"/>
    <w:rsid w:val="00E8499C"/>
    <w:rsid w:val="00E864F9"/>
    <w:rsid w:val="00E87FDC"/>
    <w:rsid w:val="00E945C7"/>
    <w:rsid w:val="00E94C06"/>
    <w:rsid w:val="00E95766"/>
    <w:rsid w:val="00E9606A"/>
    <w:rsid w:val="00EA0D43"/>
    <w:rsid w:val="00EA2591"/>
    <w:rsid w:val="00EA2D29"/>
    <w:rsid w:val="00EA3200"/>
    <w:rsid w:val="00EA329F"/>
    <w:rsid w:val="00EB2DC4"/>
    <w:rsid w:val="00EB3CCF"/>
    <w:rsid w:val="00EB3DDA"/>
    <w:rsid w:val="00EC1231"/>
    <w:rsid w:val="00EC416D"/>
    <w:rsid w:val="00EC7CE1"/>
    <w:rsid w:val="00EE09F3"/>
    <w:rsid w:val="00EE18D2"/>
    <w:rsid w:val="00EE5620"/>
    <w:rsid w:val="00F01A4B"/>
    <w:rsid w:val="00F03C50"/>
    <w:rsid w:val="00F2474B"/>
    <w:rsid w:val="00F3580E"/>
    <w:rsid w:val="00F3595F"/>
    <w:rsid w:val="00F35CDE"/>
    <w:rsid w:val="00F4699C"/>
    <w:rsid w:val="00F54564"/>
    <w:rsid w:val="00F54E7D"/>
    <w:rsid w:val="00F62A14"/>
    <w:rsid w:val="00F65979"/>
    <w:rsid w:val="00F823CF"/>
    <w:rsid w:val="00F84771"/>
    <w:rsid w:val="00F85388"/>
    <w:rsid w:val="00F8625E"/>
    <w:rsid w:val="00F95D90"/>
    <w:rsid w:val="00FA4445"/>
    <w:rsid w:val="00FB451D"/>
    <w:rsid w:val="00FB6627"/>
    <w:rsid w:val="00FD45E7"/>
    <w:rsid w:val="00FF2FAB"/>
    <w:rsid w:val="00FF3761"/>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B5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8"/>
      </w:numPr>
      <w:autoSpaceDE w:val="0"/>
      <w:autoSpaceDN w:val="0"/>
      <w:spacing w:before="120" w:after="0" w:line="240" w:lineRule="auto"/>
      <w:ind w:left="567" w:right="386" w:hanging="283"/>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qFormat/>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qFormat/>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qFormat/>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 w:id="1298878475">
      <w:bodyDiv w:val="1"/>
      <w:marLeft w:val="0"/>
      <w:marRight w:val="0"/>
      <w:marTop w:val="0"/>
      <w:marBottom w:val="0"/>
      <w:divBdr>
        <w:top w:val="none" w:sz="0" w:space="0" w:color="auto"/>
        <w:left w:val="none" w:sz="0" w:space="0" w:color="auto"/>
        <w:bottom w:val="none" w:sz="0" w:space="0" w:color="auto"/>
        <w:right w:val="none" w:sz="0" w:space="0" w:color="auto"/>
      </w:divBdr>
    </w:div>
    <w:div w:id="157384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unesdoc.unesco.org/images/0025/002593/259338e.pdf" TargetMode="External"/><Relationship Id="rId39" Type="http://schemas.openxmlformats.org/officeDocument/2006/relationships/hyperlink" Target="https://en.unesco.org/gem-report/" TargetMode="External"/><Relationship Id="rId21" Type="http://schemas.openxmlformats.org/officeDocument/2006/relationships/hyperlink" Target="https://stats.oecd.org/" TargetMode="External"/><Relationship Id="rId34" Type="http://schemas.openxmlformats.org/officeDocument/2006/relationships/hyperlink" Target="https://www.globalpartnership.org/sites/default/files/2019-02-gpe-domestic-policy-brief_web.pdf" TargetMode="External"/><Relationship Id="rId42" Type="http://schemas.openxmlformats.org/officeDocument/2006/relationships/hyperlink" Target="https://data.worldbank.org/country" TargetMode="External"/><Relationship Id="rId47" Type="http://schemas.openxmlformats.org/officeDocument/2006/relationships/hyperlink" Target="http://saber.worldbank.org/index.cfm?indx=8&amp;pd=3" TargetMode="External"/><Relationship Id="rId50" Type="http://schemas.openxmlformats.org/officeDocument/2006/relationships/hyperlink" Target="http://siteresources.worldbank.org/EDUCATION/Resources/278200-1290520949227/7575842-1299533754312/SABER-School_Finance_Framework_July10.2012.pdf"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lobalpartnership.org/sites/default/files/2019-02-gpe-domestic-policy-brief_web.pdfhttps:/www.globalpartnership.org/sites/default/files/2019-02-gpe-domestic-policy-brief_web.pdf" TargetMode="External"/><Relationship Id="rId29" Type="http://schemas.openxmlformats.org/officeDocument/2006/relationships/hyperlink" Target="http://siteresources.worldbank.org/EDUCATION/Resources/278200-1290520949227/7575842-1299533754312/SABER-School_Finance_Framework_July10.2012.pdf" TargetMode="External"/><Relationship Id="rId11" Type="http://schemas.openxmlformats.org/officeDocument/2006/relationships/footer" Target="footer1.xml"/><Relationship Id="rId24" Type="http://schemas.openxmlformats.org/officeDocument/2006/relationships/hyperlink" Target="https://en.unesco.org/gem-report/" TargetMode="External"/><Relationship Id="rId32" Type="http://schemas.openxmlformats.org/officeDocument/2006/relationships/hyperlink" Target="http://unesdoc.unesco.org/images/0025/002593/259338e.pdf" TargetMode="External"/><Relationship Id="rId37" Type="http://schemas.openxmlformats.org/officeDocument/2006/relationships/hyperlink" Target="http://unesdoc.unesco.org/images/0024/002457/245752e.pdf" TargetMode="External"/><Relationship Id="rId40" Type="http://schemas.openxmlformats.org/officeDocument/2006/relationships/hyperlink" Target="http://uis.unesco.org/sites/default/files/documents/education-2030-incheon-framework-for-action-implementation-of-sdg4-2016-en_2.pdf" TargetMode="External"/><Relationship Id="rId45" Type="http://schemas.openxmlformats.org/officeDocument/2006/relationships/hyperlink" Target="http://www.dvv-international.de/adult-education-and-development/editions/aed-672006/literacy-for-life/increasing-literacy-in-indonesia/" TargetMode="External"/><Relationship Id="rId53" Type="http://schemas.openxmlformats.org/officeDocument/2006/relationships/hyperlink" Target="http://www.youtube.com/watch?v=c_te9wClv3M" TargetMode="External"/><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hyperlink" Target="http://unesdoc.unesco.org/images/0025/002593/259338e.pdf" TargetMode="External"/><Relationship Id="rId14" Type="http://schemas.openxmlformats.org/officeDocument/2006/relationships/footer" Target="footer3.xml"/><Relationship Id="rId22" Type="http://schemas.openxmlformats.org/officeDocument/2006/relationships/hyperlink" Target="http://uis.unesco.org/en/topic/education-finance" TargetMode="External"/><Relationship Id="rId27" Type="http://schemas.openxmlformats.org/officeDocument/2006/relationships/hyperlink" Target="https://data.worldbank.org/country" TargetMode="External"/><Relationship Id="rId30" Type="http://schemas.openxmlformats.org/officeDocument/2006/relationships/image" Target="media/image6.png"/><Relationship Id="rId35" Type="http://schemas.openxmlformats.org/officeDocument/2006/relationships/hyperlink" Target="https://stats.oecd.org/" TargetMode="External"/><Relationship Id="rId43" Type="http://schemas.openxmlformats.org/officeDocument/2006/relationships/hyperlink" Target="http://siteresources.worldbank.org/EDUCATION/Resources/278200-1290520949227/7575842-1299533754312/SABER-School_Finance_Framework_July10.2012.pdf" TargetMode="External"/><Relationship Id="rId48" Type="http://schemas.openxmlformats.org/officeDocument/2006/relationships/hyperlink" Target="http://siteresources.worldbank.org/EDUCATION/Resources/278200-1290520949227/7575842-1299533754312/SABER-School_Finance_Framework_July10.2012.pdf" TargetMode="External"/><Relationship Id="rId56" Type="http://schemas.openxmlformats.org/officeDocument/2006/relationships/footer" Target="footer4.xml"/><Relationship Id="rId8" Type="http://schemas.openxmlformats.org/officeDocument/2006/relationships/image" Target="media/image3.png"/><Relationship Id="rId51" Type="http://schemas.openxmlformats.org/officeDocument/2006/relationships/hyperlink" Target="http://saber.worldbank.org/index.cfm?indx=8&amp;pd=3&amp;sub=1"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uis.unesco.org/sites/default/files/documents/education-2030-incheon-framework-for-action-implementation-of-sdg4-2016-en_2.pdf" TargetMode="External"/><Relationship Id="rId25" Type="http://schemas.openxmlformats.org/officeDocument/2006/relationships/hyperlink" Target="http://uis.unesco.org/en/topic/education-finance" TargetMode="External"/><Relationship Id="rId33" Type="http://schemas.openxmlformats.org/officeDocument/2006/relationships/hyperlink" Target="http://dfat.gov.au/about-us/publications/Pages/framework-for-engaging-on-public-financial-management.aspx" TargetMode="External"/><Relationship Id="rId38" Type="http://schemas.openxmlformats.org/officeDocument/2006/relationships/hyperlink" Target="http://unesdoc.unesco.org/images/0025/002593/259338e.pdf" TargetMode="External"/><Relationship Id="rId46" Type="http://schemas.openxmlformats.org/officeDocument/2006/relationships/hyperlink" Target="http://siteresources.worldbank.org/EDUCATION/Resources/278200-1290520949227/7575842-1299533754312/SABER-School_Finance_Framework_July10.2012.pdf" TargetMode="External"/><Relationship Id="rId59" Type="http://schemas.openxmlformats.org/officeDocument/2006/relationships/customXml" Target="../customXml/item2.xml"/><Relationship Id="rId20" Type="http://schemas.openxmlformats.org/officeDocument/2006/relationships/hyperlink" Target="http://en.unesco.org/gem-report/" TargetMode="External"/><Relationship Id="rId41" Type="http://schemas.openxmlformats.org/officeDocument/2006/relationships/hyperlink" Target="http://uis.unesco.org/en/topic/education-finance" TargetMode="External"/><Relationship Id="rId54" Type="http://schemas.openxmlformats.org/officeDocument/2006/relationships/hyperlink" Target="http://www.education-inequalitie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fat.gov.au/about-us/publications/Pages/framework-for-engaging-on-public-financial-management.aspx" TargetMode="External"/><Relationship Id="rId23" Type="http://schemas.openxmlformats.org/officeDocument/2006/relationships/image" Target="media/image5.png"/><Relationship Id="rId28" Type="http://schemas.openxmlformats.org/officeDocument/2006/relationships/hyperlink" Target="https://openknowledge.worldbank.org/handle/10986/2109" TargetMode="External"/><Relationship Id="rId36" Type="http://schemas.openxmlformats.org/officeDocument/2006/relationships/hyperlink" Target="https://www.oecd-ilibrary.org/education/data/education-at-a-glance/educational-finance-datasets_c4e1b551-en" TargetMode="External"/><Relationship Id="rId49" Type="http://schemas.openxmlformats.org/officeDocument/2006/relationships/hyperlink" Target="http://saber.worldbank.org/index.cfm?indx=8&amp;pd=3&amp;sub=4" TargetMode="Externa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s://www.oecd-ilibrary.org/education/data/education-at-a-glance/educational-finance-datasets_c4e1b551-en" TargetMode="External"/><Relationship Id="rId44" Type="http://schemas.openxmlformats.org/officeDocument/2006/relationships/hyperlink" Target="https://openknowledge.worldbank.org/handle/10986/2109" TargetMode="External"/><Relationship Id="rId52" Type="http://schemas.openxmlformats.org/officeDocument/2006/relationships/hyperlink" Target="http://www.unesco.org/archives/multimedia/?pg=33&amp;s=films_details&amp;id=2261" TargetMode="External"/><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B0499DD-A7C6-46DA-81AE-F516990EFE94}"/>
</file>

<file path=customXml/itemProps2.xml><?xml version="1.0" encoding="utf-8"?>
<ds:datastoreItem xmlns:ds="http://schemas.openxmlformats.org/officeDocument/2006/customXml" ds:itemID="{582F5A33-9987-42D8-A390-23B46D7AB467}"/>
</file>

<file path=customXml/itemProps3.xml><?xml version="1.0" encoding="utf-8"?>
<ds:datastoreItem xmlns:ds="http://schemas.openxmlformats.org/officeDocument/2006/customXml" ds:itemID="{08FB3A4E-D45E-4267-A443-328A14AFAD37}"/>
</file>

<file path=customXml/itemProps4.xml><?xml version="1.0" encoding="utf-8"?>
<ds:datastoreItem xmlns:ds="http://schemas.openxmlformats.org/officeDocument/2006/customXml" ds:itemID="{6D912C03-A840-48C8-A71F-178CF1B06CD3}"/>
</file>

<file path=docProps/app.xml><?xml version="1.0" encoding="utf-8"?>
<Properties xmlns="http://schemas.openxmlformats.org/officeDocument/2006/extended-properties" xmlns:vt="http://schemas.openxmlformats.org/officeDocument/2006/docPropsVTypes">
  <Template>Normal.dotm</Template>
  <TotalTime>0</TotalTime>
  <Pages>21</Pages>
  <Words>5447</Words>
  <Characters>31054</Characters>
  <Application>Microsoft Office Word</Application>
  <DocSecurity>0</DocSecurity>
  <Lines>258</Lines>
  <Paragraphs>72</Paragraphs>
  <ScaleCrop>false</ScaleCrop>
  <Company/>
  <LinksUpToDate>false</LinksUpToDate>
  <CharactersWithSpaces>36429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2019-12-10T03:36:00Z</dcterms:created>
  <dcterms:modified xsi:type="dcterms:W3CDTF">2019-12-10T03:36:00Z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d3b5f9ee-50fe-4fac-92ce-75a93e51453a</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TemplateUrl">
    <vt:lpwstr/>
  </property>
  <property fmtid="{D5CDD505-2E9C-101B-9397-08002B2CF9AE}" pid="7" name="Order">
    <vt:r8>6900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