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B2C8CA" w14:textId="5C02F0EB" w:rsidR="0001438C" w:rsidRPr="00210294" w:rsidRDefault="0001438C" w:rsidP="00721019">
      <w:pPr>
        <w:pStyle w:val="TPHeading1"/>
        <w:rPr>
          <w:b/>
        </w:rPr>
      </w:pPr>
      <w:bookmarkStart w:id="0" w:name="_Hlk221875949"/>
      <w:r w:rsidRPr="00210294">
        <w:t xml:space="preserve">Portfolio Budget Statements </w:t>
      </w:r>
      <w:r w:rsidR="009709FF" w:rsidRPr="00210294">
        <w:t>2026–27</w:t>
      </w:r>
      <w:r w:rsidR="00721019" w:rsidRPr="00210294">
        <w:rPr>
          <w:b/>
        </w:rPr>
        <w:t xml:space="preserve"> </w:t>
      </w:r>
      <w:r w:rsidRPr="00210294">
        <w:t>Budget</w:t>
      </w:r>
      <w:r w:rsidR="00721019" w:rsidRPr="00210294">
        <w:t> </w:t>
      </w:r>
      <w:r w:rsidR="00A70398" w:rsidRPr="00210294">
        <w:t xml:space="preserve">Related Paper </w:t>
      </w:r>
      <w:r w:rsidRPr="00210294">
        <w:t>No. 1.</w:t>
      </w:r>
      <w:r w:rsidR="0099721B">
        <w:t>8</w:t>
      </w:r>
    </w:p>
    <w:p w14:paraId="64D771BB" w14:textId="34E2106D" w:rsidR="00721019" w:rsidRPr="00210294" w:rsidRDefault="0099721B" w:rsidP="005E7F97">
      <w:pPr>
        <w:pStyle w:val="TPHeading2"/>
      </w:pPr>
      <w:r>
        <w:t>FOREIGN AFFAIRS AND TRADE PORTFOLIO</w:t>
      </w:r>
    </w:p>
    <w:p w14:paraId="7AB0EEB0" w14:textId="3F4C7226" w:rsidR="000911C5" w:rsidRDefault="009D6065" w:rsidP="0045344D">
      <w:pPr>
        <w:pStyle w:val="TPHeading3"/>
      </w:pPr>
      <w:r w:rsidRPr="00210294">
        <w:t>Budget Initiatives and Explanations of Appropriations Specified</w:t>
      </w:r>
      <w:r w:rsidR="00721019" w:rsidRPr="00210294">
        <w:t> </w:t>
      </w:r>
      <w:r w:rsidRPr="00210294">
        <w:t>by</w:t>
      </w:r>
      <w:r w:rsidR="00721019" w:rsidRPr="00210294">
        <w:t> </w:t>
      </w:r>
      <w:r w:rsidRPr="00210294">
        <w:t>Outcomes and Programs by Entity</w:t>
      </w:r>
      <w:bookmarkEnd w:id="0"/>
    </w:p>
    <w:p w14:paraId="6F0500BB" w14:textId="17A91337" w:rsidR="002F54BA" w:rsidRDefault="002F54BA" w:rsidP="00234809">
      <w:pPr>
        <w:spacing w:before="0" w:after="0" w:line="240" w:lineRule="auto"/>
        <w:sectPr w:rsidR="002F54BA" w:rsidSect="000911C5">
          <w:pgSz w:w="11906" w:h="16838" w:code="9"/>
          <w:pgMar w:top="2835" w:right="2098" w:bottom="2466" w:left="2098" w:header="1814" w:footer="1814" w:gutter="0"/>
          <w:pgNumType w:fmt="lowerRoman"/>
          <w:cols w:space="708"/>
          <w:vAlign w:val="bottom"/>
          <w:titlePg/>
          <w:docGrid w:linePitch="360"/>
        </w:sectPr>
      </w:pPr>
    </w:p>
    <w:p w14:paraId="5331CEA3" w14:textId="0AA78DC4" w:rsidR="00F627CB" w:rsidRDefault="00F627CB" w:rsidP="003A12AA">
      <w:pPr>
        <w:pStyle w:val="CreativeCommonsNormal"/>
      </w:pPr>
      <w:r>
        <w:lastRenderedPageBreak/>
        <w:t>© Commonwealth of Australia 202</w:t>
      </w:r>
      <w:r w:rsidR="009709FF">
        <w:t>6</w:t>
      </w:r>
    </w:p>
    <w:p w14:paraId="38D130D6" w14:textId="5E73B845" w:rsidR="00F627CB" w:rsidRDefault="00F627CB" w:rsidP="003A12AA">
      <w:pPr>
        <w:pStyle w:val="CreativeCommonsNormal"/>
      </w:pPr>
      <w:r>
        <w:t xml:space="preserve">ISBN </w:t>
      </w:r>
      <w:r w:rsidR="00597A29" w:rsidRPr="00A76734">
        <w:rPr>
          <w:color w:val="000000" w:themeColor="text1"/>
        </w:rPr>
        <w:t>2653-4045 (Print), 2653-4053 (Online)</w:t>
      </w:r>
    </w:p>
    <w:p w14:paraId="4C4B519E" w14:textId="77777777" w:rsidR="00F627CB" w:rsidRPr="003F7F1E" w:rsidRDefault="00F627CB" w:rsidP="003A12AA">
      <w:pPr>
        <w:pStyle w:val="CreativeCommonsNormal"/>
        <w:rPr>
          <w:rFonts w:cs="Swiss 721 BT"/>
        </w:rPr>
      </w:pPr>
      <w:r w:rsidRPr="003F7F1E">
        <w:t xml:space="preserve">This publication is available for your use under a </w:t>
      </w:r>
      <w:hyperlink r:id="rId12"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3" w:history="1">
        <w:r w:rsidRPr="00617CF4">
          <w:rPr>
            <w:rStyle w:val="Hyperlink"/>
          </w:rPr>
          <w:t>http://creativecommons.org/licenses/by/4.0/legalcode</w:t>
        </w:r>
      </w:hyperlink>
      <w:r w:rsidRPr="003F7F1E">
        <w:t>.</w:t>
      </w:r>
    </w:p>
    <w:p w14:paraId="0086E601" w14:textId="77777777" w:rsidR="00F627CB" w:rsidRPr="00F05918" w:rsidRDefault="00F627CB" w:rsidP="00F627CB">
      <w:pPr>
        <w:pStyle w:val="TableGraphic"/>
        <w:spacing w:before="120" w:after="120"/>
      </w:pPr>
      <w:r w:rsidRPr="00F05918">
        <w:rPr>
          <w:noProof/>
        </w:rPr>
        <w:drawing>
          <wp:inline distT="0" distB="0" distL="0" distR="0" wp14:anchorId="469875BB" wp14:editId="61E96E42">
            <wp:extent cx="887095" cy="307340"/>
            <wp:effectExtent l="0" t="0" r="8255"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log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87095" cy="307340"/>
                    </a:xfrm>
                    <a:prstGeom prst="rect">
                      <a:avLst/>
                    </a:prstGeom>
                    <a:noFill/>
                    <a:ln>
                      <a:noFill/>
                    </a:ln>
                  </pic:spPr>
                </pic:pic>
              </a:graphicData>
            </a:graphic>
          </wp:inline>
        </w:drawing>
      </w:r>
    </w:p>
    <w:p w14:paraId="52327267" w14:textId="77777777" w:rsidR="00F627CB" w:rsidRPr="003F7F1E" w:rsidRDefault="00F627CB" w:rsidP="003A12AA">
      <w:pPr>
        <w:pStyle w:val="CreativeCommonsNormal"/>
        <w:rPr>
          <w:rFonts w:cs="Calibri"/>
          <w:color w:val="000000"/>
        </w:rPr>
      </w:pPr>
      <w:r w:rsidRPr="003F7F1E">
        <w:rPr>
          <w:rFonts w:cs="Calibri"/>
          <w:color w:val="000000"/>
        </w:rPr>
        <w:t xml:space="preserve">Use of Commonwealth of Australia material </w:t>
      </w:r>
      <w:r w:rsidRPr="00702A74">
        <w:rPr>
          <w:rFonts w:cs="Calibri"/>
        </w:rPr>
        <w:t xml:space="preserve">under </w:t>
      </w:r>
      <w:hyperlink r:id="rId15" w:history="1">
        <w:r w:rsidRPr="00C472EA">
          <w:t>Creative Commons Attribution 4.0 International</w:t>
        </w:r>
      </w:hyperlink>
      <w:r w:rsidRPr="00C472EA">
        <w:t xml:space="preserve"> </w:t>
      </w:r>
      <w:r w:rsidRPr="003F7F1E">
        <w:t xml:space="preserve">licence requires you to attribute the work </w:t>
      </w:r>
      <w:r w:rsidRPr="003F7F1E">
        <w:rPr>
          <w:rFonts w:cs="Calibri"/>
          <w:color w:val="000000"/>
        </w:rPr>
        <w:t>(but not in any way that suggests that the Commonwealth of Australia endorses you or your use of the work).</w:t>
      </w:r>
    </w:p>
    <w:p w14:paraId="745BC28A" w14:textId="77777777" w:rsidR="00F627CB" w:rsidRPr="00EA0B30" w:rsidRDefault="00F627CB" w:rsidP="003A12AA">
      <w:pPr>
        <w:pStyle w:val="CreativeCommonsH1"/>
      </w:pPr>
      <w:r w:rsidRPr="00EA0B30">
        <w:t>Commonwealth of Australia material used ‘as supplied’</w:t>
      </w:r>
    </w:p>
    <w:p w14:paraId="7F432DBA" w14:textId="77777777" w:rsidR="00F627CB" w:rsidRPr="009632A8" w:rsidRDefault="00F627CB" w:rsidP="003A12AA">
      <w:pPr>
        <w:pStyle w:val="CreativeCommonsNormal"/>
      </w:pPr>
      <w:r w:rsidRPr="009632A8">
        <w:t>Provided you have not modified or transformed Commonwealth of Australia material in any way including, for example, by changing the Commonwealth of Australia text; calculating percentage changes; graphing or charting data; or deriving new statistics from published statistics </w:t>
      </w:r>
      <w:r>
        <w:t>–</w:t>
      </w:r>
      <w:r w:rsidRPr="009632A8">
        <w:t xml:space="preserve"> then the Commonwealth of Australia prefers the following attribution:</w:t>
      </w:r>
    </w:p>
    <w:p w14:paraId="4F3E33AD" w14:textId="77777777" w:rsidR="00F627CB" w:rsidRPr="009632A8" w:rsidRDefault="00F627CB" w:rsidP="003A12AA">
      <w:pPr>
        <w:pStyle w:val="CreativeCommonsIndented"/>
      </w:pPr>
      <w:r w:rsidRPr="009632A8">
        <w:t xml:space="preserve">Source: </w:t>
      </w:r>
      <w:r w:rsidRPr="00741E4F">
        <w:rPr>
          <w:rStyle w:val="Emphasis"/>
        </w:rPr>
        <w:t>The Commonwealth of Australia.</w:t>
      </w:r>
    </w:p>
    <w:p w14:paraId="20515E79" w14:textId="77777777" w:rsidR="00F627CB" w:rsidRPr="009632A8" w:rsidRDefault="00F627CB" w:rsidP="003A12AA">
      <w:pPr>
        <w:pStyle w:val="CreativeCommonsH1"/>
      </w:pPr>
      <w:r w:rsidRPr="009632A8">
        <w:t>Derivative material</w:t>
      </w:r>
    </w:p>
    <w:p w14:paraId="6CA20DA3" w14:textId="77777777" w:rsidR="00F627CB" w:rsidRPr="009632A8" w:rsidRDefault="00F627CB" w:rsidP="003A12AA">
      <w:pPr>
        <w:pStyle w:val="CreativeCommonsNormal"/>
      </w:pPr>
      <w:r w:rsidRPr="009632A8">
        <w:t>If you have modified or transformed Commonwealth of Australia material, or derived new material from those of the Commonwealth of Australia in any way, then the Commonwealth of Australia prefers the following attribution:</w:t>
      </w:r>
    </w:p>
    <w:p w14:paraId="1FF22392" w14:textId="77777777" w:rsidR="00F627CB" w:rsidRPr="00741E4F" w:rsidRDefault="00F627CB" w:rsidP="003A12AA">
      <w:pPr>
        <w:pStyle w:val="CreativeCommonsIndented"/>
        <w:rPr>
          <w:rStyle w:val="Emphasis"/>
        </w:rPr>
      </w:pPr>
      <w:r w:rsidRPr="00741E4F">
        <w:rPr>
          <w:rStyle w:val="Emphasis"/>
        </w:rPr>
        <w:t>Based on Commonwealth of Australia data.</w:t>
      </w:r>
    </w:p>
    <w:p w14:paraId="274B6D89" w14:textId="77777777" w:rsidR="00F627CB" w:rsidRDefault="00F627CB" w:rsidP="003A12AA">
      <w:pPr>
        <w:pStyle w:val="CreativeCommonsH1"/>
      </w:pPr>
      <w:r>
        <w:t>Use of the Coat of Arms</w:t>
      </w:r>
    </w:p>
    <w:p w14:paraId="13B5DDEA" w14:textId="77777777" w:rsidR="00F627CB" w:rsidRDefault="00F627CB" w:rsidP="003A12AA">
      <w:pPr>
        <w:pStyle w:val="CreativeCommonsNormal"/>
      </w:pPr>
      <w:r>
        <w:t>The terms under which the Coat of Arms can be used are set out on the Department of the Prime </w:t>
      </w:r>
      <w:r w:rsidRPr="002D0DA2">
        <w:t>Minister</w:t>
      </w:r>
      <w:r>
        <w:t> </w:t>
      </w:r>
      <w:r w:rsidRPr="002D0DA2">
        <w:t>and</w:t>
      </w:r>
      <w:r>
        <w:t xml:space="preserve"> Cabinet website (see </w:t>
      </w:r>
      <w:hyperlink r:id="rId16" w:history="1">
        <w:r w:rsidRPr="005B3368">
          <w:rPr>
            <w:rStyle w:val="Hyperlink"/>
          </w:rPr>
          <w:t>www.pmc.gov.au/</w:t>
        </w:r>
        <w:r w:rsidRPr="005B3368">
          <w:rPr>
            <w:rStyle w:val="Hyperlink"/>
          </w:rPr>
          <w:br/>
          <w:t>honours-and-symbols/commonwealth-coat-arms</w:t>
        </w:r>
      </w:hyperlink>
      <w:r>
        <w:t>)</w:t>
      </w:r>
    </w:p>
    <w:p w14:paraId="430F15E0" w14:textId="77777777" w:rsidR="00F627CB" w:rsidRDefault="00F627CB" w:rsidP="003A12AA">
      <w:pPr>
        <w:pStyle w:val="CreativeCommonsH1"/>
      </w:pPr>
      <w:r>
        <w:t>Other uses</w:t>
      </w:r>
    </w:p>
    <w:p w14:paraId="698AE5A4" w14:textId="06D938FB" w:rsidR="002F54BA" w:rsidRPr="00BC5D82" w:rsidRDefault="00F627CB" w:rsidP="00BC5D82">
      <w:pPr>
        <w:pStyle w:val="CreativeCommonsNormal"/>
      </w:pPr>
      <w:r>
        <w:t>Enquiries regarding this licence and any other use of this document are welcome at:</w:t>
      </w:r>
      <w:r w:rsidR="00BC5D82">
        <w:t xml:space="preserve"> </w:t>
      </w:r>
      <w:r w:rsidR="00A146CC">
        <w:br/>
      </w:r>
      <w:r w:rsidR="00BC5D82" w:rsidRPr="00A76734">
        <w:rPr>
          <w:color w:val="000000" w:themeColor="text1"/>
        </w:rPr>
        <w:t>Chief Financial Officer, Department of Foreign Affairs and Trade</w:t>
      </w:r>
      <w:r w:rsidR="00A146CC">
        <w:rPr>
          <w:color w:val="000000" w:themeColor="text1"/>
        </w:rPr>
        <w:t xml:space="preserve">. </w:t>
      </w:r>
    </w:p>
    <w:p w14:paraId="368F8173" w14:textId="092F8227" w:rsidR="000911C5" w:rsidRPr="004260FC" w:rsidRDefault="000911C5">
      <w:pPr>
        <w:spacing w:before="0" w:after="0" w:line="240" w:lineRule="auto"/>
        <w:rPr>
          <w:rFonts w:cs="Calibri"/>
          <w:color w:val="000000"/>
          <w:spacing w:val="-2"/>
          <w:highlight w:val="yellow"/>
        </w:rPr>
      </w:pPr>
    </w:p>
    <w:p w14:paraId="69F7F55A" w14:textId="77777777" w:rsidR="00234809" w:rsidRDefault="00234809" w:rsidP="00234809">
      <w:pPr>
        <w:spacing w:before="0" w:after="0" w:line="240" w:lineRule="auto"/>
        <w:sectPr w:rsidR="00234809" w:rsidSect="00234809">
          <w:footerReference w:type="even" r:id="rId17"/>
          <w:footerReference w:type="default" r:id="rId18"/>
          <w:headerReference w:type="first" r:id="rId19"/>
          <w:pgSz w:w="11906" w:h="16838" w:code="9"/>
          <w:pgMar w:top="2835" w:right="2098" w:bottom="2466" w:left="2098" w:header="1814" w:footer="1814" w:gutter="0"/>
          <w:pgNumType w:fmt="lowerRoman"/>
          <w:cols w:space="708"/>
          <w:titlePg/>
          <w:docGrid w:linePitch="360"/>
        </w:sectPr>
      </w:pPr>
    </w:p>
    <w:p w14:paraId="54514578" w14:textId="77777777" w:rsidR="003C4CA2" w:rsidRDefault="003C4CA2" w:rsidP="00E6464E">
      <w:pPr>
        <w:pStyle w:val="SingleParagraph"/>
      </w:pPr>
    </w:p>
    <w:tbl>
      <w:tblPr>
        <w:tblStyle w:val="TableGrid"/>
        <w:tblW w:w="7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5176A0" w:rsidRPr="00A76734" w14:paraId="7962F2ED" w14:textId="77777777" w:rsidTr="007E27DD">
        <w:tc>
          <w:tcPr>
            <w:tcW w:w="3969" w:type="dxa"/>
          </w:tcPr>
          <w:p w14:paraId="2ECCB84D" w14:textId="77777777" w:rsidR="005176A0" w:rsidRPr="00A76734" w:rsidRDefault="005176A0" w:rsidP="007E27DD">
            <w:pPr>
              <w:pStyle w:val="TransmittalAddressee"/>
              <w:ind w:left="-109" w:right="-108"/>
              <w:jc w:val="left"/>
              <w:rPr>
                <w:rFonts w:ascii="Times New Roman" w:hAnsi="Times New Roman"/>
                <w:b/>
                <w:bCs/>
                <w:caps/>
                <w:color w:val="000000" w:themeColor="text1"/>
                <w:sz w:val="22"/>
                <w:szCs w:val="22"/>
              </w:rPr>
            </w:pPr>
            <w:r w:rsidRPr="00A76734">
              <w:rPr>
                <w:rFonts w:ascii="Times New Roman" w:hAnsi="Times New Roman"/>
                <w:b/>
                <w:bCs/>
                <w:caps/>
                <w:color w:val="000000" w:themeColor="text1"/>
                <w:sz w:val="22"/>
                <w:szCs w:val="22"/>
              </w:rPr>
              <w:t>Senator the Hon Penny Wong</w:t>
            </w:r>
          </w:p>
          <w:p w14:paraId="7EC726FA" w14:textId="77777777" w:rsidR="005176A0" w:rsidRPr="008417CB" w:rsidRDefault="005176A0" w:rsidP="007E27DD">
            <w:pPr>
              <w:pStyle w:val="TransmittalAddressee"/>
              <w:ind w:left="-109" w:right="521"/>
              <w:rPr>
                <w:rFonts w:ascii="Times New Roman" w:hAnsi="Times New Roman"/>
                <w:bCs/>
                <w:caps/>
                <w:color w:val="000000" w:themeColor="text1"/>
                <w:sz w:val="22"/>
                <w:szCs w:val="22"/>
              </w:rPr>
            </w:pPr>
            <w:r w:rsidRPr="008417CB">
              <w:rPr>
                <w:rFonts w:ascii="Times New Roman" w:hAnsi="Times New Roman"/>
                <w:bCs/>
                <w:color w:val="000000" w:themeColor="text1"/>
                <w:sz w:val="22"/>
                <w:szCs w:val="22"/>
              </w:rPr>
              <w:t>Minister for Foreign Affairs</w:t>
            </w:r>
          </w:p>
        </w:tc>
        <w:tc>
          <w:tcPr>
            <w:tcW w:w="3969" w:type="dxa"/>
          </w:tcPr>
          <w:p w14:paraId="392F5030" w14:textId="77777777" w:rsidR="005176A0" w:rsidRPr="00A76734" w:rsidRDefault="005176A0" w:rsidP="007E27DD">
            <w:pPr>
              <w:pStyle w:val="TransmittalAddressee"/>
              <w:ind w:right="-388"/>
              <w:jc w:val="left"/>
              <w:rPr>
                <w:rFonts w:ascii="Times New Roman" w:hAnsi="Times New Roman"/>
                <w:b/>
                <w:bCs/>
                <w:caps/>
                <w:color w:val="000000" w:themeColor="text1"/>
                <w:sz w:val="22"/>
                <w:szCs w:val="22"/>
              </w:rPr>
            </w:pPr>
            <w:r w:rsidRPr="00A76734">
              <w:rPr>
                <w:rFonts w:ascii="Times New Roman" w:hAnsi="Times New Roman"/>
                <w:b/>
                <w:bCs/>
                <w:caps/>
                <w:color w:val="000000" w:themeColor="text1"/>
                <w:sz w:val="22"/>
                <w:szCs w:val="22"/>
              </w:rPr>
              <w:t>Senator the Hon Don FarreLl</w:t>
            </w:r>
          </w:p>
          <w:p w14:paraId="67241594" w14:textId="77777777" w:rsidR="005176A0" w:rsidRPr="008417CB" w:rsidRDefault="005176A0" w:rsidP="007E27DD">
            <w:pPr>
              <w:spacing w:before="0" w:after="0" w:line="240" w:lineRule="auto"/>
              <w:contextualSpacing/>
              <w:rPr>
                <w:rFonts w:ascii="Times New Roman" w:hAnsi="Times New Roman"/>
                <w:bCs/>
                <w:color w:val="000000" w:themeColor="text1"/>
                <w:sz w:val="22"/>
                <w:szCs w:val="22"/>
              </w:rPr>
            </w:pPr>
            <w:r w:rsidRPr="008417CB">
              <w:rPr>
                <w:rFonts w:ascii="Times New Roman" w:hAnsi="Times New Roman"/>
                <w:bCs/>
                <w:color w:val="000000" w:themeColor="text1"/>
                <w:sz w:val="22"/>
                <w:szCs w:val="22"/>
              </w:rPr>
              <w:t>Minister for Trade and Tourism</w:t>
            </w:r>
          </w:p>
          <w:p w14:paraId="6E5CCE4B" w14:textId="77777777" w:rsidR="005176A0" w:rsidRPr="00A76734" w:rsidRDefault="005176A0" w:rsidP="007E27DD">
            <w:pPr>
              <w:pStyle w:val="TransmittalAddressee"/>
              <w:spacing w:line="240" w:lineRule="auto"/>
              <w:ind w:right="521"/>
              <w:contextualSpacing/>
              <w:rPr>
                <w:rFonts w:ascii="Times New Roman" w:hAnsi="Times New Roman"/>
                <w:b/>
                <w:bCs/>
                <w:color w:val="000000" w:themeColor="text1"/>
                <w:sz w:val="22"/>
                <w:szCs w:val="22"/>
              </w:rPr>
            </w:pPr>
            <w:r w:rsidRPr="008417CB">
              <w:rPr>
                <w:rFonts w:ascii="Times New Roman" w:hAnsi="Times New Roman"/>
                <w:bCs/>
                <w:color w:val="000000" w:themeColor="text1"/>
                <w:sz w:val="22"/>
                <w:szCs w:val="22"/>
              </w:rPr>
              <w:t>Special Minister of State</w:t>
            </w:r>
          </w:p>
        </w:tc>
      </w:tr>
    </w:tbl>
    <w:p w14:paraId="22D977E7" w14:textId="77777777" w:rsidR="005176A0" w:rsidRDefault="005176A0" w:rsidP="00E6464E">
      <w:pPr>
        <w:pStyle w:val="SingleParagraph"/>
      </w:pPr>
    </w:p>
    <w:tbl>
      <w:tblPr>
        <w:tblStyle w:val="TableGrid"/>
        <w:tblW w:w="7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8417CB" w:rsidRPr="00A76734" w14:paraId="6E4D5041" w14:textId="77777777" w:rsidTr="00E42E88">
        <w:tc>
          <w:tcPr>
            <w:tcW w:w="3969" w:type="dxa"/>
          </w:tcPr>
          <w:p w14:paraId="1996E65D" w14:textId="2F046984" w:rsidR="008417CB" w:rsidRPr="00A76734" w:rsidRDefault="008417CB" w:rsidP="00E42E88">
            <w:pPr>
              <w:pStyle w:val="TransmittalAddressee"/>
              <w:ind w:left="-109" w:right="-108"/>
              <w:jc w:val="left"/>
              <w:rPr>
                <w:rFonts w:ascii="Times New Roman" w:hAnsi="Times New Roman"/>
                <w:b/>
                <w:bCs/>
                <w:caps/>
                <w:color w:val="000000" w:themeColor="text1"/>
                <w:sz w:val="22"/>
                <w:szCs w:val="22"/>
              </w:rPr>
            </w:pPr>
            <w:r>
              <w:rPr>
                <w:rFonts w:ascii="Times New Roman" w:hAnsi="Times New Roman"/>
                <w:b/>
                <w:bCs/>
                <w:caps/>
                <w:color w:val="000000" w:themeColor="text1"/>
                <w:sz w:val="22"/>
                <w:szCs w:val="22"/>
              </w:rPr>
              <w:t xml:space="preserve">THE </w:t>
            </w:r>
            <w:r w:rsidRPr="008417CB">
              <w:rPr>
                <w:rFonts w:ascii="Times New Roman" w:hAnsi="Times New Roman"/>
                <w:b/>
                <w:bCs/>
                <w:caps/>
                <w:color w:val="000000" w:themeColor="text1"/>
                <w:sz w:val="22"/>
                <w:szCs w:val="22"/>
              </w:rPr>
              <w:t>Hon Pat Conroy MP</w:t>
            </w:r>
          </w:p>
          <w:p w14:paraId="11F7F3C0" w14:textId="46375DAD" w:rsidR="008417CB" w:rsidRDefault="008417CB" w:rsidP="00E42E88">
            <w:pPr>
              <w:pStyle w:val="TransmittalAddressee"/>
              <w:ind w:left="-109" w:right="521"/>
              <w:rPr>
                <w:rFonts w:ascii="Times New Roman" w:hAnsi="Times New Roman"/>
                <w:bCs/>
                <w:color w:val="000000" w:themeColor="text1"/>
                <w:sz w:val="22"/>
                <w:szCs w:val="22"/>
              </w:rPr>
            </w:pPr>
            <w:r w:rsidRPr="008417CB">
              <w:rPr>
                <w:rFonts w:ascii="Times New Roman" w:hAnsi="Times New Roman"/>
                <w:bCs/>
                <w:color w:val="000000" w:themeColor="text1"/>
                <w:sz w:val="22"/>
                <w:szCs w:val="22"/>
              </w:rPr>
              <w:t xml:space="preserve">Minister </w:t>
            </w:r>
            <w:r>
              <w:rPr>
                <w:rFonts w:ascii="Times New Roman" w:hAnsi="Times New Roman"/>
                <w:bCs/>
                <w:color w:val="000000" w:themeColor="text1"/>
                <w:sz w:val="22"/>
                <w:szCs w:val="22"/>
              </w:rPr>
              <w:t>f</w:t>
            </w:r>
            <w:r w:rsidRPr="008417CB">
              <w:rPr>
                <w:rFonts w:ascii="Times New Roman" w:hAnsi="Times New Roman"/>
                <w:bCs/>
                <w:color w:val="000000" w:themeColor="text1"/>
                <w:sz w:val="22"/>
                <w:szCs w:val="22"/>
              </w:rPr>
              <w:t xml:space="preserve">or </w:t>
            </w:r>
            <w:r>
              <w:rPr>
                <w:rFonts w:ascii="Times New Roman" w:hAnsi="Times New Roman"/>
                <w:bCs/>
                <w:color w:val="000000" w:themeColor="text1"/>
                <w:sz w:val="22"/>
                <w:szCs w:val="22"/>
              </w:rPr>
              <w:t>Defence Industry</w:t>
            </w:r>
            <w:r w:rsidRPr="008417CB">
              <w:rPr>
                <w:rFonts w:ascii="Times New Roman" w:hAnsi="Times New Roman"/>
                <w:bCs/>
                <w:color w:val="000000" w:themeColor="text1"/>
                <w:sz w:val="22"/>
                <w:szCs w:val="22"/>
              </w:rPr>
              <w:t xml:space="preserve"> </w:t>
            </w:r>
          </w:p>
          <w:p w14:paraId="4D104F15" w14:textId="0C7136AC" w:rsidR="008417CB" w:rsidRPr="008417CB" w:rsidRDefault="008417CB" w:rsidP="00E42E88">
            <w:pPr>
              <w:pStyle w:val="TransmittalAddressee"/>
              <w:ind w:left="-109" w:right="521"/>
              <w:rPr>
                <w:rFonts w:ascii="Times New Roman" w:hAnsi="Times New Roman"/>
                <w:bCs/>
                <w:caps/>
                <w:color w:val="000000" w:themeColor="text1"/>
                <w:sz w:val="22"/>
                <w:szCs w:val="22"/>
              </w:rPr>
            </w:pPr>
            <w:r>
              <w:rPr>
                <w:rFonts w:ascii="Times New Roman" w:hAnsi="Times New Roman"/>
                <w:bCs/>
                <w:color w:val="000000" w:themeColor="text1"/>
                <w:sz w:val="22"/>
                <w:szCs w:val="22"/>
              </w:rPr>
              <w:t xml:space="preserve">Minister for </w:t>
            </w:r>
            <w:r w:rsidRPr="008417CB">
              <w:rPr>
                <w:rFonts w:ascii="Times New Roman" w:hAnsi="Times New Roman"/>
                <w:bCs/>
                <w:color w:val="000000" w:themeColor="text1"/>
                <w:sz w:val="22"/>
                <w:szCs w:val="22"/>
              </w:rPr>
              <w:t>Pacific Island Affairs</w:t>
            </w:r>
          </w:p>
        </w:tc>
        <w:tc>
          <w:tcPr>
            <w:tcW w:w="3969" w:type="dxa"/>
          </w:tcPr>
          <w:p w14:paraId="05B6B58B" w14:textId="3D61F386" w:rsidR="008417CB" w:rsidRPr="00A76734" w:rsidRDefault="008417CB" w:rsidP="00E42E88">
            <w:pPr>
              <w:pStyle w:val="TransmittalAddressee"/>
              <w:ind w:right="-388"/>
              <w:jc w:val="left"/>
              <w:rPr>
                <w:rFonts w:ascii="Times New Roman" w:hAnsi="Times New Roman"/>
                <w:b/>
                <w:bCs/>
                <w:caps/>
                <w:color w:val="000000" w:themeColor="text1"/>
                <w:sz w:val="22"/>
                <w:szCs w:val="22"/>
              </w:rPr>
            </w:pPr>
            <w:r w:rsidRPr="00A76734">
              <w:rPr>
                <w:rFonts w:ascii="Times New Roman" w:hAnsi="Times New Roman"/>
                <w:b/>
                <w:bCs/>
                <w:caps/>
                <w:color w:val="000000" w:themeColor="text1"/>
                <w:sz w:val="22"/>
                <w:szCs w:val="22"/>
              </w:rPr>
              <w:t xml:space="preserve">the </w:t>
            </w:r>
            <w:r w:rsidRPr="008417CB">
              <w:rPr>
                <w:rFonts w:ascii="Times New Roman" w:hAnsi="Times New Roman"/>
                <w:b/>
                <w:bCs/>
                <w:caps/>
                <w:color w:val="000000" w:themeColor="text1"/>
                <w:sz w:val="22"/>
                <w:szCs w:val="22"/>
              </w:rPr>
              <w:t>Hon Dr Anne Aly MP</w:t>
            </w:r>
          </w:p>
          <w:p w14:paraId="4D5F51F6" w14:textId="2FBAD4A3" w:rsidR="008417CB" w:rsidRPr="008417CB" w:rsidRDefault="008417CB" w:rsidP="00E42E88">
            <w:pPr>
              <w:spacing w:before="0" w:after="0" w:line="240" w:lineRule="auto"/>
              <w:contextualSpacing/>
              <w:rPr>
                <w:rFonts w:ascii="Times New Roman" w:hAnsi="Times New Roman"/>
                <w:bCs/>
                <w:color w:val="000000" w:themeColor="text1"/>
                <w:sz w:val="22"/>
                <w:szCs w:val="22"/>
              </w:rPr>
            </w:pPr>
            <w:r w:rsidRPr="008417CB">
              <w:rPr>
                <w:rFonts w:ascii="Times New Roman" w:hAnsi="Times New Roman"/>
                <w:bCs/>
                <w:color w:val="000000" w:themeColor="text1"/>
                <w:sz w:val="22"/>
                <w:szCs w:val="22"/>
              </w:rPr>
              <w:t>Minister for Small Business</w:t>
            </w:r>
          </w:p>
          <w:p w14:paraId="50EC4977" w14:textId="77777777" w:rsidR="008417CB" w:rsidRDefault="008417CB" w:rsidP="005C45F7">
            <w:pPr>
              <w:spacing w:before="0" w:after="0" w:line="240" w:lineRule="auto"/>
              <w:contextualSpacing/>
              <w:rPr>
                <w:rFonts w:ascii="Times New Roman" w:hAnsi="Times New Roman"/>
                <w:bCs/>
                <w:color w:val="000000" w:themeColor="text1"/>
                <w:sz w:val="22"/>
                <w:szCs w:val="22"/>
              </w:rPr>
            </w:pPr>
            <w:r w:rsidRPr="005C45F7">
              <w:rPr>
                <w:rFonts w:ascii="Times New Roman" w:hAnsi="Times New Roman"/>
                <w:bCs/>
                <w:color w:val="000000" w:themeColor="text1"/>
                <w:sz w:val="22"/>
                <w:szCs w:val="22"/>
              </w:rPr>
              <w:t xml:space="preserve">Minister for </w:t>
            </w:r>
            <w:r w:rsidR="005C45F7" w:rsidRPr="005C45F7">
              <w:rPr>
                <w:rFonts w:ascii="Times New Roman" w:hAnsi="Times New Roman"/>
                <w:bCs/>
                <w:color w:val="000000" w:themeColor="text1"/>
                <w:sz w:val="22"/>
                <w:szCs w:val="22"/>
              </w:rPr>
              <w:t>International Development</w:t>
            </w:r>
          </w:p>
          <w:p w14:paraId="5CD83A9C" w14:textId="66678FBC" w:rsidR="005C45F7" w:rsidRPr="008417CB" w:rsidRDefault="005C45F7" w:rsidP="005C45F7">
            <w:pPr>
              <w:spacing w:before="0" w:after="0" w:line="240" w:lineRule="auto"/>
              <w:contextualSpacing/>
              <w:rPr>
                <w:rFonts w:ascii="Times New Roman" w:hAnsi="Times New Roman"/>
                <w:color w:val="000000" w:themeColor="text1"/>
                <w:sz w:val="22"/>
                <w:szCs w:val="22"/>
              </w:rPr>
            </w:pPr>
            <w:r>
              <w:rPr>
                <w:rFonts w:ascii="Times New Roman" w:hAnsi="Times New Roman"/>
                <w:color w:val="000000" w:themeColor="text1"/>
                <w:sz w:val="22"/>
                <w:szCs w:val="22"/>
              </w:rPr>
              <w:t xml:space="preserve">Minister for </w:t>
            </w:r>
            <w:r w:rsidRPr="005C45F7">
              <w:rPr>
                <w:rFonts w:ascii="Times New Roman" w:hAnsi="Times New Roman"/>
                <w:color w:val="000000" w:themeColor="text1"/>
                <w:sz w:val="22"/>
                <w:szCs w:val="22"/>
              </w:rPr>
              <w:t>Multicultural Affairs</w:t>
            </w:r>
          </w:p>
        </w:tc>
      </w:tr>
    </w:tbl>
    <w:p w14:paraId="7FB84578" w14:textId="77777777" w:rsidR="008417CB" w:rsidRDefault="008417CB" w:rsidP="00E6464E">
      <w:pPr>
        <w:pStyle w:val="SingleParagraph"/>
      </w:pPr>
    </w:p>
    <w:p w14:paraId="6E259970" w14:textId="77777777" w:rsidR="008417CB" w:rsidRDefault="008417CB" w:rsidP="00E6464E">
      <w:pPr>
        <w:pStyle w:val="SingleParagraph"/>
      </w:pPr>
    </w:p>
    <w:p w14:paraId="01EE3E06" w14:textId="08E856A9" w:rsidR="00021DA6" w:rsidRDefault="00021DA6" w:rsidP="00E6464E">
      <w:pPr>
        <w:pStyle w:val="SingleParagraph"/>
      </w:pPr>
      <w:r>
        <w:t>President of the Senate</w:t>
      </w:r>
    </w:p>
    <w:p w14:paraId="2BCE2B92" w14:textId="77777777" w:rsidR="00021DA6" w:rsidRDefault="00021DA6" w:rsidP="00E6464E">
      <w:pPr>
        <w:pStyle w:val="SingleParagraph"/>
      </w:pPr>
      <w:r>
        <w:t>Australian Senate</w:t>
      </w:r>
    </w:p>
    <w:p w14:paraId="1F6A4D25" w14:textId="77777777" w:rsidR="00021DA6" w:rsidRDefault="00021DA6" w:rsidP="00E6464E">
      <w:pPr>
        <w:pStyle w:val="SingleParagraph"/>
      </w:pPr>
      <w:r>
        <w:t>Parliament House</w:t>
      </w:r>
    </w:p>
    <w:p w14:paraId="4C1E4B66" w14:textId="77777777" w:rsidR="00021DA6" w:rsidRDefault="00021DA6" w:rsidP="00E6464E">
      <w:pPr>
        <w:pStyle w:val="SingleParagraph"/>
      </w:pPr>
      <w:proofErr w:type="gramStart"/>
      <w:r>
        <w:t>CANBERRA  ACT</w:t>
      </w:r>
      <w:proofErr w:type="gramEnd"/>
      <w:r w:rsidR="00FD522D">
        <w:t xml:space="preserve">  </w:t>
      </w:r>
      <w:r>
        <w:t>2600</w:t>
      </w:r>
    </w:p>
    <w:p w14:paraId="413F626B" w14:textId="77777777" w:rsidR="00021DA6" w:rsidRDefault="00021DA6" w:rsidP="00E6464E">
      <w:pPr>
        <w:pStyle w:val="SingleParagraph"/>
      </w:pPr>
    </w:p>
    <w:p w14:paraId="37AF7EF5" w14:textId="77777777" w:rsidR="00021DA6" w:rsidRDefault="00021DA6" w:rsidP="00E6464E">
      <w:pPr>
        <w:pStyle w:val="SingleParagraph"/>
      </w:pPr>
      <w:r>
        <w:t>Speaker</w:t>
      </w:r>
    </w:p>
    <w:p w14:paraId="62A65FE8" w14:textId="77777777" w:rsidR="00021DA6" w:rsidRDefault="00021DA6" w:rsidP="00E6464E">
      <w:pPr>
        <w:pStyle w:val="SingleParagraph"/>
      </w:pPr>
      <w:r>
        <w:t>House of Representatives</w:t>
      </w:r>
    </w:p>
    <w:p w14:paraId="23BA3E7F" w14:textId="77777777" w:rsidR="00021DA6" w:rsidRDefault="00021DA6" w:rsidP="00E6464E">
      <w:pPr>
        <w:pStyle w:val="SingleParagraph"/>
      </w:pPr>
      <w:r>
        <w:t>Parliament House</w:t>
      </w:r>
    </w:p>
    <w:p w14:paraId="3AFC413D" w14:textId="77777777" w:rsidR="00021DA6" w:rsidRDefault="00021DA6" w:rsidP="00E6464E">
      <w:pPr>
        <w:pStyle w:val="SingleParagraph"/>
      </w:pPr>
      <w:proofErr w:type="gramStart"/>
      <w:r>
        <w:t>CANBERRA  ACT</w:t>
      </w:r>
      <w:proofErr w:type="gramEnd"/>
      <w:r>
        <w:t xml:space="preserve">  2600</w:t>
      </w:r>
    </w:p>
    <w:p w14:paraId="7A5F965A" w14:textId="77777777" w:rsidR="009C0C48" w:rsidRDefault="009C0C48" w:rsidP="009C0C48"/>
    <w:p w14:paraId="4017E8B1" w14:textId="5B9C35DB" w:rsidR="00021DA6" w:rsidRDefault="00021DA6" w:rsidP="00BB6978">
      <w:r>
        <w:t>Dear President</w:t>
      </w:r>
    </w:p>
    <w:p w14:paraId="70469AA6" w14:textId="77777777" w:rsidR="00021DA6" w:rsidRDefault="00021DA6" w:rsidP="00BB6978">
      <w:r>
        <w:t xml:space="preserve">Dear </w:t>
      </w:r>
      <w:r w:rsidR="00FC0A72">
        <w:t>Mr</w:t>
      </w:r>
      <w:r>
        <w:t xml:space="preserve"> Speaker</w:t>
      </w:r>
    </w:p>
    <w:p w14:paraId="5FA7D607" w14:textId="604F585E" w:rsidR="009C0C48" w:rsidRDefault="000D0893" w:rsidP="00BB6978">
      <w:r>
        <w:t>We</w:t>
      </w:r>
      <w:r w:rsidR="009C0C48">
        <w:t xml:space="preserve"> hereby submit </w:t>
      </w:r>
      <w:r w:rsidR="007D5B26">
        <w:t xml:space="preserve">the </w:t>
      </w:r>
      <w:r w:rsidR="009C0C48">
        <w:t xml:space="preserve">Portfolio Budget Statements in support of the </w:t>
      </w:r>
      <w:r w:rsidR="009709FF">
        <w:t>2026–27</w:t>
      </w:r>
      <w:r w:rsidR="00400A8B">
        <w:t xml:space="preserve"> </w:t>
      </w:r>
      <w:r w:rsidR="009C0C48">
        <w:t xml:space="preserve">Budget for the </w:t>
      </w:r>
      <w:r w:rsidR="005176A0" w:rsidRPr="005176A0">
        <w:rPr>
          <w:rStyle w:val="ExampletextCharChar"/>
          <w:color w:val="auto"/>
        </w:rPr>
        <w:t xml:space="preserve">Foreign Affairs and Trade </w:t>
      </w:r>
      <w:r w:rsidR="00D961F2">
        <w:t>p</w:t>
      </w:r>
      <w:r w:rsidR="009C0C48">
        <w:t>ortfolio.</w:t>
      </w:r>
    </w:p>
    <w:p w14:paraId="44CAB0F8" w14:textId="77777777" w:rsidR="009C0C48" w:rsidRDefault="009C0C48" w:rsidP="00BB6978">
      <w:r>
        <w:t>These statements have been developed, and are submitted to the Parliament, as a statement on the outcomes for the portfolio.</w:t>
      </w:r>
    </w:p>
    <w:p w14:paraId="2EF3FF8C" w14:textId="4974E75A" w:rsidR="009C0C48" w:rsidRDefault="005176A0" w:rsidP="00BB6978">
      <w:r>
        <w:t>We</w:t>
      </w:r>
      <w:r w:rsidR="009C0C48">
        <w:t xml:space="preserve"> present these statements to provide accountability to the Parliament and, through it, the public.</w:t>
      </w:r>
    </w:p>
    <w:p w14:paraId="224A39E7" w14:textId="11324E8B" w:rsidR="00BB6978" w:rsidRDefault="009C0C48" w:rsidP="0086428A">
      <w:r>
        <w:t>Yours sincerely</w:t>
      </w:r>
    </w:p>
    <w:p w14:paraId="481CB7A3" w14:textId="51FBDE0C" w:rsidR="0084434B" w:rsidRDefault="00D75BBC" w:rsidP="0086428A">
      <w:r>
        <w:rPr>
          <w:noProof/>
        </w:rPr>
        <w:drawing>
          <wp:anchor distT="0" distB="0" distL="114300" distR="114300" simplePos="0" relativeHeight="251666432" behindDoc="0" locked="0" layoutInCell="1" allowOverlap="1" wp14:anchorId="29172C08" wp14:editId="0A806D77">
            <wp:simplePos x="0" y="0"/>
            <wp:positionH relativeFrom="margin">
              <wp:posOffset>3748653</wp:posOffset>
            </wp:positionH>
            <wp:positionV relativeFrom="paragraph">
              <wp:posOffset>5660</wp:posOffset>
            </wp:positionV>
            <wp:extent cx="731520" cy="515968"/>
            <wp:effectExtent l="0" t="0" r="0" b="0"/>
            <wp:wrapNone/>
            <wp:docPr id="1885025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25681" name="Picture 1"/>
                    <pic:cNvPicPr/>
                  </pic:nvPicPr>
                  <pic:blipFill>
                    <a:blip r:embed="rId20"/>
                    <a:stretch>
                      <a:fillRect/>
                    </a:stretch>
                  </pic:blipFill>
                  <pic:spPr>
                    <a:xfrm>
                      <a:off x="0" y="0"/>
                      <a:ext cx="732865" cy="516917"/>
                    </a:xfrm>
                    <a:prstGeom prst="rect">
                      <a:avLst/>
                    </a:prstGeom>
                  </pic:spPr>
                </pic:pic>
              </a:graphicData>
            </a:graphic>
            <wp14:sizeRelH relativeFrom="margin">
              <wp14:pctWidth>0</wp14:pctWidth>
            </wp14:sizeRelH>
            <wp14:sizeRelV relativeFrom="margin">
              <wp14:pctHeight>0</wp14:pctHeight>
            </wp14:sizeRelV>
          </wp:anchor>
        </w:drawing>
      </w:r>
      <w:r w:rsidR="000D5503">
        <w:rPr>
          <w:noProof/>
        </w:rPr>
        <w:drawing>
          <wp:anchor distT="0" distB="0" distL="114300" distR="114300" simplePos="0" relativeHeight="251664384" behindDoc="0" locked="0" layoutInCell="1" allowOverlap="1" wp14:anchorId="4E3E1B46" wp14:editId="668E65F8">
            <wp:simplePos x="0" y="0"/>
            <wp:positionH relativeFrom="margin">
              <wp:posOffset>2516201</wp:posOffset>
            </wp:positionH>
            <wp:positionV relativeFrom="paragraph">
              <wp:posOffset>5660</wp:posOffset>
            </wp:positionV>
            <wp:extent cx="947915" cy="508883"/>
            <wp:effectExtent l="0" t="0" r="0" b="5715"/>
            <wp:wrapNone/>
            <wp:docPr id="492428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28877" name="Picture 1"/>
                    <pic:cNvPicPr/>
                  </pic:nvPicPr>
                  <pic:blipFill>
                    <a:blip r:embed="rId21"/>
                    <a:stretch>
                      <a:fillRect/>
                    </a:stretch>
                  </pic:blipFill>
                  <pic:spPr>
                    <a:xfrm>
                      <a:off x="0" y="0"/>
                      <a:ext cx="953304" cy="511776"/>
                    </a:xfrm>
                    <a:prstGeom prst="rect">
                      <a:avLst/>
                    </a:prstGeom>
                  </pic:spPr>
                </pic:pic>
              </a:graphicData>
            </a:graphic>
            <wp14:sizeRelH relativeFrom="margin">
              <wp14:pctWidth>0</wp14:pctWidth>
            </wp14:sizeRelH>
            <wp14:sizeRelV relativeFrom="margin">
              <wp14:pctHeight>0</wp14:pctHeight>
            </wp14:sizeRelV>
          </wp:anchor>
        </w:drawing>
      </w:r>
      <w:r w:rsidR="005C45F7">
        <w:rPr>
          <w:noProof/>
        </w:rPr>
        <w:drawing>
          <wp:anchor distT="0" distB="0" distL="114300" distR="114300" simplePos="0" relativeHeight="251662336" behindDoc="0" locked="0" layoutInCell="1" allowOverlap="1" wp14:anchorId="08607FF3" wp14:editId="746B4CB6">
            <wp:simplePos x="0" y="0"/>
            <wp:positionH relativeFrom="margin">
              <wp:posOffset>1218565</wp:posOffset>
            </wp:positionH>
            <wp:positionV relativeFrom="paragraph">
              <wp:posOffset>8890</wp:posOffset>
            </wp:positionV>
            <wp:extent cx="1003935" cy="461645"/>
            <wp:effectExtent l="0" t="0" r="5715" b="0"/>
            <wp:wrapNone/>
            <wp:docPr id="1902109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09907" name="Picture 190210990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03935" cy="461645"/>
                    </a:xfrm>
                    <a:prstGeom prst="rect">
                      <a:avLst/>
                    </a:prstGeom>
                  </pic:spPr>
                </pic:pic>
              </a:graphicData>
            </a:graphic>
            <wp14:sizeRelH relativeFrom="margin">
              <wp14:pctWidth>0</wp14:pctWidth>
            </wp14:sizeRelH>
            <wp14:sizeRelV relativeFrom="margin">
              <wp14:pctHeight>0</wp14:pctHeight>
            </wp14:sizeRelV>
          </wp:anchor>
        </w:drawing>
      </w:r>
      <w:r w:rsidR="0084434B">
        <w:rPr>
          <w:noProof/>
        </w:rPr>
        <w:drawing>
          <wp:anchor distT="0" distB="0" distL="114300" distR="114300" simplePos="0" relativeHeight="251661312" behindDoc="0" locked="0" layoutInCell="1" allowOverlap="1" wp14:anchorId="57C20A33" wp14:editId="6679F1D3">
            <wp:simplePos x="0" y="0"/>
            <wp:positionH relativeFrom="margin">
              <wp:posOffset>102744</wp:posOffset>
            </wp:positionH>
            <wp:positionV relativeFrom="paragraph">
              <wp:posOffset>2188</wp:posOffset>
            </wp:positionV>
            <wp:extent cx="891767" cy="481330"/>
            <wp:effectExtent l="0" t="0" r="3810" b="0"/>
            <wp:wrapNone/>
            <wp:docPr id="1349358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58507" name="Picture 134935850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05114" cy="488534"/>
                    </a:xfrm>
                    <a:prstGeom prst="rect">
                      <a:avLst/>
                    </a:prstGeom>
                  </pic:spPr>
                </pic:pic>
              </a:graphicData>
            </a:graphic>
            <wp14:sizeRelH relativeFrom="margin">
              <wp14:pctWidth>0</wp14:pctWidth>
            </wp14:sizeRelH>
            <wp14:sizeRelV relativeFrom="margin">
              <wp14:pctHeight>0</wp14:pctHeight>
            </wp14:sizeRelV>
          </wp:anchor>
        </w:drawing>
      </w:r>
    </w:p>
    <w:p w14:paraId="3C7063DC" w14:textId="46D6BBDC" w:rsidR="005176A0" w:rsidRPr="00A76734" w:rsidRDefault="005176A0" w:rsidP="005176A0">
      <w:pPr>
        <w:pStyle w:val="Exampletext"/>
        <w:spacing w:before="720" w:after="0"/>
        <w:rPr>
          <w:rFonts w:ascii="Arial" w:hAnsi="Arial" w:cs="Arial"/>
          <w:b/>
          <w:bCs/>
          <w:i w:val="0"/>
          <w:color w:val="000000" w:themeColor="text1"/>
          <w:sz w:val="22"/>
          <w:szCs w:val="22"/>
          <w:lang w:val="en-AU"/>
        </w:rPr>
      </w:pPr>
      <w:r w:rsidRPr="00A76734">
        <w:rPr>
          <w:rFonts w:ascii="Arial" w:hAnsi="Arial" w:cs="Arial"/>
          <w:b/>
          <w:bCs/>
          <w:i w:val="0"/>
          <w:color w:val="000000" w:themeColor="text1"/>
          <w:sz w:val="22"/>
          <w:szCs w:val="22"/>
          <w:lang w:val="en-AU"/>
        </w:rPr>
        <w:t>PENNY WONG</w:t>
      </w:r>
      <w:r w:rsidR="005C45F7">
        <w:rPr>
          <w:rFonts w:ascii="Arial" w:hAnsi="Arial" w:cs="Arial"/>
          <w:b/>
          <w:bCs/>
          <w:i w:val="0"/>
          <w:color w:val="000000" w:themeColor="text1"/>
          <w:sz w:val="22"/>
          <w:szCs w:val="22"/>
          <w:lang w:val="en-AU"/>
        </w:rPr>
        <w:t xml:space="preserve">       </w:t>
      </w:r>
      <w:r w:rsidRPr="00A76734">
        <w:rPr>
          <w:rFonts w:ascii="Arial" w:hAnsi="Arial" w:cs="Arial"/>
          <w:b/>
          <w:bCs/>
          <w:i w:val="0"/>
          <w:color w:val="000000" w:themeColor="text1"/>
          <w:sz w:val="22"/>
          <w:szCs w:val="22"/>
          <w:lang w:val="en-AU"/>
        </w:rPr>
        <w:t>DON FAR</w:t>
      </w:r>
      <w:r>
        <w:rPr>
          <w:rFonts w:ascii="Arial" w:hAnsi="Arial" w:cs="Arial"/>
          <w:b/>
          <w:bCs/>
          <w:i w:val="0"/>
          <w:color w:val="000000" w:themeColor="text1"/>
          <w:sz w:val="22"/>
          <w:szCs w:val="22"/>
          <w:lang w:val="en-AU"/>
        </w:rPr>
        <w:t>R</w:t>
      </w:r>
      <w:r w:rsidRPr="00A76734">
        <w:rPr>
          <w:rFonts w:ascii="Arial" w:hAnsi="Arial" w:cs="Arial"/>
          <w:b/>
          <w:bCs/>
          <w:i w:val="0"/>
          <w:color w:val="000000" w:themeColor="text1"/>
          <w:sz w:val="22"/>
          <w:szCs w:val="22"/>
          <w:lang w:val="en-AU"/>
        </w:rPr>
        <w:t>ELL</w:t>
      </w:r>
      <w:r w:rsidR="005C45F7">
        <w:rPr>
          <w:rFonts w:ascii="Arial" w:hAnsi="Arial" w:cs="Arial"/>
          <w:b/>
          <w:bCs/>
          <w:i w:val="0"/>
          <w:color w:val="000000" w:themeColor="text1"/>
          <w:sz w:val="22"/>
          <w:szCs w:val="22"/>
          <w:lang w:val="en-AU"/>
        </w:rPr>
        <w:t xml:space="preserve">       </w:t>
      </w:r>
      <w:r w:rsidR="005C45F7" w:rsidRPr="005C45F7">
        <w:rPr>
          <w:rFonts w:ascii="Arial" w:hAnsi="Arial" w:cs="Arial"/>
          <w:b/>
          <w:bCs/>
          <w:i w:val="0"/>
          <w:color w:val="000000" w:themeColor="text1"/>
          <w:sz w:val="22"/>
          <w:szCs w:val="22"/>
          <w:lang w:val="en-AU"/>
        </w:rPr>
        <w:t>PAT CONROY</w:t>
      </w:r>
      <w:r w:rsidR="005C45F7">
        <w:rPr>
          <w:rFonts w:ascii="Arial" w:hAnsi="Arial" w:cs="Arial"/>
          <w:b/>
          <w:bCs/>
          <w:i w:val="0"/>
          <w:color w:val="000000" w:themeColor="text1"/>
          <w:sz w:val="22"/>
          <w:szCs w:val="22"/>
          <w:lang w:val="en-AU"/>
        </w:rPr>
        <w:t xml:space="preserve">       ANNE ALY</w:t>
      </w:r>
    </w:p>
    <w:p w14:paraId="18B546B3" w14:textId="1B190FC7" w:rsidR="00234809" w:rsidRPr="005176A0" w:rsidRDefault="005176A0" w:rsidP="005176A0">
      <w:pPr>
        <w:jc w:val="center"/>
        <w:rPr>
          <w:rStyle w:val="ExampletextCharChar"/>
          <w:i w:val="0"/>
          <w:iCs/>
          <w:color w:val="auto"/>
        </w:rPr>
      </w:pPr>
      <w:r w:rsidRPr="00A76734">
        <w:rPr>
          <w:color w:val="000000" w:themeColor="text1"/>
          <w:szCs w:val="19"/>
        </w:rPr>
        <w:t>Parliament House, Canberra ACT 2600,</w:t>
      </w:r>
      <w:r>
        <w:rPr>
          <w:color w:val="000000" w:themeColor="text1"/>
          <w:szCs w:val="19"/>
        </w:rPr>
        <w:t xml:space="preserve"> Australia</w:t>
      </w:r>
    </w:p>
    <w:p w14:paraId="0CC2F19D" w14:textId="586C66C2" w:rsidR="000911C5" w:rsidRDefault="000911C5">
      <w:pPr>
        <w:spacing w:before="0" w:after="0" w:line="240" w:lineRule="auto"/>
      </w:pPr>
    </w:p>
    <w:p w14:paraId="2A4BF75F" w14:textId="4A3420D7" w:rsidR="00FE3DE9" w:rsidRPr="00FE3DE9" w:rsidRDefault="00FE3DE9" w:rsidP="004260FC">
      <w:pPr>
        <w:spacing w:before="0" w:after="0" w:line="240" w:lineRule="auto"/>
        <w:sectPr w:rsidR="00FE3DE9" w:rsidRPr="00FE3DE9" w:rsidSect="00B85CDF">
          <w:headerReference w:type="default" r:id="rId24"/>
          <w:footerReference w:type="default" r:id="rId25"/>
          <w:headerReference w:type="first" r:id="rId26"/>
          <w:footerReference w:type="first" r:id="rId27"/>
          <w:pgSz w:w="11906" w:h="16838" w:code="9"/>
          <w:pgMar w:top="2835" w:right="2098" w:bottom="2466" w:left="2098" w:header="1814" w:footer="1814" w:gutter="0"/>
          <w:pgNumType w:fmt="lowerRoman"/>
          <w:cols w:space="708"/>
          <w:titlePg/>
          <w:docGrid w:linePitch="360"/>
        </w:sectPr>
      </w:pPr>
    </w:p>
    <w:p w14:paraId="2D3A83F7" w14:textId="77777777" w:rsidR="009C0C48" w:rsidRPr="00BB6978" w:rsidRDefault="009C0C48" w:rsidP="00BB6978">
      <w:pPr>
        <w:pStyle w:val="Heading4"/>
      </w:pPr>
      <w:r w:rsidRPr="00BB6978">
        <w:lastRenderedPageBreak/>
        <w:t>Abbreviations and conventions</w:t>
      </w:r>
    </w:p>
    <w:p w14:paraId="38E5624A" w14:textId="77777777" w:rsidR="009C0C48" w:rsidRDefault="009C0C48" w:rsidP="00BB6978">
      <w:r>
        <w:t>The following notation may be used:</w:t>
      </w:r>
    </w:p>
    <w:p w14:paraId="52F87644" w14:textId="77777777" w:rsidR="009C0C48" w:rsidRDefault="009C0C48" w:rsidP="00BB6978">
      <w:pPr>
        <w:pStyle w:val="NormalIndent"/>
      </w:pPr>
      <w:r>
        <w:t>NEC/nec</w:t>
      </w:r>
      <w:r>
        <w:tab/>
        <w:t>not elsewhere classified</w:t>
      </w:r>
    </w:p>
    <w:p w14:paraId="20DDF030" w14:textId="406B0535" w:rsidR="009C0C48" w:rsidRDefault="00AF213C" w:rsidP="00BB6978">
      <w:pPr>
        <w:pStyle w:val="NormalIndent"/>
      </w:pPr>
      <w:r>
        <w:noBreakHyphen/>
      </w:r>
      <w:r w:rsidR="009C0C48">
        <w:tab/>
        <w:t>nil</w:t>
      </w:r>
    </w:p>
    <w:p w14:paraId="7D5420F9" w14:textId="77777777" w:rsidR="009C0C48" w:rsidRDefault="009C0C48" w:rsidP="00BB6978">
      <w:pPr>
        <w:pStyle w:val="NormalIndent"/>
      </w:pPr>
      <w:r>
        <w:t>..</w:t>
      </w:r>
      <w:r>
        <w:tab/>
        <w:t>not zero, but rounded to zero</w:t>
      </w:r>
    </w:p>
    <w:p w14:paraId="1F81F1DC" w14:textId="77777777" w:rsidR="009C0C48" w:rsidRDefault="009C0C48" w:rsidP="00BB6978">
      <w:pPr>
        <w:pStyle w:val="NormalIndent"/>
      </w:pPr>
      <w:proofErr w:type="spellStart"/>
      <w:r>
        <w:t>na</w:t>
      </w:r>
      <w:proofErr w:type="spellEnd"/>
      <w:r>
        <w:tab/>
        <w:t>not applicable (unless otherwise specified)</w:t>
      </w:r>
    </w:p>
    <w:p w14:paraId="57285312" w14:textId="77777777" w:rsidR="009C0C48" w:rsidRDefault="009C0C48" w:rsidP="00BB6978">
      <w:pPr>
        <w:pStyle w:val="NormalIndent"/>
      </w:pPr>
      <w:proofErr w:type="spellStart"/>
      <w:r>
        <w:t>nfp</w:t>
      </w:r>
      <w:proofErr w:type="spellEnd"/>
      <w:r>
        <w:tab/>
        <w:t>not for publication</w:t>
      </w:r>
    </w:p>
    <w:p w14:paraId="28F18F02" w14:textId="77777777" w:rsidR="009048DE" w:rsidRDefault="009C0C48" w:rsidP="00BB6978">
      <w:pPr>
        <w:pStyle w:val="NormalIndent"/>
      </w:pPr>
      <w:r>
        <w:t>$m</w:t>
      </w:r>
      <w:r>
        <w:tab/>
        <w:t>$ million</w:t>
      </w:r>
    </w:p>
    <w:p w14:paraId="62116409" w14:textId="075A295D" w:rsidR="009C0C48" w:rsidRDefault="009C0C48" w:rsidP="00BB6978">
      <w:pPr>
        <w:pStyle w:val="NormalIndent"/>
      </w:pPr>
      <w:r>
        <w:t>$b</w:t>
      </w:r>
      <w:r>
        <w:tab/>
        <w:t>$ billion</w:t>
      </w:r>
    </w:p>
    <w:p w14:paraId="50378DC7" w14:textId="77777777" w:rsidR="009C0C48" w:rsidRDefault="009C0C48" w:rsidP="00BB697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BB6978">
      <w:pPr>
        <w:pStyle w:val="Heading4"/>
      </w:pPr>
      <w:r w:rsidRPr="00BB6978">
        <w:t>Enquiries</w:t>
      </w:r>
    </w:p>
    <w:p w14:paraId="008C1E22" w14:textId="06C0905D" w:rsidR="009C0C48" w:rsidRDefault="009C0C48" w:rsidP="009C0C48">
      <w:r>
        <w:t xml:space="preserve">Should you have any enquiries regarding this publication please contact </w:t>
      </w:r>
      <w:r w:rsidR="00E769BD">
        <w:t>t</w:t>
      </w:r>
      <w:r w:rsidR="00E769BD" w:rsidRPr="00A76734">
        <w:rPr>
          <w:color w:val="000000" w:themeColor="text1"/>
        </w:rPr>
        <w:t>he Chief Financial Officer, Department of Foreign Affairs and Trade on (02) 6261 1111</w:t>
      </w:r>
      <w:r w:rsidR="00E769BD">
        <w:rPr>
          <w:color w:val="000000" w:themeColor="text1"/>
        </w:rPr>
        <w:t xml:space="preserve">. </w:t>
      </w:r>
    </w:p>
    <w:p w14:paraId="731AA451" w14:textId="7066A964" w:rsidR="000911C5" w:rsidRDefault="009D40C6" w:rsidP="0045344D">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28" w:history="1">
        <w:r w:rsidR="005F3506" w:rsidRPr="00F24527">
          <w:rPr>
            <w:rStyle w:val="Hyperlink"/>
          </w:rPr>
          <w:t>www.budget.gov.au</w:t>
        </w:r>
      </w:hyperlink>
      <w:r w:rsidR="009C0C48">
        <w:t>.</w:t>
      </w:r>
    </w:p>
    <w:p w14:paraId="5C3CDAD3" w14:textId="77777777" w:rsidR="00174186" w:rsidRDefault="00174186" w:rsidP="00174186"/>
    <w:p w14:paraId="5DA9806E" w14:textId="4FEF2322" w:rsidR="002F54BA" w:rsidRPr="00174186" w:rsidRDefault="002F54BA" w:rsidP="004260FC">
      <w:pPr>
        <w:spacing w:before="0" w:after="0" w:line="240" w:lineRule="auto"/>
        <w:sectPr w:rsidR="002F54BA" w:rsidRPr="00174186" w:rsidSect="00B448F0">
          <w:headerReference w:type="even" r:id="rId29"/>
          <w:headerReference w:type="default" r:id="rId30"/>
          <w:footerReference w:type="even" r:id="rId31"/>
          <w:headerReference w:type="first" r:id="rId32"/>
          <w:footerReference w:type="first" r:id="rId33"/>
          <w:pgSz w:w="11906" w:h="16838" w:code="9"/>
          <w:pgMar w:top="2835" w:right="2098" w:bottom="2466" w:left="2098" w:header="1814" w:footer="1814" w:gutter="0"/>
          <w:pgNumType w:fmt="lowerRoman"/>
          <w:cols w:space="708"/>
          <w:docGrid w:linePitch="360"/>
        </w:sectPr>
      </w:pPr>
    </w:p>
    <w:p w14:paraId="0482DA3E" w14:textId="77777777" w:rsidR="001512C6" w:rsidRPr="001512C6" w:rsidRDefault="00883894" w:rsidP="001512C6">
      <w:pPr>
        <w:pStyle w:val="PartHeading"/>
        <w:spacing w:after="0"/>
      </w:pPr>
      <w:bookmarkStart w:id="1" w:name="_Toc444523502"/>
      <w:r w:rsidRPr="001512C6">
        <w:lastRenderedPageBreak/>
        <w:t xml:space="preserve">User </w:t>
      </w:r>
      <w:r w:rsidR="00250122" w:rsidRPr="001512C6">
        <w:t>g</w:t>
      </w:r>
      <w:r w:rsidRPr="001512C6">
        <w:t>uide</w:t>
      </w:r>
      <w:bookmarkStart w:id="2" w:name="_Toc444523503"/>
      <w:bookmarkEnd w:id="1"/>
    </w:p>
    <w:p w14:paraId="44F214CE" w14:textId="348B4F04" w:rsidR="008D7DFC" w:rsidRDefault="00250122" w:rsidP="001512C6">
      <w:pPr>
        <w:pStyle w:val="PartHeading-TOC"/>
        <w:spacing w:before="0"/>
      </w:pPr>
      <w:r w:rsidRPr="001512C6">
        <w:t>t</w:t>
      </w:r>
      <w:r w:rsidR="00883894" w:rsidRPr="001512C6">
        <w:t xml:space="preserve">o </w:t>
      </w:r>
      <w:r w:rsidRPr="001512C6">
        <w:t>t</w:t>
      </w:r>
      <w:r w:rsidR="00883894" w:rsidRPr="001512C6">
        <w:t>he</w:t>
      </w:r>
      <w:bookmarkStart w:id="3" w:name="_Toc444523504"/>
      <w:bookmarkEnd w:id="2"/>
      <w:r w:rsidR="00BB6978" w:rsidRPr="001512C6">
        <w:t xml:space="preserve"> </w:t>
      </w:r>
      <w:r w:rsidR="00883894" w:rsidRPr="001512C6">
        <w:t>Portfolio</w:t>
      </w:r>
      <w:r w:rsidR="00BB6978" w:rsidRPr="001512C6">
        <w:t> </w:t>
      </w:r>
      <w:r w:rsidR="00883894" w:rsidRPr="001512C6">
        <w:t>Budget</w:t>
      </w:r>
      <w:r w:rsidR="00BB6978" w:rsidRPr="001512C6">
        <w:t> </w:t>
      </w:r>
      <w:r w:rsidR="00883894" w:rsidRPr="001512C6">
        <w:t>Statements</w:t>
      </w:r>
      <w:bookmarkEnd w:id="3"/>
    </w:p>
    <w:p w14:paraId="0A299BAB" w14:textId="7B3EFBFD" w:rsidR="004260FC" w:rsidRPr="004260FC" w:rsidRDefault="004260FC" w:rsidP="004260FC">
      <w:pPr>
        <w:spacing w:before="0" w:after="0" w:line="240" w:lineRule="auto"/>
        <w:rPr>
          <w:rFonts w:ascii="Arial Bold" w:hAnsi="Arial Bold" w:cs="Arial"/>
          <w:b/>
          <w:bCs/>
          <w:kern w:val="28"/>
          <w:sz w:val="52"/>
          <w:szCs w:val="32"/>
        </w:rPr>
        <w:sectPr w:rsidR="004260FC" w:rsidRPr="004260FC" w:rsidSect="00472007">
          <w:headerReference w:type="first" r:id="rId34"/>
          <w:footerReference w:type="first" r:id="rId35"/>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BB6978">
      <w:pPr>
        <w:pStyle w:val="Heading1"/>
        <w:rPr>
          <w:lang w:val="en-US"/>
        </w:rPr>
      </w:pPr>
      <w:bookmarkStart w:id="4" w:name="_Toc112211948"/>
      <w:bookmarkStart w:id="5" w:name="_Toc112212042"/>
      <w:bookmarkStart w:id="6" w:name="_Toc112137860"/>
      <w:bookmarkStart w:id="7" w:name="_Toc112224367"/>
      <w:bookmarkStart w:id="8" w:name="_Toc112225828"/>
      <w:bookmarkStart w:id="9" w:name="_Toc221878500"/>
      <w:r w:rsidRPr="006928E4">
        <w:lastRenderedPageBreak/>
        <w:t>User</w:t>
      </w:r>
      <w:r>
        <w:rPr>
          <w:lang w:val="en-US"/>
        </w:rPr>
        <w:t xml:space="preserve"> </w:t>
      </w:r>
      <w:r w:rsidR="00CA2F21" w:rsidRPr="00BB6978">
        <w:t>g</w:t>
      </w:r>
      <w:r w:rsidRPr="00BB6978">
        <w:t>uide</w:t>
      </w:r>
      <w:bookmarkEnd w:id="4"/>
      <w:bookmarkEnd w:id="5"/>
      <w:bookmarkEnd w:id="6"/>
      <w:bookmarkEnd w:id="7"/>
      <w:bookmarkEnd w:id="8"/>
      <w:bookmarkEnd w:id="9"/>
    </w:p>
    <w:p w14:paraId="472A886D" w14:textId="51768A24" w:rsidR="008D7DFC" w:rsidRDefault="00A409BC" w:rsidP="00BB6978">
      <w:r>
        <w:t xml:space="preserve">The purpose of the </w:t>
      </w:r>
      <w:r w:rsidR="009709FF">
        <w:rPr>
          <w:i/>
        </w:rPr>
        <w:t>2026–27</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3E791040"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w:t>
      </w:r>
      <w:r w:rsidR="54A74795">
        <w:t>2</w:t>
      </w:r>
      <w:r w:rsidR="009709FF">
        <w:t>6</w:t>
      </w:r>
      <w:r w:rsidR="00EC33E6">
        <w:t>–</w:t>
      </w:r>
      <w:r w:rsidR="740A3A02">
        <w:t>20</w:t>
      </w:r>
      <w:r w:rsidR="0029106B">
        <w:t>2</w:t>
      </w:r>
      <w:r w:rsidR="009709FF">
        <w:t>7</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w:t>
      </w:r>
      <w:r w:rsidR="009709FF">
        <w:t>6</w:t>
      </w:r>
      <w:r w:rsidR="00EC33E6">
        <w:t>–</w:t>
      </w:r>
      <w:r w:rsidR="0154F000">
        <w:t>20</w:t>
      </w:r>
      <w:r w:rsidR="0029106B">
        <w:t>2</w:t>
      </w:r>
      <w:r w:rsidR="009709FF">
        <w:t>7</w:t>
      </w:r>
      <w:r w:rsidR="00400A8B">
        <w:t xml:space="preserve"> </w:t>
      </w:r>
      <w:r>
        <w:t>for the parliame</w:t>
      </w:r>
      <w:r w:rsidR="00705BC0">
        <w:t>ntary departments)</w:t>
      </w:r>
      <w:r w:rsidR="0090405D">
        <w:t xml:space="preserve"> </w:t>
      </w:r>
      <w:r w:rsidR="0090405D" w:rsidRPr="00AF0A7A">
        <w:t xml:space="preserve">and related Supply Bills where they exist applicable to the </w:t>
      </w:r>
      <w:r w:rsidR="009709FF">
        <w:t>2026–27</w:t>
      </w:r>
      <w:r w:rsidR="0090405D" w:rsidRPr="00AF0A7A">
        <w:t xml:space="preserve"> Budget</w:t>
      </w:r>
      <w:r w:rsidR="00705BC0" w:rsidRPr="00AF0A7A">
        <w:t>. In this sens</w:t>
      </w:r>
      <w:r w:rsidRPr="00AF0A7A">
        <w:t>e</w:t>
      </w:r>
      <w:r w:rsidR="00705BC0" w:rsidRPr="00AF0A7A">
        <w:t>,</w:t>
      </w:r>
      <w:r w:rsidRPr="00AF0A7A">
        <w:t xml:space="preserve"> the PB Statements are Budget related papers and are declared by the Appropriation Acts to</w:t>
      </w:r>
      <w:r>
        <w:t xml:space="preserve"> be </w:t>
      </w:r>
      <w:r w:rsidR="00AF213C">
        <w:t>‘</w:t>
      </w:r>
      <w:r>
        <w:t>relevant documents</w:t>
      </w:r>
      <w:r w:rsidR="00AF213C">
        <w:t>’</w:t>
      </w:r>
      <w:r>
        <w:t xml:space="preserve">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22219698" w:rsidR="00AF3117" w:rsidRPr="005328A9" w:rsidRDefault="00AF3117" w:rsidP="005328A9">
      <w:pPr>
        <w:pStyle w:val="Heading2NoTOC"/>
      </w:pPr>
      <w:r w:rsidRPr="005328A9">
        <w:t>The Com</w:t>
      </w:r>
      <w:r w:rsidR="00834F9A" w:rsidRPr="005328A9">
        <w:t xml:space="preserve">monwealth </w:t>
      </w:r>
      <w:r w:rsidR="0011741C">
        <w:t>p</w:t>
      </w:r>
      <w:r w:rsidR="00834F9A" w:rsidRPr="005328A9">
        <w:t xml:space="preserve">erformance </w:t>
      </w:r>
      <w:r w:rsidR="0011741C">
        <w:t>f</w:t>
      </w:r>
      <w:r w:rsidR="00834F9A" w:rsidRPr="005328A9">
        <w:t>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13F71848" w14:textId="77777777" w:rsidR="008731ED" w:rsidRPr="008731ED" w:rsidRDefault="008731ED" w:rsidP="008731ED">
      <w:pPr>
        <w:pStyle w:val="Heading3noTOC"/>
        <w:spacing w:before="0" w:after="60"/>
        <w:jc w:val="center"/>
      </w:pPr>
      <w:r w:rsidRPr="008731ED">
        <w:lastRenderedPageBreak/>
        <w:t>Commonwealth performance framework</w:t>
      </w:r>
    </w:p>
    <w:p w14:paraId="096B38A2" w14:textId="77777777" w:rsidR="008731ED" w:rsidRPr="008731ED" w:rsidRDefault="008731ED" w:rsidP="008731ED">
      <w:pPr>
        <w:pStyle w:val="Heading3noTOC"/>
        <w:spacing w:before="0"/>
        <w:jc w:val="center"/>
        <w:rPr>
          <w:rFonts w:ascii="Arial" w:hAnsi="Arial" w:cs="Arial"/>
          <w:b w:val="0"/>
          <w:bCs/>
        </w:rPr>
      </w:pPr>
      <w:r w:rsidRPr="008731ED">
        <w:rPr>
          <w:rFonts w:ascii="Arial" w:hAnsi="Arial" w:cs="Arial"/>
          <w:b w:val="0"/>
          <w:bCs/>
        </w:rPr>
        <w:t>Key components of relevant publications</w:t>
      </w:r>
    </w:p>
    <w:p w14:paraId="71685459" w14:textId="77777777" w:rsidR="008731ED" w:rsidRPr="008731ED" w:rsidRDefault="008731ED" w:rsidP="008731ED">
      <w:pPr>
        <w:pStyle w:val="SingleParagraph"/>
      </w:pPr>
    </w:p>
    <w:p w14:paraId="4A78CEB2" w14:textId="77777777" w:rsidR="008731ED" w:rsidRPr="008731ED" w:rsidRDefault="008731ED" w:rsidP="008731ED">
      <w:pPr>
        <w:pStyle w:val="ChartGraphic"/>
      </w:pPr>
      <w:r w:rsidRPr="008731ED">
        <w:rPr>
          <w:noProof/>
        </w:rPr>
        <w:drawing>
          <wp:inline distT="0" distB="0" distL="0" distR="0" wp14:anchorId="32E7B0C9" wp14:editId="7D75D6DF">
            <wp:extent cx="4752000" cy="1452103"/>
            <wp:effectExtent l="0" t="0" r="0" b="0"/>
            <wp:docPr id="253528118" name="Graphic 1" descr="The Portfolio Budget Statements (PBS) link to the Commonwealth entity’s corporate plan through reporting key activities. Entities report on their actual performance results set out in both the PBS and corporate plan through their annual performance statements, included in the entity’s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28118" name="Graphic 1" descr="The Portfolio Budget Statements (PBS) link to the Commonwealth entity’s corporate plan through reporting key activities. Entities report on their actual performance results set out in both the PBS and corporate plan through their annual performance statements, included in the entity’s annual report."/>
                    <pic:cNvPicPr/>
                  </pic:nvPicPr>
                  <pic:blipFill>
                    <a:blip r:embed="rId36">
                      <a:extLst>
                        <a:ext uri="{96DAC541-7B7A-43D3-8B79-37D633B846F1}">
                          <asvg:svgBlip xmlns:asvg="http://schemas.microsoft.com/office/drawing/2016/SVG/main" r:embed="rId37"/>
                        </a:ext>
                      </a:extLst>
                    </a:blip>
                    <a:stretch>
                      <a:fillRect/>
                    </a:stretch>
                  </pic:blipFill>
                  <pic:spPr>
                    <a:xfrm>
                      <a:off x="0" y="0"/>
                      <a:ext cx="4752000" cy="1452103"/>
                    </a:xfrm>
                    <a:prstGeom prst="rect">
                      <a:avLst/>
                    </a:prstGeom>
                  </pic:spPr>
                </pic:pic>
              </a:graphicData>
            </a:graphic>
          </wp:inline>
        </w:drawing>
      </w:r>
    </w:p>
    <w:p w14:paraId="179E5FF4" w14:textId="77777777" w:rsidR="008731ED" w:rsidRPr="008731ED" w:rsidRDefault="008731ED" w:rsidP="008731ED">
      <w:pPr>
        <w:pStyle w:val="SingleParagraph"/>
      </w:pPr>
    </w:p>
    <w:p w14:paraId="31D3CC96" w14:textId="77777777" w:rsidR="008731ED" w:rsidRPr="008731ED" w:rsidRDefault="008731ED" w:rsidP="008731ED">
      <w:pPr>
        <w:pStyle w:val="SingleParagraph"/>
      </w:pPr>
    </w:p>
    <w:p w14:paraId="255C7222" w14:textId="77777777" w:rsidR="008731ED" w:rsidRPr="008731ED" w:rsidRDefault="008731ED" w:rsidP="008731ED">
      <w:pPr>
        <w:spacing w:before="0" w:after="0" w:line="240" w:lineRule="auto"/>
        <w:sectPr w:rsidR="008731ED" w:rsidRPr="008731ED" w:rsidSect="007C78A9">
          <w:headerReference w:type="even" r:id="rId38"/>
          <w:headerReference w:type="default" r:id="rId39"/>
          <w:footerReference w:type="even" r:id="rId40"/>
          <w:footerReference w:type="default" r:id="rId41"/>
          <w:type w:val="oddPage"/>
          <w:pgSz w:w="11906" w:h="16838" w:code="9"/>
          <w:pgMar w:top="2835" w:right="2098" w:bottom="2466" w:left="2098" w:header="1814" w:footer="1814" w:gutter="0"/>
          <w:pgNumType w:fmt="lowerRoman"/>
          <w:cols w:space="708"/>
          <w:docGrid w:linePitch="360"/>
        </w:sectPr>
      </w:pPr>
    </w:p>
    <w:p w14:paraId="70DDBC10" w14:textId="29B5F9F0" w:rsidR="007C78A9" w:rsidRDefault="007C78A9" w:rsidP="007C78A9">
      <w:pPr>
        <w:pStyle w:val="Heading4"/>
        <w:pBdr>
          <w:top w:val="single" w:sz="4" w:space="6" w:color="auto"/>
          <w:left w:val="single" w:sz="4" w:space="6" w:color="auto"/>
          <w:bottom w:val="single" w:sz="4" w:space="12" w:color="auto"/>
          <w:right w:val="single" w:sz="4" w:space="6" w:color="auto"/>
        </w:pBdr>
        <w:spacing w:after="60"/>
      </w:pPr>
      <w:r w:rsidRPr="00540092">
        <w:t xml:space="preserve">Portfolio </w:t>
      </w:r>
      <w:r w:rsidRPr="00AF24BE">
        <w:t>Budget</w:t>
      </w:r>
      <w:r w:rsidRPr="00540092">
        <w:t xml:space="preserve"> Statements</w:t>
      </w:r>
    </w:p>
    <w:p w14:paraId="0584B6AA" w14:textId="65488AA2" w:rsidR="007C78A9" w:rsidRPr="007C077B" w:rsidRDefault="007C78A9" w:rsidP="007C78A9">
      <w:pPr>
        <w:pBdr>
          <w:top w:val="single" w:sz="4" w:space="6" w:color="auto"/>
          <w:left w:val="single" w:sz="4" w:space="6" w:color="auto"/>
          <w:bottom w:val="single" w:sz="4" w:space="12" w:color="auto"/>
          <w:right w:val="single" w:sz="4" w:space="6" w:color="auto"/>
        </w:pBdr>
        <w:spacing w:before="0" w:after="120"/>
        <w:rPr>
          <w:rFonts w:ascii="Arial" w:hAnsi="Arial" w:cs="Arial"/>
          <w:sz w:val="20"/>
          <w:szCs w:val="22"/>
        </w:rPr>
      </w:pPr>
      <w:r w:rsidRPr="007C077B">
        <w:rPr>
          <w:rFonts w:ascii="Arial" w:hAnsi="Arial" w:cs="Arial"/>
          <w:sz w:val="20"/>
          <w:szCs w:val="22"/>
        </w:rPr>
        <w:t>(</w:t>
      </w:r>
      <w:proofErr w:type="gramStart"/>
      <w:r w:rsidRPr="007C077B">
        <w:rPr>
          <w:rFonts w:ascii="Arial" w:hAnsi="Arial" w:cs="Arial"/>
          <w:sz w:val="20"/>
          <w:szCs w:val="22"/>
        </w:rPr>
        <w:t>typically</w:t>
      </w:r>
      <w:proofErr w:type="gramEnd"/>
      <w:r w:rsidRPr="007C077B">
        <w:rPr>
          <w:rFonts w:ascii="Arial" w:hAnsi="Arial" w:cs="Arial"/>
          <w:sz w:val="20"/>
          <w:szCs w:val="22"/>
        </w:rPr>
        <w:t xml:space="preserve"> </w:t>
      </w:r>
      <w:r w:rsidR="00E11DCA">
        <w:rPr>
          <w:rFonts w:ascii="Arial" w:hAnsi="Arial" w:cs="Arial"/>
          <w:sz w:val="20"/>
          <w:szCs w:val="22"/>
        </w:rPr>
        <w:t xml:space="preserve">in </w:t>
      </w:r>
      <w:r w:rsidRPr="007C077B">
        <w:rPr>
          <w:rFonts w:ascii="Arial" w:hAnsi="Arial" w:cs="Arial"/>
          <w:sz w:val="20"/>
          <w:szCs w:val="22"/>
        </w:rPr>
        <w:t>May) Portfolio based</w:t>
      </w:r>
    </w:p>
    <w:p w14:paraId="4F604D2E"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after="120"/>
        <w:rPr>
          <w:rFonts w:ascii="Arial" w:hAnsi="Arial" w:cs="Arial"/>
          <w:sz w:val="18"/>
          <w:szCs w:val="18"/>
        </w:rPr>
      </w:pPr>
      <w:r w:rsidRPr="00F406A9">
        <w:rPr>
          <w:rFonts w:ascii="Arial" w:hAnsi="Arial" w:cs="Arial"/>
          <w:sz w:val="18"/>
          <w:szCs w:val="18"/>
        </w:rPr>
        <w:t>Supports Annual Appropriations. Informs senators and members of parliament of the proposed allocations of other resources to government outcomes and programs.</w:t>
      </w:r>
    </w:p>
    <w:p w14:paraId="3C7DCB1B"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120"/>
        <w:rPr>
          <w:rFonts w:ascii="Arial" w:hAnsi="Arial" w:cs="Arial"/>
          <w:sz w:val="18"/>
          <w:szCs w:val="18"/>
        </w:rPr>
      </w:pPr>
      <w:r w:rsidRPr="00F406A9">
        <w:rPr>
          <w:rFonts w:ascii="Arial" w:hAnsi="Arial" w:cs="Arial"/>
          <w:sz w:val="18"/>
          <w:szCs w:val="18"/>
        </w:rPr>
        <w:t>Provides links to relevant programs undertaken by other Commonwealth entities.</w:t>
      </w:r>
    </w:p>
    <w:p w14:paraId="40E5AC24"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120"/>
        <w:rPr>
          <w:rFonts w:ascii="Arial" w:hAnsi="Arial" w:cs="Arial"/>
          <w:spacing w:val="-2"/>
          <w:sz w:val="18"/>
          <w:szCs w:val="18"/>
        </w:rPr>
      </w:pPr>
      <w:r w:rsidRPr="00F406A9">
        <w:rPr>
          <w:rFonts w:ascii="Arial" w:hAnsi="Arial" w:cs="Arial"/>
          <w:spacing w:val="-2"/>
          <w:sz w:val="18"/>
          <w:szCs w:val="18"/>
        </w:rPr>
        <w:t>Provides high-level performance information for current, ongoing programs.</w:t>
      </w:r>
    </w:p>
    <w:p w14:paraId="4609B90B"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120"/>
        <w:rPr>
          <w:rFonts w:ascii="Arial" w:hAnsi="Arial" w:cs="Arial"/>
          <w:sz w:val="18"/>
          <w:szCs w:val="18"/>
        </w:rPr>
      </w:pPr>
      <w:r w:rsidRPr="00F406A9">
        <w:rPr>
          <w:rFonts w:ascii="Arial" w:hAnsi="Arial" w:cs="Arial"/>
          <w:sz w:val="18"/>
          <w:szCs w:val="18"/>
        </w:rPr>
        <w:t>Provides detailed performance information for proposed new budget measures that require a new program or significantly change an existing program.</w:t>
      </w:r>
    </w:p>
    <w:p w14:paraId="7E0CBE46"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0"/>
        <w:rPr>
          <w:rFonts w:ascii="Arial" w:hAnsi="Arial" w:cs="Arial"/>
          <w:sz w:val="18"/>
          <w:szCs w:val="18"/>
        </w:rPr>
      </w:pPr>
      <w:r w:rsidRPr="00F406A9">
        <w:rPr>
          <w:rFonts w:ascii="Arial" w:hAnsi="Arial" w:cs="Arial"/>
          <w:sz w:val="18"/>
          <w:szCs w:val="18"/>
        </w:rPr>
        <w:t>Links to the corporate plan through reporting key activities.</w:t>
      </w:r>
    </w:p>
    <w:p w14:paraId="0D37AD08" w14:textId="77777777" w:rsidR="008731ED" w:rsidRPr="008731ED" w:rsidRDefault="008731ED" w:rsidP="007C78A9">
      <w:pPr>
        <w:pStyle w:val="SingleParagraph"/>
      </w:pPr>
    </w:p>
    <w:p w14:paraId="69A26A46" w14:textId="45422C8D" w:rsidR="007C78A9" w:rsidRDefault="007C78A9" w:rsidP="007C78A9">
      <w:pPr>
        <w:pStyle w:val="Heading4"/>
        <w:pBdr>
          <w:top w:val="single" w:sz="4" w:space="6" w:color="auto"/>
          <w:left w:val="single" w:sz="4" w:space="6" w:color="auto"/>
          <w:bottom w:val="single" w:sz="4" w:space="6" w:color="auto"/>
          <w:right w:val="single" w:sz="4" w:space="6" w:color="auto"/>
        </w:pBdr>
        <w:spacing w:after="60"/>
      </w:pPr>
      <w:r w:rsidRPr="00AF24BE">
        <w:t>Corporate</w:t>
      </w:r>
      <w:r w:rsidRPr="00540092">
        <w:t xml:space="preserve"> plan</w:t>
      </w:r>
    </w:p>
    <w:p w14:paraId="16D3E0FD" w14:textId="4AECABA8" w:rsidR="007C78A9" w:rsidRPr="007C077B" w:rsidRDefault="007C78A9" w:rsidP="007C78A9">
      <w:pPr>
        <w:pBdr>
          <w:top w:val="single" w:sz="4" w:space="6" w:color="auto"/>
          <w:left w:val="single" w:sz="4" w:space="6" w:color="auto"/>
          <w:bottom w:val="single" w:sz="4" w:space="6" w:color="auto"/>
          <w:right w:val="single" w:sz="4" w:space="6" w:color="auto"/>
        </w:pBdr>
        <w:spacing w:before="0" w:after="120"/>
        <w:rPr>
          <w:rFonts w:ascii="Arial" w:hAnsi="Arial" w:cs="Arial"/>
          <w:sz w:val="20"/>
          <w:szCs w:val="22"/>
        </w:rPr>
      </w:pPr>
      <w:r w:rsidRPr="007C077B">
        <w:rPr>
          <w:rFonts w:ascii="Arial" w:hAnsi="Arial" w:cs="Arial"/>
          <w:sz w:val="20"/>
          <w:szCs w:val="22"/>
        </w:rPr>
        <w:t>(</w:t>
      </w:r>
      <w:r w:rsidR="00E11DCA">
        <w:rPr>
          <w:rFonts w:ascii="Arial" w:hAnsi="Arial" w:cs="Arial"/>
          <w:sz w:val="20"/>
          <w:szCs w:val="22"/>
        </w:rPr>
        <w:t xml:space="preserve">by </w:t>
      </w:r>
      <w:r w:rsidRPr="007C077B">
        <w:rPr>
          <w:rFonts w:ascii="Arial" w:hAnsi="Arial" w:cs="Arial"/>
          <w:sz w:val="20"/>
          <w:szCs w:val="22"/>
        </w:rPr>
        <w:t>31 August) Entity based</w:t>
      </w:r>
    </w:p>
    <w:p w14:paraId="596B106B"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after="120"/>
        <w:rPr>
          <w:rFonts w:ascii="Arial" w:hAnsi="Arial" w:cs="Arial"/>
          <w:sz w:val="18"/>
          <w:szCs w:val="18"/>
        </w:rPr>
      </w:pPr>
      <w:r w:rsidRPr="00F406A9">
        <w:rPr>
          <w:rFonts w:ascii="Arial" w:hAnsi="Arial" w:cs="Arial"/>
          <w:sz w:val="18"/>
          <w:szCs w:val="18"/>
        </w:rPr>
        <w:t>Primary planning document of a Commonwealth entity.</w:t>
      </w:r>
    </w:p>
    <w:p w14:paraId="7B61AFC9"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Sets out the purposes of the entity and the key activities it will undertake to achieve its purposes</w:t>
      </w:r>
      <w:r w:rsidRPr="00F406A9">
        <w:rPr>
          <w:rFonts w:ascii="Arial" w:hAnsi="Arial" w:cs="Arial"/>
          <w:b/>
          <w:bCs/>
          <w:sz w:val="18"/>
          <w:szCs w:val="18"/>
        </w:rPr>
        <w:t>,</w:t>
      </w:r>
      <w:r w:rsidRPr="00F406A9">
        <w:rPr>
          <w:rFonts w:ascii="Arial" w:hAnsi="Arial" w:cs="Arial"/>
          <w:sz w:val="18"/>
          <w:szCs w:val="18"/>
        </w:rPr>
        <w:t xml:space="preserve"> over a minimum 4</w:t>
      </w:r>
      <w:r w:rsidRPr="00F406A9">
        <w:rPr>
          <w:rFonts w:ascii="Arial" w:hAnsi="Arial" w:cs="Arial"/>
          <w:sz w:val="18"/>
          <w:szCs w:val="18"/>
        </w:rPr>
        <w:noBreakHyphen/>
        <w:t>year period.</w:t>
      </w:r>
    </w:p>
    <w:p w14:paraId="6DA1A6D5"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6D8A1A1C"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0"/>
        <w:rPr>
          <w:rFonts w:ascii="Arial" w:hAnsi="Arial" w:cs="Arial"/>
          <w:sz w:val="18"/>
          <w:szCs w:val="18"/>
        </w:rPr>
      </w:pPr>
      <w:r w:rsidRPr="00F406A9">
        <w:rPr>
          <w:rFonts w:ascii="Arial" w:hAnsi="Arial" w:cs="Arial"/>
          <w:sz w:val="18"/>
          <w:szCs w:val="18"/>
        </w:rPr>
        <w:t>Explains how the entity’s performance will be measured and assessed.</w:t>
      </w:r>
    </w:p>
    <w:p w14:paraId="7CEEBE6C" w14:textId="77777777" w:rsidR="008731ED" w:rsidRPr="008731ED" w:rsidRDefault="008731ED" w:rsidP="008731ED">
      <w:pPr>
        <w:spacing w:before="0" w:after="0" w:line="240" w:lineRule="auto"/>
      </w:pPr>
    </w:p>
    <w:p w14:paraId="6E0C22A1" w14:textId="77777777" w:rsidR="008731ED" w:rsidRPr="008731ED" w:rsidRDefault="008731ED" w:rsidP="007C78A9">
      <w:pPr>
        <w:pStyle w:val="SingleParagraph"/>
        <w:sectPr w:rsidR="008731ED" w:rsidRPr="008731ED" w:rsidSect="008731ED">
          <w:type w:val="continuous"/>
          <w:pgSz w:w="11906" w:h="16838" w:code="9"/>
          <w:pgMar w:top="2835" w:right="2098" w:bottom="2466" w:left="2098" w:header="1814" w:footer="1814" w:gutter="0"/>
          <w:cols w:num="2" w:space="566"/>
          <w:docGrid w:linePitch="360"/>
        </w:sectPr>
      </w:pPr>
    </w:p>
    <w:p w14:paraId="3D098DCF" w14:textId="16B3F830" w:rsidR="007C78A9" w:rsidRDefault="007C78A9" w:rsidP="007C78A9">
      <w:pPr>
        <w:pStyle w:val="Heading4"/>
        <w:pBdr>
          <w:top w:val="single" w:sz="4" w:space="6" w:color="auto"/>
          <w:left w:val="single" w:sz="4" w:space="6" w:color="auto"/>
          <w:bottom w:val="single" w:sz="4" w:space="6" w:color="auto"/>
          <w:right w:val="single" w:sz="4" w:space="6" w:color="auto"/>
        </w:pBdr>
        <w:spacing w:after="60"/>
      </w:pPr>
      <w:r w:rsidRPr="00540092">
        <w:t>Annual performance statements</w:t>
      </w:r>
    </w:p>
    <w:p w14:paraId="32920BAD" w14:textId="25014DDD" w:rsidR="007C78A9" w:rsidRPr="007C077B" w:rsidRDefault="007C78A9" w:rsidP="007C78A9">
      <w:pPr>
        <w:pBdr>
          <w:top w:val="single" w:sz="4" w:space="6" w:color="auto"/>
          <w:left w:val="single" w:sz="4" w:space="6" w:color="auto"/>
          <w:bottom w:val="single" w:sz="4" w:space="6" w:color="auto"/>
          <w:right w:val="single" w:sz="4" w:space="6" w:color="auto"/>
        </w:pBdr>
        <w:spacing w:before="0" w:after="120"/>
        <w:rPr>
          <w:rFonts w:ascii="Arial" w:hAnsi="Arial" w:cs="Arial"/>
          <w:sz w:val="20"/>
          <w:szCs w:val="22"/>
        </w:rPr>
      </w:pPr>
      <w:r w:rsidRPr="007C077B">
        <w:rPr>
          <w:rFonts w:ascii="Arial" w:hAnsi="Arial" w:cs="Arial"/>
          <w:sz w:val="20"/>
          <w:szCs w:val="22"/>
        </w:rPr>
        <w:t xml:space="preserve">(October </w:t>
      </w:r>
      <w:r w:rsidR="00E11DCA">
        <w:rPr>
          <w:rFonts w:ascii="Arial" w:hAnsi="Arial" w:cs="Arial"/>
          <w:sz w:val="20"/>
          <w:szCs w:val="22"/>
        </w:rPr>
        <w:t xml:space="preserve">in </w:t>
      </w:r>
      <w:r w:rsidR="00FC5FA2">
        <w:rPr>
          <w:rFonts w:ascii="Arial" w:hAnsi="Arial" w:cs="Arial"/>
          <w:sz w:val="20"/>
          <w:szCs w:val="22"/>
        </w:rPr>
        <w:t xml:space="preserve">the </w:t>
      </w:r>
      <w:r w:rsidRPr="007C077B">
        <w:rPr>
          <w:rFonts w:ascii="Arial" w:hAnsi="Arial" w:cs="Arial"/>
          <w:sz w:val="20"/>
          <w:szCs w:val="22"/>
        </w:rPr>
        <w:t>following year) Entity based</w:t>
      </w:r>
    </w:p>
    <w:p w14:paraId="27D6BEA5" w14:textId="1145108C" w:rsidR="007C78A9" w:rsidRPr="00F406A9" w:rsidRDefault="007C78A9" w:rsidP="007C78A9">
      <w:pPr>
        <w:pBdr>
          <w:top w:val="single" w:sz="4" w:space="6" w:color="auto"/>
          <w:left w:val="single" w:sz="4" w:space="6" w:color="auto"/>
          <w:bottom w:val="single" w:sz="4" w:space="6" w:color="auto"/>
          <w:right w:val="single" w:sz="4" w:space="6" w:color="auto"/>
        </w:pBdr>
        <w:spacing w:after="120"/>
        <w:rPr>
          <w:rFonts w:ascii="Arial" w:hAnsi="Arial" w:cs="Arial"/>
          <w:sz w:val="18"/>
          <w:szCs w:val="18"/>
        </w:rPr>
      </w:pPr>
      <w:r w:rsidRPr="00F406A9">
        <w:rPr>
          <w:rFonts w:ascii="Arial" w:hAnsi="Arial" w:cs="Arial"/>
          <w:sz w:val="18"/>
          <w:szCs w:val="18"/>
        </w:rPr>
        <w:t>Included in the Commonwealth entity’s annual report.</w:t>
      </w:r>
    </w:p>
    <w:p w14:paraId="745C8EC3"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Reports on the actual performance results for the reporting year as set out in the corporate plan and Portfolio Budget Statements.</w:t>
      </w:r>
    </w:p>
    <w:p w14:paraId="1DDDD257"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Provides an analysis of the factors that may have contributed to the entity’s performance results.</w:t>
      </w:r>
    </w:p>
    <w:p w14:paraId="6B6556AB" w14:textId="77777777" w:rsidR="008731ED" w:rsidRDefault="008731ED" w:rsidP="007C78A9">
      <w:pPr>
        <w:pStyle w:val="SingleParagraph"/>
      </w:pPr>
    </w:p>
    <w:p w14:paraId="4E7DD8FC" w14:textId="77777777" w:rsidR="008731ED" w:rsidRPr="005C46D8" w:rsidRDefault="008731ED" w:rsidP="005C46D8">
      <w:pPr>
        <w:sectPr w:rsidR="008731ED" w:rsidRPr="005C46D8" w:rsidSect="008731ED">
          <w:headerReference w:type="even" r:id="rId42"/>
          <w:headerReference w:type="default" r:id="rId43"/>
          <w:footerReference w:type="even" r:id="rId44"/>
          <w:footerReference w:type="default" r:id="rId45"/>
          <w:headerReference w:type="first" r:id="rId46"/>
          <w:footerReference w:type="first" r:id="rId47"/>
          <w:type w:val="continuous"/>
          <w:pgSz w:w="11906" w:h="16838" w:code="9"/>
          <w:pgMar w:top="2835" w:right="2098" w:bottom="2466" w:left="2098" w:header="1814" w:footer="1814" w:gutter="0"/>
          <w:pgNumType w:fmt="lowerRoman"/>
          <w:cols w:space="708"/>
          <w:titlePg/>
          <w:docGrid w:linePitch="360"/>
        </w:sectPr>
      </w:pPr>
    </w:p>
    <w:p w14:paraId="4CFA1D2E" w14:textId="77777777" w:rsidR="00AA27AA" w:rsidRPr="004260FC" w:rsidRDefault="00AA27AA" w:rsidP="004260FC">
      <w:pPr>
        <w:pStyle w:val="ContentsHeading"/>
      </w:pPr>
      <w:r w:rsidRPr="00CD706E">
        <w:lastRenderedPageBreak/>
        <w:t>Contents</w:t>
      </w:r>
    </w:p>
    <w:p w14:paraId="7F657E9E" w14:textId="15EAD886" w:rsidR="00CD706E" w:rsidRDefault="002A32FD">
      <w:pPr>
        <w:pStyle w:val="TOC1"/>
        <w:rPr>
          <w:rFonts w:asciiTheme="minorHAnsi" w:eastAsiaTheme="minorEastAsia" w:hAnsiTheme="minorHAnsi" w:cstheme="minorBidi"/>
          <w:b w:val="0"/>
          <w:noProof/>
          <w:kern w:val="2"/>
          <w:position w:val="0"/>
          <w:sz w:val="24"/>
          <w:szCs w:val="24"/>
          <w14:ligatures w14:val="standardContextual"/>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r w:rsidR="00CD706E" w:rsidRPr="00104E19">
        <w:rPr>
          <w:noProof/>
        </w:rPr>
        <w:t>User</w:t>
      </w:r>
      <w:r w:rsidR="00CD706E" w:rsidRPr="00104E19">
        <w:rPr>
          <w:noProof/>
          <w:lang w:val="en-US"/>
        </w:rPr>
        <w:t xml:space="preserve"> </w:t>
      </w:r>
      <w:r w:rsidR="00CD706E" w:rsidRPr="00104E19">
        <w:rPr>
          <w:noProof/>
        </w:rPr>
        <w:t>guide</w:t>
      </w:r>
      <w:r w:rsidR="00CD706E">
        <w:rPr>
          <w:noProof/>
          <w:webHidden/>
        </w:rPr>
        <w:tab/>
      </w:r>
      <w:r w:rsidR="00104E19">
        <w:rPr>
          <w:noProof/>
          <w:webHidden/>
        </w:rPr>
        <w:t>vii</w:t>
      </w:r>
    </w:p>
    <w:p w14:paraId="73B77938" w14:textId="57EB037D" w:rsidR="00CD706E" w:rsidRDefault="00104E19">
      <w:pPr>
        <w:pStyle w:val="TOC1"/>
        <w:rPr>
          <w:rFonts w:asciiTheme="minorHAnsi" w:eastAsiaTheme="minorEastAsia" w:hAnsiTheme="minorHAnsi" w:cstheme="minorBidi"/>
          <w:b w:val="0"/>
          <w:noProof/>
          <w:kern w:val="2"/>
          <w:position w:val="0"/>
          <w:sz w:val="24"/>
          <w:szCs w:val="24"/>
          <w14:ligatures w14:val="standardContextual"/>
        </w:rPr>
      </w:pPr>
      <w:r>
        <w:rPr>
          <w:noProof/>
        </w:rPr>
        <w:t>Foreign Affairs and Trade</w:t>
      </w:r>
      <w:r w:rsidR="00CD706E" w:rsidRPr="00104E19">
        <w:rPr>
          <w:noProof/>
        </w:rPr>
        <w:t xml:space="preserve"> Portfolio overview</w:t>
      </w:r>
      <w:r w:rsidR="00CD706E">
        <w:rPr>
          <w:noProof/>
          <w:webHidden/>
        </w:rPr>
        <w:tab/>
      </w:r>
      <w:r>
        <w:rPr>
          <w:noProof/>
          <w:webHidden/>
        </w:rPr>
        <w:t>3</w:t>
      </w:r>
    </w:p>
    <w:p w14:paraId="60B24E74" w14:textId="2F4633F0" w:rsidR="00CD706E" w:rsidRDefault="00CD706E">
      <w:pPr>
        <w:pStyle w:val="TOC1"/>
        <w:rPr>
          <w:rFonts w:asciiTheme="minorHAnsi" w:eastAsiaTheme="minorEastAsia" w:hAnsiTheme="minorHAnsi" w:cstheme="minorBidi"/>
          <w:b w:val="0"/>
          <w:noProof/>
          <w:kern w:val="2"/>
          <w:position w:val="0"/>
          <w:sz w:val="24"/>
          <w:szCs w:val="24"/>
          <w14:ligatures w14:val="standardContextual"/>
        </w:rPr>
      </w:pPr>
      <w:r w:rsidRPr="00104E19">
        <w:rPr>
          <w:noProof/>
        </w:rPr>
        <w:t>Entity resources and planned performance</w:t>
      </w:r>
      <w:r>
        <w:rPr>
          <w:noProof/>
          <w:webHidden/>
        </w:rPr>
        <w:tab/>
      </w:r>
      <w:r w:rsidR="00104E19">
        <w:rPr>
          <w:noProof/>
          <w:webHidden/>
        </w:rPr>
        <w:t>7</w:t>
      </w:r>
    </w:p>
    <w:p w14:paraId="3378B4BF" w14:textId="383B0E2F" w:rsidR="00CD706E" w:rsidRDefault="00CD706E">
      <w:pPr>
        <w:pStyle w:val="TOC1"/>
        <w:rPr>
          <w:noProof/>
          <w:webHidden/>
        </w:rPr>
      </w:pPr>
      <w:r w:rsidRPr="00104E19">
        <w:rPr>
          <w:noProof/>
        </w:rPr>
        <w:t xml:space="preserve">Department of </w:t>
      </w:r>
      <w:r w:rsidR="00104E19">
        <w:rPr>
          <w:noProof/>
        </w:rPr>
        <w:t>Foreign Affairs and Trade</w:t>
      </w:r>
      <w:r>
        <w:rPr>
          <w:noProof/>
          <w:webHidden/>
        </w:rPr>
        <w:tab/>
      </w:r>
      <w:r w:rsidR="00BF31F2">
        <w:rPr>
          <w:noProof/>
          <w:webHidden/>
        </w:rPr>
        <w:t>9</w:t>
      </w:r>
    </w:p>
    <w:p w14:paraId="1989220A" w14:textId="62C9D4EA" w:rsidR="001917B6" w:rsidRDefault="001917B6" w:rsidP="001917B6">
      <w:pPr>
        <w:pStyle w:val="TOC1"/>
        <w:rPr>
          <w:noProof/>
          <w:webHidden/>
        </w:rPr>
      </w:pPr>
      <w:r>
        <w:rPr>
          <w:noProof/>
        </w:rPr>
        <w:t xml:space="preserve">Australian </w:t>
      </w:r>
      <w:r w:rsidRPr="001917B6">
        <w:rPr>
          <w:noProof/>
        </w:rPr>
        <w:t>Trade and Investment Commission</w:t>
      </w:r>
      <w:r>
        <w:rPr>
          <w:noProof/>
          <w:webHidden/>
        </w:rPr>
        <w:tab/>
      </w:r>
      <w:r w:rsidR="0084434B">
        <w:rPr>
          <w:noProof/>
          <w:webHidden/>
        </w:rPr>
        <w:t>73</w:t>
      </w:r>
    </w:p>
    <w:p w14:paraId="72BF4DD5" w14:textId="40E657EE" w:rsidR="001917B6" w:rsidRDefault="001917B6" w:rsidP="001917B6">
      <w:pPr>
        <w:pStyle w:val="TOC1"/>
        <w:rPr>
          <w:noProof/>
          <w:webHidden/>
        </w:rPr>
      </w:pPr>
      <w:r>
        <w:rPr>
          <w:noProof/>
        </w:rPr>
        <w:t>Australian</w:t>
      </w:r>
      <w:r w:rsidRPr="00104E19">
        <w:rPr>
          <w:noProof/>
        </w:rPr>
        <w:t xml:space="preserve"> </w:t>
      </w:r>
      <w:r w:rsidRPr="001917B6">
        <w:rPr>
          <w:noProof/>
        </w:rPr>
        <w:t>Centre for International Agricultural Research</w:t>
      </w:r>
      <w:r>
        <w:rPr>
          <w:noProof/>
          <w:webHidden/>
        </w:rPr>
        <w:tab/>
      </w:r>
      <w:r w:rsidR="0084434B">
        <w:rPr>
          <w:noProof/>
          <w:webHidden/>
        </w:rPr>
        <w:t>107</w:t>
      </w:r>
    </w:p>
    <w:p w14:paraId="121CD9E5" w14:textId="0326F229" w:rsidR="001917B6" w:rsidRDefault="001917B6" w:rsidP="001917B6">
      <w:pPr>
        <w:pStyle w:val="TOC1"/>
        <w:rPr>
          <w:noProof/>
          <w:webHidden/>
        </w:rPr>
      </w:pPr>
      <w:r>
        <w:rPr>
          <w:noProof/>
        </w:rPr>
        <w:t>Australian</w:t>
      </w:r>
      <w:r w:rsidRPr="00104E19">
        <w:rPr>
          <w:noProof/>
        </w:rPr>
        <w:t xml:space="preserve"> </w:t>
      </w:r>
      <w:r w:rsidRPr="001917B6">
        <w:rPr>
          <w:noProof/>
        </w:rPr>
        <w:t>Secret Intelligence Service</w:t>
      </w:r>
      <w:r>
        <w:rPr>
          <w:noProof/>
          <w:webHidden/>
        </w:rPr>
        <w:tab/>
      </w:r>
      <w:r w:rsidR="0084434B">
        <w:rPr>
          <w:noProof/>
          <w:webHidden/>
        </w:rPr>
        <w:t>133</w:t>
      </w:r>
    </w:p>
    <w:p w14:paraId="6EA85E15" w14:textId="3503D3EA" w:rsidR="001917B6" w:rsidRDefault="001917B6" w:rsidP="001917B6">
      <w:pPr>
        <w:pStyle w:val="TOC1"/>
        <w:rPr>
          <w:noProof/>
          <w:webHidden/>
        </w:rPr>
      </w:pPr>
      <w:r>
        <w:rPr>
          <w:noProof/>
        </w:rPr>
        <w:t>T</w:t>
      </w:r>
      <w:r w:rsidRPr="001917B6">
        <w:rPr>
          <w:noProof/>
        </w:rPr>
        <w:t>ourism Australia</w:t>
      </w:r>
      <w:r>
        <w:rPr>
          <w:noProof/>
          <w:webHidden/>
        </w:rPr>
        <w:tab/>
      </w:r>
      <w:r w:rsidR="0084434B">
        <w:rPr>
          <w:noProof/>
          <w:webHidden/>
        </w:rPr>
        <w:t>149</w:t>
      </w:r>
    </w:p>
    <w:p w14:paraId="38BADFD9" w14:textId="19536CF8" w:rsidR="00CD706E" w:rsidRDefault="00CD706E">
      <w:pPr>
        <w:pStyle w:val="TOC1"/>
        <w:rPr>
          <w:rFonts w:asciiTheme="minorHAnsi" w:eastAsiaTheme="minorEastAsia" w:hAnsiTheme="minorHAnsi" w:cstheme="minorBidi"/>
          <w:b w:val="0"/>
          <w:noProof/>
          <w:kern w:val="2"/>
          <w:position w:val="0"/>
          <w:sz w:val="24"/>
          <w:szCs w:val="24"/>
          <w14:ligatures w14:val="standardContextual"/>
        </w:rPr>
      </w:pPr>
      <w:r w:rsidRPr="00104E19">
        <w:rPr>
          <w:noProof/>
        </w:rPr>
        <w:t>Portfolio glossary</w:t>
      </w:r>
      <w:r>
        <w:rPr>
          <w:noProof/>
          <w:webHidden/>
        </w:rPr>
        <w:tab/>
      </w:r>
      <w:r w:rsidR="0084434B">
        <w:rPr>
          <w:noProof/>
          <w:webHidden/>
        </w:rPr>
        <w:t>173</w:t>
      </w:r>
    </w:p>
    <w:p w14:paraId="36BB229C" w14:textId="077794DA" w:rsidR="00A225E3" w:rsidRPr="00F56137" w:rsidRDefault="002A32FD" w:rsidP="00F56137">
      <w:r>
        <w:rPr>
          <w:rFonts w:ascii="Arial" w:hAnsi="Arial"/>
          <w:b/>
        </w:rPr>
        <w:fldChar w:fldCharType="end"/>
      </w:r>
    </w:p>
    <w:p w14:paraId="1D156556" w14:textId="77777777" w:rsidR="004260FC" w:rsidRPr="004C45F5" w:rsidRDefault="004260FC" w:rsidP="004C45F5">
      <w:pPr>
        <w:pStyle w:val="Footer"/>
        <w:sectPr w:rsidR="004260FC" w:rsidRPr="004C45F5" w:rsidSect="00472007">
          <w:type w:val="oddPage"/>
          <w:pgSz w:w="11906" w:h="16838" w:code="9"/>
          <w:pgMar w:top="2835" w:right="2098" w:bottom="2466" w:left="2098" w:header="1814" w:footer="1814" w:gutter="0"/>
          <w:pgNumType w:fmt="lowerRoman"/>
          <w:cols w:space="708"/>
          <w:titlePg/>
          <w:docGrid w:linePitch="360"/>
        </w:sectPr>
      </w:pPr>
    </w:p>
    <w:p w14:paraId="490975E1" w14:textId="1A874DDC" w:rsidR="004C1439" w:rsidRDefault="00883894" w:rsidP="004C1439">
      <w:pPr>
        <w:pStyle w:val="PartHeading"/>
      </w:pPr>
      <w:bookmarkStart w:id="11" w:name="_Toc190766147"/>
      <w:bookmarkStart w:id="12" w:name="_Toc444523505"/>
      <w:r>
        <w:lastRenderedPageBreak/>
        <w:t xml:space="preserve">Portfolio </w:t>
      </w:r>
      <w:bookmarkEnd w:id="11"/>
      <w:r w:rsidR="00250122">
        <w:t>o</w:t>
      </w:r>
      <w:r>
        <w:t>verview</w:t>
      </w:r>
      <w:bookmarkEnd w:id="12"/>
    </w:p>
    <w:p w14:paraId="4DC6D635" w14:textId="77777777" w:rsidR="004C1439" w:rsidRPr="0045344D" w:rsidRDefault="004C1439" w:rsidP="0045344D">
      <w:pPr>
        <w:sectPr w:rsidR="004C1439" w:rsidRPr="0045344D" w:rsidSect="00472007">
          <w:headerReference w:type="first" r:id="rId48"/>
          <w:footerReference w:type="first" r:id="rId49"/>
          <w:type w:val="oddPage"/>
          <w:pgSz w:w="11906" w:h="16838" w:code="9"/>
          <w:pgMar w:top="2835" w:right="2098" w:bottom="2466" w:left="2098" w:header="1814" w:footer="1814" w:gutter="0"/>
          <w:pgNumType w:start="1"/>
          <w:cols w:space="708"/>
          <w:vAlign w:val="center"/>
          <w:titlePg/>
          <w:docGrid w:linePitch="360"/>
        </w:sectPr>
      </w:pPr>
    </w:p>
    <w:p w14:paraId="287252A3" w14:textId="0AD5415A" w:rsidR="00D46A7B" w:rsidRPr="00834F9A" w:rsidRDefault="00966E83" w:rsidP="00CE4D05">
      <w:pPr>
        <w:pStyle w:val="Heading1"/>
      </w:pPr>
      <w:bookmarkStart w:id="13" w:name="_Toc190766148"/>
      <w:bookmarkStart w:id="14" w:name="_Toc221878501"/>
      <w:r>
        <w:lastRenderedPageBreak/>
        <w:t>Foreign Affairs and Trade</w:t>
      </w:r>
      <w:r w:rsidR="00DE11A6">
        <w:t xml:space="preserve"> </w:t>
      </w:r>
      <w:r w:rsidR="00E5444F" w:rsidRPr="00834F9A">
        <w:t>P</w:t>
      </w:r>
      <w:r w:rsidR="00605163" w:rsidRPr="00834F9A">
        <w:t xml:space="preserve">ortfolio </w:t>
      </w:r>
      <w:r w:rsidR="00605163" w:rsidRPr="00CE4D05">
        <w:t>o</w:t>
      </w:r>
      <w:r w:rsidR="00D46A7B" w:rsidRPr="00CE4D05">
        <w:t>verview</w:t>
      </w:r>
      <w:bookmarkEnd w:id="13"/>
      <w:bookmarkEnd w:id="14"/>
    </w:p>
    <w:p w14:paraId="44D903DE" w14:textId="77777777" w:rsidR="00D46A7B" w:rsidRDefault="00D46A7B" w:rsidP="005328A9">
      <w:pPr>
        <w:pStyle w:val="Heading2NoTOC"/>
      </w:pPr>
      <w:bookmarkStart w:id="15" w:name="_Toc190682306"/>
      <w:bookmarkStart w:id="16" w:name="_Toc444523506"/>
      <w:r>
        <w:t>Minister(</w:t>
      </w:r>
      <w:r w:rsidR="00DF1ADC">
        <w:t>s</w:t>
      </w:r>
      <w:r>
        <w:t xml:space="preserve">) and </w:t>
      </w:r>
      <w:r w:rsidR="00605163">
        <w:t>p</w:t>
      </w:r>
      <w:r>
        <w:t xml:space="preserve">ortfolio </w:t>
      </w:r>
      <w:r w:rsidR="00605163">
        <w:t>r</w:t>
      </w:r>
      <w:r>
        <w:t>esponsibilities</w:t>
      </w:r>
      <w:bookmarkEnd w:id="15"/>
      <w:bookmarkEnd w:id="16"/>
    </w:p>
    <w:p w14:paraId="10AE2DFF" w14:textId="2A788FA0" w:rsidR="00CA5E91" w:rsidRPr="00A76734" w:rsidRDefault="00CA5E91" w:rsidP="00CA5E91">
      <w:pPr>
        <w:rPr>
          <w:color w:val="000000" w:themeColor="text1"/>
        </w:rPr>
      </w:pPr>
      <w:r>
        <w:t xml:space="preserve">The </w:t>
      </w:r>
      <w:r w:rsidRPr="00A76734">
        <w:rPr>
          <w:color w:val="000000" w:themeColor="text1"/>
        </w:rPr>
        <w:t xml:space="preserve">Foreign Affairs and Trade </w:t>
      </w:r>
      <w:r>
        <w:rPr>
          <w:color w:val="000000" w:themeColor="text1"/>
        </w:rPr>
        <w:t>p</w:t>
      </w:r>
      <w:r w:rsidRPr="00A76734">
        <w:rPr>
          <w:color w:val="000000" w:themeColor="text1"/>
        </w:rPr>
        <w:t xml:space="preserve">ortfolio has </w:t>
      </w:r>
      <w:r w:rsidR="006416A4">
        <w:rPr>
          <w:color w:val="000000" w:themeColor="text1"/>
        </w:rPr>
        <w:t>6</w:t>
      </w:r>
      <w:r w:rsidRPr="00A76734">
        <w:rPr>
          <w:color w:val="000000" w:themeColor="text1"/>
        </w:rPr>
        <w:t xml:space="preserve"> ministers:</w:t>
      </w:r>
    </w:p>
    <w:p w14:paraId="05275C11" w14:textId="77777777" w:rsidR="00CA5E91" w:rsidRPr="00A76734" w:rsidRDefault="00CA5E91" w:rsidP="00707A3D">
      <w:pPr>
        <w:pStyle w:val="ListParagraph"/>
        <w:numPr>
          <w:ilvl w:val="0"/>
          <w:numId w:val="1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Penny Wong, Minister for Foreign Affairs</w:t>
      </w:r>
    </w:p>
    <w:p w14:paraId="5203B624" w14:textId="77777777" w:rsidR="00CA5E91" w:rsidRPr="00A76734" w:rsidRDefault="00CA5E91" w:rsidP="00707A3D">
      <w:pPr>
        <w:pStyle w:val="ListParagraph"/>
        <w:numPr>
          <w:ilvl w:val="0"/>
          <w:numId w:val="1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Don Farrell, Minister for Trade and Tourism, Special Minister of State</w:t>
      </w:r>
    </w:p>
    <w:p w14:paraId="736F653B" w14:textId="77777777" w:rsidR="00CA5E91" w:rsidRPr="00A76734" w:rsidRDefault="00CA5E91" w:rsidP="00707A3D">
      <w:pPr>
        <w:pStyle w:val="ListParagraph"/>
        <w:numPr>
          <w:ilvl w:val="0"/>
          <w:numId w:val="1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The Hon Pat Conroy MP, Minister for </w:t>
      </w:r>
      <w:r w:rsidRPr="003832BA">
        <w:rPr>
          <w:rFonts w:ascii="Book Antiqua" w:hAnsi="Book Antiqua"/>
          <w:color w:val="000000" w:themeColor="text1"/>
          <w:sz w:val="19"/>
          <w:szCs w:val="19"/>
        </w:rPr>
        <w:t>Pacific</w:t>
      </w:r>
      <w:r>
        <w:rPr>
          <w:rFonts w:ascii="Book Antiqua" w:hAnsi="Book Antiqua"/>
          <w:color w:val="000000" w:themeColor="text1"/>
          <w:sz w:val="19"/>
          <w:szCs w:val="19"/>
        </w:rPr>
        <w:t xml:space="preserve"> Island Affairs,</w:t>
      </w:r>
      <w:r w:rsidRPr="003832BA">
        <w:rPr>
          <w:rFonts w:ascii="Book Antiqua" w:hAnsi="Book Antiqua"/>
          <w:color w:val="000000" w:themeColor="text1"/>
          <w:sz w:val="19"/>
          <w:szCs w:val="19"/>
        </w:rPr>
        <w:t xml:space="preserve"> Minister for </w:t>
      </w:r>
      <w:proofErr w:type="spellStart"/>
      <w:r w:rsidRPr="003832BA">
        <w:rPr>
          <w:rFonts w:ascii="Book Antiqua" w:hAnsi="Book Antiqua"/>
          <w:color w:val="000000" w:themeColor="text1"/>
          <w:sz w:val="19"/>
          <w:szCs w:val="19"/>
        </w:rPr>
        <w:t>Defence</w:t>
      </w:r>
      <w:proofErr w:type="spellEnd"/>
      <w:r w:rsidRPr="003832BA">
        <w:rPr>
          <w:rFonts w:ascii="Book Antiqua" w:hAnsi="Book Antiqua"/>
          <w:color w:val="000000" w:themeColor="text1"/>
          <w:sz w:val="19"/>
          <w:szCs w:val="19"/>
        </w:rPr>
        <w:t xml:space="preserve"> Industry</w:t>
      </w:r>
    </w:p>
    <w:p w14:paraId="138B86B1" w14:textId="77777777" w:rsidR="00CA5E91" w:rsidRPr="0091069E" w:rsidRDefault="00CA5E91" w:rsidP="00707A3D">
      <w:pPr>
        <w:pStyle w:val="ListParagraph"/>
        <w:numPr>
          <w:ilvl w:val="0"/>
          <w:numId w:val="17"/>
        </w:numPr>
        <w:spacing w:before="120" w:after="120" w:line="240" w:lineRule="auto"/>
        <w:rPr>
          <w:rFonts w:ascii="Book Antiqua" w:hAnsi="Book Antiqua"/>
          <w:color w:val="000000" w:themeColor="text1"/>
          <w:sz w:val="19"/>
          <w:szCs w:val="19"/>
        </w:rPr>
      </w:pPr>
      <w:r w:rsidRPr="0091069E">
        <w:rPr>
          <w:rFonts w:ascii="Book Antiqua" w:hAnsi="Book Antiqua"/>
          <w:color w:val="000000" w:themeColor="text1"/>
          <w:sz w:val="19"/>
          <w:szCs w:val="19"/>
        </w:rPr>
        <w:t>The Hon Dr Anne Aly MP, Minister for International Development, Minister for Small Business, Minister for Multicultural Affairs</w:t>
      </w:r>
    </w:p>
    <w:p w14:paraId="6ABAEA52" w14:textId="77777777" w:rsidR="00CA5E91" w:rsidRDefault="00CA5E91" w:rsidP="00707A3D">
      <w:pPr>
        <w:pStyle w:val="ListParagraph"/>
        <w:numPr>
          <w:ilvl w:val="0"/>
          <w:numId w:val="17"/>
        </w:numPr>
        <w:spacing w:before="120" w:after="120" w:line="240" w:lineRule="auto"/>
        <w:rPr>
          <w:rFonts w:ascii="Book Antiqua" w:hAnsi="Book Antiqua"/>
          <w:color w:val="000000" w:themeColor="text1"/>
          <w:sz w:val="19"/>
          <w:szCs w:val="19"/>
        </w:rPr>
      </w:pPr>
      <w:r w:rsidRPr="0091069E">
        <w:rPr>
          <w:rFonts w:ascii="Book Antiqua" w:hAnsi="Book Antiqua"/>
          <w:color w:val="000000" w:themeColor="text1"/>
          <w:sz w:val="19"/>
          <w:szCs w:val="19"/>
        </w:rPr>
        <w:t>The Hon Matt Thistlethwaite MP, Assistant Minister for Foreign Affairs and Trade</w:t>
      </w:r>
      <w:r>
        <w:rPr>
          <w:rFonts w:ascii="Book Antiqua" w:hAnsi="Book Antiqua"/>
          <w:color w:val="000000" w:themeColor="text1"/>
          <w:sz w:val="19"/>
          <w:szCs w:val="19"/>
        </w:rPr>
        <w:t>,</w:t>
      </w:r>
      <w:r w:rsidRPr="0091069E">
        <w:rPr>
          <w:rFonts w:ascii="Book Antiqua" w:hAnsi="Book Antiqua"/>
          <w:color w:val="000000" w:themeColor="text1"/>
          <w:sz w:val="19"/>
          <w:szCs w:val="19"/>
        </w:rPr>
        <w:t xml:space="preserve"> Assistant Minister for Immigration</w:t>
      </w:r>
    </w:p>
    <w:p w14:paraId="1FBC4A92" w14:textId="77777777" w:rsidR="00CA5E91" w:rsidRPr="0091069E" w:rsidRDefault="00CA5E91" w:rsidP="00707A3D">
      <w:pPr>
        <w:pStyle w:val="ListParagraph"/>
        <w:numPr>
          <w:ilvl w:val="0"/>
          <w:numId w:val="17"/>
        </w:numPr>
        <w:spacing w:before="120" w:after="120" w:line="240" w:lineRule="auto"/>
        <w:rPr>
          <w:rFonts w:ascii="Book Antiqua" w:hAnsi="Book Antiqua"/>
          <w:color w:val="000000" w:themeColor="text1"/>
          <w:sz w:val="19"/>
          <w:szCs w:val="19"/>
        </w:rPr>
      </w:pPr>
      <w:r w:rsidRPr="002B222A">
        <w:rPr>
          <w:rFonts w:ascii="Book Antiqua" w:hAnsi="Book Antiqua"/>
          <w:color w:val="000000" w:themeColor="text1"/>
          <w:sz w:val="19"/>
          <w:szCs w:val="19"/>
        </w:rPr>
        <w:t>Senator the Hon</w:t>
      </w:r>
      <w:r>
        <w:rPr>
          <w:rFonts w:ascii="Book Antiqua" w:hAnsi="Book Antiqua"/>
          <w:color w:val="000000" w:themeColor="text1"/>
          <w:sz w:val="19"/>
          <w:szCs w:val="19"/>
        </w:rPr>
        <w:t xml:space="preserve"> Nita Green, </w:t>
      </w:r>
      <w:r w:rsidRPr="002B222A">
        <w:rPr>
          <w:rFonts w:ascii="Book Antiqua" w:hAnsi="Book Antiqua"/>
          <w:color w:val="000000" w:themeColor="text1"/>
          <w:sz w:val="19"/>
          <w:szCs w:val="19"/>
        </w:rPr>
        <w:t>Assistant Minister for Pacific Island Affairs, Assistant Minister for Tourism</w:t>
      </w:r>
      <w:r>
        <w:rPr>
          <w:rFonts w:ascii="Book Antiqua" w:hAnsi="Book Antiqua"/>
          <w:color w:val="000000" w:themeColor="text1"/>
          <w:sz w:val="19"/>
          <w:szCs w:val="19"/>
        </w:rPr>
        <w:t xml:space="preserve">, </w:t>
      </w:r>
      <w:r w:rsidRPr="002B222A">
        <w:rPr>
          <w:rFonts w:ascii="Book Antiqua" w:hAnsi="Book Antiqua"/>
          <w:color w:val="000000" w:themeColor="text1"/>
          <w:sz w:val="19"/>
          <w:szCs w:val="19"/>
        </w:rPr>
        <w:t>Assistant Minister for Northern Australia</w:t>
      </w:r>
    </w:p>
    <w:p w14:paraId="15858368" w14:textId="77777777" w:rsidR="00CA5E91" w:rsidRPr="00A76734" w:rsidRDefault="00CA5E91" w:rsidP="00CA5E91">
      <w:pPr>
        <w:rPr>
          <w:color w:val="000000" w:themeColor="text1"/>
        </w:rPr>
      </w:pPr>
      <w:r w:rsidRPr="00A76734">
        <w:rPr>
          <w:color w:val="000000" w:themeColor="text1"/>
        </w:rPr>
        <w:t xml:space="preserve">The </w:t>
      </w:r>
      <w:r>
        <w:rPr>
          <w:color w:val="000000" w:themeColor="text1"/>
        </w:rPr>
        <w:t>p</w:t>
      </w:r>
      <w:r w:rsidRPr="00A76734">
        <w:rPr>
          <w:color w:val="000000" w:themeColor="text1"/>
        </w:rPr>
        <w:t>ortfolio consists of the Department of Foreign Affairs and Trade (DFAT, ‘the department’), the Australian Trade and Investment Commission (Austrade), the Australian Centre for International Agricultural Research (ACIAR), the Australian Secret Intelligence Service (ASIS), Tourism Australia and Export Finance Australia (EFA).</w:t>
      </w:r>
    </w:p>
    <w:p w14:paraId="1613FFC0" w14:textId="77777777" w:rsidR="00CA5E91" w:rsidRPr="00A76734" w:rsidRDefault="00CA5E91" w:rsidP="00CA5E91">
      <w:pPr>
        <w:rPr>
          <w:b/>
          <w:bCs/>
          <w:color w:val="000000" w:themeColor="text1"/>
        </w:rPr>
      </w:pPr>
      <w:r w:rsidRPr="00A76734">
        <w:rPr>
          <w:b/>
          <w:bCs/>
          <w:color w:val="000000" w:themeColor="text1"/>
        </w:rPr>
        <w:t>Department of Foreign Affairs and Trade (DFAT)</w:t>
      </w:r>
    </w:p>
    <w:p w14:paraId="1847187B" w14:textId="6D0D2D2F" w:rsidR="006416A4" w:rsidRDefault="00CA5E91" w:rsidP="00CA5E91">
      <w:pPr>
        <w:spacing w:line="260" w:lineRule="exact"/>
        <w:rPr>
          <w:color w:val="000000" w:themeColor="text1"/>
        </w:rPr>
      </w:pPr>
      <w:r w:rsidRPr="006416A4">
        <w:rPr>
          <w:color w:val="000000" w:themeColor="text1"/>
        </w:rPr>
        <w:t xml:space="preserve">DFAT </w:t>
      </w:r>
      <w:r w:rsidR="006416A4" w:rsidRPr="006416A4">
        <w:rPr>
          <w:color w:val="000000" w:themeColor="text1"/>
        </w:rPr>
        <w:t xml:space="preserve">promotes and protects Australia’s interests overseas in support of our security and prosperity. To achieve this purpose, DFAT maintains a global diplomatic presence, shapes international strategic policy, strengthens economic engagement and provides development and humanitarian assistance. DFAT works with international partners to tackle global challenges, expand trade and investment opportunities, uphold international rules, support regional stability and assist Australians overseas. To protect the welfare of Australians abroad, DFAT delivers travel advice, consular and passport services. As the Australian Government’s lead for overseas engagement, DFAT coordinates </w:t>
      </w:r>
      <w:r w:rsidR="006416A4">
        <w:rPr>
          <w:color w:val="000000" w:themeColor="text1"/>
        </w:rPr>
        <w:br/>
      </w:r>
      <w:r w:rsidR="006416A4" w:rsidRPr="006416A4">
        <w:rPr>
          <w:color w:val="000000" w:themeColor="text1"/>
        </w:rPr>
        <w:t>whole-of-government efforts across an international network of 114 DFAT-managed posts, to ensure a secure Australian Government presence and a stronger, safer and more prosperous Australia</w:t>
      </w:r>
      <w:r w:rsidRPr="006416A4">
        <w:rPr>
          <w:color w:val="000000" w:themeColor="text1"/>
        </w:rPr>
        <w:t>.</w:t>
      </w:r>
      <w:r w:rsidRPr="3C369F0B">
        <w:rPr>
          <w:color w:val="000000" w:themeColor="text1"/>
        </w:rPr>
        <w:t xml:space="preserve"> </w:t>
      </w:r>
    </w:p>
    <w:p w14:paraId="2D8B4854" w14:textId="77777777" w:rsidR="006416A4" w:rsidRDefault="006416A4">
      <w:pPr>
        <w:spacing w:before="0" w:after="0" w:line="240" w:lineRule="auto"/>
        <w:rPr>
          <w:color w:val="000000" w:themeColor="text1"/>
        </w:rPr>
      </w:pPr>
      <w:r>
        <w:rPr>
          <w:color w:val="000000" w:themeColor="text1"/>
        </w:rPr>
        <w:br w:type="page"/>
      </w:r>
    </w:p>
    <w:p w14:paraId="7A82F535" w14:textId="77777777" w:rsidR="00CA5E91" w:rsidRDefault="00CA5E91" w:rsidP="00CA5E91">
      <w:pPr>
        <w:rPr>
          <w:color w:val="000000" w:themeColor="text1"/>
          <w:lang w:val="en-US"/>
        </w:rPr>
      </w:pPr>
      <w:r w:rsidRPr="00A76734">
        <w:rPr>
          <w:b/>
          <w:bCs/>
          <w:color w:val="000000" w:themeColor="text1"/>
        </w:rPr>
        <w:lastRenderedPageBreak/>
        <w:t>Australian Trade and Investment Commission (Austrade)</w:t>
      </w:r>
    </w:p>
    <w:p w14:paraId="17E399AD" w14:textId="77C9DD70" w:rsidR="003B683F" w:rsidRPr="003B683F" w:rsidRDefault="003B683F" w:rsidP="003B683F">
      <w:pPr>
        <w:rPr>
          <w:rFonts w:eastAsia="Book Antiqua" w:cs="Book Antiqua"/>
          <w:szCs w:val="19"/>
          <w:lang w:val="en-US"/>
        </w:rPr>
      </w:pPr>
      <w:r w:rsidRPr="003B683F">
        <w:rPr>
          <w:rFonts w:eastAsia="Book Antiqua" w:cs="Book Antiqua"/>
          <w:szCs w:val="19"/>
          <w:lang w:val="en-US"/>
        </w:rPr>
        <w:t>Austrade’s purpose is to deliver quality trade and investment services to businesses and policy advice to government to support the growth of Australia’s prosperity, including leading on national tourism policy. To achieve this purpose, Austrade</w:t>
      </w:r>
      <w:r w:rsidR="00C3040D">
        <w:rPr>
          <w:rFonts w:eastAsia="Book Antiqua" w:cs="Book Antiqua"/>
          <w:szCs w:val="19"/>
          <w:lang w:val="en-US"/>
        </w:rPr>
        <w:t>:</w:t>
      </w:r>
      <w:r w:rsidRPr="003B683F">
        <w:rPr>
          <w:rFonts w:eastAsia="Book Antiqua" w:cs="Book Antiqua"/>
          <w:szCs w:val="19"/>
          <w:lang w:val="en-US"/>
        </w:rPr>
        <w:t xml:space="preserve"> supports Australian businesses to establish, expand and diversify international markets through trade advice, connections and support; proactively targets and attracts inwards foreign investment and outward investment, including via the Southeast Asia Investment Deal Teams; contributes to, and informs, the strategic direction of Australia’s trade and investment, including through supporting the building of national capability, partnering with industry and sharing market insights; conducts global marketing and promotion to create awareness of Australia’s nation brand, generate demand for Australian products and support the conversion of leads for trade and investment; leads national visitor economy policy development and implementation, supported by the publication of official tourism statistics through Tourism Research Australia; and helps Australians overseas through the delivery of effective consular services, efficient passport services and practical contingency planning in 11 designated locations overseas. </w:t>
      </w:r>
    </w:p>
    <w:p w14:paraId="75B6B93B" w14:textId="41DC0B91" w:rsidR="003B683F" w:rsidRDefault="003B683F" w:rsidP="00CA5E91">
      <w:pPr>
        <w:rPr>
          <w:rFonts w:eastAsia="Book Antiqua" w:cs="Book Antiqua"/>
          <w:szCs w:val="19"/>
          <w:lang w:val="en-US"/>
        </w:rPr>
      </w:pPr>
      <w:r w:rsidRPr="003B683F">
        <w:rPr>
          <w:rFonts w:eastAsia="Book Antiqua" w:cs="Book Antiqua"/>
          <w:szCs w:val="19"/>
          <w:lang w:val="en-US"/>
        </w:rPr>
        <w:t>Austrade also administers the legislated Export Market Development Grants program to assist Australian businesses promote and diversify their exports.</w:t>
      </w:r>
    </w:p>
    <w:p w14:paraId="7D910700" w14:textId="77777777" w:rsidR="00680AA6" w:rsidRPr="00A76734" w:rsidRDefault="00680AA6" w:rsidP="00680AA6">
      <w:pPr>
        <w:rPr>
          <w:b/>
          <w:bCs/>
          <w:color w:val="000000" w:themeColor="text1"/>
        </w:rPr>
      </w:pPr>
      <w:r w:rsidRPr="00A76734">
        <w:rPr>
          <w:b/>
          <w:bCs/>
          <w:color w:val="000000" w:themeColor="text1"/>
        </w:rPr>
        <w:t>Australian Secret Intelligence Service (ASIS)</w:t>
      </w:r>
    </w:p>
    <w:p w14:paraId="3FC678B2" w14:textId="77777777" w:rsidR="00680AA6" w:rsidRPr="00A76734" w:rsidRDefault="00680AA6" w:rsidP="00680AA6">
      <w:pPr>
        <w:rPr>
          <w:color w:val="000000" w:themeColor="text1"/>
        </w:rPr>
      </w:pPr>
      <w:r w:rsidRPr="00D031CC">
        <w:rPr>
          <w:color w:val="000000" w:themeColor="text1"/>
        </w:rPr>
        <w:t>Through ASIS, the portfolio will continue to enhance the Government’s understanding of the overseas environment affecting Australia’s vital interests and take appropriate action, consistent with applicable legislation, to protect identified interests.</w:t>
      </w:r>
    </w:p>
    <w:p w14:paraId="3C111B82" w14:textId="77777777" w:rsidR="00680AA6" w:rsidRPr="00A76734" w:rsidRDefault="00680AA6" w:rsidP="00680AA6">
      <w:pPr>
        <w:rPr>
          <w:b/>
          <w:bCs/>
          <w:color w:val="000000" w:themeColor="text1"/>
        </w:rPr>
      </w:pPr>
      <w:r w:rsidRPr="28424118">
        <w:rPr>
          <w:b/>
          <w:bCs/>
          <w:color w:val="000000" w:themeColor="text1"/>
        </w:rPr>
        <w:t>Australian Centre for International Agricultural Research (ACIAR)</w:t>
      </w:r>
    </w:p>
    <w:p w14:paraId="775911B5" w14:textId="6D2E710C" w:rsidR="00680AA6" w:rsidRPr="00417E9B" w:rsidRDefault="00680AA6" w:rsidP="00680AA6">
      <w:pPr>
        <w:rPr>
          <w:rFonts w:eastAsia="Book Antiqua" w:cs="Book Antiqua"/>
          <w:color w:val="000000" w:themeColor="text1"/>
          <w:szCs w:val="19"/>
        </w:rPr>
      </w:pPr>
      <w:r w:rsidRPr="006416A4">
        <w:rPr>
          <w:rFonts w:eastAsia="Book Antiqua" w:cs="Book Antiqua"/>
          <w:color w:val="000000" w:themeColor="text1"/>
          <w:szCs w:val="19"/>
        </w:rPr>
        <w:t xml:space="preserve">ACIAR </w:t>
      </w:r>
      <w:r w:rsidR="006416A4" w:rsidRPr="006416A4">
        <w:rPr>
          <w:rFonts w:eastAsia="Book Antiqua" w:cs="Book Antiqua"/>
          <w:color w:val="000000" w:themeColor="text1"/>
          <w:szCs w:val="19"/>
        </w:rPr>
        <w:t>supports Australia’s national interests by investing in collaborative international research and capacity development partnerships to contribute to reducing poverty and improving the livelihoods of many in the Indo-Pacific and Africa through more productive and sustainable agriculture and natural resources systems. To achieve this, ACIAR partners bilaterally and multilaterally with governments and institutions to</w:t>
      </w:r>
      <w:r w:rsidR="00C3040D">
        <w:rPr>
          <w:rFonts w:eastAsia="Book Antiqua" w:cs="Book Antiqua"/>
          <w:color w:val="000000" w:themeColor="text1"/>
          <w:szCs w:val="19"/>
        </w:rPr>
        <w:t>:</w:t>
      </w:r>
      <w:r w:rsidR="006416A4" w:rsidRPr="006416A4">
        <w:rPr>
          <w:rFonts w:eastAsia="Book Antiqua" w:cs="Book Antiqua"/>
          <w:color w:val="000000" w:themeColor="text1"/>
          <w:szCs w:val="19"/>
        </w:rPr>
        <w:t xml:space="preserve"> improve food security and reduce poverty among smallholder farmers and rural communities; manage natural resources and produce food more sustainably adapting to climate variability and mitigating climate change; enhance human nutrition and reduce risks to human health; improve gender equity and empowerment of women and girls; foster more inclusive agrifood and forestry value chains and build scientific and policy capability within our partner countries</w:t>
      </w:r>
      <w:r w:rsidRPr="006416A4">
        <w:rPr>
          <w:rFonts w:eastAsia="Book Antiqua" w:cs="Book Antiqua"/>
          <w:color w:val="000000" w:themeColor="text1"/>
          <w:szCs w:val="19"/>
        </w:rPr>
        <w:t>.</w:t>
      </w:r>
      <w:r w:rsidRPr="28424118">
        <w:rPr>
          <w:color w:val="000000" w:themeColor="text1"/>
        </w:rPr>
        <w:t xml:space="preserve"> </w:t>
      </w:r>
    </w:p>
    <w:p w14:paraId="2F093189" w14:textId="77777777" w:rsidR="00680AA6" w:rsidRPr="00A76734" w:rsidRDefault="00680AA6" w:rsidP="00680AA6">
      <w:pPr>
        <w:rPr>
          <w:b/>
          <w:bCs/>
          <w:color w:val="000000" w:themeColor="text1"/>
        </w:rPr>
      </w:pPr>
      <w:r w:rsidRPr="00A76734">
        <w:rPr>
          <w:b/>
          <w:bCs/>
          <w:color w:val="000000" w:themeColor="text1"/>
        </w:rPr>
        <w:t>Tourism Australia</w:t>
      </w:r>
    </w:p>
    <w:p w14:paraId="68C2D755" w14:textId="6146C45A" w:rsidR="006416A4" w:rsidRDefault="00680AA6" w:rsidP="005A75E7">
      <w:pPr>
        <w:rPr>
          <w:rFonts w:eastAsia="Book Antiqua" w:cs="Book Antiqua"/>
          <w:color w:val="000000" w:themeColor="text1"/>
          <w:szCs w:val="19"/>
        </w:rPr>
      </w:pPr>
      <w:r w:rsidRPr="006416A4">
        <w:rPr>
          <w:rFonts w:eastAsia="Book Antiqua" w:cs="Book Antiqua"/>
          <w:color w:val="000000" w:themeColor="text1"/>
          <w:szCs w:val="19"/>
        </w:rPr>
        <w:t xml:space="preserve">Tourism </w:t>
      </w:r>
      <w:r w:rsidR="006416A4" w:rsidRPr="006416A4">
        <w:rPr>
          <w:rFonts w:eastAsia="Book Antiqua" w:cs="Book Antiqua"/>
          <w:color w:val="000000" w:themeColor="text1"/>
          <w:szCs w:val="19"/>
        </w:rPr>
        <w:t>Australia is Australia’s national tourism marketing organisation. It works to promote Australia internationally as a compelling tourism destination for leisure and business events travel. Through its marketing to global consumers in key markets and industry support activities, Tourism Australia seeks to grow demand and foster a competitive and sustainable Australian tourism industry</w:t>
      </w:r>
      <w:r w:rsidRPr="006416A4">
        <w:rPr>
          <w:rFonts w:eastAsia="Book Antiqua" w:cs="Book Antiqua"/>
          <w:color w:val="000000" w:themeColor="text1"/>
          <w:szCs w:val="19"/>
        </w:rPr>
        <w:t>.</w:t>
      </w:r>
      <w:r w:rsidR="006416A4">
        <w:rPr>
          <w:rFonts w:eastAsia="Book Antiqua" w:cs="Book Antiqua"/>
          <w:color w:val="000000" w:themeColor="text1"/>
          <w:szCs w:val="19"/>
        </w:rPr>
        <w:br w:type="page"/>
      </w:r>
    </w:p>
    <w:p w14:paraId="2D155620" w14:textId="77777777" w:rsidR="00680AA6" w:rsidRPr="00B43466" w:rsidRDefault="00680AA6" w:rsidP="00680AA6">
      <w:pPr>
        <w:rPr>
          <w:b/>
          <w:bCs/>
          <w:color w:val="000000" w:themeColor="text1"/>
        </w:rPr>
      </w:pPr>
      <w:r w:rsidRPr="00A76734">
        <w:rPr>
          <w:b/>
          <w:bCs/>
          <w:color w:val="000000" w:themeColor="text1"/>
        </w:rPr>
        <w:lastRenderedPageBreak/>
        <w:t>Export Finance Australia (EFA)</w:t>
      </w:r>
    </w:p>
    <w:p w14:paraId="2695E411" w14:textId="086BEFCB" w:rsidR="00680AA6" w:rsidRPr="006416A4" w:rsidRDefault="00680AA6" w:rsidP="00680AA6">
      <w:pPr>
        <w:rPr>
          <w:rFonts w:eastAsia="Book Antiqua" w:cs="Book Antiqua"/>
          <w:color w:val="000000" w:themeColor="text1"/>
          <w:szCs w:val="19"/>
        </w:rPr>
      </w:pPr>
      <w:r w:rsidRPr="006416A4">
        <w:rPr>
          <w:rFonts w:eastAsia="Book Antiqua" w:cs="Book Antiqua"/>
          <w:color w:val="000000" w:themeColor="text1"/>
          <w:szCs w:val="19"/>
        </w:rPr>
        <w:t xml:space="preserve">EFA </w:t>
      </w:r>
      <w:r w:rsidR="006416A4" w:rsidRPr="006416A4">
        <w:rPr>
          <w:rFonts w:eastAsia="Book Antiqua" w:cs="Book Antiqua"/>
          <w:color w:val="000000" w:themeColor="text1"/>
          <w:szCs w:val="19"/>
        </w:rPr>
        <w:t xml:space="preserve">(legally constituted as the Export Finance and Insurance Corporation) is Australia’s export credit agency. EFA provides commercial finance for Australian export trade and overseas infrastructure development that delivers benefits to Australia. From small and medium sized enterprises (SMEs) to large corporates, foreign </w:t>
      </w:r>
      <w:r w:rsidR="00C3040D">
        <w:rPr>
          <w:rFonts w:eastAsia="Book Antiqua" w:cs="Book Antiqua"/>
          <w:color w:val="000000" w:themeColor="text1"/>
          <w:szCs w:val="19"/>
        </w:rPr>
        <w:t>g</w:t>
      </w:r>
      <w:r w:rsidR="006416A4" w:rsidRPr="006416A4">
        <w:rPr>
          <w:rFonts w:eastAsia="Book Antiqua" w:cs="Book Antiqua"/>
          <w:color w:val="000000" w:themeColor="text1"/>
          <w:szCs w:val="19"/>
        </w:rPr>
        <w:t>overnments and infrastructure projects, EFA helps Australian businesses take on the world. In doing so, EFA finance supports Australia’s economic security and regional resilience. EFA works closely with banks and other financial institutions to encourage and catalyse private market financing, and partners with DFAT and Austrade in the delivery of these services</w:t>
      </w:r>
      <w:r w:rsidRPr="006416A4">
        <w:rPr>
          <w:rFonts w:eastAsia="Book Antiqua" w:cs="Book Antiqua"/>
          <w:color w:val="000000" w:themeColor="text1"/>
          <w:szCs w:val="19"/>
        </w:rPr>
        <w:t>.</w:t>
      </w:r>
    </w:p>
    <w:p w14:paraId="3DCBAA67" w14:textId="1735B4A2" w:rsidR="00431E56" w:rsidRPr="00680AA6" w:rsidRDefault="00680AA6" w:rsidP="00680AA6">
      <w:pPr>
        <w:rPr>
          <w:rFonts w:eastAsia="Book Antiqua" w:cs="Book Antiqua"/>
          <w:color w:val="000000" w:themeColor="text1"/>
          <w:szCs w:val="19"/>
        </w:rPr>
      </w:pPr>
      <w:r w:rsidRPr="006416A4">
        <w:rPr>
          <w:rFonts w:eastAsia="Book Antiqua" w:cs="Book Antiqua"/>
          <w:color w:val="000000" w:themeColor="text1"/>
          <w:szCs w:val="19"/>
        </w:rPr>
        <w:t xml:space="preserve">EFA </w:t>
      </w:r>
      <w:r w:rsidR="006416A4" w:rsidRPr="006416A4">
        <w:rPr>
          <w:rFonts w:eastAsia="Book Antiqua" w:cs="Book Antiqua"/>
          <w:color w:val="000000" w:themeColor="text1"/>
          <w:szCs w:val="19"/>
        </w:rPr>
        <w:t>administers the Australian Government’s National Interest Account (NIA), which currently includes the Southeast Asia Investment Financing Facility, the Critical Minerals Facility, the Defence Export Facility</w:t>
      </w:r>
      <w:r w:rsidR="005F3B4C">
        <w:rPr>
          <w:rFonts w:eastAsia="Book Antiqua" w:cs="Book Antiqua"/>
          <w:color w:val="000000" w:themeColor="text1"/>
          <w:szCs w:val="19"/>
        </w:rPr>
        <w:t xml:space="preserve">, </w:t>
      </w:r>
      <w:r w:rsidR="005F3B4C" w:rsidRPr="00CF1D3D">
        <w:rPr>
          <w:rFonts w:eastAsia="Book Antiqua" w:cs="Book Antiqua"/>
          <w:color w:val="000000" w:themeColor="text1"/>
          <w:szCs w:val="19"/>
        </w:rPr>
        <w:t>the Fuel and Fertiliser Security Facility</w:t>
      </w:r>
      <w:r w:rsidR="005F3B4C">
        <w:rPr>
          <w:rFonts w:eastAsia="Book Antiqua" w:cs="Book Antiqua"/>
          <w:color w:val="000000" w:themeColor="text1"/>
          <w:szCs w:val="19"/>
        </w:rPr>
        <w:t xml:space="preserve"> and </w:t>
      </w:r>
      <w:r w:rsidR="006416A4" w:rsidRPr="006416A4">
        <w:rPr>
          <w:rFonts w:eastAsia="Book Antiqua" w:cs="Book Antiqua"/>
          <w:color w:val="000000" w:themeColor="text1"/>
          <w:szCs w:val="19"/>
        </w:rPr>
        <w:t>lending for the Australian Infrastructure Financing Facility for the Pacific. As part of the Australian Government’s Future Made in Australia agenda, EFA can also finance major domestic projects, aligned with the National Interest Framework, on the NIA. EFA also provides support to other Commonwealth entities, including Housing Australia and the Northern Australia Infrastructure Facility</w:t>
      </w:r>
      <w:r>
        <w:rPr>
          <w:rFonts w:eastAsia="Book Antiqua" w:cs="Book Antiqua"/>
          <w:color w:val="000000" w:themeColor="text1"/>
          <w:szCs w:val="19"/>
        </w:rPr>
        <w:t xml:space="preserve">. </w:t>
      </w:r>
    </w:p>
    <w:p w14:paraId="263B0317" w14:textId="4A939F24" w:rsidR="00CA5E91" w:rsidRDefault="00932AFC" w:rsidP="00CC6371">
      <w:r>
        <w:t>For information on resourc</w:t>
      </w:r>
      <w:r w:rsidRPr="00932AFC">
        <w:t>ing across the portfolio, please refer to Part 1: Agency Financial Resourcing in</w:t>
      </w:r>
      <w:r w:rsidR="007D5B26">
        <w:t xml:space="preserve"> the </w:t>
      </w:r>
      <w:r w:rsidRPr="00932AFC">
        <w:rPr>
          <w:i/>
        </w:rPr>
        <w:t>Budget Paper No. 4: Agency Resourcing</w:t>
      </w:r>
      <w:r w:rsidRPr="00932AFC">
        <w:t>.</w:t>
      </w:r>
    </w:p>
    <w:p w14:paraId="7626D3AE" w14:textId="60C71491" w:rsidR="009C7C46" w:rsidRDefault="00CA5E91" w:rsidP="00CA5E91">
      <w:pPr>
        <w:spacing w:before="0" w:after="0" w:line="240" w:lineRule="auto"/>
      </w:pPr>
      <w:r>
        <w:br w:type="page"/>
      </w:r>
    </w:p>
    <w:p w14:paraId="2B3964D7" w14:textId="65F04EE8" w:rsidR="00D46A7B" w:rsidRPr="005A7C0B" w:rsidRDefault="00A1133E" w:rsidP="00FE3DE9">
      <w:pPr>
        <w:pStyle w:val="FigureHeading"/>
      </w:pPr>
      <w:r>
        <w:lastRenderedPageBreak/>
        <w:t xml:space="preserve">Figure 1: </w:t>
      </w:r>
      <w:r w:rsidR="00680AA6">
        <w:t xml:space="preserve">Foreign Affairs and Trade </w:t>
      </w:r>
      <w:r w:rsidR="00CA2F21">
        <w:t>p</w:t>
      </w:r>
      <w:r>
        <w:t xml:space="preserve">ortfolio </w:t>
      </w:r>
      <w:r w:rsidR="00605163">
        <w:t>structure and outcomes</w:t>
      </w:r>
    </w:p>
    <w:p w14:paraId="0E27892E" w14:textId="08943BEA" w:rsidR="00680AA6" w:rsidRDefault="0029542C" w:rsidP="004260FC">
      <w:pPr>
        <w:spacing w:before="0" w:after="0" w:line="240" w:lineRule="auto"/>
      </w:pPr>
      <w:r w:rsidRPr="0029542C">
        <w:rPr>
          <w:noProof/>
        </w:rPr>
        <w:drawing>
          <wp:inline distT="0" distB="0" distL="0" distR="0" wp14:anchorId="6423EC7A" wp14:editId="26108C27">
            <wp:extent cx="4895850" cy="6980555"/>
            <wp:effectExtent l="0" t="0" r="0" b="0"/>
            <wp:docPr id="6177465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95850" cy="6980555"/>
                    </a:xfrm>
                    <a:prstGeom prst="rect">
                      <a:avLst/>
                    </a:prstGeom>
                    <a:noFill/>
                    <a:ln>
                      <a:noFill/>
                    </a:ln>
                  </pic:spPr>
                </pic:pic>
              </a:graphicData>
            </a:graphic>
          </wp:inline>
        </w:drawing>
      </w:r>
    </w:p>
    <w:p w14:paraId="7189EED7" w14:textId="77777777" w:rsidR="00680AA6" w:rsidRDefault="00680AA6" w:rsidP="004260FC">
      <w:pPr>
        <w:spacing w:before="0" w:after="0" w:line="240" w:lineRule="auto"/>
      </w:pPr>
    </w:p>
    <w:p w14:paraId="49A1DCDD" w14:textId="77777777" w:rsidR="004A3B41" w:rsidRPr="00FE3DE9" w:rsidRDefault="004A3B41" w:rsidP="004260FC">
      <w:pPr>
        <w:spacing w:before="0" w:after="0" w:line="240" w:lineRule="auto"/>
        <w:sectPr w:rsidR="004A3B41" w:rsidRPr="00FE3DE9" w:rsidSect="00472007">
          <w:headerReference w:type="even" r:id="rId51"/>
          <w:headerReference w:type="default" r:id="rId52"/>
          <w:footerReference w:type="even" r:id="rId53"/>
          <w:headerReference w:type="first" r:id="rId54"/>
          <w:footerReference w:type="first" r:id="rId55"/>
          <w:type w:val="oddPage"/>
          <w:pgSz w:w="11906" w:h="16838" w:code="9"/>
          <w:pgMar w:top="2835" w:right="2098" w:bottom="2466" w:left="2098" w:header="1814" w:footer="1814" w:gutter="0"/>
          <w:pgNumType w:start="2"/>
          <w:cols w:space="708"/>
          <w:titlePg/>
          <w:docGrid w:linePitch="360"/>
        </w:sectPr>
      </w:pPr>
    </w:p>
    <w:p w14:paraId="7FE9DFFF" w14:textId="6C432BE5" w:rsidR="00F20B6E" w:rsidRPr="002A32FD" w:rsidRDefault="007E6BBD" w:rsidP="00E36F77">
      <w:pPr>
        <w:pStyle w:val="ContentsHeading"/>
      </w:pPr>
      <w:bookmarkStart w:id="17" w:name="_Toc190766149"/>
      <w:bookmarkStart w:id="18" w:name="_Toc444523507"/>
      <w:r w:rsidRPr="002A32FD">
        <w:lastRenderedPageBreak/>
        <w:t xml:space="preserve">Entity </w:t>
      </w:r>
      <w:r w:rsidR="00605163" w:rsidRPr="002A32FD">
        <w:t>resources and</w:t>
      </w:r>
      <w:r w:rsidR="00287388">
        <w:t xml:space="preserve"> </w:t>
      </w:r>
      <w:r w:rsidR="00605163" w:rsidRPr="002A32FD">
        <w:t>planned performance</w:t>
      </w:r>
      <w:bookmarkEnd w:id="17"/>
      <w:bookmarkEnd w:id="18"/>
    </w:p>
    <w:p w14:paraId="4A43344B" w14:textId="57F4FFEC" w:rsidR="00AB76EC" w:rsidRDefault="00AB76EC" w:rsidP="00AB76EC">
      <w:pPr>
        <w:pStyle w:val="TOC1"/>
      </w:pPr>
      <w:r>
        <w:t xml:space="preserve">Department of </w:t>
      </w:r>
      <w:r w:rsidR="00390E6D">
        <w:t>Foreign Affairs and Trade</w:t>
      </w:r>
      <w:r>
        <w:tab/>
      </w:r>
      <w:r w:rsidR="00BF31F2">
        <w:t>9</w:t>
      </w:r>
    </w:p>
    <w:p w14:paraId="0F3A086D" w14:textId="7397510F" w:rsidR="00AB76EC" w:rsidRDefault="00390E6D" w:rsidP="00AB76EC">
      <w:pPr>
        <w:pStyle w:val="TOC1"/>
      </w:pPr>
      <w:r w:rsidRPr="00390E6D">
        <w:t>Australian Trade and Investment Commission</w:t>
      </w:r>
      <w:r w:rsidR="00AB76EC">
        <w:tab/>
      </w:r>
      <w:r w:rsidR="00A45C1F">
        <w:t>73</w:t>
      </w:r>
    </w:p>
    <w:p w14:paraId="4061F5A5" w14:textId="546C10ED" w:rsidR="00AB76EC" w:rsidRDefault="00390E6D" w:rsidP="00AB76EC">
      <w:pPr>
        <w:pStyle w:val="TOC1"/>
      </w:pPr>
      <w:r w:rsidRPr="00390E6D">
        <w:t>Australian Centre for International Agricultural Research</w:t>
      </w:r>
      <w:r w:rsidR="00AB76EC">
        <w:tab/>
      </w:r>
      <w:r w:rsidR="00A45C1F">
        <w:t>107</w:t>
      </w:r>
    </w:p>
    <w:p w14:paraId="09198FB0" w14:textId="0E8D106E" w:rsidR="00AB76EC" w:rsidRDefault="00390E6D" w:rsidP="00AB76EC">
      <w:pPr>
        <w:pStyle w:val="TOC1"/>
      </w:pPr>
      <w:r w:rsidRPr="00390E6D">
        <w:t>Australian Secret Intelligence Service</w:t>
      </w:r>
      <w:r w:rsidR="00AB76EC">
        <w:tab/>
      </w:r>
      <w:r w:rsidR="00A45C1F">
        <w:t>133</w:t>
      </w:r>
    </w:p>
    <w:p w14:paraId="34AA1720" w14:textId="46D7715F" w:rsidR="00AB76EC" w:rsidRDefault="00390E6D" w:rsidP="00AB76EC">
      <w:pPr>
        <w:pStyle w:val="TOC1"/>
      </w:pPr>
      <w:r w:rsidRPr="00390E6D">
        <w:t>Tourism Australia</w:t>
      </w:r>
      <w:r w:rsidR="00AB76EC">
        <w:tab/>
      </w:r>
      <w:r w:rsidR="00A45C1F">
        <w:t>149</w:t>
      </w:r>
    </w:p>
    <w:p w14:paraId="207C15B8" w14:textId="77777777" w:rsidR="00257FF4" w:rsidRDefault="00257FF4" w:rsidP="00AB76EC"/>
    <w:p w14:paraId="535A08E3" w14:textId="77777777" w:rsidR="005A7C0B" w:rsidRDefault="005A7C0B" w:rsidP="00AB76EC">
      <w:pPr>
        <w:sectPr w:rsidR="005A7C0B" w:rsidSect="00472007">
          <w:headerReference w:type="first" r:id="rId56"/>
          <w:type w:val="oddPage"/>
          <w:pgSz w:w="11906" w:h="16838" w:code="9"/>
          <w:pgMar w:top="2835" w:right="2098" w:bottom="2466" w:left="2098" w:header="1814" w:footer="1814" w:gutter="0"/>
          <w:cols w:space="708"/>
          <w:titlePg/>
          <w:docGrid w:linePitch="360"/>
        </w:sectPr>
      </w:pPr>
    </w:p>
    <w:p w14:paraId="4013CC86" w14:textId="53D2E534" w:rsidR="00257FF4" w:rsidRPr="004C1439" w:rsidRDefault="00257FF4" w:rsidP="004C1439">
      <w:pPr>
        <w:pStyle w:val="PartHeading"/>
      </w:pPr>
      <w:r w:rsidRPr="004C1439">
        <w:lastRenderedPageBreak/>
        <w:t xml:space="preserve">Department of </w:t>
      </w:r>
      <w:r w:rsidR="00DC2A05">
        <w:t>Foreign Affairs and Trade</w:t>
      </w:r>
    </w:p>
    <w:p w14:paraId="529A0546" w14:textId="77777777" w:rsidR="005A7C0B" w:rsidRPr="004C1439" w:rsidRDefault="005A7C0B" w:rsidP="004C1439"/>
    <w:p w14:paraId="46296373" w14:textId="19384E0B" w:rsidR="00257FF4" w:rsidRPr="004C1439" w:rsidRDefault="007E6BBD" w:rsidP="004C1439">
      <w:pPr>
        <w:pStyle w:val="PartHeading-TOC"/>
      </w:pPr>
      <w:bookmarkStart w:id="19" w:name="_Toc221878502"/>
      <w:r w:rsidRPr="004C1439">
        <w:t xml:space="preserve">Entity </w:t>
      </w:r>
      <w:r w:rsidR="00605163" w:rsidRPr="004C1439">
        <w:t>resources and planned performance</w:t>
      </w:r>
      <w:bookmarkEnd w:id="19"/>
    </w:p>
    <w:p w14:paraId="042EE2FE" w14:textId="04001341" w:rsidR="004C1439" w:rsidRPr="004C1439" w:rsidRDefault="004C1439" w:rsidP="004C1439">
      <w:pPr>
        <w:sectPr w:rsidR="004C1439" w:rsidRPr="004C1439" w:rsidSect="00472007">
          <w:footerReference w:type="first" r:id="rId57"/>
          <w:type w:val="oddPage"/>
          <w:pgSz w:w="11906" w:h="16838" w:code="9"/>
          <w:pgMar w:top="2835" w:right="2098" w:bottom="2466" w:left="2098" w:header="1814" w:footer="1814" w:gutter="0"/>
          <w:cols w:space="708"/>
          <w:vAlign w:val="center"/>
          <w:titlePg/>
          <w:docGrid w:linePitch="360"/>
        </w:sectPr>
      </w:pPr>
    </w:p>
    <w:p w14:paraId="4C286A14" w14:textId="124DCA0F" w:rsidR="00257FF4" w:rsidRPr="00E36F77" w:rsidRDefault="00257FF4" w:rsidP="00E36F77">
      <w:pPr>
        <w:pStyle w:val="ContentsHeading"/>
      </w:pPr>
      <w:bookmarkStart w:id="20" w:name="_Toc190766150"/>
      <w:r w:rsidRPr="00E36F77">
        <w:lastRenderedPageBreak/>
        <w:t xml:space="preserve">Department of </w:t>
      </w:r>
      <w:bookmarkEnd w:id="20"/>
      <w:r w:rsidR="00A75284">
        <w:t>Foreign Affairs and Trade</w:t>
      </w:r>
    </w:p>
    <w:p w14:paraId="457A6452" w14:textId="2936A8AB" w:rsidR="00A745EF" w:rsidRPr="001C6402" w:rsidRDefault="00915F49">
      <w:pPr>
        <w:pStyle w:val="TOC1"/>
        <w:rPr>
          <w:rFonts w:ascii="Book Antiqua" w:hAnsi="Book Antiqua"/>
          <w:b w:val="0"/>
          <w:caps/>
          <w:noProof/>
          <w:sz w:val="22"/>
          <w:szCs w:val="22"/>
        </w:rPr>
      </w:pPr>
      <w:r>
        <w:fldChar w:fldCharType="begin"/>
      </w:r>
      <w:r>
        <w:instrText xml:space="preserve"> TOC \h \z \t "Heading 2,1,Heading 3,2" </w:instrText>
      </w:r>
      <w:r>
        <w:fldChar w:fldCharType="separate"/>
      </w:r>
      <w:r w:rsidR="00A745EF" w:rsidRPr="00A75284">
        <w:rPr>
          <w:noProof/>
        </w:rPr>
        <w:t>Section 1: Entity overview and resources</w:t>
      </w:r>
      <w:r w:rsidR="00A745EF">
        <w:rPr>
          <w:noProof/>
          <w:webHidden/>
        </w:rPr>
        <w:tab/>
      </w:r>
      <w:r w:rsidR="00104E19">
        <w:rPr>
          <w:noProof/>
          <w:webHidden/>
        </w:rPr>
        <w:t>1</w:t>
      </w:r>
      <w:r w:rsidR="001207E2">
        <w:rPr>
          <w:noProof/>
          <w:webHidden/>
        </w:rPr>
        <w:t>3</w:t>
      </w:r>
    </w:p>
    <w:p w14:paraId="03677C94" w14:textId="1D026573" w:rsidR="00A745EF" w:rsidRPr="001C6402" w:rsidRDefault="00A745EF">
      <w:pPr>
        <w:pStyle w:val="TOC2"/>
        <w:tabs>
          <w:tab w:val="left" w:pos="800"/>
        </w:tabs>
        <w:rPr>
          <w:rFonts w:ascii="Book Antiqua" w:hAnsi="Book Antiqua"/>
          <w:noProof/>
          <w:sz w:val="22"/>
          <w:szCs w:val="22"/>
        </w:rPr>
      </w:pPr>
      <w:r w:rsidRPr="00A75284">
        <w:rPr>
          <w:noProof/>
        </w:rPr>
        <w:t>1.1</w:t>
      </w:r>
      <w:r w:rsidRPr="001C6402">
        <w:rPr>
          <w:rFonts w:ascii="Book Antiqua" w:hAnsi="Book Antiqua"/>
          <w:noProof/>
          <w:sz w:val="22"/>
          <w:szCs w:val="22"/>
        </w:rPr>
        <w:tab/>
      </w:r>
      <w:r w:rsidRPr="00A75284">
        <w:rPr>
          <w:noProof/>
        </w:rPr>
        <w:t>Strategic direction statement</w:t>
      </w:r>
      <w:r>
        <w:rPr>
          <w:noProof/>
          <w:webHidden/>
        </w:rPr>
        <w:tab/>
      </w:r>
      <w:r w:rsidR="00104E19">
        <w:rPr>
          <w:noProof/>
          <w:webHidden/>
        </w:rPr>
        <w:t>1</w:t>
      </w:r>
      <w:r w:rsidR="001207E2">
        <w:rPr>
          <w:noProof/>
          <w:webHidden/>
        </w:rPr>
        <w:t>3</w:t>
      </w:r>
    </w:p>
    <w:p w14:paraId="3422E4A0" w14:textId="7C36B2B3" w:rsidR="00A745EF" w:rsidRPr="001C6402" w:rsidRDefault="00A745EF">
      <w:pPr>
        <w:pStyle w:val="TOC2"/>
        <w:tabs>
          <w:tab w:val="left" w:pos="800"/>
        </w:tabs>
        <w:rPr>
          <w:rFonts w:ascii="Book Antiqua" w:hAnsi="Book Antiqua"/>
          <w:noProof/>
          <w:sz w:val="22"/>
          <w:szCs w:val="22"/>
        </w:rPr>
      </w:pPr>
      <w:r w:rsidRPr="00A75284">
        <w:rPr>
          <w:noProof/>
        </w:rPr>
        <w:t>1.2</w:t>
      </w:r>
      <w:r w:rsidRPr="001C6402">
        <w:rPr>
          <w:rFonts w:ascii="Book Antiqua" w:hAnsi="Book Antiqua"/>
          <w:noProof/>
          <w:sz w:val="22"/>
          <w:szCs w:val="22"/>
        </w:rPr>
        <w:tab/>
      </w:r>
      <w:r w:rsidRPr="00A75284">
        <w:rPr>
          <w:noProof/>
        </w:rPr>
        <w:t>Entity resource statement</w:t>
      </w:r>
      <w:r>
        <w:rPr>
          <w:noProof/>
          <w:webHidden/>
        </w:rPr>
        <w:tab/>
      </w:r>
      <w:r w:rsidR="009759EE">
        <w:rPr>
          <w:noProof/>
          <w:webHidden/>
        </w:rPr>
        <w:t>18</w:t>
      </w:r>
    </w:p>
    <w:p w14:paraId="39A9A412" w14:textId="699EE51E" w:rsidR="00A745EF" w:rsidRPr="001C6402" w:rsidRDefault="00A745EF">
      <w:pPr>
        <w:pStyle w:val="TOC2"/>
        <w:tabs>
          <w:tab w:val="left" w:pos="800"/>
        </w:tabs>
        <w:rPr>
          <w:rFonts w:ascii="Book Antiqua" w:hAnsi="Book Antiqua"/>
          <w:noProof/>
          <w:sz w:val="22"/>
          <w:szCs w:val="22"/>
        </w:rPr>
      </w:pPr>
      <w:r w:rsidRPr="00A75284">
        <w:rPr>
          <w:noProof/>
        </w:rPr>
        <w:t>1.3</w:t>
      </w:r>
      <w:r w:rsidRPr="001C6402">
        <w:rPr>
          <w:rFonts w:ascii="Book Antiqua" w:hAnsi="Book Antiqua"/>
          <w:noProof/>
          <w:sz w:val="22"/>
          <w:szCs w:val="22"/>
        </w:rPr>
        <w:tab/>
      </w:r>
      <w:r w:rsidRPr="00A75284">
        <w:rPr>
          <w:noProof/>
        </w:rPr>
        <w:t>Budget measures</w:t>
      </w:r>
      <w:r>
        <w:rPr>
          <w:noProof/>
          <w:webHidden/>
        </w:rPr>
        <w:tab/>
      </w:r>
      <w:r w:rsidR="009759EE">
        <w:rPr>
          <w:noProof/>
          <w:webHidden/>
        </w:rPr>
        <w:t>21</w:t>
      </w:r>
    </w:p>
    <w:p w14:paraId="3C080721" w14:textId="2143A5F3" w:rsidR="00A745EF" w:rsidRPr="001C6402" w:rsidRDefault="00A745EF">
      <w:pPr>
        <w:pStyle w:val="TOC1"/>
        <w:rPr>
          <w:rFonts w:ascii="Book Antiqua" w:hAnsi="Book Antiqua"/>
          <w:b w:val="0"/>
          <w:caps/>
          <w:noProof/>
          <w:sz w:val="22"/>
          <w:szCs w:val="22"/>
        </w:rPr>
      </w:pPr>
      <w:r w:rsidRPr="00A75284">
        <w:rPr>
          <w:noProof/>
        </w:rPr>
        <w:t>Section 2: Outcomes and planned performance</w:t>
      </w:r>
      <w:r>
        <w:rPr>
          <w:noProof/>
          <w:webHidden/>
        </w:rPr>
        <w:tab/>
      </w:r>
      <w:r w:rsidR="009759EE">
        <w:rPr>
          <w:noProof/>
          <w:webHidden/>
        </w:rPr>
        <w:t>23</w:t>
      </w:r>
    </w:p>
    <w:p w14:paraId="1B06467F" w14:textId="13E755D1" w:rsidR="00A745EF" w:rsidRDefault="00A745EF">
      <w:pPr>
        <w:pStyle w:val="TOC2"/>
        <w:tabs>
          <w:tab w:val="left" w:pos="800"/>
        </w:tabs>
        <w:rPr>
          <w:noProof/>
          <w:webHidden/>
        </w:rPr>
      </w:pPr>
      <w:r w:rsidRPr="00A75284">
        <w:rPr>
          <w:noProof/>
        </w:rPr>
        <w:t xml:space="preserve">2.1 </w:t>
      </w:r>
      <w:r w:rsidRPr="001C6402">
        <w:rPr>
          <w:rFonts w:ascii="Book Antiqua" w:hAnsi="Book Antiqua"/>
          <w:noProof/>
          <w:sz w:val="22"/>
          <w:szCs w:val="22"/>
        </w:rPr>
        <w:tab/>
      </w:r>
      <w:r w:rsidRPr="00A75284">
        <w:rPr>
          <w:noProof/>
        </w:rPr>
        <w:t xml:space="preserve">Budgeted expenses and performance for Outcome </w:t>
      </w:r>
      <w:r w:rsidR="00A75284">
        <w:rPr>
          <w:noProof/>
        </w:rPr>
        <w:t>1</w:t>
      </w:r>
      <w:r>
        <w:rPr>
          <w:noProof/>
          <w:webHidden/>
        </w:rPr>
        <w:tab/>
      </w:r>
      <w:r w:rsidR="009759EE">
        <w:rPr>
          <w:noProof/>
          <w:webHidden/>
        </w:rPr>
        <w:t>24</w:t>
      </w:r>
    </w:p>
    <w:p w14:paraId="5123B4F5" w14:textId="1F5FFA33" w:rsidR="00A75284" w:rsidRPr="001C6402" w:rsidRDefault="00A75284" w:rsidP="00A75284">
      <w:pPr>
        <w:pStyle w:val="TOC2"/>
        <w:tabs>
          <w:tab w:val="left" w:pos="800"/>
        </w:tabs>
        <w:rPr>
          <w:rFonts w:ascii="Book Antiqua" w:hAnsi="Book Antiqua"/>
          <w:noProof/>
          <w:sz w:val="22"/>
          <w:szCs w:val="22"/>
        </w:rPr>
      </w:pPr>
      <w:r w:rsidRPr="00A75284">
        <w:rPr>
          <w:noProof/>
        </w:rPr>
        <w:t>2.</w:t>
      </w:r>
      <w:r w:rsidR="00DE11A6">
        <w:rPr>
          <w:noProof/>
        </w:rPr>
        <w:t>2</w:t>
      </w:r>
      <w:r w:rsidRPr="00A75284">
        <w:rPr>
          <w:noProof/>
        </w:rPr>
        <w:t xml:space="preserve"> </w:t>
      </w:r>
      <w:r w:rsidRPr="001C6402">
        <w:rPr>
          <w:rFonts w:ascii="Book Antiqua" w:hAnsi="Book Antiqua"/>
          <w:noProof/>
          <w:sz w:val="22"/>
          <w:szCs w:val="22"/>
        </w:rPr>
        <w:tab/>
      </w:r>
      <w:r w:rsidRPr="00A75284">
        <w:rPr>
          <w:noProof/>
        </w:rPr>
        <w:t xml:space="preserve">Budgeted expenses and performance for Outcome </w:t>
      </w:r>
      <w:r>
        <w:rPr>
          <w:noProof/>
        </w:rPr>
        <w:t>2</w:t>
      </w:r>
      <w:r>
        <w:rPr>
          <w:noProof/>
          <w:webHidden/>
        </w:rPr>
        <w:tab/>
      </w:r>
      <w:r w:rsidR="009759EE">
        <w:rPr>
          <w:noProof/>
          <w:webHidden/>
        </w:rPr>
        <w:t>45</w:t>
      </w:r>
    </w:p>
    <w:p w14:paraId="10B6515D" w14:textId="52AA5312" w:rsidR="00A75284" w:rsidRPr="00A75284" w:rsidRDefault="00A75284" w:rsidP="00A75284">
      <w:pPr>
        <w:pStyle w:val="TOC2"/>
        <w:tabs>
          <w:tab w:val="left" w:pos="800"/>
        </w:tabs>
        <w:rPr>
          <w:rFonts w:ascii="Book Antiqua" w:hAnsi="Book Antiqua"/>
          <w:noProof/>
          <w:sz w:val="22"/>
          <w:szCs w:val="22"/>
        </w:rPr>
      </w:pPr>
      <w:r w:rsidRPr="00A75284">
        <w:rPr>
          <w:noProof/>
        </w:rPr>
        <w:t>2.</w:t>
      </w:r>
      <w:r w:rsidR="00DE11A6">
        <w:rPr>
          <w:noProof/>
        </w:rPr>
        <w:t>3</w:t>
      </w:r>
      <w:r w:rsidRPr="00A75284">
        <w:rPr>
          <w:noProof/>
        </w:rPr>
        <w:t xml:space="preserve"> </w:t>
      </w:r>
      <w:r w:rsidRPr="001C6402">
        <w:rPr>
          <w:rFonts w:ascii="Book Antiqua" w:hAnsi="Book Antiqua"/>
          <w:noProof/>
          <w:sz w:val="22"/>
          <w:szCs w:val="22"/>
        </w:rPr>
        <w:tab/>
      </w:r>
      <w:r w:rsidRPr="00A75284">
        <w:rPr>
          <w:noProof/>
        </w:rPr>
        <w:t xml:space="preserve">Budgeted expenses and performance for Outcome </w:t>
      </w:r>
      <w:r>
        <w:rPr>
          <w:noProof/>
        </w:rPr>
        <w:t>3</w:t>
      </w:r>
      <w:r>
        <w:rPr>
          <w:noProof/>
          <w:webHidden/>
        </w:rPr>
        <w:tab/>
      </w:r>
      <w:r w:rsidR="009759EE">
        <w:rPr>
          <w:noProof/>
          <w:webHidden/>
        </w:rPr>
        <w:t>52</w:t>
      </w:r>
    </w:p>
    <w:p w14:paraId="5ACB30E1" w14:textId="669EFE13" w:rsidR="00A745EF" w:rsidRPr="001C6402" w:rsidRDefault="00A745EF">
      <w:pPr>
        <w:pStyle w:val="TOC1"/>
        <w:rPr>
          <w:rFonts w:ascii="Book Antiqua" w:hAnsi="Book Antiqua"/>
          <w:b w:val="0"/>
          <w:caps/>
          <w:noProof/>
          <w:sz w:val="22"/>
          <w:szCs w:val="22"/>
        </w:rPr>
      </w:pPr>
      <w:r w:rsidRPr="00A75284">
        <w:rPr>
          <w:noProof/>
        </w:rPr>
        <w:t>Section 3: Budgeted financial statements</w:t>
      </w:r>
      <w:r>
        <w:rPr>
          <w:noProof/>
          <w:webHidden/>
        </w:rPr>
        <w:tab/>
      </w:r>
      <w:r w:rsidR="009759EE">
        <w:rPr>
          <w:noProof/>
          <w:webHidden/>
        </w:rPr>
        <w:t>57</w:t>
      </w:r>
    </w:p>
    <w:p w14:paraId="401F112A" w14:textId="051D2BC0" w:rsidR="00A745EF" w:rsidRPr="001C6402" w:rsidRDefault="00A745EF">
      <w:pPr>
        <w:pStyle w:val="TOC2"/>
        <w:tabs>
          <w:tab w:val="left" w:pos="800"/>
        </w:tabs>
        <w:rPr>
          <w:rFonts w:ascii="Book Antiqua" w:hAnsi="Book Antiqua"/>
          <w:noProof/>
          <w:sz w:val="22"/>
          <w:szCs w:val="22"/>
        </w:rPr>
      </w:pPr>
      <w:r w:rsidRPr="00A75284">
        <w:rPr>
          <w:noProof/>
        </w:rPr>
        <w:t>3.1</w:t>
      </w:r>
      <w:r w:rsidRPr="001C6402">
        <w:rPr>
          <w:rFonts w:ascii="Book Antiqua" w:hAnsi="Book Antiqua"/>
          <w:noProof/>
          <w:sz w:val="22"/>
          <w:szCs w:val="22"/>
        </w:rPr>
        <w:tab/>
      </w:r>
      <w:r w:rsidRPr="00A75284">
        <w:rPr>
          <w:noProof/>
        </w:rPr>
        <w:t>Budgeted financial statements</w:t>
      </w:r>
      <w:r>
        <w:rPr>
          <w:noProof/>
          <w:webHidden/>
        </w:rPr>
        <w:tab/>
      </w:r>
      <w:r w:rsidR="009759EE">
        <w:rPr>
          <w:noProof/>
          <w:webHidden/>
        </w:rPr>
        <w:t>57</w:t>
      </w:r>
    </w:p>
    <w:p w14:paraId="348D60C9" w14:textId="119618C9" w:rsidR="00257FF4" w:rsidRDefault="00915F49" w:rsidP="00257FF4">
      <w:r>
        <w:fldChar w:fldCharType="end"/>
      </w:r>
    </w:p>
    <w:p w14:paraId="3B010DAB" w14:textId="77777777" w:rsidR="004260FC" w:rsidRDefault="004260FC" w:rsidP="00257FF4">
      <w:pPr>
        <w:sectPr w:rsidR="004260FC" w:rsidSect="00472007">
          <w:footerReference w:type="first" r:id="rId58"/>
          <w:type w:val="oddPage"/>
          <w:pgSz w:w="11906" w:h="16838" w:code="9"/>
          <w:pgMar w:top="2835" w:right="2098" w:bottom="2466" w:left="2098" w:header="1814" w:footer="1814" w:gutter="0"/>
          <w:cols w:space="708"/>
          <w:titlePg/>
          <w:docGrid w:linePitch="360"/>
        </w:sectPr>
      </w:pPr>
    </w:p>
    <w:p w14:paraId="32763848" w14:textId="1ED7AA41" w:rsidR="00257FF4" w:rsidRDefault="00257FF4" w:rsidP="00834F9A">
      <w:pPr>
        <w:pStyle w:val="Heading1"/>
      </w:pPr>
      <w:bookmarkStart w:id="21" w:name="_Toc221878503"/>
      <w:r>
        <w:lastRenderedPageBreak/>
        <w:t xml:space="preserve">Department of </w:t>
      </w:r>
      <w:bookmarkEnd w:id="21"/>
      <w:r w:rsidR="00492046">
        <w:t>Foreign Affairs and Trade</w:t>
      </w:r>
    </w:p>
    <w:p w14:paraId="7C59EFDB" w14:textId="77777777" w:rsidR="00257FF4" w:rsidRPr="002C4D41" w:rsidRDefault="00257FF4" w:rsidP="00257FF4">
      <w:pPr>
        <w:pStyle w:val="Heading2"/>
      </w:pPr>
      <w:bookmarkStart w:id="22" w:name="_Toc190682308"/>
      <w:bookmarkStart w:id="23" w:name="_Toc190682526"/>
      <w:bookmarkStart w:id="24" w:name="_Toc444523508"/>
      <w:bookmarkStart w:id="25" w:name="_Toc65243505"/>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22"/>
      <w:bookmarkEnd w:id="23"/>
      <w:bookmarkEnd w:id="24"/>
      <w:bookmarkEnd w:id="25"/>
    </w:p>
    <w:p w14:paraId="21538C43" w14:textId="77777777" w:rsidR="00257FF4" w:rsidRDefault="00257FF4" w:rsidP="00257FF4">
      <w:pPr>
        <w:pStyle w:val="Heading3"/>
      </w:pPr>
      <w:bookmarkStart w:id="26" w:name="_Toc190682309"/>
      <w:bookmarkStart w:id="27" w:name="_Toc190682527"/>
      <w:bookmarkStart w:id="28" w:name="_Toc444523509"/>
      <w:bookmarkStart w:id="29" w:name="_Toc65243506"/>
      <w:r>
        <w:t>1.1</w:t>
      </w:r>
      <w:r>
        <w:tab/>
        <w:t xml:space="preserve">Strategic </w:t>
      </w:r>
      <w:r w:rsidR="00D81071">
        <w:t>direction</w:t>
      </w:r>
      <w:bookmarkEnd w:id="26"/>
      <w:bookmarkEnd w:id="27"/>
      <w:r w:rsidR="00D81071">
        <w:t xml:space="preserve"> </w:t>
      </w:r>
      <w:r w:rsidR="00605163">
        <w:t>statement</w:t>
      </w:r>
      <w:bookmarkEnd w:id="28"/>
      <w:bookmarkEnd w:id="29"/>
    </w:p>
    <w:p w14:paraId="3CCB632C" w14:textId="5768E612" w:rsidR="00D1024D" w:rsidRDefault="00083F2E" w:rsidP="0079797F">
      <w:r w:rsidRPr="00083F2E">
        <w:t xml:space="preserve">The </w:t>
      </w:r>
      <w:r w:rsidR="00483E79" w:rsidRPr="00483E79">
        <w:t>purpose of the Department of Foreign Affairs and Trade is to make Australia stronger, safer and more prosperous, to provide timely and responsive consular and passport services, and to ensure a secure Australian Government presence overseas. The department does this by focusing on our region, where our interests are most at stake; investing not only in traditional but also in more diverse relationships; and supporting the rules and norms that protect us all</w:t>
      </w:r>
      <w:r>
        <w:t>.</w:t>
      </w:r>
    </w:p>
    <w:p w14:paraId="64630B2A" w14:textId="149B269B" w:rsidR="00083F2E" w:rsidRDefault="00483E79" w:rsidP="0079797F">
      <w:r>
        <w:t xml:space="preserve">In </w:t>
      </w:r>
      <w:r w:rsidRPr="00483E79">
        <w:t>an increasingly complex, unstable and unpredictable world, the department will continue to prioritise our region, relationships, rules and resilience</w:t>
      </w:r>
      <w:r w:rsidR="004C3DB1">
        <w:t>,</w:t>
      </w:r>
      <w:r w:rsidRPr="00483E79">
        <w:t xml:space="preserve"> focusing on the </w:t>
      </w:r>
      <w:r w:rsidR="004C3DB1">
        <w:br/>
      </w:r>
      <w:r w:rsidRPr="00483E79">
        <w:t xml:space="preserve">Indo-Pacific and building common ground with other countries. The department will continue to invest in diverse and emerging partnerships, especially in our region, at the same time as engaging with traditional partners like the United Kingdom and the </w:t>
      </w:r>
      <w:r w:rsidR="004C3DB1">
        <w:br/>
      </w:r>
      <w:r w:rsidRPr="00483E79">
        <w:t>United States of America</w:t>
      </w:r>
      <w:r w:rsidR="00083F2E">
        <w:t>.</w:t>
      </w:r>
    </w:p>
    <w:p w14:paraId="47C6BE40" w14:textId="7E65B594" w:rsidR="00483E79" w:rsidRDefault="00483E79" w:rsidP="0079797F">
      <w:r>
        <w:t xml:space="preserve">What </w:t>
      </w:r>
      <w:r w:rsidRPr="00483E79">
        <w:t xml:space="preserve">Australia does abroad </w:t>
      </w:r>
      <w:proofErr w:type="gramStart"/>
      <w:r w:rsidRPr="00483E79">
        <w:t>reinforces</w:t>
      </w:r>
      <w:proofErr w:type="gramEnd"/>
      <w:r w:rsidRPr="00483E79">
        <w:t>—and is reinforced by—who we are and what we do at home. The department will continue to bolster Australia’s economic resilience by supporting open trading relationships and the continued flow of essential goods</w:t>
      </w:r>
      <w:r>
        <w:t xml:space="preserve">. </w:t>
      </w:r>
    </w:p>
    <w:p w14:paraId="6BFE65D6" w14:textId="77777777" w:rsidR="00483E79" w:rsidRDefault="00483E79" w:rsidP="00483E79">
      <w:r>
        <w:t xml:space="preserve">As we seek to maintain peace in our region, our nation's front line is diplomacy. By combining all arms of our national power—including economic, strategic, diplomatic, development and military—we can advance our interests and </w:t>
      </w:r>
      <w:proofErr w:type="gramStart"/>
      <w:r>
        <w:t>values, and</w:t>
      </w:r>
      <w:proofErr w:type="gramEnd"/>
      <w:r>
        <w:t xml:space="preserve"> deter any potential adversary. The department leads this work overseas on behalf of the Australian Government.</w:t>
      </w:r>
    </w:p>
    <w:p w14:paraId="1995AE1E" w14:textId="77777777" w:rsidR="00483E79" w:rsidRDefault="00483E79" w:rsidP="00483E79">
      <w:r>
        <w:t>The department will be active and ambitious in leading whole-of-government efforts to shape a region where no country dominates, and no country is dominated. Our foreign policy is grounded in the principle that we cannot leave our future to the great powers to decide. We will keep working harder in existing and new coalitions, in our region and beyond, to pursue an amplified middle power diplomacy.</w:t>
      </w:r>
    </w:p>
    <w:p w14:paraId="736EA85E" w14:textId="2D1B0AA6" w:rsidR="00483E79" w:rsidRDefault="00483E79" w:rsidP="00483E79">
      <w:r>
        <w:t>The Indo-Pacific remains central to our efforts. The department works closely across government, leveraging all arms of statecraft, to contribute to a favourable strategic balance in our region. This includes strengthening key diplomatic relationships through bilateral and multilateral mechanisms, finding ways to coordinate, diversify and deepen our partnerships, projecting and fostering effective narratives about Australia, and reinforcing the centrality of regional institutions</w:t>
      </w:r>
      <w:r w:rsidR="00083F2E">
        <w:t xml:space="preserve">. </w:t>
      </w:r>
    </w:p>
    <w:p w14:paraId="0174551B" w14:textId="77777777" w:rsidR="00483E79" w:rsidRDefault="00483E79">
      <w:pPr>
        <w:spacing w:before="0" w:after="0" w:line="240" w:lineRule="auto"/>
      </w:pPr>
      <w:r>
        <w:br w:type="page"/>
      </w:r>
    </w:p>
    <w:p w14:paraId="2CEE940E" w14:textId="77777777" w:rsidR="00483E79" w:rsidRDefault="00483E79" w:rsidP="00483E79">
      <w:r>
        <w:lastRenderedPageBreak/>
        <w:t>We will bolster economic security and resilience at home and across the region by diversifying our trade and economy, creating new opportunities for Australian importers and exporters, encouraging increased investment in Australia, negotiating deeper economic security partnerships, strengthening supply chain resilience and reinforcing connections with key domestic priorities. To shield Australia against supply chain disruptions, we will lead efforts to strengthen and diversify critical supply chains and support the Australian Government’s actions to secure fuel and other strategic materials, such as fertiliser, including the use of export financing.</w:t>
      </w:r>
    </w:p>
    <w:p w14:paraId="57B297FA" w14:textId="545E7071" w:rsidR="00483E79" w:rsidRDefault="00483E79" w:rsidP="00483E79">
      <w:r>
        <w:t xml:space="preserve">We are advancing an ambitious suite of new agreements that build alignment and strengthen our connections with Southeast Asian and Pacific partners. These include the historic Australia-Indonesia Treaty on Common Security (the Jakarta Treaty 2026), </w:t>
      </w:r>
      <w:r w:rsidR="004C3DB1">
        <w:br/>
      </w:r>
      <w:r>
        <w:t xml:space="preserve">the Puk </w:t>
      </w:r>
      <w:proofErr w:type="spellStart"/>
      <w:r>
        <w:t>Puk</w:t>
      </w:r>
      <w:proofErr w:type="spellEnd"/>
      <w:r>
        <w:t xml:space="preserve"> Treaty with Papua New Guinea, and the </w:t>
      </w:r>
      <w:proofErr w:type="spellStart"/>
      <w:r>
        <w:t>Parseria</w:t>
      </w:r>
      <w:proofErr w:type="spellEnd"/>
      <w:r>
        <w:t xml:space="preserve"> Joint Declaration with Timor-Leste.</w:t>
      </w:r>
    </w:p>
    <w:p w14:paraId="797D492E" w14:textId="240A4B64" w:rsidR="00483E79" w:rsidRDefault="00483E79" w:rsidP="00483E79">
      <w:r>
        <w:t>Keeping Australians safe is the Australian Government’s top priority, and the department will continue to provide passport and consular assistance and crisis support internationally. There are more than one million Australians overseas at any time, and the department leads and coordinates efforts to help Australians in trouble overseas.</w:t>
      </w:r>
      <w:r w:rsidR="00160D12">
        <w:br/>
      </w:r>
      <w:r>
        <w:t>In 2024</w:t>
      </w:r>
      <w:r w:rsidR="00160D12">
        <w:t>–</w:t>
      </w:r>
      <w:r>
        <w:t xml:space="preserve">25, the department managed 26,266 cases of consular and crisis assistance and responded to 61,534 calls to the Consular Emergency Centre. The department supports around 1,500 consular cases at any one time. </w:t>
      </w:r>
    </w:p>
    <w:p w14:paraId="566D511C" w14:textId="7260C6DE" w:rsidR="00483E79" w:rsidRDefault="00483E79" w:rsidP="00483E79">
      <w:r>
        <w:t xml:space="preserve">In early 2026, the department led efforts to support Australians impacted by the </w:t>
      </w:r>
      <w:r w:rsidR="004C3DB1">
        <w:br/>
      </w:r>
      <w:r>
        <w:t xml:space="preserve">Middle East regional conflict. In a more unpredictable world, our ability to prepare for, and respond to, crises </w:t>
      </w:r>
      <w:proofErr w:type="gramStart"/>
      <w:r>
        <w:t>remains</w:t>
      </w:r>
      <w:proofErr w:type="gramEnd"/>
      <w:r>
        <w:t xml:space="preserve"> essential. We will continue to strengthen crisis preparedness across the overseas network, ensuring rapid, coordinated responses and assistance. </w:t>
      </w:r>
    </w:p>
    <w:p w14:paraId="3ACD927D" w14:textId="77777777" w:rsidR="00483E79" w:rsidRDefault="00483E79" w:rsidP="00483E79">
      <w:r>
        <w:t xml:space="preserve">The multilateral system that has served Australia’s national security, economy and global stability, is facing significant disruption. For years there has been a global trend away from rules and towards the exercise of power. Australia will prosecute our interests by advocating for strong rules and norms and championing reform. We will prioritise those parts of the system that Australia and our region rely on most. We will promote international cooperation on challenges we can only solve globally, while working to uphold international law and human rights, boost trade and investment opportunities, champion gender equality, protect civilians, provide humanitarian assistance and continue our leadership on the protection of humanitarian personnel. </w:t>
      </w:r>
    </w:p>
    <w:p w14:paraId="57DE3902" w14:textId="416E8CA1" w:rsidR="00083F2E" w:rsidRDefault="00483E79" w:rsidP="00483E79">
      <w:r>
        <w:t>Australia will continue to grow our international development program, which remains central to our interests. At the same time, traditional development partners have dramatically reduced official development assistance to our region. Developing countries in our region are also being impacted by the energy disruptions associated with the conflict in the Middle East. These circumstances demand further reprioritisation of Australia’s funding to the Indo-Pacific and a reduction to some multilateral programs. Australia will continue to contribute to a more equitable and resilient future for our region, because our nations and people all benefit from the peace, stability and security we build together. Our international development program will continue to prioritise the Indo-Pacific, which receives more than three-quarters of Australia’s development assistance</w:t>
      </w:r>
      <w:r w:rsidR="00083F2E">
        <w:t>.</w:t>
      </w:r>
      <w:r w:rsidR="00083F2E">
        <w:br w:type="page"/>
      </w:r>
    </w:p>
    <w:p w14:paraId="51B4C15F" w14:textId="746C4B0F" w:rsidR="00483E79" w:rsidRDefault="00483E79" w:rsidP="00483E79">
      <w:r>
        <w:lastRenderedPageBreak/>
        <w:t xml:space="preserve">As a trading nation, Australia benefits greatly from a stable and open global trading system that has underpinned security and prosperity for decades—including through the </w:t>
      </w:r>
      <w:r w:rsidR="00DB4007">
        <w:br/>
      </w:r>
      <w:r>
        <w:t>World Trade Organization. Australia led in building the two largest regional deals—the Regional Comprehensive Economic Partnership (RCEP), and the Comprehensive and Progressive Agreement for Trans-Pacific Partnership (CPTPP). The department will continue to drive its broad trade agenda, knowing that Australia's national interest lies in being at every table where economic integration in Asia is being progressed.</w:t>
      </w:r>
    </w:p>
    <w:p w14:paraId="1E6B43D6" w14:textId="77777777" w:rsidR="00483E79" w:rsidRDefault="00483E79" w:rsidP="00483E79">
      <w:r>
        <w:t xml:space="preserve">Australia has secured a landmark new free trade agreement with the European Union that will bring economy-wide benefits to </w:t>
      </w:r>
      <w:proofErr w:type="gramStart"/>
      <w:r>
        <w:t>Australia, and</w:t>
      </w:r>
      <w:proofErr w:type="gramEnd"/>
      <w:r>
        <w:t xml:space="preserve"> substantially concluded negotiations on the Protocol on Economic Resilience and Essential Supplies to the Singapore-Australia Free Trade Agreement (SAFTA).</w:t>
      </w:r>
    </w:p>
    <w:p w14:paraId="141638EB" w14:textId="35782140" w:rsidR="00483E79" w:rsidRDefault="00483E79" w:rsidP="00483E79">
      <w:r>
        <w:t>Australia will play an ambitious and constructive role in climate change and the clean energy transition, including enhanced collaboration in the green economy and through our partnership with the Pacific and the 31st Conference of the Parties to the United Nations Framework Convention on Climate Change (COP31). The department will strengthen its commitment to backing Pacific-led climate-resilient infrastructure solutions by investing a further $550</w:t>
      </w:r>
      <w:r w:rsidR="0074049F">
        <w:t>.0</w:t>
      </w:r>
      <w:r>
        <w:t xml:space="preserve"> million for the Australian Infrastructure Financing Facility for the Pacific.</w:t>
      </w:r>
    </w:p>
    <w:p w14:paraId="3392507C" w14:textId="77777777" w:rsidR="00483E79" w:rsidRDefault="00483E79" w:rsidP="00483E79">
      <w:r>
        <w:t>The department will also continue to use all elements of Australia’s national power, including sport, culture and First Nations diplomacy, to strengthen our relationships across the region. Australia’s First Nations engagement has enabled genuine dialogue on shared regional challenges, including how knowledge, culture and mutual understanding are a force for practical change, and is also opening new doors for First Nations businesses and organisations.</w:t>
      </w:r>
    </w:p>
    <w:p w14:paraId="05B20B82" w14:textId="1279C5F2" w:rsidR="003E7DC0" w:rsidRDefault="00483E79" w:rsidP="00483E79">
      <w:r>
        <w:t>The department’s overseas network spans 114 overseas posts and consulates in 85 countries of resident accreditation around the world. This presence enables us to promote Australia’s interests in peace, security, trade, investment and other areas of cooperation. The department will continue to deliver an overseas property estate that is effectively managed, safe and secure</w:t>
      </w:r>
      <w:r w:rsidR="003E7DC0">
        <w:rPr>
          <w:lang w:val="en-US"/>
        </w:rPr>
        <w:t>.</w:t>
      </w:r>
    </w:p>
    <w:p w14:paraId="248CF4FB" w14:textId="44A6EBDF" w:rsidR="00083F2E" w:rsidRDefault="00083F2E" w:rsidP="00083F2E">
      <w:r>
        <w:t>Over 2026</w:t>
      </w:r>
      <w:r w:rsidR="00532195">
        <w:t>–</w:t>
      </w:r>
      <w:r>
        <w:t xml:space="preserve">27, the </w:t>
      </w:r>
      <w:r w:rsidR="00483E79" w:rsidRPr="00483E79">
        <w:t>department will focus on the following in our region</w:t>
      </w:r>
      <w:r>
        <w:t>:</w:t>
      </w:r>
    </w:p>
    <w:p w14:paraId="4E9F0285" w14:textId="121B1481" w:rsidR="00083F2E" w:rsidRDefault="00083F2E" w:rsidP="00CF1103">
      <w:pPr>
        <w:ind w:left="567" w:hanging="567"/>
      </w:pPr>
      <w:r>
        <w:t>•</w:t>
      </w:r>
      <w:r>
        <w:tab/>
      </w:r>
      <w:r w:rsidR="00483E79">
        <w:t>actively</w:t>
      </w:r>
      <w:r>
        <w:t xml:space="preserve"> </w:t>
      </w:r>
      <w:r w:rsidR="00483E79" w:rsidRPr="00483E79">
        <w:t>building a more secure, peaceful and prosperous region, where no country dominates, and no country is dominated</w:t>
      </w:r>
    </w:p>
    <w:p w14:paraId="45309124" w14:textId="2CD63F7B" w:rsidR="00083F2E" w:rsidRDefault="00083F2E" w:rsidP="00CF1103">
      <w:pPr>
        <w:ind w:left="567" w:hanging="567"/>
      </w:pPr>
      <w:r>
        <w:t>•</w:t>
      </w:r>
      <w:r>
        <w:tab/>
      </w:r>
      <w:r w:rsidR="00483E79">
        <w:t>engaging</w:t>
      </w:r>
      <w:r>
        <w:t xml:space="preserve"> </w:t>
      </w:r>
      <w:r w:rsidR="00483E79" w:rsidRPr="00483E79">
        <w:t>international partners to ensure the flow of critical supplies and working with relevant sectors to boost Australia’s economic security and manage the impact of supply shocks</w:t>
      </w:r>
    </w:p>
    <w:p w14:paraId="44659313" w14:textId="0089F563" w:rsidR="00AE35AC" w:rsidRDefault="00B4727E" w:rsidP="00CF1103">
      <w:pPr>
        <w:ind w:left="567" w:hanging="567"/>
      </w:pPr>
      <w:r>
        <w:t>•</w:t>
      </w:r>
      <w:r>
        <w:tab/>
      </w:r>
      <w:r w:rsidR="00483E79">
        <w:t xml:space="preserve">working </w:t>
      </w:r>
      <w:r w:rsidR="00483E79" w:rsidRPr="00483E79">
        <w:t>to ensure Australia remains a partner of choice in the Pacific, by addressing the Pacific’s highest priorities, including climate change, economic development and transnational crime, in bilateral partnerships and regional fora</w:t>
      </w:r>
    </w:p>
    <w:p w14:paraId="733CF056" w14:textId="28D4A435" w:rsidR="00083F2E" w:rsidRDefault="00083F2E" w:rsidP="00CF1103">
      <w:pPr>
        <w:ind w:left="567" w:hanging="567"/>
      </w:pPr>
      <w:r>
        <w:lastRenderedPageBreak/>
        <w:t>•</w:t>
      </w:r>
      <w:r>
        <w:tab/>
      </w:r>
      <w:r w:rsidR="00BB60CB">
        <w:t>deepening</w:t>
      </w:r>
      <w:r>
        <w:t xml:space="preserve"> </w:t>
      </w:r>
      <w:r w:rsidR="00BB60CB" w:rsidRPr="00BB60CB">
        <w:t xml:space="preserve">engagement and fostering alignment with the countries of Southeast Asia and ASEAN, including through continued implementation of </w:t>
      </w:r>
      <w:r w:rsidR="00BB60CB" w:rsidRPr="00BB60CB">
        <w:rPr>
          <w:i/>
          <w:iCs/>
        </w:rPr>
        <w:t>Invested: Australia’s Southeast Asia Economic Strategy to 2040</w:t>
      </w:r>
    </w:p>
    <w:p w14:paraId="03DD006B" w14:textId="462FDC86" w:rsidR="00083F2E" w:rsidRDefault="00083F2E" w:rsidP="00CF1103">
      <w:pPr>
        <w:ind w:left="567" w:hanging="567"/>
      </w:pPr>
      <w:r>
        <w:t>•</w:t>
      </w:r>
      <w:r>
        <w:tab/>
      </w:r>
      <w:r w:rsidR="00BB60CB">
        <w:t xml:space="preserve">contributing </w:t>
      </w:r>
      <w:r w:rsidR="00BB60CB" w:rsidRPr="00BB60CB">
        <w:t>to the rebuilding of Australia’s Asia capability, including by strengthening the New Colombo Plan and reinforcing its emphasis on learning the languages of our region</w:t>
      </w:r>
    </w:p>
    <w:p w14:paraId="5065AF02" w14:textId="751FA5F0" w:rsidR="00083F2E" w:rsidRDefault="00083F2E" w:rsidP="00CF1103">
      <w:pPr>
        <w:ind w:left="567" w:hanging="567"/>
      </w:pPr>
      <w:r>
        <w:t>•</w:t>
      </w:r>
      <w:r>
        <w:tab/>
      </w:r>
      <w:r w:rsidR="00BB60CB">
        <w:t>leading</w:t>
      </w:r>
      <w:r>
        <w:t xml:space="preserve"> </w:t>
      </w:r>
      <w:r w:rsidR="00BB60CB" w:rsidRPr="00BB60CB">
        <w:t>design and delivery of Australia’s international development program and ensuring it is effective, efficient and responsive to partner needs and supports Australia’s national interests</w:t>
      </w:r>
      <w:r w:rsidR="00BB60CB">
        <w:t>.</w:t>
      </w:r>
    </w:p>
    <w:p w14:paraId="6D961C40" w14:textId="5DFD7BC0" w:rsidR="00BB60CB" w:rsidRDefault="00BB60CB" w:rsidP="00CF1103">
      <w:pPr>
        <w:ind w:left="567" w:hanging="567"/>
      </w:pPr>
      <w:r>
        <w:t xml:space="preserve">The </w:t>
      </w:r>
      <w:r w:rsidRPr="00BB60CB">
        <w:t>department will continue to strengthen relationships by:</w:t>
      </w:r>
    </w:p>
    <w:p w14:paraId="28348337" w14:textId="57AEE601" w:rsidR="00083F2E" w:rsidRDefault="00083F2E" w:rsidP="00CF1103">
      <w:pPr>
        <w:ind w:left="567" w:hanging="567"/>
      </w:pPr>
      <w:r>
        <w:t>•</w:t>
      </w:r>
      <w:r>
        <w:tab/>
      </w:r>
      <w:r w:rsidR="00BB60CB" w:rsidRPr="00BB60CB">
        <w:t>harnessing our relationship with the United States of America, our principal ally and strategic partner, integral to our security objectives and vital for economic growth</w:t>
      </w:r>
    </w:p>
    <w:p w14:paraId="0376419E" w14:textId="5974601E" w:rsidR="00BB60CB" w:rsidRDefault="00083F2E" w:rsidP="00CF1103">
      <w:pPr>
        <w:ind w:left="567" w:hanging="567"/>
      </w:pPr>
      <w:r>
        <w:t>•</w:t>
      </w:r>
      <w:r>
        <w:tab/>
      </w:r>
      <w:r w:rsidR="00AC21EE" w:rsidRPr="00AC21EE">
        <w:t>continuing to build stable ties with China, cooperating where we can, disagreeing where we must while engaging in our national interests</w:t>
      </w:r>
    </w:p>
    <w:p w14:paraId="6C0D758C" w14:textId="34E89D87" w:rsidR="00BB60CB" w:rsidRDefault="00BB60CB" w:rsidP="00BB60CB">
      <w:pPr>
        <w:ind w:left="567" w:hanging="567"/>
      </w:pPr>
      <w:r>
        <w:t>•</w:t>
      </w:r>
      <w:r>
        <w:tab/>
      </w:r>
      <w:r w:rsidR="00AC21EE" w:rsidRPr="00AC21EE">
        <w:t>enhancing our cooperation with India, including by deepening our alignment on regional activities, lifting economic engagement and supporting increased defence exercises and maritime domain awareness activities</w:t>
      </w:r>
    </w:p>
    <w:p w14:paraId="268CCBB0" w14:textId="4B59585C" w:rsidR="00BB60CB" w:rsidRDefault="00BB60CB" w:rsidP="00BB60CB">
      <w:pPr>
        <w:ind w:left="567" w:hanging="567"/>
      </w:pPr>
      <w:r>
        <w:t>•</w:t>
      </w:r>
      <w:r>
        <w:tab/>
      </w:r>
      <w:r w:rsidR="00AC21EE" w:rsidRPr="00AC21EE">
        <w:t>elevating our Special Strategic Partnership with Japan and the modernisation of our substantial trade, investment, defence and security links</w:t>
      </w:r>
    </w:p>
    <w:p w14:paraId="44DA9EFC" w14:textId="428130A9" w:rsidR="00AC21EE" w:rsidRDefault="00AC21EE" w:rsidP="00AC21EE">
      <w:pPr>
        <w:ind w:left="567" w:hanging="567"/>
      </w:pPr>
      <w:r>
        <w:t>•</w:t>
      </w:r>
      <w:r>
        <w:tab/>
      </w:r>
      <w:r w:rsidRPr="00AC21EE">
        <w:t>deepening our economic and strategic relationship with the Republic of Korea</w:t>
      </w:r>
    </w:p>
    <w:p w14:paraId="00C737C1" w14:textId="204DE58D" w:rsidR="00AC21EE" w:rsidRDefault="00AC21EE" w:rsidP="00AC21EE">
      <w:pPr>
        <w:ind w:left="567" w:hanging="567"/>
      </w:pPr>
      <w:r>
        <w:t>•</w:t>
      </w:r>
      <w:r>
        <w:tab/>
      </w:r>
      <w:r w:rsidRPr="00AC21EE">
        <w:t xml:space="preserve">deepening our relationships in the </w:t>
      </w:r>
      <w:proofErr w:type="gramStart"/>
      <w:r w:rsidRPr="00AC21EE">
        <w:t>North East</w:t>
      </w:r>
      <w:proofErr w:type="gramEnd"/>
      <w:r w:rsidRPr="00AC21EE">
        <w:t xml:space="preserve"> Indian Ocean to contribute to the region’s strategic balance, and advancing a sustainable and secure Indian Ocean to build capacity to preserve and protect the maritime domain</w:t>
      </w:r>
    </w:p>
    <w:p w14:paraId="6A8F5611" w14:textId="2CFD2087" w:rsidR="00AC21EE" w:rsidRDefault="00AC21EE" w:rsidP="00AC21EE">
      <w:pPr>
        <w:ind w:left="567" w:hanging="567"/>
      </w:pPr>
      <w:r>
        <w:t>•</w:t>
      </w:r>
      <w:r>
        <w:tab/>
      </w:r>
      <w:r w:rsidRPr="00AC21EE">
        <w:t>strengthening economic, research, development and security ties with key European partners, including through implementing the outcomes of European Union Commission President Ursula von der Leyen’s historic visit</w:t>
      </w:r>
    </w:p>
    <w:p w14:paraId="19101464" w14:textId="4E616617" w:rsidR="00083F2E" w:rsidRDefault="00083F2E" w:rsidP="00CF1103">
      <w:pPr>
        <w:ind w:left="567" w:hanging="567"/>
      </w:pPr>
      <w:r>
        <w:t>•</w:t>
      </w:r>
      <w:r>
        <w:tab/>
      </w:r>
      <w:r w:rsidR="00AC21EE">
        <w:t>driving</w:t>
      </w:r>
      <w:r>
        <w:t xml:space="preserve"> </w:t>
      </w:r>
      <w:r w:rsidR="00AC21EE" w:rsidRPr="00AC21EE">
        <w:t>efforts through the Quad partnership with India, Japan and the United States of America—three important Indo-Pacific countries—to promote regional peace, stability and development</w:t>
      </w:r>
      <w:r>
        <w:t>.</w:t>
      </w:r>
    </w:p>
    <w:p w14:paraId="7629EC93" w14:textId="7566F428" w:rsidR="00AC21EE" w:rsidRDefault="00AC21EE" w:rsidP="00CF1103">
      <w:pPr>
        <w:ind w:left="567" w:hanging="567"/>
      </w:pPr>
      <w:r>
        <w:t xml:space="preserve">The </w:t>
      </w:r>
      <w:r w:rsidRPr="00AC21EE">
        <w:t>department will strengthen rules and institutions by:</w:t>
      </w:r>
    </w:p>
    <w:p w14:paraId="51CB552E" w14:textId="7F5013BF" w:rsidR="00AC21EE" w:rsidRDefault="00AC21EE" w:rsidP="00CF1103">
      <w:pPr>
        <w:ind w:left="567" w:hanging="567"/>
      </w:pPr>
      <w:r>
        <w:t>•</w:t>
      </w:r>
      <w:r>
        <w:tab/>
      </w:r>
      <w:r w:rsidRPr="00AC21EE">
        <w:t>reiterating our support for the United Nations and advocating within multilateral institutions and international organisations to reflect Australian interests and values</w:t>
      </w:r>
    </w:p>
    <w:p w14:paraId="0827D80D" w14:textId="1F6CC665" w:rsidR="00AC21EE" w:rsidRDefault="00AC21EE" w:rsidP="00AC21EE">
      <w:pPr>
        <w:ind w:left="567" w:hanging="567"/>
      </w:pPr>
      <w:r>
        <w:t>•</w:t>
      </w:r>
      <w:r>
        <w:tab/>
      </w:r>
      <w:r w:rsidRPr="00AC21EE">
        <w:t>affirming the role of the World Trade Organization in ensuring free and fair trade through actively supporting its reform</w:t>
      </w:r>
    </w:p>
    <w:p w14:paraId="3DDCF2FF" w14:textId="2614E4FC" w:rsidR="00AC21EE" w:rsidRDefault="00AC21EE" w:rsidP="00AC21EE">
      <w:pPr>
        <w:ind w:left="567" w:hanging="567"/>
      </w:pPr>
      <w:r>
        <w:lastRenderedPageBreak/>
        <w:t>•</w:t>
      </w:r>
      <w:r>
        <w:tab/>
      </w:r>
      <w:r w:rsidRPr="00AC21EE">
        <w:t>continuing to deepen our trading relationships with partners, in compliance with the rules set out in our broad network of trade agreements</w:t>
      </w:r>
    </w:p>
    <w:p w14:paraId="64DD4ED3" w14:textId="72418A72" w:rsidR="00AC21EE" w:rsidRDefault="00AC21EE" w:rsidP="00AC21EE">
      <w:pPr>
        <w:ind w:left="567" w:hanging="567"/>
      </w:pPr>
      <w:r>
        <w:t>•</w:t>
      </w:r>
      <w:r>
        <w:tab/>
      </w:r>
      <w:r w:rsidRPr="00AC21EE">
        <w:t>meeting Australia’s treaty obligations under Australia’s Comprehensive Safeguards Agreement and Additional Protocol with the International Atomic Energy Agency</w:t>
      </w:r>
    </w:p>
    <w:p w14:paraId="2EBBA895" w14:textId="6397A0AF" w:rsidR="00AC21EE" w:rsidRDefault="00AC21EE" w:rsidP="00AC21EE">
      <w:pPr>
        <w:ind w:left="567" w:hanging="567"/>
      </w:pPr>
      <w:r>
        <w:t>•</w:t>
      </w:r>
      <w:r>
        <w:tab/>
      </w:r>
      <w:r w:rsidRPr="00AC21EE">
        <w:t xml:space="preserve">developing further initiatives to prevent conflict and build strategic trust, and support the United Nations Convention on the Law of the Sea (UNCLOS), including working closely with regional partners to uphold international law in the </w:t>
      </w:r>
      <w:r w:rsidR="00DB4007">
        <w:br/>
      </w:r>
      <w:r w:rsidRPr="00AC21EE">
        <w:t>South China Sea</w:t>
      </w:r>
    </w:p>
    <w:p w14:paraId="6EEDB22F" w14:textId="79544CEF" w:rsidR="00AC21EE" w:rsidRDefault="00AC21EE" w:rsidP="00AC21EE">
      <w:pPr>
        <w:ind w:left="567" w:hanging="567"/>
      </w:pPr>
      <w:r>
        <w:t>•</w:t>
      </w:r>
      <w:r>
        <w:tab/>
      </w:r>
      <w:r w:rsidRPr="00AC21EE">
        <w:t>respecting the independence of the institutions that uphold international law, including the International Court of Justice and the International Criminal Court</w:t>
      </w:r>
    </w:p>
    <w:p w14:paraId="7F110D8D" w14:textId="730D3714" w:rsidR="00AC21EE" w:rsidRDefault="00AC21EE" w:rsidP="00AC21EE">
      <w:pPr>
        <w:ind w:left="567" w:hanging="567"/>
      </w:pPr>
      <w:r>
        <w:t>•</w:t>
      </w:r>
      <w:r>
        <w:tab/>
      </w:r>
      <w:r w:rsidRPr="00AC21EE">
        <w:t>championing efforts that safeguard international humanitarian law and the protection of humanitarian personnel</w:t>
      </w:r>
    </w:p>
    <w:p w14:paraId="3329BABE" w14:textId="71B5BEED" w:rsidR="00AC21EE" w:rsidRDefault="00AC21EE" w:rsidP="00AC21EE">
      <w:pPr>
        <w:ind w:left="567" w:hanging="567"/>
      </w:pPr>
      <w:r>
        <w:t>•</w:t>
      </w:r>
      <w:r>
        <w:tab/>
      </w:r>
      <w:r w:rsidRPr="00AC21EE">
        <w:t>regulating Australia’s sanctions laws and the Foreign Arrangements Scheme</w:t>
      </w:r>
    </w:p>
    <w:p w14:paraId="7F82DE1B" w14:textId="1D73F210" w:rsidR="00AC21EE" w:rsidRDefault="00AC21EE" w:rsidP="00AC21EE">
      <w:pPr>
        <w:ind w:left="567" w:hanging="567"/>
      </w:pPr>
      <w:r>
        <w:t>•</w:t>
      </w:r>
      <w:r>
        <w:tab/>
      </w:r>
      <w:r w:rsidRPr="00AC21EE">
        <w:t xml:space="preserve">continuing to implement the AUKUS Security Partnership, which will lift the submarine industrial bases and undersea capabilities of Australia, the </w:t>
      </w:r>
      <w:r w:rsidR="00DB4007">
        <w:br/>
      </w:r>
      <w:r w:rsidRPr="00AC21EE">
        <w:t>United States of America and the United Kingdom, promote a stable Indo-Pacific and deter potential threats to Australia and the region</w:t>
      </w:r>
      <w:r>
        <w:t>.</w:t>
      </w:r>
    </w:p>
    <w:p w14:paraId="5A38573D" w14:textId="6757370C" w:rsidR="00AC21EE" w:rsidRDefault="00AC21EE" w:rsidP="00CF1103">
      <w:pPr>
        <w:ind w:left="567" w:hanging="567"/>
      </w:pPr>
      <w:r>
        <w:t xml:space="preserve">In </w:t>
      </w:r>
      <w:r w:rsidRPr="00AC21EE">
        <w:t>addition, the department will continue to focus on:</w:t>
      </w:r>
    </w:p>
    <w:p w14:paraId="411935ED" w14:textId="1D3AB497" w:rsidR="00AC21EE" w:rsidRDefault="00AC21EE" w:rsidP="00CF1103">
      <w:pPr>
        <w:ind w:left="567" w:hanging="567"/>
      </w:pPr>
      <w:r>
        <w:t>•</w:t>
      </w:r>
      <w:r>
        <w:tab/>
      </w:r>
      <w:r w:rsidR="004A6E18" w:rsidRPr="004A6E18">
        <w:t>working with international partners to advocate for regional peace and security in the Middle East, while addressing humanitarian needs, and pressing for adherence to international law</w:t>
      </w:r>
    </w:p>
    <w:p w14:paraId="40CBBB5F" w14:textId="1852CEF5" w:rsidR="00AC21EE" w:rsidRDefault="00AC21EE" w:rsidP="00CF1103">
      <w:pPr>
        <w:ind w:left="567" w:hanging="567"/>
      </w:pPr>
      <w:r>
        <w:t>•</w:t>
      </w:r>
      <w:r>
        <w:tab/>
      </w:r>
      <w:r w:rsidR="004A6E18" w:rsidRPr="004A6E18">
        <w:t>opening market diversification opportunities, boosting our trade architecture and supporting a rules-based global trading system to enable Australian businesses to realise existing and emerging opportunities</w:t>
      </w:r>
    </w:p>
    <w:p w14:paraId="5FF09391" w14:textId="18C56EC9" w:rsidR="00AC21EE" w:rsidRDefault="00AC21EE" w:rsidP="00CF1103">
      <w:pPr>
        <w:ind w:left="567" w:hanging="567"/>
      </w:pPr>
      <w:r>
        <w:t>•</w:t>
      </w:r>
      <w:r>
        <w:tab/>
      </w:r>
      <w:r w:rsidR="004A6E18" w:rsidRPr="004A6E18">
        <w:t>supporting Australian citizens travelling or living overseas with timely travel advice, responsive consular services and efficient passport processing, including during times of crisis</w:t>
      </w:r>
    </w:p>
    <w:p w14:paraId="59DC9E54" w14:textId="2EBE0EAF" w:rsidR="00AC21EE" w:rsidRDefault="00AC21EE" w:rsidP="00CF1103">
      <w:pPr>
        <w:ind w:left="567" w:hanging="567"/>
      </w:pPr>
      <w:r>
        <w:t>•</w:t>
      </w:r>
      <w:r>
        <w:tab/>
      </w:r>
      <w:r w:rsidR="004A6E18" w:rsidRPr="004A6E18">
        <w:t>providing appropriate protection to Australian Government staff, information and assets overseas</w:t>
      </w:r>
      <w:r w:rsidR="004A6E18">
        <w:t>.</w:t>
      </w:r>
    </w:p>
    <w:p w14:paraId="5B07565B" w14:textId="3B77549F" w:rsidR="00083F2E" w:rsidRDefault="00083F2E" w:rsidP="00083F2E">
      <w:r>
        <w:t xml:space="preserve">Further </w:t>
      </w:r>
      <w:r w:rsidRPr="00083F2E">
        <w:t>information about the department’s operating environment, key activities, and how it measures performance, will be detailed in the Corporate Plan 2026–27</w:t>
      </w:r>
      <w:r>
        <w:t>.</w:t>
      </w:r>
    </w:p>
    <w:p w14:paraId="61A8606E" w14:textId="4CB153CE" w:rsidR="00257FF4" w:rsidRDefault="000B36D8" w:rsidP="0079797F">
      <w:pPr>
        <w:pStyle w:val="Heading3"/>
      </w:pPr>
      <w:bookmarkStart w:id="30" w:name="_Toc190682310"/>
      <w:bookmarkStart w:id="31" w:name="_Toc190682528"/>
      <w:r w:rsidRPr="0079797F">
        <w:br w:type="page"/>
      </w:r>
      <w:bookmarkStart w:id="32" w:name="_Toc444523510"/>
      <w:bookmarkStart w:id="33" w:name="_Toc65243507"/>
      <w:r w:rsidR="00257FF4">
        <w:lastRenderedPageBreak/>
        <w:t>1.2</w:t>
      </w:r>
      <w:r w:rsidR="00257FF4">
        <w:tab/>
      </w:r>
      <w:r w:rsidR="007E6BBD">
        <w:t xml:space="preserve">Entity </w:t>
      </w:r>
      <w:r w:rsidR="00257FF4">
        <w:t>resource statement</w:t>
      </w:r>
      <w:bookmarkEnd w:id="30"/>
      <w:bookmarkEnd w:id="31"/>
      <w:bookmarkEnd w:id="32"/>
      <w:bookmarkEnd w:id="33"/>
    </w:p>
    <w:p w14:paraId="138846D0" w14:textId="2BB870E1" w:rsidR="00E1129E" w:rsidRDefault="00257FF4" w:rsidP="00257FF4">
      <w:bookmarkStart w:id="34" w:name="OLE_LINK11"/>
      <w:bookmarkStart w:id="35"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4218D15" w:rsidR="009F43CB" w:rsidRDefault="00331B40" w:rsidP="00257FF4">
      <w:r>
        <w:t>For more detailed information on special accounts and special appropriations, please refer to</w:t>
      </w:r>
      <w:r w:rsidR="007D5B26">
        <w:t xml:space="preserve"> the</w:t>
      </w:r>
      <w:r>
        <w:t xml:space="preserve"> </w:t>
      </w:r>
      <w:r w:rsidRPr="00412C0B">
        <w:rPr>
          <w:i/>
        </w:rPr>
        <w:t>Budget Paper No. 4 – Agency Resourcing</w:t>
      </w:r>
      <w:r>
        <w:t>.</w:t>
      </w:r>
      <w:r w:rsidR="3A3388F6">
        <w:t xml:space="preserve"> </w:t>
      </w:r>
    </w:p>
    <w:p w14:paraId="02808EA3" w14:textId="44D09C3F"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E7371B">
        <w:t>Outcome</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34"/>
    <w:bookmarkEnd w:id="35"/>
    <w:p w14:paraId="64A4619F" w14:textId="2F9BD5C4" w:rsidR="007E3CC7" w:rsidRDefault="00E92644" w:rsidP="007E3CC7">
      <w:pPr>
        <w:pStyle w:val="TableHeading"/>
      </w:pPr>
      <w:r>
        <w:br w:type="page"/>
      </w:r>
      <w:r w:rsidR="00741BF8" w:rsidRPr="00D44150">
        <w:lastRenderedPageBreak/>
        <w:t xml:space="preserve">Table 1.1: </w:t>
      </w:r>
      <w:r w:rsidR="00F573FB" w:rsidRPr="0060237C">
        <w:t>Department of Foreign Affairs and Trade</w:t>
      </w:r>
      <w:r w:rsidR="00F573FB">
        <w:t xml:space="preserve"> </w:t>
      </w:r>
      <w:r w:rsidR="00741BF8" w:rsidRPr="00D44150">
        <w:t>resource statement</w:t>
      </w:r>
      <w:r w:rsidR="00AF213C">
        <w:t xml:space="preserve"> – </w:t>
      </w:r>
      <w:r w:rsidR="0066176D">
        <w:t xml:space="preserve">Budget estimates for </w:t>
      </w:r>
      <w:r w:rsidR="009709FF">
        <w:t>2026–27</w:t>
      </w:r>
      <w:r w:rsidR="00400A8B">
        <w:t xml:space="preserve"> </w:t>
      </w:r>
      <w:r w:rsidR="00741BF8" w:rsidRPr="00D44150">
        <w:t>as at</w:t>
      </w:r>
      <w:r w:rsidR="00B47998" w:rsidRPr="00D44150">
        <w:t xml:space="preserve"> </w:t>
      </w:r>
      <w:r w:rsidR="00741BF8" w:rsidRPr="00D44150">
        <w:t xml:space="preserve">Budget </w:t>
      </w:r>
      <w:r w:rsidR="00C651E4">
        <w:t>Ma</w:t>
      </w:r>
      <w:r w:rsidR="009709FF">
        <w:t>y</w:t>
      </w:r>
      <w:r w:rsidR="00C651E4">
        <w:t xml:space="preserve"> 202</w:t>
      </w:r>
      <w:r w:rsidR="009709FF">
        <w:t>6</w:t>
      </w:r>
    </w:p>
    <w:p w14:paraId="5BE6EAED" w14:textId="3F3B9424" w:rsidR="00F573FB" w:rsidRDefault="00872BDC">
      <w:pPr>
        <w:spacing w:before="0" w:after="0" w:line="240" w:lineRule="auto"/>
      </w:pPr>
      <w:r w:rsidRPr="00872BDC">
        <w:rPr>
          <w:noProof/>
        </w:rPr>
        <w:drawing>
          <wp:inline distT="0" distB="0" distL="0" distR="0" wp14:anchorId="095AB0A0" wp14:editId="16FB3C0E">
            <wp:extent cx="4675505" cy="5192395"/>
            <wp:effectExtent l="0" t="0" r="0" b="8255"/>
            <wp:docPr id="5426193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5505" cy="5192395"/>
                    </a:xfrm>
                    <a:prstGeom prst="rect">
                      <a:avLst/>
                    </a:prstGeom>
                    <a:noFill/>
                    <a:ln>
                      <a:noFill/>
                    </a:ln>
                  </pic:spPr>
                </pic:pic>
              </a:graphicData>
            </a:graphic>
          </wp:inline>
        </w:drawing>
      </w:r>
    </w:p>
    <w:p w14:paraId="4BE65E45" w14:textId="414B4C3A" w:rsidR="00CC009C" w:rsidRPr="00CC009C" w:rsidRDefault="00CC009C">
      <w:pPr>
        <w:spacing w:before="0" w:after="0" w:line="240" w:lineRule="auto"/>
        <w:rPr>
          <w:rFonts w:ascii="Arial" w:hAnsi="Arial" w:cs="Arial"/>
          <w:sz w:val="16"/>
          <w:szCs w:val="16"/>
        </w:rPr>
      </w:pPr>
      <w:r>
        <w:rPr>
          <w:rFonts w:ascii="Arial" w:hAnsi="Arial" w:cs="Arial"/>
          <w:sz w:val="16"/>
          <w:szCs w:val="16"/>
        </w:rPr>
        <w:t xml:space="preserve">Table </w:t>
      </w:r>
      <w:proofErr w:type="gramStart"/>
      <w:r w:rsidR="00020329">
        <w:rPr>
          <w:rFonts w:ascii="Arial" w:hAnsi="Arial" w:cs="Arial"/>
          <w:sz w:val="16"/>
          <w:szCs w:val="16"/>
        </w:rPr>
        <w:t>continued on</w:t>
      </w:r>
      <w:proofErr w:type="gramEnd"/>
      <w:r w:rsidR="00020329">
        <w:rPr>
          <w:rFonts w:ascii="Arial" w:hAnsi="Arial" w:cs="Arial"/>
          <w:sz w:val="16"/>
          <w:szCs w:val="16"/>
        </w:rPr>
        <w:t xml:space="preserve"> the next page. </w:t>
      </w:r>
    </w:p>
    <w:p w14:paraId="0856C4AE" w14:textId="03EA3B02" w:rsidR="006E1456" w:rsidRDefault="006E1456">
      <w:pPr>
        <w:spacing w:before="0" w:after="0" w:line="240" w:lineRule="auto"/>
      </w:pPr>
      <w:r>
        <w:br w:type="page"/>
      </w:r>
    </w:p>
    <w:p w14:paraId="5CB52598" w14:textId="43D3F1C4" w:rsidR="0066176D" w:rsidRDefault="0066176D" w:rsidP="005B5D2A">
      <w:pPr>
        <w:pStyle w:val="TableHeadingcontinued"/>
      </w:pPr>
      <w:r w:rsidRPr="00D44150">
        <w:lastRenderedPageBreak/>
        <w:t xml:space="preserve">Table 1.1: </w:t>
      </w:r>
      <w:r w:rsidR="0060237C" w:rsidRPr="0060237C">
        <w:t>Department of Foreign Affairs and Trade</w:t>
      </w:r>
      <w:r w:rsidR="0060237C">
        <w:t xml:space="preserve"> </w:t>
      </w:r>
      <w:r w:rsidRPr="00D44150">
        <w:t>resource statement</w:t>
      </w:r>
      <w:r w:rsidR="00AF213C">
        <w:t xml:space="preserve"> – </w:t>
      </w:r>
      <w:r>
        <w:t xml:space="preserve">Budget estimates for </w:t>
      </w:r>
      <w:r w:rsidR="009709FF">
        <w:t>2026–27</w:t>
      </w:r>
      <w:r w:rsidR="00400A8B">
        <w:t xml:space="preserve"> </w:t>
      </w:r>
      <w:r w:rsidRPr="00D44150">
        <w:t>as at</w:t>
      </w:r>
      <w:r w:rsidR="00B47998">
        <w:t xml:space="preserve"> </w:t>
      </w:r>
      <w:r w:rsidR="00EE2C12">
        <w:t xml:space="preserve">Budget </w:t>
      </w:r>
      <w:r w:rsidR="00C651E4">
        <w:t>Ma</w:t>
      </w:r>
      <w:r w:rsidR="009709FF">
        <w:t>y</w:t>
      </w:r>
      <w:r w:rsidR="00C651E4">
        <w:t xml:space="preserve"> 202</w:t>
      </w:r>
      <w:r w:rsidR="009709FF">
        <w:t>6</w:t>
      </w:r>
      <w:r w:rsidR="00C651E4">
        <w:t xml:space="preserve"> </w:t>
      </w:r>
      <w:r>
        <w:t>(continued)</w:t>
      </w:r>
    </w:p>
    <w:p w14:paraId="3BCEA9A5" w14:textId="438903CF" w:rsidR="00EE2C8B" w:rsidRPr="00EE2C8B" w:rsidRDefault="00EE2C8B" w:rsidP="00EE2C8B">
      <w:pPr>
        <w:pStyle w:val="TableHeading"/>
      </w:pPr>
      <w:r w:rsidRPr="005C4BEE">
        <w:t xml:space="preserve">Third party payments from and on behalf of other </w:t>
      </w:r>
      <w:r>
        <w:t>entities</w:t>
      </w:r>
    </w:p>
    <w:p w14:paraId="63603063" w14:textId="7AFFF3DC" w:rsidR="00CE4D05" w:rsidRDefault="006702BE" w:rsidP="009763C1">
      <w:pPr>
        <w:pStyle w:val="TableGraphic"/>
      </w:pPr>
      <w:r w:rsidRPr="006702BE">
        <w:rPr>
          <w:noProof/>
        </w:rPr>
        <w:drawing>
          <wp:inline distT="0" distB="0" distL="0" distR="0" wp14:anchorId="46D2E873" wp14:editId="14BEE911">
            <wp:extent cx="4674235" cy="1153160"/>
            <wp:effectExtent l="0" t="0" r="0" b="8890"/>
            <wp:docPr id="702456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74235" cy="1153160"/>
                    </a:xfrm>
                    <a:prstGeom prst="rect">
                      <a:avLst/>
                    </a:prstGeom>
                    <a:noFill/>
                    <a:ln>
                      <a:noFill/>
                    </a:ln>
                  </pic:spPr>
                </pic:pic>
              </a:graphicData>
            </a:graphic>
          </wp:inline>
        </w:drawing>
      </w:r>
    </w:p>
    <w:p w14:paraId="4946C938" w14:textId="57774DEA" w:rsidR="00CB2844" w:rsidRDefault="1AE4B649" w:rsidP="00CB2844">
      <w:pPr>
        <w:pStyle w:val="ChartandTableFootnote"/>
      </w:pPr>
      <w:bookmarkStart w:id="36" w:name="_Toc190682311"/>
      <w:bookmarkStart w:id="37" w:name="_Toc190682529"/>
      <w:r w:rsidRPr="00AF0A7A">
        <w:t>Prepared on a resourcing (that is, appropriations available) basis.</w:t>
      </w:r>
    </w:p>
    <w:p w14:paraId="5C95AA75" w14:textId="39A03BC7" w:rsidR="00CB2844" w:rsidRPr="00AF0A7A" w:rsidRDefault="00CB2844" w:rsidP="00CB2844">
      <w:pPr>
        <w:pStyle w:val="ChartandTableFootnote"/>
      </w:pPr>
      <w:r w:rsidRPr="00AF0A7A">
        <w:t>All figures shown above are GST exclusive</w:t>
      </w:r>
      <w:r w:rsidR="00AF213C" w:rsidRPr="00AF0A7A">
        <w:t xml:space="preserve"> – </w:t>
      </w:r>
      <w:r w:rsidRPr="00AF0A7A">
        <w:t>these may not match figures in the cash flow statement.</w:t>
      </w:r>
    </w:p>
    <w:p w14:paraId="7D1E9C5D" w14:textId="233F3E85" w:rsidR="00CB2844" w:rsidRPr="00AF0A7A" w:rsidRDefault="00B173B0" w:rsidP="0053595A">
      <w:pPr>
        <w:pStyle w:val="ChartandTableFootnoteAlpha"/>
      </w:pPr>
      <w:r w:rsidRPr="006702BE">
        <w:rPr>
          <w:i/>
          <w:iCs/>
        </w:rPr>
        <w:t xml:space="preserve">Appropriation Bill (No. 1) </w:t>
      </w:r>
      <w:r w:rsidR="009709FF" w:rsidRPr="006702BE">
        <w:rPr>
          <w:i/>
          <w:iCs/>
        </w:rPr>
        <w:t>2026–2027</w:t>
      </w:r>
      <w:r w:rsidRPr="00AF0A7A">
        <w:t>.</w:t>
      </w:r>
    </w:p>
    <w:p w14:paraId="1A618BCE" w14:textId="24BF0D89" w:rsidR="00CB2844" w:rsidRPr="00AF0A7A" w:rsidRDefault="00CB2844" w:rsidP="009763C1">
      <w:pPr>
        <w:pStyle w:val="ChartandTableFootnoteAlpha"/>
      </w:pPr>
      <w:r w:rsidRPr="00AF0A7A">
        <w:t xml:space="preserve">Excludes </w:t>
      </w:r>
      <w:r w:rsidRPr="00B8731D">
        <w:t>$</w:t>
      </w:r>
      <w:r w:rsidR="00B8731D" w:rsidRPr="00B8731D">
        <w:t xml:space="preserve">76.5 </w:t>
      </w:r>
      <w:r w:rsidRPr="00B8731D">
        <w:t>m</w:t>
      </w:r>
      <w:r w:rsidR="00B8731D" w:rsidRPr="00B8731D">
        <w:t>illion</w:t>
      </w:r>
      <w:r w:rsidRPr="00B8731D">
        <w:t xml:space="preserve"> subject</w:t>
      </w:r>
      <w:r w:rsidRPr="00AF0A7A">
        <w:t xml:space="preserve"> to administrative quarantine by Finance or withheld under section 51 of the </w:t>
      </w:r>
      <w:r w:rsidRPr="00AF0A7A">
        <w:rPr>
          <w:i/>
          <w:iCs/>
        </w:rPr>
        <w:t xml:space="preserve">Public Governance, Performance and Accountability Act 2013 </w:t>
      </w:r>
      <w:r w:rsidRPr="00934891">
        <w:t>(PGPA Act)</w:t>
      </w:r>
      <w:r w:rsidR="00093D79" w:rsidRPr="00934891">
        <w:t>.</w:t>
      </w:r>
    </w:p>
    <w:p w14:paraId="2B3D2698" w14:textId="77777777" w:rsidR="00CB2844" w:rsidRPr="00AF0A7A" w:rsidRDefault="00CB2844" w:rsidP="009763C1">
      <w:pPr>
        <w:pStyle w:val="ChartandTableFootnoteAlpha"/>
      </w:pPr>
      <w:r w:rsidRPr="00AF0A7A">
        <w:t>Excludes departmental capital budget (DCB).</w:t>
      </w:r>
    </w:p>
    <w:p w14:paraId="63FE5701" w14:textId="77777777" w:rsidR="00CB2844" w:rsidRPr="00AF0A7A" w:rsidRDefault="00CB2844" w:rsidP="009763C1">
      <w:pPr>
        <w:pStyle w:val="ChartandTableFootnoteAlpha"/>
      </w:pPr>
      <w:r w:rsidRPr="00AF0A7A">
        <w:t>Estimated External Revenue receipts under section 74 of the PGPA Act.</w:t>
      </w:r>
    </w:p>
    <w:p w14:paraId="2F5CADA3" w14:textId="3337B29E" w:rsidR="00CB2844" w:rsidRPr="00AF0A7A" w:rsidRDefault="00CB2844" w:rsidP="009763C1">
      <w:pPr>
        <w:pStyle w:val="ChartandTableFootnoteAlpha"/>
      </w:pPr>
      <w:r w:rsidRPr="00AF0A7A">
        <w:t>Departmental capital budgets are not separately identified in Appropriation Bill (</w:t>
      </w:r>
      <w:r w:rsidR="00221EF8" w:rsidRPr="00AF0A7A">
        <w:t>No. 1</w:t>
      </w:r>
      <w:r w:rsidRPr="00AF0A7A">
        <w:t xml:space="preserve">) and form part of ordinary annual services items. Please refer to Table 3.5 for further details. For accounting purposes, this amount has been designated as a </w:t>
      </w:r>
      <w:r w:rsidR="00AF213C" w:rsidRPr="00AF0A7A">
        <w:t>‘</w:t>
      </w:r>
      <w:r w:rsidRPr="00AF0A7A">
        <w:t>contribution by owner</w:t>
      </w:r>
      <w:r w:rsidR="00AF213C" w:rsidRPr="00AF0A7A">
        <w:t>’</w:t>
      </w:r>
      <w:r w:rsidRPr="00AF0A7A">
        <w:t>.</w:t>
      </w:r>
    </w:p>
    <w:p w14:paraId="117E0BC0" w14:textId="2B832001" w:rsidR="00CB2844" w:rsidRPr="00AF0A7A" w:rsidRDefault="00CB2844" w:rsidP="009763C1">
      <w:pPr>
        <w:pStyle w:val="ChartandTableFootnoteAlpha"/>
      </w:pPr>
      <w:r w:rsidRPr="00105B03">
        <w:rPr>
          <w:i/>
          <w:iCs/>
        </w:rPr>
        <w:t xml:space="preserve">Appropriation Bill (No. 2) </w:t>
      </w:r>
      <w:r w:rsidR="009709FF" w:rsidRPr="00105B03">
        <w:rPr>
          <w:i/>
          <w:iCs/>
        </w:rPr>
        <w:t>2026–2027</w:t>
      </w:r>
      <w:r w:rsidRPr="00AF0A7A">
        <w:t>.</w:t>
      </w:r>
    </w:p>
    <w:p w14:paraId="592864B8" w14:textId="3F760766" w:rsidR="00B8731D" w:rsidRDefault="00B8731D" w:rsidP="009763C1">
      <w:pPr>
        <w:pStyle w:val="ChartandTableFootnoteAlpha"/>
      </w:pPr>
      <w:r>
        <w:t xml:space="preserve">Excludes $199.2 million </w:t>
      </w:r>
      <w:r w:rsidRPr="00B8731D">
        <w:t>subject to administrative quarantine by Finance or withheld under section 51 of</w:t>
      </w:r>
      <w:r>
        <w:t xml:space="preserve"> the PGPA Act. </w:t>
      </w:r>
    </w:p>
    <w:p w14:paraId="2B958DCF" w14:textId="0725BDCF" w:rsidR="00CB2844" w:rsidRPr="00AF0A7A" w:rsidRDefault="00CB2844" w:rsidP="009763C1">
      <w:pPr>
        <w:pStyle w:val="ChartandTableFootnoteAlpha"/>
      </w:pPr>
      <w:r w:rsidRPr="00AF0A7A">
        <w:t xml:space="preserve">Excludes trust moneys held in Services for Other Entities and Trust Moneys (SOETM). For further information on special accounts, please refer to </w:t>
      </w:r>
      <w:r w:rsidR="00B47998" w:rsidRPr="00AF0A7A">
        <w:t xml:space="preserve">the </w:t>
      </w:r>
      <w:r w:rsidRPr="00CF1D3D">
        <w:rPr>
          <w:i/>
          <w:iCs/>
        </w:rPr>
        <w:t>Budget Paper No. 4</w:t>
      </w:r>
      <w:r w:rsidR="00AF213C" w:rsidRPr="00CF1D3D">
        <w:rPr>
          <w:i/>
          <w:iCs/>
        </w:rPr>
        <w:t xml:space="preserve"> – </w:t>
      </w:r>
      <w:r w:rsidRPr="00CF1D3D">
        <w:rPr>
          <w:i/>
          <w:iCs/>
        </w:rPr>
        <w:t>Agency Resourcing</w:t>
      </w:r>
      <w:r w:rsidRPr="00AF0A7A">
        <w:t>. Please also see Table 2.1 for further information on outcome and program expenses broken down by various funding sources, e.g. annual appropriations, special appropriations and special accounts.</w:t>
      </w:r>
    </w:p>
    <w:p w14:paraId="236DF580" w14:textId="44733A97" w:rsidR="00CB2844" w:rsidRPr="00AF0A7A" w:rsidRDefault="00CB2844" w:rsidP="009763C1">
      <w:pPr>
        <w:pStyle w:val="ChartandTableFootnoteAlpha"/>
      </w:pPr>
      <w:r w:rsidRPr="00AF0A7A">
        <w:t xml:space="preserve">Amounts credited to the special account from </w:t>
      </w:r>
      <w:r w:rsidR="00105B03">
        <w:t>the Department of Foreign Affairs and Trade’s</w:t>
      </w:r>
      <w:r w:rsidRPr="00AF0A7A">
        <w:t xml:space="preserve"> annual appropriations.</w:t>
      </w:r>
    </w:p>
    <w:p w14:paraId="4C6FE4EC" w14:textId="62B39932" w:rsidR="00CB2844" w:rsidRPr="00AF0A7A" w:rsidRDefault="00CB2844" w:rsidP="009763C1">
      <w:pPr>
        <w:pStyle w:val="ChartandTableFootnoteAlpha"/>
      </w:pPr>
      <w:r w:rsidRPr="00AF0A7A">
        <w:t>Amounts credited to the special account from another entity</w:t>
      </w:r>
      <w:r w:rsidR="00AF213C" w:rsidRPr="00AF0A7A">
        <w:t>’</w:t>
      </w:r>
      <w:r w:rsidRPr="00AF0A7A">
        <w:t>s annual appropriations.</w:t>
      </w:r>
    </w:p>
    <w:p w14:paraId="7BAE1F20" w14:textId="5F012DFC" w:rsidR="00CB2844" w:rsidRPr="00AF0A7A" w:rsidRDefault="00502B62" w:rsidP="009763C1">
      <w:pPr>
        <w:pStyle w:val="ChartandTableFootnoteAlpha"/>
      </w:pPr>
      <w:r>
        <w:t>Excludes $298.3</w:t>
      </w:r>
      <w:r w:rsidR="00105B03">
        <w:t xml:space="preserve"> million subject to administrative quarantine by Finance or withheld un</w:t>
      </w:r>
      <w:r>
        <w:t>d</w:t>
      </w:r>
      <w:r w:rsidR="00105B03">
        <w:t xml:space="preserve">er section 51 of the PGPA Act. </w:t>
      </w:r>
    </w:p>
    <w:p w14:paraId="61ED1652" w14:textId="1AB26168" w:rsidR="00CB2844" w:rsidRPr="00AF0A7A" w:rsidRDefault="00AF213C" w:rsidP="009763C1">
      <w:pPr>
        <w:pStyle w:val="ChartandTableFootnoteAlpha"/>
      </w:pPr>
      <w:r w:rsidRPr="00AF0A7A">
        <w:t>‘</w:t>
      </w:r>
      <w:r w:rsidR="00CB2844" w:rsidRPr="00AF0A7A">
        <w:t>Corporate entities</w:t>
      </w:r>
      <w:r w:rsidRPr="00AF0A7A">
        <w:t>’</w:t>
      </w:r>
      <w:r w:rsidR="00CB2844" w:rsidRPr="00AF0A7A">
        <w:t xml:space="preserve"> are corporate Commonwealth entities and Commonwealth companies as defined under the PGPA Act.</w:t>
      </w:r>
    </w:p>
    <w:p w14:paraId="72FB404D" w14:textId="6BBFB2E1" w:rsidR="00133BCE" w:rsidRPr="00133BCE" w:rsidRDefault="00133BCE" w:rsidP="00133BCE">
      <w:pPr>
        <w:spacing w:before="0" w:after="0" w:line="240" w:lineRule="auto"/>
      </w:pPr>
      <w:r>
        <w:br w:type="page"/>
      </w:r>
    </w:p>
    <w:p w14:paraId="5435E3E8" w14:textId="5FE99FF8" w:rsidR="0008449F" w:rsidRPr="005A7C0B" w:rsidRDefault="0008449F" w:rsidP="006E1456">
      <w:pPr>
        <w:pStyle w:val="Heading3"/>
      </w:pPr>
      <w:bookmarkStart w:id="38" w:name="_Toc444523511"/>
      <w:bookmarkStart w:id="39" w:name="_Toc65243508"/>
      <w:r w:rsidRPr="005A7C0B">
        <w:lastRenderedPageBreak/>
        <w:t>1.3</w:t>
      </w:r>
      <w:r w:rsidRPr="005A7C0B">
        <w:tab/>
        <w:t>Budget measures</w:t>
      </w:r>
      <w:bookmarkEnd w:id="36"/>
      <w:bookmarkEnd w:id="37"/>
      <w:bookmarkEnd w:id="38"/>
      <w:bookmarkEnd w:id="39"/>
    </w:p>
    <w:p w14:paraId="327526E1" w14:textId="1C683DEA" w:rsidR="00F20B6E" w:rsidRDefault="00DC32EC" w:rsidP="0008449F">
      <w:r w:rsidRPr="00DC32EC">
        <w:t xml:space="preserve">Budget measures </w:t>
      </w:r>
      <w:r w:rsidR="005C4BEE">
        <w:t xml:space="preserve">in Part 1 </w:t>
      </w:r>
      <w:r w:rsidRPr="00DC32EC">
        <w:t>relating to</w:t>
      </w:r>
      <w:r w:rsidR="001B03CC">
        <w:t xml:space="preserve"> </w:t>
      </w:r>
      <w:r w:rsidR="00ED20D7">
        <w:t>the Department of Foreign Affairs and Trade</w:t>
      </w:r>
      <w:r w:rsidRPr="00DC32EC">
        <w:t xml:space="preserve"> 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53615948" w14:textId="1D1897D7" w:rsidR="00AF3811" w:rsidRPr="009A40DD" w:rsidRDefault="00AF3811" w:rsidP="00E5444F">
      <w:pPr>
        <w:pStyle w:val="TableHeading"/>
      </w:pPr>
      <w:r w:rsidRPr="009A40DD">
        <w:t xml:space="preserve">Table 1.2: </w:t>
      </w:r>
      <w:r w:rsidR="007E6BBD" w:rsidRPr="009A40DD">
        <w:t>Entity</w:t>
      </w:r>
      <w:r w:rsidR="00B47998">
        <w:t xml:space="preserve"> </w:t>
      </w:r>
      <w:r w:rsidR="009709FF">
        <w:t>2026–27</w:t>
      </w:r>
      <w:r w:rsidR="00EE2C12">
        <w:t xml:space="preserve"> </w:t>
      </w:r>
      <w:r w:rsidRPr="009A40DD">
        <w:t>Budget measures</w:t>
      </w:r>
    </w:p>
    <w:p w14:paraId="0C350114" w14:textId="20412D49" w:rsidR="00926B2B" w:rsidRPr="00422CB4" w:rsidRDefault="00C65397" w:rsidP="0069352A">
      <w:pPr>
        <w:pStyle w:val="TableHeading"/>
        <w:rPr>
          <w:rFonts w:ascii="Times New Roman" w:hAnsi="Times New Roman"/>
        </w:rPr>
      </w:pPr>
      <w:r>
        <w:rPr>
          <w:rFonts w:ascii="Arial Bold" w:hAnsi="Arial Bold"/>
        </w:rPr>
        <w:t xml:space="preserve">Part 1: </w:t>
      </w:r>
      <w:r w:rsidR="007F6CAD" w:rsidRPr="007F6CAD">
        <w:rPr>
          <w:rFonts w:ascii="Arial Bold" w:hAnsi="Arial Bold"/>
        </w:rPr>
        <w:t xml:space="preserve">Measures announced </w:t>
      </w:r>
      <w:r w:rsidR="00FC6CF3">
        <w:rPr>
          <w:rFonts w:ascii="Arial Bold" w:hAnsi="Arial Bold"/>
        </w:rPr>
        <w:t>since</w:t>
      </w:r>
      <w:r w:rsidR="00FC6CF3" w:rsidRPr="007F6CAD">
        <w:rPr>
          <w:rFonts w:ascii="Arial Bold" w:hAnsi="Arial Bold"/>
        </w:rPr>
        <w:t xml:space="preserve"> </w:t>
      </w:r>
      <w:r w:rsidR="007F6CAD" w:rsidRPr="007F6CAD">
        <w:rPr>
          <w:rFonts w:ascii="Arial Bold" w:hAnsi="Arial Bold"/>
        </w:rPr>
        <w:t>the</w:t>
      </w:r>
      <w:r w:rsidR="007F6CAD">
        <w:rPr>
          <w:rFonts w:ascii="Arial Bold" w:hAnsi="Arial Bold"/>
        </w:rPr>
        <w:t xml:space="preserve"> </w:t>
      </w:r>
      <w:r w:rsidR="009709FF">
        <w:rPr>
          <w:rFonts w:ascii="Arial Bold" w:hAnsi="Arial Bold"/>
        </w:rPr>
        <w:t>2025–26</w:t>
      </w:r>
      <w:r w:rsidR="00EE2C12">
        <w:rPr>
          <w:rFonts w:ascii="Arial Bold" w:hAnsi="Arial Bold"/>
        </w:rPr>
        <w:t xml:space="preserve"> </w:t>
      </w:r>
      <w:r w:rsidR="0022230C">
        <w:rPr>
          <w:rFonts w:ascii="Arial Bold" w:hAnsi="Arial Bold"/>
        </w:rPr>
        <w:t>Mid-Year Economic and Fiscal Outlook (MYEFO)</w:t>
      </w:r>
      <w:r w:rsidR="00422CB4">
        <w:rPr>
          <w:rFonts w:ascii="Book Antiqua" w:hAnsi="Book Antiqua"/>
        </w:rPr>
        <w:fldChar w:fldCharType="begin" w:fldLock="1"/>
      </w:r>
      <w:r w:rsidR="00422CB4">
        <w:instrText xml:space="preserve"> LINK Excel.Sheet.12 "\\\\fs10\\csg_h$\\MCD\\Publishing\\Graphic Design Services Team\\Projects\\2025\\Budget 2025-26\\04 PBS 2025-26\\1. PBS 2025-26 TEMPLATES + SHELLS\\Supplied\\EM 2025-XX - Attachment B - 2025-26 PBS Excel Tables.xlsx" "Table 1.2!R3C1:R21C7" \a \f 4 \h </w:instrText>
      </w:r>
      <w:r w:rsidR="0069352A">
        <w:instrText xml:space="preserve"> \* MERGEFORMAT </w:instrText>
      </w:r>
      <w:r w:rsidR="00422CB4">
        <w:rPr>
          <w:rFonts w:ascii="Book Antiqua" w:hAnsi="Book Antiqua"/>
        </w:rPr>
        <w:fldChar w:fldCharType="separate"/>
      </w:r>
      <w:r w:rsidR="00422CB4">
        <w:rPr>
          <w:rFonts w:ascii="Arial Bold" w:hAnsi="Arial Bold"/>
        </w:rPr>
        <w:fldChar w:fldCharType="end"/>
      </w:r>
    </w:p>
    <w:p w14:paraId="58AB0D4D" w14:textId="252A6356" w:rsidR="001549BE" w:rsidRPr="00297950" w:rsidRDefault="00EA3D6E" w:rsidP="007F6CAD">
      <w:pPr>
        <w:pStyle w:val="TableGraphic"/>
        <w:rPr>
          <w:rFonts w:ascii="Arial Bold" w:hAnsi="Arial Bold"/>
          <w:bCs/>
        </w:rPr>
      </w:pPr>
      <w:r w:rsidRPr="00EA3D6E">
        <w:rPr>
          <w:noProof/>
        </w:rPr>
        <w:drawing>
          <wp:inline distT="0" distB="0" distL="0" distR="0" wp14:anchorId="0318780F" wp14:editId="52DDE1C0">
            <wp:extent cx="4730750" cy="5581650"/>
            <wp:effectExtent l="0" t="0" r="0" b="0"/>
            <wp:docPr id="2106027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30750" cy="5581650"/>
                    </a:xfrm>
                    <a:prstGeom prst="rect">
                      <a:avLst/>
                    </a:prstGeom>
                    <a:noFill/>
                    <a:ln>
                      <a:noFill/>
                    </a:ln>
                  </pic:spPr>
                </pic:pic>
              </a:graphicData>
            </a:graphic>
          </wp:inline>
        </w:drawing>
      </w:r>
    </w:p>
    <w:p w14:paraId="4068EEC0" w14:textId="3A43E382" w:rsidR="00297950" w:rsidRDefault="00297950" w:rsidP="001A3FDA">
      <w:pPr>
        <w:pStyle w:val="ChartandTableFootnote"/>
      </w:pPr>
      <w:r>
        <w:t xml:space="preserve">Table </w:t>
      </w:r>
      <w:proofErr w:type="gramStart"/>
      <w:r>
        <w:t>continued on</w:t>
      </w:r>
      <w:proofErr w:type="gramEnd"/>
      <w:r>
        <w:t xml:space="preserve"> the next page.</w:t>
      </w:r>
      <w:r w:rsidR="00870C04">
        <w:t xml:space="preserve"> </w:t>
      </w:r>
    </w:p>
    <w:p w14:paraId="4FE3F0B8" w14:textId="313C7C17" w:rsidR="00297950" w:rsidRDefault="00297950">
      <w:pPr>
        <w:spacing w:before="0" w:after="0" w:line="240" w:lineRule="auto"/>
        <w:rPr>
          <w:rFonts w:ascii="Arial" w:hAnsi="Arial"/>
          <w:color w:val="000000"/>
          <w:sz w:val="16"/>
        </w:rPr>
      </w:pPr>
      <w:r>
        <w:br w:type="page"/>
      </w:r>
    </w:p>
    <w:p w14:paraId="78715A97" w14:textId="65894191" w:rsidR="00297950" w:rsidRPr="00870C04" w:rsidRDefault="00870C04" w:rsidP="00870C04">
      <w:pPr>
        <w:pStyle w:val="TableHeading"/>
        <w:rPr>
          <w:rFonts w:ascii="Arial Bold" w:hAnsi="Arial Bold"/>
        </w:rPr>
      </w:pPr>
      <w:r>
        <w:rPr>
          <w:rFonts w:ascii="Arial Bold" w:hAnsi="Arial Bold"/>
        </w:rPr>
        <w:lastRenderedPageBreak/>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2025–26 Mid-Year Economic and Fiscal Outlook (MYEFO) (continued)</w:t>
      </w:r>
    </w:p>
    <w:p w14:paraId="605363A5" w14:textId="76EA0D9B" w:rsidR="00870C04" w:rsidRDefault="00441C65" w:rsidP="001A3FDA">
      <w:pPr>
        <w:pStyle w:val="ChartandTableFootnote"/>
      </w:pPr>
      <w:r w:rsidRPr="00441C65">
        <w:rPr>
          <w:noProof/>
        </w:rPr>
        <w:drawing>
          <wp:inline distT="0" distB="0" distL="0" distR="0" wp14:anchorId="64D59FC3" wp14:editId="7ABE7060">
            <wp:extent cx="4730750" cy="3156585"/>
            <wp:effectExtent l="0" t="0" r="0" b="5715"/>
            <wp:docPr id="14814546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30750" cy="3156585"/>
                    </a:xfrm>
                    <a:prstGeom prst="rect">
                      <a:avLst/>
                    </a:prstGeom>
                    <a:noFill/>
                    <a:ln>
                      <a:noFill/>
                    </a:ln>
                  </pic:spPr>
                </pic:pic>
              </a:graphicData>
            </a:graphic>
          </wp:inline>
        </w:drawing>
      </w:r>
    </w:p>
    <w:p w14:paraId="50013788" w14:textId="2B3D0E1E" w:rsidR="00704BB6" w:rsidRPr="00704BB6" w:rsidRDefault="00704BB6" w:rsidP="001A3FDA">
      <w:pPr>
        <w:pStyle w:val="ChartandTableFootnote"/>
      </w:pPr>
      <w:r w:rsidRPr="00704BB6">
        <w:t xml:space="preserve">Prepared on a Government </w:t>
      </w:r>
      <w:r w:rsidRPr="001A3FDA">
        <w:t>Finance</w:t>
      </w:r>
      <w:r w:rsidRPr="00704BB6">
        <w:t xml:space="preserve"> Statistics (Underlying Cash) basis. Figures displayed as a negative (</w:t>
      </w:r>
      <w:r w:rsidR="00AF213C">
        <w:noBreakHyphen/>
      </w:r>
      <w:r w:rsidRPr="00704BB6">
        <w:t xml:space="preserve">) represent a </w:t>
      </w:r>
      <w:r w:rsidRPr="00116C76">
        <w:t>decrease</w:t>
      </w:r>
      <w:r w:rsidRPr="00704BB6">
        <w:t xml:space="preserve"> in funds and a positive (+) represent an increase in funds.</w:t>
      </w:r>
    </w:p>
    <w:p w14:paraId="045EA64B" w14:textId="5701882E" w:rsidR="002F32AF" w:rsidRDefault="002F32AF" w:rsidP="00707A3D">
      <w:pPr>
        <w:pStyle w:val="ChartandTableFootnoteAlpha"/>
        <w:numPr>
          <w:ilvl w:val="0"/>
          <w:numId w:val="15"/>
        </w:numPr>
      </w:pPr>
      <w:r>
        <w:t>The</w:t>
      </w:r>
      <w:r w:rsidRPr="002F32AF">
        <w:t xml:space="preserve"> full measure description and package details appear in Budget Paper No. 2 under the </w:t>
      </w:r>
      <w:r w:rsidR="00E745BF">
        <w:br/>
      </w:r>
      <w:r w:rsidR="00E745BF" w:rsidRPr="00E745BF">
        <w:t xml:space="preserve">Attorney-General’s </w:t>
      </w:r>
      <w:r w:rsidRPr="002F32AF">
        <w:t>portfolio.</w:t>
      </w:r>
    </w:p>
    <w:p w14:paraId="09D9784B" w14:textId="77777777" w:rsidR="003377DF" w:rsidRDefault="00230194" w:rsidP="00707A3D">
      <w:pPr>
        <w:pStyle w:val="ChartandTableFootnoteAlpha"/>
        <w:numPr>
          <w:ilvl w:val="0"/>
          <w:numId w:val="15"/>
        </w:numPr>
      </w:pPr>
      <w:r w:rsidRPr="00116C76">
        <w:t xml:space="preserve">The </w:t>
      </w:r>
      <w:r w:rsidR="00870C04" w:rsidRPr="00870C04">
        <w:t>full measure description and package details appear in Budget Paper No. 2 under the Foreign Affairs and Trade portfolio</w:t>
      </w:r>
      <w:r w:rsidR="003377DF">
        <w:t>.</w:t>
      </w:r>
    </w:p>
    <w:p w14:paraId="5F32490A" w14:textId="02985876" w:rsidR="003377DF" w:rsidRDefault="003377DF" w:rsidP="00707A3D">
      <w:pPr>
        <w:pStyle w:val="ChartandTableFootnoteAlpha"/>
        <w:numPr>
          <w:ilvl w:val="0"/>
          <w:numId w:val="15"/>
        </w:numPr>
      </w:pPr>
      <w:r>
        <w:t xml:space="preserve">The </w:t>
      </w:r>
      <w:r w:rsidRPr="003377DF">
        <w:t xml:space="preserve">full measure description and package details appear in Budget Paper No. 2 under </w:t>
      </w:r>
      <w:r>
        <w:t xml:space="preserve">the </w:t>
      </w:r>
      <w:r w:rsidR="005F580A">
        <w:t>Industry Science and Resources</w:t>
      </w:r>
      <w:r w:rsidRPr="003377DF">
        <w:t xml:space="preserve"> </w:t>
      </w:r>
      <w:r w:rsidR="005F580A">
        <w:t>p</w:t>
      </w:r>
      <w:r w:rsidRPr="003377DF">
        <w:t>ortfolio</w:t>
      </w:r>
      <w:r>
        <w:t>.</w:t>
      </w:r>
    </w:p>
    <w:p w14:paraId="58FA1C3F" w14:textId="77777777" w:rsidR="003377DF" w:rsidRDefault="003377DF" w:rsidP="00707A3D">
      <w:pPr>
        <w:pStyle w:val="ChartandTableFootnoteAlpha"/>
        <w:numPr>
          <w:ilvl w:val="0"/>
          <w:numId w:val="15"/>
        </w:numPr>
      </w:pPr>
      <w:r>
        <w:t xml:space="preserve">The </w:t>
      </w:r>
      <w:r w:rsidRPr="00870C04">
        <w:t>full measure description and package details appear in Budget Paper No. 2 under the Foreign Affairs and Trade portfolio</w:t>
      </w:r>
      <w:r>
        <w:t>.</w:t>
      </w:r>
    </w:p>
    <w:p w14:paraId="385A2A46" w14:textId="77777777" w:rsidR="003377DF" w:rsidRDefault="003377DF" w:rsidP="00707A3D">
      <w:pPr>
        <w:pStyle w:val="ChartandTableFootnoteAlpha"/>
        <w:numPr>
          <w:ilvl w:val="0"/>
          <w:numId w:val="15"/>
        </w:numPr>
      </w:pPr>
      <w:r>
        <w:t xml:space="preserve">The </w:t>
      </w:r>
      <w:r w:rsidRPr="00870C04">
        <w:t>full measure description and package details appear in Budget Paper No. 2 under the Foreign Affairs and Trade portfolio</w:t>
      </w:r>
      <w:r>
        <w:t>.</w:t>
      </w:r>
    </w:p>
    <w:p w14:paraId="59BC2CE1" w14:textId="4539834A" w:rsidR="007F6CAD" w:rsidRPr="00116C76" w:rsidRDefault="003377DF" w:rsidP="00707A3D">
      <w:pPr>
        <w:pStyle w:val="ChartandTableFootnoteAlpha"/>
        <w:numPr>
          <w:ilvl w:val="0"/>
          <w:numId w:val="15"/>
        </w:numPr>
      </w:pPr>
      <w:r>
        <w:t xml:space="preserve">The </w:t>
      </w:r>
      <w:r w:rsidRPr="00870C04">
        <w:t>full measure description and package details appear in Budget Paper No. 2 under the Foreign Affairs and Trade portfolio</w:t>
      </w:r>
      <w:r w:rsidR="00230194" w:rsidRPr="00116C76">
        <w:t>.</w:t>
      </w:r>
    </w:p>
    <w:p w14:paraId="08068417" w14:textId="77777777" w:rsidR="003377DF" w:rsidRDefault="00317BF9" w:rsidP="00446EE2">
      <w:pPr>
        <w:pStyle w:val="ChartandTableFootnoteAlpha"/>
        <w:numPr>
          <w:ilvl w:val="0"/>
          <w:numId w:val="3"/>
        </w:numPr>
      </w:pPr>
      <w:r w:rsidRPr="003377DF">
        <w:t>Including $</w:t>
      </w:r>
      <w:r w:rsidR="003377DF">
        <w:t>10.0</w:t>
      </w:r>
      <w:r w:rsidRPr="003377DF">
        <w:t xml:space="preserve"> million in capital funding in </w:t>
      </w:r>
      <w:r w:rsidR="003377DF">
        <w:t>2026–27.</w:t>
      </w:r>
    </w:p>
    <w:p w14:paraId="7A9DEF42" w14:textId="77777777" w:rsidR="003377DF" w:rsidRDefault="003377DF" w:rsidP="00446EE2">
      <w:pPr>
        <w:pStyle w:val="ChartandTableFootnoteAlpha"/>
        <w:numPr>
          <w:ilvl w:val="0"/>
          <w:numId w:val="3"/>
        </w:numPr>
      </w:pPr>
      <w:r>
        <w:t xml:space="preserve">The </w:t>
      </w:r>
      <w:r w:rsidRPr="00870C04">
        <w:t xml:space="preserve">full measure description and package details appear in Budget Paper No. 2 under the </w:t>
      </w:r>
      <w:r>
        <w:t>Defence</w:t>
      </w:r>
      <w:r w:rsidRPr="00870C04">
        <w:t xml:space="preserve"> portfolio</w:t>
      </w:r>
      <w:r>
        <w:t>.</w:t>
      </w:r>
    </w:p>
    <w:p w14:paraId="285275E0" w14:textId="22C2DF4B" w:rsidR="003377DF" w:rsidRDefault="003377DF" w:rsidP="00446EE2">
      <w:pPr>
        <w:pStyle w:val="ChartandTableFootnoteAlpha"/>
        <w:numPr>
          <w:ilvl w:val="0"/>
          <w:numId w:val="3"/>
        </w:numPr>
      </w:pPr>
      <w:r>
        <w:t xml:space="preserve">The </w:t>
      </w:r>
      <w:r w:rsidRPr="00870C04">
        <w:t xml:space="preserve">full measure description and package details appear in Budget Paper No. 2 under </w:t>
      </w:r>
      <w:r>
        <w:t>Cross</w:t>
      </w:r>
      <w:r w:rsidRPr="00870C04">
        <w:t xml:space="preserve"> </w:t>
      </w:r>
      <w:r w:rsidR="003F3561">
        <w:t>P</w:t>
      </w:r>
      <w:r w:rsidRPr="00870C04">
        <w:t>ortfolio</w:t>
      </w:r>
      <w:r>
        <w:t>.</w:t>
      </w:r>
    </w:p>
    <w:p w14:paraId="4F88225D" w14:textId="761BA41E" w:rsidR="005F580A" w:rsidRDefault="003377DF" w:rsidP="00446EE2">
      <w:pPr>
        <w:pStyle w:val="ChartandTableFootnoteAlpha"/>
        <w:numPr>
          <w:ilvl w:val="0"/>
          <w:numId w:val="3"/>
        </w:numPr>
      </w:pPr>
      <w:r>
        <w:t xml:space="preserve">The </w:t>
      </w:r>
      <w:r w:rsidR="005F580A" w:rsidRPr="005F580A">
        <w:t>full measure description and package details appear in Budget Paper No. 2 under the Climate Change, Energy, the Environment and Water portfolio</w:t>
      </w:r>
      <w:r w:rsidR="005F580A">
        <w:t xml:space="preserve">. </w:t>
      </w:r>
    </w:p>
    <w:p w14:paraId="4EEB47CF" w14:textId="5FAB6C67" w:rsidR="003377DF" w:rsidRDefault="005F580A" w:rsidP="00446EE2">
      <w:pPr>
        <w:pStyle w:val="ChartandTableFootnoteAlpha"/>
        <w:numPr>
          <w:ilvl w:val="0"/>
          <w:numId w:val="3"/>
        </w:numPr>
      </w:pPr>
      <w:r>
        <w:t xml:space="preserve">The </w:t>
      </w:r>
      <w:r w:rsidR="003377DF" w:rsidRPr="00870C04">
        <w:t>full measure description and package details appear in Budget Paper No. 2 under the Foreign Affairs and Trade portfolio</w:t>
      </w:r>
      <w:r w:rsidR="003377DF">
        <w:t>.</w:t>
      </w:r>
    </w:p>
    <w:p w14:paraId="1804317B" w14:textId="77777777" w:rsidR="006E1456" w:rsidRDefault="006E1456">
      <w:pPr>
        <w:spacing w:before="0" w:after="0" w:line="240" w:lineRule="auto"/>
      </w:pPr>
      <w:r>
        <w:br w:type="page"/>
      </w:r>
    </w:p>
    <w:p w14:paraId="2210A553" w14:textId="4DD6E9AC" w:rsidR="00BE7D58" w:rsidRPr="00810C6A" w:rsidRDefault="00BE7D58" w:rsidP="00810C6A">
      <w:pPr>
        <w:pStyle w:val="Heading2"/>
      </w:pPr>
      <w:bookmarkStart w:id="40" w:name="_Toc444523512"/>
      <w:bookmarkStart w:id="41" w:name="_Toc65243509"/>
      <w:bookmarkStart w:id="42" w:name="_Toc190682312"/>
      <w:bookmarkStart w:id="43" w:name="_Toc190682530"/>
      <w:r w:rsidRPr="00810C6A">
        <w:lastRenderedPageBreak/>
        <w:t xml:space="preserve">Section 2: Outcomes and </w:t>
      </w:r>
      <w:r w:rsidR="00CD3382" w:rsidRPr="00810C6A">
        <w:t>p</w:t>
      </w:r>
      <w:r w:rsidR="0069466B" w:rsidRPr="00810C6A">
        <w:t>lanned</w:t>
      </w:r>
      <w:r w:rsidRPr="00810C6A">
        <w:t xml:space="preserve"> performance</w:t>
      </w:r>
      <w:bookmarkEnd w:id="40"/>
      <w:bookmarkEnd w:id="41"/>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5A96FB31" w:rsidR="00A61BD0" w:rsidRPr="0060237C" w:rsidRDefault="00BE7D58" w:rsidP="00BE7D58">
      <w:pPr>
        <w:rPr>
          <w:iCs/>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A0A7FAA" w14:textId="03D6FFF5" w:rsidR="00CE4D05" w:rsidRPr="001C6402" w:rsidRDefault="00CE4D05" w:rsidP="00250122">
            <w:r w:rsidRPr="001C6402">
              <w:t xml:space="preserve">The most recent corporate plan for </w:t>
            </w:r>
            <w:r w:rsidR="0060237C" w:rsidRPr="0060237C">
              <w:t>the Department of Foreign Affairs and Trade</w:t>
            </w:r>
            <w:r w:rsidRPr="001C6402">
              <w:t xml:space="preserve"> can be found at: </w:t>
            </w:r>
            <w:hyperlink r:id="rId63" w:history="1">
              <w:r w:rsidR="0060237C" w:rsidRPr="0060237C">
                <w:rPr>
                  <w:rStyle w:val="Hyperlink"/>
                </w:rPr>
                <w:t>https://www.dfat.gov.au/about-us/publications/corporate/dfat-corporate-plan</w:t>
              </w:r>
            </w:hyperlink>
            <w:r w:rsidRPr="001C6402">
              <w:t>.</w:t>
            </w:r>
          </w:p>
          <w:p w14:paraId="4FD0575A" w14:textId="1812C79E" w:rsidR="00CE4D05" w:rsidRPr="001C6402" w:rsidRDefault="00CE4D05" w:rsidP="00250122">
            <w:r w:rsidRPr="001C6402">
              <w:t xml:space="preserve">The most recent annual performance statement can be found at: </w:t>
            </w:r>
            <w:hyperlink r:id="rId64" w:history="1">
              <w:r w:rsidR="0060237C" w:rsidRPr="00321304">
                <w:rPr>
                  <w:rStyle w:val="Hyperlink"/>
                </w:rPr>
                <w:t>https://www.dfat.gov.au/about-us/publications/corporate/annual-reports</w:t>
              </w:r>
            </w:hyperlink>
            <w:r w:rsidRPr="001C6402">
              <w:t>.</w:t>
            </w:r>
            <w:r w:rsidR="0060237C">
              <w:t xml:space="preserve"> </w:t>
            </w:r>
          </w:p>
        </w:tc>
      </w:tr>
    </w:tbl>
    <w:p w14:paraId="21B76118" w14:textId="77777777" w:rsidR="005003B8" w:rsidRDefault="005003B8">
      <w:pPr>
        <w:spacing w:before="0" w:after="0" w:line="240" w:lineRule="auto"/>
        <w:rPr>
          <w:rFonts w:ascii="Arial Bold" w:hAnsi="Arial Bold"/>
          <w:b/>
          <w:sz w:val="22"/>
        </w:rPr>
      </w:pPr>
      <w:bookmarkStart w:id="44" w:name="_Toc444523513"/>
      <w:bookmarkStart w:id="45" w:name="_Toc65243510"/>
      <w:r>
        <w:br w:type="page"/>
      </w:r>
    </w:p>
    <w:p w14:paraId="54DDDFBC" w14:textId="6FFDDFCA" w:rsidR="003876AB" w:rsidRPr="00F743D8" w:rsidRDefault="008462FB" w:rsidP="003876AB">
      <w:pPr>
        <w:pStyle w:val="Heading3"/>
      </w:pPr>
      <w:r>
        <w:lastRenderedPageBreak/>
        <w:t>2.1</w:t>
      </w:r>
      <w:r w:rsidR="003876AB" w:rsidRPr="00F743D8">
        <w:t xml:space="preserve"> </w:t>
      </w:r>
      <w:r w:rsidR="003876AB" w:rsidRPr="00F743D8">
        <w:tab/>
        <w:t xml:space="preserve">Budgeted expenses and performance for Outcome </w:t>
      </w:r>
      <w:bookmarkEnd w:id="44"/>
      <w:bookmarkEnd w:id="45"/>
      <w:r w:rsidR="005F7AB7">
        <w:t>1</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69545F" w:rsidRPr="0069545F" w14:paraId="21CFB07B" w14:textId="77777777" w:rsidTr="00133BCE">
        <w:tc>
          <w:tcPr>
            <w:tcW w:w="7704" w:type="dxa"/>
            <w:shd w:val="clear" w:color="auto" w:fill="E6E6E6"/>
          </w:tcPr>
          <w:p w14:paraId="22B200A6" w14:textId="6795DD47" w:rsidR="0069545F" w:rsidRPr="0069545F" w:rsidRDefault="0069545F" w:rsidP="0069545F">
            <w:pPr>
              <w:pStyle w:val="TableColumnHeadingLeft"/>
            </w:pPr>
            <w:r w:rsidRPr="0069545F">
              <w:t xml:space="preserve">Outcome </w:t>
            </w:r>
            <w:r w:rsidR="005F7AB7">
              <w:t>1</w:t>
            </w:r>
            <w:r w:rsidRPr="0069545F">
              <w:t xml:space="preserve">: </w:t>
            </w:r>
            <w:r w:rsidR="005F7AB7" w:rsidRPr="005F7AB7">
              <w:t>The advancement of Australia's international strategic, security and economic interests including through bilateral, regional and multilateral engagement on Australian Government foreign, trade and international development policy priorities</w:t>
            </w:r>
            <w:r w:rsidR="005F7AB7">
              <w:t xml:space="preserve">. </w:t>
            </w:r>
          </w:p>
        </w:tc>
      </w:tr>
    </w:tbl>
    <w:p w14:paraId="37B21FCC" w14:textId="77777777" w:rsidR="0069545F" w:rsidRPr="0069545F" w:rsidRDefault="0069545F" w:rsidP="0069545F">
      <w:pPr>
        <w:pStyle w:val="SingleParagraph"/>
      </w:pPr>
    </w:p>
    <w:p w14:paraId="47B35C2A" w14:textId="7C6A68D6" w:rsidR="0069545F" w:rsidRPr="00133BCE" w:rsidRDefault="0069545F" w:rsidP="00133BCE">
      <w:pPr>
        <w:pStyle w:val="Heading4"/>
      </w:pPr>
      <w:r w:rsidRPr="0069545F">
        <w:t xml:space="preserve">Linked programs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9545F" w:rsidRPr="007F33D1" w14:paraId="25FCBE54" w14:textId="77777777" w:rsidTr="005F7AB7">
        <w:trPr>
          <w:trHeight w:val="113"/>
          <w:tblHeader/>
        </w:trPr>
        <w:tc>
          <w:tcPr>
            <w:tcW w:w="7700" w:type="dxa"/>
            <w:tcBorders>
              <w:bottom w:val="dotted" w:sz="4" w:space="0" w:color="auto"/>
            </w:tcBorders>
          </w:tcPr>
          <w:p w14:paraId="46E3A34E" w14:textId="7D461488" w:rsidR="0069545F" w:rsidRPr="007F33D1" w:rsidRDefault="009338C0" w:rsidP="00F924C9">
            <w:pPr>
              <w:spacing w:before="60" w:after="60" w:line="240" w:lineRule="auto"/>
              <w:rPr>
                <w:rFonts w:ascii="Arial" w:hAnsi="Arial" w:cs="Arial"/>
                <w:b/>
                <w:sz w:val="16"/>
              </w:rPr>
            </w:pPr>
            <w:r w:rsidRPr="007F33D1">
              <w:rPr>
                <w:rFonts w:ascii="Arial" w:hAnsi="Arial" w:cs="Arial"/>
                <w:b/>
                <w:sz w:val="16"/>
              </w:rPr>
              <w:t>Australian Centre for International Agricultural Research</w:t>
            </w:r>
          </w:p>
        </w:tc>
      </w:tr>
      <w:tr w:rsidR="0069545F" w:rsidRPr="007F33D1" w14:paraId="0EE6531D" w14:textId="77777777" w:rsidTr="005F7AB7">
        <w:trPr>
          <w:trHeight w:val="113"/>
          <w:tblHeader/>
        </w:trPr>
        <w:tc>
          <w:tcPr>
            <w:tcW w:w="7700" w:type="dxa"/>
            <w:tcBorders>
              <w:top w:val="dotted" w:sz="4" w:space="0" w:color="auto"/>
              <w:bottom w:val="single" w:sz="4" w:space="0" w:color="auto"/>
            </w:tcBorders>
          </w:tcPr>
          <w:p w14:paraId="6C1E71EE" w14:textId="77777777" w:rsidR="0069545F" w:rsidRPr="007F33D1" w:rsidRDefault="0069545F" w:rsidP="0069545F">
            <w:pPr>
              <w:pStyle w:val="TableTextLeft"/>
              <w:rPr>
                <w:rFonts w:cs="Arial"/>
                <w:b/>
                <w:bCs/>
              </w:rPr>
            </w:pPr>
            <w:r w:rsidRPr="007F33D1">
              <w:rPr>
                <w:rFonts w:cs="Arial"/>
                <w:b/>
                <w:bCs/>
              </w:rPr>
              <w:t>Programs</w:t>
            </w:r>
          </w:p>
          <w:p w14:paraId="4DAA0749" w14:textId="153946FD" w:rsidR="000822BF" w:rsidRPr="007F33D1" w:rsidRDefault="0069545F" w:rsidP="00914EB5">
            <w:pPr>
              <w:pStyle w:val="TableTextBullet"/>
              <w:spacing w:before="60" w:after="60"/>
              <w:rPr>
                <w:rFonts w:cs="Arial"/>
              </w:rPr>
            </w:pPr>
            <w:r w:rsidRPr="007F33D1">
              <w:rPr>
                <w:rFonts w:cs="Arial"/>
              </w:rPr>
              <w:t xml:space="preserve">Program </w:t>
            </w:r>
            <w:r w:rsidR="00BC3402" w:rsidRPr="007F33D1">
              <w:rPr>
                <w:rFonts w:cs="Arial"/>
              </w:rPr>
              <w:t xml:space="preserve">1.1 </w:t>
            </w:r>
            <w:r w:rsidRPr="007F33D1">
              <w:rPr>
                <w:rFonts w:cs="Arial"/>
              </w:rPr>
              <w:t>–</w:t>
            </w:r>
            <w:r w:rsidR="009338C0" w:rsidRPr="007F33D1">
              <w:rPr>
                <w:rFonts w:cs="Arial"/>
              </w:rPr>
              <w:t>International Agricultural Research and Development</w:t>
            </w:r>
          </w:p>
        </w:tc>
      </w:tr>
      <w:tr w:rsidR="0069545F" w:rsidRPr="007F33D1" w14:paraId="25161564" w14:textId="77777777" w:rsidTr="005F7AB7">
        <w:trPr>
          <w:trHeight w:val="113"/>
        </w:trPr>
        <w:tc>
          <w:tcPr>
            <w:tcW w:w="7700" w:type="dxa"/>
            <w:tcBorders>
              <w:bottom w:val="dotted" w:sz="4" w:space="0" w:color="auto"/>
            </w:tcBorders>
          </w:tcPr>
          <w:p w14:paraId="350F3FF9" w14:textId="3D9815C7" w:rsidR="0069545F" w:rsidRPr="007F33D1" w:rsidRDefault="009338C0" w:rsidP="00F924C9">
            <w:pPr>
              <w:spacing w:before="60" w:after="60" w:line="240" w:lineRule="auto"/>
              <w:rPr>
                <w:rFonts w:ascii="Arial" w:hAnsi="Arial" w:cs="Arial"/>
              </w:rPr>
            </w:pPr>
            <w:r w:rsidRPr="009338C0">
              <w:rPr>
                <w:rFonts w:ascii="Arial" w:hAnsi="Arial" w:cs="Arial"/>
                <w:b/>
                <w:sz w:val="16"/>
              </w:rPr>
              <w:t>Attorney-General’s Department</w:t>
            </w:r>
          </w:p>
        </w:tc>
      </w:tr>
      <w:tr w:rsidR="0069545F" w:rsidRPr="007F33D1" w14:paraId="45564E42" w14:textId="77777777" w:rsidTr="005F7AB7">
        <w:trPr>
          <w:trHeight w:val="113"/>
        </w:trPr>
        <w:tc>
          <w:tcPr>
            <w:tcW w:w="7700" w:type="dxa"/>
            <w:tcBorders>
              <w:top w:val="dotted" w:sz="4" w:space="0" w:color="auto"/>
              <w:bottom w:val="single" w:sz="4" w:space="0" w:color="auto"/>
            </w:tcBorders>
          </w:tcPr>
          <w:p w14:paraId="5B3F6050" w14:textId="77777777" w:rsidR="0069545F" w:rsidRPr="007F33D1" w:rsidRDefault="0069545F" w:rsidP="0069545F">
            <w:pPr>
              <w:pStyle w:val="TableTextLeft"/>
              <w:rPr>
                <w:rFonts w:cs="Arial"/>
                <w:b/>
                <w:bCs/>
              </w:rPr>
            </w:pPr>
            <w:r w:rsidRPr="007F33D1">
              <w:rPr>
                <w:rFonts w:cs="Arial"/>
                <w:b/>
                <w:bCs/>
              </w:rPr>
              <w:t>Programs</w:t>
            </w:r>
          </w:p>
          <w:p w14:paraId="0209999A" w14:textId="3E1E5EF3" w:rsidR="0069545F" w:rsidRPr="007F33D1" w:rsidRDefault="0069545F" w:rsidP="00914EB5">
            <w:pPr>
              <w:pStyle w:val="TableTextBullet"/>
              <w:spacing w:before="60" w:after="60"/>
              <w:rPr>
                <w:rFonts w:cs="Arial"/>
              </w:rPr>
            </w:pPr>
            <w:r w:rsidRPr="007F33D1">
              <w:rPr>
                <w:rFonts w:cs="Arial"/>
              </w:rPr>
              <w:t xml:space="preserve">Program </w:t>
            </w:r>
            <w:r w:rsidR="00B500EB" w:rsidRPr="007F33D1">
              <w:rPr>
                <w:rFonts w:cs="Arial"/>
              </w:rPr>
              <w:t>1.1</w:t>
            </w:r>
            <w:r w:rsidRPr="007F33D1">
              <w:rPr>
                <w:rFonts w:cs="Arial"/>
              </w:rPr>
              <w:t xml:space="preserve"> – </w:t>
            </w:r>
            <w:r w:rsidR="009338C0" w:rsidRPr="009338C0">
              <w:rPr>
                <w:rFonts w:cs="Arial"/>
              </w:rPr>
              <w:t>Attorney-General’s Department</w:t>
            </w:r>
          </w:p>
        </w:tc>
      </w:tr>
      <w:tr w:rsidR="00676105" w:rsidRPr="007F33D1" w14:paraId="240431D4" w14:textId="77777777" w:rsidTr="00197763">
        <w:trPr>
          <w:trHeight w:val="113"/>
        </w:trPr>
        <w:tc>
          <w:tcPr>
            <w:tcW w:w="7700" w:type="dxa"/>
            <w:tcBorders>
              <w:top w:val="dotted" w:sz="4" w:space="0" w:color="auto"/>
              <w:bottom w:val="dotted" w:sz="4" w:space="0" w:color="auto"/>
            </w:tcBorders>
          </w:tcPr>
          <w:p w14:paraId="49C19F2C" w14:textId="6A32A495" w:rsidR="00676105" w:rsidRPr="007F33D1" w:rsidRDefault="00B500EB" w:rsidP="00F924C9">
            <w:pPr>
              <w:spacing w:before="60" w:after="60" w:line="240" w:lineRule="auto"/>
              <w:rPr>
                <w:rFonts w:ascii="Arial" w:hAnsi="Arial" w:cs="Arial"/>
                <w:b/>
                <w:bCs/>
              </w:rPr>
            </w:pPr>
            <w:r w:rsidRPr="007F33D1">
              <w:rPr>
                <w:rFonts w:ascii="Arial" w:hAnsi="Arial" w:cs="Arial"/>
                <w:b/>
                <w:sz w:val="16"/>
              </w:rPr>
              <w:t>Australian Federal Police</w:t>
            </w:r>
          </w:p>
        </w:tc>
      </w:tr>
      <w:tr w:rsidR="00676105" w:rsidRPr="007F33D1" w14:paraId="51768794" w14:textId="77777777" w:rsidTr="005F7AB7">
        <w:trPr>
          <w:trHeight w:val="113"/>
        </w:trPr>
        <w:tc>
          <w:tcPr>
            <w:tcW w:w="7700" w:type="dxa"/>
            <w:tcBorders>
              <w:top w:val="dotted" w:sz="4" w:space="0" w:color="auto"/>
              <w:bottom w:val="single" w:sz="4" w:space="0" w:color="auto"/>
            </w:tcBorders>
          </w:tcPr>
          <w:p w14:paraId="1F594354" w14:textId="77777777" w:rsidR="00676105" w:rsidRPr="007F33D1" w:rsidRDefault="00676105" w:rsidP="00676105">
            <w:pPr>
              <w:pStyle w:val="TableTextLeft"/>
              <w:rPr>
                <w:rFonts w:cs="Arial"/>
                <w:b/>
                <w:bCs/>
              </w:rPr>
            </w:pPr>
            <w:r w:rsidRPr="007F33D1">
              <w:rPr>
                <w:rFonts w:cs="Arial"/>
                <w:b/>
                <w:bCs/>
              </w:rPr>
              <w:t>Programs</w:t>
            </w:r>
          </w:p>
          <w:p w14:paraId="35F9F69C" w14:textId="2E894B32" w:rsidR="00676105" w:rsidRPr="007F33D1" w:rsidRDefault="00676105" w:rsidP="00914EB5">
            <w:pPr>
              <w:pStyle w:val="TableTextBullet"/>
              <w:spacing w:before="60" w:after="60"/>
              <w:rPr>
                <w:rFonts w:cs="Arial"/>
              </w:rPr>
            </w:pPr>
            <w:r w:rsidRPr="007F33D1">
              <w:rPr>
                <w:rFonts w:cs="Arial"/>
              </w:rPr>
              <w:t xml:space="preserve">Program </w:t>
            </w:r>
            <w:r w:rsidR="00B500EB" w:rsidRPr="007F33D1">
              <w:rPr>
                <w:rFonts w:cs="Arial"/>
              </w:rPr>
              <w:t>3.2</w:t>
            </w:r>
            <w:r w:rsidRPr="007F33D1">
              <w:rPr>
                <w:rFonts w:cs="Arial"/>
              </w:rPr>
              <w:t xml:space="preserve"> – </w:t>
            </w:r>
            <w:r w:rsidR="0057018C" w:rsidRPr="007F33D1">
              <w:rPr>
                <w:rFonts w:cs="Arial"/>
              </w:rPr>
              <w:t>International Police Assistance and External Territories</w:t>
            </w:r>
          </w:p>
        </w:tc>
      </w:tr>
      <w:tr w:rsidR="00CF1D3D" w:rsidRPr="007F33D1" w14:paraId="74CA33FB" w14:textId="77777777" w:rsidTr="00CF1D3D">
        <w:trPr>
          <w:trHeight w:val="113"/>
        </w:trPr>
        <w:tc>
          <w:tcPr>
            <w:tcW w:w="7700" w:type="dxa"/>
            <w:tcBorders>
              <w:top w:val="dotted" w:sz="4" w:space="0" w:color="auto"/>
              <w:bottom w:val="dotted" w:sz="4" w:space="0" w:color="auto"/>
            </w:tcBorders>
          </w:tcPr>
          <w:p w14:paraId="31A72885" w14:textId="6CA65945" w:rsidR="00CF1D3D" w:rsidRPr="007F33D1" w:rsidRDefault="00CF1D3D" w:rsidP="00CF1D3D">
            <w:pPr>
              <w:spacing w:before="60" w:after="60" w:line="240" w:lineRule="auto"/>
              <w:rPr>
                <w:rFonts w:ascii="Arial" w:hAnsi="Arial" w:cs="Arial"/>
                <w:b/>
                <w:sz w:val="16"/>
              </w:rPr>
            </w:pPr>
            <w:r w:rsidRPr="007F33D1">
              <w:rPr>
                <w:rFonts w:ascii="Arial" w:hAnsi="Arial" w:cs="Arial"/>
                <w:b/>
                <w:sz w:val="16"/>
              </w:rPr>
              <w:t>Australian Submarine Agency</w:t>
            </w:r>
          </w:p>
        </w:tc>
      </w:tr>
      <w:tr w:rsidR="00CF1D3D" w:rsidRPr="007F33D1" w14:paraId="04477D8B" w14:textId="77777777" w:rsidTr="00CF1D3D">
        <w:trPr>
          <w:trHeight w:val="113"/>
        </w:trPr>
        <w:tc>
          <w:tcPr>
            <w:tcW w:w="7700" w:type="dxa"/>
            <w:tcBorders>
              <w:top w:val="dotted" w:sz="4" w:space="0" w:color="auto"/>
              <w:bottom w:val="single" w:sz="4" w:space="0" w:color="auto"/>
            </w:tcBorders>
          </w:tcPr>
          <w:p w14:paraId="44BBAC92" w14:textId="77777777" w:rsidR="00CF1D3D" w:rsidRPr="007F33D1" w:rsidRDefault="00CF1D3D" w:rsidP="00CF1D3D">
            <w:pPr>
              <w:pStyle w:val="TableTextLeft"/>
              <w:rPr>
                <w:rFonts w:cs="Arial"/>
                <w:b/>
                <w:bCs/>
                <w:szCs w:val="16"/>
              </w:rPr>
            </w:pPr>
            <w:r w:rsidRPr="007F33D1">
              <w:rPr>
                <w:rFonts w:cs="Arial"/>
                <w:b/>
                <w:bCs/>
                <w:szCs w:val="16"/>
              </w:rPr>
              <w:t>Programs</w:t>
            </w:r>
          </w:p>
          <w:p w14:paraId="0C3910D5" w14:textId="6ED8244B" w:rsidR="00CF1D3D" w:rsidRPr="007F33D1" w:rsidRDefault="00CF1D3D" w:rsidP="00CF1D3D">
            <w:pPr>
              <w:spacing w:before="60" w:after="60" w:line="240" w:lineRule="auto"/>
              <w:rPr>
                <w:rFonts w:ascii="Arial" w:hAnsi="Arial" w:cs="Arial"/>
                <w:b/>
                <w:sz w:val="16"/>
                <w:szCs w:val="16"/>
              </w:rPr>
            </w:pPr>
            <w:r w:rsidRPr="007F33D1">
              <w:rPr>
                <w:rFonts w:ascii="Arial" w:hAnsi="Arial" w:cs="Arial"/>
                <w:sz w:val="16"/>
                <w:szCs w:val="16"/>
              </w:rPr>
              <w:t>Program 1.1 – Nuclear-Powered Submarines</w:t>
            </w:r>
          </w:p>
        </w:tc>
      </w:tr>
      <w:tr w:rsidR="00676105" w:rsidRPr="007F33D1" w14:paraId="3E1708EB" w14:textId="77777777" w:rsidTr="00CF1D3D">
        <w:trPr>
          <w:trHeight w:val="113"/>
        </w:trPr>
        <w:tc>
          <w:tcPr>
            <w:tcW w:w="7700" w:type="dxa"/>
            <w:tcBorders>
              <w:top w:val="single" w:sz="4" w:space="0" w:color="auto"/>
              <w:bottom w:val="dotted" w:sz="4" w:space="0" w:color="auto"/>
            </w:tcBorders>
          </w:tcPr>
          <w:p w14:paraId="573241E6" w14:textId="4373CEE4" w:rsidR="00676105" w:rsidRPr="007F33D1" w:rsidRDefault="0081057B" w:rsidP="00F924C9">
            <w:pPr>
              <w:spacing w:before="60" w:after="60" w:line="240" w:lineRule="auto"/>
              <w:rPr>
                <w:rFonts w:ascii="Arial" w:hAnsi="Arial" w:cs="Arial"/>
                <w:b/>
                <w:bCs/>
              </w:rPr>
            </w:pPr>
            <w:r w:rsidRPr="007F33D1">
              <w:rPr>
                <w:rFonts w:ascii="Arial" w:hAnsi="Arial" w:cs="Arial"/>
                <w:b/>
                <w:sz w:val="16"/>
              </w:rPr>
              <w:t>Australian Trade and Investment Commission</w:t>
            </w:r>
          </w:p>
        </w:tc>
      </w:tr>
      <w:tr w:rsidR="00676105" w:rsidRPr="007F33D1" w14:paraId="282ADE2E" w14:textId="77777777" w:rsidTr="007F33D1">
        <w:trPr>
          <w:trHeight w:val="113"/>
        </w:trPr>
        <w:tc>
          <w:tcPr>
            <w:tcW w:w="7700" w:type="dxa"/>
            <w:tcBorders>
              <w:top w:val="dotted" w:sz="4" w:space="0" w:color="auto"/>
              <w:bottom w:val="single" w:sz="4" w:space="0" w:color="auto"/>
            </w:tcBorders>
          </w:tcPr>
          <w:p w14:paraId="5B331A2D" w14:textId="77777777" w:rsidR="00676105" w:rsidRPr="007F33D1" w:rsidRDefault="00676105" w:rsidP="00676105">
            <w:pPr>
              <w:pStyle w:val="TableTextLeft"/>
              <w:rPr>
                <w:rFonts w:cs="Arial"/>
                <w:b/>
                <w:bCs/>
              </w:rPr>
            </w:pPr>
            <w:r w:rsidRPr="007F33D1">
              <w:rPr>
                <w:rFonts w:cs="Arial"/>
                <w:b/>
                <w:bCs/>
              </w:rPr>
              <w:t>Programs</w:t>
            </w:r>
          </w:p>
          <w:p w14:paraId="52800FE1" w14:textId="1A9F87B5" w:rsidR="00676105" w:rsidRPr="007F33D1" w:rsidRDefault="00676105" w:rsidP="00B66CF8">
            <w:pPr>
              <w:pStyle w:val="TableTextBullet"/>
              <w:spacing w:before="60" w:after="60"/>
              <w:rPr>
                <w:rFonts w:cs="Arial"/>
              </w:rPr>
            </w:pPr>
            <w:r w:rsidRPr="007F33D1">
              <w:rPr>
                <w:rFonts w:cs="Arial"/>
              </w:rPr>
              <w:t xml:space="preserve">Program </w:t>
            </w:r>
            <w:r w:rsidR="0081057B" w:rsidRPr="007F33D1">
              <w:rPr>
                <w:rFonts w:cs="Arial"/>
              </w:rPr>
              <w:t>1.1</w:t>
            </w:r>
            <w:r w:rsidRPr="007F33D1">
              <w:rPr>
                <w:rFonts w:cs="Arial"/>
              </w:rPr>
              <w:t xml:space="preserve">– </w:t>
            </w:r>
            <w:r w:rsidR="003349B2" w:rsidRPr="007F33D1">
              <w:rPr>
                <w:rFonts w:cs="Arial"/>
                <w:color w:val="000000" w:themeColor="text1"/>
                <w:lang w:eastAsia="en-US"/>
              </w:rPr>
              <w:t>Supporting Australian exporters to expand internationally, attracting productive international investment, and growing the visitor economy</w:t>
            </w:r>
          </w:p>
          <w:p w14:paraId="20318E40" w14:textId="6402374B" w:rsidR="00676105" w:rsidRPr="007F33D1" w:rsidRDefault="00676105" w:rsidP="00B66CF8">
            <w:pPr>
              <w:pStyle w:val="TableTextBullet"/>
              <w:spacing w:before="60" w:after="60"/>
              <w:rPr>
                <w:rFonts w:cs="Arial"/>
              </w:rPr>
            </w:pPr>
            <w:r w:rsidRPr="007F33D1">
              <w:rPr>
                <w:rFonts w:cs="Arial"/>
              </w:rPr>
              <w:t xml:space="preserve">Program </w:t>
            </w:r>
            <w:r w:rsidR="003349B2" w:rsidRPr="007F33D1">
              <w:rPr>
                <w:rFonts w:cs="Arial"/>
              </w:rPr>
              <w:t>1.2</w:t>
            </w:r>
            <w:r w:rsidRPr="007F33D1">
              <w:rPr>
                <w:rFonts w:cs="Arial"/>
              </w:rPr>
              <w:t xml:space="preserve"> – </w:t>
            </w:r>
            <w:r w:rsidR="00B66CF8" w:rsidRPr="007F33D1">
              <w:rPr>
                <w:rFonts w:cs="Arial"/>
                <w:color w:val="000000" w:themeColor="text1"/>
              </w:rPr>
              <w:t>Programs to support Australian exporters to expand internationally, attract productive international investment, and grow the visitor economy</w:t>
            </w:r>
          </w:p>
        </w:tc>
      </w:tr>
      <w:tr w:rsidR="00CF1D3D" w:rsidRPr="007F33D1" w14:paraId="4559FECC" w14:textId="77777777" w:rsidTr="007F33D1">
        <w:trPr>
          <w:trHeight w:val="113"/>
        </w:trPr>
        <w:tc>
          <w:tcPr>
            <w:tcW w:w="7700" w:type="dxa"/>
            <w:tcBorders>
              <w:top w:val="single" w:sz="4" w:space="0" w:color="auto"/>
              <w:bottom w:val="dotted" w:sz="4" w:space="0" w:color="auto"/>
            </w:tcBorders>
          </w:tcPr>
          <w:p w14:paraId="5CFBDCFF" w14:textId="3B9E184F" w:rsidR="00CF1D3D" w:rsidRPr="007F33D1" w:rsidRDefault="00CF1D3D" w:rsidP="007F33D1">
            <w:pPr>
              <w:spacing w:before="60" w:after="60" w:line="240" w:lineRule="auto"/>
              <w:rPr>
                <w:rFonts w:ascii="Arial" w:hAnsi="Arial" w:cs="Arial"/>
                <w:b/>
                <w:sz w:val="16"/>
              </w:rPr>
            </w:pPr>
            <w:r w:rsidRPr="007F33D1">
              <w:rPr>
                <w:rFonts w:ascii="Arial" w:hAnsi="Arial" w:cs="Arial"/>
                <w:b/>
                <w:sz w:val="16"/>
              </w:rPr>
              <w:t>Department of Climate Change, Energy, the Environment and Water</w:t>
            </w:r>
          </w:p>
        </w:tc>
      </w:tr>
      <w:tr w:rsidR="00CF1D3D" w:rsidRPr="007F33D1" w14:paraId="34D5F7A7" w14:textId="77777777" w:rsidTr="007F33D1">
        <w:trPr>
          <w:trHeight w:val="113"/>
        </w:trPr>
        <w:tc>
          <w:tcPr>
            <w:tcW w:w="7700" w:type="dxa"/>
            <w:tcBorders>
              <w:top w:val="dotted" w:sz="4" w:space="0" w:color="auto"/>
              <w:bottom w:val="single" w:sz="4" w:space="0" w:color="auto"/>
            </w:tcBorders>
          </w:tcPr>
          <w:p w14:paraId="0F8AA194" w14:textId="77777777" w:rsidR="00CF1D3D" w:rsidRPr="007F33D1" w:rsidRDefault="00CF1D3D" w:rsidP="00CF1D3D">
            <w:pPr>
              <w:pStyle w:val="TableTextLeft"/>
              <w:rPr>
                <w:rFonts w:cs="Arial"/>
                <w:b/>
                <w:bCs/>
              </w:rPr>
            </w:pPr>
            <w:r w:rsidRPr="007F33D1">
              <w:rPr>
                <w:rFonts w:cs="Arial"/>
                <w:b/>
                <w:bCs/>
              </w:rPr>
              <w:t>Programs</w:t>
            </w:r>
          </w:p>
          <w:p w14:paraId="5465716C" w14:textId="77777777" w:rsidR="00CF1D3D" w:rsidRPr="007F33D1" w:rsidRDefault="00CF1D3D" w:rsidP="00CF1D3D">
            <w:pPr>
              <w:pStyle w:val="TableTextBullet"/>
              <w:spacing w:before="60" w:after="60"/>
              <w:rPr>
                <w:rFonts w:cs="Arial"/>
              </w:rPr>
            </w:pPr>
            <w:r w:rsidRPr="007F33D1">
              <w:rPr>
                <w:rFonts w:cs="Arial"/>
              </w:rPr>
              <w:t xml:space="preserve">Program 1.1 – </w:t>
            </w:r>
            <w:r w:rsidRPr="007F33D1">
              <w:rPr>
                <w:rFonts w:cs="Arial"/>
                <w:iCs/>
                <w:color w:val="000000" w:themeColor="text1"/>
                <w:lang w:eastAsia="en-US"/>
              </w:rPr>
              <w:t>Support reliable, secure and affordable energy</w:t>
            </w:r>
          </w:p>
          <w:p w14:paraId="52BD2116" w14:textId="77777777" w:rsidR="00CF1D3D" w:rsidRPr="007F33D1" w:rsidRDefault="00CF1D3D" w:rsidP="00CF1D3D">
            <w:pPr>
              <w:pStyle w:val="TableTextBullet"/>
              <w:spacing w:before="60" w:after="60"/>
              <w:rPr>
                <w:rFonts w:cs="Arial"/>
              </w:rPr>
            </w:pPr>
            <w:r w:rsidRPr="007F33D1">
              <w:rPr>
                <w:rFonts w:cs="Arial"/>
              </w:rPr>
              <w:t xml:space="preserve">Program 1.2 – </w:t>
            </w:r>
            <w:r w:rsidRPr="007F33D1">
              <w:rPr>
                <w:rFonts w:cs="Arial"/>
                <w:iCs/>
                <w:color w:val="000000" w:themeColor="text1"/>
                <w:lang w:eastAsia="en-US"/>
              </w:rPr>
              <w:t>Reduce Australia’s greenhouse gas emissions</w:t>
            </w:r>
          </w:p>
          <w:p w14:paraId="3CAB3590" w14:textId="77777777" w:rsidR="00CF1D3D" w:rsidRPr="007F33D1" w:rsidRDefault="00CF1D3D" w:rsidP="00CF1D3D">
            <w:pPr>
              <w:pStyle w:val="TableTextBullet"/>
              <w:spacing w:before="60" w:after="60"/>
              <w:rPr>
                <w:rFonts w:cs="Arial"/>
              </w:rPr>
            </w:pPr>
            <w:r w:rsidRPr="007F33D1">
              <w:rPr>
                <w:rFonts w:cs="Arial"/>
              </w:rPr>
              <w:t>Program 2.1 – Conserve, protect, sustainably manage and restore Australia’s natural environment</w:t>
            </w:r>
          </w:p>
          <w:p w14:paraId="223EC536" w14:textId="77777777" w:rsidR="00CF1D3D" w:rsidRPr="007F33D1" w:rsidRDefault="00CF1D3D" w:rsidP="00CF1D3D">
            <w:pPr>
              <w:pStyle w:val="TableTextBullet"/>
              <w:spacing w:before="60" w:after="60"/>
              <w:rPr>
                <w:rFonts w:cs="Arial"/>
              </w:rPr>
            </w:pPr>
            <w:r w:rsidRPr="007F33D1">
              <w:rPr>
                <w:rFonts w:cs="Arial"/>
              </w:rPr>
              <w:t xml:space="preserve">Program 2.2 – </w:t>
            </w:r>
            <w:r w:rsidRPr="007F33D1">
              <w:rPr>
                <w:rFonts w:cs="Arial"/>
                <w:iCs/>
                <w:color w:val="000000" w:themeColor="text1"/>
                <w:lang w:eastAsia="en-US"/>
              </w:rPr>
              <w:t>Protect Australia’s cultural, historic and First Nations heritage</w:t>
            </w:r>
          </w:p>
          <w:p w14:paraId="0926E96F" w14:textId="72AAEC79" w:rsidR="00CF1D3D" w:rsidRPr="007F33D1" w:rsidRDefault="00CF1D3D" w:rsidP="00CF1D3D">
            <w:pPr>
              <w:pStyle w:val="TableTextBullet"/>
              <w:spacing w:before="60" w:after="60"/>
              <w:rPr>
                <w:rFonts w:cs="Arial"/>
              </w:rPr>
            </w:pPr>
            <w:r w:rsidRPr="007F33D1">
              <w:rPr>
                <w:rFonts w:cs="Arial"/>
              </w:rPr>
              <w:t xml:space="preserve">Program 3.1 – </w:t>
            </w:r>
            <w:r w:rsidRPr="007F33D1">
              <w:rPr>
                <w:rFonts w:cs="Arial"/>
                <w:iCs/>
                <w:color w:val="000000" w:themeColor="text1"/>
                <w:lang w:eastAsia="en-US"/>
              </w:rPr>
              <w:t>Contribute to Australia’s national Antarctic interests through science, environmental management and international engagement. Including delivering Australia’s scientific research and operations in Antarctica and the Southern Ocean</w:t>
            </w:r>
          </w:p>
        </w:tc>
      </w:tr>
    </w:tbl>
    <w:p w14:paraId="38373290" w14:textId="11359F4F" w:rsidR="0069545F" w:rsidRPr="0069545F" w:rsidRDefault="005F7AB7" w:rsidP="005F7AB7">
      <w:pPr>
        <w:pStyle w:val="ChartandTableFootnoteAlpha"/>
        <w:numPr>
          <w:ilvl w:val="0"/>
          <w:numId w:val="0"/>
        </w:numPr>
        <w:ind w:left="284" w:hanging="284"/>
      </w:pPr>
      <w:r w:rsidRPr="005F7AB7">
        <w:t xml:space="preserve">Table </w:t>
      </w:r>
      <w:proofErr w:type="gramStart"/>
      <w:r w:rsidRPr="005F7AB7">
        <w:t>continued on</w:t>
      </w:r>
      <w:proofErr w:type="gramEnd"/>
      <w:r w:rsidRPr="005F7AB7">
        <w:t xml:space="preserve"> the next page</w:t>
      </w:r>
      <w:r w:rsidR="0069545F" w:rsidRPr="0069545F">
        <w:t>.</w:t>
      </w:r>
    </w:p>
    <w:p w14:paraId="0013B2B0" w14:textId="0A4906C8" w:rsidR="0069545F" w:rsidRPr="0069545F" w:rsidRDefault="00F00984" w:rsidP="0069545F">
      <w:r w:rsidRPr="0069545F">
        <w:br w:type="page"/>
      </w:r>
    </w:p>
    <w:p w14:paraId="60B44E88" w14:textId="41B048C4" w:rsidR="00DE248E" w:rsidRDefault="00DE248E" w:rsidP="00DE248E">
      <w:pPr>
        <w:pStyle w:val="Heading4"/>
      </w:pPr>
      <w:r w:rsidRPr="0069545F">
        <w:lastRenderedPageBreak/>
        <w:t xml:space="preserve">Linked programs </w:t>
      </w:r>
      <w:r>
        <w:t>(continued)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E26CD9" w:rsidRPr="0069545F" w14:paraId="4F2F5FB2" w14:textId="77777777" w:rsidTr="00F02FC1">
        <w:trPr>
          <w:trHeight w:val="113"/>
        </w:trPr>
        <w:tc>
          <w:tcPr>
            <w:tcW w:w="7700" w:type="dxa"/>
            <w:tcBorders>
              <w:top w:val="single" w:sz="4" w:space="0" w:color="auto"/>
              <w:bottom w:val="dotted" w:sz="4" w:space="0" w:color="auto"/>
            </w:tcBorders>
          </w:tcPr>
          <w:p w14:paraId="2A9C7488" w14:textId="4CD71A19" w:rsidR="00E26CD9" w:rsidRPr="0069545F" w:rsidRDefault="004075A6" w:rsidP="007F370B">
            <w:pPr>
              <w:spacing w:before="60" w:after="60" w:line="240" w:lineRule="auto"/>
              <w:rPr>
                <w:b/>
                <w:bCs/>
              </w:rPr>
            </w:pPr>
            <w:r>
              <w:rPr>
                <w:rFonts w:ascii="Arial Bold" w:hAnsi="Arial Bold"/>
                <w:b/>
                <w:sz w:val="16"/>
              </w:rPr>
              <w:t>Department of Defence</w:t>
            </w:r>
          </w:p>
        </w:tc>
      </w:tr>
      <w:tr w:rsidR="00E26CD9" w:rsidRPr="0069545F" w14:paraId="0C713F55" w14:textId="77777777" w:rsidTr="007F370B">
        <w:trPr>
          <w:trHeight w:val="113"/>
        </w:trPr>
        <w:tc>
          <w:tcPr>
            <w:tcW w:w="7700" w:type="dxa"/>
            <w:tcBorders>
              <w:top w:val="dotted" w:sz="4" w:space="0" w:color="auto"/>
              <w:bottom w:val="single" w:sz="4" w:space="0" w:color="auto"/>
            </w:tcBorders>
          </w:tcPr>
          <w:p w14:paraId="67771048" w14:textId="77777777" w:rsidR="00E26CD9" w:rsidRPr="0069545F" w:rsidRDefault="00E26CD9" w:rsidP="007F370B">
            <w:pPr>
              <w:pStyle w:val="TableTextLeft"/>
              <w:rPr>
                <w:b/>
                <w:bCs/>
              </w:rPr>
            </w:pPr>
            <w:r w:rsidRPr="0069545F">
              <w:rPr>
                <w:b/>
                <w:bCs/>
              </w:rPr>
              <w:t>Programs</w:t>
            </w:r>
          </w:p>
          <w:p w14:paraId="61847500" w14:textId="4B7149AD" w:rsidR="00E26CD9" w:rsidRDefault="00E26CD9" w:rsidP="007F370B">
            <w:pPr>
              <w:pStyle w:val="TableTextBullet"/>
              <w:spacing w:before="60" w:after="60"/>
            </w:pPr>
            <w:r w:rsidRPr="0069545F">
              <w:t xml:space="preserve">Program </w:t>
            </w:r>
            <w:r w:rsidR="004075A6">
              <w:t>2.8</w:t>
            </w:r>
            <w:r w:rsidRPr="0069545F">
              <w:t xml:space="preserve"> – </w:t>
            </w:r>
            <w:r w:rsidR="00D6057C" w:rsidRPr="00A76734">
              <w:rPr>
                <w:iCs/>
                <w:color w:val="000000" w:themeColor="text1"/>
                <w:lang w:eastAsia="en-US"/>
              </w:rPr>
              <w:t>Australian Defence Force Headquarters</w:t>
            </w:r>
          </w:p>
          <w:p w14:paraId="5DB88FCB" w14:textId="42CD8543" w:rsidR="004075A6" w:rsidRPr="0057018C" w:rsidRDefault="004075A6" w:rsidP="007F370B">
            <w:pPr>
              <w:pStyle w:val="TableTextBullet"/>
              <w:spacing w:before="60" w:after="60"/>
            </w:pPr>
            <w:r>
              <w:t xml:space="preserve">Program 2.16 </w:t>
            </w:r>
            <w:r w:rsidRPr="0069545F">
              <w:t xml:space="preserve">– </w:t>
            </w:r>
            <w:r w:rsidR="00D6057C">
              <w:t>Nuclear-Powered Submarines</w:t>
            </w:r>
          </w:p>
        </w:tc>
      </w:tr>
      <w:tr w:rsidR="00E26CD9" w:rsidRPr="0069545F" w14:paraId="1C2BF2CF" w14:textId="77777777" w:rsidTr="007F370B">
        <w:trPr>
          <w:trHeight w:val="113"/>
        </w:trPr>
        <w:tc>
          <w:tcPr>
            <w:tcW w:w="7700" w:type="dxa"/>
            <w:tcBorders>
              <w:top w:val="dotted" w:sz="4" w:space="0" w:color="auto"/>
              <w:bottom w:val="dotted" w:sz="4" w:space="0" w:color="auto"/>
            </w:tcBorders>
          </w:tcPr>
          <w:p w14:paraId="6F975886" w14:textId="202AED31" w:rsidR="00E26CD9" w:rsidRPr="0069545F" w:rsidRDefault="005E3371" w:rsidP="007F370B">
            <w:pPr>
              <w:spacing w:before="60" w:after="60" w:line="240" w:lineRule="auto"/>
              <w:rPr>
                <w:b/>
                <w:bCs/>
              </w:rPr>
            </w:pPr>
            <w:r>
              <w:rPr>
                <w:rFonts w:ascii="Arial Bold" w:hAnsi="Arial Bold"/>
                <w:b/>
                <w:sz w:val="16"/>
              </w:rPr>
              <w:t>Department of Education</w:t>
            </w:r>
          </w:p>
        </w:tc>
      </w:tr>
      <w:tr w:rsidR="00E26CD9" w:rsidRPr="0069545F" w14:paraId="17614D00" w14:textId="77777777" w:rsidTr="00826BB5">
        <w:trPr>
          <w:trHeight w:val="113"/>
        </w:trPr>
        <w:tc>
          <w:tcPr>
            <w:tcW w:w="7700" w:type="dxa"/>
            <w:tcBorders>
              <w:top w:val="dotted" w:sz="4" w:space="0" w:color="auto"/>
              <w:bottom w:val="single" w:sz="4" w:space="0" w:color="auto"/>
            </w:tcBorders>
          </w:tcPr>
          <w:p w14:paraId="5D0EB8DA" w14:textId="77777777" w:rsidR="00E26CD9" w:rsidRPr="0069545F" w:rsidRDefault="00E26CD9" w:rsidP="007F370B">
            <w:pPr>
              <w:pStyle w:val="TableTextLeft"/>
              <w:rPr>
                <w:b/>
                <w:bCs/>
              </w:rPr>
            </w:pPr>
            <w:r w:rsidRPr="0069545F">
              <w:rPr>
                <w:b/>
                <w:bCs/>
              </w:rPr>
              <w:t>Programs</w:t>
            </w:r>
          </w:p>
          <w:p w14:paraId="75E96F57" w14:textId="776BB583" w:rsidR="00E26CD9" w:rsidRPr="00B66CF8" w:rsidRDefault="00E26CD9" w:rsidP="009158A3">
            <w:pPr>
              <w:pStyle w:val="TableTextBullet"/>
              <w:spacing w:before="60" w:after="60"/>
            </w:pPr>
            <w:r w:rsidRPr="0069545F">
              <w:t xml:space="preserve">Program </w:t>
            </w:r>
            <w:r w:rsidR="005E3371">
              <w:t>2.7</w:t>
            </w:r>
            <w:r w:rsidR="009158A3">
              <w:t xml:space="preserve"> </w:t>
            </w:r>
            <w:r w:rsidRPr="0069545F">
              <w:t xml:space="preserve">– </w:t>
            </w:r>
            <w:r w:rsidR="009158A3" w:rsidRPr="00A76734">
              <w:rPr>
                <w:rFonts w:eastAsia="SimSun"/>
                <w:color w:val="000000" w:themeColor="text1"/>
                <w:lang w:eastAsia="en-US"/>
              </w:rPr>
              <w:t>International Education Support</w:t>
            </w:r>
          </w:p>
        </w:tc>
      </w:tr>
      <w:tr w:rsidR="009158A3" w:rsidRPr="0069545F" w14:paraId="6A91E313" w14:textId="77777777" w:rsidTr="00826BB5">
        <w:trPr>
          <w:trHeight w:val="113"/>
        </w:trPr>
        <w:tc>
          <w:tcPr>
            <w:tcW w:w="7700" w:type="dxa"/>
            <w:tcBorders>
              <w:top w:val="single" w:sz="4" w:space="0" w:color="auto"/>
              <w:bottom w:val="dotted" w:sz="4" w:space="0" w:color="auto"/>
            </w:tcBorders>
          </w:tcPr>
          <w:p w14:paraId="39E6E953" w14:textId="36F564E2" w:rsidR="009158A3" w:rsidRPr="0069545F" w:rsidRDefault="009158A3" w:rsidP="00826BB5">
            <w:pPr>
              <w:pStyle w:val="TableTextLeft"/>
              <w:spacing w:before="60" w:after="60"/>
              <w:rPr>
                <w:b/>
                <w:bCs/>
              </w:rPr>
            </w:pPr>
            <w:r>
              <w:rPr>
                <w:rFonts w:ascii="Arial Bold" w:hAnsi="Arial Bold"/>
                <w:b/>
              </w:rPr>
              <w:t xml:space="preserve">Department of Employment and Workplace Relations </w:t>
            </w:r>
          </w:p>
        </w:tc>
      </w:tr>
      <w:tr w:rsidR="009158A3" w:rsidRPr="0069545F" w14:paraId="05A603D0" w14:textId="77777777" w:rsidTr="007F33D1">
        <w:trPr>
          <w:trHeight w:val="113"/>
        </w:trPr>
        <w:tc>
          <w:tcPr>
            <w:tcW w:w="7700" w:type="dxa"/>
            <w:tcBorders>
              <w:top w:val="dotted" w:sz="4" w:space="0" w:color="auto"/>
              <w:bottom w:val="single" w:sz="4" w:space="0" w:color="auto"/>
            </w:tcBorders>
          </w:tcPr>
          <w:p w14:paraId="60A9C324" w14:textId="77777777" w:rsidR="009158A3" w:rsidRPr="0069545F" w:rsidRDefault="009158A3" w:rsidP="009158A3">
            <w:pPr>
              <w:pStyle w:val="TableTextLeft"/>
              <w:rPr>
                <w:b/>
                <w:bCs/>
              </w:rPr>
            </w:pPr>
            <w:r w:rsidRPr="0069545F">
              <w:rPr>
                <w:b/>
                <w:bCs/>
              </w:rPr>
              <w:t>Programs</w:t>
            </w:r>
          </w:p>
          <w:p w14:paraId="69809A22" w14:textId="797623DA" w:rsidR="009158A3" w:rsidRPr="00826BB5" w:rsidRDefault="009158A3" w:rsidP="00826BB5">
            <w:pPr>
              <w:pStyle w:val="TableTextBullet"/>
              <w:spacing w:before="60" w:after="60"/>
              <w:rPr>
                <w:b/>
                <w:bCs/>
              </w:rPr>
            </w:pPr>
            <w:r w:rsidRPr="0069545F">
              <w:t xml:space="preserve">Program </w:t>
            </w:r>
            <w:r w:rsidR="00826BB5">
              <w:t>1.1</w:t>
            </w:r>
            <w:r w:rsidRPr="0069545F">
              <w:t xml:space="preserve"> – </w:t>
            </w:r>
            <w:r w:rsidR="00826BB5">
              <w:t xml:space="preserve">Employment Services </w:t>
            </w:r>
          </w:p>
        </w:tc>
      </w:tr>
      <w:tr w:rsidR="00CF1D3D" w:rsidRPr="0069545F" w14:paraId="3C87C1F0" w14:textId="77777777" w:rsidTr="007F33D1">
        <w:trPr>
          <w:trHeight w:val="113"/>
        </w:trPr>
        <w:tc>
          <w:tcPr>
            <w:tcW w:w="7700" w:type="dxa"/>
            <w:tcBorders>
              <w:top w:val="single" w:sz="4" w:space="0" w:color="auto"/>
              <w:left w:val="single" w:sz="4" w:space="0" w:color="auto"/>
              <w:bottom w:val="dotted" w:sz="4" w:space="0" w:color="auto"/>
              <w:right w:val="single" w:sz="4" w:space="0" w:color="auto"/>
            </w:tcBorders>
          </w:tcPr>
          <w:p w14:paraId="4D832DFB" w14:textId="77777777" w:rsidR="00CF1D3D" w:rsidRPr="007F33D1" w:rsidRDefault="00CF1D3D" w:rsidP="007F33D1">
            <w:pPr>
              <w:pStyle w:val="TableTextLeft"/>
              <w:spacing w:before="60" w:after="60"/>
              <w:rPr>
                <w:rFonts w:ascii="Arial Bold" w:hAnsi="Arial Bold"/>
                <w:b/>
              </w:rPr>
            </w:pPr>
            <w:r w:rsidRPr="007F33D1">
              <w:rPr>
                <w:rFonts w:ascii="Arial Bold" w:hAnsi="Arial Bold"/>
                <w:b/>
              </w:rPr>
              <w:t xml:space="preserve">Department of Home Affairs </w:t>
            </w:r>
          </w:p>
        </w:tc>
      </w:tr>
      <w:tr w:rsidR="00CF1D3D" w:rsidRPr="0069545F" w14:paraId="670E4C0D" w14:textId="77777777" w:rsidTr="007F33D1">
        <w:trPr>
          <w:trHeight w:val="113"/>
        </w:trPr>
        <w:tc>
          <w:tcPr>
            <w:tcW w:w="7700" w:type="dxa"/>
            <w:tcBorders>
              <w:top w:val="dotted" w:sz="4" w:space="0" w:color="auto"/>
              <w:left w:val="single" w:sz="4" w:space="0" w:color="auto"/>
              <w:bottom w:val="single" w:sz="4" w:space="0" w:color="auto"/>
              <w:right w:val="single" w:sz="4" w:space="0" w:color="auto"/>
            </w:tcBorders>
          </w:tcPr>
          <w:p w14:paraId="3F27E02A" w14:textId="77777777" w:rsidR="00CF1D3D" w:rsidRPr="0069545F" w:rsidRDefault="00CF1D3D" w:rsidP="00467591">
            <w:pPr>
              <w:pStyle w:val="TableTextLeft"/>
              <w:rPr>
                <w:b/>
                <w:bCs/>
              </w:rPr>
            </w:pPr>
            <w:r w:rsidRPr="0069545F">
              <w:rPr>
                <w:b/>
                <w:bCs/>
              </w:rPr>
              <w:t>Programs</w:t>
            </w:r>
          </w:p>
          <w:p w14:paraId="77CF8C23" w14:textId="77777777" w:rsidR="00CF1D3D" w:rsidRPr="007F33D1" w:rsidRDefault="00CF1D3D" w:rsidP="00467591">
            <w:pPr>
              <w:pStyle w:val="TableTextBullet"/>
              <w:spacing w:before="60" w:after="60"/>
            </w:pPr>
            <w:r w:rsidRPr="007F33D1">
              <w:t>Program 1.2 – National Security and Resilience</w:t>
            </w:r>
          </w:p>
          <w:p w14:paraId="70401598" w14:textId="77777777" w:rsidR="00CF1D3D" w:rsidRPr="007F33D1" w:rsidRDefault="00CF1D3D" w:rsidP="00467591">
            <w:pPr>
              <w:pStyle w:val="TableTextBullet"/>
              <w:spacing w:before="60" w:after="60"/>
            </w:pPr>
            <w:r w:rsidRPr="007F33D1">
              <w:t>Program 1.4 – Counter Terrorism</w:t>
            </w:r>
          </w:p>
          <w:p w14:paraId="65896439" w14:textId="77777777" w:rsidR="00CF1D3D" w:rsidRPr="007F33D1" w:rsidRDefault="00CF1D3D" w:rsidP="00467591">
            <w:pPr>
              <w:pStyle w:val="TableTextBullet"/>
              <w:spacing w:before="60" w:after="60"/>
            </w:pPr>
            <w:r w:rsidRPr="007F33D1">
              <w:t>Program 1.5 – Regional Cooperation</w:t>
            </w:r>
          </w:p>
          <w:p w14:paraId="62D6D039" w14:textId="77777777" w:rsidR="00CF1D3D" w:rsidRPr="007F33D1" w:rsidRDefault="00CF1D3D" w:rsidP="00467591">
            <w:pPr>
              <w:pStyle w:val="TableTextBullet"/>
              <w:spacing w:before="60" w:after="60"/>
            </w:pPr>
            <w:r w:rsidRPr="007F33D1">
              <w:t>Program 2.2 – Visas</w:t>
            </w:r>
          </w:p>
          <w:p w14:paraId="65FEFBAA" w14:textId="77777777" w:rsidR="00CF1D3D" w:rsidRPr="007F33D1" w:rsidRDefault="00CF1D3D" w:rsidP="00467591">
            <w:pPr>
              <w:pStyle w:val="TableTextBullet"/>
              <w:spacing w:before="60" w:after="60"/>
            </w:pPr>
            <w:r w:rsidRPr="007F33D1">
              <w:t>Program 2.3 – Refugee, Humanitarian Settlement and Migrant Services</w:t>
            </w:r>
          </w:p>
          <w:p w14:paraId="02098440" w14:textId="77777777" w:rsidR="00CF1D3D" w:rsidRPr="007F33D1" w:rsidRDefault="00CF1D3D" w:rsidP="00467591">
            <w:pPr>
              <w:pStyle w:val="TableTextBullet"/>
              <w:spacing w:before="60" w:after="60"/>
            </w:pPr>
            <w:r w:rsidRPr="007F33D1">
              <w:t>Program 2.5 – Multicultural Affairs and Citizenship</w:t>
            </w:r>
          </w:p>
          <w:p w14:paraId="42233669" w14:textId="77777777" w:rsidR="00CF1D3D" w:rsidRPr="007F33D1" w:rsidRDefault="00CF1D3D" w:rsidP="00467591">
            <w:pPr>
              <w:pStyle w:val="TableTextBullet"/>
              <w:spacing w:before="60" w:after="60"/>
            </w:pPr>
            <w:r w:rsidRPr="007F33D1">
              <w:t>Program 3.1 – Trade Facilitation and Industry Engagement</w:t>
            </w:r>
          </w:p>
          <w:p w14:paraId="5BEB2599" w14:textId="77777777" w:rsidR="00CF1D3D" w:rsidRPr="00CF1D3D" w:rsidRDefault="00CF1D3D" w:rsidP="00467591">
            <w:pPr>
              <w:pStyle w:val="TableTextBullet"/>
              <w:spacing w:before="60" w:after="60"/>
              <w:rPr>
                <w:b/>
                <w:bCs/>
              </w:rPr>
            </w:pPr>
            <w:r w:rsidRPr="007F33D1">
              <w:t>Program 3.4 – Border Enforcement</w:t>
            </w:r>
          </w:p>
        </w:tc>
      </w:tr>
      <w:tr w:rsidR="00CF1D3D" w:rsidRPr="0069545F" w14:paraId="504AF506" w14:textId="77777777" w:rsidTr="007F33D1">
        <w:trPr>
          <w:trHeight w:val="113"/>
        </w:trPr>
        <w:tc>
          <w:tcPr>
            <w:tcW w:w="7700" w:type="dxa"/>
            <w:tcBorders>
              <w:top w:val="single" w:sz="4" w:space="0" w:color="auto"/>
              <w:left w:val="single" w:sz="4" w:space="0" w:color="auto"/>
              <w:bottom w:val="dotted" w:sz="4" w:space="0" w:color="auto"/>
              <w:right w:val="single" w:sz="4" w:space="0" w:color="auto"/>
            </w:tcBorders>
          </w:tcPr>
          <w:p w14:paraId="2A887706" w14:textId="77777777" w:rsidR="00CF1D3D" w:rsidRPr="007F33D1" w:rsidRDefault="00CF1D3D" w:rsidP="007F33D1">
            <w:pPr>
              <w:pStyle w:val="TableTextLeft"/>
              <w:spacing w:before="60" w:after="60"/>
              <w:rPr>
                <w:rFonts w:ascii="Arial Bold" w:hAnsi="Arial Bold"/>
                <w:b/>
              </w:rPr>
            </w:pPr>
            <w:r w:rsidRPr="007F33D1">
              <w:rPr>
                <w:rFonts w:ascii="Arial Bold" w:hAnsi="Arial Bold"/>
                <w:b/>
              </w:rPr>
              <w:t>Tourism Australia</w:t>
            </w:r>
          </w:p>
        </w:tc>
      </w:tr>
      <w:tr w:rsidR="00CF1D3D" w:rsidRPr="0069545F" w14:paraId="1505FA7B" w14:textId="77777777" w:rsidTr="007F33D1">
        <w:trPr>
          <w:trHeight w:val="113"/>
        </w:trPr>
        <w:tc>
          <w:tcPr>
            <w:tcW w:w="7700" w:type="dxa"/>
            <w:tcBorders>
              <w:top w:val="dotted" w:sz="4" w:space="0" w:color="auto"/>
              <w:left w:val="single" w:sz="4" w:space="0" w:color="auto"/>
              <w:bottom w:val="single" w:sz="4" w:space="0" w:color="auto"/>
              <w:right w:val="single" w:sz="4" w:space="0" w:color="auto"/>
            </w:tcBorders>
          </w:tcPr>
          <w:p w14:paraId="66A6CAD5" w14:textId="77777777" w:rsidR="00CF1D3D" w:rsidRPr="0069545F" w:rsidRDefault="00CF1D3D" w:rsidP="00467591">
            <w:pPr>
              <w:pStyle w:val="TableTextLeft"/>
              <w:rPr>
                <w:b/>
                <w:bCs/>
              </w:rPr>
            </w:pPr>
            <w:r w:rsidRPr="0069545F">
              <w:rPr>
                <w:b/>
                <w:bCs/>
              </w:rPr>
              <w:t>Programs</w:t>
            </w:r>
          </w:p>
          <w:p w14:paraId="27C03D8C" w14:textId="77777777" w:rsidR="00CF1D3D" w:rsidRPr="007F33D1" w:rsidRDefault="00CF1D3D" w:rsidP="00467591">
            <w:pPr>
              <w:pStyle w:val="TableTextBullet"/>
              <w:spacing w:before="60" w:after="60"/>
            </w:pPr>
            <w:r w:rsidRPr="007F33D1">
              <w:t>Program 1.1 – Supporting Outcome 1</w:t>
            </w:r>
          </w:p>
        </w:tc>
      </w:tr>
      <w:tr w:rsidR="00CF1D3D" w:rsidRPr="0069545F" w14:paraId="5E368F60" w14:textId="77777777" w:rsidTr="00CF1D3D">
        <w:trPr>
          <w:trHeight w:val="113"/>
        </w:trPr>
        <w:tc>
          <w:tcPr>
            <w:tcW w:w="7700" w:type="dxa"/>
            <w:tcBorders>
              <w:top w:val="dotted" w:sz="4" w:space="0" w:color="auto"/>
              <w:left w:val="single" w:sz="4" w:space="0" w:color="auto"/>
              <w:bottom w:val="single" w:sz="4" w:space="0" w:color="auto"/>
              <w:right w:val="single" w:sz="4" w:space="0" w:color="auto"/>
            </w:tcBorders>
          </w:tcPr>
          <w:p w14:paraId="3CDF5394" w14:textId="509DA5B0" w:rsidR="007F33D1" w:rsidRPr="00CF1D3D" w:rsidRDefault="00CF1D3D" w:rsidP="00A52203">
            <w:pPr>
              <w:pStyle w:val="TableTextLeft"/>
              <w:spacing w:after="60"/>
              <w:rPr>
                <w:b/>
                <w:bCs/>
              </w:rPr>
            </w:pPr>
            <w:r w:rsidRPr="00CF1D3D">
              <w:rPr>
                <w:b/>
                <w:bCs/>
              </w:rPr>
              <w:t>Contribution to Outcome 1 made by linked programs</w:t>
            </w:r>
          </w:p>
          <w:p w14:paraId="058F1C1F" w14:textId="77777777" w:rsidR="00CF1D3D" w:rsidRPr="00CF1D3D" w:rsidRDefault="00CF1D3D" w:rsidP="00A52203">
            <w:pPr>
              <w:pStyle w:val="TableTextLeft"/>
              <w:spacing w:after="60"/>
            </w:pPr>
            <w:r w:rsidRPr="00CF1D3D">
              <w:t xml:space="preserve">Australia maintains a whole-of-government approach in the pursuit of foreign trade and investment, tourism, development and international security interests abroad. DFAT is supported by partner agencies in its associated leadership, advocacy and coordination roles at overseas missions. </w:t>
            </w:r>
          </w:p>
        </w:tc>
      </w:tr>
    </w:tbl>
    <w:p w14:paraId="31CF486D" w14:textId="77777777" w:rsidR="00CF1D3D" w:rsidRDefault="00CF1D3D">
      <w:pPr>
        <w:spacing w:before="0" w:after="0" w:line="240" w:lineRule="auto"/>
      </w:pPr>
    </w:p>
    <w:p w14:paraId="2CADCD0A" w14:textId="147A45AA" w:rsidR="001E6B9F" w:rsidRDefault="001E6B9F">
      <w:pPr>
        <w:spacing w:before="0" w:after="0" w:line="240" w:lineRule="auto"/>
      </w:pPr>
      <w:r>
        <w:br w:type="page"/>
      </w:r>
    </w:p>
    <w:p w14:paraId="1BF79E4C" w14:textId="78844319" w:rsidR="00B86CCD" w:rsidRPr="00446612" w:rsidRDefault="00B86CCD" w:rsidP="00133BCE">
      <w:pPr>
        <w:pStyle w:val="Heading4"/>
      </w:pPr>
      <w:r w:rsidRPr="00446612">
        <w:lastRenderedPageBreak/>
        <w:t xml:space="preserve">Budgeted expenses for Outcome </w:t>
      </w:r>
      <w:r w:rsidR="00133BCE">
        <w:t>1</w:t>
      </w:r>
    </w:p>
    <w:p w14:paraId="058093CB" w14:textId="227E6C9F"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0581C9C1" w14:textId="00DD180C" w:rsidR="00394218" w:rsidRDefault="006E4DF1" w:rsidP="000F4FFC">
      <w:pPr>
        <w:pStyle w:val="TableHeading"/>
      </w:pPr>
      <w:r w:rsidRPr="006E4DF1">
        <w:t>Table 2.</w:t>
      </w:r>
      <w:r w:rsidR="00133BCE">
        <w:t>1</w:t>
      </w:r>
      <w:r w:rsidRPr="006E4DF1">
        <w:t xml:space="preserve">.1: Budgeted expenses for Outcome </w:t>
      </w:r>
      <w:r w:rsidR="00133BCE">
        <w:t>1</w:t>
      </w:r>
    </w:p>
    <w:p w14:paraId="587B4372" w14:textId="3F265EBA" w:rsidR="00DC1ADC" w:rsidRPr="00DC1ADC" w:rsidRDefault="00DB7C3E" w:rsidP="00784AB7">
      <w:pPr>
        <w:pStyle w:val="TableGraphic"/>
      </w:pPr>
      <w:r w:rsidRPr="00DB7C3E">
        <w:rPr>
          <w:noProof/>
        </w:rPr>
        <w:drawing>
          <wp:inline distT="0" distB="0" distL="0" distR="0" wp14:anchorId="0AD3D9E8" wp14:editId="35CF3A30">
            <wp:extent cx="4895850" cy="4547870"/>
            <wp:effectExtent l="0" t="0" r="0" b="5080"/>
            <wp:docPr id="21102852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4547870"/>
                    </a:xfrm>
                    <a:prstGeom prst="rect">
                      <a:avLst/>
                    </a:prstGeom>
                    <a:noFill/>
                    <a:ln>
                      <a:noFill/>
                    </a:ln>
                  </pic:spPr>
                </pic:pic>
              </a:graphicData>
            </a:graphic>
          </wp:inline>
        </w:drawing>
      </w:r>
    </w:p>
    <w:p w14:paraId="40B4532B" w14:textId="77B28B67" w:rsidR="00E87DCB" w:rsidRPr="00E87DCB" w:rsidRDefault="00E87DCB">
      <w:pPr>
        <w:spacing w:before="0" w:after="0" w:line="240" w:lineRule="auto"/>
        <w:rPr>
          <w:rFonts w:ascii="Arial" w:hAnsi="Arial" w:cs="Arial"/>
          <w:sz w:val="16"/>
          <w:szCs w:val="16"/>
        </w:rPr>
      </w:pPr>
      <w:r w:rsidRPr="00E87DCB">
        <w:rPr>
          <w:rFonts w:ascii="Arial" w:hAnsi="Arial" w:cs="Arial"/>
          <w:sz w:val="16"/>
          <w:szCs w:val="16"/>
        </w:rPr>
        <w:t xml:space="preserve">Table </w:t>
      </w:r>
      <w:proofErr w:type="gramStart"/>
      <w:r w:rsidRPr="00E87DCB">
        <w:rPr>
          <w:rFonts w:ascii="Arial" w:hAnsi="Arial" w:cs="Arial"/>
          <w:sz w:val="16"/>
          <w:szCs w:val="16"/>
        </w:rPr>
        <w:t>continued on</w:t>
      </w:r>
      <w:proofErr w:type="gramEnd"/>
      <w:r w:rsidRPr="00E87DCB">
        <w:rPr>
          <w:rFonts w:ascii="Arial" w:hAnsi="Arial" w:cs="Arial"/>
          <w:sz w:val="16"/>
          <w:szCs w:val="16"/>
        </w:rPr>
        <w:t xml:space="preserve"> the next page.</w:t>
      </w:r>
    </w:p>
    <w:p w14:paraId="4AD15605" w14:textId="180CDE2E" w:rsidR="001D3237" w:rsidRDefault="001D3237">
      <w:pPr>
        <w:spacing w:before="0" w:after="0" w:line="240" w:lineRule="auto"/>
      </w:pPr>
      <w:r>
        <w:br w:type="page"/>
      </w:r>
    </w:p>
    <w:p w14:paraId="7E9EA9AB" w14:textId="738B219E" w:rsidR="000F4FFC" w:rsidRPr="000F4FFC" w:rsidRDefault="00DF2C5D" w:rsidP="000F4FFC">
      <w:pPr>
        <w:pStyle w:val="TableHeadingcontinued"/>
        <w:rPr>
          <w:rFonts w:ascii="Times New Roman" w:hAnsi="Times New Roman"/>
        </w:rPr>
      </w:pPr>
      <w:r>
        <w:lastRenderedPageBreak/>
        <w:t>Table 2.</w:t>
      </w:r>
      <w:r w:rsidR="00133BCE">
        <w:t>1</w:t>
      </w:r>
      <w:r>
        <w:t xml:space="preserve">.1: Budgeted expenses for Outcome </w:t>
      </w:r>
      <w:r w:rsidR="00133BCE">
        <w:t>1</w:t>
      </w:r>
      <w:r w:rsidR="00C91347">
        <w:t xml:space="preserve"> (continued)</w:t>
      </w:r>
      <w:r w:rsidR="000F4FFC">
        <w:fldChar w:fldCharType="begin" w:fldLock="1"/>
      </w:r>
      <w:r w:rsidR="000F4FFC">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0F4FFC">
        <w:fldChar w:fldCharType="separate"/>
      </w:r>
      <w:r w:rsidR="000F4FFC">
        <w:fldChar w:fldCharType="end"/>
      </w:r>
    </w:p>
    <w:p w14:paraId="664C14CD" w14:textId="2D32C9EF" w:rsidR="001D3237" w:rsidRDefault="00F3117C">
      <w:pPr>
        <w:spacing w:before="0" w:after="0" w:line="240" w:lineRule="auto"/>
      </w:pPr>
      <w:r w:rsidRPr="00F3117C">
        <w:rPr>
          <w:noProof/>
        </w:rPr>
        <w:drawing>
          <wp:inline distT="0" distB="0" distL="0" distR="0" wp14:anchorId="25064849" wp14:editId="118B6F20">
            <wp:extent cx="4735830" cy="5151755"/>
            <wp:effectExtent l="0" t="0" r="7620" b="0"/>
            <wp:docPr id="14678341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35830" cy="5151755"/>
                    </a:xfrm>
                    <a:prstGeom prst="rect">
                      <a:avLst/>
                    </a:prstGeom>
                    <a:noFill/>
                    <a:ln>
                      <a:noFill/>
                    </a:ln>
                  </pic:spPr>
                </pic:pic>
              </a:graphicData>
            </a:graphic>
          </wp:inline>
        </w:drawing>
      </w:r>
    </w:p>
    <w:p w14:paraId="489076A6" w14:textId="77777777" w:rsidR="00F3117C" w:rsidRPr="00E87DCB" w:rsidRDefault="00F3117C" w:rsidP="00F3117C">
      <w:pPr>
        <w:spacing w:before="0" w:after="0" w:line="240" w:lineRule="auto"/>
        <w:rPr>
          <w:rFonts w:ascii="Arial" w:hAnsi="Arial" w:cs="Arial"/>
          <w:sz w:val="16"/>
          <w:szCs w:val="16"/>
        </w:rPr>
      </w:pPr>
      <w:r w:rsidRPr="00E87DCB">
        <w:rPr>
          <w:rFonts w:ascii="Arial" w:hAnsi="Arial" w:cs="Arial"/>
          <w:sz w:val="16"/>
          <w:szCs w:val="16"/>
        </w:rPr>
        <w:t xml:space="preserve">Table </w:t>
      </w:r>
      <w:proofErr w:type="gramStart"/>
      <w:r w:rsidRPr="00E87DCB">
        <w:rPr>
          <w:rFonts w:ascii="Arial" w:hAnsi="Arial" w:cs="Arial"/>
          <w:sz w:val="16"/>
          <w:szCs w:val="16"/>
        </w:rPr>
        <w:t>continued on</w:t>
      </w:r>
      <w:proofErr w:type="gramEnd"/>
      <w:r w:rsidRPr="00E87DCB">
        <w:rPr>
          <w:rFonts w:ascii="Arial" w:hAnsi="Arial" w:cs="Arial"/>
          <w:sz w:val="16"/>
          <w:szCs w:val="16"/>
        </w:rPr>
        <w:t xml:space="preserve"> the next page.</w:t>
      </w:r>
    </w:p>
    <w:p w14:paraId="3E6A1081" w14:textId="77777777" w:rsidR="00F3117C" w:rsidRDefault="00F3117C">
      <w:pPr>
        <w:spacing w:before="0" w:after="0" w:line="240" w:lineRule="auto"/>
      </w:pPr>
    </w:p>
    <w:p w14:paraId="20777139" w14:textId="6649F5DD" w:rsidR="001D3237" w:rsidRDefault="001D3237">
      <w:pPr>
        <w:spacing w:before="0" w:after="0" w:line="240" w:lineRule="auto"/>
        <w:rPr>
          <w:rFonts w:ascii="Arial Bold" w:hAnsi="Arial Bold"/>
          <w:b/>
          <w:sz w:val="20"/>
        </w:rPr>
      </w:pPr>
      <w:r>
        <w:br w:type="page"/>
      </w:r>
    </w:p>
    <w:p w14:paraId="058D18DA" w14:textId="1F307802" w:rsidR="000F4FFC" w:rsidRPr="000F4FFC" w:rsidRDefault="00AD42E2" w:rsidP="000F4FFC">
      <w:pPr>
        <w:pStyle w:val="TableHeadingcontinued"/>
      </w:pPr>
      <w:r w:rsidRPr="00AD42E2">
        <w:lastRenderedPageBreak/>
        <w:t>Table 2.</w:t>
      </w:r>
      <w:r w:rsidR="00133BCE">
        <w:t>1</w:t>
      </w:r>
      <w:r w:rsidRPr="00AD42E2">
        <w:t xml:space="preserve">.1: Budgeted expenses for Outcome </w:t>
      </w:r>
      <w:r w:rsidR="00133BCE">
        <w:t>1</w:t>
      </w:r>
      <w:r w:rsidR="00C91347">
        <w:t xml:space="preserve"> (continued)</w:t>
      </w:r>
    </w:p>
    <w:p w14:paraId="79E8D3B8" w14:textId="78A1270D" w:rsidR="00C91347" w:rsidRDefault="009711F2" w:rsidP="00B92B09">
      <w:pPr>
        <w:pStyle w:val="TableGraphic"/>
      </w:pPr>
      <w:r w:rsidRPr="009711F2">
        <w:rPr>
          <w:noProof/>
        </w:rPr>
        <w:drawing>
          <wp:inline distT="0" distB="0" distL="0" distR="0" wp14:anchorId="7F4D5D12" wp14:editId="613CE81A">
            <wp:extent cx="4730750" cy="4746625"/>
            <wp:effectExtent l="0" t="0" r="0" b="0"/>
            <wp:docPr id="812897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30750" cy="4746625"/>
                    </a:xfrm>
                    <a:prstGeom prst="rect">
                      <a:avLst/>
                    </a:prstGeom>
                    <a:noFill/>
                    <a:ln>
                      <a:noFill/>
                    </a:ln>
                  </pic:spPr>
                </pic:pic>
              </a:graphicData>
            </a:graphic>
          </wp:inline>
        </w:drawing>
      </w:r>
    </w:p>
    <w:p w14:paraId="0497CE1D" w14:textId="3AB860B8" w:rsidR="008E4ECE" w:rsidRPr="00446EE2" w:rsidRDefault="00B86CCD" w:rsidP="005F2FDC">
      <w:pPr>
        <w:pStyle w:val="ChartandTableFootnoteAlpha"/>
        <w:numPr>
          <w:ilvl w:val="0"/>
          <w:numId w:val="13"/>
        </w:numPr>
      </w:pPr>
      <w:r w:rsidRPr="00446EE2">
        <w:t>E</w:t>
      </w:r>
      <w:r w:rsidR="00DE43C5">
        <w:t>stimated</w:t>
      </w:r>
      <w:r w:rsidRPr="00446EE2">
        <w:t xml:space="preserve"> </w:t>
      </w:r>
      <w:r w:rsidR="00DE43C5" w:rsidRPr="00DE43C5">
        <w:t>expenses not requiring appropriation in the Budget year may include Export Finance Australia – Other National Interest Account (NIA) expenses, depreciation expenses and re-measurement of defined benefits schemes</w:t>
      </w:r>
      <w:r w:rsidRPr="00446EE2">
        <w:t>.</w:t>
      </w:r>
    </w:p>
    <w:p w14:paraId="634FEF28" w14:textId="3F2601EB" w:rsidR="007379EF" w:rsidRDefault="00DE43C5" w:rsidP="005F2FDC">
      <w:pPr>
        <w:pStyle w:val="ChartandTableFootnoteAlpha"/>
        <w:numPr>
          <w:ilvl w:val="0"/>
          <w:numId w:val="13"/>
        </w:numPr>
      </w:pPr>
      <w:r>
        <w:t>Departmental</w:t>
      </w:r>
      <w:r w:rsidR="007379EF" w:rsidRPr="007379EF">
        <w:t xml:space="preserve"> </w:t>
      </w:r>
      <w:r w:rsidRPr="00DE43C5">
        <w:t xml:space="preserve">appropriations combine </w:t>
      </w:r>
      <w:r>
        <w:t>ordinary</w:t>
      </w:r>
      <w:r w:rsidRPr="00DE43C5">
        <w:t xml:space="preserve"> annual services </w:t>
      </w:r>
      <w:r>
        <w:t>(</w:t>
      </w:r>
      <w:r w:rsidRPr="00DE43C5">
        <w:t>Appropriation Bill (No. 1)</w:t>
      </w:r>
      <w:r>
        <w:t>)</w:t>
      </w:r>
      <w:r w:rsidRPr="00DE43C5">
        <w:t xml:space="preserve"> and estimated receipts retained under section 74 of the PGPA Act</w:t>
      </w:r>
      <w:r w:rsidR="007379EF" w:rsidRPr="007379EF">
        <w:t>.</w:t>
      </w:r>
    </w:p>
    <w:p w14:paraId="16656232" w14:textId="218ED094" w:rsidR="00DE43C5" w:rsidRDefault="00DE43C5" w:rsidP="005F2FDC">
      <w:pPr>
        <w:pStyle w:val="ChartandTableFootnoteAlpha"/>
        <w:numPr>
          <w:ilvl w:val="0"/>
          <w:numId w:val="13"/>
        </w:numPr>
      </w:pPr>
      <w:r>
        <w:t xml:space="preserve">Expenses </w:t>
      </w:r>
      <w:r w:rsidRPr="00DE43C5">
        <w:t>not requiring appropriation in the Budget year may include depreciation expenses, amortisation expenses, make good expenses, audit fees, concessional costs for loans, finance costs and impairment of financial instruments</w:t>
      </w:r>
      <w:r>
        <w:t>.</w:t>
      </w:r>
    </w:p>
    <w:p w14:paraId="4ECAE59B" w14:textId="59B59C16" w:rsidR="008E4ECE" w:rsidRPr="00446EE2" w:rsidRDefault="00DE43C5" w:rsidP="005F2FDC">
      <w:pPr>
        <w:pStyle w:val="ChartandTableFootnoteAlpha"/>
        <w:numPr>
          <w:ilvl w:val="0"/>
          <w:numId w:val="13"/>
        </w:numPr>
      </w:pPr>
      <w:r>
        <w:t xml:space="preserve">Expenses </w:t>
      </w:r>
      <w:r w:rsidRPr="00DE43C5">
        <w:t>not requiring appropriation in the Budget year includes revaluations of multilateral replenishments, new commitments to the International Development Association,</w:t>
      </w:r>
      <w:r>
        <w:t xml:space="preserve"> </w:t>
      </w:r>
      <w:r w:rsidR="008736C5" w:rsidRPr="00E074F9">
        <w:t>Asia</w:t>
      </w:r>
      <w:r w:rsidR="008736C5">
        <w:t>n</w:t>
      </w:r>
      <w:r w:rsidR="008736C5" w:rsidRPr="00E074F9">
        <w:t xml:space="preserve"> Development Fund</w:t>
      </w:r>
      <w:r w:rsidR="008736C5">
        <w:t xml:space="preserve">, </w:t>
      </w:r>
      <w:r w:rsidRPr="00DE43C5">
        <w:t>the Global Environment Facility</w:t>
      </w:r>
      <w:r w:rsidR="008736C5">
        <w:t xml:space="preserve"> </w:t>
      </w:r>
      <w:r w:rsidRPr="00DE43C5">
        <w:t>and the Montreal Protocol Multilateral Fund</w:t>
      </w:r>
      <w:r w:rsidR="008E4ECE" w:rsidRPr="00446EE2">
        <w:t>.</w:t>
      </w:r>
    </w:p>
    <w:p w14:paraId="58D7588E" w14:textId="77777777" w:rsidR="00B86CCD" w:rsidRPr="00446612" w:rsidRDefault="00B86CCD" w:rsidP="009763C1">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21B4BCAE" w14:textId="77777777" w:rsidR="001D3237" w:rsidRDefault="001D3237">
      <w:pPr>
        <w:spacing w:before="0" w:after="0" w:line="240" w:lineRule="auto"/>
        <w:rPr>
          <w:highlight w:val="green"/>
        </w:rPr>
      </w:pPr>
      <w:r>
        <w:rPr>
          <w:highlight w:val="green"/>
        </w:rPr>
        <w:br w:type="page"/>
      </w:r>
    </w:p>
    <w:p w14:paraId="4C3F19EF" w14:textId="6BEFA389" w:rsidR="001D3237" w:rsidRDefault="00C854F5" w:rsidP="00193A95">
      <w:pPr>
        <w:spacing w:after="0"/>
      </w:pPr>
      <w:r w:rsidRPr="00B166C6">
        <w:rPr>
          <w:rStyle w:val="TableHeadingChar"/>
        </w:rPr>
        <w:lastRenderedPageBreak/>
        <w:t>Table 2.</w:t>
      </w:r>
      <w:r w:rsidR="00133BCE">
        <w:rPr>
          <w:rStyle w:val="TableHeadingChar"/>
        </w:rPr>
        <w:t>1</w:t>
      </w:r>
      <w:r w:rsidR="00446612" w:rsidRPr="00B166C6">
        <w:rPr>
          <w:rStyle w:val="TableHeadingChar"/>
        </w:rPr>
        <w:t>.2</w:t>
      </w:r>
      <w:r w:rsidR="00210874" w:rsidRPr="00B166C6">
        <w:rPr>
          <w:rStyle w:val="TableHeadingChar"/>
        </w:rPr>
        <w:t xml:space="preserve">: </w:t>
      </w:r>
      <w:r w:rsidR="008E5BB7" w:rsidRPr="00B166C6">
        <w:rPr>
          <w:rStyle w:val="TableHeadingChar"/>
        </w:rPr>
        <w:t xml:space="preserve">Program components of Outcome </w:t>
      </w:r>
      <w:r w:rsidR="00133BCE">
        <w:rPr>
          <w:rStyle w:val="TableHeadingChar"/>
        </w:rPr>
        <w:t>1</w:t>
      </w:r>
      <w:r w:rsidR="00EF6EE5">
        <w:rPr>
          <w:rStyle w:val="TableHeadingChar"/>
        </w:rPr>
        <w:t xml:space="preserve"> – Program 1.1</w:t>
      </w:r>
    </w:p>
    <w:p w14:paraId="649E94BB" w14:textId="313B8139" w:rsidR="006169C5" w:rsidRDefault="00B41B5B" w:rsidP="00EF6EE5">
      <w:pPr>
        <w:pStyle w:val="TableGraphic"/>
        <w:rPr>
          <w:rFonts w:ascii="Arial" w:hAnsi="Arial" w:cs="Arial"/>
          <w:noProof/>
          <w:sz w:val="16"/>
          <w:szCs w:val="16"/>
        </w:rPr>
      </w:pPr>
      <w:r w:rsidRPr="00B41B5B">
        <w:rPr>
          <w:noProof/>
        </w:rPr>
        <w:drawing>
          <wp:inline distT="0" distB="0" distL="0" distR="0" wp14:anchorId="48A1A3F4" wp14:editId="2AB307B5">
            <wp:extent cx="4850130" cy="6297295"/>
            <wp:effectExtent l="0" t="0" r="7620" b="8255"/>
            <wp:docPr id="4813698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50130" cy="6297295"/>
                    </a:xfrm>
                    <a:prstGeom prst="rect">
                      <a:avLst/>
                    </a:prstGeom>
                    <a:noFill/>
                    <a:ln>
                      <a:noFill/>
                    </a:ln>
                  </pic:spPr>
                </pic:pic>
              </a:graphicData>
            </a:graphic>
          </wp:inline>
        </w:drawing>
      </w:r>
    </w:p>
    <w:p w14:paraId="6372A2B0" w14:textId="7050BE39" w:rsidR="00EF6EE5" w:rsidRPr="00824706" w:rsidRDefault="00EF6EE5" w:rsidP="00EF6EE5">
      <w:pPr>
        <w:pStyle w:val="TableGraphic"/>
        <w:rPr>
          <w:rFonts w:ascii="Arial" w:hAnsi="Arial" w:cs="Arial"/>
          <w:noProof/>
          <w:sz w:val="16"/>
          <w:szCs w:val="16"/>
        </w:rPr>
      </w:pPr>
      <w:r w:rsidRPr="00824706">
        <w:rPr>
          <w:rFonts w:ascii="Arial" w:hAnsi="Arial" w:cs="Arial"/>
          <w:noProof/>
          <w:sz w:val="16"/>
          <w:szCs w:val="16"/>
        </w:rPr>
        <w:t>Table continued on the next page.</w:t>
      </w:r>
    </w:p>
    <w:p w14:paraId="62D6DDF5" w14:textId="1DCC83F9" w:rsidR="00CD12FA" w:rsidRDefault="00CD12FA">
      <w:pPr>
        <w:spacing w:before="0" w:after="0" w:line="240" w:lineRule="auto"/>
      </w:pPr>
      <w:r>
        <w:br w:type="page"/>
      </w:r>
    </w:p>
    <w:p w14:paraId="1560FB21" w14:textId="70D9065F" w:rsidR="00D35369" w:rsidRDefault="00D35369" w:rsidP="00D35369">
      <w:pPr>
        <w:spacing w:after="0"/>
        <w:rPr>
          <w:rStyle w:val="TableHeadingChar"/>
        </w:rPr>
      </w:pPr>
      <w:r w:rsidRPr="00B166C6">
        <w:rPr>
          <w:rStyle w:val="TableHeadingChar"/>
        </w:rPr>
        <w:lastRenderedPageBreak/>
        <w:t>Table 2.</w:t>
      </w:r>
      <w:r>
        <w:rPr>
          <w:rStyle w:val="TableHeadingChar"/>
        </w:rPr>
        <w:t>1</w:t>
      </w:r>
      <w:r w:rsidRPr="00B166C6">
        <w:rPr>
          <w:rStyle w:val="TableHeadingChar"/>
        </w:rPr>
        <w:t xml:space="preserve">.2: Program components of Outcome </w:t>
      </w:r>
      <w:r>
        <w:rPr>
          <w:rStyle w:val="TableHeadingChar"/>
        </w:rPr>
        <w:t>1 – Program 1.1 (continued)</w:t>
      </w:r>
    </w:p>
    <w:p w14:paraId="46873D6A" w14:textId="43C08566" w:rsidR="00D35369" w:rsidRDefault="00B41B5B">
      <w:pPr>
        <w:spacing w:before="0" w:after="0" w:line="240" w:lineRule="auto"/>
      </w:pPr>
      <w:bookmarkStart w:id="46" w:name="_Toc190682315"/>
      <w:bookmarkStart w:id="47" w:name="_Toc190682532"/>
      <w:bookmarkEnd w:id="42"/>
      <w:bookmarkEnd w:id="43"/>
      <w:r w:rsidRPr="00B41B5B">
        <w:rPr>
          <w:noProof/>
        </w:rPr>
        <w:drawing>
          <wp:inline distT="0" distB="0" distL="0" distR="0" wp14:anchorId="3666EA76" wp14:editId="3229B196">
            <wp:extent cx="4895850" cy="5191760"/>
            <wp:effectExtent l="0" t="0" r="0" b="8890"/>
            <wp:docPr id="158547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5850" cy="5191760"/>
                    </a:xfrm>
                    <a:prstGeom prst="rect">
                      <a:avLst/>
                    </a:prstGeom>
                    <a:noFill/>
                    <a:ln>
                      <a:noFill/>
                    </a:ln>
                  </pic:spPr>
                </pic:pic>
              </a:graphicData>
            </a:graphic>
          </wp:inline>
        </w:drawing>
      </w:r>
    </w:p>
    <w:p w14:paraId="26BA3E97" w14:textId="6D2281F2" w:rsidR="00CD12FA" w:rsidRDefault="00CD12FA">
      <w:pPr>
        <w:spacing w:before="0" w:after="0" w:line="240" w:lineRule="auto"/>
      </w:pPr>
      <w:r>
        <w:br w:type="page"/>
      </w:r>
    </w:p>
    <w:p w14:paraId="5FE01533" w14:textId="1F1870B4" w:rsidR="00CD12FA" w:rsidRDefault="00CD12FA">
      <w:pPr>
        <w:spacing w:before="0" w:after="0" w:line="240" w:lineRule="auto"/>
      </w:pPr>
      <w:r w:rsidRPr="00B166C6">
        <w:rPr>
          <w:rStyle w:val="TableHeadingChar"/>
        </w:rPr>
        <w:lastRenderedPageBreak/>
        <w:t>Table 2.</w:t>
      </w:r>
      <w:r>
        <w:rPr>
          <w:rStyle w:val="TableHeadingChar"/>
        </w:rPr>
        <w:t>1</w:t>
      </w:r>
      <w:r w:rsidRPr="00B166C6">
        <w:rPr>
          <w:rStyle w:val="TableHeadingChar"/>
        </w:rPr>
        <w:t xml:space="preserve">.2: Program components of Outcome </w:t>
      </w:r>
      <w:r>
        <w:rPr>
          <w:rStyle w:val="TableHeadingChar"/>
        </w:rPr>
        <w:t>1 – Program 1.2</w:t>
      </w:r>
    </w:p>
    <w:p w14:paraId="2F9310FE" w14:textId="31728867" w:rsidR="00CD12FA" w:rsidRDefault="008C4E93">
      <w:pPr>
        <w:spacing w:before="0" w:after="0" w:line="240" w:lineRule="auto"/>
      </w:pPr>
      <w:r w:rsidRPr="008C4E93">
        <w:rPr>
          <w:noProof/>
        </w:rPr>
        <w:drawing>
          <wp:inline distT="0" distB="0" distL="0" distR="0" wp14:anchorId="260BCD1C" wp14:editId="6714DB3E">
            <wp:extent cx="4895850" cy="1831975"/>
            <wp:effectExtent l="0" t="0" r="0" b="0"/>
            <wp:docPr id="21200125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850" cy="1831975"/>
                    </a:xfrm>
                    <a:prstGeom prst="rect">
                      <a:avLst/>
                    </a:prstGeom>
                    <a:noFill/>
                    <a:ln>
                      <a:noFill/>
                    </a:ln>
                  </pic:spPr>
                </pic:pic>
              </a:graphicData>
            </a:graphic>
          </wp:inline>
        </w:drawing>
      </w:r>
    </w:p>
    <w:p w14:paraId="762ABDB2" w14:textId="77777777" w:rsidR="00CD12FA" w:rsidRDefault="00CD12FA">
      <w:pPr>
        <w:spacing w:before="0" w:after="0" w:line="240" w:lineRule="auto"/>
      </w:pPr>
    </w:p>
    <w:p w14:paraId="0BEDF2E8" w14:textId="77777777" w:rsidR="00CD12FA" w:rsidRDefault="00CD12FA">
      <w:pPr>
        <w:spacing w:before="0" w:after="0" w:line="240" w:lineRule="auto"/>
      </w:pPr>
    </w:p>
    <w:p w14:paraId="31D49A1E" w14:textId="46246C0E" w:rsidR="00CD12FA" w:rsidRDefault="00CD12FA" w:rsidP="00CD12FA">
      <w:pPr>
        <w:spacing w:before="0" w:after="0" w:line="240" w:lineRule="auto"/>
      </w:pPr>
      <w:r w:rsidRPr="00B166C6">
        <w:rPr>
          <w:rStyle w:val="TableHeadingChar"/>
        </w:rPr>
        <w:t>Table 2.</w:t>
      </w:r>
      <w:r>
        <w:rPr>
          <w:rStyle w:val="TableHeadingChar"/>
        </w:rPr>
        <w:t>1</w:t>
      </w:r>
      <w:r w:rsidRPr="00B166C6">
        <w:rPr>
          <w:rStyle w:val="TableHeadingChar"/>
        </w:rPr>
        <w:t xml:space="preserve">.2: Program components of Outcome </w:t>
      </w:r>
      <w:r>
        <w:rPr>
          <w:rStyle w:val="TableHeadingChar"/>
        </w:rPr>
        <w:t>1 – Program 1.6</w:t>
      </w:r>
    </w:p>
    <w:p w14:paraId="11C25E12" w14:textId="036E1BE1" w:rsidR="00CD12FA" w:rsidRDefault="008C4E93">
      <w:pPr>
        <w:spacing w:before="0" w:after="0" w:line="240" w:lineRule="auto"/>
      </w:pPr>
      <w:r w:rsidRPr="008C4E93">
        <w:rPr>
          <w:noProof/>
        </w:rPr>
        <w:drawing>
          <wp:inline distT="0" distB="0" distL="0" distR="0" wp14:anchorId="00886846" wp14:editId="67AA6DB2">
            <wp:extent cx="4895850" cy="2252980"/>
            <wp:effectExtent l="0" t="0" r="0" b="0"/>
            <wp:docPr id="1070081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5850" cy="2252980"/>
                    </a:xfrm>
                    <a:prstGeom prst="rect">
                      <a:avLst/>
                    </a:prstGeom>
                    <a:noFill/>
                    <a:ln>
                      <a:noFill/>
                    </a:ln>
                  </pic:spPr>
                </pic:pic>
              </a:graphicData>
            </a:graphic>
          </wp:inline>
        </w:drawing>
      </w:r>
    </w:p>
    <w:p w14:paraId="6F66C2A4" w14:textId="77777777" w:rsidR="00CD12FA" w:rsidRDefault="00CD12FA">
      <w:pPr>
        <w:spacing w:before="0" w:after="0" w:line="240" w:lineRule="auto"/>
      </w:pPr>
    </w:p>
    <w:p w14:paraId="2916741C" w14:textId="77777777" w:rsidR="00CD12FA" w:rsidRDefault="00CD12FA">
      <w:pPr>
        <w:spacing w:before="0" w:after="0" w:line="240" w:lineRule="auto"/>
      </w:pPr>
    </w:p>
    <w:p w14:paraId="38C28768" w14:textId="30C51D34" w:rsidR="00CD12FA" w:rsidRDefault="00CD12FA" w:rsidP="00CD12FA">
      <w:pPr>
        <w:spacing w:before="0" w:after="0" w:line="240" w:lineRule="auto"/>
      </w:pPr>
      <w:r w:rsidRPr="00B166C6">
        <w:rPr>
          <w:rStyle w:val="TableHeadingChar"/>
        </w:rPr>
        <w:t>Table 2.</w:t>
      </w:r>
      <w:r>
        <w:rPr>
          <w:rStyle w:val="TableHeadingChar"/>
        </w:rPr>
        <w:t>1</w:t>
      </w:r>
      <w:r w:rsidRPr="00B166C6">
        <w:rPr>
          <w:rStyle w:val="TableHeadingChar"/>
        </w:rPr>
        <w:t xml:space="preserve">.2: Program components of Outcome </w:t>
      </w:r>
      <w:r>
        <w:rPr>
          <w:rStyle w:val="TableHeadingChar"/>
        </w:rPr>
        <w:t>1 – Program 1.7</w:t>
      </w:r>
    </w:p>
    <w:p w14:paraId="42E4A344" w14:textId="78662AF9" w:rsidR="00CD12FA" w:rsidRDefault="008C4E93">
      <w:pPr>
        <w:spacing w:before="0" w:after="0" w:line="240" w:lineRule="auto"/>
      </w:pPr>
      <w:r w:rsidRPr="008C4E93">
        <w:rPr>
          <w:noProof/>
        </w:rPr>
        <w:drawing>
          <wp:inline distT="0" distB="0" distL="0" distR="0" wp14:anchorId="2873A203" wp14:editId="0649FB60">
            <wp:extent cx="4895850" cy="1410970"/>
            <wp:effectExtent l="0" t="0" r="0" b="0"/>
            <wp:docPr id="178402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1410970"/>
                    </a:xfrm>
                    <a:prstGeom prst="rect">
                      <a:avLst/>
                    </a:prstGeom>
                    <a:noFill/>
                    <a:ln>
                      <a:noFill/>
                    </a:ln>
                  </pic:spPr>
                </pic:pic>
              </a:graphicData>
            </a:graphic>
          </wp:inline>
        </w:drawing>
      </w:r>
    </w:p>
    <w:p w14:paraId="2CDC62A7" w14:textId="77777777" w:rsidR="00CD12FA" w:rsidRDefault="00CD12FA">
      <w:pPr>
        <w:spacing w:before="0" w:after="0" w:line="240" w:lineRule="auto"/>
      </w:pPr>
    </w:p>
    <w:p w14:paraId="6B381817" w14:textId="415DB9E1" w:rsidR="00CD12FA" w:rsidRDefault="00CD12FA">
      <w:pPr>
        <w:spacing w:before="0" w:after="0" w:line="240" w:lineRule="auto"/>
      </w:pPr>
      <w:r>
        <w:br w:type="page"/>
      </w:r>
    </w:p>
    <w:p w14:paraId="52BB3B78" w14:textId="500B60BC" w:rsidR="00CD12FA" w:rsidRDefault="00CD12FA" w:rsidP="00CD12FA">
      <w:pPr>
        <w:spacing w:before="0" w:after="0" w:line="240" w:lineRule="auto"/>
      </w:pPr>
      <w:r w:rsidRPr="00B166C6">
        <w:rPr>
          <w:rStyle w:val="TableHeadingChar"/>
        </w:rPr>
        <w:lastRenderedPageBreak/>
        <w:t>Table 2.</w:t>
      </w:r>
      <w:r>
        <w:rPr>
          <w:rStyle w:val="TableHeadingChar"/>
        </w:rPr>
        <w:t>1</w:t>
      </w:r>
      <w:r w:rsidRPr="00B166C6">
        <w:rPr>
          <w:rStyle w:val="TableHeadingChar"/>
        </w:rPr>
        <w:t xml:space="preserve">.2: Program components of Outcome </w:t>
      </w:r>
      <w:r>
        <w:rPr>
          <w:rStyle w:val="TableHeadingChar"/>
        </w:rPr>
        <w:t>1 – Program 1.8</w:t>
      </w:r>
    </w:p>
    <w:p w14:paraId="318AEDDE" w14:textId="2E11E70D" w:rsidR="00CD12FA" w:rsidRDefault="00CD12FA">
      <w:pPr>
        <w:spacing w:before="0" w:after="0" w:line="240" w:lineRule="auto"/>
      </w:pPr>
      <w:r w:rsidRPr="00CD12FA">
        <w:rPr>
          <w:noProof/>
        </w:rPr>
        <w:drawing>
          <wp:inline distT="0" distB="0" distL="0" distR="0" wp14:anchorId="6C74C157" wp14:editId="0CE4515C">
            <wp:extent cx="4845050" cy="1869440"/>
            <wp:effectExtent l="0" t="0" r="0" b="0"/>
            <wp:docPr id="10098393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45050" cy="1869440"/>
                    </a:xfrm>
                    <a:prstGeom prst="rect">
                      <a:avLst/>
                    </a:prstGeom>
                    <a:noFill/>
                    <a:ln>
                      <a:noFill/>
                    </a:ln>
                  </pic:spPr>
                </pic:pic>
              </a:graphicData>
            </a:graphic>
          </wp:inline>
        </w:drawing>
      </w:r>
    </w:p>
    <w:p w14:paraId="03F75CDB" w14:textId="27A0451E" w:rsidR="001D3237" w:rsidRDefault="001D3237">
      <w:pPr>
        <w:spacing w:before="0" w:after="0" w:line="240" w:lineRule="auto"/>
      </w:pPr>
      <w:r>
        <w:br w:type="page"/>
      </w:r>
    </w:p>
    <w:p w14:paraId="3B31CA45" w14:textId="5E3CBA30" w:rsidR="00C854F5" w:rsidRPr="00F71634" w:rsidRDefault="008E5BB7" w:rsidP="00845AD3">
      <w:pPr>
        <w:pStyle w:val="Heading4"/>
      </w:pPr>
      <w:bookmarkStart w:id="48" w:name="_Hlk222480775"/>
      <w:r w:rsidRPr="00250122">
        <w:lastRenderedPageBreak/>
        <w:t>Performance</w:t>
      </w:r>
      <w:r w:rsidRPr="00F71634">
        <w:t xml:space="preserve"> </w:t>
      </w:r>
      <w:r w:rsidR="001A50DE">
        <w:t>measure</w:t>
      </w:r>
      <w:r w:rsidR="003359F4">
        <w:t>s</w:t>
      </w:r>
      <w:r w:rsidR="001A50DE" w:rsidRPr="00F71634">
        <w:t xml:space="preserve"> </w:t>
      </w:r>
      <w:r w:rsidRPr="00F71634">
        <w:t xml:space="preserve">for Outcome </w:t>
      </w:r>
      <w:r w:rsidR="00845AD3">
        <w:t>1</w:t>
      </w:r>
    </w:p>
    <w:bookmarkEnd w:id="48"/>
    <w:p w14:paraId="6C41598E" w14:textId="6CEC4DD4" w:rsidR="002729E8" w:rsidRDefault="00E12264" w:rsidP="00250122">
      <w:r w:rsidRPr="005D4B9C">
        <w:t>Table 2.</w:t>
      </w:r>
      <w:r w:rsidR="00845AD3">
        <w:t>1</w:t>
      </w:r>
      <w:r w:rsidRPr="005D4B9C">
        <w:t xml:space="preserve">.3 details the performance measures for each program associated with Outcome </w:t>
      </w:r>
      <w:r w:rsidR="00845AD3">
        <w:t>1</w:t>
      </w:r>
      <w:r w:rsidRPr="005D4B9C">
        <w:t xml:space="preserve">. It </w:t>
      </w:r>
      <w:r w:rsidR="002E6DB1" w:rsidRPr="005D4B9C">
        <w:t xml:space="preserve">is used by </w:t>
      </w:r>
      <w:r w:rsidR="002E6DB1" w:rsidRPr="00250122">
        <w:t>entities</w:t>
      </w:r>
      <w:r w:rsidR="002E6DB1" w:rsidRPr="005D4B9C">
        <w:t xml:space="preserve"> to </w:t>
      </w:r>
      <w:r w:rsidR="004D3F65" w:rsidRPr="005D4B9C">
        <w:t xml:space="preserve">describe the results they plan to achieve and </w:t>
      </w:r>
      <w:r w:rsidRPr="005D4B9C">
        <w:t>the related key activities</w:t>
      </w:r>
      <w:r w:rsidR="0094644C" w:rsidRPr="005D4B9C">
        <w:t>,</w:t>
      </w:r>
      <w:r w:rsidRPr="005D4B9C">
        <w:t xml:space="preserve"> as </w:t>
      </w:r>
      <w:r w:rsidR="00EA1E91" w:rsidRPr="005D4B9C">
        <w:t xml:space="preserve">detailed </w:t>
      </w:r>
      <w:r w:rsidRPr="005D4B9C">
        <w:t>in the current corporate plan</w:t>
      </w:r>
      <w:r w:rsidR="00534105">
        <w:t xml:space="preserve"> (i.e. </w:t>
      </w:r>
      <w:r w:rsidR="009709FF">
        <w:t>2025–26</w:t>
      </w:r>
      <w:r w:rsidR="00534105">
        <w:t>)</w:t>
      </w:r>
      <w:r w:rsidR="00ED1C65" w:rsidRPr="005D4B9C">
        <w:t>,</w:t>
      </w:r>
      <w:r w:rsidRPr="005D4B9C">
        <w:t xml:space="preserve"> the context in which these activities are delivered</w:t>
      </w:r>
      <w:r w:rsidR="00AE42F1" w:rsidRPr="005D4B9C">
        <w:t>,</w:t>
      </w:r>
      <w:r w:rsidRPr="005D4B9C">
        <w:t xml:space="preserve"> and how the performance of these activities will be measured. Where relevant, details of </w:t>
      </w:r>
      <w:r w:rsidR="009F0564" w:rsidRPr="005D4B9C">
        <w:t xml:space="preserve">the </w:t>
      </w:r>
      <w:r w:rsidR="009709FF">
        <w:t>2026–27</w:t>
      </w:r>
      <w:r w:rsidRPr="005D4B9C">
        <w:t xml:space="preserve"> Budget measures that have created new programs or materially changed existing programs are </w:t>
      </w:r>
      <w:r w:rsidR="002F0AD3">
        <w:t xml:space="preserve">to be </w:t>
      </w:r>
      <w:r w:rsidRPr="005D4B9C">
        <w:t>provided.</w:t>
      </w:r>
    </w:p>
    <w:p w14:paraId="53332A58" w14:textId="3AD0A5A0" w:rsidR="00AE59F5" w:rsidRDefault="002729E8" w:rsidP="002729E8">
      <w:pPr>
        <w:spacing w:before="0" w:after="0" w:line="240" w:lineRule="auto"/>
      </w:pPr>
      <w:r>
        <w:br w:type="page"/>
      </w:r>
    </w:p>
    <w:p w14:paraId="331D824C" w14:textId="58956BFE" w:rsidR="00E6464E" w:rsidRDefault="00E6464E" w:rsidP="00E6464E">
      <w:pPr>
        <w:pStyle w:val="TableHeading"/>
      </w:pPr>
      <w:r w:rsidRPr="00E6464E">
        <w:lastRenderedPageBreak/>
        <w:t>Table 2.</w:t>
      </w:r>
      <w:r w:rsidR="00950B15">
        <w:t>1</w:t>
      </w:r>
      <w:r w:rsidRPr="00E6464E">
        <w:t xml:space="preserve">.3: Performance measures for Outcome </w:t>
      </w:r>
      <w:r w:rsidR="00950B15">
        <w:t>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3081"/>
        <w:gridCol w:w="3077"/>
      </w:tblGrid>
      <w:tr w:rsidR="00FA2089" w:rsidRPr="00884F29" w14:paraId="75C3190E" w14:textId="77777777">
        <w:trPr>
          <w:cantSplit/>
          <w:trHeight w:val="261"/>
          <w:tblHeader/>
        </w:trPr>
        <w:tc>
          <w:tcPr>
            <w:tcW w:w="7700" w:type="dxa"/>
            <w:gridSpan w:val="3"/>
            <w:shd w:val="clear" w:color="auto" w:fill="F2F2F2" w:themeFill="background1" w:themeFillShade="F2"/>
          </w:tcPr>
          <w:p w14:paraId="55FA134B" w14:textId="77777777" w:rsidR="00FA2089" w:rsidRPr="00884F29" w:rsidRDefault="00FA2089" w:rsidP="00C375FE">
            <w:pPr>
              <w:pStyle w:val="TableColumnHeadingLeft"/>
              <w:rPr>
                <w:rFonts w:ascii="Arial" w:hAnsi="Arial" w:cs="Arial"/>
              </w:rPr>
            </w:pPr>
            <w:r w:rsidRPr="00884F29">
              <w:rPr>
                <w:rFonts w:ascii="Arial" w:hAnsi="Arial" w:cs="Arial"/>
              </w:rPr>
              <w:t>Outcome 1 – The advancement of Australia’s international strategic, security and economic interests including through bilateral, regional and multilateral engagement on Australian Government foreign, trade and international development policy priorities.</w:t>
            </w:r>
          </w:p>
        </w:tc>
      </w:tr>
      <w:tr w:rsidR="00FA2089" w:rsidRPr="008E5904" w14:paraId="54F332EF" w14:textId="77777777" w:rsidTr="00A85B5B">
        <w:trPr>
          <w:cantSplit/>
          <w:trHeight w:val="388"/>
          <w:tblHeader/>
        </w:trPr>
        <w:tc>
          <w:tcPr>
            <w:tcW w:w="7700" w:type="dxa"/>
            <w:gridSpan w:val="3"/>
            <w:shd w:val="clear" w:color="auto" w:fill="F2F2F2" w:themeFill="background1" w:themeFillShade="F2"/>
          </w:tcPr>
          <w:p w14:paraId="58A5351B" w14:textId="77777777" w:rsidR="00FA2089" w:rsidRPr="008E5904" w:rsidRDefault="00FA2089" w:rsidP="00C375FE">
            <w:pPr>
              <w:pStyle w:val="TableColumnHeadingLeft"/>
              <w:rPr>
                <w:rFonts w:ascii="Arial" w:eastAsia="Arial" w:hAnsi="Arial" w:cs="Arial"/>
              </w:rPr>
            </w:pPr>
            <w:r w:rsidRPr="00884F29">
              <w:rPr>
                <w:rFonts w:ascii="Arial" w:hAnsi="Arial" w:cs="Arial"/>
              </w:rPr>
              <w:t xml:space="preserve">Program 1.1 – </w:t>
            </w:r>
            <w:r w:rsidRPr="00884F29">
              <w:rPr>
                <w:rFonts w:ascii="Arial" w:eastAsia="Arial" w:hAnsi="Arial" w:cs="Arial"/>
              </w:rPr>
              <w:t xml:space="preserve">Foreign Affairs and Trade Operations </w:t>
            </w:r>
            <w:r w:rsidRPr="00884F29">
              <w:rPr>
                <w:rFonts w:ascii="Arial" w:eastAsia="Arial" w:hAnsi="Arial" w:cs="Arial"/>
                <w:b w:val="0"/>
                <w:bCs/>
              </w:rPr>
              <w:t>assist the government to meet its foreign, trade and investment, development and international security policy priorities.</w:t>
            </w:r>
            <w:r>
              <w:rPr>
                <w:rFonts w:ascii="Arial" w:eastAsia="Arial" w:hAnsi="Arial" w:cs="Arial"/>
                <w:b w:val="0"/>
                <w:bCs/>
              </w:rPr>
              <w:t xml:space="preserve"> </w:t>
            </w:r>
          </w:p>
        </w:tc>
      </w:tr>
      <w:tr w:rsidR="00FA2089" w:rsidRPr="00884F29" w14:paraId="462D9EBD" w14:textId="77777777">
        <w:trPr>
          <w:cantSplit/>
          <w:trHeight w:val="261"/>
        </w:trPr>
        <w:tc>
          <w:tcPr>
            <w:tcW w:w="1542" w:type="dxa"/>
            <w:tcBorders>
              <w:bottom w:val="double" w:sz="4" w:space="0" w:color="auto"/>
            </w:tcBorders>
          </w:tcPr>
          <w:p w14:paraId="10F5EAC5" w14:textId="77777777" w:rsidR="00FA2089" w:rsidRPr="00884F29" w:rsidRDefault="00FA2089" w:rsidP="00C375FE">
            <w:pPr>
              <w:pStyle w:val="TableColumnHeadingLeft"/>
              <w:rPr>
                <w:rFonts w:ascii="Arial" w:hAnsi="Arial" w:cs="Arial"/>
              </w:rPr>
            </w:pPr>
            <w:r w:rsidRPr="00884F29">
              <w:rPr>
                <w:rFonts w:ascii="Arial" w:hAnsi="Arial" w:cs="Arial"/>
              </w:rPr>
              <w:t xml:space="preserve">Key activities </w:t>
            </w:r>
          </w:p>
        </w:tc>
        <w:tc>
          <w:tcPr>
            <w:tcW w:w="6158" w:type="dxa"/>
            <w:gridSpan w:val="2"/>
            <w:tcBorders>
              <w:bottom w:val="double" w:sz="4" w:space="0" w:color="auto"/>
            </w:tcBorders>
          </w:tcPr>
          <w:p w14:paraId="453C4947" w14:textId="77777777" w:rsidR="00FA2089" w:rsidRPr="00884F29" w:rsidRDefault="00FA2089" w:rsidP="00C375FE">
            <w:pPr>
              <w:pStyle w:val="TableTextLeft"/>
              <w:rPr>
                <w:rFonts w:cs="Arial"/>
              </w:rPr>
            </w:pPr>
            <w:r w:rsidRPr="00884F29">
              <w:rPr>
                <w:rFonts w:cs="Arial"/>
              </w:rPr>
              <w:t>Key activities reported in the Corporate Plan 2025–26 that relate to this program.</w:t>
            </w:r>
          </w:p>
          <w:p w14:paraId="34D40E19" w14:textId="77777777" w:rsidR="00FA2089" w:rsidRPr="00884F29" w:rsidRDefault="00FA2089" w:rsidP="00707A3D">
            <w:pPr>
              <w:pStyle w:val="TableTextLeft"/>
              <w:numPr>
                <w:ilvl w:val="0"/>
                <w:numId w:val="48"/>
              </w:numPr>
              <w:rPr>
                <w:rFonts w:cs="Arial"/>
              </w:rPr>
            </w:pPr>
            <w:r w:rsidRPr="00884F29">
              <w:rPr>
                <w:rFonts w:cs="Arial"/>
              </w:rPr>
              <w:t>Negotiate and advocate internationally and provide international policy advice.</w:t>
            </w:r>
          </w:p>
        </w:tc>
      </w:tr>
      <w:tr w:rsidR="00FA2089" w:rsidRPr="00884F29" w14:paraId="28CB59AB" w14:textId="77777777" w:rsidTr="00FA2089">
        <w:trPr>
          <w:cantSplit/>
          <w:trHeight w:val="258"/>
        </w:trPr>
        <w:tc>
          <w:tcPr>
            <w:tcW w:w="1542" w:type="dxa"/>
            <w:tcBorders>
              <w:top w:val="double" w:sz="4" w:space="0" w:color="auto"/>
              <w:bottom w:val="single" w:sz="4" w:space="0" w:color="auto"/>
              <w:right w:val="single" w:sz="4" w:space="0" w:color="auto"/>
            </w:tcBorders>
          </w:tcPr>
          <w:p w14:paraId="5F2F8157" w14:textId="77777777" w:rsidR="00FA2089" w:rsidRPr="00884F29" w:rsidRDefault="00FA2089" w:rsidP="00C375FE">
            <w:pPr>
              <w:pStyle w:val="TableColumnHeadingLeft"/>
              <w:rPr>
                <w:rFonts w:ascii="Arial" w:hAnsi="Arial" w:cs="Arial"/>
              </w:rPr>
            </w:pPr>
            <w:r w:rsidRPr="00884F29">
              <w:rPr>
                <w:rFonts w:ascii="Arial" w:hAnsi="Arial" w:cs="Arial"/>
              </w:rPr>
              <w:t>Year</w:t>
            </w:r>
          </w:p>
        </w:tc>
        <w:tc>
          <w:tcPr>
            <w:tcW w:w="3081" w:type="dxa"/>
            <w:tcBorders>
              <w:top w:val="double" w:sz="4" w:space="0" w:color="auto"/>
              <w:left w:val="single" w:sz="4" w:space="0" w:color="auto"/>
              <w:bottom w:val="single" w:sz="4" w:space="0" w:color="auto"/>
              <w:right w:val="single" w:sz="4" w:space="0" w:color="auto"/>
            </w:tcBorders>
          </w:tcPr>
          <w:p w14:paraId="3C81C7CA" w14:textId="77777777" w:rsidR="00FA2089" w:rsidRPr="00884F29" w:rsidRDefault="00FA2089" w:rsidP="00C375FE">
            <w:pPr>
              <w:pStyle w:val="TableColumnHeadingLeft"/>
              <w:rPr>
                <w:rFonts w:ascii="Arial" w:hAnsi="Arial" w:cs="Arial"/>
              </w:rPr>
            </w:pPr>
            <w:r w:rsidRPr="00884F29">
              <w:rPr>
                <w:rFonts w:ascii="Arial" w:hAnsi="Arial" w:cs="Arial"/>
              </w:rPr>
              <w:t xml:space="preserve">Performance measures </w:t>
            </w:r>
          </w:p>
        </w:tc>
        <w:tc>
          <w:tcPr>
            <w:tcW w:w="3077" w:type="dxa"/>
            <w:tcBorders>
              <w:top w:val="double" w:sz="4" w:space="0" w:color="auto"/>
              <w:left w:val="single" w:sz="4" w:space="0" w:color="auto"/>
              <w:bottom w:val="single" w:sz="4" w:space="0" w:color="auto"/>
            </w:tcBorders>
          </w:tcPr>
          <w:p w14:paraId="59DA5A69" w14:textId="77777777" w:rsidR="00FA2089" w:rsidRPr="00884F29" w:rsidRDefault="00FA2089" w:rsidP="00C375FE">
            <w:pPr>
              <w:pStyle w:val="TableColumnHeadingLeft"/>
              <w:rPr>
                <w:rFonts w:ascii="Arial" w:hAnsi="Arial" w:cs="Arial"/>
              </w:rPr>
            </w:pPr>
            <w:r w:rsidRPr="00884F29">
              <w:rPr>
                <w:rFonts w:ascii="Arial" w:hAnsi="Arial" w:cs="Arial"/>
              </w:rPr>
              <w:t>Expected performance results</w:t>
            </w:r>
          </w:p>
        </w:tc>
      </w:tr>
      <w:tr w:rsidR="00FA2089" w:rsidRPr="00B94946" w14:paraId="548188DB" w14:textId="77777777" w:rsidTr="00FA2089">
        <w:trPr>
          <w:cantSplit/>
          <w:trHeight w:val="642"/>
        </w:trPr>
        <w:tc>
          <w:tcPr>
            <w:tcW w:w="1542" w:type="dxa"/>
            <w:tcBorders>
              <w:top w:val="single" w:sz="4" w:space="0" w:color="auto"/>
              <w:bottom w:val="single" w:sz="4" w:space="0" w:color="auto"/>
              <w:right w:val="single" w:sz="4" w:space="0" w:color="auto"/>
            </w:tcBorders>
          </w:tcPr>
          <w:p w14:paraId="1C3BC1B3" w14:textId="77777777" w:rsidR="00FA2089" w:rsidRPr="00FA2089" w:rsidRDefault="00FA2089" w:rsidP="00C375FE">
            <w:pPr>
              <w:pStyle w:val="TableTextLeft"/>
              <w:rPr>
                <w:rFonts w:cs="Arial"/>
              </w:rPr>
            </w:pPr>
            <w:r w:rsidRPr="00FA2089">
              <w:rPr>
                <w:rFonts w:cs="Arial"/>
              </w:rPr>
              <w:t xml:space="preserve">Current Year </w:t>
            </w:r>
          </w:p>
          <w:p w14:paraId="3B82BBEE" w14:textId="77777777" w:rsidR="00FA2089" w:rsidRPr="00FA2089" w:rsidRDefault="00FA2089" w:rsidP="00C375FE">
            <w:pPr>
              <w:pStyle w:val="TableTextLeft"/>
              <w:rPr>
                <w:rFonts w:cs="Arial"/>
              </w:rPr>
            </w:pPr>
            <w:r w:rsidRPr="00FA2089">
              <w:rPr>
                <w:rFonts w:cs="Arial"/>
              </w:rPr>
              <w:t>2025–26</w:t>
            </w:r>
          </w:p>
          <w:p w14:paraId="21707361" w14:textId="77777777" w:rsidR="00FA2089" w:rsidRPr="00FA2089" w:rsidRDefault="00FA2089" w:rsidP="00C375FE">
            <w:pPr>
              <w:pStyle w:val="TableTextLeft"/>
              <w:rPr>
                <w:rFonts w:cs="Arial"/>
              </w:rPr>
            </w:pPr>
          </w:p>
        </w:tc>
        <w:tc>
          <w:tcPr>
            <w:tcW w:w="3081" w:type="dxa"/>
            <w:tcBorders>
              <w:top w:val="single" w:sz="4" w:space="0" w:color="auto"/>
              <w:left w:val="single" w:sz="4" w:space="0" w:color="auto"/>
              <w:bottom w:val="single" w:sz="4" w:space="0" w:color="auto"/>
              <w:right w:val="single" w:sz="4" w:space="0" w:color="auto"/>
            </w:tcBorders>
          </w:tcPr>
          <w:p w14:paraId="72070283" w14:textId="77777777" w:rsidR="00FA2089" w:rsidRPr="00FA2089" w:rsidRDefault="00FA2089" w:rsidP="00C375FE">
            <w:pPr>
              <w:pStyle w:val="TableTextLeft"/>
              <w:rPr>
                <w:rFonts w:cs="Arial"/>
              </w:rPr>
            </w:pPr>
            <w:r w:rsidRPr="00FA2089">
              <w:rPr>
                <w:rFonts w:cs="Arial"/>
              </w:rPr>
              <w:t>DFAT’s diplomatic efforts support favourable foreign affairs and trade policy outcomes for Australia.</w:t>
            </w:r>
          </w:p>
          <w:p w14:paraId="11F8573A" w14:textId="77777777" w:rsidR="00FA2089" w:rsidRPr="00FA2089" w:rsidRDefault="00FA2089" w:rsidP="00C375FE">
            <w:pPr>
              <w:pStyle w:val="TableTextLeft"/>
              <w:rPr>
                <w:rFonts w:cs="Arial"/>
              </w:rPr>
            </w:pPr>
          </w:p>
        </w:tc>
        <w:tc>
          <w:tcPr>
            <w:tcW w:w="3077" w:type="dxa"/>
            <w:tcBorders>
              <w:top w:val="single" w:sz="4" w:space="0" w:color="auto"/>
              <w:left w:val="single" w:sz="4" w:space="0" w:color="auto"/>
              <w:bottom w:val="single" w:sz="4" w:space="0" w:color="auto"/>
            </w:tcBorders>
          </w:tcPr>
          <w:p w14:paraId="7F36F474" w14:textId="7A7421E6" w:rsidR="00FA2089" w:rsidRPr="003A00DB" w:rsidRDefault="00FA2089" w:rsidP="00C375FE">
            <w:pPr>
              <w:pStyle w:val="TableTextLeft"/>
              <w:spacing w:before="0"/>
              <w:rPr>
                <w:rFonts w:cs="Arial"/>
              </w:rPr>
            </w:pPr>
            <w:r w:rsidRPr="003A00DB">
              <w:rPr>
                <w:rFonts w:cs="Arial"/>
                <w:b/>
                <w:bCs/>
              </w:rPr>
              <w:t>Target</w:t>
            </w:r>
            <w:r w:rsidRPr="003A00DB">
              <w:rPr>
                <w:rFonts w:cs="Arial"/>
              </w:rPr>
              <w:t xml:space="preserve">: </w:t>
            </w:r>
            <w:r w:rsidR="00A85B5B">
              <w:rPr>
                <w:rFonts w:cs="Arial"/>
              </w:rPr>
              <w:t>Three</w:t>
            </w:r>
            <w:r w:rsidRPr="003A00DB">
              <w:rPr>
                <w:rFonts w:cs="Arial"/>
              </w:rPr>
              <w:t xml:space="preserve"> case studies </w:t>
            </w:r>
            <w:r>
              <w:rPr>
                <w:rFonts w:cs="Arial"/>
              </w:rPr>
              <w:t>d</w:t>
            </w:r>
            <w:r w:rsidRPr="003A00DB">
              <w:rPr>
                <w:rFonts w:cs="Arial"/>
              </w:rPr>
              <w:t xml:space="preserve">emonstrate performance. </w:t>
            </w:r>
          </w:p>
          <w:p w14:paraId="7A4D02AB" w14:textId="77777777" w:rsidR="00FA2089" w:rsidRPr="003A00DB" w:rsidRDefault="00FA2089" w:rsidP="00C375FE">
            <w:pPr>
              <w:pStyle w:val="TableTextLeft"/>
              <w:spacing w:before="80"/>
              <w:rPr>
                <w:rFonts w:cs="Arial"/>
              </w:rPr>
            </w:pPr>
            <w:r w:rsidRPr="003A00DB">
              <w:rPr>
                <w:rFonts w:cs="Arial"/>
                <w:b/>
                <w:bCs/>
              </w:rPr>
              <w:t>1. Implementing the Nauru–Australia Treaty</w:t>
            </w:r>
            <w:r w:rsidRPr="003A00DB">
              <w:rPr>
                <w:rFonts w:cs="Arial"/>
              </w:rPr>
              <w:t>.</w:t>
            </w:r>
          </w:p>
          <w:p w14:paraId="776C5620" w14:textId="77777777" w:rsidR="00FA2089" w:rsidRPr="003A00DB" w:rsidRDefault="00FA2089" w:rsidP="00C375FE">
            <w:pPr>
              <w:pStyle w:val="TableTextLeft"/>
              <w:spacing w:before="80"/>
              <w:rPr>
                <w:rFonts w:cs="Arial"/>
                <w:color w:val="000000" w:themeColor="text1"/>
              </w:rPr>
            </w:pPr>
            <w:r w:rsidRPr="003A00DB">
              <w:rPr>
                <w:rFonts w:cs="Arial"/>
                <w:color w:val="000000" w:themeColor="text1"/>
              </w:rPr>
              <w:t xml:space="preserve">DFAT is </w:t>
            </w:r>
            <w:r w:rsidRPr="003A00DB">
              <w:rPr>
                <w:rFonts w:cs="Arial"/>
                <w:b/>
                <w:bCs/>
                <w:color w:val="000000" w:themeColor="text1"/>
              </w:rPr>
              <w:t>on track</w:t>
            </w:r>
            <w:r w:rsidRPr="003A00DB">
              <w:rPr>
                <w:rFonts w:cs="Arial"/>
                <w:color w:val="000000" w:themeColor="text1"/>
              </w:rPr>
              <w:t xml:space="preserve"> to achieve the favourable outcome of this case study.</w:t>
            </w:r>
          </w:p>
          <w:p w14:paraId="1230FB25" w14:textId="77777777" w:rsidR="00FA2089" w:rsidRPr="003A00DB" w:rsidRDefault="00FA2089" w:rsidP="00C375FE">
            <w:pPr>
              <w:pStyle w:val="TableTextLeft"/>
              <w:spacing w:before="0" w:after="0"/>
              <w:rPr>
                <w:rFonts w:cs="Arial"/>
                <w:color w:val="000000" w:themeColor="text1"/>
              </w:rPr>
            </w:pPr>
          </w:p>
          <w:p w14:paraId="7C1F751B" w14:textId="77777777" w:rsidR="00FA2089" w:rsidRPr="003A00DB" w:rsidRDefault="00FA2089" w:rsidP="00C375FE">
            <w:pPr>
              <w:pStyle w:val="TableTextLeft"/>
              <w:spacing w:before="0"/>
              <w:rPr>
                <w:rFonts w:cs="Arial"/>
              </w:rPr>
            </w:pPr>
            <w:r w:rsidRPr="003A00DB">
              <w:rPr>
                <w:rFonts w:cs="Arial"/>
                <w:b/>
                <w:bCs/>
              </w:rPr>
              <w:t>2. Increasing Australia’s trade and investment ties with Indonesia through Australia’s Business Champion for Indonesia</w:t>
            </w:r>
            <w:r w:rsidRPr="003A00DB">
              <w:rPr>
                <w:rFonts w:cs="Arial"/>
              </w:rPr>
              <w:t>.</w:t>
            </w:r>
          </w:p>
          <w:p w14:paraId="5DDC95A0" w14:textId="77777777" w:rsidR="00FA2089" w:rsidRPr="003A00DB" w:rsidRDefault="00FA2089" w:rsidP="00C375FE">
            <w:pPr>
              <w:pStyle w:val="TableTextLeft"/>
              <w:spacing w:before="80"/>
              <w:rPr>
                <w:rFonts w:cs="Arial"/>
                <w:color w:val="000000" w:themeColor="text1"/>
              </w:rPr>
            </w:pPr>
            <w:r w:rsidRPr="003A00DB">
              <w:rPr>
                <w:rFonts w:cs="Arial"/>
                <w:color w:val="000000" w:themeColor="text1"/>
              </w:rPr>
              <w:t xml:space="preserve">DFAT is </w:t>
            </w:r>
            <w:r w:rsidRPr="003A00DB">
              <w:rPr>
                <w:rFonts w:cs="Arial"/>
                <w:b/>
                <w:bCs/>
                <w:color w:val="000000" w:themeColor="text1"/>
              </w:rPr>
              <w:t>on track</w:t>
            </w:r>
            <w:r w:rsidRPr="003A00DB">
              <w:rPr>
                <w:rFonts w:cs="Arial"/>
                <w:color w:val="000000" w:themeColor="text1"/>
              </w:rPr>
              <w:t xml:space="preserve"> to achieve the favourable outcome of this case study.</w:t>
            </w:r>
          </w:p>
          <w:p w14:paraId="72650F09" w14:textId="77777777" w:rsidR="00FA2089" w:rsidRPr="003A00DB" w:rsidRDefault="00FA2089" w:rsidP="00C375FE">
            <w:pPr>
              <w:pStyle w:val="TableTextLeft"/>
              <w:spacing w:before="0" w:after="0"/>
              <w:rPr>
                <w:rFonts w:cs="Arial"/>
                <w:color w:val="000000" w:themeColor="text1"/>
              </w:rPr>
            </w:pPr>
          </w:p>
          <w:p w14:paraId="29FECC66" w14:textId="77777777" w:rsidR="00FA2089" w:rsidRPr="003A00DB" w:rsidRDefault="00FA2089" w:rsidP="00C375FE">
            <w:pPr>
              <w:pStyle w:val="TableTextLeft"/>
              <w:spacing w:before="0"/>
              <w:rPr>
                <w:rFonts w:cs="Arial"/>
              </w:rPr>
            </w:pPr>
            <w:r w:rsidRPr="003A00DB">
              <w:rPr>
                <w:rFonts w:cs="Arial"/>
                <w:b/>
                <w:bCs/>
              </w:rPr>
              <w:t xml:space="preserve">3. Enhancing Australia’s cooperation with India through implementation of the </w:t>
            </w:r>
            <w:r w:rsidRPr="003A00DB">
              <w:rPr>
                <w:rFonts w:cs="Arial"/>
                <w:b/>
                <w:bCs/>
                <w:i/>
                <w:iCs/>
              </w:rPr>
              <w:t>New Roadmap for Australia’s Economic Engagement with India</w:t>
            </w:r>
            <w:r w:rsidRPr="003A00DB">
              <w:rPr>
                <w:rFonts w:cs="Arial"/>
              </w:rPr>
              <w:t>.</w:t>
            </w:r>
          </w:p>
          <w:p w14:paraId="2EF42FE9" w14:textId="746F0854" w:rsidR="00FA2089" w:rsidRPr="003A00DB" w:rsidRDefault="00FA2089" w:rsidP="00C375FE">
            <w:pPr>
              <w:pStyle w:val="TableTextLeft"/>
              <w:spacing w:before="80"/>
              <w:rPr>
                <w:rFonts w:cs="Arial"/>
              </w:rPr>
            </w:pPr>
            <w:r w:rsidRPr="003A00DB">
              <w:rPr>
                <w:rFonts w:cs="Arial"/>
              </w:rPr>
              <w:t xml:space="preserve">DFAT is </w:t>
            </w:r>
            <w:r w:rsidRPr="003A00DB">
              <w:rPr>
                <w:rFonts w:cs="Arial"/>
                <w:b/>
                <w:bCs/>
              </w:rPr>
              <w:t>at risk</w:t>
            </w:r>
            <w:r w:rsidRPr="003A00DB">
              <w:rPr>
                <w:rFonts w:cs="Arial"/>
              </w:rPr>
              <w:t xml:space="preserve"> of not achieving the favourable outcomes of this case study</w:t>
            </w:r>
            <w:r w:rsidR="009E3D2D">
              <w:rPr>
                <w:rFonts w:cs="Arial"/>
              </w:rPr>
              <w:t xml:space="preserve"> </w:t>
            </w:r>
            <w:r w:rsidR="009E3D2D" w:rsidRPr="009E3D2D">
              <w:rPr>
                <w:rFonts w:cs="Arial"/>
              </w:rPr>
              <w:t xml:space="preserve">based on mid-year reporting as at </w:t>
            </w:r>
            <w:r w:rsidR="009E3D2D">
              <w:rPr>
                <w:rFonts w:cs="Arial"/>
              </w:rPr>
              <w:br/>
            </w:r>
            <w:r w:rsidR="009E3D2D" w:rsidRPr="009E3D2D">
              <w:rPr>
                <w:rFonts w:cs="Arial"/>
              </w:rPr>
              <w:t>31 December 2025</w:t>
            </w:r>
            <w:r w:rsidRPr="003A00DB">
              <w:rPr>
                <w:rFonts w:cs="Arial"/>
              </w:rPr>
              <w:t>.</w:t>
            </w:r>
          </w:p>
          <w:p w14:paraId="68DEC2BA" w14:textId="204F285B" w:rsidR="00FA2089" w:rsidRPr="003A00DB" w:rsidRDefault="00FA2089" w:rsidP="00C375FE">
            <w:pPr>
              <w:pStyle w:val="TableTextLeft"/>
              <w:spacing w:before="80"/>
              <w:rPr>
                <w:rFonts w:cs="Arial"/>
              </w:rPr>
            </w:pPr>
            <w:r w:rsidRPr="003A00DB">
              <w:rPr>
                <w:rFonts w:cs="Arial"/>
              </w:rPr>
              <w:t>For 2025–26, DFAT is measuring its performance in the initial implementation of the </w:t>
            </w:r>
            <w:r>
              <w:rPr>
                <w:rFonts w:cs="Arial"/>
              </w:rPr>
              <w:t>2</w:t>
            </w:r>
            <w:r w:rsidRPr="003A00DB">
              <w:rPr>
                <w:rFonts w:cs="Arial"/>
              </w:rPr>
              <w:t> policy priorities announced by the Prime Minister</w:t>
            </w:r>
            <w:r w:rsidR="00A85B5B">
              <w:rPr>
                <w:rFonts w:cs="Arial"/>
              </w:rPr>
              <w:t xml:space="preserve"> – </w:t>
            </w:r>
            <w:r w:rsidRPr="003A00DB">
              <w:rPr>
                <w:rFonts w:cs="Arial"/>
              </w:rPr>
              <w:t xml:space="preserve">the Australia-India Trade and Investment Accelerator Fund (AI-TIAF) and the Maitri Grants Program. During the period of 1 July to 31 December 2025, DFAT commenced implementation, completed the evaluation process and notified successful applicants for both programs. However, not all arrangements with successful applicants for the AI-TIAF program have been finalised. DFAT anticipates </w:t>
            </w:r>
            <w:r w:rsidR="009E3D2D" w:rsidRPr="009E3D2D">
              <w:rPr>
                <w:rFonts w:cs="Arial"/>
              </w:rPr>
              <w:t>this case study will be substantially achieved</w:t>
            </w:r>
            <w:r w:rsidRPr="003A00DB">
              <w:rPr>
                <w:rFonts w:cs="Arial"/>
              </w:rPr>
              <w:t xml:space="preserve"> for both programs by 30 June 2026.</w:t>
            </w:r>
          </w:p>
          <w:p w14:paraId="44E1458B" w14:textId="77777777" w:rsidR="00FA2089" w:rsidRPr="003A00DB" w:rsidRDefault="00FA2089" w:rsidP="00C375FE">
            <w:pPr>
              <w:pStyle w:val="TableTextLeft"/>
              <w:spacing w:before="0" w:after="0"/>
              <w:ind w:left="373"/>
              <w:rPr>
                <w:rFonts w:cs="Arial"/>
                <w:b/>
                <w:bCs/>
                <w:color w:val="000000" w:themeColor="text1"/>
              </w:rPr>
            </w:pPr>
          </w:p>
          <w:p w14:paraId="1135B586" w14:textId="77777777" w:rsidR="00FA2089" w:rsidRPr="00B94946" w:rsidRDefault="00FA2089" w:rsidP="00A85B5B">
            <w:pPr>
              <w:pStyle w:val="TableTextLeft"/>
              <w:spacing w:after="120"/>
              <w:rPr>
                <w:rFonts w:cs="Arial"/>
                <w:color w:val="000000" w:themeColor="text1"/>
              </w:rPr>
            </w:pPr>
            <w:r w:rsidRPr="003A00DB">
              <w:rPr>
                <w:rFonts w:cs="Arial"/>
                <w:b/>
                <w:bCs/>
                <w:color w:val="000000" w:themeColor="text1"/>
              </w:rPr>
              <w:t>Performance measure</w:t>
            </w:r>
            <w:r w:rsidRPr="003A00DB">
              <w:rPr>
                <w:rFonts w:cs="Arial"/>
                <w:color w:val="000000" w:themeColor="text1"/>
              </w:rPr>
              <w:t>: On track.</w:t>
            </w:r>
          </w:p>
        </w:tc>
      </w:tr>
    </w:tbl>
    <w:p w14:paraId="02DFFEEC" w14:textId="77777777" w:rsidR="00FA2089" w:rsidRPr="00824706" w:rsidRDefault="00FA2089" w:rsidP="00FA2089">
      <w:pPr>
        <w:pStyle w:val="TableGraphic"/>
        <w:rPr>
          <w:rFonts w:ascii="Arial" w:hAnsi="Arial" w:cs="Arial"/>
          <w:noProof/>
          <w:sz w:val="16"/>
          <w:szCs w:val="16"/>
        </w:rPr>
      </w:pPr>
      <w:r w:rsidRPr="00824706">
        <w:rPr>
          <w:rFonts w:ascii="Arial" w:hAnsi="Arial" w:cs="Arial"/>
          <w:noProof/>
          <w:sz w:val="16"/>
          <w:szCs w:val="16"/>
        </w:rPr>
        <w:t>Table continued on the next page.</w:t>
      </w:r>
    </w:p>
    <w:p w14:paraId="3E44BD02" w14:textId="5EED27F1" w:rsidR="00FA2089" w:rsidRDefault="00FA2089">
      <w:pPr>
        <w:spacing w:before="0" w:after="0" w:line="240" w:lineRule="auto"/>
        <w:rPr>
          <w:rFonts w:ascii="Arial" w:hAnsi="Arial" w:cs="Arial"/>
          <w:sz w:val="16"/>
          <w:szCs w:val="16"/>
        </w:rPr>
      </w:pPr>
      <w:r>
        <w:rPr>
          <w:rFonts w:ascii="Arial" w:hAnsi="Arial" w:cs="Arial"/>
          <w:sz w:val="16"/>
          <w:szCs w:val="16"/>
        </w:rPr>
        <w:br w:type="page"/>
      </w:r>
    </w:p>
    <w:p w14:paraId="514AE054" w14:textId="3A67F71D" w:rsidR="00FA2089" w:rsidRDefault="00FA2089" w:rsidP="00FA2089">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3081"/>
        <w:gridCol w:w="3077"/>
      </w:tblGrid>
      <w:tr w:rsidR="00FA2089" w:rsidRPr="00884F29" w14:paraId="666BE59A" w14:textId="77777777">
        <w:trPr>
          <w:cantSplit/>
          <w:trHeight w:val="261"/>
          <w:tblHeader/>
        </w:trPr>
        <w:tc>
          <w:tcPr>
            <w:tcW w:w="7700" w:type="dxa"/>
            <w:gridSpan w:val="3"/>
            <w:shd w:val="clear" w:color="auto" w:fill="F2F2F2" w:themeFill="background1" w:themeFillShade="F2"/>
          </w:tcPr>
          <w:p w14:paraId="54A5599E" w14:textId="77777777" w:rsidR="00FA2089" w:rsidRPr="00884F29" w:rsidRDefault="00FA2089" w:rsidP="00C375FE">
            <w:pPr>
              <w:pStyle w:val="TableColumnHeadingLeft"/>
              <w:rPr>
                <w:rFonts w:ascii="Arial" w:hAnsi="Arial" w:cs="Arial"/>
              </w:rPr>
            </w:pPr>
            <w:r w:rsidRPr="00884F29">
              <w:rPr>
                <w:rFonts w:ascii="Arial" w:hAnsi="Arial" w:cs="Arial"/>
              </w:rPr>
              <w:t>Outcome 1 – The advancement of Australia’s international strategic, security and economic interests including through bilateral, regional and multilateral engagement on Australian Government foreign, trade and international development policy priorities.</w:t>
            </w:r>
          </w:p>
        </w:tc>
      </w:tr>
      <w:tr w:rsidR="00FA2089" w:rsidRPr="008E5904" w14:paraId="3D02361A" w14:textId="77777777" w:rsidTr="00A85B5B">
        <w:trPr>
          <w:cantSplit/>
          <w:trHeight w:val="388"/>
          <w:tblHeader/>
        </w:trPr>
        <w:tc>
          <w:tcPr>
            <w:tcW w:w="7700" w:type="dxa"/>
            <w:gridSpan w:val="3"/>
            <w:shd w:val="clear" w:color="auto" w:fill="F2F2F2" w:themeFill="background1" w:themeFillShade="F2"/>
          </w:tcPr>
          <w:p w14:paraId="545431AA" w14:textId="77777777" w:rsidR="00FA2089" w:rsidRPr="008E5904" w:rsidRDefault="00FA2089" w:rsidP="00C375FE">
            <w:pPr>
              <w:pStyle w:val="TableColumnHeadingLeft"/>
              <w:rPr>
                <w:rFonts w:ascii="Arial" w:eastAsia="Arial" w:hAnsi="Arial" w:cs="Arial"/>
              </w:rPr>
            </w:pPr>
            <w:r w:rsidRPr="00884F29">
              <w:rPr>
                <w:rFonts w:ascii="Arial" w:hAnsi="Arial" w:cs="Arial"/>
              </w:rPr>
              <w:t xml:space="preserve">Program 1.1 – </w:t>
            </w:r>
            <w:r w:rsidRPr="00884F29">
              <w:rPr>
                <w:rFonts w:ascii="Arial" w:eastAsia="Arial" w:hAnsi="Arial" w:cs="Arial"/>
              </w:rPr>
              <w:t xml:space="preserve">Foreign Affairs and Trade Operations </w:t>
            </w:r>
            <w:r w:rsidRPr="00884F29">
              <w:rPr>
                <w:rFonts w:ascii="Arial" w:eastAsia="Arial" w:hAnsi="Arial" w:cs="Arial"/>
                <w:b w:val="0"/>
                <w:bCs/>
              </w:rPr>
              <w:t>assist the government to meet its foreign, trade and investment, development and international security policy priorities.</w:t>
            </w:r>
            <w:r>
              <w:rPr>
                <w:rFonts w:ascii="Arial" w:eastAsia="Arial" w:hAnsi="Arial" w:cs="Arial"/>
                <w:b w:val="0"/>
                <w:bCs/>
              </w:rPr>
              <w:t xml:space="preserve"> </w:t>
            </w:r>
          </w:p>
        </w:tc>
      </w:tr>
      <w:tr w:rsidR="00FA2089" w:rsidRPr="00B776CE" w14:paraId="64324D42" w14:textId="77777777">
        <w:trPr>
          <w:cantSplit/>
          <w:trHeight w:val="642"/>
        </w:trPr>
        <w:tc>
          <w:tcPr>
            <w:tcW w:w="1542" w:type="dxa"/>
          </w:tcPr>
          <w:p w14:paraId="1B4C7D73" w14:textId="77777777" w:rsidR="00FA2089" w:rsidRPr="00B776CE" w:rsidRDefault="00FA2089" w:rsidP="00C375FE">
            <w:pPr>
              <w:pStyle w:val="TableTextLeft"/>
              <w:rPr>
                <w:rFonts w:cs="Arial"/>
              </w:rPr>
            </w:pPr>
            <w:r w:rsidRPr="00B776CE">
              <w:rPr>
                <w:rFonts w:cs="Arial"/>
              </w:rPr>
              <w:t xml:space="preserve">Current Year </w:t>
            </w:r>
          </w:p>
          <w:p w14:paraId="607556AE" w14:textId="77777777" w:rsidR="00FA2089" w:rsidRPr="00B776CE" w:rsidRDefault="00FA2089" w:rsidP="00C375FE">
            <w:pPr>
              <w:pStyle w:val="TableTextLeft"/>
              <w:rPr>
                <w:rFonts w:cs="Arial"/>
              </w:rPr>
            </w:pPr>
            <w:r w:rsidRPr="00B776CE">
              <w:rPr>
                <w:rFonts w:cs="Arial"/>
              </w:rPr>
              <w:t>2025–26</w:t>
            </w:r>
          </w:p>
        </w:tc>
        <w:tc>
          <w:tcPr>
            <w:tcW w:w="3081" w:type="dxa"/>
            <w:tcBorders>
              <w:top w:val="single" w:sz="4" w:space="0" w:color="auto"/>
              <w:left w:val="single" w:sz="4" w:space="0" w:color="auto"/>
              <w:bottom w:val="dotted" w:sz="4" w:space="0" w:color="auto"/>
              <w:right w:val="single" w:sz="4" w:space="0" w:color="auto"/>
            </w:tcBorders>
          </w:tcPr>
          <w:p w14:paraId="108B2A01" w14:textId="77777777" w:rsidR="00FA2089" w:rsidRPr="00B776CE" w:rsidRDefault="00FA2089" w:rsidP="00C375FE">
            <w:pPr>
              <w:pStyle w:val="TableTextLeft"/>
              <w:rPr>
                <w:rFonts w:cs="Arial"/>
                <w:color w:val="FF0000"/>
              </w:rPr>
            </w:pPr>
            <w:r w:rsidRPr="00B776CE">
              <w:rPr>
                <w:rFonts w:cs="Arial"/>
              </w:rPr>
              <w:t xml:space="preserve">DFAT’s sanctions and foreign arrangements functions demonstrate the principles of regulator </w:t>
            </w:r>
            <w:r>
              <w:rPr>
                <w:rFonts w:cs="Arial"/>
              </w:rPr>
              <w:t>b</w:t>
            </w:r>
            <w:r w:rsidRPr="00B776CE">
              <w:rPr>
                <w:rFonts w:cs="Arial"/>
              </w:rPr>
              <w:t>est practice.</w:t>
            </w:r>
            <w:r>
              <w:rPr>
                <w:rFonts w:cs="Arial"/>
              </w:rPr>
              <w:t xml:space="preserve">                                                                                                                                      </w:t>
            </w:r>
          </w:p>
        </w:tc>
        <w:tc>
          <w:tcPr>
            <w:tcW w:w="3077" w:type="dxa"/>
            <w:tcBorders>
              <w:top w:val="single" w:sz="4" w:space="0" w:color="auto"/>
              <w:left w:val="single" w:sz="4" w:space="0" w:color="auto"/>
              <w:bottom w:val="dotted" w:sz="4" w:space="0" w:color="auto"/>
            </w:tcBorders>
          </w:tcPr>
          <w:p w14:paraId="45D72534" w14:textId="71F18639" w:rsidR="00FA2089" w:rsidRDefault="00FA2089" w:rsidP="00C375FE">
            <w:pPr>
              <w:pStyle w:val="TableTextLeft"/>
              <w:spacing w:before="0"/>
              <w:rPr>
                <w:rFonts w:cs="Arial"/>
              </w:rPr>
            </w:pPr>
            <w:r w:rsidRPr="00B776CE">
              <w:rPr>
                <w:rFonts w:cs="Arial"/>
                <w:b/>
                <w:bCs/>
              </w:rPr>
              <w:t>Target 1:</w:t>
            </w:r>
            <w:r w:rsidR="00A85B5B">
              <w:rPr>
                <w:rFonts w:cs="Arial"/>
                <w:b/>
                <w:bCs/>
              </w:rPr>
              <w:t xml:space="preserve"> </w:t>
            </w:r>
            <w:r w:rsidRPr="00B776CE">
              <w:rPr>
                <w:rFonts w:cs="Arial"/>
              </w:rPr>
              <w:t>100% of sanctions compliance matters finalised in the reporting period applied a graduated risk-based approach.</w:t>
            </w:r>
          </w:p>
          <w:p w14:paraId="7CF9D1AC" w14:textId="77777777" w:rsidR="001D2021" w:rsidRPr="00B776CE" w:rsidRDefault="001D2021" w:rsidP="00C375FE">
            <w:pPr>
              <w:pStyle w:val="TableTextLeft"/>
              <w:spacing w:before="0"/>
              <w:rPr>
                <w:rFonts w:cs="Arial"/>
              </w:rPr>
            </w:pPr>
          </w:p>
          <w:p w14:paraId="69BB289C" w14:textId="77777777" w:rsidR="00FA2089" w:rsidRPr="00B776CE" w:rsidRDefault="00FA2089" w:rsidP="001D2021">
            <w:pPr>
              <w:pStyle w:val="TableTextLeft"/>
              <w:spacing w:before="0"/>
              <w:rPr>
                <w:rFonts w:cs="Arial"/>
              </w:rPr>
            </w:pPr>
            <w:r w:rsidRPr="00B776CE">
              <w:rPr>
                <w:rFonts w:cs="Arial"/>
                <w:b/>
                <w:bCs/>
              </w:rPr>
              <w:t>The target is on track</w:t>
            </w:r>
            <w:r w:rsidRPr="00B776CE">
              <w:rPr>
                <w:rFonts w:cs="Arial"/>
              </w:rPr>
              <w:t>. From 1 July to 31 December 2025, 100% (20 of 20) of finalised compliance matters applied a graduated risk-based approach.</w:t>
            </w:r>
          </w:p>
          <w:p w14:paraId="4C11D804" w14:textId="77777777" w:rsidR="00FA2089" w:rsidRPr="00B776CE" w:rsidRDefault="00FA2089" w:rsidP="00C375FE">
            <w:pPr>
              <w:pStyle w:val="TableTextLeft"/>
              <w:spacing w:before="0"/>
              <w:rPr>
                <w:rFonts w:cs="Arial"/>
                <w:b/>
                <w:bCs/>
              </w:rPr>
            </w:pPr>
          </w:p>
          <w:p w14:paraId="6398E825" w14:textId="77777777" w:rsidR="00FA2089" w:rsidRDefault="00FA2089" w:rsidP="00C375FE">
            <w:pPr>
              <w:pStyle w:val="TableTextLeft"/>
              <w:spacing w:before="0"/>
              <w:rPr>
                <w:rFonts w:cs="Arial"/>
              </w:rPr>
            </w:pPr>
            <w:r w:rsidRPr="00B776CE">
              <w:rPr>
                <w:rFonts w:cs="Arial"/>
                <w:b/>
                <w:bCs/>
              </w:rPr>
              <w:t xml:space="preserve">Target 2: </w:t>
            </w:r>
            <w:r w:rsidRPr="00B776CE">
              <w:rPr>
                <w:rFonts w:cs="Arial"/>
              </w:rPr>
              <w:t>At least 85% of notifications to the Foreign Arrangements Scheme are in scope.</w:t>
            </w:r>
          </w:p>
          <w:p w14:paraId="7209AB06" w14:textId="77777777" w:rsidR="001D2021" w:rsidRPr="003B571D" w:rsidRDefault="001D2021" w:rsidP="00C375FE">
            <w:pPr>
              <w:pStyle w:val="TableTextLeft"/>
              <w:spacing w:before="0"/>
              <w:rPr>
                <w:rFonts w:cs="Arial"/>
              </w:rPr>
            </w:pPr>
          </w:p>
          <w:p w14:paraId="7C0EB359" w14:textId="77777777" w:rsidR="00FA2089" w:rsidRPr="00B776CE" w:rsidRDefault="00FA2089" w:rsidP="001D2021">
            <w:pPr>
              <w:pStyle w:val="TableTextLeft"/>
              <w:spacing w:before="0"/>
              <w:rPr>
                <w:rFonts w:cs="Arial"/>
              </w:rPr>
            </w:pPr>
            <w:r w:rsidRPr="00B776CE">
              <w:rPr>
                <w:rFonts w:cs="Arial"/>
                <w:b/>
                <w:bCs/>
              </w:rPr>
              <w:t>The target is on track</w:t>
            </w:r>
            <w:r w:rsidRPr="00B776CE">
              <w:rPr>
                <w:rFonts w:cs="Arial"/>
              </w:rPr>
              <w:t xml:space="preserve">. From 1 July to 31 December 2025, 86% of assessed notifications to the Foreign Arrangements Scheme were in scope. </w:t>
            </w:r>
          </w:p>
          <w:p w14:paraId="5B034A5A" w14:textId="77777777" w:rsidR="00FA2089" w:rsidRPr="00B776CE" w:rsidRDefault="00FA2089" w:rsidP="00C375FE">
            <w:pPr>
              <w:pStyle w:val="TableTextLeft"/>
              <w:spacing w:before="0"/>
              <w:rPr>
                <w:rFonts w:cs="Arial"/>
              </w:rPr>
            </w:pPr>
          </w:p>
          <w:p w14:paraId="77571E4C" w14:textId="63564D68" w:rsidR="00A85B5B" w:rsidRPr="00B776CE" w:rsidRDefault="00FA2089" w:rsidP="00A85B5B">
            <w:pPr>
              <w:pStyle w:val="TableTextLeft"/>
              <w:spacing w:before="0" w:after="120"/>
              <w:rPr>
                <w:rFonts w:cs="Arial"/>
              </w:rPr>
            </w:pPr>
            <w:r w:rsidRPr="00B776CE">
              <w:rPr>
                <w:rFonts w:cs="Arial"/>
                <w:b/>
                <w:bCs/>
              </w:rPr>
              <w:t>Performance measure</w:t>
            </w:r>
            <w:r w:rsidRPr="00B776CE">
              <w:rPr>
                <w:rFonts w:cs="Arial"/>
              </w:rPr>
              <w:t>: On track.</w:t>
            </w:r>
          </w:p>
        </w:tc>
      </w:tr>
      <w:tr w:rsidR="00FA2089" w:rsidRPr="00B776CE" w14:paraId="7F4844AF" w14:textId="77777777">
        <w:trPr>
          <w:cantSplit/>
          <w:trHeight w:val="100"/>
        </w:trPr>
        <w:tc>
          <w:tcPr>
            <w:tcW w:w="1542" w:type="dxa"/>
            <w:tcBorders>
              <w:top w:val="single" w:sz="4" w:space="0" w:color="auto"/>
              <w:bottom w:val="dotted" w:sz="4" w:space="0" w:color="auto"/>
              <w:right w:val="single" w:sz="4" w:space="0" w:color="auto"/>
            </w:tcBorders>
          </w:tcPr>
          <w:p w14:paraId="78CABC5B" w14:textId="77777777" w:rsidR="00FA2089" w:rsidRPr="00B776CE" w:rsidRDefault="00FA2089" w:rsidP="00C375FE">
            <w:pPr>
              <w:pStyle w:val="TableColumnHeadingLeft"/>
              <w:rPr>
                <w:rFonts w:ascii="Arial" w:hAnsi="Arial" w:cs="Arial"/>
              </w:rPr>
            </w:pPr>
            <w:r w:rsidRPr="00B776CE">
              <w:rPr>
                <w:rFonts w:ascii="Arial" w:hAnsi="Arial" w:cs="Arial"/>
              </w:rPr>
              <w:t>Year</w:t>
            </w:r>
          </w:p>
        </w:tc>
        <w:tc>
          <w:tcPr>
            <w:tcW w:w="3081" w:type="dxa"/>
            <w:tcBorders>
              <w:top w:val="single" w:sz="4" w:space="0" w:color="auto"/>
              <w:left w:val="single" w:sz="4" w:space="0" w:color="auto"/>
              <w:bottom w:val="dotted" w:sz="4" w:space="0" w:color="auto"/>
              <w:right w:val="single" w:sz="4" w:space="0" w:color="auto"/>
            </w:tcBorders>
          </w:tcPr>
          <w:p w14:paraId="14A8F808" w14:textId="77777777" w:rsidR="00FA2089" w:rsidRPr="00B776CE" w:rsidRDefault="00FA2089" w:rsidP="00C375FE">
            <w:pPr>
              <w:pStyle w:val="TableColumnHeadingLeft"/>
              <w:rPr>
                <w:rFonts w:ascii="Arial" w:hAnsi="Arial" w:cs="Arial"/>
              </w:rPr>
            </w:pPr>
            <w:r w:rsidRPr="00B776CE">
              <w:rPr>
                <w:rFonts w:ascii="Arial" w:hAnsi="Arial" w:cs="Arial"/>
              </w:rPr>
              <w:t xml:space="preserve">Performance measures </w:t>
            </w:r>
          </w:p>
        </w:tc>
        <w:tc>
          <w:tcPr>
            <w:tcW w:w="3077" w:type="dxa"/>
            <w:tcBorders>
              <w:top w:val="single" w:sz="4" w:space="0" w:color="auto"/>
              <w:left w:val="single" w:sz="4" w:space="0" w:color="auto"/>
              <w:bottom w:val="dotted" w:sz="4" w:space="0" w:color="auto"/>
            </w:tcBorders>
          </w:tcPr>
          <w:p w14:paraId="313FFFE2" w14:textId="77777777" w:rsidR="00FA2089" w:rsidRPr="00B776CE" w:rsidRDefault="00FA2089" w:rsidP="00C375FE">
            <w:pPr>
              <w:pStyle w:val="TableColumnHeadingLeft"/>
              <w:rPr>
                <w:rFonts w:ascii="Arial" w:hAnsi="Arial" w:cs="Arial"/>
              </w:rPr>
            </w:pPr>
            <w:r w:rsidRPr="00B776CE">
              <w:rPr>
                <w:rFonts w:ascii="Arial" w:hAnsi="Arial" w:cs="Arial"/>
              </w:rPr>
              <w:t>Planned performance results</w:t>
            </w:r>
          </w:p>
        </w:tc>
      </w:tr>
      <w:tr w:rsidR="00FA2089" w:rsidRPr="00B776CE" w14:paraId="2385FDA9" w14:textId="77777777" w:rsidTr="00F208B0">
        <w:trPr>
          <w:cantSplit/>
          <w:trHeight w:val="782"/>
        </w:trPr>
        <w:tc>
          <w:tcPr>
            <w:tcW w:w="1542" w:type="dxa"/>
            <w:tcBorders>
              <w:top w:val="single" w:sz="4" w:space="0" w:color="auto"/>
              <w:bottom w:val="single" w:sz="4" w:space="0" w:color="auto"/>
              <w:right w:val="single" w:sz="4" w:space="0" w:color="auto"/>
            </w:tcBorders>
          </w:tcPr>
          <w:p w14:paraId="127FE7A3" w14:textId="77777777" w:rsidR="00FA2089" w:rsidRPr="00B776CE" w:rsidRDefault="00FA2089" w:rsidP="00C375FE">
            <w:pPr>
              <w:pStyle w:val="TableTextLeft"/>
              <w:rPr>
                <w:rFonts w:cs="Arial"/>
              </w:rPr>
            </w:pPr>
            <w:r w:rsidRPr="00B776CE">
              <w:rPr>
                <w:rFonts w:cs="Arial"/>
              </w:rPr>
              <w:t xml:space="preserve">Budget Year </w:t>
            </w:r>
          </w:p>
          <w:p w14:paraId="4FE607A5" w14:textId="77777777" w:rsidR="00FA2089" w:rsidRPr="00B776CE" w:rsidRDefault="00FA2089" w:rsidP="00C375FE">
            <w:pPr>
              <w:pStyle w:val="TableTextLeft"/>
              <w:rPr>
                <w:rFonts w:cs="Arial"/>
              </w:rPr>
            </w:pPr>
            <w:r w:rsidRPr="00B776CE">
              <w:rPr>
                <w:rFonts w:cs="Arial"/>
              </w:rPr>
              <w:t>2026–27</w:t>
            </w:r>
          </w:p>
          <w:p w14:paraId="46C01DF5" w14:textId="77777777" w:rsidR="00FA2089" w:rsidRPr="00B776CE" w:rsidRDefault="00FA2089" w:rsidP="00C375FE">
            <w:pPr>
              <w:pStyle w:val="TableTextLeft"/>
              <w:rPr>
                <w:rFonts w:cs="Arial"/>
                <w:b/>
                <w:bCs/>
              </w:rPr>
            </w:pPr>
          </w:p>
        </w:tc>
        <w:tc>
          <w:tcPr>
            <w:tcW w:w="3081" w:type="dxa"/>
            <w:tcBorders>
              <w:top w:val="single" w:sz="4" w:space="0" w:color="auto"/>
              <w:left w:val="single" w:sz="4" w:space="0" w:color="auto"/>
              <w:bottom w:val="dotted" w:sz="4" w:space="0" w:color="auto"/>
              <w:right w:val="single" w:sz="4" w:space="0" w:color="auto"/>
            </w:tcBorders>
          </w:tcPr>
          <w:p w14:paraId="534A11C0" w14:textId="77777777" w:rsidR="00FA2089" w:rsidRPr="00B776CE" w:rsidRDefault="00FA2089" w:rsidP="00C375FE">
            <w:pPr>
              <w:pStyle w:val="TableTextLeft"/>
              <w:rPr>
                <w:rFonts w:cs="Arial"/>
              </w:rPr>
            </w:pPr>
            <w:r w:rsidRPr="00B776CE">
              <w:rPr>
                <w:rFonts w:cs="Arial"/>
              </w:rPr>
              <w:t>DFAT’s diplomatic efforts support favourable foreign affairs and trade policy outcomes for Australia.</w:t>
            </w:r>
          </w:p>
          <w:p w14:paraId="5B97D31B" w14:textId="77777777" w:rsidR="00FA2089" w:rsidRPr="00B776CE" w:rsidRDefault="00FA2089" w:rsidP="00C375FE">
            <w:pPr>
              <w:pStyle w:val="TableTextLeft"/>
              <w:rPr>
                <w:rFonts w:cs="Arial"/>
              </w:rPr>
            </w:pPr>
          </w:p>
        </w:tc>
        <w:tc>
          <w:tcPr>
            <w:tcW w:w="3077" w:type="dxa"/>
            <w:tcBorders>
              <w:top w:val="single" w:sz="4" w:space="0" w:color="auto"/>
              <w:left w:val="single" w:sz="4" w:space="0" w:color="auto"/>
              <w:bottom w:val="dotted" w:sz="4" w:space="0" w:color="auto"/>
            </w:tcBorders>
          </w:tcPr>
          <w:p w14:paraId="6A8AA346" w14:textId="77777777" w:rsidR="00FA2089" w:rsidRDefault="00FA2089" w:rsidP="00C375FE">
            <w:pPr>
              <w:pStyle w:val="TableTextLeft"/>
              <w:spacing w:before="0"/>
              <w:rPr>
                <w:rFonts w:cs="Arial"/>
              </w:rPr>
            </w:pPr>
            <w:r w:rsidRPr="00B776CE">
              <w:rPr>
                <w:rFonts w:cs="Arial"/>
                <w:b/>
                <w:bCs/>
              </w:rPr>
              <w:t>Target</w:t>
            </w:r>
            <w:r w:rsidRPr="00B776CE">
              <w:rPr>
                <w:rFonts w:cs="Arial"/>
              </w:rPr>
              <w:t>: Case studies demonstrate performance.</w:t>
            </w:r>
          </w:p>
          <w:p w14:paraId="63A6A6EB" w14:textId="77777777" w:rsidR="00FA2089" w:rsidRPr="00B776CE" w:rsidRDefault="00FA2089" w:rsidP="00C375FE">
            <w:pPr>
              <w:pStyle w:val="TableTextLeft"/>
              <w:spacing w:before="0" w:after="0"/>
              <w:rPr>
                <w:rFonts w:cs="Arial"/>
              </w:rPr>
            </w:pPr>
          </w:p>
          <w:p w14:paraId="419C4814" w14:textId="4A0C0BA0" w:rsidR="00FA2089" w:rsidRPr="00B776CE" w:rsidRDefault="00FA2089" w:rsidP="00A85B5B">
            <w:pPr>
              <w:pStyle w:val="TableTextLeft"/>
              <w:spacing w:before="0" w:after="120"/>
              <w:rPr>
                <w:rFonts w:cs="Arial"/>
              </w:rPr>
            </w:pPr>
            <w:r w:rsidRPr="00B776CE">
              <w:rPr>
                <w:rFonts w:cs="Arial"/>
              </w:rPr>
              <w:t>Specific case study topics will be identified in the Corporate Plan</w:t>
            </w:r>
            <w:r w:rsidR="009B1C80">
              <w:rPr>
                <w:rFonts w:cs="Arial"/>
              </w:rPr>
              <w:br/>
            </w:r>
            <w:r w:rsidRPr="00B776CE">
              <w:rPr>
                <w:rFonts w:cs="Arial"/>
              </w:rPr>
              <w:t>2026</w:t>
            </w:r>
            <w:r w:rsidR="009B1C80" w:rsidRPr="003A00DB">
              <w:rPr>
                <w:rFonts w:cs="Arial"/>
              </w:rPr>
              <w:t>–</w:t>
            </w:r>
            <w:r w:rsidRPr="00B776CE">
              <w:rPr>
                <w:rFonts w:cs="Arial"/>
              </w:rPr>
              <w:t>27.</w:t>
            </w:r>
          </w:p>
        </w:tc>
      </w:tr>
      <w:tr w:rsidR="00FA2089" w:rsidRPr="00B776CE" w14:paraId="0924E8BD" w14:textId="77777777" w:rsidTr="00F208B0">
        <w:trPr>
          <w:cantSplit/>
          <w:trHeight w:val="782"/>
        </w:trPr>
        <w:tc>
          <w:tcPr>
            <w:tcW w:w="1542" w:type="dxa"/>
            <w:tcBorders>
              <w:bottom w:val="dotted" w:sz="4" w:space="0" w:color="auto"/>
            </w:tcBorders>
          </w:tcPr>
          <w:p w14:paraId="6661006D" w14:textId="77777777" w:rsidR="00FA2089" w:rsidRPr="00B776CE" w:rsidRDefault="00FA2089" w:rsidP="00C375FE">
            <w:pPr>
              <w:pStyle w:val="TableTextLeft"/>
              <w:rPr>
                <w:rFonts w:cs="Arial"/>
              </w:rPr>
            </w:pPr>
            <w:r w:rsidRPr="00B776CE">
              <w:rPr>
                <w:rFonts w:cs="Arial"/>
              </w:rPr>
              <w:t xml:space="preserve">Budget Year </w:t>
            </w:r>
          </w:p>
          <w:p w14:paraId="325A531B" w14:textId="77777777" w:rsidR="00FA2089" w:rsidRPr="00B776CE" w:rsidRDefault="00FA2089" w:rsidP="00C375FE">
            <w:pPr>
              <w:pStyle w:val="TableTextLeft"/>
              <w:rPr>
                <w:rFonts w:cs="Arial"/>
                <w:b/>
                <w:bCs/>
              </w:rPr>
            </w:pPr>
            <w:r w:rsidRPr="00B776CE">
              <w:rPr>
                <w:rFonts w:cs="Arial"/>
              </w:rPr>
              <w:t>2026–27</w:t>
            </w:r>
          </w:p>
        </w:tc>
        <w:tc>
          <w:tcPr>
            <w:tcW w:w="3081" w:type="dxa"/>
            <w:tcBorders>
              <w:top w:val="single" w:sz="4" w:space="0" w:color="auto"/>
              <w:left w:val="single" w:sz="4" w:space="0" w:color="auto"/>
              <w:bottom w:val="dotted" w:sz="4" w:space="0" w:color="auto"/>
              <w:right w:val="single" w:sz="4" w:space="0" w:color="auto"/>
            </w:tcBorders>
          </w:tcPr>
          <w:p w14:paraId="4E32EFCD" w14:textId="77777777" w:rsidR="00FA2089" w:rsidRPr="00B776CE" w:rsidRDefault="00FA2089" w:rsidP="00C375FE">
            <w:pPr>
              <w:pStyle w:val="TableTextLeft"/>
              <w:rPr>
                <w:rFonts w:cs="Arial"/>
              </w:rPr>
            </w:pPr>
            <w:r w:rsidRPr="00B776CE">
              <w:rPr>
                <w:rFonts w:cs="Arial"/>
              </w:rPr>
              <w:t>DFAT’s sanctions and foreign arrangements functions demonstrate principles of regulator best practice.</w:t>
            </w:r>
          </w:p>
          <w:p w14:paraId="13265FC5" w14:textId="77777777" w:rsidR="00FA2089" w:rsidRPr="00B776CE" w:rsidRDefault="00FA2089" w:rsidP="00C375FE">
            <w:pPr>
              <w:pStyle w:val="TableTextLeft"/>
              <w:rPr>
                <w:rFonts w:cs="Arial"/>
                <w:b/>
                <w:bCs/>
              </w:rPr>
            </w:pPr>
          </w:p>
        </w:tc>
        <w:tc>
          <w:tcPr>
            <w:tcW w:w="3077" w:type="dxa"/>
            <w:tcBorders>
              <w:top w:val="single" w:sz="4" w:space="0" w:color="auto"/>
              <w:left w:val="single" w:sz="4" w:space="0" w:color="auto"/>
              <w:bottom w:val="dotted" w:sz="4" w:space="0" w:color="auto"/>
            </w:tcBorders>
          </w:tcPr>
          <w:p w14:paraId="4234C94E" w14:textId="77777777" w:rsidR="00FA2089" w:rsidRPr="00B776CE" w:rsidRDefault="00FA2089" w:rsidP="00C375FE">
            <w:pPr>
              <w:pStyle w:val="TableTextLeft"/>
              <w:spacing w:before="0"/>
              <w:rPr>
                <w:rFonts w:cs="Arial"/>
                <w:b/>
                <w:bCs/>
              </w:rPr>
            </w:pPr>
            <w:r w:rsidRPr="00B776CE">
              <w:rPr>
                <w:rFonts w:cs="Arial"/>
                <w:b/>
                <w:bCs/>
              </w:rPr>
              <w:t xml:space="preserve">Target 1: </w:t>
            </w:r>
            <w:r w:rsidRPr="00B776CE">
              <w:rPr>
                <w:rFonts w:cs="Arial"/>
              </w:rPr>
              <w:t>100% of sanctions compliance matters finalised in the reporting period applied a graduated risk-based approach.</w:t>
            </w:r>
            <w:r w:rsidRPr="00B776CE">
              <w:rPr>
                <w:rFonts w:cs="Arial"/>
                <w:b/>
                <w:bCs/>
              </w:rPr>
              <w:t xml:space="preserve"> </w:t>
            </w:r>
          </w:p>
          <w:p w14:paraId="7E1B8CC6" w14:textId="77777777" w:rsidR="00FA2089" w:rsidRPr="00B776CE" w:rsidRDefault="00FA2089" w:rsidP="00C375FE">
            <w:pPr>
              <w:pStyle w:val="TableTextLeft"/>
              <w:spacing w:before="0" w:after="0"/>
              <w:rPr>
                <w:rFonts w:cs="Arial"/>
                <w:b/>
                <w:bCs/>
              </w:rPr>
            </w:pPr>
          </w:p>
          <w:p w14:paraId="1CF1F3DB" w14:textId="2250A397" w:rsidR="00FA2089" w:rsidRPr="00A85B5B" w:rsidRDefault="00FA2089" w:rsidP="00A85B5B">
            <w:pPr>
              <w:pStyle w:val="TableTextLeft"/>
              <w:spacing w:before="0" w:after="120"/>
              <w:rPr>
                <w:rFonts w:cs="Arial"/>
              </w:rPr>
            </w:pPr>
            <w:r w:rsidRPr="00B776CE">
              <w:rPr>
                <w:rFonts w:cs="Arial"/>
                <w:b/>
                <w:bCs/>
              </w:rPr>
              <w:t xml:space="preserve">Target 2: </w:t>
            </w:r>
            <w:r w:rsidRPr="00B776CE">
              <w:rPr>
                <w:rFonts w:cs="Arial"/>
              </w:rPr>
              <w:t>At least 85% of notifications to the Foreign Arrangements Scheme are in scope.</w:t>
            </w:r>
          </w:p>
        </w:tc>
      </w:tr>
      <w:tr w:rsidR="00FA2089" w:rsidRPr="00716D8F" w14:paraId="1541D4CA" w14:textId="77777777" w:rsidTr="00F208B0">
        <w:trPr>
          <w:cantSplit/>
          <w:trHeight w:val="491"/>
        </w:trPr>
        <w:tc>
          <w:tcPr>
            <w:tcW w:w="1542" w:type="dxa"/>
            <w:tcBorders>
              <w:top w:val="dotted" w:sz="4" w:space="0" w:color="auto"/>
              <w:bottom w:val="dotted" w:sz="4" w:space="0" w:color="auto"/>
              <w:right w:val="single" w:sz="4" w:space="0" w:color="auto"/>
            </w:tcBorders>
          </w:tcPr>
          <w:p w14:paraId="68014C69" w14:textId="77777777" w:rsidR="00FA2089" w:rsidRPr="00B776CE" w:rsidRDefault="00FA2089" w:rsidP="00C375FE">
            <w:pPr>
              <w:pStyle w:val="TableTextLeft"/>
              <w:rPr>
                <w:rFonts w:cs="Arial"/>
              </w:rPr>
            </w:pPr>
            <w:r w:rsidRPr="00B776CE">
              <w:rPr>
                <w:rFonts w:cs="Arial"/>
              </w:rPr>
              <w:t xml:space="preserve">Forward Estimates </w:t>
            </w:r>
          </w:p>
          <w:p w14:paraId="14DD495D" w14:textId="77777777" w:rsidR="00FA2089" w:rsidRPr="00B776CE" w:rsidRDefault="00FA2089" w:rsidP="00C375FE">
            <w:pPr>
              <w:pStyle w:val="TableTextLeft"/>
              <w:rPr>
                <w:rFonts w:cs="Arial"/>
                <w:b/>
              </w:rPr>
            </w:pPr>
            <w:r w:rsidRPr="00B776CE">
              <w:rPr>
                <w:rFonts w:cs="Arial"/>
              </w:rPr>
              <w:t>2027–30</w:t>
            </w:r>
          </w:p>
        </w:tc>
        <w:tc>
          <w:tcPr>
            <w:tcW w:w="3081" w:type="dxa"/>
            <w:tcBorders>
              <w:top w:val="dotted" w:sz="4" w:space="0" w:color="auto"/>
              <w:left w:val="single" w:sz="4" w:space="0" w:color="auto"/>
              <w:bottom w:val="dotted" w:sz="4" w:space="0" w:color="auto"/>
              <w:right w:val="single" w:sz="4" w:space="0" w:color="auto"/>
            </w:tcBorders>
          </w:tcPr>
          <w:p w14:paraId="085439DF" w14:textId="77777777" w:rsidR="00FA2089" w:rsidRPr="00716D8F" w:rsidRDefault="00FA2089" w:rsidP="00C375FE">
            <w:pPr>
              <w:pStyle w:val="TableTextLeft"/>
              <w:rPr>
                <w:rFonts w:cs="Arial"/>
                <w:b/>
              </w:rPr>
            </w:pPr>
            <w:r w:rsidRPr="00B776CE">
              <w:rPr>
                <w:rFonts w:cs="Arial"/>
              </w:rPr>
              <w:t>As per 2026–27</w:t>
            </w:r>
          </w:p>
        </w:tc>
        <w:tc>
          <w:tcPr>
            <w:tcW w:w="3077" w:type="dxa"/>
            <w:tcBorders>
              <w:top w:val="dotted" w:sz="4" w:space="0" w:color="auto"/>
              <w:left w:val="single" w:sz="4" w:space="0" w:color="auto"/>
              <w:bottom w:val="dotted" w:sz="4" w:space="0" w:color="auto"/>
            </w:tcBorders>
          </w:tcPr>
          <w:p w14:paraId="223CE59F" w14:textId="79C743AB" w:rsidR="00FA2089" w:rsidRPr="00716D8F" w:rsidRDefault="00FA2089" w:rsidP="00C375FE">
            <w:pPr>
              <w:pStyle w:val="TableTextLeft"/>
              <w:rPr>
                <w:rFonts w:cs="Arial"/>
              </w:rPr>
            </w:pPr>
            <w:r w:rsidRPr="00716D8F">
              <w:rPr>
                <w:rFonts w:cs="Arial"/>
              </w:rPr>
              <w:t xml:space="preserve">As </w:t>
            </w:r>
            <w:r w:rsidR="00A85B5B">
              <w:rPr>
                <w:rFonts w:cs="Arial"/>
              </w:rPr>
              <w:t xml:space="preserve">per </w:t>
            </w:r>
            <w:r w:rsidRPr="00716D8F">
              <w:rPr>
                <w:rFonts w:cs="Arial"/>
              </w:rPr>
              <w:t>2026–27</w:t>
            </w:r>
            <w:r w:rsidRPr="00B776CE">
              <w:rPr>
                <w:rFonts w:cs="Arial"/>
              </w:rPr>
              <w:br/>
            </w:r>
          </w:p>
        </w:tc>
      </w:tr>
      <w:tr w:rsidR="00FA2089" w:rsidRPr="00B776CE" w14:paraId="50C1D61C" w14:textId="77777777">
        <w:trPr>
          <w:cantSplit/>
          <w:trHeight w:val="261"/>
        </w:trPr>
        <w:tc>
          <w:tcPr>
            <w:tcW w:w="7700" w:type="dxa"/>
            <w:gridSpan w:val="3"/>
          </w:tcPr>
          <w:p w14:paraId="198CFC90" w14:textId="77777777" w:rsidR="00FA2089" w:rsidRPr="00B776CE" w:rsidRDefault="00FA2089" w:rsidP="00C375FE">
            <w:pPr>
              <w:pStyle w:val="TableTextLeft"/>
              <w:rPr>
                <w:rFonts w:eastAsia="Cambria" w:cs="Arial"/>
                <w:spacing w:val="-6"/>
              </w:rPr>
            </w:pPr>
            <w:r w:rsidRPr="00B776CE">
              <w:rPr>
                <w:rFonts w:cs="Arial"/>
              </w:rPr>
              <w:t>Material changes to Program 1.1 resulting from 2026–27 Budget Measures:</w:t>
            </w:r>
            <w:r w:rsidRPr="00B776CE">
              <w:rPr>
                <w:rFonts w:eastAsia="Cambria" w:cs="Arial"/>
                <w:spacing w:val="-6"/>
                <w:lang w:eastAsia="en-US"/>
              </w:rPr>
              <w:t xml:space="preserve"> </w:t>
            </w:r>
            <w:r w:rsidRPr="00716D8F">
              <w:rPr>
                <w:rFonts w:eastAsia="Cambria" w:cs="Arial"/>
                <w:spacing w:val="-6"/>
                <w:lang w:eastAsia="en-US"/>
              </w:rPr>
              <w:t>Nil</w:t>
            </w:r>
          </w:p>
        </w:tc>
      </w:tr>
    </w:tbl>
    <w:p w14:paraId="4643F937" w14:textId="77777777" w:rsidR="006E1BA9" w:rsidRDefault="006E1BA9">
      <w:pPr>
        <w:spacing w:before="0" w:after="0" w:line="240" w:lineRule="auto"/>
        <w:rPr>
          <w:rFonts w:ascii="Arial" w:hAnsi="Arial" w:cs="Arial"/>
          <w:sz w:val="16"/>
          <w:szCs w:val="16"/>
        </w:rPr>
      </w:pPr>
    </w:p>
    <w:p w14:paraId="4B223F76" w14:textId="188F2325" w:rsidR="00FA2089" w:rsidRDefault="00FA2089">
      <w:pPr>
        <w:spacing w:before="0" w:after="0" w:line="240" w:lineRule="auto"/>
        <w:rPr>
          <w:rFonts w:ascii="Arial" w:hAnsi="Arial" w:cs="Arial"/>
          <w:sz w:val="16"/>
          <w:szCs w:val="16"/>
        </w:rPr>
      </w:pPr>
      <w:r>
        <w:rPr>
          <w:rFonts w:ascii="Arial" w:hAnsi="Arial" w:cs="Arial"/>
          <w:sz w:val="16"/>
          <w:szCs w:val="16"/>
        </w:rPr>
        <w:br w:type="page"/>
      </w:r>
    </w:p>
    <w:p w14:paraId="4CC6897C" w14:textId="75722697" w:rsidR="006E1BA9" w:rsidRDefault="006E1BA9" w:rsidP="006E1BA9">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6E1BA9" w:rsidRPr="00A756E4" w14:paraId="335624BD" w14:textId="77777777" w:rsidTr="006E1BA9">
        <w:trPr>
          <w:cantSplit/>
          <w:trHeight w:val="261"/>
          <w:tblHeader/>
        </w:trPr>
        <w:tc>
          <w:tcPr>
            <w:tcW w:w="7700" w:type="dxa"/>
            <w:gridSpan w:val="3"/>
            <w:shd w:val="clear" w:color="auto" w:fill="F2F2F2" w:themeFill="background1" w:themeFillShade="F2"/>
          </w:tcPr>
          <w:p w14:paraId="5EEC8924"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Outcome 1 – The advancement of Australia’s international strategic, security and economic interests including through bilateral, regional and multilateral engagement on Australian Government foreign, trade and international development policy priorities.</w:t>
            </w:r>
          </w:p>
        </w:tc>
      </w:tr>
      <w:tr w:rsidR="006E1BA9" w:rsidRPr="00A756E4" w14:paraId="55104B7F" w14:textId="77777777" w:rsidTr="00A85B5B">
        <w:trPr>
          <w:cantSplit/>
          <w:trHeight w:val="388"/>
          <w:tblHeader/>
        </w:trPr>
        <w:tc>
          <w:tcPr>
            <w:tcW w:w="7700" w:type="dxa"/>
            <w:gridSpan w:val="3"/>
            <w:shd w:val="clear" w:color="auto" w:fill="F2F2F2" w:themeFill="background1" w:themeFillShade="F2"/>
          </w:tcPr>
          <w:p w14:paraId="0ACC2767"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 xml:space="preserve">Program 1.2 – Official Development Assistance </w:t>
            </w:r>
            <w:r w:rsidRPr="00A756E4">
              <w:rPr>
                <w:rFonts w:ascii="Arial" w:hAnsi="Arial" w:cs="Arial"/>
                <w:b w:val="0"/>
                <w:bCs/>
                <w:szCs w:val="16"/>
              </w:rPr>
              <w:t>promotes Australia’s national interests by contributing to sustainable and inclusive economic growth and poverty reduction.</w:t>
            </w:r>
          </w:p>
        </w:tc>
      </w:tr>
      <w:tr w:rsidR="006E1BA9" w:rsidRPr="00A756E4" w14:paraId="7502FDCA" w14:textId="77777777" w:rsidTr="006E1BA9">
        <w:trPr>
          <w:cantSplit/>
          <w:trHeight w:val="261"/>
        </w:trPr>
        <w:tc>
          <w:tcPr>
            <w:tcW w:w="1546" w:type="dxa"/>
            <w:tcBorders>
              <w:bottom w:val="double" w:sz="4" w:space="0" w:color="auto"/>
            </w:tcBorders>
          </w:tcPr>
          <w:p w14:paraId="6D2D2000"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Key activities</w:t>
            </w:r>
          </w:p>
        </w:tc>
        <w:tc>
          <w:tcPr>
            <w:tcW w:w="6154" w:type="dxa"/>
            <w:gridSpan w:val="2"/>
            <w:tcBorders>
              <w:bottom w:val="double" w:sz="4" w:space="0" w:color="auto"/>
            </w:tcBorders>
          </w:tcPr>
          <w:p w14:paraId="77318A2C" w14:textId="77777777" w:rsidR="006E1BA9" w:rsidRPr="00A756E4" w:rsidRDefault="006E1BA9" w:rsidP="00C375FE">
            <w:pPr>
              <w:pStyle w:val="TableTextLeft"/>
              <w:rPr>
                <w:rFonts w:cs="Arial"/>
                <w:szCs w:val="16"/>
              </w:rPr>
            </w:pPr>
            <w:r w:rsidRPr="00A756E4">
              <w:rPr>
                <w:rFonts w:cs="Arial"/>
                <w:szCs w:val="16"/>
              </w:rPr>
              <w:t>Key activities reported in the Corporate Plan 2025–26 that relate to this program.</w:t>
            </w:r>
          </w:p>
          <w:p w14:paraId="428EA2A9" w14:textId="77777777" w:rsidR="006E1BA9" w:rsidRPr="00A756E4" w:rsidRDefault="006E1BA9" w:rsidP="00707A3D">
            <w:pPr>
              <w:pStyle w:val="TableTextLeft"/>
              <w:numPr>
                <w:ilvl w:val="0"/>
                <w:numId w:val="48"/>
              </w:numPr>
              <w:rPr>
                <w:rFonts w:cs="Arial"/>
                <w:szCs w:val="16"/>
              </w:rPr>
            </w:pPr>
            <w:r w:rsidRPr="00A756E4">
              <w:rPr>
                <w:rFonts w:cs="Arial"/>
                <w:szCs w:val="16"/>
              </w:rPr>
              <w:t>Deliver international development and humanitarian assistance.</w:t>
            </w:r>
          </w:p>
        </w:tc>
      </w:tr>
      <w:tr w:rsidR="006E1BA9" w:rsidRPr="00A756E4" w14:paraId="420C5A30" w14:textId="77777777" w:rsidTr="006E1BA9">
        <w:trPr>
          <w:cantSplit/>
          <w:trHeight w:val="258"/>
        </w:trPr>
        <w:tc>
          <w:tcPr>
            <w:tcW w:w="1546" w:type="dxa"/>
            <w:tcBorders>
              <w:top w:val="double" w:sz="4" w:space="0" w:color="auto"/>
              <w:bottom w:val="single" w:sz="4" w:space="0" w:color="auto"/>
              <w:right w:val="single" w:sz="4" w:space="0" w:color="auto"/>
            </w:tcBorders>
          </w:tcPr>
          <w:p w14:paraId="0ECF2AC4"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Year</w:t>
            </w:r>
          </w:p>
        </w:tc>
        <w:tc>
          <w:tcPr>
            <w:tcW w:w="3077" w:type="dxa"/>
            <w:tcBorders>
              <w:top w:val="double" w:sz="4" w:space="0" w:color="auto"/>
              <w:left w:val="single" w:sz="4" w:space="0" w:color="auto"/>
              <w:bottom w:val="single" w:sz="4" w:space="0" w:color="auto"/>
              <w:right w:val="single" w:sz="4" w:space="0" w:color="auto"/>
            </w:tcBorders>
          </w:tcPr>
          <w:p w14:paraId="3CA868C3"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Performance measures</w:t>
            </w:r>
          </w:p>
        </w:tc>
        <w:tc>
          <w:tcPr>
            <w:tcW w:w="3077" w:type="dxa"/>
            <w:tcBorders>
              <w:top w:val="double" w:sz="4" w:space="0" w:color="auto"/>
              <w:left w:val="single" w:sz="4" w:space="0" w:color="auto"/>
              <w:bottom w:val="single" w:sz="4" w:space="0" w:color="auto"/>
            </w:tcBorders>
          </w:tcPr>
          <w:p w14:paraId="23C7C63A"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Expected performance results</w:t>
            </w:r>
          </w:p>
        </w:tc>
      </w:tr>
      <w:tr w:rsidR="006E1BA9" w:rsidRPr="00A756E4" w14:paraId="334BE46B" w14:textId="77777777" w:rsidTr="006E1BA9">
        <w:trPr>
          <w:cantSplit/>
          <w:trHeight w:val="642"/>
        </w:trPr>
        <w:tc>
          <w:tcPr>
            <w:tcW w:w="1546" w:type="dxa"/>
            <w:tcBorders>
              <w:top w:val="single" w:sz="4" w:space="0" w:color="auto"/>
              <w:bottom w:val="dotted" w:sz="4" w:space="0" w:color="auto"/>
              <w:right w:val="single" w:sz="4" w:space="0" w:color="auto"/>
            </w:tcBorders>
          </w:tcPr>
          <w:p w14:paraId="6EECC956" w14:textId="77777777" w:rsidR="006E1BA9" w:rsidRPr="00A756E4" w:rsidRDefault="006E1BA9" w:rsidP="00C375FE">
            <w:pPr>
              <w:pStyle w:val="TableTextLeft"/>
              <w:rPr>
                <w:rFonts w:cs="Arial"/>
                <w:szCs w:val="16"/>
              </w:rPr>
            </w:pPr>
            <w:r w:rsidRPr="00A756E4">
              <w:rPr>
                <w:rFonts w:cs="Arial"/>
                <w:szCs w:val="16"/>
              </w:rPr>
              <w:t xml:space="preserve">Current Year </w:t>
            </w:r>
          </w:p>
          <w:p w14:paraId="0CF4E9A6" w14:textId="77777777" w:rsidR="006E1BA9" w:rsidRPr="00A756E4" w:rsidRDefault="006E1BA9" w:rsidP="00C375FE">
            <w:pPr>
              <w:pStyle w:val="TableTextLeft"/>
              <w:rPr>
                <w:rFonts w:cs="Arial"/>
                <w:szCs w:val="16"/>
              </w:rPr>
            </w:pPr>
            <w:r w:rsidRPr="00A756E4">
              <w:rPr>
                <w:rFonts w:cs="Arial"/>
                <w:szCs w:val="16"/>
              </w:rPr>
              <w:t>2025–26</w:t>
            </w:r>
          </w:p>
        </w:tc>
        <w:tc>
          <w:tcPr>
            <w:tcW w:w="3077" w:type="dxa"/>
            <w:tcBorders>
              <w:top w:val="single" w:sz="4" w:space="0" w:color="auto"/>
              <w:left w:val="single" w:sz="4" w:space="0" w:color="auto"/>
              <w:bottom w:val="dotted" w:sz="4" w:space="0" w:color="auto"/>
              <w:right w:val="single" w:sz="4" w:space="0" w:color="auto"/>
            </w:tcBorders>
          </w:tcPr>
          <w:p w14:paraId="2AB42D18" w14:textId="77777777" w:rsidR="006E1BA9" w:rsidRPr="00A756E4" w:rsidRDefault="006E1BA9" w:rsidP="00C375FE">
            <w:pPr>
              <w:pStyle w:val="TableTextLeft"/>
              <w:rPr>
                <w:rFonts w:cs="Arial"/>
                <w:szCs w:val="16"/>
              </w:rPr>
            </w:pPr>
            <w:r w:rsidRPr="00A756E4">
              <w:rPr>
                <w:rFonts w:cs="Arial"/>
                <w:szCs w:val="16"/>
              </w:rPr>
              <w:t>The development program is effective, efficient and responsive.</w:t>
            </w:r>
          </w:p>
        </w:tc>
        <w:tc>
          <w:tcPr>
            <w:tcW w:w="3077" w:type="dxa"/>
            <w:tcBorders>
              <w:top w:val="single" w:sz="4" w:space="0" w:color="auto"/>
              <w:left w:val="single" w:sz="4" w:space="0" w:color="auto"/>
              <w:bottom w:val="dotted" w:sz="4" w:space="0" w:color="auto"/>
            </w:tcBorders>
          </w:tcPr>
          <w:p w14:paraId="5D32B680" w14:textId="77777777" w:rsidR="006E1BA9" w:rsidRDefault="006E1BA9" w:rsidP="00C375FE">
            <w:pPr>
              <w:pStyle w:val="TableTextLeft"/>
              <w:spacing w:before="0"/>
              <w:rPr>
                <w:rFonts w:cs="Arial"/>
                <w:szCs w:val="16"/>
              </w:rPr>
            </w:pPr>
            <w:r w:rsidRPr="00A756E4">
              <w:rPr>
                <w:rFonts w:cs="Arial"/>
                <w:b/>
                <w:bCs/>
                <w:szCs w:val="16"/>
              </w:rPr>
              <w:t>Target</w:t>
            </w:r>
            <w:r w:rsidRPr="00A756E4">
              <w:rPr>
                <w:rFonts w:cs="Arial"/>
                <w:szCs w:val="16"/>
              </w:rPr>
              <w:t>: At least 85% of investments are assessed as satisfactory on both effectiveness and efficiency criteria in the investment monitoring reports (IMR) process.</w:t>
            </w:r>
          </w:p>
          <w:p w14:paraId="34E536AD" w14:textId="77777777" w:rsidR="00A85B5B" w:rsidRPr="00A756E4" w:rsidRDefault="00A85B5B" w:rsidP="00C375FE">
            <w:pPr>
              <w:pStyle w:val="TableTextLeft"/>
              <w:spacing w:before="0"/>
              <w:rPr>
                <w:rFonts w:cs="Arial"/>
                <w:szCs w:val="16"/>
              </w:rPr>
            </w:pPr>
          </w:p>
          <w:p w14:paraId="2265B7E1" w14:textId="4AD580DB" w:rsidR="006E1BA9" w:rsidRPr="00A756E4" w:rsidRDefault="006E1BA9" w:rsidP="00A85B5B">
            <w:pPr>
              <w:pStyle w:val="TableTextLeft"/>
              <w:spacing w:before="80" w:after="120"/>
              <w:rPr>
                <w:rFonts w:cs="Arial"/>
                <w:szCs w:val="16"/>
              </w:rPr>
            </w:pPr>
            <w:r w:rsidRPr="00A756E4">
              <w:rPr>
                <w:rFonts w:cs="Arial"/>
                <w:szCs w:val="16"/>
              </w:rPr>
              <w:t>Data for 2025–26 will be reported in the Performance Statements 2025–26. </w:t>
            </w:r>
          </w:p>
        </w:tc>
      </w:tr>
      <w:tr w:rsidR="006E1BA9" w:rsidRPr="00A756E4" w14:paraId="76373D3E" w14:textId="77777777" w:rsidTr="006E1BA9">
        <w:trPr>
          <w:cantSplit/>
          <w:trHeight w:val="100"/>
        </w:trPr>
        <w:tc>
          <w:tcPr>
            <w:tcW w:w="1546" w:type="dxa"/>
            <w:tcBorders>
              <w:top w:val="single" w:sz="4" w:space="0" w:color="auto"/>
              <w:bottom w:val="dotted" w:sz="4" w:space="0" w:color="auto"/>
              <w:right w:val="single" w:sz="4" w:space="0" w:color="auto"/>
            </w:tcBorders>
          </w:tcPr>
          <w:p w14:paraId="0186A0C3"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Year</w:t>
            </w:r>
          </w:p>
        </w:tc>
        <w:tc>
          <w:tcPr>
            <w:tcW w:w="3077" w:type="dxa"/>
            <w:tcBorders>
              <w:top w:val="single" w:sz="4" w:space="0" w:color="auto"/>
              <w:left w:val="single" w:sz="4" w:space="0" w:color="auto"/>
              <w:bottom w:val="dotted" w:sz="4" w:space="0" w:color="auto"/>
              <w:right w:val="single" w:sz="4" w:space="0" w:color="auto"/>
            </w:tcBorders>
          </w:tcPr>
          <w:p w14:paraId="24D1FBAF"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Performance measures</w:t>
            </w:r>
          </w:p>
        </w:tc>
        <w:tc>
          <w:tcPr>
            <w:tcW w:w="3077" w:type="dxa"/>
            <w:tcBorders>
              <w:top w:val="single" w:sz="4" w:space="0" w:color="auto"/>
              <w:left w:val="single" w:sz="4" w:space="0" w:color="auto"/>
              <w:bottom w:val="dotted" w:sz="4" w:space="0" w:color="auto"/>
            </w:tcBorders>
          </w:tcPr>
          <w:p w14:paraId="26B12DD0" w14:textId="77777777" w:rsidR="006E1BA9" w:rsidRPr="00A756E4" w:rsidRDefault="006E1BA9" w:rsidP="00C375FE">
            <w:pPr>
              <w:pStyle w:val="TableColumnHeadingLeft"/>
              <w:rPr>
                <w:rFonts w:ascii="Arial" w:hAnsi="Arial" w:cs="Arial"/>
                <w:szCs w:val="16"/>
              </w:rPr>
            </w:pPr>
            <w:r w:rsidRPr="00A756E4">
              <w:rPr>
                <w:rFonts w:ascii="Arial" w:hAnsi="Arial" w:cs="Arial"/>
                <w:szCs w:val="16"/>
              </w:rPr>
              <w:t>Planned performance results</w:t>
            </w:r>
          </w:p>
        </w:tc>
      </w:tr>
      <w:tr w:rsidR="006E1BA9" w:rsidRPr="00A756E4" w14:paraId="7AB76FD5" w14:textId="77777777" w:rsidTr="006E1BA9">
        <w:trPr>
          <w:cantSplit/>
          <w:trHeight w:val="782"/>
        </w:trPr>
        <w:tc>
          <w:tcPr>
            <w:tcW w:w="1546" w:type="dxa"/>
            <w:tcBorders>
              <w:top w:val="single" w:sz="4" w:space="0" w:color="auto"/>
              <w:bottom w:val="dotted" w:sz="4" w:space="0" w:color="auto"/>
              <w:right w:val="single" w:sz="4" w:space="0" w:color="auto"/>
            </w:tcBorders>
          </w:tcPr>
          <w:p w14:paraId="40357051" w14:textId="77777777" w:rsidR="006E1BA9" w:rsidRPr="00A756E4" w:rsidRDefault="006E1BA9" w:rsidP="00C375FE">
            <w:pPr>
              <w:pStyle w:val="TableTextLeft"/>
              <w:rPr>
                <w:rFonts w:cs="Arial"/>
                <w:szCs w:val="16"/>
              </w:rPr>
            </w:pPr>
            <w:r w:rsidRPr="00A756E4">
              <w:rPr>
                <w:rFonts w:cs="Arial"/>
                <w:szCs w:val="16"/>
              </w:rPr>
              <w:t xml:space="preserve">Budget Year </w:t>
            </w:r>
          </w:p>
          <w:p w14:paraId="5D22AE2A" w14:textId="77777777" w:rsidR="006E1BA9" w:rsidRPr="00A756E4" w:rsidRDefault="006E1BA9" w:rsidP="00C375FE">
            <w:pPr>
              <w:pStyle w:val="TableTextLeft"/>
              <w:rPr>
                <w:rFonts w:cs="Arial"/>
                <w:szCs w:val="16"/>
              </w:rPr>
            </w:pPr>
            <w:r w:rsidRPr="00A756E4">
              <w:rPr>
                <w:rFonts w:cs="Arial"/>
                <w:szCs w:val="16"/>
              </w:rPr>
              <w:t>2026–27</w:t>
            </w:r>
          </w:p>
        </w:tc>
        <w:tc>
          <w:tcPr>
            <w:tcW w:w="3077" w:type="dxa"/>
            <w:tcBorders>
              <w:top w:val="single" w:sz="4" w:space="0" w:color="auto"/>
              <w:left w:val="single" w:sz="4" w:space="0" w:color="auto"/>
              <w:bottom w:val="dotted" w:sz="4" w:space="0" w:color="auto"/>
              <w:right w:val="single" w:sz="4" w:space="0" w:color="auto"/>
            </w:tcBorders>
          </w:tcPr>
          <w:p w14:paraId="168059D3" w14:textId="77777777" w:rsidR="006E1BA9" w:rsidRPr="00A756E4" w:rsidRDefault="006E1BA9" w:rsidP="00C375FE">
            <w:pPr>
              <w:pStyle w:val="TableTextLeft"/>
              <w:rPr>
                <w:rFonts w:cs="Arial"/>
                <w:szCs w:val="16"/>
              </w:rPr>
            </w:pPr>
            <w:r w:rsidRPr="00A756E4">
              <w:rPr>
                <w:rFonts w:cs="Arial"/>
                <w:szCs w:val="16"/>
              </w:rPr>
              <w:t>The development program is effective, efficient and responsive.</w:t>
            </w:r>
          </w:p>
          <w:p w14:paraId="5502C1F4" w14:textId="77777777" w:rsidR="006E1BA9" w:rsidRPr="00A756E4" w:rsidRDefault="006E1BA9" w:rsidP="00C375FE">
            <w:pPr>
              <w:pStyle w:val="TableTextLeft"/>
              <w:rPr>
                <w:rFonts w:cs="Arial"/>
                <w:szCs w:val="16"/>
              </w:rPr>
            </w:pPr>
          </w:p>
        </w:tc>
        <w:tc>
          <w:tcPr>
            <w:tcW w:w="3077" w:type="dxa"/>
            <w:tcBorders>
              <w:top w:val="single" w:sz="4" w:space="0" w:color="auto"/>
              <w:left w:val="single" w:sz="4" w:space="0" w:color="auto"/>
              <w:bottom w:val="dotted" w:sz="4" w:space="0" w:color="auto"/>
            </w:tcBorders>
          </w:tcPr>
          <w:p w14:paraId="176437A5" w14:textId="098BFB0F" w:rsidR="006E1BA9" w:rsidRPr="00A756E4" w:rsidRDefault="006E1BA9" w:rsidP="00A85B5B">
            <w:pPr>
              <w:pStyle w:val="TableTextLeft"/>
              <w:spacing w:before="0" w:after="120"/>
              <w:rPr>
                <w:rFonts w:cs="Arial"/>
                <w:szCs w:val="16"/>
              </w:rPr>
            </w:pPr>
            <w:r w:rsidRPr="00A756E4">
              <w:rPr>
                <w:rFonts w:cs="Arial"/>
                <w:b/>
                <w:bCs/>
                <w:szCs w:val="16"/>
              </w:rPr>
              <w:t>Target</w:t>
            </w:r>
            <w:r w:rsidRPr="00A756E4">
              <w:rPr>
                <w:rFonts w:cs="Arial"/>
                <w:szCs w:val="16"/>
              </w:rPr>
              <w:t>: At least 85% of investments are assessed as satisfactory on both effectiveness and efficiency criteria in the investment monitoring reports (IMR) process.</w:t>
            </w:r>
          </w:p>
        </w:tc>
      </w:tr>
      <w:tr w:rsidR="006E1BA9" w:rsidRPr="00A756E4" w14:paraId="50686401" w14:textId="77777777" w:rsidTr="006E1BA9">
        <w:trPr>
          <w:cantSplit/>
          <w:trHeight w:val="491"/>
        </w:trPr>
        <w:tc>
          <w:tcPr>
            <w:tcW w:w="1546" w:type="dxa"/>
            <w:tcBorders>
              <w:top w:val="dotted" w:sz="4" w:space="0" w:color="auto"/>
              <w:bottom w:val="dotted" w:sz="4" w:space="0" w:color="auto"/>
              <w:right w:val="single" w:sz="4" w:space="0" w:color="auto"/>
            </w:tcBorders>
          </w:tcPr>
          <w:p w14:paraId="6A4A35BD" w14:textId="77777777" w:rsidR="006E1BA9" w:rsidRPr="00A756E4" w:rsidRDefault="006E1BA9" w:rsidP="00C375FE">
            <w:pPr>
              <w:pStyle w:val="TableTextLeft"/>
              <w:rPr>
                <w:rFonts w:cs="Arial"/>
                <w:szCs w:val="16"/>
              </w:rPr>
            </w:pPr>
            <w:r w:rsidRPr="00A756E4">
              <w:rPr>
                <w:rFonts w:cs="Arial"/>
                <w:szCs w:val="16"/>
              </w:rPr>
              <w:t xml:space="preserve">Forward Estimates </w:t>
            </w:r>
          </w:p>
          <w:p w14:paraId="3BFC7B23" w14:textId="77777777" w:rsidR="006E1BA9" w:rsidRPr="00A756E4" w:rsidRDefault="006E1BA9" w:rsidP="00C375FE">
            <w:pPr>
              <w:pStyle w:val="TableTextLeft"/>
              <w:rPr>
                <w:rFonts w:cs="Arial"/>
                <w:b/>
                <w:szCs w:val="16"/>
              </w:rPr>
            </w:pPr>
            <w:r w:rsidRPr="00A756E4">
              <w:rPr>
                <w:rFonts w:cs="Arial"/>
                <w:szCs w:val="16"/>
              </w:rPr>
              <w:t>2027–30</w:t>
            </w:r>
          </w:p>
        </w:tc>
        <w:tc>
          <w:tcPr>
            <w:tcW w:w="3077" w:type="dxa"/>
            <w:tcBorders>
              <w:top w:val="dotted" w:sz="4" w:space="0" w:color="auto"/>
              <w:left w:val="single" w:sz="4" w:space="0" w:color="auto"/>
              <w:bottom w:val="dotted" w:sz="4" w:space="0" w:color="auto"/>
              <w:right w:val="single" w:sz="4" w:space="0" w:color="auto"/>
            </w:tcBorders>
          </w:tcPr>
          <w:p w14:paraId="600CC1A2" w14:textId="77777777" w:rsidR="006E1BA9" w:rsidRPr="00A756E4" w:rsidRDefault="006E1BA9" w:rsidP="00C375FE">
            <w:pPr>
              <w:pStyle w:val="TableTextLeft"/>
              <w:rPr>
                <w:rFonts w:cs="Arial"/>
                <w:b/>
                <w:szCs w:val="16"/>
              </w:rPr>
            </w:pPr>
            <w:r w:rsidRPr="00A756E4">
              <w:rPr>
                <w:rFonts w:cs="Arial"/>
                <w:szCs w:val="16"/>
              </w:rPr>
              <w:t>As per 2026–27</w:t>
            </w:r>
          </w:p>
        </w:tc>
        <w:tc>
          <w:tcPr>
            <w:tcW w:w="3077" w:type="dxa"/>
            <w:tcBorders>
              <w:top w:val="dotted" w:sz="4" w:space="0" w:color="auto"/>
              <w:left w:val="single" w:sz="4" w:space="0" w:color="auto"/>
              <w:bottom w:val="dotted" w:sz="4" w:space="0" w:color="auto"/>
            </w:tcBorders>
          </w:tcPr>
          <w:p w14:paraId="646D4E79" w14:textId="77777777" w:rsidR="006E1BA9" w:rsidRPr="00A756E4" w:rsidRDefault="006E1BA9" w:rsidP="00C375FE">
            <w:pPr>
              <w:pStyle w:val="TableTextLeft"/>
              <w:rPr>
                <w:rFonts w:cs="Arial"/>
                <w:b/>
                <w:szCs w:val="16"/>
              </w:rPr>
            </w:pPr>
            <w:r w:rsidRPr="00A756E4">
              <w:rPr>
                <w:rFonts w:cs="Arial"/>
                <w:szCs w:val="16"/>
              </w:rPr>
              <w:t>As per 2026–27</w:t>
            </w:r>
          </w:p>
        </w:tc>
      </w:tr>
      <w:tr w:rsidR="006E1BA9" w:rsidRPr="00A756E4" w14:paraId="2C2AE57A" w14:textId="77777777" w:rsidTr="006E1BA9">
        <w:trPr>
          <w:cantSplit/>
          <w:trHeight w:val="261"/>
        </w:trPr>
        <w:tc>
          <w:tcPr>
            <w:tcW w:w="7700" w:type="dxa"/>
            <w:gridSpan w:val="3"/>
          </w:tcPr>
          <w:p w14:paraId="4FD1515B" w14:textId="77777777" w:rsidR="006E1BA9" w:rsidRPr="00A756E4" w:rsidRDefault="006E1BA9" w:rsidP="00C375FE">
            <w:pPr>
              <w:pStyle w:val="TableTextLeft"/>
              <w:rPr>
                <w:rFonts w:eastAsia="Cambria" w:cs="Arial"/>
                <w:spacing w:val="-6"/>
                <w:szCs w:val="16"/>
              </w:rPr>
            </w:pPr>
            <w:r w:rsidRPr="00A756E4">
              <w:rPr>
                <w:rFonts w:cs="Arial"/>
                <w:szCs w:val="16"/>
              </w:rPr>
              <w:t xml:space="preserve">Material changes to Program 1.2 resulting from 2026–27 Budget Measures: </w:t>
            </w:r>
            <w:r w:rsidRPr="00A756E4">
              <w:rPr>
                <w:rFonts w:eastAsia="Cambria" w:cs="Arial"/>
                <w:spacing w:val="-6"/>
                <w:szCs w:val="16"/>
                <w:lang w:eastAsia="en-US"/>
              </w:rPr>
              <w:t>Nil</w:t>
            </w:r>
          </w:p>
        </w:tc>
      </w:tr>
    </w:tbl>
    <w:p w14:paraId="1F263025" w14:textId="257FCDD4" w:rsidR="006E1BA9" w:rsidRDefault="006E1BA9" w:rsidP="006E1BA9"/>
    <w:p w14:paraId="3307FCF5" w14:textId="77777777" w:rsidR="006E1BA9" w:rsidRDefault="006E1BA9">
      <w:pPr>
        <w:spacing w:before="0" w:after="0" w:line="240" w:lineRule="auto"/>
      </w:pPr>
      <w:r>
        <w:br w:type="page"/>
      </w:r>
    </w:p>
    <w:p w14:paraId="50021EB3" w14:textId="77777777" w:rsidR="006E1BA9" w:rsidRDefault="006E1BA9" w:rsidP="006E1BA9">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6E1BA9" w:rsidRPr="006E1BA9" w14:paraId="1D2D09C6" w14:textId="77777777">
        <w:trPr>
          <w:cantSplit/>
          <w:trHeight w:val="261"/>
          <w:tblHeader/>
        </w:trPr>
        <w:tc>
          <w:tcPr>
            <w:tcW w:w="7796" w:type="dxa"/>
            <w:gridSpan w:val="3"/>
            <w:shd w:val="clear" w:color="auto" w:fill="F2F2F2"/>
          </w:tcPr>
          <w:p w14:paraId="63966EFF" w14:textId="77777777" w:rsidR="006E1BA9" w:rsidRPr="006E1BA9" w:rsidRDefault="006E1BA9" w:rsidP="00C375FE">
            <w:pPr>
              <w:pStyle w:val="TableColumnHeadingLeft"/>
              <w:rPr>
                <w:rFonts w:ascii="Arial" w:hAnsi="Arial" w:cs="Arial"/>
                <w:bCs/>
              </w:rPr>
            </w:pPr>
            <w:r w:rsidRPr="006E1BA9">
              <w:rPr>
                <w:rFonts w:ascii="Arial" w:hAnsi="Arial" w:cs="Arial"/>
              </w:rPr>
              <w:t>Outcome 1</w:t>
            </w:r>
            <w:r w:rsidRPr="006E1BA9">
              <w:rPr>
                <w:rFonts w:ascii="Arial" w:hAnsi="Arial" w:cs="Arial"/>
                <w:bCs/>
              </w:rPr>
              <w:t xml:space="preserve"> </w:t>
            </w:r>
            <w:r w:rsidRPr="006E1BA9">
              <w:rPr>
                <w:rFonts w:ascii="Arial" w:hAnsi="Arial" w:cs="Arial"/>
              </w:rPr>
              <w:t>– The advancement of Australia’s international strategic, security and economic interests including through bilateral, regional and multilateral engagement on Australian Government foreign, trade and international development policy priorities.</w:t>
            </w:r>
          </w:p>
        </w:tc>
      </w:tr>
      <w:tr w:rsidR="006E1BA9" w:rsidRPr="006E1BA9" w14:paraId="2716E7DB" w14:textId="77777777">
        <w:trPr>
          <w:cantSplit/>
          <w:trHeight w:val="522"/>
          <w:tblHeader/>
        </w:trPr>
        <w:tc>
          <w:tcPr>
            <w:tcW w:w="7796" w:type="dxa"/>
            <w:gridSpan w:val="3"/>
            <w:shd w:val="clear" w:color="auto" w:fill="F2F2F2"/>
          </w:tcPr>
          <w:p w14:paraId="63DCC24D" w14:textId="77777777" w:rsidR="006E1BA9" w:rsidRPr="006E1BA9" w:rsidRDefault="006E1BA9" w:rsidP="00C375FE">
            <w:pPr>
              <w:pStyle w:val="TableTextLeft"/>
              <w:rPr>
                <w:rFonts w:cs="Arial"/>
              </w:rPr>
            </w:pPr>
            <w:r w:rsidRPr="006E1BA9">
              <w:rPr>
                <w:rFonts w:cs="Arial"/>
                <w:b/>
                <w:bCs/>
              </w:rPr>
              <w:t>Program 1.3 –</w:t>
            </w:r>
            <w:r w:rsidRPr="006E1BA9">
              <w:rPr>
                <w:rFonts w:cs="Arial"/>
              </w:rPr>
              <w:t xml:space="preserve"> </w:t>
            </w:r>
            <w:r w:rsidRPr="006E1BA9">
              <w:rPr>
                <w:rFonts w:eastAsia="Arial" w:cs="Arial"/>
                <w:b/>
              </w:rPr>
              <w:t xml:space="preserve">Official Development Assistance – Multilateral Replenishments </w:t>
            </w:r>
            <w:r w:rsidRPr="006E1BA9">
              <w:rPr>
                <w:rFonts w:eastAsia="Arial" w:cs="Arial"/>
                <w:bCs/>
              </w:rPr>
              <w:t>assist developing countries by contributing to sustainable and inclusive economic growth and poverty reduction through contributions to multilateral organisations.</w:t>
            </w:r>
          </w:p>
        </w:tc>
      </w:tr>
      <w:tr w:rsidR="006E1BA9" w:rsidRPr="006E1BA9" w14:paraId="576ED0F4" w14:textId="77777777">
        <w:trPr>
          <w:cantSplit/>
          <w:trHeight w:val="261"/>
        </w:trPr>
        <w:tc>
          <w:tcPr>
            <w:tcW w:w="1560" w:type="dxa"/>
            <w:tcBorders>
              <w:bottom w:val="double" w:sz="4" w:space="0" w:color="auto"/>
            </w:tcBorders>
          </w:tcPr>
          <w:p w14:paraId="34C974E8" w14:textId="77777777" w:rsidR="006E1BA9" w:rsidRPr="006E1BA9" w:rsidRDefault="006E1BA9" w:rsidP="00C375FE">
            <w:pPr>
              <w:pStyle w:val="TableColumnHeadingLeft"/>
              <w:rPr>
                <w:rFonts w:ascii="Arial" w:hAnsi="Arial" w:cs="Arial"/>
              </w:rPr>
            </w:pPr>
            <w:r w:rsidRPr="006E1BA9">
              <w:rPr>
                <w:rFonts w:ascii="Arial" w:hAnsi="Arial" w:cs="Arial"/>
              </w:rPr>
              <w:t>Key activities</w:t>
            </w:r>
          </w:p>
        </w:tc>
        <w:tc>
          <w:tcPr>
            <w:tcW w:w="6236" w:type="dxa"/>
            <w:gridSpan w:val="2"/>
            <w:tcBorders>
              <w:bottom w:val="double" w:sz="4" w:space="0" w:color="auto"/>
            </w:tcBorders>
          </w:tcPr>
          <w:p w14:paraId="2F96B289" w14:textId="77777777" w:rsidR="006E1BA9" w:rsidRPr="006E1BA9" w:rsidRDefault="006E1BA9" w:rsidP="00C375FE">
            <w:pPr>
              <w:pStyle w:val="TableTextLeft"/>
              <w:rPr>
                <w:rFonts w:cs="Arial"/>
              </w:rPr>
            </w:pPr>
            <w:r w:rsidRPr="006E1BA9">
              <w:rPr>
                <w:rFonts w:cs="Arial"/>
              </w:rPr>
              <w:t>Key activities reported in the Corporate Plan 2025–26 that relate to this program.</w:t>
            </w:r>
          </w:p>
          <w:p w14:paraId="434C0BD5" w14:textId="77777777" w:rsidR="006E1BA9" w:rsidRPr="006E1BA9" w:rsidRDefault="006E1BA9" w:rsidP="00707A3D">
            <w:pPr>
              <w:pStyle w:val="TableTextLeft"/>
              <w:numPr>
                <w:ilvl w:val="0"/>
                <w:numId w:val="48"/>
              </w:numPr>
              <w:rPr>
                <w:rFonts w:cs="Arial"/>
              </w:rPr>
            </w:pPr>
            <w:r w:rsidRPr="006E1BA9">
              <w:rPr>
                <w:rFonts w:cs="Arial"/>
              </w:rPr>
              <w:t>Advocate within multilateral institutions.</w:t>
            </w:r>
          </w:p>
        </w:tc>
      </w:tr>
      <w:tr w:rsidR="006E1BA9" w:rsidRPr="006E1BA9" w14:paraId="5C840D4B" w14:textId="77777777">
        <w:trPr>
          <w:cantSplit/>
          <w:trHeight w:val="258"/>
        </w:trPr>
        <w:tc>
          <w:tcPr>
            <w:tcW w:w="1560" w:type="dxa"/>
            <w:tcBorders>
              <w:top w:val="double" w:sz="4" w:space="0" w:color="auto"/>
              <w:bottom w:val="single" w:sz="4" w:space="0" w:color="auto"/>
              <w:right w:val="single" w:sz="4" w:space="0" w:color="auto"/>
            </w:tcBorders>
          </w:tcPr>
          <w:p w14:paraId="51531408" w14:textId="77777777" w:rsidR="006E1BA9" w:rsidRPr="006E1BA9" w:rsidRDefault="006E1BA9" w:rsidP="00C375FE">
            <w:pPr>
              <w:pStyle w:val="TableColumnHeadingLeft"/>
              <w:rPr>
                <w:rFonts w:ascii="Arial" w:hAnsi="Arial" w:cs="Arial"/>
              </w:rPr>
            </w:pPr>
            <w:r w:rsidRPr="006E1BA9">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B344641" w14:textId="77777777" w:rsidR="006E1BA9" w:rsidRPr="006E1BA9" w:rsidRDefault="006E1BA9" w:rsidP="00C375FE">
            <w:pPr>
              <w:pStyle w:val="TableColumnHeadingLeft"/>
              <w:rPr>
                <w:rFonts w:ascii="Arial" w:hAnsi="Arial" w:cs="Arial"/>
              </w:rPr>
            </w:pPr>
            <w:r w:rsidRPr="006E1BA9">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1F78132B" w14:textId="77777777" w:rsidR="006E1BA9" w:rsidRPr="006E1BA9" w:rsidRDefault="006E1BA9" w:rsidP="00C375FE">
            <w:pPr>
              <w:pStyle w:val="TableColumnHeadingLeft"/>
              <w:rPr>
                <w:rFonts w:ascii="Arial" w:hAnsi="Arial" w:cs="Arial"/>
              </w:rPr>
            </w:pPr>
            <w:r w:rsidRPr="006E1BA9">
              <w:rPr>
                <w:rFonts w:ascii="Arial" w:hAnsi="Arial" w:cs="Arial"/>
              </w:rPr>
              <w:t>Expected performance results</w:t>
            </w:r>
          </w:p>
        </w:tc>
      </w:tr>
      <w:tr w:rsidR="006E1BA9" w:rsidRPr="006E1BA9" w14:paraId="06365CEF" w14:textId="77777777">
        <w:trPr>
          <w:cantSplit/>
          <w:trHeight w:val="642"/>
        </w:trPr>
        <w:tc>
          <w:tcPr>
            <w:tcW w:w="1560" w:type="dxa"/>
            <w:tcBorders>
              <w:top w:val="single" w:sz="4" w:space="0" w:color="auto"/>
              <w:bottom w:val="dotted" w:sz="4" w:space="0" w:color="auto"/>
              <w:right w:val="single" w:sz="4" w:space="0" w:color="auto"/>
            </w:tcBorders>
          </w:tcPr>
          <w:p w14:paraId="50FEEAAF" w14:textId="77777777" w:rsidR="006E1BA9" w:rsidRPr="006E1BA9" w:rsidRDefault="006E1BA9" w:rsidP="00C375FE">
            <w:pPr>
              <w:pStyle w:val="TableTextLeft"/>
              <w:rPr>
                <w:rFonts w:cs="Arial"/>
              </w:rPr>
            </w:pPr>
            <w:r w:rsidRPr="006E1BA9">
              <w:rPr>
                <w:rFonts w:cs="Arial"/>
              </w:rPr>
              <w:t xml:space="preserve">Current Year </w:t>
            </w:r>
          </w:p>
          <w:p w14:paraId="5E7E1FC0" w14:textId="77777777" w:rsidR="006E1BA9" w:rsidRPr="006E1BA9" w:rsidRDefault="006E1BA9" w:rsidP="00C375FE">
            <w:pPr>
              <w:pStyle w:val="TableTextLeft"/>
              <w:rPr>
                <w:rFonts w:cs="Arial"/>
              </w:rPr>
            </w:pPr>
            <w:r w:rsidRPr="006E1BA9">
              <w:rPr>
                <w:rFonts w:cs="Arial"/>
              </w:rPr>
              <w:t>2025–26</w:t>
            </w:r>
          </w:p>
        </w:tc>
        <w:tc>
          <w:tcPr>
            <w:tcW w:w="3118" w:type="dxa"/>
            <w:tcBorders>
              <w:top w:val="single" w:sz="4" w:space="0" w:color="auto"/>
              <w:left w:val="single" w:sz="4" w:space="0" w:color="auto"/>
              <w:bottom w:val="dotted" w:sz="4" w:space="0" w:color="auto"/>
              <w:right w:val="single" w:sz="4" w:space="0" w:color="auto"/>
            </w:tcBorders>
          </w:tcPr>
          <w:p w14:paraId="27950356" w14:textId="77777777" w:rsidR="006E1BA9" w:rsidRPr="006E1BA9" w:rsidRDefault="006E1BA9" w:rsidP="00C375FE">
            <w:pPr>
              <w:pStyle w:val="TableTextLeft"/>
              <w:rPr>
                <w:rFonts w:cs="Arial"/>
              </w:rPr>
            </w:pPr>
            <w:r w:rsidRPr="006E1BA9">
              <w:rPr>
                <w:rFonts w:cs="Arial"/>
              </w:rPr>
              <w:t>Australia’s payments to multilateral development organisations generate collective action on issues impacting Australia.</w:t>
            </w:r>
          </w:p>
          <w:p w14:paraId="1AADB404" w14:textId="77777777" w:rsidR="006E1BA9" w:rsidRPr="006E1BA9" w:rsidRDefault="006E1BA9" w:rsidP="00C375FE">
            <w:pPr>
              <w:pStyle w:val="TableTextLeft"/>
              <w:rPr>
                <w:rFonts w:cs="Arial"/>
              </w:rPr>
            </w:pPr>
          </w:p>
        </w:tc>
        <w:tc>
          <w:tcPr>
            <w:tcW w:w="3118" w:type="dxa"/>
            <w:tcBorders>
              <w:top w:val="single" w:sz="4" w:space="0" w:color="auto"/>
              <w:left w:val="single" w:sz="4" w:space="0" w:color="auto"/>
              <w:bottom w:val="dotted" w:sz="4" w:space="0" w:color="auto"/>
            </w:tcBorders>
          </w:tcPr>
          <w:p w14:paraId="14DFB2A8" w14:textId="77777777" w:rsidR="006E1BA9" w:rsidRDefault="006E1BA9" w:rsidP="00C375FE">
            <w:pPr>
              <w:pStyle w:val="TableTextLeft"/>
              <w:spacing w:before="0"/>
              <w:rPr>
                <w:rFonts w:cs="Arial"/>
              </w:rPr>
            </w:pPr>
            <w:r w:rsidRPr="006E1BA9">
              <w:rPr>
                <w:rFonts w:cs="Arial"/>
                <w:b/>
                <w:bCs/>
              </w:rPr>
              <w:t xml:space="preserve">Target: </w:t>
            </w:r>
            <w:r w:rsidRPr="006E1BA9">
              <w:rPr>
                <w:rFonts w:cs="Arial"/>
              </w:rPr>
              <w:t>Mandatory payments to multilateral development institutions are paid on time.</w:t>
            </w:r>
          </w:p>
          <w:p w14:paraId="2DAFDBB9" w14:textId="77777777" w:rsidR="00A85B5B" w:rsidRPr="006E1BA9" w:rsidRDefault="00A85B5B" w:rsidP="00C375FE">
            <w:pPr>
              <w:pStyle w:val="TableTextLeft"/>
              <w:spacing w:before="0"/>
              <w:rPr>
                <w:rFonts w:cs="Arial"/>
                <w:b/>
                <w:bCs/>
              </w:rPr>
            </w:pPr>
          </w:p>
          <w:p w14:paraId="64D58928" w14:textId="1409B750" w:rsidR="006E1BA9" w:rsidRDefault="006E1BA9" w:rsidP="001D2021">
            <w:pPr>
              <w:pStyle w:val="TableTextLeft"/>
              <w:spacing w:before="0"/>
              <w:rPr>
                <w:rFonts w:cs="Arial"/>
              </w:rPr>
            </w:pPr>
            <w:r w:rsidRPr="006E1BA9">
              <w:rPr>
                <w:rFonts w:cs="Arial"/>
                <w:b/>
                <w:bCs/>
              </w:rPr>
              <w:t xml:space="preserve">The target is at risk. </w:t>
            </w:r>
            <w:r w:rsidRPr="006E1BA9">
              <w:rPr>
                <w:rFonts w:cs="Arial"/>
              </w:rPr>
              <w:t>From 1 July to 31</w:t>
            </w:r>
            <w:r w:rsidR="00A85B5B">
              <w:rPr>
                <w:rFonts w:cs="Arial"/>
              </w:rPr>
              <w:t> </w:t>
            </w:r>
            <w:r w:rsidRPr="006E1BA9">
              <w:rPr>
                <w:rFonts w:cs="Arial"/>
              </w:rPr>
              <w:t>December 2025, 6 of 7 payments were paid on or before the agreed date. One payment was more than 7 days late, resulting in an 'at risk’ expected result.</w:t>
            </w:r>
          </w:p>
          <w:p w14:paraId="62652690" w14:textId="77777777" w:rsidR="001D2021" w:rsidRPr="006E1BA9" w:rsidRDefault="001D2021" w:rsidP="00C375FE">
            <w:pPr>
              <w:pStyle w:val="TableTextLeft"/>
              <w:spacing w:before="80"/>
              <w:rPr>
                <w:rFonts w:cs="Arial"/>
                <w:b/>
                <w:bCs/>
              </w:rPr>
            </w:pPr>
          </w:p>
          <w:p w14:paraId="6EFBB139" w14:textId="77777777" w:rsidR="006E1BA9" w:rsidRPr="006E1BA9" w:rsidRDefault="006E1BA9" w:rsidP="001D2021">
            <w:pPr>
              <w:pStyle w:val="TableTextLeft"/>
              <w:spacing w:before="0"/>
              <w:rPr>
                <w:rFonts w:cs="Arial"/>
              </w:rPr>
            </w:pPr>
            <w:r w:rsidRPr="006E1BA9">
              <w:rPr>
                <w:rFonts w:cs="Arial"/>
              </w:rPr>
              <w:t>Data for the remaining 3 payments will be available after 30 June 2026 and reported in the Performance Statements 2025–26.</w:t>
            </w:r>
          </w:p>
          <w:p w14:paraId="48CAD4E9" w14:textId="77777777" w:rsidR="006E1BA9" w:rsidRPr="006E1BA9" w:rsidRDefault="006E1BA9" w:rsidP="00C375FE">
            <w:pPr>
              <w:pStyle w:val="TableTextLeft"/>
              <w:spacing w:before="0" w:after="0"/>
              <w:rPr>
                <w:rFonts w:cs="Arial"/>
                <w:b/>
                <w:bCs/>
              </w:rPr>
            </w:pPr>
          </w:p>
          <w:p w14:paraId="27586C10" w14:textId="6F0C924F" w:rsidR="006E1BA9" w:rsidRPr="001D2021" w:rsidRDefault="006E1BA9" w:rsidP="001D2021">
            <w:pPr>
              <w:pStyle w:val="TableTextLeft"/>
              <w:spacing w:before="0" w:after="120"/>
              <w:rPr>
                <w:rFonts w:cs="Arial"/>
                <w:b/>
                <w:bCs/>
              </w:rPr>
            </w:pPr>
            <w:r w:rsidRPr="006E1BA9">
              <w:rPr>
                <w:rFonts w:cs="Arial"/>
                <w:b/>
                <w:bCs/>
              </w:rPr>
              <w:t xml:space="preserve">Performance measure: </w:t>
            </w:r>
            <w:r w:rsidRPr="006E1BA9">
              <w:rPr>
                <w:rFonts w:cs="Arial"/>
              </w:rPr>
              <w:t>At risk.</w:t>
            </w:r>
            <w:r w:rsidRPr="006E1BA9">
              <w:rPr>
                <w:rFonts w:cs="Arial"/>
                <w:b/>
                <w:bCs/>
              </w:rPr>
              <w:t xml:space="preserve">  </w:t>
            </w:r>
          </w:p>
        </w:tc>
      </w:tr>
      <w:tr w:rsidR="006E1BA9" w:rsidRPr="006E1BA9" w14:paraId="7159659E" w14:textId="77777777">
        <w:trPr>
          <w:cantSplit/>
          <w:trHeight w:val="100"/>
        </w:trPr>
        <w:tc>
          <w:tcPr>
            <w:tcW w:w="1560" w:type="dxa"/>
            <w:tcBorders>
              <w:top w:val="single" w:sz="4" w:space="0" w:color="auto"/>
              <w:bottom w:val="dotted" w:sz="4" w:space="0" w:color="auto"/>
              <w:right w:val="single" w:sz="4" w:space="0" w:color="auto"/>
            </w:tcBorders>
          </w:tcPr>
          <w:p w14:paraId="6E97FC5C" w14:textId="77777777" w:rsidR="006E1BA9" w:rsidRPr="006E1BA9" w:rsidRDefault="006E1BA9" w:rsidP="00C375FE">
            <w:pPr>
              <w:pStyle w:val="TableColumnHeadingLeft"/>
              <w:rPr>
                <w:rFonts w:ascii="Arial" w:hAnsi="Arial" w:cs="Arial"/>
              </w:rPr>
            </w:pPr>
            <w:r w:rsidRPr="006E1BA9">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7B956D2" w14:textId="77777777" w:rsidR="006E1BA9" w:rsidRPr="006E1BA9" w:rsidRDefault="006E1BA9" w:rsidP="00C375FE">
            <w:pPr>
              <w:pStyle w:val="TableColumnHeadingLeft"/>
              <w:rPr>
                <w:rFonts w:ascii="Arial" w:hAnsi="Arial" w:cs="Arial"/>
              </w:rPr>
            </w:pPr>
            <w:r w:rsidRPr="006E1BA9">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7C44AACD" w14:textId="77777777" w:rsidR="006E1BA9" w:rsidRPr="006E1BA9" w:rsidRDefault="006E1BA9" w:rsidP="00C375FE">
            <w:pPr>
              <w:pStyle w:val="TableColumnHeadingLeft"/>
              <w:rPr>
                <w:rFonts w:ascii="Arial" w:hAnsi="Arial" w:cs="Arial"/>
              </w:rPr>
            </w:pPr>
            <w:r w:rsidRPr="006E1BA9">
              <w:rPr>
                <w:rFonts w:ascii="Arial" w:hAnsi="Arial" w:cs="Arial"/>
              </w:rPr>
              <w:t xml:space="preserve">Planned performance results </w:t>
            </w:r>
          </w:p>
        </w:tc>
      </w:tr>
      <w:tr w:rsidR="006E1BA9" w:rsidRPr="006E1BA9" w14:paraId="1743FE50" w14:textId="77777777">
        <w:trPr>
          <w:cantSplit/>
          <w:trHeight w:val="782"/>
        </w:trPr>
        <w:tc>
          <w:tcPr>
            <w:tcW w:w="1560" w:type="dxa"/>
            <w:tcBorders>
              <w:top w:val="single" w:sz="4" w:space="0" w:color="auto"/>
              <w:bottom w:val="dotted" w:sz="4" w:space="0" w:color="auto"/>
              <w:right w:val="single" w:sz="4" w:space="0" w:color="auto"/>
            </w:tcBorders>
          </w:tcPr>
          <w:p w14:paraId="0D9C5503" w14:textId="77777777" w:rsidR="006E1BA9" w:rsidRPr="006E1BA9" w:rsidRDefault="006E1BA9" w:rsidP="00C375FE">
            <w:pPr>
              <w:pStyle w:val="TableTextLeft"/>
              <w:rPr>
                <w:rFonts w:cs="Arial"/>
              </w:rPr>
            </w:pPr>
            <w:r w:rsidRPr="006E1BA9">
              <w:rPr>
                <w:rFonts w:cs="Arial"/>
              </w:rPr>
              <w:t xml:space="preserve">Budget Year </w:t>
            </w:r>
          </w:p>
          <w:p w14:paraId="41761C3F" w14:textId="77777777" w:rsidR="006E1BA9" w:rsidRPr="006E1BA9" w:rsidRDefault="006E1BA9" w:rsidP="00C375FE">
            <w:pPr>
              <w:pStyle w:val="TableTextLeft"/>
              <w:rPr>
                <w:rFonts w:cs="Arial"/>
              </w:rPr>
            </w:pPr>
            <w:r w:rsidRPr="006E1BA9">
              <w:rPr>
                <w:rFonts w:cs="Arial"/>
              </w:rPr>
              <w:t>2026–27</w:t>
            </w:r>
          </w:p>
        </w:tc>
        <w:tc>
          <w:tcPr>
            <w:tcW w:w="3118" w:type="dxa"/>
            <w:tcBorders>
              <w:top w:val="single" w:sz="4" w:space="0" w:color="auto"/>
              <w:left w:val="single" w:sz="4" w:space="0" w:color="auto"/>
              <w:bottom w:val="dotted" w:sz="4" w:space="0" w:color="auto"/>
              <w:right w:val="single" w:sz="4" w:space="0" w:color="auto"/>
            </w:tcBorders>
          </w:tcPr>
          <w:p w14:paraId="6B2673A7" w14:textId="77777777" w:rsidR="006E1BA9" w:rsidRPr="006E1BA9" w:rsidRDefault="006E1BA9" w:rsidP="00C375FE">
            <w:pPr>
              <w:pStyle w:val="TableTextLeft"/>
              <w:rPr>
                <w:rFonts w:cs="Arial"/>
              </w:rPr>
            </w:pPr>
            <w:r w:rsidRPr="006E1BA9">
              <w:rPr>
                <w:rFonts w:cs="Arial"/>
              </w:rPr>
              <w:t>Australia’s payments to multilateral development organisations generate collective action on issues impacting Australia.</w:t>
            </w:r>
          </w:p>
          <w:p w14:paraId="3D2FB48C" w14:textId="77777777" w:rsidR="006E1BA9" w:rsidRPr="006E1BA9" w:rsidRDefault="006E1BA9" w:rsidP="00C375FE">
            <w:pPr>
              <w:pStyle w:val="TableTextLeft"/>
              <w:rPr>
                <w:rFonts w:cs="Arial"/>
              </w:rPr>
            </w:pPr>
          </w:p>
        </w:tc>
        <w:tc>
          <w:tcPr>
            <w:tcW w:w="3118" w:type="dxa"/>
            <w:tcBorders>
              <w:top w:val="single" w:sz="4" w:space="0" w:color="auto"/>
              <w:left w:val="single" w:sz="4" w:space="0" w:color="auto"/>
              <w:bottom w:val="dotted" w:sz="4" w:space="0" w:color="auto"/>
            </w:tcBorders>
          </w:tcPr>
          <w:p w14:paraId="06C6E4CB" w14:textId="25372DE1" w:rsidR="006E1BA9" w:rsidRPr="00A85B5B" w:rsidRDefault="006E1BA9" w:rsidP="00A85B5B">
            <w:pPr>
              <w:pStyle w:val="TableTextLeft"/>
              <w:spacing w:before="0"/>
              <w:rPr>
                <w:rFonts w:cs="Arial"/>
                <w:b/>
                <w:bCs/>
              </w:rPr>
            </w:pPr>
            <w:r w:rsidRPr="006E1BA9">
              <w:rPr>
                <w:rFonts w:cs="Arial"/>
                <w:b/>
                <w:bCs/>
              </w:rPr>
              <w:t xml:space="preserve">Target: </w:t>
            </w:r>
            <w:r w:rsidRPr="006E1BA9">
              <w:rPr>
                <w:rFonts w:cs="Arial"/>
              </w:rPr>
              <w:t>Mandatory payments to multilateral development institutions are paid on time.</w:t>
            </w:r>
          </w:p>
        </w:tc>
      </w:tr>
      <w:tr w:rsidR="006E1BA9" w:rsidRPr="006E1BA9" w14:paraId="72BEAB00" w14:textId="77777777">
        <w:trPr>
          <w:cantSplit/>
          <w:trHeight w:val="491"/>
        </w:trPr>
        <w:tc>
          <w:tcPr>
            <w:tcW w:w="1560" w:type="dxa"/>
            <w:tcBorders>
              <w:top w:val="dotted" w:sz="4" w:space="0" w:color="auto"/>
              <w:bottom w:val="dotted" w:sz="4" w:space="0" w:color="auto"/>
              <w:right w:val="single" w:sz="4" w:space="0" w:color="auto"/>
            </w:tcBorders>
          </w:tcPr>
          <w:p w14:paraId="2680103E" w14:textId="77777777" w:rsidR="006E1BA9" w:rsidRPr="006E1BA9" w:rsidRDefault="006E1BA9" w:rsidP="00C375FE">
            <w:pPr>
              <w:pStyle w:val="TableTextLeft"/>
              <w:rPr>
                <w:rFonts w:cs="Arial"/>
              </w:rPr>
            </w:pPr>
            <w:r w:rsidRPr="006E1BA9">
              <w:rPr>
                <w:rFonts w:cs="Arial"/>
              </w:rPr>
              <w:t xml:space="preserve">Forward Estimates </w:t>
            </w:r>
          </w:p>
          <w:p w14:paraId="19FBD173" w14:textId="77777777" w:rsidR="006E1BA9" w:rsidRPr="006E1BA9" w:rsidRDefault="006E1BA9" w:rsidP="00C375FE">
            <w:pPr>
              <w:pStyle w:val="TableTextLeft"/>
              <w:rPr>
                <w:rFonts w:cs="Arial"/>
                <w:b/>
              </w:rPr>
            </w:pPr>
            <w:r w:rsidRPr="006E1BA9">
              <w:rPr>
                <w:rFonts w:cs="Arial"/>
              </w:rPr>
              <w:t>2027–30</w:t>
            </w:r>
          </w:p>
        </w:tc>
        <w:tc>
          <w:tcPr>
            <w:tcW w:w="3118" w:type="dxa"/>
            <w:tcBorders>
              <w:top w:val="dotted" w:sz="4" w:space="0" w:color="auto"/>
              <w:left w:val="single" w:sz="4" w:space="0" w:color="auto"/>
              <w:bottom w:val="dotted" w:sz="4" w:space="0" w:color="auto"/>
              <w:right w:val="single" w:sz="4" w:space="0" w:color="auto"/>
            </w:tcBorders>
          </w:tcPr>
          <w:p w14:paraId="6C9EE1B8" w14:textId="77777777" w:rsidR="006E1BA9" w:rsidRPr="006E1BA9" w:rsidRDefault="006E1BA9" w:rsidP="00C375FE">
            <w:pPr>
              <w:pStyle w:val="TableTextLeft"/>
              <w:rPr>
                <w:rFonts w:cs="Arial"/>
                <w:b/>
              </w:rPr>
            </w:pPr>
            <w:r w:rsidRPr="006E1BA9">
              <w:rPr>
                <w:rFonts w:cs="Arial"/>
              </w:rPr>
              <w:t>As per 2026–27</w:t>
            </w:r>
          </w:p>
        </w:tc>
        <w:tc>
          <w:tcPr>
            <w:tcW w:w="3118" w:type="dxa"/>
            <w:tcBorders>
              <w:top w:val="dotted" w:sz="4" w:space="0" w:color="auto"/>
              <w:left w:val="single" w:sz="4" w:space="0" w:color="auto"/>
              <w:bottom w:val="dotted" w:sz="4" w:space="0" w:color="auto"/>
            </w:tcBorders>
          </w:tcPr>
          <w:p w14:paraId="264651D9" w14:textId="77777777" w:rsidR="006E1BA9" w:rsidRPr="006E1BA9" w:rsidRDefault="006E1BA9" w:rsidP="00C375FE">
            <w:pPr>
              <w:pStyle w:val="TableTextLeft"/>
              <w:rPr>
                <w:rFonts w:cs="Arial"/>
                <w:b/>
              </w:rPr>
            </w:pPr>
            <w:r w:rsidRPr="006E1BA9">
              <w:rPr>
                <w:rFonts w:cs="Arial"/>
              </w:rPr>
              <w:t>As per 2026–27</w:t>
            </w:r>
          </w:p>
        </w:tc>
      </w:tr>
      <w:tr w:rsidR="006E1BA9" w:rsidRPr="006E1BA9" w14:paraId="4B681ABE" w14:textId="77777777">
        <w:trPr>
          <w:cantSplit/>
          <w:trHeight w:val="261"/>
        </w:trPr>
        <w:tc>
          <w:tcPr>
            <w:tcW w:w="7796" w:type="dxa"/>
            <w:gridSpan w:val="3"/>
          </w:tcPr>
          <w:p w14:paraId="17B30F8C" w14:textId="77777777" w:rsidR="006E1BA9" w:rsidRPr="006E1BA9" w:rsidRDefault="006E1BA9" w:rsidP="00C375FE">
            <w:pPr>
              <w:pStyle w:val="TableTextLeft"/>
              <w:rPr>
                <w:rFonts w:eastAsia="Cambria" w:cs="Arial"/>
                <w:spacing w:val="-6"/>
              </w:rPr>
            </w:pPr>
            <w:r w:rsidRPr="006E1BA9">
              <w:rPr>
                <w:rFonts w:cs="Arial"/>
              </w:rPr>
              <w:t>Material changes to Program 1.3 resulting from 2026–27 Budget Measures:</w:t>
            </w:r>
            <w:r w:rsidRPr="006E1BA9">
              <w:rPr>
                <w:rFonts w:eastAsia="Cambria" w:cs="Arial"/>
                <w:spacing w:val="-6"/>
                <w:lang w:eastAsia="en-US"/>
              </w:rPr>
              <w:t xml:space="preserve"> Nil</w:t>
            </w:r>
          </w:p>
        </w:tc>
      </w:tr>
    </w:tbl>
    <w:p w14:paraId="7529BEB6" w14:textId="77777777" w:rsidR="006E1BA9" w:rsidRPr="006E1BA9" w:rsidRDefault="006E1BA9" w:rsidP="006E1BA9">
      <w:pPr>
        <w:pStyle w:val="TableGraphic"/>
      </w:pPr>
    </w:p>
    <w:p w14:paraId="5E0CA0C0" w14:textId="2194F9BA" w:rsidR="006E1BA9" w:rsidRDefault="006E1BA9">
      <w:pPr>
        <w:spacing w:before="0" w:after="0" w:line="240" w:lineRule="auto"/>
      </w:pPr>
      <w:r>
        <w:br w:type="page"/>
      </w:r>
    </w:p>
    <w:p w14:paraId="446DB4BE" w14:textId="77777777" w:rsidR="00A756E4" w:rsidRDefault="00A756E4" w:rsidP="00A756E4">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2"/>
        <w:gridCol w:w="3083"/>
      </w:tblGrid>
      <w:tr w:rsidR="00335109" w:rsidRPr="00335109" w14:paraId="00FDC724" w14:textId="77777777">
        <w:trPr>
          <w:cantSplit/>
          <w:trHeight w:val="261"/>
          <w:tblHeader/>
        </w:trPr>
        <w:tc>
          <w:tcPr>
            <w:tcW w:w="7700" w:type="dxa"/>
            <w:gridSpan w:val="3"/>
            <w:shd w:val="clear" w:color="auto" w:fill="F2F2F2" w:themeFill="background1" w:themeFillShade="F2"/>
          </w:tcPr>
          <w:p w14:paraId="7DF6D2B1" w14:textId="77777777" w:rsidR="00331FB6" w:rsidRPr="00335109" w:rsidRDefault="00331FB6" w:rsidP="00C375FE">
            <w:pPr>
              <w:pStyle w:val="TableColumnHeadingLeft"/>
              <w:rPr>
                <w:rFonts w:ascii="Arial" w:hAnsi="Arial" w:cs="Arial"/>
                <w:bCs/>
              </w:rPr>
            </w:pPr>
            <w:r w:rsidRPr="00335109">
              <w:rPr>
                <w:rFonts w:ascii="Arial" w:hAnsi="Arial" w:cs="Arial"/>
              </w:rPr>
              <w:t>Outcome 1</w:t>
            </w:r>
            <w:r w:rsidRPr="00335109">
              <w:rPr>
                <w:rFonts w:ascii="Arial" w:hAnsi="Arial" w:cs="Arial"/>
                <w:bCs/>
              </w:rPr>
              <w:t xml:space="preserve"> </w:t>
            </w:r>
            <w:r w:rsidRPr="00335109">
              <w:rPr>
                <w:rFonts w:ascii="Arial" w:hAnsi="Arial" w:cs="Arial"/>
              </w:rPr>
              <w:t>– The advancement of Australia’s international strategic, security and economic interests including through bilateral, regional and multilateral engagement on Australian Government foreign, trade and international development policy priorities.</w:t>
            </w:r>
          </w:p>
        </w:tc>
      </w:tr>
      <w:tr w:rsidR="00335109" w:rsidRPr="00335109" w14:paraId="3CEF8A92" w14:textId="77777777" w:rsidTr="00A85B5B">
        <w:trPr>
          <w:cantSplit/>
          <w:trHeight w:val="388"/>
          <w:tblHeader/>
        </w:trPr>
        <w:tc>
          <w:tcPr>
            <w:tcW w:w="7700" w:type="dxa"/>
            <w:gridSpan w:val="3"/>
            <w:shd w:val="clear" w:color="auto" w:fill="F2F2F2" w:themeFill="background1" w:themeFillShade="F2"/>
          </w:tcPr>
          <w:p w14:paraId="22CD66DA" w14:textId="77777777" w:rsidR="00331FB6" w:rsidRPr="00335109" w:rsidRDefault="00331FB6" w:rsidP="00C375FE">
            <w:pPr>
              <w:pStyle w:val="TableColumnHeadingLeft"/>
              <w:rPr>
                <w:rFonts w:ascii="Arial" w:hAnsi="Arial" w:cs="Arial"/>
              </w:rPr>
            </w:pPr>
            <w:r w:rsidRPr="00335109">
              <w:rPr>
                <w:rFonts w:ascii="Arial" w:hAnsi="Arial" w:cs="Arial"/>
              </w:rPr>
              <w:t xml:space="preserve">Program 1.4 – </w:t>
            </w:r>
            <w:r w:rsidRPr="00335109">
              <w:rPr>
                <w:rFonts w:ascii="Arial" w:eastAsia="Arial" w:hAnsi="Arial" w:cs="Arial"/>
              </w:rPr>
              <w:t xml:space="preserve">Payments to International Organisations </w:t>
            </w:r>
            <w:r w:rsidRPr="00335109">
              <w:rPr>
                <w:rFonts w:ascii="Arial" w:eastAsia="Arial" w:hAnsi="Arial" w:cs="Arial"/>
                <w:b w:val="0"/>
                <w:bCs/>
              </w:rPr>
              <w:t>advance Australia’s foreign, trade and investment, development and international security interests.</w:t>
            </w:r>
          </w:p>
        </w:tc>
      </w:tr>
      <w:tr w:rsidR="00335109" w:rsidRPr="00335109" w14:paraId="061A336C" w14:textId="77777777" w:rsidTr="00B229D9">
        <w:trPr>
          <w:cantSplit/>
          <w:trHeight w:val="261"/>
        </w:trPr>
        <w:tc>
          <w:tcPr>
            <w:tcW w:w="1545" w:type="dxa"/>
            <w:tcBorders>
              <w:bottom w:val="double" w:sz="4" w:space="0" w:color="auto"/>
            </w:tcBorders>
          </w:tcPr>
          <w:p w14:paraId="4CA3CC0E" w14:textId="77777777" w:rsidR="00331FB6" w:rsidRPr="00335109" w:rsidRDefault="00331FB6" w:rsidP="00C375FE">
            <w:pPr>
              <w:pStyle w:val="TableColumnHeadingLeft"/>
              <w:rPr>
                <w:rFonts w:ascii="Arial" w:hAnsi="Arial" w:cs="Arial"/>
              </w:rPr>
            </w:pPr>
            <w:r w:rsidRPr="00335109">
              <w:rPr>
                <w:rFonts w:ascii="Arial" w:hAnsi="Arial" w:cs="Arial"/>
              </w:rPr>
              <w:t>Key activities</w:t>
            </w:r>
          </w:p>
        </w:tc>
        <w:tc>
          <w:tcPr>
            <w:tcW w:w="6155" w:type="dxa"/>
            <w:gridSpan w:val="2"/>
            <w:tcBorders>
              <w:bottom w:val="double" w:sz="4" w:space="0" w:color="auto"/>
            </w:tcBorders>
          </w:tcPr>
          <w:p w14:paraId="42D8227B" w14:textId="77777777" w:rsidR="00331FB6" w:rsidRPr="00335109" w:rsidRDefault="00331FB6" w:rsidP="00C375FE">
            <w:pPr>
              <w:pStyle w:val="TableTextLeft"/>
              <w:rPr>
                <w:rFonts w:cs="Arial"/>
              </w:rPr>
            </w:pPr>
            <w:r w:rsidRPr="00335109">
              <w:rPr>
                <w:rFonts w:cs="Arial"/>
              </w:rPr>
              <w:t>Key activities reported in the Corporate Plan 2025–26 that relate to this program.</w:t>
            </w:r>
          </w:p>
          <w:p w14:paraId="78AFAA03" w14:textId="77777777" w:rsidR="00331FB6" w:rsidRPr="00335109" w:rsidRDefault="00331FB6" w:rsidP="00707A3D">
            <w:pPr>
              <w:pStyle w:val="TableTextLeft"/>
              <w:numPr>
                <w:ilvl w:val="0"/>
                <w:numId w:val="48"/>
              </w:numPr>
              <w:rPr>
                <w:rFonts w:cs="Arial"/>
              </w:rPr>
            </w:pPr>
            <w:r w:rsidRPr="00335109">
              <w:rPr>
                <w:rFonts w:cs="Arial"/>
              </w:rPr>
              <w:t>Advocate within multilateral institutions.</w:t>
            </w:r>
          </w:p>
        </w:tc>
      </w:tr>
      <w:tr w:rsidR="00335109" w:rsidRPr="00335109" w14:paraId="5EEE962F" w14:textId="77777777" w:rsidTr="00B229D9">
        <w:trPr>
          <w:cantSplit/>
          <w:trHeight w:val="258"/>
        </w:trPr>
        <w:tc>
          <w:tcPr>
            <w:tcW w:w="1545" w:type="dxa"/>
            <w:tcBorders>
              <w:top w:val="double" w:sz="4" w:space="0" w:color="auto"/>
              <w:bottom w:val="single" w:sz="4" w:space="0" w:color="auto"/>
              <w:right w:val="single" w:sz="4" w:space="0" w:color="auto"/>
            </w:tcBorders>
          </w:tcPr>
          <w:p w14:paraId="3633734D" w14:textId="77777777" w:rsidR="00331FB6" w:rsidRPr="00335109" w:rsidRDefault="00331FB6" w:rsidP="00C375FE">
            <w:pPr>
              <w:pStyle w:val="TableColumnHeadingLeft"/>
              <w:rPr>
                <w:rFonts w:ascii="Arial" w:hAnsi="Arial" w:cs="Arial"/>
              </w:rPr>
            </w:pPr>
            <w:r w:rsidRPr="00335109">
              <w:rPr>
                <w:rFonts w:ascii="Arial" w:hAnsi="Arial" w:cs="Arial"/>
              </w:rPr>
              <w:t>Year</w:t>
            </w:r>
          </w:p>
        </w:tc>
        <w:tc>
          <w:tcPr>
            <w:tcW w:w="3072" w:type="dxa"/>
            <w:tcBorders>
              <w:top w:val="double" w:sz="4" w:space="0" w:color="auto"/>
              <w:left w:val="single" w:sz="4" w:space="0" w:color="auto"/>
              <w:bottom w:val="single" w:sz="4" w:space="0" w:color="auto"/>
              <w:right w:val="single" w:sz="4" w:space="0" w:color="auto"/>
            </w:tcBorders>
          </w:tcPr>
          <w:p w14:paraId="6EDB2C3C" w14:textId="77777777" w:rsidR="00331FB6" w:rsidRPr="00335109" w:rsidRDefault="00331FB6" w:rsidP="00C375FE">
            <w:pPr>
              <w:pStyle w:val="TableColumnHeadingLeft"/>
              <w:rPr>
                <w:rFonts w:ascii="Arial" w:hAnsi="Arial" w:cs="Arial"/>
              </w:rPr>
            </w:pPr>
            <w:r w:rsidRPr="00335109">
              <w:rPr>
                <w:rFonts w:ascii="Arial" w:hAnsi="Arial" w:cs="Arial"/>
              </w:rPr>
              <w:t xml:space="preserve">Performance measures </w:t>
            </w:r>
          </w:p>
        </w:tc>
        <w:tc>
          <w:tcPr>
            <w:tcW w:w="3083" w:type="dxa"/>
            <w:tcBorders>
              <w:top w:val="double" w:sz="4" w:space="0" w:color="auto"/>
              <w:left w:val="single" w:sz="4" w:space="0" w:color="auto"/>
              <w:bottom w:val="single" w:sz="4" w:space="0" w:color="auto"/>
            </w:tcBorders>
          </w:tcPr>
          <w:p w14:paraId="693CDCC6" w14:textId="77777777" w:rsidR="00331FB6" w:rsidRPr="00335109" w:rsidRDefault="00331FB6" w:rsidP="00C375FE">
            <w:pPr>
              <w:pStyle w:val="TableColumnHeadingLeft"/>
              <w:rPr>
                <w:rFonts w:ascii="Arial" w:hAnsi="Arial" w:cs="Arial"/>
              </w:rPr>
            </w:pPr>
            <w:r w:rsidRPr="00335109">
              <w:rPr>
                <w:rFonts w:ascii="Arial" w:hAnsi="Arial" w:cs="Arial"/>
              </w:rPr>
              <w:t>Expected performance results</w:t>
            </w:r>
          </w:p>
        </w:tc>
      </w:tr>
      <w:tr w:rsidR="00335109" w:rsidRPr="00335109" w14:paraId="56EFF53B" w14:textId="77777777" w:rsidTr="00B229D9">
        <w:trPr>
          <w:cantSplit/>
          <w:trHeight w:val="258"/>
        </w:trPr>
        <w:tc>
          <w:tcPr>
            <w:tcW w:w="1545" w:type="dxa"/>
            <w:tcBorders>
              <w:top w:val="single" w:sz="4" w:space="0" w:color="auto"/>
              <w:left w:val="single" w:sz="4" w:space="0" w:color="auto"/>
              <w:bottom w:val="single" w:sz="4" w:space="0" w:color="auto"/>
              <w:right w:val="single" w:sz="4" w:space="0" w:color="auto"/>
            </w:tcBorders>
          </w:tcPr>
          <w:p w14:paraId="7A31FF9F" w14:textId="77777777" w:rsidR="00335109" w:rsidRPr="00335109" w:rsidRDefault="00335109" w:rsidP="00335109">
            <w:pPr>
              <w:pStyle w:val="TableColumnHeadingLeft"/>
              <w:rPr>
                <w:rFonts w:ascii="Arial" w:hAnsi="Arial" w:cs="Arial"/>
                <w:b w:val="0"/>
                <w:bCs/>
              </w:rPr>
            </w:pPr>
            <w:r w:rsidRPr="00335109">
              <w:rPr>
                <w:rFonts w:ascii="Arial" w:hAnsi="Arial" w:cs="Arial"/>
                <w:b w:val="0"/>
                <w:bCs/>
              </w:rPr>
              <w:t xml:space="preserve">Current Year </w:t>
            </w:r>
          </w:p>
          <w:p w14:paraId="6B288160" w14:textId="77777777" w:rsidR="00335109" w:rsidRPr="00335109" w:rsidRDefault="00335109" w:rsidP="00335109">
            <w:pPr>
              <w:pStyle w:val="TableColumnHeadingLeft"/>
              <w:rPr>
                <w:rFonts w:ascii="Arial" w:hAnsi="Arial" w:cs="Arial"/>
              </w:rPr>
            </w:pPr>
            <w:r w:rsidRPr="00335109">
              <w:rPr>
                <w:rFonts w:ascii="Arial" w:hAnsi="Arial" w:cs="Arial"/>
                <w:b w:val="0"/>
                <w:bCs/>
              </w:rPr>
              <w:t>2025–26</w:t>
            </w:r>
          </w:p>
        </w:tc>
        <w:tc>
          <w:tcPr>
            <w:tcW w:w="3072" w:type="dxa"/>
            <w:tcBorders>
              <w:top w:val="single" w:sz="4" w:space="0" w:color="auto"/>
              <w:left w:val="single" w:sz="4" w:space="0" w:color="auto"/>
              <w:bottom w:val="single" w:sz="4" w:space="0" w:color="auto"/>
              <w:right w:val="single" w:sz="4" w:space="0" w:color="auto"/>
            </w:tcBorders>
          </w:tcPr>
          <w:p w14:paraId="0BF84194" w14:textId="77777777" w:rsidR="00335109" w:rsidRPr="00335109" w:rsidRDefault="00335109" w:rsidP="00335109">
            <w:pPr>
              <w:pStyle w:val="TableColumnHeadingLeft"/>
              <w:rPr>
                <w:rFonts w:ascii="Arial" w:hAnsi="Arial" w:cs="Arial"/>
                <w:b w:val="0"/>
                <w:bCs/>
              </w:rPr>
            </w:pPr>
            <w:r w:rsidRPr="00335109">
              <w:rPr>
                <w:rFonts w:ascii="Arial" w:hAnsi="Arial" w:cs="Arial"/>
                <w:b w:val="0"/>
                <w:bCs/>
              </w:rPr>
              <w:t>International organisations reflect Australian interests and values when addressing global challenges.</w:t>
            </w:r>
          </w:p>
          <w:p w14:paraId="4DF88E6D" w14:textId="77777777" w:rsidR="00335109" w:rsidRPr="00335109" w:rsidRDefault="00335109" w:rsidP="00335109">
            <w:pPr>
              <w:pStyle w:val="TableColumnHeadingLeft"/>
              <w:rPr>
                <w:rFonts w:ascii="Arial" w:hAnsi="Arial" w:cs="Arial"/>
              </w:rPr>
            </w:pPr>
          </w:p>
        </w:tc>
        <w:tc>
          <w:tcPr>
            <w:tcW w:w="3083" w:type="dxa"/>
            <w:tcBorders>
              <w:top w:val="single" w:sz="4" w:space="0" w:color="auto"/>
              <w:left w:val="single" w:sz="4" w:space="0" w:color="auto"/>
              <w:bottom w:val="single" w:sz="4" w:space="0" w:color="auto"/>
              <w:right w:val="single" w:sz="4" w:space="0" w:color="auto"/>
            </w:tcBorders>
          </w:tcPr>
          <w:p w14:paraId="74CEC9EF" w14:textId="0008CE3D" w:rsidR="00335109" w:rsidRPr="00335109" w:rsidRDefault="00335109" w:rsidP="001D2021">
            <w:pPr>
              <w:pStyle w:val="TableColumnHeadingLeft"/>
              <w:spacing w:after="120"/>
              <w:rPr>
                <w:rFonts w:ascii="Arial" w:hAnsi="Arial" w:cs="Arial"/>
                <w:b w:val="0"/>
                <w:bCs/>
              </w:rPr>
            </w:pPr>
            <w:r w:rsidRPr="00335109">
              <w:rPr>
                <w:rFonts w:ascii="Arial" w:hAnsi="Arial" w:cs="Arial"/>
              </w:rPr>
              <w:t xml:space="preserve">Target: </w:t>
            </w:r>
            <w:r w:rsidRPr="00335109">
              <w:rPr>
                <w:rFonts w:ascii="Arial" w:hAnsi="Arial" w:cs="Arial"/>
                <w:b w:val="0"/>
                <w:bCs/>
              </w:rPr>
              <w:t>Three focus areas demonstrate Australia’s influence and engagement in international institutions:</w:t>
            </w:r>
          </w:p>
          <w:p w14:paraId="3C25CE9C" w14:textId="4578DDA7" w:rsidR="00335109" w:rsidRPr="001D2021" w:rsidRDefault="001D2021" w:rsidP="001D2021">
            <w:pPr>
              <w:pStyle w:val="TableTextLeft"/>
              <w:spacing w:before="0"/>
              <w:rPr>
                <w:rFonts w:cs="Arial"/>
                <w:b/>
                <w:bCs/>
              </w:rPr>
            </w:pPr>
            <w:r>
              <w:rPr>
                <w:rFonts w:cs="Arial"/>
                <w:b/>
                <w:bCs/>
              </w:rPr>
              <w:t xml:space="preserve">1. </w:t>
            </w:r>
            <w:r w:rsidR="00335109" w:rsidRPr="001D2021">
              <w:rPr>
                <w:rFonts w:cs="Arial"/>
                <w:b/>
                <w:bCs/>
              </w:rPr>
              <w:t xml:space="preserve">Delivery of planned strategic objectives for the United Nations General Assembly (UNGA) </w:t>
            </w:r>
            <w:r w:rsidRPr="001D2021">
              <w:rPr>
                <w:rFonts w:cs="Arial"/>
                <w:b/>
                <w:bCs/>
              </w:rPr>
              <w:br/>
            </w:r>
            <w:r w:rsidR="00335109" w:rsidRPr="001D2021">
              <w:rPr>
                <w:rFonts w:cs="Arial"/>
                <w:b/>
                <w:bCs/>
              </w:rPr>
              <w:t>High</w:t>
            </w:r>
            <w:r w:rsidRPr="001D2021">
              <w:rPr>
                <w:rFonts w:cs="Arial"/>
                <w:b/>
                <w:bCs/>
              </w:rPr>
              <w:t>-</w:t>
            </w:r>
            <w:r w:rsidR="00335109" w:rsidRPr="001D2021">
              <w:rPr>
                <w:rFonts w:cs="Arial"/>
                <w:b/>
                <w:bCs/>
              </w:rPr>
              <w:t>Level Week:</w:t>
            </w:r>
          </w:p>
          <w:p w14:paraId="2B8AD032" w14:textId="2295BA89" w:rsidR="00335109" w:rsidRPr="00335109" w:rsidRDefault="00335109" w:rsidP="001D2021">
            <w:pPr>
              <w:pStyle w:val="TableColumnHeadingLeft"/>
              <w:spacing w:after="120"/>
              <w:rPr>
                <w:rFonts w:ascii="Arial" w:hAnsi="Arial" w:cs="Arial"/>
              </w:rPr>
            </w:pPr>
            <w:r w:rsidRPr="00335109">
              <w:rPr>
                <w:rFonts w:ascii="Arial" w:hAnsi="Arial" w:cs="Arial"/>
              </w:rPr>
              <w:t xml:space="preserve">Achieved. </w:t>
            </w:r>
            <w:r w:rsidRPr="00335109">
              <w:rPr>
                <w:rFonts w:ascii="Arial" w:hAnsi="Arial" w:cs="Arial"/>
                <w:b w:val="0"/>
                <w:bCs/>
              </w:rPr>
              <w:t>Of the 39 events Australia’s Foreign Minister attended at High-Level Week in 2025, all 39 of these (100%) were assessed as aligning with at least one of Australia’s 4 strategic objectives for High-Level Week. Against a target of 98%, this focus area is considered ‘achieved’. A detailed analysis of the results will be reported in the Performance Statements 2025–26.</w:t>
            </w:r>
            <w:r w:rsidRPr="00335109">
              <w:rPr>
                <w:rFonts w:ascii="Arial" w:hAnsi="Arial" w:cs="Arial"/>
              </w:rPr>
              <w:t xml:space="preserve">  </w:t>
            </w:r>
          </w:p>
          <w:p w14:paraId="0761DDAB" w14:textId="6578AE62" w:rsidR="00335109" w:rsidRPr="001D2021" w:rsidRDefault="001D2021" w:rsidP="001D2021">
            <w:pPr>
              <w:pStyle w:val="TableTextLeft"/>
              <w:spacing w:before="0"/>
              <w:rPr>
                <w:rFonts w:cs="Arial"/>
                <w:b/>
                <w:bCs/>
              </w:rPr>
            </w:pPr>
            <w:r>
              <w:rPr>
                <w:rFonts w:cs="Arial"/>
                <w:b/>
                <w:bCs/>
              </w:rPr>
              <w:t xml:space="preserve">2. </w:t>
            </w:r>
            <w:r w:rsidR="00335109" w:rsidRPr="001D2021">
              <w:rPr>
                <w:rFonts w:cs="Arial"/>
                <w:b/>
                <w:bCs/>
              </w:rPr>
              <w:t>Election of Australian multilateral candidatures:</w:t>
            </w:r>
          </w:p>
          <w:p w14:paraId="15C65DC0" w14:textId="2C6401EC" w:rsidR="00335109" w:rsidRPr="00335109" w:rsidRDefault="00335109" w:rsidP="001D2021">
            <w:pPr>
              <w:pStyle w:val="TableColumnHeadingLeft"/>
              <w:spacing w:after="120"/>
              <w:rPr>
                <w:rFonts w:ascii="Arial" w:hAnsi="Arial" w:cs="Arial"/>
              </w:rPr>
            </w:pPr>
            <w:r w:rsidRPr="00335109">
              <w:rPr>
                <w:rFonts w:ascii="Arial" w:hAnsi="Arial" w:cs="Arial"/>
              </w:rPr>
              <w:t xml:space="preserve">Achieved. </w:t>
            </w:r>
            <w:r w:rsidRPr="00335109">
              <w:rPr>
                <w:rFonts w:ascii="Arial" w:hAnsi="Arial" w:cs="Arial"/>
                <w:b w:val="0"/>
                <w:bCs/>
              </w:rPr>
              <w:t>From 1 July to 31 December 2025, Australia was successfully elected to the Universal Postal Union Council of Administration and the Postal Operations Council for the 2026–29 term; the International Civil Aviation Organization Council for the 2025–28 term; and the International Maritime Organization Council for the 2026–27 term, therefore the target of all 4 candidacies elected in 2025–26 was ‘achieved’. A detailed analysis of the results will be reported in the Performance Statements 2025–26.</w:t>
            </w:r>
            <w:r w:rsidRPr="00335109">
              <w:rPr>
                <w:rFonts w:ascii="Arial" w:hAnsi="Arial" w:cs="Arial"/>
              </w:rPr>
              <w:t xml:space="preserve">  </w:t>
            </w:r>
          </w:p>
          <w:p w14:paraId="76074FA3" w14:textId="2D8CA20B" w:rsidR="00335109" w:rsidRPr="001D2021" w:rsidRDefault="001D2021" w:rsidP="001D2021">
            <w:pPr>
              <w:pStyle w:val="TableTextLeft"/>
              <w:spacing w:before="0"/>
              <w:rPr>
                <w:rFonts w:cs="Arial"/>
                <w:b/>
                <w:bCs/>
              </w:rPr>
            </w:pPr>
            <w:r>
              <w:rPr>
                <w:rFonts w:cs="Arial"/>
                <w:b/>
                <w:bCs/>
              </w:rPr>
              <w:t xml:space="preserve">3. </w:t>
            </w:r>
            <w:r w:rsidR="00335109" w:rsidRPr="001D2021">
              <w:rPr>
                <w:rFonts w:cs="Arial"/>
                <w:b/>
                <w:bCs/>
              </w:rPr>
              <w:t xml:space="preserve">Delivery of the UN Junior Professional Officer (JPO) Program: </w:t>
            </w:r>
          </w:p>
          <w:p w14:paraId="03EE68EC" w14:textId="36A6C813" w:rsidR="00335109" w:rsidRPr="00335109" w:rsidRDefault="00335109" w:rsidP="001D2021">
            <w:pPr>
              <w:pStyle w:val="TableColumnHeadingLeft"/>
              <w:spacing w:after="120"/>
              <w:rPr>
                <w:rFonts w:ascii="Arial" w:hAnsi="Arial" w:cs="Arial"/>
                <w:b w:val="0"/>
                <w:bCs/>
              </w:rPr>
            </w:pPr>
            <w:r w:rsidRPr="00335109">
              <w:rPr>
                <w:rFonts w:ascii="Arial" w:hAnsi="Arial" w:cs="Arial"/>
                <w:b w:val="0"/>
                <w:bCs/>
              </w:rPr>
              <w:t xml:space="preserve">Data for 2025–26 will be reported in the Performance Statements 2025–26. </w:t>
            </w:r>
          </w:p>
          <w:p w14:paraId="4CE3B6FD" w14:textId="2D164929" w:rsidR="00335109" w:rsidRPr="00A85B5B" w:rsidRDefault="00335109" w:rsidP="001D2021">
            <w:pPr>
              <w:pStyle w:val="TableColumnHeadingLeft"/>
              <w:spacing w:after="120"/>
              <w:rPr>
                <w:rFonts w:ascii="Arial" w:hAnsi="Arial" w:cs="Arial"/>
                <w:b w:val="0"/>
                <w:bCs/>
              </w:rPr>
            </w:pPr>
            <w:r w:rsidRPr="00335109">
              <w:rPr>
                <w:rFonts w:ascii="Arial" w:hAnsi="Arial" w:cs="Arial"/>
              </w:rPr>
              <w:t xml:space="preserve">Performance measure: </w:t>
            </w:r>
            <w:r w:rsidRPr="00335109">
              <w:rPr>
                <w:rFonts w:ascii="Arial" w:hAnsi="Arial" w:cs="Arial"/>
                <w:b w:val="0"/>
                <w:bCs/>
              </w:rPr>
              <w:t>The performance measure result will be reported in the Performance Statements 2025–26 when data for all targets is available.</w:t>
            </w:r>
          </w:p>
        </w:tc>
      </w:tr>
    </w:tbl>
    <w:p w14:paraId="506B64DE" w14:textId="2BD5B450" w:rsidR="006323EA" w:rsidRDefault="006323EA" w:rsidP="006323EA">
      <w:pPr>
        <w:pStyle w:val="TableGraphic"/>
        <w:rPr>
          <w:rFonts w:ascii="Arial" w:hAnsi="Arial" w:cs="Arial"/>
          <w:noProof/>
          <w:sz w:val="16"/>
          <w:szCs w:val="16"/>
        </w:rPr>
      </w:pPr>
      <w:r w:rsidRPr="00824706">
        <w:rPr>
          <w:rFonts w:ascii="Arial" w:hAnsi="Arial" w:cs="Arial"/>
          <w:noProof/>
          <w:sz w:val="16"/>
          <w:szCs w:val="16"/>
        </w:rPr>
        <w:t>Table continued on the next page.</w:t>
      </w:r>
    </w:p>
    <w:p w14:paraId="40731E6E" w14:textId="77777777" w:rsidR="006323EA" w:rsidRDefault="006323EA">
      <w:pPr>
        <w:spacing w:before="0" w:after="0" w:line="240" w:lineRule="auto"/>
        <w:rPr>
          <w:rFonts w:ascii="Arial" w:hAnsi="Arial" w:cs="Arial"/>
          <w:noProof/>
          <w:sz w:val="16"/>
          <w:szCs w:val="16"/>
        </w:rPr>
      </w:pPr>
      <w:r>
        <w:rPr>
          <w:rFonts w:ascii="Arial" w:hAnsi="Arial" w:cs="Arial"/>
          <w:noProof/>
          <w:sz w:val="16"/>
          <w:szCs w:val="16"/>
        </w:rPr>
        <w:br w:type="page"/>
      </w:r>
    </w:p>
    <w:p w14:paraId="17C9CBA8" w14:textId="77777777" w:rsidR="006323EA" w:rsidRDefault="006323EA" w:rsidP="006323EA">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2"/>
        <w:gridCol w:w="3083"/>
      </w:tblGrid>
      <w:tr w:rsidR="006323EA" w:rsidRPr="006323EA" w14:paraId="1C2E82D1" w14:textId="77777777">
        <w:trPr>
          <w:cantSplit/>
          <w:trHeight w:val="261"/>
          <w:tblHeader/>
        </w:trPr>
        <w:tc>
          <w:tcPr>
            <w:tcW w:w="7700" w:type="dxa"/>
            <w:gridSpan w:val="3"/>
            <w:shd w:val="clear" w:color="auto" w:fill="F2F2F2" w:themeFill="background1" w:themeFillShade="F2"/>
          </w:tcPr>
          <w:p w14:paraId="331A8A0A" w14:textId="77777777" w:rsidR="006323EA" w:rsidRPr="006323EA" w:rsidRDefault="006323EA" w:rsidP="00C375FE">
            <w:pPr>
              <w:pStyle w:val="TableColumnHeadingLeft"/>
              <w:rPr>
                <w:rFonts w:ascii="Arial" w:hAnsi="Arial" w:cs="Arial"/>
                <w:bCs/>
                <w:szCs w:val="16"/>
              </w:rPr>
            </w:pPr>
            <w:r w:rsidRPr="006323EA">
              <w:rPr>
                <w:rFonts w:ascii="Arial" w:hAnsi="Arial" w:cs="Arial"/>
                <w:szCs w:val="16"/>
              </w:rPr>
              <w:t>Outcome 1</w:t>
            </w:r>
            <w:r w:rsidRPr="006323EA">
              <w:rPr>
                <w:rFonts w:ascii="Arial" w:hAnsi="Arial" w:cs="Arial"/>
                <w:bCs/>
                <w:szCs w:val="16"/>
              </w:rPr>
              <w:t xml:space="preserve"> </w:t>
            </w:r>
            <w:r w:rsidRPr="006323EA">
              <w:rPr>
                <w:rFonts w:ascii="Arial" w:hAnsi="Arial" w:cs="Arial"/>
                <w:szCs w:val="16"/>
              </w:rPr>
              <w:t>– The advancement of Australia’s international strategic, security and economic interests including through bilateral, regional and multilateral engagement on Australian Government foreign, trade and international development policy priorities.</w:t>
            </w:r>
          </w:p>
        </w:tc>
      </w:tr>
      <w:tr w:rsidR="006323EA" w:rsidRPr="006323EA" w14:paraId="7AB75D29" w14:textId="77777777" w:rsidTr="00A85B5B">
        <w:trPr>
          <w:cantSplit/>
          <w:trHeight w:val="388"/>
          <w:tblHeader/>
        </w:trPr>
        <w:tc>
          <w:tcPr>
            <w:tcW w:w="7700" w:type="dxa"/>
            <w:gridSpan w:val="3"/>
            <w:shd w:val="clear" w:color="auto" w:fill="F2F2F2" w:themeFill="background1" w:themeFillShade="F2"/>
          </w:tcPr>
          <w:p w14:paraId="3F5D55F5" w14:textId="77777777" w:rsidR="006323EA" w:rsidRPr="006323EA" w:rsidRDefault="006323EA" w:rsidP="00C375FE">
            <w:pPr>
              <w:pStyle w:val="TableColumnHeadingLeft"/>
              <w:rPr>
                <w:rFonts w:ascii="Arial" w:hAnsi="Arial" w:cs="Arial"/>
                <w:szCs w:val="16"/>
              </w:rPr>
            </w:pPr>
            <w:r w:rsidRPr="006323EA">
              <w:rPr>
                <w:rFonts w:ascii="Arial" w:hAnsi="Arial" w:cs="Arial"/>
                <w:szCs w:val="16"/>
              </w:rPr>
              <w:t xml:space="preserve">Program 1.4 – </w:t>
            </w:r>
            <w:r w:rsidRPr="006323EA">
              <w:rPr>
                <w:rFonts w:ascii="Arial" w:eastAsia="Arial" w:hAnsi="Arial" w:cs="Arial"/>
                <w:szCs w:val="16"/>
              </w:rPr>
              <w:t xml:space="preserve">Payments to International Organisations </w:t>
            </w:r>
            <w:r w:rsidRPr="006323EA">
              <w:rPr>
                <w:rFonts w:ascii="Arial" w:eastAsia="Arial" w:hAnsi="Arial" w:cs="Arial"/>
                <w:b w:val="0"/>
                <w:bCs/>
                <w:szCs w:val="16"/>
              </w:rPr>
              <w:t>advance Australia’s foreign, trade and investment, development and international security interests.</w:t>
            </w:r>
          </w:p>
        </w:tc>
      </w:tr>
      <w:tr w:rsidR="006323EA" w:rsidRPr="006323EA" w14:paraId="42A85744" w14:textId="77777777">
        <w:trPr>
          <w:cantSplit/>
          <w:trHeight w:val="100"/>
        </w:trPr>
        <w:tc>
          <w:tcPr>
            <w:tcW w:w="1545" w:type="dxa"/>
            <w:tcBorders>
              <w:top w:val="single" w:sz="4" w:space="0" w:color="auto"/>
              <w:bottom w:val="dotted" w:sz="4" w:space="0" w:color="auto"/>
              <w:right w:val="single" w:sz="4" w:space="0" w:color="auto"/>
            </w:tcBorders>
          </w:tcPr>
          <w:p w14:paraId="7581AE1D" w14:textId="77777777" w:rsidR="006323EA" w:rsidRPr="006323EA" w:rsidRDefault="006323EA" w:rsidP="00C375FE">
            <w:pPr>
              <w:pStyle w:val="TableColumnHeadingLeft"/>
              <w:rPr>
                <w:rFonts w:ascii="Arial" w:hAnsi="Arial" w:cs="Arial"/>
                <w:szCs w:val="16"/>
              </w:rPr>
            </w:pPr>
            <w:r w:rsidRPr="006323EA">
              <w:rPr>
                <w:rFonts w:ascii="Arial" w:hAnsi="Arial" w:cs="Arial"/>
                <w:szCs w:val="16"/>
              </w:rPr>
              <w:t>Year</w:t>
            </w:r>
          </w:p>
        </w:tc>
        <w:tc>
          <w:tcPr>
            <w:tcW w:w="3072" w:type="dxa"/>
            <w:tcBorders>
              <w:top w:val="single" w:sz="4" w:space="0" w:color="auto"/>
              <w:left w:val="single" w:sz="4" w:space="0" w:color="auto"/>
              <w:bottom w:val="dotted" w:sz="4" w:space="0" w:color="auto"/>
              <w:right w:val="single" w:sz="4" w:space="0" w:color="auto"/>
            </w:tcBorders>
          </w:tcPr>
          <w:p w14:paraId="0B018F57" w14:textId="77777777" w:rsidR="006323EA" w:rsidRPr="006323EA" w:rsidRDefault="006323EA" w:rsidP="00C375FE">
            <w:pPr>
              <w:pStyle w:val="TableColumnHeadingLeft"/>
              <w:rPr>
                <w:rFonts w:ascii="Arial" w:hAnsi="Arial" w:cs="Arial"/>
                <w:szCs w:val="16"/>
              </w:rPr>
            </w:pPr>
            <w:r w:rsidRPr="006323EA">
              <w:rPr>
                <w:rFonts w:ascii="Arial" w:hAnsi="Arial" w:cs="Arial"/>
                <w:szCs w:val="16"/>
              </w:rPr>
              <w:t xml:space="preserve">Performance measures </w:t>
            </w:r>
          </w:p>
        </w:tc>
        <w:tc>
          <w:tcPr>
            <w:tcW w:w="3083" w:type="dxa"/>
            <w:tcBorders>
              <w:top w:val="single" w:sz="4" w:space="0" w:color="auto"/>
              <w:left w:val="single" w:sz="4" w:space="0" w:color="auto"/>
              <w:bottom w:val="dotted" w:sz="4" w:space="0" w:color="auto"/>
            </w:tcBorders>
          </w:tcPr>
          <w:p w14:paraId="55E4B95F" w14:textId="77777777" w:rsidR="006323EA" w:rsidRPr="006323EA" w:rsidRDefault="006323EA" w:rsidP="00C375FE">
            <w:pPr>
              <w:pStyle w:val="TableColumnHeadingLeft"/>
              <w:rPr>
                <w:rFonts w:ascii="Arial" w:hAnsi="Arial" w:cs="Arial"/>
                <w:szCs w:val="16"/>
              </w:rPr>
            </w:pPr>
            <w:r w:rsidRPr="006323EA">
              <w:rPr>
                <w:rFonts w:ascii="Arial" w:hAnsi="Arial" w:cs="Arial"/>
                <w:szCs w:val="16"/>
              </w:rPr>
              <w:t>Planned performance results</w:t>
            </w:r>
          </w:p>
        </w:tc>
      </w:tr>
      <w:tr w:rsidR="006323EA" w:rsidRPr="006323EA" w14:paraId="53485C58" w14:textId="77777777">
        <w:trPr>
          <w:cantSplit/>
          <w:trHeight w:val="782"/>
        </w:trPr>
        <w:tc>
          <w:tcPr>
            <w:tcW w:w="1545" w:type="dxa"/>
            <w:tcBorders>
              <w:top w:val="single" w:sz="4" w:space="0" w:color="auto"/>
              <w:bottom w:val="dotted" w:sz="4" w:space="0" w:color="auto"/>
              <w:right w:val="single" w:sz="4" w:space="0" w:color="auto"/>
            </w:tcBorders>
          </w:tcPr>
          <w:p w14:paraId="4F2898CE" w14:textId="77777777" w:rsidR="006323EA" w:rsidRPr="006323EA" w:rsidRDefault="006323EA" w:rsidP="00C375FE">
            <w:pPr>
              <w:pStyle w:val="TableTextLeft"/>
              <w:rPr>
                <w:rFonts w:cs="Arial"/>
                <w:szCs w:val="16"/>
              </w:rPr>
            </w:pPr>
            <w:r w:rsidRPr="006323EA">
              <w:rPr>
                <w:rFonts w:cs="Arial"/>
                <w:szCs w:val="16"/>
              </w:rPr>
              <w:t xml:space="preserve">Budget Year </w:t>
            </w:r>
          </w:p>
          <w:p w14:paraId="637AED27" w14:textId="77777777" w:rsidR="006323EA" w:rsidRPr="006323EA" w:rsidRDefault="006323EA" w:rsidP="00C375FE">
            <w:pPr>
              <w:pStyle w:val="TableTextLeft"/>
              <w:rPr>
                <w:rFonts w:cs="Arial"/>
                <w:szCs w:val="16"/>
              </w:rPr>
            </w:pPr>
            <w:r w:rsidRPr="006323EA">
              <w:rPr>
                <w:rFonts w:cs="Arial"/>
                <w:szCs w:val="16"/>
              </w:rPr>
              <w:t>2026–27</w:t>
            </w:r>
          </w:p>
        </w:tc>
        <w:tc>
          <w:tcPr>
            <w:tcW w:w="3072" w:type="dxa"/>
            <w:tcBorders>
              <w:top w:val="single" w:sz="4" w:space="0" w:color="auto"/>
              <w:left w:val="single" w:sz="4" w:space="0" w:color="auto"/>
              <w:bottom w:val="dotted" w:sz="4" w:space="0" w:color="auto"/>
              <w:right w:val="single" w:sz="4" w:space="0" w:color="auto"/>
            </w:tcBorders>
          </w:tcPr>
          <w:p w14:paraId="7DE8D498" w14:textId="77777777" w:rsidR="006323EA" w:rsidRPr="006323EA" w:rsidRDefault="006323EA" w:rsidP="00C375FE">
            <w:pPr>
              <w:pStyle w:val="TableTextLeft"/>
              <w:rPr>
                <w:rFonts w:cs="Arial"/>
                <w:szCs w:val="16"/>
              </w:rPr>
            </w:pPr>
            <w:r w:rsidRPr="006323EA">
              <w:rPr>
                <w:rFonts w:cs="Arial"/>
                <w:szCs w:val="16"/>
              </w:rPr>
              <w:t>International organisations reflect Australian interests and values when addressing global challenges.</w:t>
            </w:r>
          </w:p>
          <w:p w14:paraId="6830CCD8" w14:textId="77777777" w:rsidR="006323EA" w:rsidRPr="006323EA" w:rsidRDefault="006323EA" w:rsidP="00C375FE">
            <w:pPr>
              <w:pStyle w:val="TableTextLeft"/>
              <w:rPr>
                <w:rFonts w:cs="Arial"/>
                <w:b/>
                <w:bCs/>
                <w:szCs w:val="16"/>
              </w:rPr>
            </w:pPr>
          </w:p>
        </w:tc>
        <w:tc>
          <w:tcPr>
            <w:tcW w:w="3083" w:type="dxa"/>
            <w:tcBorders>
              <w:top w:val="single" w:sz="4" w:space="0" w:color="auto"/>
              <w:left w:val="single" w:sz="4" w:space="0" w:color="auto"/>
              <w:bottom w:val="dotted" w:sz="4" w:space="0" w:color="auto"/>
            </w:tcBorders>
          </w:tcPr>
          <w:p w14:paraId="3B269C56" w14:textId="31D039FF" w:rsidR="006323EA" w:rsidRPr="006323EA" w:rsidRDefault="006323EA" w:rsidP="001D2021">
            <w:pPr>
              <w:pStyle w:val="TableTextLeft"/>
              <w:spacing w:before="0" w:after="120"/>
              <w:rPr>
                <w:rFonts w:cs="Arial"/>
                <w:szCs w:val="16"/>
              </w:rPr>
            </w:pPr>
            <w:r w:rsidRPr="006323EA">
              <w:rPr>
                <w:rFonts w:cs="Arial"/>
                <w:szCs w:val="16"/>
              </w:rPr>
              <w:t>The targets for this performance measure are under review. Updated performance information, including any adjusted measure and/or target for Program 1.4, will be published in the Corporate Plan 2026–27.</w:t>
            </w:r>
          </w:p>
        </w:tc>
      </w:tr>
      <w:tr w:rsidR="006323EA" w:rsidRPr="006323EA" w14:paraId="51EE3B6D" w14:textId="77777777">
        <w:trPr>
          <w:cantSplit/>
          <w:trHeight w:val="491"/>
        </w:trPr>
        <w:tc>
          <w:tcPr>
            <w:tcW w:w="1545" w:type="dxa"/>
            <w:tcBorders>
              <w:top w:val="dotted" w:sz="4" w:space="0" w:color="auto"/>
              <w:bottom w:val="dotted" w:sz="4" w:space="0" w:color="auto"/>
              <w:right w:val="single" w:sz="4" w:space="0" w:color="auto"/>
            </w:tcBorders>
          </w:tcPr>
          <w:p w14:paraId="1A0B724A" w14:textId="77777777" w:rsidR="006323EA" w:rsidRPr="006323EA" w:rsidRDefault="006323EA" w:rsidP="00C375FE">
            <w:pPr>
              <w:pStyle w:val="TableTextLeft"/>
              <w:rPr>
                <w:rFonts w:cs="Arial"/>
                <w:szCs w:val="16"/>
              </w:rPr>
            </w:pPr>
            <w:r w:rsidRPr="006323EA">
              <w:rPr>
                <w:rFonts w:cs="Arial"/>
                <w:szCs w:val="16"/>
              </w:rPr>
              <w:t xml:space="preserve">Forward Estimates </w:t>
            </w:r>
          </w:p>
          <w:p w14:paraId="442C3DF3" w14:textId="77777777" w:rsidR="006323EA" w:rsidRPr="006323EA" w:rsidRDefault="006323EA" w:rsidP="00C375FE">
            <w:pPr>
              <w:pStyle w:val="TableTextLeft"/>
              <w:rPr>
                <w:rFonts w:cs="Arial"/>
                <w:b/>
                <w:szCs w:val="16"/>
              </w:rPr>
            </w:pPr>
            <w:r w:rsidRPr="006323EA">
              <w:rPr>
                <w:rFonts w:cs="Arial"/>
                <w:szCs w:val="16"/>
              </w:rPr>
              <w:t>2027–30</w:t>
            </w:r>
          </w:p>
        </w:tc>
        <w:tc>
          <w:tcPr>
            <w:tcW w:w="3072" w:type="dxa"/>
            <w:tcBorders>
              <w:top w:val="dotted" w:sz="4" w:space="0" w:color="auto"/>
              <w:left w:val="single" w:sz="4" w:space="0" w:color="auto"/>
              <w:bottom w:val="dotted" w:sz="4" w:space="0" w:color="auto"/>
              <w:right w:val="single" w:sz="4" w:space="0" w:color="auto"/>
            </w:tcBorders>
          </w:tcPr>
          <w:p w14:paraId="70516E8A" w14:textId="77777777" w:rsidR="006323EA" w:rsidRPr="006323EA" w:rsidRDefault="006323EA" w:rsidP="00C375FE">
            <w:pPr>
              <w:pStyle w:val="TableTextLeft"/>
              <w:rPr>
                <w:rFonts w:cs="Arial"/>
                <w:b/>
                <w:szCs w:val="16"/>
              </w:rPr>
            </w:pPr>
            <w:r w:rsidRPr="006323EA">
              <w:rPr>
                <w:rFonts w:cs="Arial"/>
                <w:szCs w:val="16"/>
              </w:rPr>
              <w:t>As per 2026–27</w:t>
            </w:r>
          </w:p>
        </w:tc>
        <w:tc>
          <w:tcPr>
            <w:tcW w:w="3083" w:type="dxa"/>
            <w:tcBorders>
              <w:top w:val="dotted" w:sz="4" w:space="0" w:color="auto"/>
              <w:left w:val="single" w:sz="4" w:space="0" w:color="auto"/>
              <w:bottom w:val="dotted" w:sz="4" w:space="0" w:color="auto"/>
            </w:tcBorders>
          </w:tcPr>
          <w:p w14:paraId="7F0A871C" w14:textId="77777777" w:rsidR="006323EA" w:rsidRPr="006323EA" w:rsidRDefault="006323EA" w:rsidP="00C375FE">
            <w:pPr>
              <w:pStyle w:val="TableTextLeft"/>
              <w:rPr>
                <w:rFonts w:cs="Arial"/>
                <w:b/>
                <w:szCs w:val="16"/>
              </w:rPr>
            </w:pPr>
            <w:r w:rsidRPr="006323EA">
              <w:rPr>
                <w:rFonts w:cs="Arial"/>
                <w:szCs w:val="16"/>
              </w:rPr>
              <w:t>As per 2026–27</w:t>
            </w:r>
          </w:p>
        </w:tc>
      </w:tr>
      <w:tr w:rsidR="006323EA" w:rsidRPr="006323EA" w14:paraId="04AEBBF7" w14:textId="77777777">
        <w:trPr>
          <w:cantSplit/>
          <w:trHeight w:val="261"/>
        </w:trPr>
        <w:tc>
          <w:tcPr>
            <w:tcW w:w="7700" w:type="dxa"/>
            <w:gridSpan w:val="3"/>
          </w:tcPr>
          <w:p w14:paraId="3B6AA0FC" w14:textId="77777777" w:rsidR="006323EA" w:rsidRPr="006323EA" w:rsidRDefault="006323EA" w:rsidP="00C375FE">
            <w:pPr>
              <w:pStyle w:val="TableTextLeft"/>
              <w:rPr>
                <w:rFonts w:eastAsia="Cambria" w:cs="Arial"/>
                <w:spacing w:val="-6"/>
                <w:szCs w:val="16"/>
              </w:rPr>
            </w:pPr>
            <w:r w:rsidRPr="006323EA">
              <w:rPr>
                <w:rFonts w:cs="Arial"/>
                <w:szCs w:val="16"/>
              </w:rPr>
              <w:t>Material changes to Program 1.4 resulting from 2026–27 Budget Measures:</w:t>
            </w:r>
            <w:r w:rsidRPr="006323EA">
              <w:rPr>
                <w:rFonts w:eastAsia="Cambria" w:cs="Arial"/>
                <w:spacing w:val="-6"/>
                <w:szCs w:val="16"/>
                <w:lang w:eastAsia="en-US"/>
              </w:rPr>
              <w:t xml:space="preserve"> Nil</w:t>
            </w:r>
          </w:p>
        </w:tc>
      </w:tr>
    </w:tbl>
    <w:p w14:paraId="347FBF62" w14:textId="3F9F2E1E" w:rsidR="006323EA" w:rsidRDefault="006323EA">
      <w:pPr>
        <w:spacing w:before="0" w:after="0" w:line="240" w:lineRule="auto"/>
      </w:pPr>
      <w:r>
        <w:br w:type="page"/>
      </w:r>
    </w:p>
    <w:p w14:paraId="31D7675D" w14:textId="77777777" w:rsidR="006323EA" w:rsidRDefault="006323EA" w:rsidP="006323EA">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6323EA" w:rsidRPr="006323EA" w14:paraId="3238D466" w14:textId="77777777" w:rsidTr="006323EA">
        <w:trPr>
          <w:cantSplit/>
          <w:trHeight w:val="261"/>
          <w:tblHeader/>
        </w:trPr>
        <w:tc>
          <w:tcPr>
            <w:tcW w:w="7700" w:type="dxa"/>
            <w:gridSpan w:val="3"/>
            <w:shd w:val="clear" w:color="auto" w:fill="F2F2F2"/>
          </w:tcPr>
          <w:p w14:paraId="2F217957" w14:textId="32BA8716" w:rsidR="006323EA" w:rsidRPr="006323EA" w:rsidRDefault="006323EA" w:rsidP="00C375FE">
            <w:pPr>
              <w:pStyle w:val="TableColumnHeadingLeft"/>
              <w:rPr>
                <w:bCs/>
              </w:rPr>
            </w:pPr>
            <w:r w:rsidRPr="006323EA">
              <w:rPr>
                <w:rFonts w:ascii="Arial" w:hAnsi="Arial"/>
              </w:rPr>
              <w:t>Outcome 1 – The advancement of Australia’s international strategic, security and economic interests including through bilateral, regional and multilateral engagement on Australian Government foreign, trade and international development policy priorities.</w:t>
            </w:r>
          </w:p>
        </w:tc>
      </w:tr>
      <w:tr w:rsidR="006323EA" w:rsidRPr="006323EA" w14:paraId="463F9AE1" w14:textId="77777777" w:rsidTr="006323EA">
        <w:trPr>
          <w:cantSplit/>
          <w:trHeight w:val="522"/>
          <w:tblHeader/>
        </w:trPr>
        <w:tc>
          <w:tcPr>
            <w:tcW w:w="7700" w:type="dxa"/>
            <w:gridSpan w:val="3"/>
            <w:shd w:val="clear" w:color="auto" w:fill="F2F2F2"/>
          </w:tcPr>
          <w:p w14:paraId="30765249" w14:textId="104027B0" w:rsidR="006323EA" w:rsidRPr="006323EA" w:rsidRDefault="006323EA" w:rsidP="006323EA">
            <w:pPr>
              <w:pStyle w:val="TableTextLeft"/>
            </w:pPr>
            <w:r w:rsidRPr="006323EA">
              <w:rPr>
                <w:b/>
                <w:bCs/>
              </w:rPr>
              <w:t xml:space="preserve">Program 1.5 – </w:t>
            </w:r>
            <w:r w:rsidRPr="006323EA">
              <w:rPr>
                <w:rFonts w:eastAsia="Arial"/>
                <w:b/>
                <w:bCs/>
              </w:rPr>
              <w:t xml:space="preserve">New Colombo Plan – </w:t>
            </w:r>
            <w:r w:rsidRPr="006323EA">
              <w:rPr>
                <w:rFonts w:eastAsia="Arial" w:cs="Arial"/>
                <w:b/>
                <w:bCs/>
              </w:rPr>
              <w:t>Transforming Regional Relationships</w:t>
            </w:r>
            <w:r w:rsidRPr="00051EF7">
              <w:rPr>
                <w:rFonts w:eastAsia="Arial" w:cs="Arial"/>
                <w:bCs/>
              </w:rPr>
              <w:t xml:space="preserve"> advances Australia’s interests and bilateral relationships through enduring people-to-people, institutional and business links with the Indo-Pacific region.</w:t>
            </w:r>
          </w:p>
        </w:tc>
      </w:tr>
      <w:tr w:rsidR="006323EA" w:rsidRPr="006323EA" w14:paraId="1816430A" w14:textId="77777777" w:rsidTr="006323EA">
        <w:trPr>
          <w:cantSplit/>
          <w:trHeight w:val="261"/>
        </w:trPr>
        <w:tc>
          <w:tcPr>
            <w:tcW w:w="1546" w:type="dxa"/>
            <w:tcBorders>
              <w:bottom w:val="double" w:sz="4" w:space="0" w:color="auto"/>
            </w:tcBorders>
          </w:tcPr>
          <w:p w14:paraId="112573D8" w14:textId="5327A85B" w:rsidR="006323EA" w:rsidRPr="006323EA" w:rsidRDefault="006323EA" w:rsidP="006323EA">
            <w:pPr>
              <w:pStyle w:val="TableColumnHeadingLeft"/>
            </w:pPr>
            <w:r w:rsidRPr="006323EA">
              <w:t xml:space="preserve">Key activities </w:t>
            </w:r>
          </w:p>
        </w:tc>
        <w:tc>
          <w:tcPr>
            <w:tcW w:w="6154" w:type="dxa"/>
            <w:gridSpan w:val="2"/>
            <w:tcBorders>
              <w:bottom w:val="double" w:sz="4" w:space="0" w:color="auto"/>
            </w:tcBorders>
          </w:tcPr>
          <w:p w14:paraId="7D2ED67B" w14:textId="77777777" w:rsidR="006323EA" w:rsidRPr="001B6EFB" w:rsidRDefault="006323EA" w:rsidP="006323EA">
            <w:pPr>
              <w:pStyle w:val="TableTextLeft"/>
            </w:pPr>
            <w:r w:rsidRPr="001B6EFB">
              <w:t>Key activities reported in the Corporate Plan 202</w:t>
            </w:r>
            <w:r>
              <w:t>5</w:t>
            </w:r>
            <w:r w:rsidRPr="007C638B">
              <w:t>–</w:t>
            </w:r>
            <w:r w:rsidRPr="001B6EFB">
              <w:t>2</w:t>
            </w:r>
            <w:r>
              <w:t>6</w:t>
            </w:r>
            <w:r w:rsidRPr="001B6EFB">
              <w:t xml:space="preserve"> that relate to this program.</w:t>
            </w:r>
          </w:p>
          <w:p w14:paraId="64D9F198" w14:textId="08E7209A" w:rsidR="006323EA" w:rsidRPr="006323EA" w:rsidRDefault="006323EA" w:rsidP="00707A3D">
            <w:pPr>
              <w:pStyle w:val="TableTextLeft"/>
              <w:numPr>
                <w:ilvl w:val="0"/>
                <w:numId w:val="49"/>
              </w:numPr>
            </w:pPr>
            <w:r w:rsidRPr="00420E68">
              <w:t>Negotiate and advocate internationally and provide international policy advice.</w:t>
            </w:r>
          </w:p>
        </w:tc>
      </w:tr>
      <w:tr w:rsidR="006323EA" w:rsidRPr="006323EA" w14:paraId="28438144" w14:textId="77777777" w:rsidTr="006323EA">
        <w:trPr>
          <w:cantSplit/>
          <w:trHeight w:val="258"/>
        </w:trPr>
        <w:tc>
          <w:tcPr>
            <w:tcW w:w="1546" w:type="dxa"/>
            <w:tcBorders>
              <w:top w:val="double" w:sz="4" w:space="0" w:color="auto"/>
              <w:bottom w:val="single" w:sz="4" w:space="0" w:color="auto"/>
              <w:right w:val="single" w:sz="4" w:space="0" w:color="auto"/>
            </w:tcBorders>
          </w:tcPr>
          <w:p w14:paraId="2916A2E9" w14:textId="77777777" w:rsidR="006323EA" w:rsidRPr="006323EA" w:rsidRDefault="006323EA" w:rsidP="00C375FE">
            <w:pPr>
              <w:pStyle w:val="TableColumnHeadingLeft"/>
            </w:pPr>
            <w:r w:rsidRPr="006323EA">
              <w:t>Year</w:t>
            </w:r>
          </w:p>
        </w:tc>
        <w:tc>
          <w:tcPr>
            <w:tcW w:w="3077" w:type="dxa"/>
            <w:tcBorders>
              <w:top w:val="double" w:sz="4" w:space="0" w:color="auto"/>
              <w:left w:val="single" w:sz="4" w:space="0" w:color="auto"/>
              <w:bottom w:val="single" w:sz="4" w:space="0" w:color="auto"/>
              <w:right w:val="single" w:sz="4" w:space="0" w:color="auto"/>
            </w:tcBorders>
          </w:tcPr>
          <w:p w14:paraId="64749B09" w14:textId="1E5831C3" w:rsidR="006323EA" w:rsidRPr="006323EA" w:rsidRDefault="006323EA" w:rsidP="00C375FE">
            <w:pPr>
              <w:pStyle w:val="TableColumnHeadingLeft"/>
            </w:pPr>
            <w:r w:rsidRPr="006323EA">
              <w:t xml:space="preserve">Performance measures </w:t>
            </w:r>
          </w:p>
        </w:tc>
        <w:tc>
          <w:tcPr>
            <w:tcW w:w="3077" w:type="dxa"/>
            <w:tcBorders>
              <w:top w:val="double" w:sz="4" w:space="0" w:color="auto"/>
              <w:left w:val="single" w:sz="4" w:space="0" w:color="auto"/>
              <w:bottom w:val="single" w:sz="4" w:space="0" w:color="auto"/>
            </w:tcBorders>
          </w:tcPr>
          <w:p w14:paraId="686C92AA" w14:textId="77777777" w:rsidR="006323EA" w:rsidRPr="006323EA" w:rsidRDefault="006323EA" w:rsidP="00C375FE">
            <w:pPr>
              <w:pStyle w:val="TableColumnHeadingLeft"/>
            </w:pPr>
            <w:r w:rsidRPr="006323EA">
              <w:t>Expected performance results</w:t>
            </w:r>
          </w:p>
        </w:tc>
      </w:tr>
      <w:tr w:rsidR="006323EA" w:rsidRPr="006323EA" w14:paraId="4C9912AE" w14:textId="77777777" w:rsidTr="00707A3D">
        <w:trPr>
          <w:cantSplit/>
          <w:trHeight w:val="642"/>
        </w:trPr>
        <w:tc>
          <w:tcPr>
            <w:tcW w:w="1546" w:type="dxa"/>
            <w:tcBorders>
              <w:top w:val="single" w:sz="4" w:space="0" w:color="auto"/>
              <w:bottom w:val="single" w:sz="4" w:space="0" w:color="auto"/>
              <w:right w:val="single" w:sz="4" w:space="0" w:color="auto"/>
            </w:tcBorders>
          </w:tcPr>
          <w:p w14:paraId="40C2CAB2" w14:textId="77777777" w:rsidR="006323EA" w:rsidRPr="006323EA" w:rsidRDefault="006323EA" w:rsidP="00C375FE">
            <w:pPr>
              <w:pStyle w:val="TableTextLeft"/>
            </w:pPr>
            <w:r w:rsidRPr="006323EA">
              <w:t xml:space="preserve">Current Year </w:t>
            </w:r>
          </w:p>
          <w:p w14:paraId="0BE6E2F6" w14:textId="77777777" w:rsidR="006323EA" w:rsidRPr="006323EA" w:rsidRDefault="006323EA" w:rsidP="00C375FE">
            <w:pPr>
              <w:pStyle w:val="TableTextLeft"/>
            </w:pPr>
            <w:r w:rsidRPr="006323EA">
              <w:t>2025–26</w:t>
            </w:r>
          </w:p>
        </w:tc>
        <w:tc>
          <w:tcPr>
            <w:tcW w:w="3077" w:type="dxa"/>
            <w:tcBorders>
              <w:top w:val="single" w:sz="4" w:space="0" w:color="auto"/>
              <w:left w:val="single" w:sz="4" w:space="0" w:color="auto"/>
              <w:bottom w:val="single" w:sz="4" w:space="0" w:color="auto"/>
              <w:right w:val="single" w:sz="4" w:space="0" w:color="auto"/>
            </w:tcBorders>
          </w:tcPr>
          <w:p w14:paraId="31985F1E" w14:textId="47FB939B" w:rsidR="006323EA" w:rsidRPr="006323EA" w:rsidRDefault="006323EA" w:rsidP="00C375FE">
            <w:pPr>
              <w:pStyle w:val="TableTextLeft"/>
            </w:pPr>
            <w:r w:rsidRPr="006323EA">
              <w:t>The New Colombo Plan contributes to young Australians’ Indo-Pacific knowledge, capability and connections.</w:t>
            </w:r>
          </w:p>
        </w:tc>
        <w:tc>
          <w:tcPr>
            <w:tcW w:w="3077" w:type="dxa"/>
            <w:tcBorders>
              <w:top w:val="single" w:sz="4" w:space="0" w:color="auto"/>
              <w:left w:val="single" w:sz="4" w:space="0" w:color="auto"/>
              <w:bottom w:val="single" w:sz="4" w:space="0" w:color="auto"/>
            </w:tcBorders>
          </w:tcPr>
          <w:p w14:paraId="49EF0C1D" w14:textId="77777777" w:rsidR="006323EA" w:rsidRDefault="006323EA" w:rsidP="006323EA">
            <w:pPr>
              <w:pStyle w:val="TableTextLeft"/>
              <w:spacing w:before="0"/>
            </w:pPr>
            <w:r w:rsidRPr="000E0A59">
              <w:rPr>
                <w:b/>
                <w:bCs/>
              </w:rPr>
              <w:t>Target 1</w:t>
            </w:r>
            <w:r w:rsidRPr="000E0A59">
              <w:t>: 300 Australian university undergraduates awarded a New Colombo Plan scholarship to study in the Indo-Pacific region.</w:t>
            </w:r>
          </w:p>
          <w:p w14:paraId="37C8080B" w14:textId="77777777" w:rsidR="001D2021" w:rsidRPr="000E0A59" w:rsidRDefault="001D2021" w:rsidP="006323EA">
            <w:pPr>
              <w:pStyle w:val="TableTextLeft"/>
              <w:spacing w:before="0"/>
            </w:pPr>
          </w:p>
          <w:p w14:paraId="72B089CD" w14:textId="77777777" w:rsidR="006323EA" w:rsidRDefault="006323EA" w:rsidP="001D2021">
            <w:pPr>
              <w:pStyle w:val="TableTextLeft"/>
              <w:spacing w:before="0"/>
            </w:pPr>
            <w:r w:rsidRPr="000E0A59">
              <w:rPr>
                <w:b/>
                <w:bCs/>
              </w:rPr>
              <w:t>Achieved</w:t>
            </w:r>
            <w:r w:rsidRPr="000E0A59">
              <w:t>. DFAT has completed selection for the 2026 New Colombo Plan Scholarships Program, awarding 328 scholarships to Australian undergraduates to study in the Indo</w:t>
            </w:r>
            <w:r w:rsidRPr="000E0A59">
              <w:rPr>
                <w:rFonts w:ascii="Cambria Math" w:hAnsi="Cambria Math" w:cs="Cambria Math"/>
              </w:rPr>
              <w:t>‑</w:t>
            </w:r>
            <w:r w:rsidRPr="000E0A59">
              <w:t>Pacific</w:t>
            </w:r>
            <w:r>
              <w:t>.</w:t>
            </w:r>
            <w:r w:rsidRPr="000E0A59">
              <w:t xml:space="preserve"> </w:t>
            </w:r>
            <w:r>
              <w:t xml:space="preserve">This result </w:t>
            </w:r>
            <w:r w:rsidRPr="000E0A59">
              <w:t>exceed</w:t>
            </w:r>
            <w:r>
              <w:t>ed</w:t>
            </w:r>
            <w:r w:rsidRPr="000E0A59">
              <w:t xml:space="preserve"> the target of 300</w:t>
            </w:r>
            <w:r>
              <w:t xml:space="preserve"> and </w:t>
            </w:r>
            <w:r w:rsidRPr="000E0A59">
              <w:t xml:space="preserve">is considered </w:t>
            </w:r>
            <w:r w:rsidRPr="000E0A59">
              <w:rPr>
                <w:rFonts w:cs="Arial"/>
              </w:rPr>
              <w:t>‘</w:t>
            </w:r>
            <w:r w:rsidRPr="000E0A59">
              <w:t>achieved</w:t>
            </w:r>
            <w:r w:rsidRPr="000E0A59">
              <w:rPr>
                <w:rFonts w:cs="Arial"/>
              </w:rPr>
              <w:t>’</w:t>
            </w:r>
            <w:r w:rsidRPr="000E0A59">
              <w:t>. A detailed analysis of the results will be reported in the Performance Statements 2025</w:t>
            </w:r>
            <w:r w:rsidRPr="007C638B">
              <w:t>–</w:t>
            </w:r>
            <w:r w:rsidRPr="000E0A59">
              <w:t>26.</w:t>
            </w:r>
          </w:p>
          <w:p w14:paraId="79A3726F" w14:textId="77777777" w:rsidR="006323EA" w:rsidRPr="000E0A59" w:rsidRDefault="006323EA" w:rsidP="006323EA">
            <w:pPr>
              <w:pStyle w:val="TableTextLeft"/>
              <w:spacing w:before="0" w:after="0"/>
            </w:pPr>
          </w:p>
          <w:p w14:paraId="285C6FE6" w14:textId="22284328" w:rsidR="001D2021" w:rsidRPr="00707A3D" w:rsidRDefault="006323EA" w:rsidP="001D2021">
            <w:pPr>
              <w:pStyle w:val="TableTextLeft"/>
              <w:spacing w:before="0"/>
              <w:rPr>
                <w:vertAlign w:val="superscript"/>
              </w:rPr>
            </w:pPr>
            <w:r w:rsidRPr="000E0A59">
              <w:rPr>
                <w:b/>
                <w:bCs/>
              </w:rPr>
              <w:t>Target 2</w:t>
            </w:r>
            <w:r w:rsidRPr="000E0A59">
              <w:t>: 15% of the Australian university undergraduates awarded under the New Colombo Plan have a planned language-learning component(s) for scholarships, semester and mobility programs.</w:t>
            </w:r>
            <w:r w:rsidR="00707A3D" w:rsidRPr="00707A3D">
              <w:rPr>
                <w:vertAlign w:val="superscript"/>
              </w:rPr>
              <w:t>1</w:t>
            </w:r>
          </w:p>
          <w:p w14:paraId="0E57440D" w14:textId="77777777" w:rsidR="001D2021" w:rsidRDefault="001D2021" w:rsidP="001D2021">
            <w:pPr>
              <w:pStyle w:val="TableTextLeft"/>
              <w:spacing w:before="0"/>
              <w:rPr>
                <w:b/>
                <w:bCs/>
              </w:rPr>
            </w:pPr>
          </w:p>
          <w:p w14:paraId="12CEC70E" w14:textId="7AD9BDE7" w:rsidR="006323EA" w:rsidRDefault="006323EA" w:rsidP="001D2021">
            <w:pPr>
              <w:pStyle w:val="TableTextLeft"/>
              <w:spacing w:before="0"/>
            </w:pPr>
            <w:r w:rsidRPr="000E0A59">
              <w:rPr>
                <w:b/>
                <w:bCs/>
              </w:rPr>
              <w:t>Achieved</w:t>
            </w:r>
            <w:r w:rsidRPr="000E0A59">
              <w:t xml:space="preserve">. DFAT has completed selection for the 2026 New Colombo Plan scholarships, semester and mobility program. </w:t>
            </w:r>
            <w:r>
              <w:t xml:space="preserve">As </w:t>
            </w:r>
            <w:proofErr w:type="gramStart"/>
            <w:r>
              <w:t>at</w:t>
            </w:r>
            <w:proofErr w:type="gramEnd"/>
            <w:r>
              <w:t xml:space="preserve"> 31 December 2025, </w:t>
            </w:r>
            <w:r w:rsidRPr="000E0A59">
              <w:t>all 3 programs achieved 15% or higher for the language target (scholarships 64.33%; semester 24.38%; mobility 43.73%)</w:t>
            </w:r>
            <w:r>
              <w:t>. T</w:t>
            </w:r>
            <w:r w:rsidRPr="000E0A59">
              <w:t>he target is considered 'achieved'.</w:t>
            </w:r>
            <w:r w:rsidR="00707A3D" w:rsidRPr="00707A3D">
              <w:rPr>
                <w:vertAlign w:val="superscript"/>
              </w:rPr>
              <w:t>2</w:t>
            </w:r>
            <w:r w:rsidRPr="000E0A59">
              <w:t xml:space="preserve"> A detailed analysis of the results will be reported in the Performance Statements 2025</w:t>
            </w:r>
            <w:r w:rsidRPr="007C638B">
              <w:t>–</w:t>
            </w:r>
            <w:r w:rsidRPr="000E0A59">
              <w:t>26.</w:t>
            </w:r>
          </w:p>
          <w:p w14:paraId="21B72354" w14:textId="77777777" w:rsidR="006323EA" w:rsidRPr="000E0A59" w:rsidRDefault="006323EA" w:rsidP="006323EA">
            <w:pPr>
              <w:pStyle w:val="TableTextLeft"/>
              <w:spacing w:before="0" w:after="0"/>
            </w:pPr>
          </w:p>
          <w:p w14:paraId="754E0169" w14:textId="17C71AAB" w:rsidR="006323EA" w:rsidRPr="006323EA" w:rsidRDefault="006323EA" w:rsidP="00A85B5B">
            <w:pPr>
              <w:pStyle w:val="TableTextLeft"/>
              <w:spacing w:before="0" w:after="120"/>
            </w:pPr>
            <w:r w:rsidRPr="000E0A59">
              <w:rPr>
                <w:b/>
                <w:bCs/>
              </w:rPr>
              <w:t>Performance measure</w:t>
            </w:r>
            <w:r w:rsidRPr="000E0A59">
              <w:t>: Achieved.</w:t>
            </w:r>
          </w:p>
        </w:tc>
      </w:tr>
    </w:tbl>
    <w:p w14:paraId="6D7DDE2E" w14:textId="56DCCEA9" w:rsidR="00707A3D" w:rsidRDefault="00707A3D" w:rsidP="00707A3D">
      <w:pPr>
        <w:pStyle w:val="TableGraphic"/>
        <w:rPr>
          <w:rFonts w:ascii="Arial" w:hAnsi="Arial" w:cs="Arial"/>
          <w:noProof/>
          <w:sz w:val="16"/>
          <w:szCs w:val="16"/>
        </w:rPr>
      </w:pPr>
      <w:r w:rsidRPr="00824706">
        <w:rPr>
          <w:rFonts w:ascii="Arial" w:hAnsi="Arial" w:cs="Arial"/>
          <w:noProof/>
          <w:sz w:val="16"/>
          <w:szCs w:val="16"/>
        </w:rPr>
        <w:t>Table continued on the next page.</w:t>
      </w:r>
    </w:p>
    <w:p w14:paraId="6FF11A4F" w14:textId="77777777" w:rsidR="00707A3D" w:rsidRDefault="00707A3D">
      <w:pPr>
        <w:spacing w:before="0" w:after="0" w:line="240" w:lineRule="auto"/>
        <w:rPr>
          <w:rFonts w:ascii="Arial" w:hAnsi="Arial" w:cs="Arial"/>
          <w:noProof/>
          <w:sz w:val="16"/>
          <w:szCs w:val="16"/>
        </w:rPr>
      </w:pPr>
      <w:r>
        <w:rPr>
          <w:rFonts w:ascii="Arial" w:hAnsi="Arial" w:cs="Arial"/>
          <w:noProof/>
          <w:sz w:val="16"/>
          <w:szCs w:val="16"/>
        </w:rPr>
        <w:br w:type="page"/>
      </w:r>
    </w:p>
    <w:p w14:paraId="1021961B" w14:textId="77777777" w:rsidR="00707A3D" w:rsidRDefault="00707A3D" w:rsidP="00707A3D">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3"/>
        <w:gridCol w:w="3088"/>
        <w:gridCol w:w="3069"/>
      </w:tblGrid>
      <w:tr w:rsidR="00707A3D" w:rsidRPr="00707A3D" w14:paraId="4830C469" w14:textId="77777777">
        <w:trPr>
          <w:cantSplit/>
          <w:trHeight w:val="261"/>
          <w:tblHeader/>
        </w:trPr>
        <w:tc>
          <w:tcPr>
            <w:tcW w:w="7700" w:type="dxa"/>
            <w:gridSpan w:val="3"/>
            <w:shd w:val="clear" w:color="auto" w:fill="F2F2F2"/>
          </w:tcPr>
          <w:p w14:paraId="3AB4E137" w14:textId="77777777" w:rsidR="00707A3D" w:rsidRPr="00707A3D" w:rsidRDefault="00707A3D" w:rsidP="00C375FE">
            <w:pPr>
              <w:pStyle w:val="TableColumnHeadingLeft"/>
              <w:rPr>
                <w:rFonts w:ascii="Arial" w:hAnsi="Arial" w:cs="Arial"/>
                <w:bCs/>
              </w:rPr>
            </w:pPr>
            <w:r w:rsidRPr="00707A3D">
              <w:rPr>
                <w:rFonts w:ascii="Arial" w:hAnsi="Arial" w:cs="Arial"/>
              </w:rPr>
              <w:t>Outcome 1 – The advancement of Australia’s international strategic, security and economic interests including through bilateral, regional and multilateral engagement on Australian Government foreign, trade and international development policy priorities.</w:t>
            </w:r>
          </w:p>
        </w:tc>
      </w:tr>
      <w:tr w:rsidR="00707A3D" w:rsidRPr="00707A3D" w14:paraId="1DBC19B4" w14:textId="77777777">
        <w:trPr>
          <w:cantSplit/>
          <w:trHeight w:val="522"/>
          <w:tblHeader/>
        </w:trPr>
        <w:tc>
          <w:tcPr>
            <w:tcW w:w="7700" w:type="dxa"/>
            <w:gridSpan w:val="3"/>
            <w:shd w:val="clear" w:color="auto" w:fill="F2F2F2"/>
          </w:tcPr>
          <w:p w14:paraId="11EBCA49" w14:textId="77777777" w:rsidR="00707A3D" w:rsidRPr="00707A3D" w:rsidRDefault="00707A3D" w:rsidP="00C375FE">
            <w:pPr>
              <w:pStyle w:val="TableTextLeft"/>
              <w:rPr>
                <w:rFonts w:cs="Arial"/>
              </w:rPr>
            </w:pPr>
            <w:r w:rsidRPr="00707A3D">
              <w:rPr>
                <w:rFonts w:cs="Arial"/>
                <w:b/>
                <w:bCs/>
              </w:rPr>
              <w:t xml:space="preserve">Program 1.5 – </w:t>
            </w:r>
            <w:r w:rsidRPr="00707A3D">
              <w:rPr>
                <w:rFonts w:eastAsia="Arial" w:cs="Arial"/>
                <w:b/>
                <w:bCs/>
              </w:rPr>
              <w:t>New Colombo Plan – Transforming Regional Relationships</w:t>
            </w:r>
            <w:r w:rsidRPr="00707A3D">
              <w:rPr>
                <w:rFonts w:eastAsia="Arial" w:cs="Arial"/>
                <w:bCs/>
              </w:rPr>
              <w:t xml:space="preserve"> advances Australia’s interests and bilateral relationships through enduring people-to-people, institutional and business links with the Indo-Pacific region.</w:t>
            </w:r>
          </w:p>
        </w:tc>
      </w:tr>
      <w:tr w:rsidR="00707A3D" w:rsidRPr="00707A3D" w14:paraId="2AD5BDA0" w14:textId="77777777">
        <w:trPr>
          <w:cantSplit/>
          <w:trHeight w:val="100"/>
        </w:trPr>
        <w:tc>
          <w:tcPr>
            <w:tcW w:w="1543" w:type="dxa"/>
            <w:tcBorders>
              <w:top w:val="single" w:sz="4" w:space="0" w:color="auto"/>
              <w:bottom w:val="dotted" w:sz="4" w:space="0" w:color="auto"/>
              <w:right w:val="single" w:sz="4" w:space="0" w:color="auto"/>
            </w:tcBorders>
          </w:tcPr>
          <w:p w14:paraId="3608FD28" w14:textId="77777777" w:rsidR="00707A3D" w:rsidRPr="00707A3D" w:rsidRDefault="00707A3D" w:rsidP="00C375FE">
            <w:pPr>
              <w:pStyle w:val="TableColumnHeadingLeft"/>
              <w:rPr>
                <w:rFonts w:ascii="Arial" w:hAnsi="Arial" w:cs="Arial"/>
              </w:rPr>
            </w:pPr>
            <w:r w:rsidRPr="00707A3D">
              <w:rPr>
                <w:rFonts w:ascii="Arial" w:hAnsi="Arial" w:cs="Arial"/>
              </w:rPr>
              <w:t>Year</w:t>
            </w:r>
          </w:p>
        </w:tc>
        <w:tc>
          <w:tcPr>
            <w:tcW w:w="3088" w:type="dxa"/>
            <w:tcBorders>
              <w:top w:val="single" w:sz="4" w:space="0" w:color="auto"/>
              <w:left w:val="single" w:sz="4" w:space="0" w:color="auto"/>
              <w:bottom w:val="dotted" w:sz="4" w:space="0" w:color="auto"/>
              <w:right w:val="single" w:sz="4" w:space="0" w:color="auto"/>
            </w:tcBorders>
          </w:tcPr>
          <w:p w14:paraId="11E4C81E" w14:textId="77777777" w:rsidR="00707A3D" w:rsidRPr="00707A3D" w:rsidRDefault="00707A3D" w:rsidP="00C375FE">
            <w:pPr>
              <w:pStyle w:val="TableColumnHeadingLeft"/>
              <w:rPr>
                <w:rFonts w:ascii="Arial" w:hAnsi="Arial" w:cs="Arial"/>
              </w:rPr>
            </w:pPr>
            <w:r w:rsidRPr="00707A3D">
              <w:rPr>
                <w:rFonts w:ascii="Arial" w:hAnsi="Arial" w:cs="Arial"/>
              </w:rPr>
              <w:t xml:space="preserve">Performance measures </w:t>
            </w:r>
          </w:p>
        </w:tc>
        <w:tc>
          <w:tcPr>
            <w:tcW w:w="3069" w:type="dxa"/>
            <w:tcBorders>
              <w:top w:val="single" w:sz="4" w:space="0" w:color="auto"/>
              <w:left w:val="single" w:sz="4" w:space="0" w:color="auto"/>
              <w:bottom w:val="dotted" w:sz="4" w:space="0" w:color="auto"/>
            </w:tcBorders>
          </w:tcPr>
          <w:p w14:paraId="10DDDF8C" w14:textId="77777777" w:rsidR="00707A3D" w:rsidRPr="00707A3D" w:rsidRDefault="00707A3D" w:rsidP="00C375FE">
            <w:pPr>
              <w:pStyle w:val="TableColumnHeadingLeft"/>
              <w:rPr>
                <w:rFonts w:ascii="Arial" w:hAnsi="Arial" w:cs="Arial"/>
              </w:rPr>
            </w:pPr>
            <w:r w:rsidRPr="00707A3D">
              <w:rPr>
                <w:rFonts w:ascii="Arial" w:hAnsi="Arial" w:cs="Arial"/>
              </w:rPr>
              <w:t xml:space="preserve">Planned performance results </w:t>
            </w:r>
          </w:p>
        </w:tc>
      </w:tr>
      <w:tr w:rsidR="00707A3D" w:rsidRPr="00707A3D" w14:paraId="3E65B0E0" w14:textId="77777777">
        <w:trPr>
          <w:cantSplit/>
          <w:trHeight w:val="782"/>
        </w:trPr>
        <w:tc>
          <w:tcPr>
            <w:tcW w:w="1543" w:type="dxa"/>
            <w:tcBorders>
              <w:top w:val="single" w:sz="4" w:space="0" w:color="auto"/>
              <w:bottom w:val="dotted" w:sz="4" w:space="0" w:color="auto"/>
              <w:right w:val="single" w:sz="4" w:space="0" w:color="auto"/>
            </w:tcBorders>
          </w:tcPr>
          <w:p w14:paraId="64D86CB4" w14:textId="77777777" w:rsidR="00707A3D" w:rsidRPr="00707A3D" w:rsidRDefault="00707A3D" w:rsidP="00C375FE">
            <w:pPr>
              <w:pStyle w:val="TableTextLeft"/>
              <w:rPr>
                <w:rFonts w:cs="Arial"/>
              </w:rPr>
            </w:pPr>
            <w:r w:rsidRPr="00707A3D">
              <w:rPr>
                <w:rFonts w:cs="Arial"/>
              </w:rPr>
              <w:t xml:space="preserve">Budget Year </w:t>
            </w:r>
          </w:p>
          <w:p w14:paraId="5DCF1D77" w14:textId="77777777" w:rsidR="00707A3D" w:rsidRPr="00707A3D" w:rsidRDefault="00707A3D" w:rsidP="00C375FE">
            <w:pPr>
              <w:pStyle w:val="TableTextLeft"/>
              <w:rPr>
                <w:rFonts w:cs="Arial"/>
              </w:rPr>
            </w:pPr>
            <w:r w:rsidRPr="00707A3D">
              <w:rPr>
                <w:rFonts w:cs="Arial"/>
              </w:rPr>
              <w:t>2026–27</w:t>
            </w:r>
          </w:p>
        </w:tc>
        <w:tc>
          <w:tcPr>
            <w:tcW w:w="3088" w:type="dxa"/>
            <w:tcBorders>
              <w:top w:val="single" w:sz="4" w:space="0" w:color="auto"/>
              <w:left w:val="single" w:sz="4" w:space="0" w:color="auto"/>
              <w:bottom w:val="dotted" w:sz="4" w:space="0" w:color="auto"/>
              <w:right w:val="single" w:sz="4" w:space="0" w:color="auto"/>
            </w:tcBorders>
          </w:tcPr>
          <w:p w14:paraId="6DAA4388" w14:textId="77777777" w:rsidR="00707A3D" w:rsidRPr="00707A3D" w:rsidRDefault="00707A3D" w:rsidP="00C375FE">
            <w:pPr>
              <w:pStyle w:val="TableTextLeft"/>
              <w:rPr>
                <w:rFonts w:cs="Arial"/>
              </w:rPr>
            </w:pPr>
            <w:r w:rsidRPr="00707A3D">
              <w:rPr>
                <w:rFonts w:cs="Arial"/>
              </w:rPr>
              <w:t>The New Colombo Plan contributes to young Australians’ Indo-Pacific knowledge, capability and connections.</w:t>
            </w:r>
          </w:p>
          <w:p w14:paraId="37EDA86D" w14:textId="77777777" w:rsidR="00707A3D" w:rsidRPr="00707A3D" w:rsidRDefault="00707A3D" w:rsidP="00C375FE">
            <w:pPr>
              <w:pStyle w:val="TableTextLeft"/>
              <w:rPr>
                <w:rFonts w:cs="Arial"/>
                <w:b/>
                <w:bCs/>
              </w:rPr>
            </w:pPr>
          </w:p>
        </w:tc>
        <w:tc>
          <w:tcPr>
            <w:tcW w:w="3069" w:type="dxa"/>
            <w:tcBorders>
              <w:top w:val="single" w:sz="4" w:space="0" w:color="auto"/>
              <w:left w:val="single" w:sz="4" w:space="0" w:color="auto"/>
              <w:bottom w:val="dotted" w:sz="4" w:space="0" w:color="auto"/>
            </w:tcBorders>
          </w:tcPr>
          <w:p w14:paraId="3363265B" w14:textId="77777777" w:rsidR="00707A3D" w:rsidRPr="00707A3D" w:rsidRDefault="00707A3D" w:rsidP="00C375FE">
            <w:pPr>
              <w:pStyle w:val="TableTextLeft"/>
              <w:spacing w:before="0"/>
              <w:rPr>
                <w:rFonts w:cs="Arial"/>
              </w:rPr>
            </w:pPr>
            <w:r w:rsidRPr="00707A3D">
              <w:rPr>
                <w:rFonts w:cs="Arial"/>
                <w:b/>
                <w:bCs/>
              </w:rPr>
              <w:t>Target 1</w:t>
            </w:r>
            <w:r w:rsidRPr="00707A3D">
              <w:rPr>
                <w:rFonts w:cs="Arial"/>
              </w:rPr>
              <w:t>: 400 Australian university undergraduates awarded a New Colombo Plan scholarship to study in the Indo-Pacific region.</w:t>
            </w:r>
          </w:p>
          <w:p w14:paraId="7DC332D8" w14:textId="77777777" w:rsidR="00707A3D" w:rsidRPr="00707A3D" w:rsidRDefault="00707A3D" w:rsidP="00C375FE">
            <w:pPr>
              <w:pStyle w:val="TableTextLeft"/>
              <w:spacing w:before="0"/>
              <w:rPr>
                <w:rFonts w:cs="Arial"/>
              </w:rPr>
            </w:pPr>
          </w:p>
          <w:p w14:paraId="448274BD" w14:textId="77777777" w:rsidR="00707A3D" w:rsidRPr="00707A3D" w:rsidRDefault="00707A3D" w:rsidP="00C375FE">
            <w:pPr>
              <w:pStyle w:val="TableTextLeft"/>
              <w:spacing w:before="0"/>
              <w:rPr>
                <w:rFonts w:cs="Arial"/>
              </w:rPr>
            </w:pPr>
            <w:r w:rsidRPr="00707A3D">
              <w:rPr>
                <w:rFonts w:cs="Arial"/>
                <w:b/>
                <w:bCs/>
              </w:rPr>
              <w:t>Target 2</w:t>
            </w:r>
            <w:r w:rsidRPr="00707A3D">
              <w:rPr>
                <w:rFonts w:cs="Arial"/>
              </w:rPr>
              <w:t>: 20% of the Australian university undergraduates awarded under the New Colombo Plan have a planned language-learning component(s) for scholarships, semester and mobility programs.</w:t>
            </w:r>
          </w:p>
          <w:p w14:paraId="5BC562A1" w14:textId="77777777" w:rsidR="00707A3D" w:rsidRPr="00707A3D" w:rsidRDefault="00707A3D" w:rsidP="00C375FE">
            <w:pPr>
              <w:pStyle w:val="TableTextLeft"/>
              <w:spacing w:before="0"/>
              <w:rPr>
                <w:rFonts w:cs="Arial"/>
              </w:rPr>
            </w:pPr>
          </w:p>
        </w:tc>
      </w:tr>
      <w:tr w:rsidR="00707A3D" w:rsidRPr="00707A3D" w14:paraId="2687D2B2" w14:textId="77777777">
        <w:trPr>
          <w:cantSplit/>
          <w:trHeight w:val="491"/>
        </w:trPr>
        <w:tc>
          <w:tcPr>
            <w:tcW w:w="1543" w:type="dxa"/>
            <w:tcBorders>
              <w:top w:val="dotted" w:sz="4" w:space="0" w:color="auto"/>
              <w:bottom w:val="dotted" w:sz="4" w:space="0" w:color="auto"/>
              <w:right w:val="single" w:sz="4" w:space="0" w:color="auto"/>
            </w:tcBorders>
          </w:tcPr>
          <w:p w14:paraId="5E3F5AEA" w14:textId="77777777" w:rsidR="00707A3D" w:rsidRPr="00707A3D" w:rsidRDefault="00707A3D" w:rsidP="00C375FE">
            <w:pPr>
              <w:pStyle w:val="TableTextLeft"/>
              <w:rPr>
                <w:rFonts w:cs="Arial"/>
              </w:rPr>
            </w:pPr>
            <w:r w:rsidRPr="00707A3D">
              <w:rPr>
                <w:rFonts w:cs="Arial"/>
              </w:rPr>
              <w:t xml:space="preserve">Forward Estimates </w:t>
            </w:r>
          </w:p>
          <w:p w14:paraId="3F8F9F2C" w14:textId="77777777" w:rsidR="00707A3D" w:rsidRPr="00707A3D" w:rsidRDefault="00707A3D" w:rsidP="00C375FE">
            <w:pPr>
              <w:pStyle w:val="TableTextLeft"/>
              <w:rPr>
                <w:rFonts w:cs="Arial"/>
                <w:b/>
              </w:rPr>
            </w:pPr>
            <w:r w:rsidRPr="00707A3D">
              <w:rPr>
                <w:rFonts w:cs="Arial"/>
              </w:rPr>
              <w:t>2027–30</w:t>
            </w:r>
          </w:p>
        </w:tc>
        <w:tc>
          <w:tcPr>
            <w:tcW w:w="3088" w:type="dxa"/>
            <w:tcBorders>
              <w:top w:val="dotted" w:sz="4" w:space="0" w:color="auto"/>
              <w:left w:val="single" w:sz="4" w:space="0" w:color="auto"/>
              <w:bottom w:val="dotted" w:sz="4" w:space="0" w:color="auto"/>
              <w:right w:val="single" w:sz="4" w:space="0" w:color="auto"/>
            </w:tcBorders>
          </w:tcPr>
          <w:p w14:paraId="03DA1E80" w14:textId="77777777" w:rsidR="00707A3D" w:rsidRPr="00707A3D" w:rsidRDefault="00707A3D" w:rsidP="00C375FE">
            <w:pPr>
              <w:pStyle w:val="TableTextLeft"/>
              <w:rPr>
                <w:rFonts w:cs="Arial"/>
              </w:rPr>
            </w:pPr>
            <w:r w:rsidRPr="00707A3D">
              <w:rPr>
                <w:rFonts w:cs="Arial"/>
              </w:rPr>
              <w:t>As per 2026–27</w:t>
            </w:r>
          </w:p>
          <w:p w14:paraId="61D0BADD" w14:textId="77777777" w:rsidR="00707A3D" w:rsidRPr="00707A3D" w:rsidRDefault="00707A3D" w:rsidP="00C375FE">
            <w:pPr>
              <w:pStyle w:val="TableTextLeft"/>
              <w:rPr>
                <w:rFonts w:cs="Arial"/>
                <w:b/>
              </w:rPr>
            </w:pPr>
          </w:p>
        </w:tc>
        <w:tc>
          <w:tcPr>
            <w:tcW w:w="3069" w:type="dxa"/>
            <w:tcBorders>
              <w:top w:val="dotted" w:sz="4" w:space="0" w:color="auto"/>
              <w:left w:val="single" w:sz="4" w:space="0" w:color="auto"/>
              <w:bottom w:val="dotted" w:sz="4" w:space="0" w:color="auto"/>
            </w:tcBorders>
          </w:tcPr>
          <w:p w14:paraId="1F9D8A20" w14:textId="77777777" w:rsidR="00707A3D" w:rsidRPr="00707A3D" w:rsidRDefault="00707A3D" w:rsidP="00C375FE">
            <w:pPr>
              <w:pStyle w:val="TableTextLeft"/>
              <w:spacing w:before="0"/>
              <w:rPr>
                <w:rFonts w:cs="Arial"/>
              </w:rPr>
            </w:pPr>
            <w:r w:rsidRPr="00707A3D">
              <w:rPr>
                <w:rFonts w:cs="Arial"/>
                <w:b/>
                <w:bCs/>
              </w:rPr>
              <w:t>Target 1</w:t>
            </w:r>
            <w:r w:rsidRPr="00707A3D">
              <w:rPr>
                <w:rFonts w:cs="Arial"/>
              </w:rPr>
              <w:t xml:space="preserve">: 500 Australian university undergraduates awarded a New Colombo Plan scholarship to study in the Indo-Pacific region. </w:t>
            </w:r>
          </w:p>
          <w:p w14:paraId="79C8BF4B" w14:textId="77777777" w:rsidR="00707A3D" w:rsidRPr="00707A3D" w:rsidRDefault="00707A3D" w:rsidP="00C375FE">
            <w:pPr>
              <w:pStyle w:val="TableTextLeft"/>
              <w:spacing w:before="0"/>
              <w:rPr>
                <w:rFonts w:cs="Arial"/>
              </w:rPr>
            </w:pPr>
          </w:p>
          <w:p w14:paraId="255FA000" w14:textId="77777777" w:rsidR="00707A3D" w:rsidRPr="00707A3D" w:rsidRDefault="00707A3D" w:rsidP="00C375FE">
            <w:pPr>
              <w:pStyle w:val="TableTextLeft"/>
              <w:spacing w:before="0"/>
              <w:rPr>
                <w:rFonts w:cs="Arial"/>
              </w:rPr>
            </w:pPr>
            <w:r w:rsidRPr="00707A3D">
              <w:rPr>
                <w:rFonts w:cs="Arial"/>
                <w:b/>
                <w:bCs/>
              </w:rPr>
              <w:t>Target 2</w:t>
            </w:r>
            <w:r w:rsidRPr="00707A3D">
              <w:rPr>
                <w:rFonts w:cs="Arial"/>
              </w:rPr>
              <w:t>: 25% of the Australian university undergraduates awarded under the New Colombo Plan have a planned language-learning component(s) for scholarships, semester and mobility programs.</w:t>
            </w:r>
          </w:p>
          <w:p w14:paraId="6089EE4C" w14:textId="77777777" w:rsidR="00707A3D" w:rsidRPr="00707A3D" w:rsidRDefault="00707A3D" w:rsidP="00C375FE">
            <w:pPr>
              <w:pStyle w:val="TableTextLeft"/>
              <w:spacing w:before="0"/>
              <w:rPr>
                <w:rFonts w:cs="Arial"/>
                <w:b/>
              </w:rPr>
            </w:pPr>
          </w:p>
        </w:tc>
      </w:tr>
      <w:tr w:rsidR="00707A3D" w:rsidRPr="00707A3D" w14:paraId="085BD594" w14:textId="77777777">
        <w:trPr>
          <w:cantSplit/>
          <w:trHeight w:val="261"/>
        </w:trPr>
        <w:tc>
          <w:tcPr>
            <w:tcW w:w="7700" w:type="dxa"/>
            <w:gridSpan w:val="3"/>
          </w:tcPr>
          <w:p w14:paraId="43AABE85" w14:textId="77777777" w:rsidR="00707A3D" w:rsidRPr="00707A3D" w:rsidRDefault="00707A3D" w:rsidP="00C375FE">
            <w:pPr>
              <w:pStyle w:val="TableTextLeft"/>
              <w:rPr>
                <w:rFonts w:eastAsia="Cambria" w:cs="Arial"/>
                <w:spacing w:val="-6"/>
              </w:rPr>
            </w:pPr>
            <w:r w:rsidRPr="00707A3D">
              <w:rPr>
                <w:rFonts w:cs="Arial"/>
              </w:rPr>
              <w:t>Material changes to Program 1.5 resulting from 2026–27 Budget Measures:</w:t>
            </w:r>
            <w:r w:rsidRPr="00707A3D">
              <w:rPr>
                <w:rFonts w:eastAsia="Cambria" w:cs="Arial"/>
                <w:spacing w:val="-6"/>
                <w:lang w:eastAsia="en-US"/>
              </w:rPr>
              <w:t xml:space="preserve"> Nil</w:t>
            </w:r>
          </w:p>
        </w:tc>
      </w:tr>
    </w:tbl>
    <w:p w14:paraId="2D731E84" w14:textId="4337786F" w:rsidR="00707A3D" w:rsidRDefault="00707A3D" w:rsidP="00707A3D">
      <w:pPr>
        <w:pStyle w:val="ChartandTableFootnoteAlpha"/>
        <w:numPr>
          <w:ilvl w:val="0"/>
          <w:numId w:val="50"/>
        </w:numPr>
      </w:pPr>
      <w:r w:rsidRPr="00707A3D">
        <w:t xml:space="preserve">Minor amendment of the target wording has been made to align with program </w:t>
      </w:r>
      <w:r>
        <w:t xml:space="preserve">reforms. </w:t>
      </w:r>
    </w:p>
    <w:p w14:paraId="72AE5E5C" w14:textId="6125240C" w:rsidR="00707A3D" w:rsidRPr="00707A3D" w:rsidRDefault="00707A3D" w:rsidP="00707A3D">
      <w:pPr>
        <w:pStyle w:val="ChartandTableFootnoteAlpha"/>
        <w:numPr>
          <w:ilvl w:val="0"/>
          <w:numId w:val="50"/>
        </w:numPr>
      </w:pPr>
      <w:r w:rsidRPr="00707A3D">
        <w:t>Data is based on the awarded number for the 2026 round against each program</w:t>
      </w:r>
      <w:r>
        <w:t xml:space="preserve">. </w:t>
      </w:r>
    </w:p>
    <w:p w14:paraId="58B8F9FB" w14:textId="005C73C5" w:rsidR="00707A3D" w:rsidRDefault="00707A3D">
      <w:pPr>
        <w:spacing w:before="0" w:after="0" w:line="240" w:lineRule="auto"/>
      </w:pPr>
      <w:r>
        <w:br w:type="page"/>
      </w:r>
    </w:p>
    <w:p w14:paraId="13F315EA" w14:textId="77777777" w:rsidR="0040019E" w:rsidRDefault="0040019E" w:rsidP="0040019E">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40019E" w:rsidRPr="0040019E" w14:paraId="40793E19" w14:textId="77777777">
        <w:trPr>
          <w:cantSplit/>
          <w:trHeight w:val="261"/>
          <w:tblHeader/>
        </w:trPr>
        <w:tc>
          <w:tcPr>
            <w:tcW w:w="7796" w:type="dxa"/>
            <w:gridSpan w:val="3"/>
            <w:shd w:val="clear" w:color="auto" w:fill="F2F2F2"/>
          </w:tcPr>
          <w:p w14:paraId="687736AB" w14:textId="77777777" w:rsidR="0040019E" w:rsidRPr="0040019E" w:rsidRDefault="0040019E" w:rsidP="00C375FE">
            <w:pPr>
              <w:pStyle w:val="TableColumnHeadingLeft"/>
              <w:rPr>
                <w:rFonts w:ascii="Arial" w:hAnsi="Arial" w:cs="Arial"/>
                <w:bCs/>
              </w:rPr>
            </w:pPr>
            <w:r w:rsidRPr="0040019E">
              <w:rPr>
                <w:rFonts w:ascii="Arial" w:hAnsi="Arial" w:cs="Arial"/>
              </w:rPr>
              <w:t>Outcome 1</w:t>
            </w:r>
            <w:r w:rsidRPr="0040019E">
              <w:rPr>
                <w:rFonts w:ascii="Arial" w:hAnsi="Arial" w:cs="Arial"/>
                <w:bCs/>
              </w:rPr>
              <w:t xml:space="preserve"> </w:t>
            </w:r>
            <w:r w:rsidRPr="0040019E">
              <w:rPr>
                <w:rFonts w:ascii="Arial" w:hAnsi="Arial" w:cs="Arial"/>
              </w:rPr>
              <w:t>– The advancement of Australia’s international strategic, security and economic interests including through bilateral, regional and multilateral engagement on Australian Government foreign, trade and international development policy priorities.</w:t>
            </w:r>
          </w:p>
        </w:tc>
      </w:tr>
      <w:tr w:rsidR="0040019E" w:rsidRPr="0040019E" w14:paraId="4C23855F" w14:textId="77777777">
        <w:trPr>
          <w:cantSplit/>
          <w:trHeight w:val="522"/>
          <w:tblHeader/>
        </w:trPr>
        <w:tc>
          <w:tcPr>
            <w:tcW w:w="7796" w:type="dxa"/>
            <w:gridSpan w:val="3"/>
            <w:shd w:val="clear" w:color="auto" w:fill="F2F2F2"/>
          </w:tcPr>
          <w:p w14:paraId="06502837" w14:textId="77777777" w:rsidR="0040019E" w:rsidRPr="0040019E" w:rsidRDefault="0040019E" w:rsidP="00C375FE">
            <w:pPr>
              <w:pStyle w:val="TableColumnHeadingLeft"/>
              <w:rPr>
                <w:rFonts w:ascii="Arial" w:hAnsi="Arial" w:cs="Arial"/>
              </w:rPr>
            </w:pPr>
            <w:r w:rsidRPr="0040019E">
              <w:rPr>
                <w:rFonts w:ascii="Arial" w:hAnsi="Arial" w:cs="Arial"/>
              </w:rPr>
              <w:t xml:space="preserve">Program 1.6 – </w:t>
            </w:r>
            <w:r w:rsidRPr="0040019E">
              <w:rPr>
                <w:rFonts w:ascii="Arial" w:eastAsia="Arial" w:hAnsi="Arial" w:cs="Arial"/>
              </w:rPr>
              <w:t xml:space="preserve">Public Information Services and Public Diplomacy </w:t>
            </w:r>
            <w:r w:rsidRPr="0040019E">
              <w:rPr>
                <w:rFonts w:ascii="Arial" w:eastAsia="Arial" w:hAnsi="Arial" w:cs="Arial"/>
                <w:b w:val="0"/>
                <w:bCs/>
              </w:rPr>
              <w:t>projects a positive and contemporary image of Australia and promotes a clear understanding of government policies and objectives and engagement with the Indo-Pacific region through the department’s soft power activities.</w:t>
            </w:r>
          </w:p>
        </w:tc>
      </w:tr>
      <w:tr w:rsidR="0040019E" w:rsidRPr="0040019E" w14:paraId="0E2E4DE4" w14:textId="77777777">
        <w:trPr>
          <w:cantSplit/>
          <w:trHeight w:val="261"/>
        </w:trPr>
        <w:tc>
          <w:tcPr>
            <w:tcW w:w="1560" w:type="dxa"/>
            <w:tcBorders>
              <w:bottom w:val="double" w:sz="4" w:space="0" w:color="auto"/>
            </w:tcBorders>
          </w:tcPr>
          <w:p w14:paraId="09C05A9E" w14:textId="77777777" w:rsidR="0040019E" w:rsidRPr="0040019E" w:rsidRDefault="0040019E" w:rsidP="00C375FE">
            <w:pPr>
              <w:pStyle w:val="TableColumnHeadingLeft"/>
              <w:rPr>
                <w:rFonts w:ascii="Arial" w:hAnsi="Arial" w:cs="Arial"/>
              </w:rPr>
            </w:pPr>
            <w:r w:rsidRPr="0040019E">
              <w:rPr>
                <w:rFonts w:ascii="Arial" w:hAnsi="Arial" w:cs="Arial"/>
              </w:rPr>
              <w:t xml:space="preserve">Key activities </w:t>
            </w:r>
          </w:p>
        </w:tc>
        <w:tc>
          <w:tcPr>
            <w:tcW w:w="6236" w:type="dxa"/>
            <w:gridSpan w:val="2"/>
            <w:tcBorders>
              <w:bottom w:val="double" w:sz="4" w:space="0" w:color="auto"/>
            </w:tcBorders>
          </w:tcPr>
          <w:p w14:paraId="33610F5B" w14:textId="77777777" w:rsidR="0040019E" w:rsidRPr="0040019E" w:rsidRDefault="0040019E" w:rsidP="00C375FE">
            <w:pPr>
              <w:pStyle w:val="TableTextLeft"/>
              <w:rPr>
                <w:rFonts w:cs="Arial"/>
              </w:rPr>
            </w:pPr>
            <w:r w:rsidRPr="0040019E">
              <w:rPr>
                <w:rFonts w:cs="Arial"/>
              </w:rPr>
              <w:t xml:space="preserve">Key activities reported in the Corporate Plan 2025–26 that relate to this program. </w:t>
            </w:r>
          </w:p>
          <w:p w14:paraId="2D96D320" w14:textId="77777777" w:rsidR="0040019E" w:rsidRPr="0040019E" w:rsidRDefault="0040019E" w:rsidP="0040019E">
            <w:pPr>
              <w:pStyle w:val="TableTextLeft"/>
              <w:numPr>
                <w:ilvl w:val="0"/>
                <w:numId w:val="48"/>
              </w:numPr>
              <w:rPr>
                <w:rFonts w:cs="Arial"/>
              </w:rPr>
            </w:pPr>
            <w:r w:rsidRPr="0040019E">
              <w:rPr>
                <w:rFonts w:cs="Arial"/>
              </w:rPr>
              <w:t>Negotiate and advocate internationally and provide international policy advice.</w:t>
            </w:r>
          </w:p>
        </w:tc>
      </w:tr>
      <w:tr w:rsidR="0040019E" w:rsidRPr="0040019E" w14:paraId="453498DC" w14:textId="77777777">
        <w:trPr>
          <w:cantSplit/>
          <w:trHeight w:val="258"/>
        </w:trPr>
        <w:tc>
          <w:tcPr>
            <w:tcW w:w="1560" w:type="dxa"/>
            <w:tcBorders>
              <w:top w:val="double" w:sz="4" w:space="0" w:color="auto"/>
              <w:bottom w:val="single" w:sz="4" w:space="0" w:color="auto"/>
              <w:right w:val="single" w:sz="4" w:space="0" w:color="auto"/>
            </w:tcBorders>
          </w:tcPr>
          <w:p w14:paraId="216EE073" w14:textId="77777777" w:rsidR="0040019E" w:rsidRPr="0040019E" w:rsidRDefault="0040019E" w:rsidP="00C375FE">
            <w:pPr>
              <w:pStyle w:val="TableColumnHeadingLeft"/>
              <w:rPr>
                <w:rFonts w:ascii="Arial" w:hAnsi="Arial" w:cs="Arial"/>
              </w:rPr>
            </w:pPr>
            <w:r w:rsidRPr="0040019E">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35A54D3B" w14:textId="77777777" w:rsidR="0040019E" w:rsidRPr="0040019E" w:rsidRDefault="0040019E" w:rsidP="00C375FE">
            <w:pPr>
              <w:pStyle w:val="TableColumnHeadingLeft"/>
              <w:rPr>
                <w:rFonts w:ascii="Arial" w:hAnsi="Arial" w:cs="Arial"/>
              </w:rPr>
            </w:pPr>
            <w:r w:rsidRPr="0040019E">
              <w:rPr>
                <w:rFonts w:ascii="Arial" w:hAnsi="Arial" w:cs="Arial"/>
              </w:rPr>
              <w:t xml:space="preserve">Performance measures </w:t>
            </w:r>
          </w:p>
        </w:tc>
        <w:tc>
          <w:tcPr>
            <w:tcW w:w="3118" w:type="dxa"/>
            <w:tcBorders>
              <w:top w:val="double" w:sz="4" w:space="0" w:color="auto"/>
              <w:left w:val="single" w:sz="4" w:space="0" w:color="auto"/>
              <w:bottom w:val="single" w:sz="4" w:space="0" w:color="auto"/>
            </w:tcBorders>
          </w:tcPr>
          <w:p w14:paraId="2190A5C7" w14:textId="77777777" w:rsidR="0040019E" w:rsidRPr="0040019E" w:rsidRDefault="0040019E" w:rsidP="00C375FE">
            <w:pPr>
              <w:pStyle w:val="TableColumnHeadingLeft"/>
              <w:rPr>
                <w:rFonts w:ascii="Arial" w:hAnsi="Arial" w:cs="Arial"/>
              </w:rPr>
            </w:pPr>
            <w:r w:rsidRPr="0040019E">
              <w:rPr>
                <w:rFonts w:ascii="Arial" w:hAnsi="Arial" w:cs="Arial"/>
              </w:rPr>
              <w:t>Expected performance results</w:t>
            </w:r>
          </w:p>
        </w:tc>
      </w:tr>
      <w:tr w:rsidR="0040019E" w:rsidRPr="0040019E" w14:paraId="11D96E95" w14:textId="77777777">
        <w:trPr>
          <w:cantSplit/>
          <w:trHeight w:val="642"/>
        </w:trPr>
        <w:tc>
          <w:tcPr>
            <w:tcW w:w="1560" w:type="dxa"/>
            <w:tcBorders>
              <w:top w:val="single" w:sz="4" w:space="0" w:color="auto"/>
              <w:bottom w:val="dotted" w:sz="4" w:space="0" w:color="auto"/>
              <w:right w:val="single" w:sz="4" w:space="0" w:color="auto"/>
            </w:tcBorders>
          </w:tcPr>
          <w:p w14:paraId="0DD91A66" w14:textId="77777777" w:rsidR="0040019E" w:rsidRPr="0040019E" w:rsidRDefault="0040019E" w:rsidP="00C375FE">
            <w:pPr>
              <w:pStyle w:val="TableTextLeft"/>
              <w:rPr>
                <w:rFonts w:cs="Arial"/>
              </w:rPr>
            </w:pPr>
            <w:r w:rsidRPr="0040019E">
              <w:rPr>
                <w:rFonts w:cs="Arial"/>
              </w:rPr>
              <w:t xml:space="preserve">Current Year </w:t>
            </w:r>
          </w:p>
          <w:p w14:paraId="5CD672CD" w14:textId="77777777" w:rsidR="0040019E" w:rsidRPr="0040019E" w:rsidRDefault="0040019E" w:rsidP="00C375FE">
            <w:pPr>
              <w:pStyle w:val="TableTextLeft"/>
              <w:rPr>
                <w:rFonts w:cs="Arial"/>
              </w:rPr>
            </w:pPr>
            <w:r w:rsidRPr="0040019E">
              <w:rPr>
                <w:rFonts w:cs="Arial"/>
              </w:rPr>
              <w:t>2025–26</w:t>
            </w:r>
          </w:p>
        </w:tc>
        <w:tc>
          <w:tcPr>
            <w:tcW w:w="3118" w:type="dxa"/>
            <w:tcBorders>
              <w:top w:val="single" w:sz="4" w:space="0" w:color="auto"/>
              <w:left w:val="single" w:sz="4" w:space="0" w:color="auto"/>
              <w:bottom w:val="dotted" w:sz="4" w:space="0" w:color="auto"/>
              <w:right w:val="single" w:sz="4" w:space="0" w:color="auto"/>
            </w:tcBorders>
          </w:tcPr>
          <w:p w14:paraId="29FF01B5" w14:textId="77777777" w:rsidR="0040019E" w:rsidRPr="0040019E" w:rsidRDefault="0040019E" w:rsidP="00C375FE">
            <w:pPr>
              <w:pStyle w:val="TableTextLeft"/>
              <w:rPr>
                <w:rFonts w:cs="Arial"/>
              </w:rPr>
            </w:pPr>
            <w:r w:rsidRPr="0040019E">
              <w:rPr>
                <w:rFonts w:cs="Arial"/>
              </w:rPr>
              <w:t>Australia’s standing in the region is enhanced through DFAT’s public diplomacy.</w:t>
            </w:r>
          </w:p>
          <w:p w14:paraId="36F1516C" w14:textId="77777777" w:rsidR="0040019E" w:rsidRPr="0040019E" w:rsidRDefault="0040019E" w:rsidP="00C375FE">
            <w:pPr>
              <w:pStyle w:val="TableTextLeft"/>
              <w:rPr>
                <w:rFonts w:cs="Arial"/>
              </w:rPr>
            </w:pPr>
          </w:p>
        </w:tc>
        <w:tc>
          <w:tcPr>
            <w:tcW w:w="3118" w:type="dxa"/>
            <w:tcBorders>
              <w:top w:val="single" w:sz="4" w:space="0" w:color="auto"/>
              <w:left w:val="single" w:sz="4" w:space="0" w:color="auto"/>
              <w:bottom w:val="dotted" w:sz="4" w:space="0" w:color="auto"/>
            </w:tcBorders>
          </w:tcPr>
          <w:p w14:paraId="7908FF1D" w14:textId="77777777" w:rsidR="0098772D" w:rsidRDefault="0040019E" w:rsidP="00C375FE">
            <w:pPr>
              <w:pStyle w:val="TableTextLeft"/>
              <w:spacing w:before="0" w:afterLines="20" w:after="48"/>
              <w:rPr>
                <w:rFonts w:cs="Arial"/>
              </w:rPr>
            </w:pPr>
            <w:r w:rsidRPr="0040019E">
              <w:rPr>
                <w:rFonts w:cs="Arial"/>
                <w:b/>
              </w:rPr>
              <w:t>Target</w:t>
            </w:r>
            <w:r w:rsidRPr="0040019E">
              <w:rPr>
                <w:rFonts w:cs="Arial"/>
              </w:rPr>
              <w:t>: A case study on growing Australia’s sports partnerships with Papua New Guinea demonstrates performance.</w:t>
            </w:r>
          </w:p>
          <w:p w14:paraId="62CD7FD0" w14:textId="28CA6ECA" w:rsidR="0040019E" w:rsidRPr="0040019E" w:rsidRDefault="0040019E" w:rsidP="0098772D">
            <w:pPr>
              <w:pStyle w:val="TableTextLeft"/>
              <w:spacing w:before="0" w:after="0"/>
              <w:rPr>
                <w:rFonts w:cs="Arial"/>
              </w:rPr>
            </w:pPr>
            <w:r w:rsidRPr="0040019E">
              <w:rPr>
                <w:rFonts w:cs="Arial"/>
              </w:rPr>
              <w:t xml:space="preserve"> </w:t>
            </w:r>
          </w:p>
          <w:p w14:paraId="00AD37C4" w14:textId="77777777" w:rsidR="0040019E" w:rsidRPr="0040019E" w:rsidRDefault="0040019E" w:rsidP="00C375FE">
            <w:pPr>
              <w:pStyle w:val="TableTextLeft"/>
              <w:spacing w:before="0" w:after="0"/>
              <w:rPr>
                <w:rFonts w:cs="Arial"/>
              </w:rPr>
            </w:pPr>
            <w:r w:rsidRPr="0040019E">
              <w:rPr>
                <w:rFonts w:cs="Arial"/>
              </w:rPr>
              <w:t xml:space="preserve">DFAT is </w:t>
            </w:r>
            <w:r w:rsidRPr="0040019E">
              <w:rPr>
                <w:rFonts w:cs="Arial"/>
                <w:b/>
                <w:bCs/>
              </w:rPr>
              <w:t>on track</w:t>
            </w:r>
            <w:r w:rsidRPr="0040019E">
              <w:rPr>
                <w:rFonts w:cs="Arial"/>
              </w:rPr>
              <w:t xml:space="preserve"> to achieve the favourable outcome of this case study. </w:t>
            </w:r>
          </w:p>
          <w:p w14:paraId="10410E95" w14:textId="77777777" w:rsidR="0040019E" w:rsidRPr="0040019E" w:rsidRDefault="0040019E" w:rsidP="0098772D">
            <w:pPr>
              <w:pStyle w:val="TableTextLeft"/>
              <w:spacing w:before="0" w:after="0"/>
              <w:rPr>
                <w:rFonts w:cs="Arial"/>
              </w:rPr>
            </w:pPr>
          </w:p>
          <w:p w14:paraId="6620C2AE" w14:textId="4B2AEC7F" w:rsidR="0040019E" w:rsidRPr="0040019E" w:rsidRDefault="0040019E" w:rsidP="00A85B5B">
            <w:pPr>
              <w:pStyle w:val="TableTextLeft"/>
              <w:spacing w:before="0" w:after="120"/>
              <w:rPr>
                <w:rFonts w:cs="Arial"/>
              </w:rPr>
            </w:pPr>
            <w:r w:rsidRPr="0040019E">
              <w:rPr>
                <w:rFonts w:cs="Arial"/>
                <w:b/>
                <w:bCs/>
              </w:rPr>
              <w:t>Performance measure</w:t>
            </w:r>
            <w:r w:rsidRPr="0040019E">
              <w:rPr>
                <w:rFonts w:cs="Arial"/>
              </w:rPr>
              <w:t xml:space="preserve">: On track. </w:t>
            </w:r>
          </w:p>
        </w:tc>
      </w:tr>
      <w:tr w:rsidR="0040019E" w:rsidRPr="0040019E" w14:paraId="23E60FCC" w14:textId="77777777">
        <w:trPr>
          <w:cantSplit/>
          <w:trHeight w:val="100"/>
        </w:trPr>
        <w:tc>
          <w:tcPr>
            <w:tcW w:w="1560" w:type="dxa"/>
            <w:tcBorders>
              <w:top w:val="single" w:sz="4" w:space="0" w:color="auto"/>
              <w:bottom w:val="dotted" w:sz="4" w:space="0" w:color="auto"/>
              <w:right w:val="single" w:sz="4" w:space="0" w:color="auto"/>
            </w:tcBorders>
          </w:tcPr>
          <w:p w14:paraId="5D74125C" w14:textId="77777777" w:rsidR="0040019E" w:rsidRPr="0040019E" w:rsidRDefault="0040019E" w:rsidP="00C375FE">
            <w:pPr>
              <w:pStyle w:val="TableColumnHeadingLeft"/>
              <w:rPr>
                <w:rFonts w:ascii="Arial" w:hAnsi="Arial" w:cs="Arial"/>
              </w:rPr>
            </w:pPr>
            <w:r w:rsidRPr="0040019E">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48F13128" w14:textId="77777777" w:rsidR="0040019E" w:rsidRPr="0040019E" w:rsidRDefault="0040019E" w:rsidP="00C375FE">
            <w:pPr>
              <w:pStyle w:val="TableColumnHeadingLeft"/>
              <w:rPr>
                <w:rFonts w:ascii="Arial" w:hAnsi="Arial" w:cs="Arial"/>
              </w:rPr>
            </w:pPr>
            <w:r w:rsidRPr="0040019E">
              <w:rPr>
                <w:rFonts w:ascii="Arial" w:hAnsi="Arial" w:cs="Arial"/>
              </w:rPr>
              <w:t xml:space="preserve">Performance measures </w:t>
            </w:r>
          </w:p>
        </w:tc>
        <w:tc>
          <w:tcPr>
            <w:tcW w:w="3118" w:type="dxa"/>
            <w:tcBorders>
              <w:top w:val="single" w:sz="4" w:space="0" w:color="auto"/>
              <w:left w:val="single" w:sz="4" w:space="0" w:color="auto"/>
              <w:bottom w:val="dotted" w:sz="4" w:space="0" w:color="auto"/>
            </w:tcBorders>
          </w:tcPr>
          <w:p w14:paraId="67F7AE49" w14:textId="77777777" w:rsidR="0040019E" w:rsidRPr="0040019E" w:rsidRDefault="0040019E" w:rsidP="00C375FE">
            <w:pPr>
              <w:pStyle w:val="TableColumnHeadingLeft"/>
              <w:spacing w:before="80" w:afterLines="20" w:after="48"/>
              <w:rPr>
                <w:rFonts w:ascii="Arial" w:hAnsi="Arial" w:cs="Arial"/>
              </w:rPr>
            </w:pPr>
            <w:r w:rsidRPr="0040019E">
              <w:rPr>
                <w:rFonts w:ascii="Arial" w:hAnsi="Arial" w:cs="Arial"/>
              </w:rPr>
              <w:t xml:space="preserve">Planned performance results </w:t>
            </w:r>
          </w:p>
        </w:tc>
      </w:tr>
      <w:tr w:rsidR="0040019E" w:rsidRPr="0040019E" w14:paraId="6C1682E6" w14:textId="77777777">
        <w:trPr>
          <w:cantSplit/>
          <w:trHeight w:val="782"/>
        </w:trPr>
        <w:tc>
          <w:tcPr>
            <w:tcW w:w="1560" w:type="dxa"/>
            <w:tcBorders>
              <w:top w:val="single" w:sz="4" w:space="0" w:color="auto"/>
              <w:bottom w:val="dotted" w:sz="4" w:space="0" w:color="auto"/>
              <w:right w:val="single" w:sz="4" w:space="0" w:color="auto"/>
            </w:tcBorders>
          </w:tcPr>
          <w:p w14:paraId="4BF8C074" w14:textId="77777777" w:rsidR="0040019E" w:rsidRPr="0040019E" w:rsidRDefault="0040019E" w:rsidP="00C375FE">
            <w:pPr>
              <w:pStyle w:val="TableTextLeft"/>
              <w:rPr>
                <w:rFonts w:cs="Arial"/>
              </w:rPr>
            </w:pPr>
            <w:r w:rsidRPr="0040019E">
              <w:rPr>
                <w:rFonts w:cs="Arial"/>
              </w:rPr>
              <w:t xml:space="preserve">Budget Year </w:t>
            </w:r>
          </w:p>
          <w:p w14:paraId="20FBF696" w14:textId="77777777" w:rsidR="0040019E" w:rsidRPr="0040019E" w:rsidRDefault="0040019E" w:rsidP="00C375FE">
            <w:pPr>
              <w:pStyle w:val="TableTextLeft"/>
              <w:rPr>
                <w:rFonts w:cs="Arial"/>
              </w:rPr>
            </w:pPr>
            <w:r w:rsidRPr="0040019E">
              <w:rPr>
                <w:rFonts w:cs="Arial"/>
              </w:rPr>
              <w:t>2026–27</w:t>
            </w:r>
          </w:p>
        </w:tc>
        <w:tc>
          <w:tcPr>
            <w:tcW w:w="3118" w:type="dxa"/>
            <w:tcBorders>
              <w:top w:val="single" w:sz="4" w:space="0" w:color="auto"/>
              <w:left w:val="single" w:sz="4" w:space="0" w:color="auto"/>
              <w:bottom w:val="dotted" w:sz="4" w:space="0" w:color="auto"/>
              <w:right w:val="single" w:sz="4" w:space="0" w:color="auto"/>
            </w:tcBorders>
          </w:tcPr>
          <w:p w14:paraId="7D2FA72A" w14:textId="77777777" w:rsidR="0040019E" w:rsidRPr="0040019E" w:rsidRDefault="0040019E" w:rsidP="00C375FE">
            <w:pPr>
              <w:pStyle w:val="TableTextLeft"/>
              <w:rPr>
                <w:rFonts w:cs="Arial"/>
              </w:rPr>
            </w:pPr>
            <w:r w:rsidRPr="0040019E">
              <w:rPr>
                <w:rFonts w:cs="Arial"/>
              </w:rPr>
              <w:t>Australia’s standing in the region is enhanced through DFAT’s public diplomacy.</w:t>
            </w:r>
          </w:p>
          <w:p w14:paraId="282CEBD2" w14:textId="77777777" w:rsidR="0040019E" w:rsidRPr="0040019E" w:rsidRDefault="0040019E" w:rsidP="00C375FE">
            <w:pPr>
              <w:pStyle w:val="TableTextLeft"/>
              <w:rPr>
                <w:rFonts w:cs="Arial"/>
              </w:rPr>
            </w:pPr>
          </w:p>
          <w:p w14:paraId="5E5FB0FA" w14:textId="77777777" w:rsidR="0040019E" w:rsidRPr="0040019E" w:rsidRDefault="0040019E" w:rsidP="00C375FE">
            <w:pPr>
              <w:pStyle w:val="TableTextLeft"/>
              <w:rPr>
                <w:rFonts w:cs="Arial"/>
              </w:rPr>
            </w:pPr>
          </w:p>
        </w:tc>
        <w:tc>
          <w:tcPr>
            <w:tcW w:w="3118" w:type="dxa"/>
            <w:tcBorders>
              <w:top w:val="single" w:sz="4" w:space="0" w:color="auto"/>
              <w:left w:val="single" w:sz="4" w:space="0" w:color="auto"/>
              <w:bottom w:val="dotted" w:sz="4" w:space="0" w:color="auto"/>
            </w:tcBorders>
          </w:tcPr>
          <w:p w14:paraId="181550EC" w14:textId="77777777" w:rsidR="0040019E" w:rsidRPr="0040019E" w:rsidRDefault="0040019E" w:rsidP="00C375FE">
            <w:pPr>
              <w:pStyle w:val="TableTextLeft"/>
              <w:spacing w:before="0" w:after="0"/>
              <w:rPr>
                <w:rFonts w:cs="Arial"/>
              </w:rPr>
            </w:pPr>
            <w:r w:rsidRPr="0040019E">
              <w:rPr>
                <w:rFonts w:cs="Arial"/>
                <w:b/>
                <w:bCs/>
              </w:rPr>
              <w:t>Target</w:t>
            </w:r>
            <w:r w:rsidRPr="0040019E">
              <w:rPr>
                <w:rFonts w:cs="Arial"/>
              </w:rPr>
              <w:t>: A case study will demonstrate performance.</w:t>
            </w:r>
          </w:p>
          <w:p w14:paraId="7407D8D6" w14:textId="4A7292DF" w:rsidR="0040019E" w:rsidRPr="0040019E" w:rsidRDefault="0040019E" w:rsidP="00A85B5B">
            <w:pPr>
              <w:pStyle w:val="TableTextLeft"/>
              <w:spacing w:before="80" w:after="120"/>
              <w:rPr>
                <w:rFonts w:cs="Arial"/>
              </w:rPr>
            </w:pPr>
            <w:r w:rsidRPr="0040019E">
              <w:rPr>
                <w:rFonts w:cs="Arial"/>
              </w:rPr>
              <w:t>A specific case study topic will be identified in the Corporate Plan</w:t>
            </w:r>
            <w:r w:rsidR="00780C62">
              <w:rPr>
                <w:rFonts w:cs="Arial"/>
              </w:rPr>
              <w:br/>
            </w:r>
            <w:r w:rsidRPr="0040019E">
              <w:rPr>
                <w:rFonts w:cs="Arial"/>
              </w:rPr>
              <w:t>2026</w:t>
            </w:r>
            <w:r w:rsidR="00780C62" w:rsidRPr="003A00DB">
              <w:rPr>
                <w:rFonts w:cs="Arial"/>
              </w:rPr>
              <w:t>–</w:t>
            </w:r>
            <w:r w:rsidRPr="0040019E">
              <w:rPr>
                <w:rFonts w:cs="Arial"/>
              </w:rPr>
              <w:t>27.</w:t>
            </w:r>
          </w:p>
        </w:tc>
      </w:tr>
      <w:tr w:rsidR="0040019E" w:rsidRPr="0040019E" w14:paraId="2463F869" w14:textId="77777777">
        <w:trPr>
          <w:cantSplit/>
          <w:trHeight w:val="491"/>
        </w:trPr>
        <w:tc>
          <w:tcPr>
            <w:tcW w:w="1560" w:type="dxa"/>
            <w:tcBorders>
              <w:top w:val="dotted" w:sz="4" w:space="0" w:color="auto"/>
              <w:bottom w:val="dotted" w:sz="4" w:space="0" w:color="auto"/>
              <w:right w:val="single" w:sz="4" w:space="0" w:color="auto"/>
            </w:tcBorders>
          </w:tcPr>
          <w:p w14:paraId="36A8A6D2" w14:textId="77777777" w:rsidR="0040019E" w:rsidRPr="0040019E" w:rsidRDefault="0040019E" w:rsidP="00C375FE">
            <w:pPr>
              <w:pStyle w:val="TableTextLeft"/>
              <w:rPr>
                <w:rFonts w:cs="Arial"/>
              </w:rPr>
            </w:pPr>
            <w:r w:rsidRPr="0040019E">
              <w:rPr>
                <w:rFonts w:cs="Arial"/>
              </w:rPr>
              <w:t xml:space="preserve">Forward Estimates </w:t>
            </w:r>
          </w:p>
          <w:p w14:paraId="7F14841A" w14:textId="77777777" w:rsidR="0040019E" w:rsidRPr="0040019E" w:rsidRDefault="0040019E" w:rsidP="00C375FE">
            <w:pPr>
              <w:pStyle w:val="TableTextLeft"/>
              <w:rPr>
                <w:rFonts w:cs="Arial"/>
                <w:b/>
              </w:rPr>
            </w:pPr>
            <w:r w:rsidRPr="0040019E">
              <w:rPr>
                <w:rFonts w:cs="Arial"/>
              </w:rPr>
              <w:t>2027–30</w:t>
            </w:r>
          </w:p>
        </w:tc>
        <w:tc>
          <w:tcPr>
            <w:tcW w:w="3118" w:type="dxa"/>
            <w:tcBorders>
              <w:top w:val="dotted" w:sz="4" w:space="0" w:color="auto"/>
              <w:left w:val="single" w:sz="4" w:space="0" w:color="auto"/>
              <w:bottom w:val="dotted" w:sz="4" w:space="0" w:color="auto"/>
              <w:right w:val="single" w:sz="4" w:space="0" w:color="auto"/>
            </w:tcBorders>
          </w:tcPr>
          <w:p w14:paraId="511CD407" w14:textId="77777777" w:rsidR="0040019E" w:rsidRPr="0040019E" w:rsidRDefault="0040019E" w:rsidP="00C375FE">
            <w:pPr>
              <w:pStyle w:val="TableTextLeft"/>
              <w:rPr>
                <w:rFonts w:cs="Arial"/>
                <w:b/>
              </w:rPr>
            </w:pPr>
            <w:r w:rsidRPr="0040019E">
              <w:rPr>
                <w:rFonts w:cs="Arial"/>
              </w:rPr>
              <w:t>As per 2026–27</w:t>
            </w:r>
          </w:p>
        </w:tc>
        <w:tc>
          <w:tcPr>
            <w:tcW w:w="3118" w:type="dxa"/>
            <w:tcBorders>
              <w:top w:val="dotted" w:sz="4" w:space="0" w:color="auto"/>
              <w:left w:val="single" w:sz="4" w:space="0" w:color="auto"/>
              <w:bottom w:val="dotted" w:sz="4" w:space="0" w:color="auto"/>
            </w:tcBorders>
          </w:tcPr>
          <w:p w14:paraId="59FEF0AD" w14:textId="77777777" w:rsidR="0040019E" w:rsidRPr="0040019E" w:rsidRDefault="0040019E" w:rsidP="00A85B5B">
            <w:pPr>
              <w:pStyle w:val="TableTextLeft"/>
              <w:rPr>
                <w:rFonts w:cs="Arial"/>
                <w:b/>
              </w:rPr>
            </w:pPr>
            <w:r w:rsidRPr="0040019E">
              <w:rPr>
                <w:rFonts w:cs="Arial"/>
              </w:rPr>
              <w:t>As per 2026–27</w:t>
            </w:r>
          </w:p>
        </w:tc>
      </w:tr>
      <w:tr w:rsidR="0040019E" w:rsidRPr="0040019E" w14:paraId="1B14B08D" w14:textId="77777777">
        <w:trPr>
          <w:cantSplit/>
          <w:trHeight w:val="261"/>
        </w:trPr>
        <w:tc>
          <w:tcPr>
            <w:tcW w:w="7796" w:type="dxa"/>
            <w:gridSpan w:val="3"/>
          </w:tcPr>
          <w:p w14:paraId="2A3DACA3" w14:textId="77777777" w:rsidR="0040019E" w:rsidRPr="0040019E" w:rsidRDefault="0040019E" w:rsidP="00C375FE">
            <w:pPr>
              <w:pStyle w:val="TableTextLeft"/>
              <w:rPr>
                <w:rFonts w:eastAsia="Cambria" w:cs="Arial"/>
                <w:spacing w:val="-6"/>
              </w:rPr>
            </w:pPr>
            <w:r w:rsidRPr="0040019E">
              <w:rPr>
                <w:rFonts w:cs="Arial"/>
              </w:rPr>
              <w:t>Material changes to Program 1.6 resulting from 2026–27 Budget Measures:</w:t>
            </w:r>
            <w:r w:rsidRPr="0040019E">
              <w:rPr>
                <w:rFonts w:eastAsia="Cambria" w:cs="Arial"/>
                <w:spacing w:val="-6"/>
                <w:lang w:eastAsia="en-US"/>
              </w:rPr>
              <w:t xml:space="preserve"> Nil</w:t>
            </w:r>
          </w:p>
        </w:tc>
      </w:tr>
    </w:tbl>
    <w:p w14:paraId="75D206A2" w14:textId="45C74E61" w:rsidR="0040019E" w:rsidRDefault="0040019E" w:rsidP="00331FB6">
      <w:pPr>
        <w:pStyle w:val="TableGraphic"/>
      </w:pPr>
    </w:p>
    <w:p w14:paraId="0A16CB83" w14:textId="77777777" w:rsidR="0040019E" w:rsidRDefault="0040019E">
      <w:pPr>
        <w:spacing w:before="0" w:after="0" w:line="240" w:lineRule="auto"/>
      </w:pPr>
      <w:r>
        <w:br w:type="page"/>
      </w:r>
    </w:p>
    <w:p w14:paraId="0468A832" w14:textId="77777777" w:rsidR="0040019E" w:rsidRDefault="0040019E" w:rsidP="0040019E">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83"/>
        <w:gridCol w:w="3072"/>
      </w:tblGrid>
      <w:tr w:rsidR="0040019E" w:rsidRPr="0040019E" w14:paraId="62A88A8A" w14:textId="77777777">
        <w:trPr>
          <w:cantSplit/>
          <w:trHeight w:val="261"/>
          <w:tblHeader/>
        </w:trPr>
        <w:tc>
          <w:tcPr>
            <w:tcW w:w="7700" w:type="dxa"/>
            <w:gridSpan w:val="3"/>
            <w:shd w:val="clear" w:color="auto" w:fill="F2F2F2"/>
          </w:tcPr>
          <w:p w14:paraId="077D0800" w14:textId="77777777" w:rsidR="0040019E" w:rsidRPr="0040019E" w:rsidRDefault="0040019E" w:rsidP="00C375FE">
            <w:pPr>
              <w:pStyle w:val="TableColumnHeadingLeft"/>
              <w:rPr>
                <w:rFonts w:ascii="Arial" w:hAnsi="Arial" w:cs="Arial"/>
                <w:bCs/>
              </w:rPr>
            </w:pPr>
            <w:r w:rsidRPr="0040019E">
              <w:rPr>
                <w:rFonts w:ascii="Arial" w:hAnsi="Arial" w:cs="Arial"/>
              </w:rPr>
              <w:t>Outcome 1</w:t>
            </w:r>
            <w:r w:rsidRPr="0040019E">
              <w:rPr>
                <w:rFonts w:ascii="Arial" w:hAnsi="Arial" w:cs="Arial"/>
                <w:bCs/>
              </w:rPr>
              <w:t xml:space="preserve"> </w:t>
            </w:r>
            <w:r w:rsidRPr="0040019E">
              <w:rPr>
                <w:rFonts w:ascii="Arial" w:hAnsi="Arial" w:cs="Arial"/>
              </w:rPr>
              <w:t>– The advancement of Australia’s international strategic, security and economic interests including through bilateral, regional and multilateral engagement on Australian Government foreign, trade and international development policy priorities.</w:t>
            </w:r>
          </w:p>
        </w:tc>
      </w:tr>
      <w:tr w:rsidR="0040019E" w:rsidRPr="0040019E" w14:paraId="4EDC365F" w14:textId="77777777">
        <w:trPr>
          <w:cantSplit/>
          <w:trHeight w:val="334"/>
          <w:tblHeader/>
        </w:trPr>
        <w:tc>
          <w:tcPr>
            <w:tcW w:w="7700" w:type="dxa"/>
            <w:gridSpan w:val="3"/>
            <w:shd w:val="clear" w:color="auto" w:fill="F2F2F2"/>
          </w:tcPr>
          <w:p w14:paraId="76D7C637" w14:textId="77777777" w:rsidR="0040019E" w:rsidRPr="0040019E" w:rsidRDefault="0040019E" w:rsidP="00C375FE">
            <w:pPr>
              <w:pStyle w:val="TableColumnHeadingLeft"/>
              <w:rPr>
                <w:rFonts w:ascii="Arial" w:hAnsi="Arial" w:cs="Arial"/>
              </w:rPr>
            </w:pPr>
            <w:r w:rsidRPr="0040019E">
              <w:rPr>
                <w:rFonts w:ascii="Arial" w:hAnsi="Arial" w:cs="Arial"/>
              </w:rPr>
              <w:t xml:space="preserve">Program 1.7 – </w:t>
            </w:r>
            <w:r w:rsidRPr="00C035F5">
              <w:rPr>
                <w:rFonts w:ascii="Arial" w:eastAsia="Arial" w:hAnsi="Arial" w:cs="Arial"/>
                <w:bCs/>
              </w:rPr>
              <w:t>Programs to promote Australia’s international tourism interests</w:t>
            </w:r>
          </w:p>
        </w:tc>
      </w:tr>
      <w:tr w:rsidR="0040019E" w:rsidRPr="0040019E" w14:paraId="308CD623" w14:textId="77777777">
        <w:trPr>
          <w:cantSplit/>
          <w:trHeight w:val="261"/>
        </w:trPr>
        <w:tc>
          <w:tcPr>
            <w:tcW w:w="1545" w:type="dxa"/>
            <w:tcBorders>
              <w:bottom w:val="double" w:sz="4" w:space="0" w:color="auto"/>
            </w:tcBorders>
          </w:tcPr>
          <w:p w14:paraId="711EC73B" w14:textId="77777777" w:rsidR="0040019E" w:rsidRPr="0040019E" w:rsidRDefault="0040019E" w:rsidP="00C375FE">
            <w:pPr>
              <w:pStyle w:val="TableColumnHeadingLeft"/>
              <w:rPr>
                <w:rFonts w:ascii="Arial" w:hAnsi="Arial" w:cs="Arial"/>
              </w:rPr>
            </w:pPr>
            <w:r w:rsidRPr="0040019E">
              <w:rPr>
                <w:rFonts w:ascii="Arial" w:hAnsi="Arial" w:cs="Arial"/>
              </w:rPr>
              <w:t xml:space="preserve">Key activities </w:t>
            </w:r>
          </w:p>
        </w:tc>
        <w:tc>
          <w:tcPr>
            <w:tcW w:w="6155" w:type="dxa"/>
            <w:gridSpan w:val="2"/>
            <w:tcBorders>
              <w:bottom w:val="double" w:sz="4" w:space="0" w:color="auto"/>
            </w:tcBorders>
          </w:tcPr>
          <w:p w14:paraId="44CE11C7" w14:textId="77777777" w:rsidR="0040019E" w:rsidRPr="0040019E" w:rsidRDefault="0040019E" w:rsidP="00C375FE">
            <w:pPr>
              <w:pStyle w:val="TableTextLeft"/>
              <w:rPr>
                <w:rFonts w:cs="Arial"/>
              </w:rPr>
            </w:pPr>
            <w:r w:rsidRPr="0040019E">
              <w:rPr>
                <w:rFonts w:cs="Arial"/>
              </w:rPr>
              <w:t>The delivery of this program is the responsibility of Austrade and Tourism Australia.</w:t>
            </w:r>
          </w:p>
        </w:tc>
      </w:tr>
      <w:tr w:rsidR="0040019E" w:rsidRPr="0040019E" w14:paraId="4ACC9AB2" w14:textId="77777777">
        <w:trPr>
          <w:cantSplit/>
          <w:trHeight w:val="258"/>
        </w:trPr>
        <w:tc>
          <w:tcPr>
            <w:tcW w:w="1545" w:type="dxa"/>
            <w:tcBorders>
              <w:top w:val="double" w:sz="4" w:space="0" w:color="auto"/>
              <w:bottom w:val="single" w:sz="4" w:space="0" w:color="auto"/>
              <w:right w:val="single" w:sz="4" w:space="0" w:color="auto"/>
            </w:tcBorders>
          </w:tcPr>
          <w:p w14:paraId="25FFC433" w14:textId="77777777" w:rsidR="0040019E" w:rsidRPr="0040019E" w:rsidRDefault="0040019E" w:rsidP="00C375FE">
            <w:pPr>
              <w:pStyle w:val="TableColumnHeadingLeft"/>
              <w:rPr>
                <w:rFonts w:ascii="Arial" w:hAnsi="Arial" w:cs="Arial"/>
              </w:rPr>
            </w:pPr>
            <w:r w:rsidRPr="0040019E">
              <w:rPr>
                <w:rFonts w:ascii="Arial" w:hAnsi="Arial" w:cs="Arial"/>
              </w:rPr>
              <w:t>Year</w:t>
            </w:r>
          </w:p>
        </w:tc>
        <w:tc>
          <w:tcPr>
            <w:tcW w:w="3083" w:type="dxa"/>
            <w:tcBorders>
              <w:top w:val="double" w:sz="4" w:space="0" w:color="auto"/>
              <w:left w:val="single" w:sz="4" w:space="0" w:color="auto"/>
              <w:bottom w:val="single" w:sz="4" w:space="0" w:color="auto"/>
              <w:right w:val="single" w:sz="4" w:space="0" w:color="auto"/>
            </w:tcBorders>
          </w:tcPr>
          <w:p w14:paraId="601696F1" w14:textId="77777777" w:rsidR="0040019E" w:rsidRPr="0040019E" w:rsidRDefault="0040019E" w:rsidP="00C375FE">
            <w:pPr>
              <w:pStyle w:val="TableColumnHeadingLeft"/>
              <w:rPr>
                <w:rFonts w:ascii="Arial" w:hAnsi="Arial" w:cs="Arial"/>
              </w:rPr>
            </w:pPr>
            <w:r w:rsidRPr="0040019E">
              <w:rPr>
                <w:rFonts w:ascii="Arial" w:hAnsi="Arial" w:cs="Arial"/>
              </w:rPr>
              <w:t>Performance measures</w:t>
            </w:r>
          </w:p>
        </w:tc>
        <w:tc>
          <w:tcPr>
            <w:tcW w:w="3072" w:type="dxa"/>
            <w:tcBorders>
              <w:top w:val="double" w:sz="4" w:space="0" w:color="auto"/>
              <w:left w:val="single" w:sz="4" w:space="0" w:color="auto"/>
              <w:bottom w:val="single" w:sz="4" w:space="0" w:color="auto"/>
            </w:tcBorders>
          </w:tcPr>
          <w:p w14:paraId="5DA98127" w14:textId="77777777" w:rsidR="0040019E" w:rsidRPr="0040019E" w:rsidRDefault="0040019E" w:rsidP="00C375FE">
            <w:pPr>
              <w:pStyle w:val="TableColumnHeadingLeft"/>
              <w:rPr>
                <w:rFonts w:ascii="Arial" w:hAnsi="Arial" w:cs="Arial"/>
              </w:rPr>
            </w:pPr>
            <w:r w:rsidRPr="0040019E">
              <w:rPr>
                <w:rFonts w:ascii="Arial" w:hAnsi="Arial" w:cs="Arial"/>
              </w:rPr>
              <w:t>Expected performance results</w:t>
            </w:r>
          </w:p>
        </w:tc>
      </w:tr>
      <w:tr w:rsidR="0040019E" w:rsidRPr="0040019E" w14:paraId="296E9743" w14:textId="77777777">
        <w:trPr>
          <w:cantSplit/>
          <w:trHeight w:val="642"/>
        </w:trPr>
        <w:tc>
          <w:tcPr>
            <w:tcW w:w="1545" w:type="dxa"/>
            <w:tcBorders>
              <w:top w:val="single" w:sz="4" w:space="0" w:color="auto"/>
              <w:bottom w:val="dotted" w:sz="4" w:space="0" w:color="auto"/>
              <w:right w:val="single" w:sz="4" w:space="0" w:color="auto"/>
            </w:tcBorders>
          </w:tcPr>
          <w:p w14:paraId="26577D3A" w14:textId="77777777" w:rsidR="0040019E" w:rsidRPr="0040019E" w:rsidRDefault="0040019E" w:rsidP="00C375FE">
            <w:pPr>
              <w:pStyle w:val="TableTextLeft"/>
              <w:rPr>
                <w:rFonts w:cs="Arial"/>
              </w:rPr>
            </w:pPr>
            <w:r w:rsidRPr="0040019E">
              <w:rPr>
                <w:rFonts w:cs="Arial"/>
              </w:rPr>
              <w:t xml:space="preserve">Current Year </w:t>
            </w:r>
          </w:p>
          <w:p w14:paraId="056BD664" w14:textId="77777777" w:rsidR="0040019E" w:rsidRPr="0040019E" w:rsidRDefault="0040019E" w:rsidP="00C375FE">
            <w:pPr>
              <w:pStyle w:val="TableTextLeft"/>
              <w:rPr>
                <w:rFonts w:cs="Arial"/>
              </w:rPr>
            </w:pPr>
            <w:r w:rsidRPr="0040019E">
              <w:rPr>
                <w:rFonts w:cs="Arial"/>
              </w:rPr>
              <w:t>2025–26</w:t>
            </w:r>
          </w:p>
        </w:tc>
        <w:tc>
          <w:tcPr>
            <w:tcW w:w="6155" w:type="dxa"/>
            <w:gridSpan w:val="2"/>
            <w:tcBorders>
              <w:top w:val="single" w:sz="4" w:space="0" w:color="auto"/>
              <w:left w:val="single" w:sz="4" w:space="0" w:color="auto"/>
              <w:bottom w:val="dotted" w:sz="4" w:space="0" w:color="auto"/>
            </w:tcBorders>
          </w:tcPr>
          <w:p w14:paraId="150C7646" w14:textId="77777777" w:rsidR="0040019E" w:rsidRPr="0040019E" w:rsidRDefault="0040019E" w:rsidP="00C375FE">
            <w:pPr>
              <w:pStyle w:val="TableTextLeft"/>
              <w:rPr>
                <w:rFonts w:cs="Arial"/>
              </w:rPr>
            </w:pPr>
            <w:r w:rsidRPr="0040019E">
              <w:rPr>
                <w:rFonts w:cs="Arial"/>
              </w:rPr>
              <w:t>Refer to Tourism Australia’s outcomes and planned performance section.</w:t>
            </w:r>
          </w:p>
          <w:p w14:paraId="1A221AE6" w14:textId="77777777" w:rsidR="0040019E" w:rsidRPr="0040019E" w:rsidRDefault="0040019E" w:rsidP="00C375FE">
            <w:pPr>
              <w:pStyle w:val="TableTextLeft"/>
              <w:rPr>
                <w:rFonts w:cs="Arial"/>
              </w:rPr>
            </w:pPr>
          </w:p>
        </w:tc>
      </w:tr>
      <w:tr w:rsidR="0040019E" w:rsidRPr="0040019E" w14:paraId="5B6FF2D1" w14:textId="77777777">
        <w:trPr>
          <w:cantSplit/>
          <w:trHeight w:val="100"/>
        </w:trPr>
        <w:tc>
          <w:tcPr>
            <w:tcW w:w="1545" w:type="dxa"/>
            <w:tcBorders>
              <w:top w:val="single" w:sz="4" w:space="0" w:color="auto"/>
              <w:bottom w:val="dotted" w:sz="4" w:space="0" w:color="auto"/>
              <w:right w:val="single" w:sz="4" w:space="0" w:color="auto"/>
            </w:tcBorders>
          </w:tcPr>
          <w:p w14:paraId="12ADB78A" w14:textId="77777777" w:rsidR="0040019E" w:rsidRPr="0040019E" w:rsidRDefault="0040019E" w:rsidP="00C375FE">
            <w:pPr>
              <w:pStyle w:val="TableColumnHeadingLeft"/>
              <w:rPr>
                <w:rFonts w:ascii="Arial" w:hAnsi="Arial" w:cs="Arial"/>
              </w:rPr>
            </w:pPr>
            <w:r w:rsidRPr="0040019E">
              <w:rPr>
                <w:rFonts w:ascii="Arial" w:hAnsi="Arial" w:cs="Arial"/>
              </w:rPr>
              <w:t>Year</w:t>
            </w:r>
          </w:p>
        </w:tc>
        <w:tc>
          <w:tcPr>
            <w:tcW w:w="3083" w:type="dxa"/>
            <w:tcBorders>
              <w:top w:val="single" w:sz="4" w:space="0" w:color="auto"/>
              <w:left w:val="single" w:sz="4" w:space="0" w:color="auto"/>
              <w:bottom w:val="dotted" w:sz="4" w:space="0" w:color="auto"/>
              <w:right w:val="single" w:sz="4" w:space="0" w:color="auto"/>
            </w:tcBorders>
          </w:tcPr>
          <w:p w14:paraId="2D66E693" w14:textId="77777777" w:rsidR="0040019E" w:rsidRPr="0040019E" w:rsidRDefault="0040019E" w:rsidP="00C375FE">
            <w:pPr>
              <w:pStyle w:val="TableColumnHeadingLeft"/>
              <w:rPr>
                <w:rFonts w:ascii="Arial" w:hAnsi="Arial" w:cs="Arial"/>
              </w:rPr>
            </w:pPr>
            <w:r w:rsidRPr="0040019E">
              <w:rPr>
                <w:rFonts w:ascii="Arial" w:hAnsi="Arial" w:cs="Arial"/>
              </w:rPr>
              <w:t xml:space="preserve">Performance measures </w:t>
            </w:r>
          </w:p>
        </w:tc>
        <w:tc>
          <w:tcPr>
            <w:tcW w:w="3072" w:type="dxa"/>
            <w:tcBorders>
              <w:top w:val="single" w:sz="4" w:space="0" w:color="auto"/>
              <w:left w:val="single" w:sz="4" w:space="0" w:color="auto"/>
              <w:bottom w:val="dotted" w:sz="4" w:space="0" w:color="auto"/>
            </w:tcBorders>
          </w:tcPr>
          <w:p w14:paraId="5FA86D24" w14:textId="77777777" w:rsidR="0040019E" w:rsidRPr="0040019E" w:rsidRDefault="0040019E" w:rsidP="00C375FE">
            <w:pPr>
              <w:pStyle w:val="TableColumnHeadingLeft"/>
              <w:rPr>
                <w:rFonts w:ascii="Arial" w:hAnsi="Arial" w:cs="Arial"/>
              </w:rPr>
            </w:pPr>
            <w:r w:rsidRPr="0040019E">
              <w:rPr>
                <w:rFonts w:ascii="Arial" w:hAnsi="Arial" w:cs="Arial"/>
              </w:rPr>
              <w:t>Planned performance results</w:t>
            </w:r>
          </w:p>
        </w:tc>
      </w:tr>
      <w:tr w:rsidR="0040019E" w:rsidRPr="0040019E" w14:paraId="0CF12807" w14:textId="77777777">
        <w:trPr>
          <w:cantSplit/>
          <w:trHeight w:val="782"/>
        </w:trPr>
        <w:tc>
          <w:tcPr>
            <w:tcW w:w="1545" w:type="dxa"/>
            <w:tcBorders>
              <w:top w:val="single" w:sz="4" w:space="0" w:color="auto"/>
              <w:bottom w:val="dotted" w:sz="4" w:space="0" w:color="auto"/>
              <w:right w:val="single" w:sz="4" w:space="0" w:color="auto"/>
            </w:tcBorders>
          </w:tcPr>
          <w:p w14:paraId="70C3159D" w14:textId="77777777" w:rsidR="0040019E" w:rsidRPr="0040019E" w:rsidRDefault="0040019E" w:rsidP="00C375FE">
            <w:pPr>
              <w:pStyle w:val="TableTextLeft"/>
              <w:rPr>
                <w:rFonts w:cs="Arial"/>
              </w:rPr>
            </w:pPr>
            <w:r w:rsidRPr="0040019E">
              <w:rPr>
                <w:rFonts w:cs="Arial"/>
              </w:rPr>
              <w:t xml:space="preserve">Budget Year </w:t>
            </w:r>
          </w:p>
          <w:p w14:paraId="07211223" w14:textId="77777777" w:rsidR="0040019E" w:rsidRPr="0040019E" w:rsidRDefault="0040019E" w:rsidP="00C375FE">
            <w:pPr>
              <w:pStyle w:val="TableTextLeft"/>
              <w:rPr>
                <w:rFonts w:cs="Arial"/>
              </w:rPr>
            </w:pPr>
            <w:r w:rsidRPr="0040019E">
              <w:rPr>
                <w:rFonts w:cs="Arial"/>
              </w:rPr>
              <w:t>2026–27</w:t>
            </w:r>
          </w:p>
        </w:tc>
        <w:tc>
          <w:tcPr>
            <w:tcW w:w="6155" w:type="dxa"/>
            <w:gridSpan w:val="2"/>
            <w:tcBorders>
              <w:top w:val="single" w:sz="4" w:space="0" w:color="auto"/>
              <w:left w:val="single" w:sz="4" w:space="0" w:color="auto"/>
              <w:bottom w:val="dotted" w:sz="4" w:space="0" w:color="auto"/>
            </w:tcBorders>
          </w:tcPr>
          <w:p w14:paraId="1AC183FC" w14:textId="77777777" w:rsidR="0040019E" w:rsidRPr="0040019E" w:rsidRDefault="0040019E" w:rsidP="00C375FE">
            <w:pPr>
              <w:pStyle w:val="TableTextLeft"/>
              <w:rPr>
                <w:rFonts w:cs="Arial"/>
                <w:b/>
                <w:bCs/>
              </w:rPr>
            </w:pPr>
            <w:r w:rsidRPr="0040019E">
              <w:rPr>
                <w:rFonts w:cs="Arial"/>
              </w:rPr>
              <w:t>Refer to Tourism Australia’s outcomes and planned performance section.</w:t>
            </w:r>
          </w:p>
        </w:tc>
      </w:tr>
      <w:tr w:rsidR="0040019E" w:rsidRPr="0040019E" w14:paraId="7D8918A2" w14:textId="77777777" w:rsidTr="0040019E">
        <w:trPr>
          <w:cantSplit/>
          <w:trHeight w:val="491"/>
        </w:trPr>
        <w:tc>
          <w:tcPr>
            <w:tcW w:w="1545" w:type="dxa"/>
            <w:tcBorders>
              <w:top w:val="dotted" w:sz="4" w:space="0" w:color="auto"/>
              <w:bottom w:val="single" w:sz="4" w:space="0" w:color="auto"/>
              <w:right w:val="single" w:sz="4" w:space="0" w:color="auto"/>
            </w:tcBorders>
          </w:tcPr>
          <w:p w14:paraId="1A9940FA" w14:textId="77777777" w:rsidR="0040019E" w:rsidRPr="0040019E" w:rsidRDefault="0040019E" w:rsidP="00C375FE">
            <w:pPr>
              <w:pStyle w:val="TableTextLeft"/>
              <w:rPr>
                <w:rFonts w:cs="Arial"/>
              </w:rPr>
            </w:pPr>
            <w:r w:rsidRPr="0040019E">
              <w:rPr>
                <w:rFonts w:cs="Arial"/>
              </w:rPr>
              <w:t xml:space="preserve">Forward Estimates </w:t>
            </w:r>
          </w:p>
          <w:p w14:paraId="045E85A6" w14:textId="77777777" w:rsidR="0040019E" w:rsidRPr="0040019E" w:rsidRDefault="0040019E" w:rsidP="00C375FE">
            <w:pPr>
              <w:pStyle w:val="TableTextLeft"/>
              <w:rPr>
                <w:rFonts w:cs="Arial"/>
                <w:b/>
              </w:rPr>
            </w:pPr>
            <w:r w:rsidRPr="0040019E">
              <w:rPr>
                <w:rFonts w:cs="Arial"/>
              </w:rPr>
              <w:t>2027–30</w:t>
            </w:r>
          </w:p>
        </w:tc>
        <w:tc>
          <w:tcPr>
            <w:tcW w:w="6155" w:type="dxa"/>
            <w:gridSpan w:val="2"/>
            <w:tcBorders>
              <w:top w:val="dotted" w:sz="4" w:space="0" w:color="auto"/>
              <w:left w:val="single" w:sz="4" w:space="0" w:color="auto"/>
              <w:bottom w:val="single" w:sz="4" w:space="0" w:color="auto"/>
            </w:tcBorders>
          </w:tcPr>
          <w:p w14:paraId="3939E814" w14:textId="77777777" w:rsidR="0040019E" w:rsidRPr="0040019E" w:rsidRDefault="0040019E" w:rsidP="00C375FE">
            <w:pPr>
              <w:pStyle w:val="TableTextLeft"/>
              <w:rPr>
                <w:rFonts w:cs="Arial"/>
                <w:b/>
                <w:bCs/>
              </w:rPr>
            </w:pPr>
            <w:r w:rsidRPr="0040019E">
              <w:rPr>
                <w:rFonts w:cs="Arial"/>
              </w:rPr>
              <w:t>Refer to Tourism Australia’s outcomes and planned performance section.</w:t>
            </w:r>
          </w:p>
        </w:tc>
      </w:tr>
    </w:tbl>
    <w:p w14:paraId="497FC577" w14:textId="77EC541E" w:rsidR="0040019E" w:rsidRDefault="0040019E" w:rsidP="00331FB6">
      <w:pPr>
        <w:pStyle w:val="TableGraphic"/>
      </w:pPr>
    </w:p>
    <w:p w14:paraId="4063FF34" w14:textId="77777777" w:rsidR="0040019E" w:rsidRDefault="0040019E">
      <w:pPr>
        <w:spacing w:before="0" w:after="0" w:line="240" w:lineRule="auto"/>
      </w:pPr>
      <w:r>
        <w:br w:type="page"/>
      </w:r>
    </w:p>
    <w:p w14:paraId="1CCA86CD" w14:textId="77777777" w:rsidR="0040019E" w:rsidRDefault="0040019E" w:rsidP="0040019E">
      <w:pPr>
        <w:pStyle w:val="TableHeading"/>
      </w:pPr>
      <w:r w:rsidRPr="00E6464E">
        <w:lastRenderedPageBreak/>
        <w:t>Table 2.</w:t>
      </w:r>
      <w:r>
        <w:t>1</w:t>
      </w:r>
      <w:r w:rsidRPr="00E6464E">
        <w:t xml:space="preserve">.3: Performance measures for Outcome </w:t>
      </w:r>
      <w:r>
        <w:t xml:space="preserve">1 </w:t>
      </w:r>
      <w:r w:rsidRPr="00FA2089">
        <w:t>(continued)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40019E" w:rsidRPr="0040019E" w14:paraId="2F9DF08E" w14:textId="77777777">
        <w:trPr>
          <w:cantSplit/>
          <w:trHeight w:val="261"/>
          <w:tblHeader/>
        </w:trPr>
        <w:tc>
          <w:tcPr>
            <w:tcW w:w="7700" w:type="dxa"/>
            <w:gridSpan w:val="3"/>
            <w:shd w:val="clear" w:color="auto" w:fill="F2F2F2"/>
          </w:tcPr>
          <w:p w14:paraId="456E32C1" w14:textId="77777777" w:rsidR="0040019E" w:rsidRPr="0040019E" w:rsidRDefault="0040019E" w:rsidP="00C375FE">
            <w:pPr>
              <w:pStyle w:val="TableColumnHeadingLeft"/>
              <w:rPr>
                <w:rFonts w:ascii="Arial" w:hAnsi="Arial" w:cs="Arial"/>
                <w:bCs/>
                <w:szCs w:val="16"/>
              </w:rPr>
            </w:pPr>
            <w:r w:rsidRPr="0040019E">
              <w:rPr>
                <w:rFonts w:ascii="Arial" w:hAnsi="Arial" w:cs="Arial"/>
                <w:szCs w:val="16"/>
              </w:rPr>
              <w:t>Outcome 1</w:t>
            </w:r>
            <w:r w:rsidRPr="0040019E">
              <w:rPr>
                <w:rFonts w:ascii="Arial" w:hAnsi="Arial" w:cs="Arial"/>
                <w:bCs/>
                <w:szCs w:val="16"/>
              </w:rPr>
              <w:t xml:space="preserve"> </w:t>
            </w:r>
            <w:r w:rsidRPr="0040019E">
              <w:rPr>
                <w:rFonts w:ascii="Arial" w:hAnsi="Arial" w:cs="Arial"/>
                <w:szCs w:val="16"/>
              </w:rPr>
              <w:t>– The advancement of Australia’s international strategic, security and economic interests including through bilateral, regional and multilateral engagement on Australian Government foreign, trade and international development policy priorities.</w:t>
            </w:r>
          </w:p>
        </w:tc>
      </w:tr>
      <w:tr w:rsidR="0040019E" w:rsidRPr="0040019E" w14:paraId="103C6695" w14:textId="77777777">
        <w:trPr>
          <w:cantSplit/>
          <w:trHeight w:val="522"/>
          <w:tblHeader/>
        </w:trPr>
        <w:tc>
          <w:tcPr>
            <w:tcW w:w="7700" w:type="dxa"/>
            <w:gridSpan w:val="3"/>
            <w:shd w:val="clear" w:color="auto" w:fill="F2F2F2"/>
          </w:tcPr>
          <w:p w14:paraId="59223447" w14:textId="77777777" w:rsidR="0040019E" w:rsidRPr="0040019E" w:rsidRDefault="0040019E" w:rsidP="00C375FE">
            <w:pPr>
              <w:pStyle w:val="TableColumnHeadingLeft"/>
              <w:rPr>
                <w:rFonts w:ascii="Arial" w:hAnsi="Arial" w:cs="Arial"/>
                <w:szCs w:val="16"/>
              </w:rPr>
            </w:pPr>
            <w:r w:rsidRPr="0040019E">
              <w:rPr>
                <w:rFonts w:ascii="Arial" w:hAnsi="Arial" w:cs="Arial"/>
                <w:szCs w:val="16"/>
              </w:rPr>
              <w:t xml:space="preserve">Program 1.8 – </w:t>
            </w:r>
            <w:r w:rsidRPr="00C035F5">
              <w:rPr>
                <w:rFonts w:ascii="Arial" w:eastAsia="Arial" w:hAnsi="Arial" w:cs="Arial"/>
                <w:szCs w:val="16"/>
              </w:rPr>
              <w:t>Nuclear-Powered Submarine Program</w:t>
            </w:r>
            <w:r w:rsidRPr="0040019E">
              <w:rPr>
                <w:rFonts w:ascii="Arial" w:eastAsia="Arial" w:hAnsi="Arial" w:cs="Arial"/>
                <w:b w:val="0"/>
                <w:bCs/>
                <w:szCs w:val="16"/>
              </w:rPr>
              <w:t xml:space="preserve"> provides the legal, policy and diplomatic capability, and regulatory oversight for nuclear safeguards and security, necessary to support Australia’s acquisition of conventionally-armed nuclear-powered submarines, while setting the highest non</w:t>
            </w:r>
            <w:r w:rsidRPr="0040019E">
              <w:rPr>
                <w:rFonts w:ascii="Arial" w:eastAsia="Arial" w:hAnsi="Arial" w:cs="Arial"/>
                <w:b w:val="0"/>
                <w:bCs/>
                <w:szCs w:val="16"/>
              </w:rPr>
              <w:noBreakHyphen/>
              <w:t>proliferation standards.</w:t>
            </w:r>
          </w:p>
        </w:tc>
      </w:tr>
      <w:tr w:rsidR="0040019E" w:rsidRPr="0040019E" w14:paraId="17A2982F" w14:textId="77777777">
        <w:trPr>
          <w:cantSplit/>
          <w:trHeight w:val="261"/>
        </w:trPr>
        <w:tc>
          <w:tcPr>
            <w:tcW w:w="1546" w:type="dxa"/>
            <w:tcBorders>
              <w:bottom w:val="double" w:sz="4" w:space="0" w:color="auto"/>
            </w:tcBorders>
          </w:tcPr>
          <w:p w14:paraId="78380CFC" w14:textId="77777777" w:rsidR="0040019E" w:rsidRPr="0040019E" w:rsidRDefault="0040019E" w:rsidP="00C375FE">
            <w:pPr>
              <w:pStyle w:val="TableColumnHeadingLeft"/>
              <w:rPr>
                <w:rFonts w:ascii="Arial" w:hAnsi="Arial" w:cs="Arial"/>
                <w:szCs w:val="16"/>
              </w:rPr>
            </w:pPr>
            <w:r w:rsidRPr="0040019E">
              <w:rPr>
                <w:rFonts w:ascii="Arial" w:hAnsi="Arial" w:cs="Arial"/>
                <w:szCs w:val="16"/>
              </w:rPr>
              <w:t>Key activities</w:t>
            </w:r>
          </w:p>
        </w:tc>
        <w:tc>
          <w:tcPr>
            <w:tcW w:w="6154" w:type="dxa"/>
            <w:gridSpan w:val="2"/>
            <w:tcBorders>
              <w:bottom w:val="double" w:sz="4" w:space="0" w:color="auto"/>
            </w:tcBorders>
          </w:tcPr>
          <w:p w14:paraId="19571BDB" w14:textId="77777777" w:rsidR="0040019E" w:rsidRPr="0040019E" w:rsidRDefault="0040019E" w:rsidP="00C375FE">
            <w:pPr>
              <w:pStyle w:val="TableTextLeft"/>
              <w:rPr>
                <w:rFonts w:cs="Arial"/>
                <w:szCs w:val="16"/>
              </w:rPr>
            </w:pPr>
            <w:r w:rsidRPr="0040019E">
              <w:rPr>
                <w:rFonts w:cs="Arial"/>
                <w:szCs w:val="16"/>
              </w:rPr>
              <w:t xml:space="preserve">Key activities reported in the Corporate Plan 2025–26 that relate to this program. </w:t>
            </w:r>
          </w:p>
          <w:p w14:paraId="3DD46139" w14:textId="77777777" w:rsidR="0040019E" w:rsidRPr="0040019E" w:rsidRDefault="0040019E" w:rsidP="0040019E">
            <w:pPr>
              <w:pStyle w:val="TableTextLeft"/>
              <w:numPr>
                <w:ilvl w:val="0"/>
                <w:numId w:val="48"/>
              </w:numPr>
              <w:rPr>
                <w:rFonts w:cs="Arial"/>
                <w:szCs w:val="16"/>
              </w:rPr>
            </w:pPr>
            <w:r w:rsidRPr="0040019E">
              <w:rPr>
                <w:rFonts w:cs="Arial"/>
                <w:szCs w:val="16"/>
              </w:rPr>
              <w:t>Negotiate and advocate internationally and provide international policy advice.</w:t>
            </w:r>
          </w:p>
        </w:tc>
      </w:tr>
      <w:tr w:rsidR="0040019E" w:rsidRPr="0040019E" w14:paraId="36105CDF" w14:textId="77777777">
        <w:trPr>
          <w:cantSplit/>
          <w:trHeight w:val="258"/>
        </w:trPr>
        <w:tc>
          <w:tcPr>
            <w:tcW w:w="1546" w:type="dxa"/>
            <w:tcBorders>
              <w:top w:val="double" w:sz="4" w:space="0" w:color="auto"/>
              <w:bottom w:val="single" w:sz="4" w:space="0" w:color="auto"/>
              <w:right w:val="single" w:sz="4" w:space="0" w:color="auto"/>
            </w:tcBorders>
          </w:tcPr>
          <w:p w14:paraId="53B4F9B2" w14:textId="77777777" w:rsidR="0040019E" w:rsidRPr="0040019E" w:rsidRDefault="0040019E" w:rsidP="00C375FE">
            <w:pPr>
              <w:pStyle w:val="TableColumnHeadingLeft"/>
              <w:rPr>
                <w:rFonts w:ascii="Arial" w:hAnsi="Arial" w:cs="Arial"/>
                <w:szCs w:val="16"/>
              </w:rPr>
            </w:pPr>
            <w:r w:rsidRPr="0040019E">
              <w:rPr>
                <w:rFonts w:ascii="Arial" w:hAnsi="Arial" w:cs="Arial"/>
                <w:szCs w:val="16"/>
              </w:rPr>
              <w:t>Year</w:t>
            </w:r>
          </w:p>
        </w:tc>
        <w:tc>
          <w:tcPr>
            <w:tcW w:w="3077" w:type="dxa"/>
            <w:tcBorders>
              <w:top w:val="double" w:sz="4" w:space="0" w:color="auto"/>
              <w:left w:val="single" w:sz="4" w:space="0" w:color="auto"/>
              <w:bottom w:val="single" w:sz="4" w:space="0" w:color="auto"/>
              <w:right w:val="single" w:sz="4" w:space="0" w:color="auto"/>
            </w:tcBorders>
          </w:tcPr>
          <w:p w14:paraId="60DC0B76" w14:textId="77777777" w:rsidR="0040019E" w:rsidRPr="0040019E" w:rsidRDefault="0040019E" w:rsidP="00C375FE">
            <w:pPr>
              <w:pStyle w:val="TableColumnHeadingLeft"/>
              <w:rPr>
                <w:rFonts w:ascii="Arial" w:hAnsi="Arial" w:cs="Arial"/>
                <w:szCs w:val="16"/>
              </w:rPr>
            </w:pPr>
            <w:r w:rsidRPr="0040019E">
              <w:rPr>
                <w:rFonts w:ascii="Arial" w:hAnsi="Arial" w:cs="Arial"/>
                <w:szCs w:val="16"/>
              </w:rPr>
              <w:t>Performance measures</w:t>
            </w:r>
          </w:p>
        </w:tc>
        <w:tc>
          <w:tcPr>
            <w:tcW w:w="3077" w:type="dxa"/>
            <w:tcBorders>
              <w:top w:val="double" w:sz="4" w:space="0" w:color="auto"/>
              <w:left w:val="single" w:sz="4" w:space="0" w:color="auto"/>
              <w:bottom w:val="single" w:sz="4" w:space="0" w:color="auto"/>
            </w:tcBorders>
          </w:tcPr>
          <w:p w14:paraId="74B099FC" w14:textId="77777777" w:rsidR="0040019E" w:rsidRPr="0040019E" w:rsidRDefault="0040019E" w:rsidP="00C375FE">
            <w:pPr>
              <w:pStyle w:val="TableColumnHeadingLeft"/>
              <w:rPr>
                <w:rFonts w:ascii="Arial" w:hAnsi="Arial" w:cs="Arial"/>
                <w:szCs w:val="16"/>
              </w:rPr>
            </w:pPr>
            <w:r w:rsidRPr="0040019E">
              <w:rPr>
                <w:rFonts w:ascii="Arial" w:hAnsi="Arial" w:cs="Arial"/>
                <w:szCs w:val="16"/>
              </w:rPr>
              <w:t>Expected performance results</w:t>
            </w:r>
          </w:p>
        </w:tc>
      </w:tr>
      <w:tr w:rsidR="0040019E" w:rsidRPr="0040019E" w14:paraId="40E0AA73" w14:textId="77777777">
        <w:trPr>
          <w:cantSplit/>
          <w:trHeight w:val="642"/>
        </w:trPr>
        <w:tc>
          <w:tcPr>
            <w:tcW w:w="1546" w:type="dxa"/>
            <w:tcBorders>
              <w:top w:val="single" w:sz="4" w:space="0" w:color="auto"/>
              <w:bottom w:val="dotted" w:sz="4" w:space="0" w:color="auto"/>
              <w:right w:val="single" w:sz="4" w:space="0" w:color="auto"/>
            </w:tcBorders>
          </w:tcPr>
          <w:p w14:paraId="2CC7A876" w14:textId="77777777" w:rsidR="0040019E" w:rsidRPr="0040019E" w:rsidRDefault="0040019E" w:rsidP="00C375FE">
            <w:pPr>
              <w:pStyle w:val="TableTextLeft"/>
              <w:rPr>
                <w:rFonts w:cs="Arial"/>
                <w:szCs w:val="16"/>
              </w:rPr>
            </w:pPr>
            <w:r w:rsidRPr="0040019E">
              <w:rPr>
                <w:rFonts w:cs="Arial"/>
                <w:szCs w:val="16"/>
              </w:rPr>
              <w:t xml:space="preserve">Current Year </w:t>
            </w:r>
          </w:p>
          <w:p w14:paraId="02967B5B" w14:textId="77777777" w:rsidR="0040019E" w:rsidRPr="0040019E" w:rsidRDefault="0040019E" w:rsidP="00C375FE">
            <w:pPr>
              <w:pStyle w:val="TableTextLeft"/>
              <w:rPr>
                <w:rFonts w:cs="Arial"/>
                <w:szCs w:val="16"/>
              </w:rPr>
            </w:pPr>
            <w:r w:rsidRPr="0040019E">
              <w:rPr>
                <w:rFonts w:cs="Arial"/>
                <w:szCs w:val="16"/>
              </w:rPr>
              <w:t>2025–26</w:t>
            </w:r>
          </w:p>
        </w:tc>
        <w:tc>
          <w:tcPr>
            <w:tcW w:w="3077" w:type="dxa"/>
            <w:tcBorders>
              <w:top w:val="single" w:sz="4" w:space="0" w:color="auto"/>
              <w:left w:val="single" w:sz="4" w:space="0" w:color="auto"/>
              <w:bottom w:val="dotted" w:sz="4" w:space="0" w:color="auto"/>
              <w:right w:val="single" w:sz="4" w:space="0" w:color="auto"/>
            </w:tcBorders>
          </w:tcPr>
          <w:p w14:paraId="62070648" w14:textId="77777777" w:rsidR="0040019E" w:rsidRPr="0040019E" w:rsidRDefault="0040019E" w:rsidP="00C375FE">
            <w:pPr>
              <w:pStyle w:val="TableTextLeft"/>
              <w:rPr>
                <w:rFonts w:cs="Arial"/>
                <w:szCs w:val="16"/>
              </w:rPr>
            </w:pPr>
            <w:r w:rsidRPr="0040019E">
              <w:rPr>
                <w:rFonts w:cs="Arial"/>
                <w:szCs w:val="16"/>
              </w:rPr>
              <w:t>Australia's treaty obligations are met under Australia's Comprehensive Safeguards Agreement and Additional Protocol to the satisfaction of the International Atomic Energy Agency.</w:t>
            </w:r>
          </w:p>
          <w:p w14:paraId="4288E927" w14:textId="77777777" w:rsidR="0040019E" w:rsidRPr="0040019E" w:rsidRDefault="0040019E" w:rsidP="00C375FE">
            <w:pPr>
              <w:pStyle w:val="TableTextLeft"/>
              <w:rPr>
                <w:rFonts w:cs="Arial"/>
                <w:szCs w:val="16"/>
              </w:rPr>
            </w:pPr>
          </w:p>
        </w:tc>
        <w:tc>
          <w:tcPr>
            <w:tcW w:w="3077" w:type="dxa"/>
            <w:tcBorders>
              <w:top w:val="single" w:sz="4" w:space="0" w:color="auto"/>
              <w:left w:val="single" w:sz="4" w:space="0" w:color="auto"/>
              <w:bottom w:val="dotted" w:sz="4" w:space="0" w:color="auto"/>
            </w:tcBorders>
          </w:tcPr>
          <w:p w14:paraId="1965445A" w14:textId="078B439C" w:rsidR="0040019E" w:rsidRPr="0040019E" w:rsidRDefault="0040019E" w:rsidP="00C375FE">
            <w:pPr>
              <w:pStyle w:val="TableTextLeft"/>
              <w:spacing w:before="0" w:after="0"/>
              <w:rPr>
                <w:rFonts w:cs="Arial"/>
                <w:szCs w:val="16"/>
              </w:rPr>
            </w:pPr>
            <w:r w:rsidRPr="0040019E">
              <w:rPr>
                <w:rFonts w:cs="Arial"/>
                <w:b/>
                <w:bCs/>
                <w:szCs w:val="16"/>
              </w:rPr>
              <w:t>Target</w:t>
            </w:r>
            <w:r w:rsidRPr="0040019E">
              <w:rPr>
                <w:rFonts w:cs="Arial"/>
                <w:szCs w:val="16"/>
              </w:rPr>
              <w:t>: The International Atomic Energy Agency (IAEA) grants a ‘broader conclusion’</w:t>
            </w:r>
            <w:r w:rsidR="00C65D28" w:rsidRPr="00C65D28">
              <w:rPr>
                <w:rFonts w:cs="Arial"/>
                <w:szCs w:val="16"/>
                <w:vertAlign w:val="superscript"/>
              </w:rPr>
              <w:t>1</w:t>
            </w:r>
            <w:r w:rsidRPr="0040019E">
              <w:rPr>
                <w:rFonts w:cs="Arial"/>
                <w:szCs w:val="16"/>
              </w:rPr>
              <w:t xml:space="preserve"> for Australia, confirming Australia’s compliance with its Comprehensive Safeguards Agreement and Additional Protocol treaty obligations.</w:t>
            </w:r>
          </w:p>
          <w:p w14:paraId="5CFBF999" w14:textId="77777777" w:rsidR="0040019E" w:rsidRPr="0040019E" w:rsidRDefault="0040019E" w:rsidP="00C375FE">
            <w:pPr>
              <w:pStyle w:val="TableTextLeft"/>
              <w:spacing w:before="0" w:after="0"/>
              <w:rPr>
                <w:rFonts w:cs="Arial"/>
                <w:szCs w:val="16"/>
              </w:rPr>
            </w:pPr>
          </w:p>
          <w:p w14:paraId="1A8D7C27" w14:textId="417DCB65" w:rsidR="0040019E" w:rsidRPr="0040019E" w:rsidRDefault="0040019E" w:rsidP="00A85B5B">
            <w:pPr>
              <w:pStyle w:val="TableTextLeft"/>
              <w:spacing w:before="0" w:after="120"/>
              <w:rPr>
                <w:rFonts w:cs="Arial"/>
                <w:szCs w:val="16"/>
              </w:rPr>
            </w:pPr>
            <w:r w:rsidRPr="0040019E">
              <w:rPr>
                <w:rFonts w:cs="Arial"/>
                <w:szCs w:val="16"/>
              </w:rPr>
              <w:t xml:space="preserve">The IAEA assessments on 'broader conclusions' will be available after </w:t>
            </w:r>
            <w:r w:rsidR="00105C4F">
              <w:rPr>
                <w:rFonts w:cs="Arial"/>
                <w:szCs w:val="16"/>
              </w:rPr>
              <w:br/>
            </w:r>
            <w:r w:rsidRPr="0040019E">
              <w:rPr>
                <w:rFonts w:cs="Arial"/>
                <w:szCs w:val="16"/>
              </w:rPr>
              <w:t>30 June 2026 and reported in the Performance Statements 2025</w:t>
            </w:r>
            <w:r w:rsidR="00A76715" w:rsidRPr="003A00DB">
              <w:rPr>
                <w:rFonts w:cs="Arial"/>
              </w:rPr>
              <w:t>–</w:t>
            </w:r>
            <w:r w:rsidRPr="0040019E">
              <w:rPr>
                <w:rFonts w:cs="Arial"/>
                <w:szCs w:val="16"/>
              </w:rPr>
              <w:t>26.</w:t>
            </w:r>
          </w:p>
        </w:tc>
      </w:tr>
      <w:tr w:rsidR="0040019E" w:rsidRPr="0040019E" w14:paraId="3386A906" w14:textId="77777777">
        <w:trPr>
          <w:cantSplit/>
          <w:trHeight w:val="100"/>
        </w:trPr>
        <w:tc>
          <w:tcPr>
            <w:tcW w:w="1546" w:type="dxa"/>
            <w:tcBorders>
              <w:top w:val="single" w:sz="4" w:space="0" w:color="auto"/>
              <w:bottom w:val="dotted" w:sz="4" w:space="0" w:color="auto"/>
              <w:right w:val="single" w:sz="4" w:space="0" w:color="auto"/>
            </w:tcBorders>
          </w:tcPr>
          <w:p w14:paraId="05F7E628" w14:textId="77777777" w:rsidR="0040019E" w:rsidRPr="0040019E" w:rsidRDefault="0040019E" w:rsidP="00C375FE">
            <w:pPr>
              <w:pStyle w:val="TableColumnHeadingLeft"/>
              <w:rPr>
                <w:rFonts w:ascii="Arial" w:hAnsi="Arial" w:cs="Arial"/>
                <w:szCs w:val="16"/>
              </w:rPr>
            </w:pPr>
            <w:r w:rsidRPr="0040019E">
              <w:rPr>
                <w:rFonts w:ascii="Arial" w:hAnsi="Arial" w:cs="Arial"/>
                <w:szCs w:val="16"/>
              </w:rPr>
              <w:t>Year</w:t>
            </w:r>
          </w:p>
        </w:tc>
        <w:tc>
          <w:tcPr>
            <w:tcW w:w="3077" w:type="dxa"/>
            <w:tcBorders>
              <w:top w:val="single" w:sz="4" w:space="0" w:color="auto"/>
              <w:left w:val="single" w:sz="4" w:space="0" w:color="auto"/>
              <w:bottom w:val="dotted" w:sz="4" w:space="0" w:color="auto"/>
              <w:right w:val="single" w:sz="4" w:space="0" w:color="auto"/>
            </w:tcBorders>
          </w:tcPr>
          <w:p w14:paraId="124540FC" w14:textId="77777777" w:rsidR="0040019E" w:rsidRPr="0040019E" w:rsidRDefault="0040019E" w:rsidP="00C375FE">
            <w:pPr>
              <w:pStyle w:val="TableColumnHeadingLeft"/>
              <w:rPr>
                <w:rFonts w:ascii="Arial" w:hAnsi="Arial" w:cs="Arial"/>
                <w:szCs w:val="16"/>
              </w:rPr>
            </w:pPr>
            <w:r w:rsidRPr="0040019E">
              <w:rPr>
                <w:rFonts w:ascii="Arial" w:hAnsi="Arial" w:cs="Arial"/>
                <w:szCs w:val="16"/>
              </w:rPr>
              <w:t xml:space="preserve">Performance measures </w:t>
            </w:r>
          </w:p>
        </w:tc>
        <w:tc>
          <w:tcPr>
            <w:tcW w:w="3077" w:type="dxa"/>
            <w:tcBorders>
              <w:top w:val="single" w:sz="4" w:space="0" w:color="auto"/>
              <w:left w:val="single" w:sz="4" w:space="0" w:color="auto"/>
              <w:bottom w:val="dotted" w:sz="4" w:space="0" w:color="auto"/>
            </w:tcBorders>
          </w:tcPr>
          <w:p w14:paraId="05DABCB9" w14:textId="77777777" w:rsidR="0040019E" w:rsidRPr="0040019E" w:rsidRDefault="0040019E" w:rsidP="00C375FE">
            <w:pPr>
              <w:pStyle w:val="TableColumnHeadingLeft"/>
              <w:spacing w:before="0" w:afterLines="20" w:after="48"/>
              <w:rPr>
                <w:rFonts w:ascii="Arial" w:hAnsi="Arial" w:cs="Arial"/>
                <w:szCs w:val="16"/>
              </w:rPr>
            </w:pPr>
            <w:r w:rsidRPr="0040019E">
              <w:rPr>
                <w:rFonts w:ascii="Arial" w:hAnsi="Arial" w:cs="Arial"/>
                <w:szCs w:val="16"/>
              </w:rPr>
              <w:t>Planned performance results</w:t>
            </w:r>
          </w:p>
        </w:tc>
      </w:tr>
      <w:tr w:rsidR="0040019E" w:rsidRPr="0040019E" w14:paraId="40FB7809" w14:textId="77777777">
        <w:trPr>
          <w:cantSplit/>
          <w:trHeight w:val="782"/>
        </w:trPr>
        <w:tc>
          <w:tcPr>
            <w:tcW w:w="1546" w:type="dxa"/>
            <w:tcBorders>
              <w:top w:val="single" w:sz="4" w:space="0" w:color="auto"/>
              <w:bottom w:val="dotted" w:sz="4" w:space="0" w:color="auto"/>
              <w:right w:val="single" w:sz="4" w:space="0" w:color="auto"/>
            </w:tcBorders>
          </w:tcPr>
          <w:p w14:paraId="500F1E46" w14:textId="77777777" w:rsidR="0040019E" w:rsidRPr="0040019E" w:rsidRDefault="0040019E" w:rsidP="00C375FE">
            <w:pPr>
              <w:pStyle w:val="TableTextLeft"/>
              <w:rPr>
                <w:rFonts w:cs="Arial"/>
                <w:szCs w:val="16"/>
              </w:rPr>
            </w:pPr>
            <w:r w:rsidRPr="0040019E">
              <w:rPr>
                <w:rFonts w:cs="Arial"/>
                <w:szCs w:val="16"/>
              </w:rPr>
              <w:t xml:space="preserve">Budget Year </w:t>
            </w:r>
          </w:p>
          <w:p w14:paraId="6F094E20" w14:textId="77777777" w:rsidR="0040019E" w:rsidRPr="0040019E" w:rsidRDefault="0040019E" w:rsidP="00C375FE">
            <w:pPr>
              <w:pStyle w:val="TableTextLeft"/>
              <w:rPr>
                <w:rFonts w:cs="Arial"/>
                <w:szCs w:val="16"/>
              </w:rPr>
            </w:pPr>
            <w:r w:rsidRPr="0040019E">
              <w:rPr>
                <w:rFonts w:cs="Arial"/>
                <w:szCs w:val="16"/>
              </w:rPr>
              <w:t>2026–27</w:t>
            </w:r>
          </w:p>
        </w:tc>
        <w:tc>
          <w:tcPr>
            <w:tcW w:w="3077" w:type="dxa"/>
            <w:tcBorders>
              <w:top w:val="single" w:sz="4" w:space="0" w:color="auto"/>
              <w:left w:val="single" w:sz="4" w:space="0" w:color="auto"/>
              <w:bottom w:val="dotted" w:sz="4" w:space="0" w:color="auto"/>
              <w:right w:val="single" w:sz="4" w:space="0" w:color="auto"/>
            </w:tcBorders>
          </w:tcPr>
          <w:p w14:paraId="530714A4" w14:textId="77777777" w:rsidR="0040019E" w:rsidRPr="0040019E" w:rsidRDefault="0040019E" w:rsidP="00C375FE">
            <w:pPr>
              <w:pStyle w:val="TableTextLeft"/>
              <w:rPr>
                <w:rFonts w:cs="Arial"/>
                <w:szCs w:val="16"/>
              </w:rPr>
            </w:pPr>
            <w:r w:rsidRPr="0040019E">
              <w:rPr>
                <w:rFonts w:cs="Arial"/>
                <w:szCs w:val="16"/>
              </w:rPr>
              <w:t>Australia's treaty obligations are met under Australia's Comprehensive Safeguards Agreement and Additional Protocol to the satisfaction of the International Atomic Energy Agency.</w:t>
            </w:r>
          </w:p>
          <w:p w14:paraId="51AFAA86" w14:textId="77777777" w:rsidR="0040019E" w:rsidRPr="0040019E" w:rsidRDefault="0040019E" w:rsidP="00C375FE">
            <w:pPr>
              <w:pStyle w:val="TableTextLeft"/>
              <w:rPr>
                <w:rFonts w:cs="Arial"/>
                <w:szCs w:val="16"/>
              </w:rPr>
            </w:pPr>
          </w:p>
        </w:tc>
        <w:tc>
          <w:tcPr>
            <w:tcW w:w="3077" w:type="dxa"/>
            <w:tcBorders>
              <w:top w:val="single" w:sz="4" w:space="0" w:color="auto"/>
              <w:left w:val="single" w:sz="4" w:space="0" w:color="auto"/>
              <w:bottom w:val="dotted" w:sz="4" w:space="0" w:color="auto"/>
            </w:tcBorders>
          </w:tcPr>
          <w:p w14:paraId="0349CAF3" w14:textId="6DDB4862" w:rsidR="0040019E" w:rsidRPr="0040019E" w:rsidRDefault="0040019E" w:rsidP="00A85B5B">
            <w:pPr>
              <w:pStyle w:val="TableTextLeft"/>
              <w:spacing w:before="0" w:after="120"/>
              <w:rPr>
                <w:rFonts w:cs="Arial"/>
                <w:szCs w:val="16"/>
              </w:rPr>
            </w:pPr>
            <w:r w:rsidRPr="0040019E">
              <w:rPr>
                <w:rFonts w:cs="Arial"/>
                <w:b/>
                <w:bCs/>
                <w:szCs w:val="16"/>
              </w:rPr>
              <w:t>Target</w:t>
            </w:r>
            <w:r w:rsidRPr="0040019E">
              <w:rPr>
                <w:rFonts w:cs="Arial"/>
                <w:szCs w:val="16"/>
              </w:rPr>
              <w:t>: The International Atomic Energy Agency (IAEA) grants a ‘broader conclusion’</w:t>
            </w:r>
            <w:r w:rsidR="00172EB5">
              <w:rPr>
                <w:rFonts w:cs="Arial"/>
                <w:szCs w:val="16"/>
                <w:vertAlign w:val="superscript"/>
              </w:rPr>
              <w:t>1</w:t>
            </w:r>
            <w:r w:rsidRPr="0040019E">
              <w:rPr>
                <w:rFonts w:cs="Arial"/>
                <w:szCs w:val="16"/>
              </w:rPr>
              <w:t xml:space="preserve"> for Australia, confirming Australia’s compliance with its Comprehensive Safeguards Agreement and Additional Protocol treaty obligations.</w:t>
            </w:r>
          </w:p>
        </w:tc>
      </w:tr>
      <w:tr w:rsidR="0040019E" w:rsidRPr="0040019E" w14:paraId="61903991" w14:textId="77777777">
        <w:trPr>
          <w:cantSplit/>
          <w:trHeight w:val="491"/>
        </w:trPr>
        <w:tc>
          <w:tcPr>
            <w:tcW w:w="1546" w:type="dxa"/>
            <w:tcBorders>
              <w:top w:val="dotted" w:sz="4" w:space="0" w:color="auto"/>
              <w:bottom w:val="dotted" w:sz="4" w:space="0" w:color="auto"/>
              <w:right w:val="single" w:sz="4" w:space="0" w:color="auto"/>
            </w:tcBorders>
          </w:tcPr>
          <w:p w14:paraId="0A38CE1D" w14:textId="77777777" w:rsidR="0040019E" w:rsidRPr="0040019E" w:rsidRDefault="0040019E" w:rsidP="00C375FE">
            <w:pPr>
              <w:pStyle w:val="TableTextLeft"/>
              <w:rPr>
                <w:rFonts w:cs="Arial"/>
                <w:szCs w:val="16"/>
              </w:rPr>
            </w:pPr>
            <w:r w:rsidRPr="0040019E">
              <w:rPr>
                <w:rFonts w:cs="Arial"/>
                <w:szCs w:val="16"/>
              </w:rPr>
              <w:t xml:space="preserve">Forward Estimates </w:t>
            </w:r>
          </w:p>
          <w:p w14:paraId="4047D4AD" w14:textId="77777777" w:rsidR="0040019E" w:rsidRPr="0040019E" w:rsidRDefault="0040019E" w:rsidP="00C375FE">
            <w:pPr>
              <w:pStyle w:val="TableTextLeft"/>
              <w:rPr>
                <w:rFonts w:cs="Arial"/>
                <w:b/>
                <w:szCs w:val="16"/>
              </w:rPr>
            </w:pPr>
            <w:r w:rsidRPr="0040019E">
              <w:rPr>
                <w:rFonts w:cs="Arial"/>
                <w:szCs w:val="16"/>
              </w:rPr>
              <w:t>2027–30</w:t>
            </w:r>
          </w:p>
        </w:tc>
        <w:tc>
          <w:tcPr>
            <w:tcW w:w="3077" w:type="dxa"/>
            <w:tcBorders>
              <w:top w:val="dotted" w:sz="4" w:space="0" w:color="auto"/>
              <w:left w:val="single" w:sz="4" w:space="0" w:color="auto"/>
              <w:bottom w:val="dotted" w:sz="4" w:space="0" w:color="auto"/>
              <w:right w:val="single" w:sz="4" w:space="0" w:color="auto"/>
            </w:tcBorders>
          </w:tcPr>
          <w:p w14:paraId="1EB6B5C9" w14:textId="77777777" w:rsidR="0040019E" w:rsidRPr="0040019E" w:rsidRDefault="0040019E" w:rsidP="00C375FE">
            <w:pPr>
              <w:pStyle w:val="TableTextLeft"/>
              <w:rPr>
                <w:rFonts w:cs="Arial"/>
                <w:b/>
                <w:szCs w:val="16"/>
              </w:rPr>
            </w:pPr>
            <w:r w:rsidRPr="0040019E">
              <w:rPr>
                <w:rFonts w:cs="Arial"/>
                <w:szCs w:val="16"/>
              </w:rPr>
              <w:t>As per 2026–27</w:t>
            </w:r>
          </w:p>
        </w:tc>
        <w:tc>
          <w:tcPr>
            <w:tcW w:w="3077" w:type="dxa"/>
            <w:tcBorders>
              <w:top w:val="dotted" w:sz="4" w:space="0" w:color="auto"/>
              <w:left w:val="single" w:sz="4" w:space="0" w:color="auto"/>
              <w:bottom w:val="dotted" w:sz="4" w:space="0" w:color="auto"/>
            </w:tcBorders>
          </w:tcPr>
          <w:p w14:paraId="626897B1" w14:textId="77777777" w:rsidR="0040019E" w:rsidRPr="0040019E" w:rsidRDefault="0040019E" w:rsidP="00C375FE">
            <w:pPr>
              <w:pStyle w:val="TableTextLeft"/>
              <w:rPr>
                <w:rFonts w:cs="Arial"/>
                <w:b/>
                <w:szCs w:val="16"/>
              </w:rPr>
            </w:pPr>
            <w:r w:rsidRPr="0040019E">
              <w:rPr>
                <w:rFonts w:cs="Arial"/>
                <w:szCs w:val="16"/>
              </w:rPr>
              <w:t>As per 2026–27</w:t>
            </w:r>
          </w:p>
        </w:tc>
      </w:tr>
      <w:tr w:rsidR="0040019E" w:rsidRPr="0040019E" w14:paraId="33D1E070" w14:textId="77777777">
        <w:trPr>
          <w:cantSplit/>
          <w:trHeight w:val="261"/>
        </w:trPr>
        <w:tc>
          <w:tcPr>
            <w:tcW w:w="7700" w:type="dxa"/>
            <w:gridSpan w:val="3"/>
          </w:tcPr>
          <w:p w14:paraId="74FD4877" w14:textId="77777777" w:rsidR="0040019E" w:rsidRPr="0040019E" w:rsidRDefault="0040019E" w:rsidP="00C375FE">
            <w:pPr>
              <w:pStyle w:val="TableTextLeft"/>
              <w:rPr>
                <w:rFonts w:eastAsia="Cambria" w:cs="Arial"/>
                <w:spacing w:val="-6"/>
                <w:szCs w:val="16"/>
              </w:rPr>
            </w:pPr>
            <w:r w:rsidRPr="0040019E">
              <w:rPr>
                <w:rFonts w:cs="Arial"/>
                <w:szCs w:val="16"/>
              </w:rPr>
              <w:t>Material changes to Program 1.8 resulting from 2026–27 Budget Measures:</w:t>
            </w:r>
            <w:r w:rsidRPr="0040019E">
              <w:rPr>
                <w:rFonts w:eastAsia="Cambria" w:cs="Arial"/>
                <w:spacing w:val="-6"/>
                <w:szCs w:val="16"/>
                <w:lang w:eastAsia="en-US"/>
              </w:rPr>
              <w:t xml:space="preserve"> Nil</w:t>
            </w:r>
          </w:p>
        </w:tc>
      </w:tr>
    </w:tbl>
    <w:p w14:paraId="2C9D5C21" w14:textId="0FE6E41A" w:rsidR="00C65D28" w:rsidRDefault="00C65D28" w:rsidP="00F5556B">
      <w:pPr>
        <w:pStyle w:val="ChartandTableFootnoteAlpha"/>
        <w:numPr>
          <w:ilvl w:val="0"/>
          <w:numId w:val="51"/>
        </w:numPr>
      </w:pPr>
      <w:r>
        <w:t xml:space="preserve">The </w:t>
      </w:r>
      <w:r w:rsidRPr="00C65D28">
        <w:t xml:space="preserve">IAEA can draw the ‘broader conclusion’ for a state </w:t>
      </w:r>
      <w:proofErr w:type="gramStart"/>
      <w:r w:rsidRPr="00C65D28">
        <w:t>as a whole that</w:t>
      </w:r>
      <w:proofErr w:type="gramEnd"/>
      <w:r w:rsidRPr="00C65D28">
        <w:t xml:space="preserve"> ‘all nuclear material remains in peaceful </w:t>
      </w:r>
      <w:proofErr w:type="gramStart"/>
      <w:r w:rsidRPr="00C65D28">
        <w:t>activities’</w:t>
      </w:r>
      <w:proofErr w:type="gramEnd"/>
      <w:r w:rsidRPr="00C65D28">
        <w:t xml:space="preserve">. This is a more expansive assessment for a state than the IAEA’s narrower assessment category that ‘declared nuclear material remain in peaceful </w:t>
      </w:r>
      <w:proofErr w:type="gramStart"/>
      <w:r w:rsidRPr="00C65D28">
        <w:t>activities</w:t>
      </w:r>
      <w:r w:rsidR="00A76715">
        <w:t>’</w:t>
      </w:r>
      <w:proofErr w:type="gramEnd"/>
      <w:r>
        <w:t xml:space="preserve">. </w:t>
      </w:r>
    </w:p>
    <w:p w14:paraId="740ED41D" w14:textId="77777777" w:rsidR="00331FB6" w:rsidRPr="00331FB6" w:rsidRDefault="00331FB6" w:rsidP="00331FB6">
      <w:pPr>
        <w:pStyle w:val="TableGraphic"/>
      </w:pPr>
    </w:p>
    <w:p w14:paraId="6B3D29FC" w14:textId="77777777" w:rsidR="006E1BA9" w:rsidRPr="006E1BA9" w:rsidRDefault="006E1BA9" w:rsidP="006E1BA9"/>
    <w:p w14:paraId="3FAD8589" w14:textId="77777777" w:rsidR="00D61654" w:rsidRDefault="00D61654">
      <w:pPr>
        <w:spacing w:before="0" w:after="0" w:line="240" w:lineRule="auto"/>
        <w:rPr>
          <w:rFonts w:ascii="Arial" w:hAnsi="Arial"/>
          <w:color w:val="000000"/>
          <w:sz w:val="16"/>
        </w:rPr>
      </w:pPr>
      <w:r>
        <w:br w:type="page"/>
      </w:r>
    </w:p>
    <w:p w14:paraId="251F8DA5" w14:textId="7258DB59" w:rsidR="00D61654" w:rsidRPr="00F743D8" w:rsidRDefault="00D61654" w:rsidP="00D61654">
      <w:pPr>
        <w:pStyle w:val="Heading3"/>
      </w:pPr>
      <w:r>
        <w:lastRenderedPageBreak/>
        <w:t>2.</w:t>
      </w:r>
      <w:r w:rsidR="002E13C5">
        <w:t>2</w:t>
      </w:r>
      <w:r w:rsidRPr="00F743D8">
        <w:t xml:space="preserve"> </w:t>
      </w:r>
      <w:r w:rsidRPr="00F743D8">
        <w:tab/>
        <w:t xml:space="preserve">Budgeted expenses and performance for Outcome </w:t>
      </w:r>
      <w:r w:rsidR="002E13C5">
        <w:t>2</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61654" w:rsidRPr="0069545F" w14:paraId="2F3740B2" w14:textId="77777777" w:rsidTr="00FF7B23">
        <w:tc>
          <w:tcPr>
            <w:tcW w:w="7704" w:type="dxa"/>
            <w:shd w:val="clear" w:color="auto" w:fill="E6E6E6"/>
          </w:tcPr>
          <w:p w14:paraId="4689CAD6" w14:textId="299E9D87" w:rsidR="00D61654" w:rsidRPr="0069545F" w:rsidRDefault="00D61654" w:rsidP="00FF7B23">
            <w:pPr>
              <w:pStyle w:val="TableColumnHeadingLeft"/>
            </w:pPr>
            <w:r w:rsidRPr="0069545F">
              <w:t xml:space="preserve">Outcome </w:t>
            </w:r>
            <w:r w:rsidR="002E13C5">
              <w:t>2</w:t>
            </w:r>
            <w:r w:rsidRPr="0069545F">
              <w:t xml:space="preserve">: </w:t>
            </w:r>
            <w:r w:rsidR="002E13C5" w:rsidRPr="002E13C5">
              <w:t>The protection and welfare of Australians abroad and access to secure international travel documentation through timely and responsive travel advice and consular and passport services in Australia and overseas</w:t>
            </w:r>
            <w:r w:rsidR="002E13C5">
              <w:t xml:space="preserve">. </w:t>
            </w:r>
          </w:p>
        </w:tc>
      </w:tr>
    </w:tbl>
    <w:p w14:paraId="75B9B50B" w14:textId="77777777" w:rsidR="00D61654" w:rsidRPr="0069545F" w:rsidRDefault="00D61654" w:rsidP="00D61654">
      <w:pPr>
        <w:pStyle w:val="SingleParagraph"/>
      </w:pPr>
    </w:p>
    <w:p w14:paraId="706352AA" w14:textId="77777777" w:rsidR="00D61654" w:rsidRPr="00133BCE" w:rsidRDefault="00D61654" w:rsidP="00D61654">
      <w:pPr>
        <w:pStyle w:val="Heading4"/>
      </w:pPr>
      <w:r w:rsidRPr="0069545F">
        <w:t xml:space="preserve">Linked programs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D61654" w:rsidRPr="0069545F" w14:paraId="65C1C777" w14:textId="77777777" w:rsidTr="00187350">
        <w:trPr>
          <w:trHeight w:val="113"/>
        </w:trPr>
        <w:tc>
          <w:tcPr>
            <w:tcW w:w="7700" w:type="dxa"/>
            <w:tcBorders>
              <w:bottom w:val="dotted" w:sz="4" w:space="0" w:color="auto"/>
            </w:tcBorders>
          </w:tcPr>
          <w:p w14:paraId="3DCC6815" w14:textId="2EDC1302" w:rsidR="00D61654" w:rsidRPr="0069545F" w:rsidRDefault="00E41ABA" w:rsidP="003C3939">
            <w:pPr>
              <w:pStyle w:val="TableColumnHeadingLeft"/>
              <w:spacing w:before="60" w:after="60"/>
            </w:pPr>
            <w:r>
              <w:t>Australian Federal Police</w:t>
            </w:r>
          </w:p>
        </w:tc>
      </w:tr>
      <w:tr w:rsidR="00D61654" w:rsidRPr="0069545F" w14:paraId="6BCDBF19" w14:textId="77777777" w:rsidTr="00187350">
        <w:trPr>
          <w:trHeight w:val="113"/>
        </w:trPr>
        <w:tc>
          <w:tcPr>
            <w:tcW w:w="7700" w:type="dxa"/>
            <w:tcBorders>
              <w:top w:val="dotted" w:sz="4" w:space="0" w:color="auto"/>
              <w:bottom w:val="single" w:sz="4" w:space="0" w:color="auto"/>
            </w:tcBorders>
          </w:tcPr>
          <w:p w14:paraId="560E1844" w14:textId="77777777" w:rsidR="00D61654" w:rsidRPr="0069545F" w:rsidRDefault="00D61654" w:rsidP="00FF7B23">
            <w:pPr>
              <w:pStyle w:val="TableTextLeft"/>
              <w:rPr>
                <w:b/>
                <w:bCs/>
              </w:rPr>
            </w:pPr>
            <w:r w:rsidRPr="0069545F">
              <w:rPr>
                <w:b/>
                <w:bCs/>
              </w:rPr>
              <w:t>Programs</w:t>
            </w:r>
          </w:p>
          <w:p w14:paraId="75C5C217" w14:textId="71FC8BD6" w:rsidR="00D61654" w:rsidRPr="0069545F" w:rsidRDefault="00D61654" w:rsidP="003C3939">
            <w:pPr>
              <w:pStyle w:val="TableTextBullet"/>
              <w:spacing w:before="60" w:after="60"/>
            </w:pPr>
            <w:r w:rsidRPr="0069545F">
              <w:t xml:space="preserve">Program </w:t>
            </w:r>
            <w:r w:rsidR="00E41ABA">
              <w:t xml:space="preserve">1.1 </w:t>
            </w:r>
            <w:r w:rsidRPr="0069545F">
              <w:t xml:space="preserve">– </w:t>
            </w:r>
            <w:r w:rsidR="003C3939">
              <w:t>Federal Policing</w:t>
            </w:r>
          </w:p>
          <w:p w14:paraId="15C96FAB" w14:textId="317F09B0" w:rsidR="00D61654" w:rsidRPr="0069545F" w:rsidRDefault="00D61654" w:rsidP="003C3939">
            <w:pPr>
              <w:pStyle w:val="TableTextBullet"/>
              <w:spacing w:before="60" w:after="60"/>
            </w:pPr>
            <w:r w:rsidRPr="0069545F">
              <w:t xml:space="preserve">Program </w:t>
            </w:r>
            <w:r w:rsidR="003C3939">
              <w:t>3.2</w:t>
            </w:r>
            <w:r w:rsidRPr="0069545F">
              <w:t xml:space="preserve"> – </w:t>
            </w:r>
            <w:r w:rsidR="003C3939">
              <w:t>International Police Assistance and External Territories</w:t>
            </w:r>
          </w:p>
        </w:tc>
      </w:tr>
      <w:tr w:rsidR="00187350" w:rsidRPr="0069545F" w14:paraId="1AA28DE9" w14:textId="77777777" w:rsidTr="00187350">
        <w:trPr>
          <w:trHeight w:val="113"/>
        </w:trPr>
        <w:tc>
          <w:tcPr>
            <w:tcW w:w="7700" w:type="dxa"/>
            <w:tcBorders>
              <w:top w:val="single" w:sz="4" w:space="0" w:color="auto"/>
              <w:bottom w:val="dotted" w:sz="4" w:space="0" w:color="auto"/>
            </w:tcBorders>
          </w:tcPr>
          <w:p w14:paraId="060F7906" w14:textId="17600918" w:rsidR="00187350" w:rsidRPr="00187350" w:rsidRDefault="00187350" w:rsidP="00187350">
            <w:pPr>
              <w:pStyle w:val="TableColumnHeadingLeft"/>
              <w:spacing w:before="60" w:after="60"/>
            </w:pPr>
            <w:r>
              <w:t>Australian Trade and Investment Commission</w:t>
            </w:r>
          </w:p>
        </w:tc>
      </w:tr>
      <w:tr w:rsidR="00187350" w:rsidRPr="0069545F" w14:paraId="3DFE64CD" w14:textId="77777777" w:rsidTr="00187350">
        <w:trPr>
          <w:trHeight w:val="113"/>
        </w:trPr>
        <w:tc>
          <w:tcPr>
            <w:tcW w:w="7700" w:type="dxa"/>
            <w:tcBorders>
              <w:top w:val="dotted" w:sz="4" w:space="0" w:color="auto"/>
              <w:bottom w:val="single" w:sz="4" w:space="0" w:color="auto"/>
            </w:tcBorders>
          </w:tcPr>
          <w:p w14:paraId="5A49A832" w14:textId="77777777" w:rsidR="00187350" w:rsidRPr="0069545F" w:rsidRDefault="00187350" w:rsidP="00187350">
            <w:pPr>
              <w:pStyle w:val="TableTextLeft"/>
              <w:rPr>
                <w:b/>
                <w:bCs/>
              </w:rPr>
            </w:pPr>
            <w:r w:rsidRPr="0069545F">
              <w:rPr>
                <w:b/>
                <w:bCs/>
              </w:rPr>
              <w:t>Programs</w:t>
            </w:r>
          </w:p>
          <w:p w14:paraId="2A3E959D" w14:textId="12E5B288" w:rsidR="00187350" w:rsidRPr="0069545F" w:rsidRDefault="00187350" w:rsidP="00187350">
            <w:pPr>
              <w:pStyle w:val="TableTextLeft"/>
              <w:numPr>
                <w:ilvl w:val="0"/>
                <w:numId w:val="63"/>
              </w:numPr>
              <w:spacing w:before="60" w:after="60"/>
              <w:ind w:left="284" w:hanging="284"/>
              <w:rPr>
                <w:b/>
                <w:bCs/>
              </w:rPr>
            </w:pPr>
            <w:r w:rsidRPr="0069545F">
              <w:t xml:space="preserve">Program </w:t>
            </w:r>
            <w:r>
              <w:t xml:space="preserve">2.1 </w:t>
            </w:r>
            <w:r w:rsidR="00470446" w:rsidRPr="0069545F">
              <w:t>–</w:t>
            </w:r>
            <w:r w:rsidRPr="0069545F">
              <w:t xml:space="preserve"> </w:t>
            </w:r>
            <w:r>
              <w:t>Consular and Passport Services</w:t>
            </w:r>
          </w:p>
        </w:tc>
      </w:tr>
      <w:tr w:rsidR="00D61654" w:rsidRPr="0069545F" w14:paraId="4DF156C3" w14:textId="77777777" w:rsidTr="00187350">
        <w:trPr>
          <w:trHeight w:val="113"/>
        </w:trPr>
        <w:tc>
          <w:tcPr>
            <w:tcW w:w="7700" w:type="dxa"/>
            <w:tcBorders>
              <w:bottom w:val="single" w:sz="4" w:space="0" w:color="auto"/>
            </w:tcBorders>
          </w:tcPr>
          <w:p w14:paraId="4F2902F7" w14:textId="34C53597" w:rsidR="00D61654" w:rsidRPr="001E6B9F" w:rsidRDefault="00D61654" w:rsidP="00FF7B23">
            <w:pPr>
              <w:pStyle w:val="TableColumnHeadingLeft"/>
            </w:pPr>
            <w:r w:rsidRPr="0069545F">
              <w:t xml:space="preserve">Contribution to Outcome </w:t>
            </w:r>
            <w:r w:rsidR="003C3939">
              <w:t>2</w:t>
            </w:r>
            <w:r w:rsidRPr="0069545F">
              <w:rPr>
                <w:color w:val="FF0000"/>
              </w:rPr>
              <w:t xml:space="preserve"> </w:t>
            </w:r>
            <w:r w:rsidRPr="0069545F">
              <w:t>made by linked programs</w:t>
            </w:r>
          </w:p>
          <w:p w14:paraId="73639252" w14:textId="3F128223" w:rsidR="00D61654" w:rsidRPr="0069545F" w:rsidRDefault="00A90C99" w:rsidP="00A90C99">
            <w:pPr>
              <w:pStyle w:val="TableTextLeft"/>
              <w:spacing w:before="60" w:after="60"/>
            </w:pPr>
            <w:r w:rsidRPr="00256112">
              <w:rPr>
                <w:color w:val="000000" w:themeColor="text1"/>
                <w:lang w:eastAsia="en-US"/>
              </w:rPr>
              <w:t>The Australian Federal Police (AFP) and the Australian Trade and Investment Commission support DFAT in the delivery of high-quality consular services, including the provision of Australian passport information services and the repatriation of vulnerable Australians, with the assistance from the AFP where necessary.</w:t>
            </w:r>
            <w:r w:rsidR="00D61654" w:rsidRPr="0069545F">
              <w:rPr>
                <w:color w:val="FF0000"/>
              </w:rPr>
              <w:t xml:space="preserve"> </w:t>
            </w:r>
          </w:p>
        </w:tc>
      </w:tr>
    </w:tbl>
    <w:p w14:paraId="3E9A6429" w14:textId="0493E2CD" w:rsidR="00D61654" w:rsidRPr="0069545F" w:rsidRDefault="00D61654" w:rsidP="002E13C5">
      <w:pPr>
        <w:pStyle w:val="ChartandTableFootnoteAlpha"/>
        <w:numPr>
          <w:ilvl w:val="0"/>
          <w:numId w:val="0"/>
        </w:numPr>
        <w:ind w:left="284" w:hanging="284"/>
      </w:pPr>
    </w:p>
    <w:p w14:paraId="1F2433B8" w14:textId="77777777" w:rsidR="00D61654" w:rsidRPr="0069545F" w:rsidRDefault="00D61654" w:rsidP="00D61654">
      <w:r w:rsidRPr="0069545F">
        <w:br w:type="page"/>
      </w:r>
    </w:p>
    <w:p w14:paraId="4AE0EAB2" w14:textId="60334B45" w:rsidR="00D61654" w:rsidRPr="00446612" w:rsidRDefault="00D61654" w:rsidP="00D61654">
      <w:pPr>
        <w:pStyle w:val="Heading4"/>
      </w:pPr>
      <w:r w:rsidRPr="00446612">
        <w:lastRenderedPageBreak/>
        <w:t xml:space="preserve">Budgeted expenses for Outcome </w:t>
      </w:r>
      <w:r w:rsidR="002E13C5">
        <w:t>2</w:t>
      </w:r>
    </w:p>
    <w:p w14:paraId="319878C5" w14:textId="77777777" w:rsidR="00D61654" w:rsidRDefault="00D61654" w:rsidP="00D61654">
      <w:r w:rsidRPr="00950281">
        <w:t>This table shows how much the entity intends to spend (on an accrual basis) on achieving the outcome, broken down by program, as well as by Administered an</w:t>
      </w:r>
      <w:r>
        <w:t>d Departmental funding sources.</w:t>
      </w:r>
    </w:p>
    <w:p w14:paraId="415DE9B2" w14:textId="34930A63" w:rsidR="00D61654" w:rsidRDefault="00D61654" w:rsidP="00D61654">
      <w:pPr>
        <w:pStyle w:val="TableHeading"/>
      </w:pPr>
      <w:r w:rsidRPr="006E4DF1">
        <w:t>Table 2.</w:t>
      </w:r>
      <w:r w:rsidR="002E13C5">
        <w:t>2</w:t>
      </w:r>
      <w:r w:rsidRPr="006E4DF1">
        <w:t xml:space="preserve">.1: Budgeted expenses for Outcome </w:t>
      </w:r>
      <w:r w:rsidR="002E13C5">
        <w:t>2</w:t>
      </w:r>
    </w:p>
    <w:p w14:paraId="5285E38A" w14:textId="0BC8FFC5" w:rsidR="00D61654" w:rsidRPr="00DC1ADC" w:rsidRDefault="005A09CE" w:rsidP="00D61654">
      <w:pPr>
        <w:pStyle w:val="TableGraphic"/>
      </w:pPr>
      <w:r w:rsidRPr="005A09CE">
        <w:rPr>
          <w:noProof/>
        </w:rPr>
        <w:drawing>
          <wp:inline distT="0" distB="0" distL="0" distR="0" wp14:anchorId="05FBC7CF" wp14:editId="06C6982F">
            <wp:extent cx="4783455" cy="4142105"/>
            <wp:effectExtent l="0" t="0" r="0" b="0"/>
            <wp:docPr id="322572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83455" cy="4142105"/>
                    </a:xfrm>
                    <a:prstGeom prst="rect">
                      <a:avLst/>
                    </a:prstGeom>
                    <a:noFill/>
                    <a:ln>
                      <a:noFill/>
                    </a:ln>
                  </pic:spPr>
                </pic:pic>
              </a:graphicData>
            </a:graphic>
          </wp:inline>
        </w:drawing>
      </w:r>
    </w:p>
    <w:p w14:paraId="6A5885E3" w14:textId="6299B4D0" w:rsidR="00314A6B" w:rsidRPr="00314A6B" w:rsidRDefault="00314A6B" w:rsidP="00D61654">
      <w:pPr>
        <w:spacing w:before="0" w:after="0" w:line="240" w:lineRule="auto"/>
        <w:rPr>
          <w:rFonts w:ascii="Arial" w:hAnsi="Arial" w:cs="Arial"/>
          <w:sz w:val="16"/>
          <w:szCs w:val="16"/>
        </w:rPr>
      </w:pPr>
      <w:r>
        <w:rPr>
          <w:rFonts w:ascii="Arial" w:hAnsi="Arial" w:cs="Arial"/>
          <w:sz w:val="16"/>
          <w:szCs w:val="16"/>
        </w:rPr>
        <w:t xml:space="preserve">Table </w:t>
      </w:r>
      <w:proofErr w:type="gramStart"/>
      <w:r>
        <w:rPr>
          <w:rFonts w:ascii="Arial" w:hAnsi="Arial" w:cs="Arial"/>
          <w:sz w:val="16"/>
          <w:szCs w:val="16"/>
        </w:rPr>
        <w:t>continued on</w:t>
      </w:r>
      <w:proofErr w:type="gramEnd"/>
      <w:r>
        <w:rPr>
          <w:rFonts w:ascii="Arial" w:hAnsi="Arial" w:cs="Arial"/>
          <w:sz w:val="16"/>
          <w:szCs w:val="16"/>
        </w:rPr>
        <w:t xml:space="preserve"> the next page. </w:t>
      </w:r>
    </w:p>
    <w:p w14:paraId="7576FB86" w14:textId="31F04A20" w:rsidR="00D61654" w:rsidRDefault="00D61654" w:rsidP="00D61654">
      <w:pPr>
        <w:spacing w:before="0" w:after="0" w:line="240" w:lineRule="auto"/>
      </w:pPr>
      <w:r>
        <w:br w:type="page"/>
      </w:r>
    </w:p>
    <w:p w14:paraId="71E941B7" w14:textId="2FFDA825" w:rsidR="00D61654" w:rsidRPr="000F4FFC" w:rsidRDefault="00D61654" w:rsidP="00D61654">
      <w:pPr>
        <w:pStyle w:val="TableHeadingcontinued"/>
      </w:pPr>
      <w:r w:rsidRPr="00AD42E2">
        <w:lastRenderedPageBreak/>
        <w:t>Table 2.</w:t>
      </w:r>
      <w:r w:rsidR="002E13C5">
        <w:t>2</w:t>
      </w:r>
      <w:r w:rsidRPr="00AD42E2">
        <w:t xml:space="preserve">.1: Budgeted expenses for Outcome </w:t>
      </w:r>
      <w:r w:rsidR="002E13C5">
        <w:t>2</w:t>
      </w:r>
      <w:r>
        <w:t xml:space="preserve"> (continued)</w:t>
      </w:r>
    </w:p>
    <w:p w14:paraId="1C8B07AA" w14:textId="0B4E9E31" w:rsidR="00D61654" w:rsidRDefault="00C70E33" w:rsidP="00D61654">
      <w:pPr>
        <w:pStyle w:val="TableGraphic"/>
      </w:pPr>
      <w:r w:rsidRPr="00C70E33">
        <w:drawing>
          <wp:inline distT="0" distB="0" distL="0" distR="0" wp14:anchorId="23285F1C" wp14:editId="38E6DA39">
            <wp:extent cx="4779010" cy="2616200"/>
            <wp:effectExtent l="0" t="0" r="2540" b="0"/>
            <wp:docPr id="2132855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9010" cy="2616200"/>
                    </a:xfrm>
                    <a:prstGeom prst="rect">
                      <a:avLst/>
                    </a:prstGeom>
                    <a:noFill/>
                    <a:ln>
                      <a:noFill/>
                    </a:ln>
                  </pic:spPr>
                </pic:pic>
              </a:graphicData>
            </a:graphic>
          </wp:inline>
        </w:drawing>
      </w:r>
    </w:p>
    <w:p w14:paraId="4659618B" w14:textId="77777777" w:rsidR="00D61654" w:rsidRPr="00446612" w:rsidRDefault="00D61654" w:rsidP="00D61654">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6DFFE62A" w14:textId="77777777" w:rsidR="00D61654" w:rsidRDefault="00D61654" w:rsidP="00D61654">
      <w:pPr>
        <w:spacing w:before="0" w:after="0" w:line="240" w:lineRule="auto"/>
        <w:rPr>
          <w:highlight w:val="green"/>
        </w:rPr>
      </w:pPr>
      <w:r>
        <w:rPr>
          <w:highlight w:val="green"/>
        </w:rPr>
        <w:br w:type="page"/>
      </w:r>
    </w:p>
    <w:p w14:paraId="15261595" w14:textId="6883AB1E" w:rsidR="00D61654" w:rsidRPr="00F71634" w:rsidRDefault="00D61654" w:rsidP="00D61654">
      <w:pPr>
        <w:pStyle w:val="Heading4"/>
      </w:pPr>
      <w:r w:rsidRPr="00250122">
        <w:lastRenderedPageBreak/>
        <w:t>Performance</w:t>
      </w:r>
      <w:r w:rsidRPr="00F71634">
        <w:t xml:space="preserve"> </w:t>
      </w:r>
      <w:r>
        <w:t>measures</w:t>
      </w:r>
      <w:r w:rsidRPr="00F71634">
        <w:t xml:space="preserve"> for Outcome </w:t>
      </w:r>
      <w:r w:rsidR="002E13C5">
        <w:t>2</w:t>
      </w:r>
    </w:p>
    <w:p w14:paraId="7116A1EF" w14:textId="2B39066D" w:rsidR="00D61654" w:rsidRDefault="00D61654" w:rsidP="00D61654">
      <w:r w:rsidRPr="005D4B9C">
        <w:t>Table 2.</w:t>
      </w:r>
      <w:r w:rsidR="002E13C5">
        <w:t>2</w:t>
      </w:r>
      <w:r w:rsidRPr="005D4B9C">
        <w:t>.</w:t>
      </w:r>
      <w:r w:rsidR="00950B15">
        <w:t>2</w:t>
      </w:r>
      <w:r w:rsidRPr="005D4B9C">
        <w:t xml:space="preserve"> details the performance measures for each program associated with Outcome </w:t>
      </w:r>
      <w:r w:rsidR="002E13C5">
        <w:t>2</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0C4F3F7E" w14:textId="02236CC6" w:rsidR="00D61654" w:rsidRDefault="00D61654" w:rsidP="00D61654">
      <w:pPr>
        <w:pStyle w:val="TableHeading"/>
      </w:pPr>
      <w:r w:rsidRPr="00E6464E">
        <w:t>Table 2.</w:t>
      </w:r>
      <w:r w:rsidR="002E13C5">
        <w:t>2</w:t>
      </w:r>
      <w:r w:rsidRPr="00E6464E">
        <w:t>.</w:t>
      </w:r>
      <w:r w:rsidR="00950B15">
        <w:t>2</w:t>
      </w:r>
      <w:r w:rsidRPr="00E6464E">
        <w:t xml:space="preserve">: Performance measures for Outcome </w:t>
      </w:r>
      <w:r w:rsidR="002E13C5">
        <w:t>2</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CD5D94" w:rsidRPr="00CD5D94" w14:paraId="4F89F0EC" w14:textId="77777777" w:rsidTr="00CD5D94">
        <w:trPr>
          <w:cantSplit/>
          <w:trHeight w:val="261"/>
          <w:tblHeader/>
        </w:trPr>
        <w:tc>
          <w:tcPr>
            <w:tcW w:w="7700" w:type="dxa"/>
            <w:gridSpan w:val="3"/>
            <w:shd w:val="clear" w:color="auto" w:fill="F2F2F2"/>
          </w:tcPr>
          <w:p w14:paraId="4146ADE5" w14:textId="77777777" w:rsidR="00172EB5" w:rsidRPr="00CD5D94" w:rsidRDefault="00172EB5" w:rsidP="00C375FE">
            <w:pPr>
              <w:pStyle w:val="TableColumnHeadingLeft"/>
              <w:rPr>
                <w:rFonts w:ascii="Arial" w:hAnsi="Arial" w:cs="Arial"/>
                <w:bCs/>
                <w:szCs w:val="16"/>
              </w:rPr>
            </w:pPr>
            <w:r w:rsidRPr="00CD5D94">
              <w:rPr>
                <w:rFonts w:ascii="Arial" w:hAnsi="Arial" w:cs="Arial"/>
                <w:szCs w:val="16"/>
              </w:rPr>
              <w:t>Outcome 2</w:t>
            </w:r>
            <w:r w:rsidRPr="00CD5D94">
              <w:rPr>
                <w:rFonts w:ascii="Arial" w:hAnsi="Arial" w:cs="Arial"/>
                <w:bCs/>
                <w:szCs w:val="16"/>
              </w:rPr>
              <w:t xml:space="preserve"> </w:t>
            </w:r>
            <w:r w:rsidRPr="00CD5D94">
              <w:rPr>
                <w:rFonts w:ascii="Arial" w:hAnsi="Arial" w:cs="Arial"/>
                <w:szCs w:val="16"/>
              </w:rPr>
              <w:t>– The protection and welfare of Australians abroad and access to secure international travel documentation through timely and responsive travel advice and consular and passport services in Australia and overseas.</w:t>
            </w:r>
          </w:p>
        </w:tc>
      </w:tr>
      <w:tr w:rsidR="00CD5D94" w:rsidRPr="00CD5D94" w14:paraId="0000250A" w14:textId="77777777" w:rsidTr="00CD5D94">
        <w:trPr>
          <w:cantSplit/>
          <w:trHeight w:val="522"/>
          <w:tblHeader/>
        </w:trPr>
        <w:tc>
          <w:tcPr>
            <w:tcW w:w="7700" w:type="dxa"/>
            <w:gridSpan w:val="3"/>
            <w:shd w:val="clear" w:color="auto" w:fill="F2F2F2"/>
          </w:tcPr>
          <w:p w14:paraId="79EC798E" w14:textId="77777777" w:rsidR="00172EB5" w:rsidRPr="00CD5D94" w:rsidRDefault="00172EB5" w:rsidP="00C375FE">
            <w:pPr>
              <w:pStyle w:val="TableTextLeft"/>
              <w:rPr>
                <w:rFonts w:cs="Arial"/>
                <w:szCs w:val="16"/>
              </w:rPr>
            </w:pPr>
            <w:r w:rsidRPr="00CD5D94">
              <w:rPr>
                <w:rFonts w:cs="Arial"/>
                <w:b/>
                <w:szCs w:val="16"/>
              </w:rPr>
              <w:t>Program 2.1 –</w:t>
            </w:r>
            <w:r w:rsidRPr="00CD5D94">
              <w:rPr>
                <w:rFonts w:cs="Arial"/>
                <w:bCs/>
                <w:szCs w:val="16"/>
              </w:rPr>
              <w:t xml:space="preserve"> </w:t>
            </w:r>
            <w:r w:rsidRPr="00CD5D94">
              <w:rPr>
                <w:rFonts w:eastAsia="Arial" w:cs="Arial"/>
                <w:b/>
                <w:bCs/>
                <w:szCs w:val="16"/>
              </w:rPr>
              <w:t>Consular Services</w:t>
            </w:r>
            <w:r w:rsidRPr="00CD5D94">
              <w:rPr>
                <w:rFonts w:eastAsia="Arial" w:cs="Arial"/>
                <w:szCs w:val="16"/>
              </w:rPr>
              <w:t xml:space="preserve"> assist Australian travellers and Australians overseas through the provision of consular support services, including timely travel advice and contingency planning for crisis response.</w:t>
            </w:r>
          </w:p>
        </w:tc>
      </w:tr>
      <w:tr w:rsidR="00CD5D94" w:rsidRPr="00CD5D94" w14:paraId="7ABA0E3F" w14:textId="77777777" w:rsidTr="00CD5D94">
        <w:trPr>
          <w:cantSplit/>
          <w:trHeight w:val="261"/>
        </w:trPr>
        <w:tc>
          <w:tcPr>
            <w:tcW w:w="1546" w:type="dxa"/>
            <w:tcBorders>
              <w:bottom w:val="double" w:sz="4" w:space="0" w:color="auto"/>
            </w:tcBorders>
          </w:tcPr>
          <w:p w14:paraId="2099AC34" w14:textId="77777777" w:rsidR="00172EB5" w:rsidRPr="00CD5D94" w:rsidRDefault="00172EB5" w:rsidP="00C375FE">
            <w:pPr>
              <w:pStyle w:val="TableColumnHeadingLeft"/>
              <w:rPr>
                <w:rFonts w:ascii="Arial" w:hAnsi="Arial" w:cs="Arial"/>
                <w:szCs w:val="16"/>
              </w:rPr>
            </w:pPr>
            <w:r w:rsidRPr="00CD5D94">
              <w:rPr>
                <w:rFonts w:ascii="Arial" w:hAnsi="Arial" w:cs="Arial"/>
                <w:szCs w:val="16"/>
              </w:rPr>
              <w:t xml:space="preserve">Key activities </w:t>
            </w:r>
          </w:p>
        </w:tc>
        <w:tc>
          <w:tcPr>
            <w:tcW w:w="6154" w:type="dxa"/>
            <w:gridSpan w:val="2"/>
            <w:tcBorders>
              <w:bottom w:val="double" w:sz="4" w:space="0" w:color="auto"/>
            </w:tcBorders>
          </w:tcPr>
          <w:p w14:paraId="427009E1" w14:textId="77777777" w:rsidR="00172EB5" w:rsidRPr="00CD5D94" w:rsidRDefault="00172EB5" w:rsidP="00C375FE">
            <w:pPr>
              <w:pStyle w:val="TableTextLeft"/>
              <w:rPr>
                <w:rFonts w:cs="Arial"/>
                <w:szCs w:val="16"/>
              </w:rPr>
            </w:pPr>
            <w:r w:rsidRPr="00CD5D94">
              <w:rPr>
                <w:rFonts w:cs="Arial"/>
                <w:szCs w:val="16"/>
              </w:rPr>
              <w:t>Key activities reported in the Corporate Plan 2025–26 that relate to this program.</w:t>
            </w:r>
          </w:p>
          <w:p w14:paraId="5F37CCD6" w14:textId="77777777" w:rsidR="00172EB5" w:rsidRPr="00CD5D94" w:rsidRDefault="00172EB5" w:rsidP="00172EB5">
            <w:pPr>
              <w:pStyle w:val="TableTextLeft"/>
              <w:numPr>
                <w:ilvl w:val="0"/>
                <w:numId w:val="48"/>
              </w:numPr>
              <w:rPr>
                <w:rFonts w:cs="Arial"/>
                <w:szCs w:val="16"/>
              </w:rPr>
            </w:pPr>
            <w:r w:rsidRPr="00CD5D94">
              <w:rPr>
                <w:rFonts w:cs="Arial"/>
                <w:szCs w:val="16"/>
              </w:rPr>
              <w:t>Deliver consular services.</w:t>
            </w:r>
          </w:p>
        </w:tc>
      </w:tr>
      <w:tr w:rsidR="00CD5D94" w:rsidRPr="00CD5D94" w14:paraId="1C92BC3A" w14:textId="77777777" w:rsidTr="00CD5D94">
        <w:trPr>
          <w:cantSplit/>
          <w:trHeight w:val="258"/>
        </w:trPr>
        <w:tc>
          <w:tcPr>
            <w:tcW w:w="1546" w:type="dxa"/>
            <w:tcBorders>
              <w:top w:val="double" w:sz="4" w:space="0" w:color="auto"/>
              <w:bottom w:val="single" w:sz="4" w:space="0" w:color="auto"/>
              <w:right w:val="single" w:sz="4" w:space="0" w:color="auto"/>
            </w:tcBorders>
          </w:tcPr>
          <w:p w14:paraId="4EC1854A" w14:textId="77777777" w:rsidR="00172EB5" w:rsidRPr="00CD5D94" w:rsidRDefault="00172EB5" w:rsidP="00C375FE">
            <w:pPr>
              <w:pStyle w:val="TableColumnHeadingLeft"/>
              <w:rPr>
                <w:rFonts w:ascii="Arial" w:hAnsi="Arial" w:cs="Arial"/>
                <w:szCs w:val="16"/>
              </w:rPr>
            </w:pPr>
            <w:r w:rsidRPr="00CD5D94">
              <w:rPr>
                <w:rFonts w:ascii="Arial" w:hAnsi="Arial" w:cs="Arial"/>
                <w:szCs w:val="16"/>
              </w:rPr>
              <w:t>Year</w:t>
            </w:r>
          </w:p>
        </w:tc>
        <w:tc>
          <w:tcPr>
            <w:tcW w:w="3077" w:type="dxa"/>
            <w:tcBorders>
              <w:top w:val="double" w:sz="4" w:space="0" w:color="auto"/>
              <w:left w:val="single" w:sz="4" w:space="0" w:color="auto"/>
              <w:bottom w:val="single" w:sz="4" w:space="0" w:color="auto"/>
              <w:right w:val="single" w:sz="4" w:space="0" w:color="auto"/>
            </w:tcBorders>
          </w:tcPr>
          <w:p w14:paraId="71235234" w14:textId="77777777" w:rsidR="00172EB5" w:rsidRPr="00CD5D94" w:rsidRDefault="00172EB5" w:rsidP="00C375FE">
            <w:pPr>
              <w:pStyle w:val="TableColumnHeadingLeft"/>
              <w:rPr>
                <w:rFonts w:ascii="Arial" w:hAnsi="Arial" w:cs="Arial"/>
                <w:szCs w:val="16"/>
              </w:rPr>
            </w:pPr>
            <w:r w:rsidRPr="00CD5D94">
              <w:rPr>
                <w:rFonts w:ascii="Arial" w:hAnsi="Arial" w:cs="Arial"/>
                <w:szCs w:val="16"/>
              </w:rPr>
              <w:t>Performance measures</w:t>
            </w:r>
          </w:p>
        </w:tc>
        <w:tc>
          <w:tcPr>
            <w:tcW w:w="3077" w:type="dxa"/>
            <w:tcBorders>
              <w:top w:val="double" w:sz="4" w:space="0" w:color="auto"/>
              <w:left w:val="single" w:sz="4" w:space="0" w:color="auto"/>
              <w:bottom w:val="single" w:sz="4" w:space="0" w:color="auto"/>
            </w:tcBorders>
          </w:tcPr>
          <w:p w14:paraId="73158B6D" w14:textId="77777777" w:rsidR="00172EB5" w:rsidRPr="00CD5D94" w:rsidRDefault="00172EB5" w:rsidP="00C375FE">
            <w:pPr>
              <w:pStyle w:val="TableColumnHeadingLeft"/>
              <w:rPr>
                <w:rFonts w:ascii="Arial" w:hAnsi="Arial" w:cs="Arial"/>
                <w:szCs w:val="16"/>
              </w:rPr>
            </w:pPr>
            <w:r w:rsidRPr="00CD5D94">
              <w:rPr>
                <w:rFonts w:ascii="Arial" w:hAnsi="Arial" w:cs="Arial"/>
                <w:szCs w:val="16"/>
              </w:rPr>
              <w:t>Expected performance results</w:t>
            </w:r>
          </w:p>
        </w:tc>
      </w:tr>
      <w:tr w:rsidR="00CD5D94" w:rsidRPr="00CD5D94" w14:paraId="7272E6E1" w14:textId="77777777" w:rsidTr="00CD5D94">
        <w:trPr>
          <w:cantSplit/>
          <w:trHeight w:val="5809"/>
        </w:trPr>
        <w:tc>
          <w:tcPr>
            <w:tcW w:w="1546" w:type="dxa"/>
            <w:tcBorders>
              <w:top w:val="single" w:sz="4" w:space="0" w:color="auto"/>
              <w:bottom w:val="single" w:sz="4" w:space="0" w:color="auto"/>
              <w:right w:val="single" w:sz="4" w:space="0" w:color="auto"/>
            </w:tcBorders>
          </w:tcPr>
          <w:p w14:paraId="444BB8A3" w14:textId="77777777" w:rsidR="00172EB5" w:rsidRPr="00CD5D94" w:rsidRDefault="00172EB5" w:rsidP="00C375FE">
            <w:pPr>
              <w:pStyle w:val="TableTextLeft"/>
              <w:rPr>
                <w:rFonts w:cs="Arial"/>
                <w:szCs w:val="16"/>
              </w:rPr>
            </w:pPr>
            <w:r w:rsidRPr="00CD5D94">
              <w:rPr>
                <w:rFonts w:cs="Arial"/>
                <w:szCs w:val="16"/>
              </w:rPr>
              <w:t xml:space="preserve">Current Year </w:t>
            </w:r>
          </w:p>
          <w:p w14:paraId="27F72E91" w14:textId="77777777" w:rsidR="00172EB5" w:rsidRPr="00CD5D94" w:rsidRDefault="00172EB5" w:rsidP="00C375FE">
            <w:pPr>
              <w:pStyle w:val="TableTextLeft"/>
              <w:rPr>
                <w:rFonts w:cs="Arial"/>
                <w:szCs w:val="16"/>
              </w:rPr>
            </w:pPr>
            <w:r w:rsidRPr="00CD5D94">
              <w:rPr>
                <w:rFonts w:cs="Arial"/>
                <w:szCs w:val="16"/>
              </w:rPr>
              <w:t>2025–26</w:t>
            </w:r>
          </w:p>
        </w:tc>
        <w:tc>
          <w:tcPr>
            <w:tcW w:w="3077" w:type="dxa"/>
            <w:tcBorders>
              <w:top w:val="single" w:sz="4" w:space="0" w:color="auto"/>
              <w:left w:val="single" w:sz="4" w:space="0" w:color="auto"/>
              <w:bottom w:val="single" w:sz="4" w:space="0" w:color="auto"/>
              <w:right w:val="single" w:sz="4" w:space="0" w:color="auto"/>
            </w:tcBorders>
          </w:tcPr>
          <w:p w14:paraId="50C232FD" w14:textId="77777777" w:rsidR="00172EB5" w:rsidRPr="00CD5D94" w:rsidRDefault="00172EB5" w:rsidP="00C375FE">
            <w:pPr>
              <w:pStyle w:val="TableTextLeft"/>
              <w:rPr>
                <w:rFonts w:cs="Arial"/>
                <w:szCs w:val="16"/>
              </w:rPr>
            </w:pPr>
            <w:r w:rsidRPr="00CD5D94">
              <w:rPr>
                <w:rFonts w:cs="Arial"/>
                <w:szCs w:val="16"/>
              </w:rPr>
              <w:t>Australians have access to consular information and services, including in times of crisis.</w:t>
            </w:r>
          </w:p>
          <w:p w14:paraId="452AE43C" w14:textId="77777777" w:rsidR="00172EB5" w:rsidRPr="00CD5D94" w:rsidRDefault="00172EB5" w:rsidP="00C375FE">
            <w:pPr>
              <w:pStyle w:val="TableTextLeft"/>
              <w:rPr>
                <w:rFonts w:cs="Arial"/>
                <w:szCs w:val="16"/>
              </w:rPr>
            </w:pPr>
          </w:p>
          <w:p w14:paraId="1982A0D9" w14:textId="77777777" w:rsidR="00172EB5" w:rsidRPr="00CD5D94" w:rsidRDefault="00172EB5" w:rsidP="00C375FE">
            <w:pPr>
              <w:pStyle w:val="TableTextLeft"/>
              <w:rPr>
                <w:rFonts w:cs="Arial"/>
                <w:szCs w:val="16"/>
              </w:rPr>
            </w:pPr>
          </w:p>
        </w:tc>
        <w:tc>
          <w:tcPr>
            <w:tcW w:w="3077" w:type="dxa"/>
            <w:tcBorders>
              <w:top w:val="single" w:sz="4" w:space="0" w:color="auto"/>
              <w:left w:val="single" w:sz="4" w:space="0" w:color="auto"/>
              <w:bottom w:val="single" w:sz="4" w:space="0" w:color="auto"/>
            </w:tcBorders>
          </w:tcPr>
          <w:p w14:paraId="43617082" w14:textId="02FC4183" w:rsidR="00172EB5" w:rsidRPr="00CD5D94" w:rsidRDefault="00172EB5" w:rsidP="00C375FE">
            <w:pPr>
              <w:spacing w:before="0" w:after="20" w:line="240" w:lineRule="auto"/>
              <w:rPr>
                <w:rFonts w:ascii="Arial" w:hAnsi="Arial" w:cs="Arial"/>
                <w:sz w:val="16"/>
                <w:szCs w:val="16"/>
              </w:rPr>
            </w:pPr>
            <w:r w:rsidRPr="00CD5D94">
              <w:rPr>
                <w:rFonts w:ascii="Arial" w:hAnsi="Arial" w:cs="Arial"/>
                <w:b/>
                <w:bCs/>
                <w:sz w:val="16"/>
                <w:szCs w:val="16"/>
              </w:rPr>
              <w:t>Target 1:</w:t>
            </w:r>
            <w:r w:rsidRPr="00CD5D94">
              <w:rPr>
                <w:rFonts w:ascii="Arial" w:hAnsi="Arial" w:cs="Arial"/>
                <w:sz w:val="16"/>
                <w:szCs w:val="16"/>
              </w:rPr>
              <w:t xml:space="preserve"> 100% of destination specific travel advisories reviewed biannually for posts in a volatile risk environment and where there are elevated Australian interests. 100% of destination specific travel advisories reviewed annually for all other posts.</w:t>
            </w:r>
            <w:r w:rsidR="00535C4E" w:rsidRPr="00535C4E">
              <w:rPr>
                <w:rFonts w:ascii="Arial" w:hAnsi="Arial" w:cs="Arial"/>
                <w:sz w:val="16"/>
                <w:szCs w:val="16"/>
                <w:vertAlign w:val="superscript"/>
              </w:rPr>
              <w:t>1</w:t>
            </w:r>
          </w:p>
          <w:p w14:paraId="0C26169A" w14:textId="77777777" w:rsidR="00172EB5" w:rsidRPr="00CD5D94" w:rsidRDefault="00172EB5" w:rsidP="00C375FE">
            <w:pPr>
              <w:spacing w:before="0" w:after="20" w:line="240" w:lineRule="auto"/>
              <w:rPr>
                <w:rFonts w:ascii="Arial" w:hAnsi="Arial" w:cs="Arial"/>
                <w:sz w:val="16"/>
                <w:szCs w:val="16"/>
              </w:rPr>
            </w:pPr>
          </w:p>
          <w:p w14:paraId="2C3DD096" w14:textId="77777777" w:rsidR="00172EB5" w:rsidRPr="00CD5D94" w:rsidRDefault="00172EB5" w:rsidP="00C375FE">
            <w:pPr>
              <w:spacing w:before="0" w:after="20" w:line="240" w:lineRule="auto"/>
              <w:rPr>
                <w:rFonts w:ascii="Arial" w:hAnsi="Arial" w:cs="Arial"/>
                <w:sz w:val="16"/>
                <w:szCs w:val="16"/>
              </w:rPr>
            </w:pPr>
            <w:r w:rsidRPr="00CD5D94">
              <w:rPr>
                <w:rFonts w:ascii="Arial" w:hAnsi="Arial" w:cs="Arial"/>
                <w:b/>
                <w:bCs/>
                <w:sz w:val="16"/>
                <w:szCs w:val="16"/>
              </w:rPr>
              <w:t>The target is on track</w:t>
            </w:r>
            <w:r w:rsidRPr="00CD5D94">
              <w:rPr>
                <w:rFonts w:ascii="Arial" w:hAnsi="Arial" w:cs="Arial"/>
                <w:sz w:val="16"/>
                <w:szCs w:val="16"/>
              </w:rPr>
              <w:t>. From 1 July to 31 December 2025, all scheduled reviews were completed on time. Combined with ad hoc reviews, 141 of 178 (79%) of travel advisories were reviewed and updated. The remaining destinations are expected to be reviewed and updated in accordance with the annual schedule.</w:t>
            </w:r>
          </w:p>
          <w:p w14:paraId="5A77DEA3" w14:textId="77777777" w:rsidR="00172EB5" w:rsidRPr="00CD5D94" w:rsidRDefault="00172EB5" w:rsidP="00C375FE">
            <w:pPr>
              <w:spacing w:before="0" w:after="20" w:line="240" w:lineRule="auto"/>
              <w:rPr>
                <w:rFonts w:ascii="Arial" w:hAnsi="Arial" w:cs="Arial"/>
                <w:b/>
                <w:bCs/>
                <w:sz w:val="16"/>
                <w:szCs w:val="16"/>
              </w:rPr>
            </w:pPr>
          </w:p>
          <w:p w14:paraId="43A4EC61" w14:textId="2FA2ADD9" w:rsidR="00172EB5" w:rsidRDefault="00172EB5" w:rsidP="00C375FE">
            <w:pPr>
              <w:spacing w:before="0" w:after="20" w:line="240" w:lineRule="auto"/>
              <w:rPr>
                <w:rFonts w:ascii="Arial" w:hAnsi="Arial" w:cs="Arial"/>
                <w:sz w:val="16"/>
                <w:szCs w:val="16"/>
                <w:vertAlign w:val="superscript"/>
              </w:rPr>
            </w:pPr>
            <w:r w:rsidRPr="00CD5D94">
              <w:rPr>
                <w:rFonts w:ascii="Arial" w:hAnsi="Arial" w:cs="Arial"/>
                <w:b/>
                <w:bCs/>
                <w:sz w:val="16"/>
                <w:szCs w:val="16"/>
              </w:rPr>
              <w:t>Target 2</w:t>
            </w:r>
            <w:r w:rsidRPr="00CD5D94">
              <w:rPr>
                <w:rFonts w:ascii="Arial" w:hAnsi="Arial" w:cs="Arial"/>
                <w:sz w:val="16"/>
                <w:szCs w:val="16"/>
              </w:rPr>
              <w:t>: 100% of posts certify annually that crisis and contingency planning is in place for all locations of accreditation.</w:t>
            </w:r>
            <w:r w:rsidR="00535C4E" w:rsidRPr="00535C4E">
              <w:rPr>
                <w:rFonts w:ascii="Arial" w:hAnsi="Arial" w:cs="Arial"/>
                <w:sz w:val="16"/>
                <w:szCs w:val="16"/>
                <w:vertAlign w:val="superscript"/>
              </w:rPr>
              <w:t>2</w:t>
            </w:r>
          </w:p>
          <w:p w14:paraId="27D319C7" w14:textId="77777777" w:rsidR="000B3435" w:rsidRPr="00CD5D94" w:rsidRDefault="000B3435" w:rsidP="00C375FE">
            <w:pPr>
              <w:spacing w:before="0" w:after="20" w:line="240" w:lineRule="auto"/>
              <w:rPr>
                <w:rFonts w:ascii="Arial" w:hAnsi="Arial" w:cs="Arial"/>
                <w:sz w:val="16"/>
                <w:szCs w:val="16"/>
              </w:rPr>
            </w:pPr>
          </w:p>
          <w:p w14:paraId="290D24EC" w14:textId="77777777" w:rsidR="00172EB5" w:rsidRPr="00CD5D94" w:rsidRDefault="00172EB5" w:rsidP="00C375FE">
            <w:pPr>
              <w:spacing w:before="0" w:after="20" w:line="240" w:lineRule="auto"/>
              <w:rPr>
                <w:rFonts w:ascii="Arial" w:hAnsi="Arial" w:cs="Arial"/>
                <w:sz w:val="16"/>
                <w:szCs w:val="16"/>
              </w:rPr>
            </w:pPr>
            <w:r w:rsidRPr="00CD5D94">
              <w:rPr>
                <w:rFonts w:ascii="Arial" w:hAnsi="Arial" w:cs="Arial"/>
                <w:sz w:val="16"/>
                <w:szCs w:val="16"/>
              </w:rPr>
              <w:t xml:space="preserve">Certification of crisis and contingency plans are due by 30 June each year, meaning full data is only available at the end of the reporting period. The results will be reported in the Performance Statements 2025–26. </w:t>
            </w:r>
          </w:p>
          <w:p w14:paraId="784E49D9" w14:textId="77777777" w:rsidR="00172EB5" w:rsidRPr="00CD5D94" w:rsidRDefault="00172EB5" w:rsidP="00C375FE">
            <w:pPr>
              <w:spacing w:before="0" w:after="20" w:line="240" w:lineRule="auto"/>
              <w:rPr>
                <w:rFonts w:ascii="Arial" w:hAnsi="Arial" w:cs="Arial"/>
                <w:sz w:val="16"/>
                <w:szCs w:val="16"/>
                <w:lang w:val="en-GB"/>
              </w:rPr>
            </w:pPr>
          </w:p>
          <w:p w14:paraId="6E73FB0C" w14:textId="77777777" w:rsidR="00172EB5" w:rsidRPr="00CD5D94" w:rsidRDefault="00172EB5" w:rsidP="000B3435">
            <w:pPr>
              <w:pStyle w:val="TableTextLeft"/>
              <w:spacing w:before="0" w:after="120"/>
              <w:rPr>
                <w:rFonts w:cs="Arial"/>
                <w:szCs w:val="16"/>
              </w:rPr>
            </w:pPr>
            <w:r w:rsidRPr="00CD5D94">
              <w:rPr>
                <w:rFonts w:cs="Arial"/>
                <w:b/>
                <w:bCs/>
                <w:szCs w:val="16"/>
              </w:rPr>
              <w:t>Performance measure</w:t>
            </w:r>
            <w:r w:rsidRPr="00CD5D94">
              <w:rPr>
                <w:rFonts w:cs="Arial"/>
                <w:szCs w:val="16"/>
              </w:rPr>
              <w:t>: The performance result will be reported in the Performance Statements 2025–26.</w:t>
            </w:r>
          </w:p>
        </w:tc>
      </w:tr>
    </w:tbl>
    <w:p w14:paraId="4EA142A1" w14:textId="158E6BED" w:rsidR="00CD5D94" w:rsidRDefault="00CD5D94" w:rsidP="00CD5D94">
      <w:pPr>
        <w:pStyle w:val="TableGraphic"/>
        <w:rPr>
          <w:rFonts w:ascii="Arial" w:hAnsi="Arial" w:cs="Arial"/>
          <w:noProof/>
          <w:sz w:val="16"/>
          <w:szCs w:val="16"/>
        </w:rPr>
      </w:pPr>
      <w:r w:rsidRPr="00824706">
        <w:rPr>
          <w:rFonts w:ascii="Arial" w:hAnsi="Arial" w:cs="Arial"/>
          <w:noProof/>
          <w:sz w:val="16"/>
          <w:szCs w:val="16"/>
        </w:rPr>
        <w:t>Table continued on the next page.</w:t>
      </w:r>
    </w:p>
    <w:p w14:paraId="13CF135B" w14:textId="77777777" w:rsidR="00CD5D94" w:rsidRDefault="00CD5D94">
      <w:pPr>
        <w:spacing w:before="0" w:after="0" w:line="240" w:lineRule="auto"/>
        <w:rPr>
          <w:rFonts w:ascii="Arial" w:hAnsi="Arial" w:cs="Arial"/>
          <w:noProof/>
          <w:sz w:val="16"/>
          <w:szCs w:val="16"/>
        </w:rPr>
      </w:pPr>
      <w:r>
        <w:rPr>
          <w:rFonts w:ascii="Arial" w:hAnsi="Arial" w:cs="Arial"/>
          <w:noProof/>
          <w:sz w:val="16"/>
          <w:szCs w:val="16"/>
        </w:rPr>
        <w:br w:type="page"/>
      </w:r>
    </w:p>
    <w:p w14:paraId="255364A1" w14:textId="324B330F" w:rsidR="00CD5D94" w:rsidRDefault="00CD5D94" w:rsidP="00CD5D94">
      <w:pPr>
        <w:pStyle w:val="TableHeading"/>
      </w:pPr>
      <w:r w:rsidRPr="00E6464E">
        <w:lastRenderedPageBreak/>
        <w:t>Table 2.</w:t>
      </w:r>
      <w:r>
        <w:t>2</w:t>
      </w:r>
      <w:r w:rsidRPr="00E6464E">
        <w:t>.</w:t>
      </w:r>
      <w:r>
        <w:t>2</w:t>
      </w:r>
      <w:r w:rsidRPr="00E6464E">
        <w:t xml:space="preserve">: Performance measures for Outcome </w:t>
      </w:r>
      <w:r>
        <w:t>2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CD5D94" w:rsidRPr="00CD5D94" w14:paraId="4ED2FAF5" w14:textId="77777777">
        <w:trPr>
          <w:cantSplit/>
          <w:trHeight w:val="261"/>
          <w:tblHeader/>
        </w:trPr>
        <w:tc>
          <w:tcPr>
            <w:tcW w:w="7700" w:type="dxa"/>
            <w:gridSpan w:val="3"/>
            <w:shd w:val="clear" w:color="auto" w:fill="F2F2F2"/>
          </w:tcPr>
          <w:p w14:paraId="40D1E1DF" w14:textId="77777777" w:rsidR="00CD5D94" w:rsidRPr="00CD5D94" w:rsidRDefault="00CD5D94" w:rsidP="00C375FE">
            <w:pPr>
              <w:pStyle w:val="TableColumnHeadingLeft"/>
              <w:rPr>
                <w:rFonts w:ascii="Arial" w:hAnsi="Arial" w:cs="Arial"/>
                <w:bCs/>
                <w:szCs w:val="16"/>
              </w:rPr>
            </w:pPr>
            <w:r w:rsidRPr="00CD5D94">
              <w:rPr>
                <w:rFonts w:ascii="Arial" w:hAnsi="Arial" w:cs="Arial"/>
                <w:szCs w:val="16"/>
              </w:rPr>
              <w:t>Outcome 2</w:t>
            </w:r>
            <w:r w:rsidRPr="00CD5D94">
              <w:rPr>
                <w:rFonts w:ascii="Arial" w:hAnsi="Arial" w:cs="Arial"/>
                <w:bCs/>
                <w:szCs w:val="16"/>
              </w:rPr>
              <w:t xml:space="preserve"> </w:t>
            </w:r>
            <w:r w:rsidRPr="00CD5D94">
              <w:rPr>
                <w:rFonts w:ascii="Arial" w:hAnsi="Arial" w:cs="Arial"/>
                <w:szCs w:val="16"/>
              </w:rPr>
              <w:t>– The protection and welfare of Australians abroad and access to secure international travel documentation through timely and responsive travel advice and consular and passport services in Australia and overseas.</w:t>
            </w:r>
          </w:p>
        </w:tc>
      </w:tr>
      <w:tr w:rsidR="00CD5D94" w:rsidRPr="00CD5D94" w14:paraId="0436E51A" w14:textId="77777777">
        <w:trPr>
          <w:cantSplit/>
          <w:trHeight w:val="522"/>
          <w:tblHeader/>
        </w:trPr>
        <w:tc>
          <w:tcPr>
            <w:tcW w:w="7700" w:type="dxa"/>
            <w:gridSpan w:val="3"/>
            <w:shd w:val="clear" w:color="auto" w:fill="F2F2F2"/>
          </w:tcPr>
          <w:p w14:paraId="0EF265C5" w14:textId="77777777" w:rsidR="00CD5D94" w:rsidRPr="00CD5D94" w:rsidRDefault="00CD5D94" w:rsidP="00C375FE">
            <w:pPr>
              <w:pStyle w:val="TableTextLeft"/>
              <w:rPr>
                <w:rFonts w:cs="Arial"/>
                <w:szCs w:val="16"/>
              </w:rPr>
            </w:pPr>
            <w:r w:rsidRPr="00CD5D94">
              <w:rPr>
                <w:rFonts w:cs="Arial"/>
                <w:b/>
                <w:szCs w:val="16"/>
              </w:rPr>
              <w:t>Program 2.1 –</w:t>
            </w:r>
            <w:r w:rsidRPr="00CD5D94">
              <w:rPr>
                <w:rFonts w:cs="Arial"/>
                <w:bCs/>
                <w:szCs w:val="16"/>
              </w:rPr>
              <w:t xml:space="preserve"> </w:t>
            </w:r>
            <w:r w:rsidRPr="00CD5D94">
              <w:rPr>
                <w:rFonts w:eastAsia="Arial" w:cs="Arial"/>
                <w:b/>
                <w:bCs/>
                <w:szCs w:val="16"/>
              </w:rPr>
              <w:t>Consular Services</w:t>
            </w:r>
            <w:r w:rsidRPr="00CD5D94">
              <w:rPr>
                <w:rFonts w:eastAsia="Arial" w:cs="Arial"/>
                <w:szCs w:val="16"/>
              </w:rPr>
              <w:t xml:space="preserve"> assist Australian travellers and Australians overseas through the provision of consular support services, including timely travel advice and contingency planning for crisis response.</w:t>
            </w:r>
          </w:p>
        </w:tc>
      </w:tr>
      <w:tr w:rsidR="00CD5D94" w:rsidRPr="00CD5D94" w14:paraId="2814BF57" w14:textId="77777777" w:rsidTr="00CD5D94">
        <w:trPr>
          <w:cantSplit/>
          <w:trHeight w:val="100"/>
        </w:trPr>
        <w:tc>
          <w:tcPr>
            <w:tcW w:w="1546" w:type="dxa"/>
            <w:tcBorders>
              <w:top w:val="single" w:sz="4" w:space="0" w:color="auto"/>
              <w:bottom w:val="dotted" w:sz="4" w:space="0" w:color="auto"/>
              <w:right w:val="single" w:sz="4" w:space="0" w:color="auto"/>
            </w:tcBorders>
          </w:tcPr>
          <w:p w14:paraId="34F34454" w14:textId="77777777" w:rsidR="00CD5D94" w:rsidRPr="00CD5D94" w:rsidRDefault="00CD5D94" w:rsidP="00C375FE">
            <w:pPr>
              <w:pStyle w:val="TableColumnHeadingLeft"/>
              <w:rPr>
                <w:rFonts w:ascii="Arial" w:hAnsi="Arial" w:cs="Arial"/>
              </w:rPr>
            </w:pPr>
            <w:r w:rsidRPr="00CD5D94">
              <w:rPr>
                <w:rFonts w:ascii="Arial" w:hAnsi="Arial" w:cs="Arial"/>
              </w:rPr>
              <w:t>Year</w:t>
            </w:r>
          </w:p>
        </w:tc>
        <w:tc>
          <w:tcPr>
            <w:tcW w:w="3077" w:type="dxa"/>
            <w:tcBorders>
              <w:top w:val="single" w:sz="4" w:space="0" w:color="auto"/>
              <w:left w:val="single" w:sz="4" w:space="0" w:color="auto"/>
              <w:bottom w:val="dotted" w:sz="4" w:space="0" w:color="auto"/>
              <w:right w:val="single" w:sz="4" w:space="0" w:color="auto"/>
            </w:tcBorders>
          </w:tcPr>
          <w:p w14:paraId="73910A5A" w14:textId="77777777" w:rsidR="00CD5D94" w:rsidRPr="00CD5D94" w:rsidRDefault="00CD5D94" w:rsidP="00C375FE">
            <w:pPr>
              <w:pStyle w:val="TableColumnHeadingLeft"/>
              <w:rPr>
                <w:rFonts w:ascii="Arial" w:hAnsi="Arial" w:cs="Arial"/>
              </w:rPr>
            </w:pPr>
            <w:r w:rsidRPr="00CD5D94">
              <w:rPr>
                <w:rFonts w:ascii="Arial" w:hAnsi="Arial" w:cs="Arial"/>
              </w:rPr>
              <w:t xml:space="preserve">Performance measures </w:t>
            </w:r>
          </w:p>
        </w:tc>
        <w:tc>
          <w:tcPr>
            <w:tcW w:w="3077" w:type="dxa"/>
            <w:tcBorders>
              <w:top w:val="single" w:sz="4" w:space="0" w:color="auto"/>
              <w:left w:val="single" w:sz="4" w:space="0" w:color="auto"/>
              <w:bottom w:val="dotted" w:sz="4" w:space="0" w:color="auto"/>
            </w:tcBorders>
          </w:tcPr>
          <w:p w14:paraId="1E47159C" w14:textId="77777777" w:rsidR="00CD5D94" w:rsidRPr="00CD5D94" w:rsidRDefault="00CD5D94" w:rsidP="00C375FE">
            <w:pPr>
              <w:pStyle w:val="TableColumnHeadingLeft"/>
              <w:rPr>
                <w:rFonts w:ascii="Arial" w:hAnsi="Arial" w:cs="Arial"/>
              </w:rPr>
            </w:pPr>
            <w:r w:rsidRPr="00CD5D94">
              <w:rPr>
                <w:rFonts w:ascii="Arial" w:hAnsi="Arial" w:cs="Arial"/>
              </w:rPr>
              <w:t>Planned performance results</w:t>
            </w:r>
          </w:p>
        </w:tc>
      </w:tr>
      <w:tr w:rsidR="00CD5D94" w:rsidRPr="00CD5D94" w14:paraId="3A48994B" w14:textId="77777777" w:rsidTr="00CD5D94">
        <w:trPr>
          <w:cantSplit/>
          <w:trHeight w:val="782"/>
        </w:trPr>
        <w:tc>
          <w:tcPr>
            <w:tcW w:w="1546" w:type="dxa"/>
            <w:tcBorders>
              <w:top w:val="single" w:sz="4" w:space="0" w:color="auto"/>
              <w:bottom w:val="dotted" w:sz="4" w:space="0" w:color="auto"/>
              <w:right w:val="single" w:sz="4" w:space="0" w:color="auto"/>
            </w:tcBorders>
          </w:tcPr>
          <w:p w14:paraId="3EFD32E3" w14:textId="77777777" w:rsidR="00CD5D94" w:rsidRPr="00CD5D94" w:rsidRDefault="00CD5D94" w:rsidP="00C375FE">
            <w:pPr>
              <w:pStyle w:val="TableTextLeft"/>
              <w:rPr>
                <w:rFonts w:cs="Arial"/>
              </w:rPr>
            </w:pPr>
            <w:r w:rsidRPr="00CD5D94">
              <w:rPr>
                <w:rFonts w:cs="Arial"/>
              </w:rPr>
              <w:t xml:space="preserve">Budget Year </w:t>
            </w:r>
          </w:p>
          <w:p w14:paraId="129616D8" w14:textId="77777777" w:rsidR="00CD5D94" w:rsidRPr="00CD5D94" w:rsidRDefault="00CD5D94" w:rsidP="00C375FE">
            <w:pPr>
              <w:pStyle w:val="TableTextLeft"/>
              <w:rPr>
                <w:rFonts w:cs="Arial"/>
              </w:rPr>
            </w:pPr>
            <w:r w:rsidRPr="00CD5D94">
              <w:rPr>
                <w:rFonts w:cs="Arial"/>
              </w:rPr>
              <w:t>2026–27</w:t>
            </w:r>
          </w:p>
        </w:tc>
        <w:tc>
          <w:tcPr>
            <w:tcW w:w="3077" w:type="dxa"/>
            <w:tcBorders>
              <w:top w:val="single" w:sz="4" w:space="0" w:color="auto"/>
              <w:left w:val="single" w:sz="4" w:space="0" w:color="auto"/>
              <w:bottom w:val="dotted" w:sz="4" w:space="0" w:color="auto"/>
              <w:right w:val="single" w:sz="4" w:space="0" w:color="auto"/>
            </w:tcBorders>
          </w:tcPr>
          <w:p w14:paraId="22F710EC" w14:textId="77777777" w:rsidR="00CD5D94" w:rsidRPr="00CD5D94" w:rsidRDefault="00CD5D94" w:rsidP="00C375FE">
            <w:pPr>
              <w:pStyle w:val="TableTextLeft"/>
              <w:rPr>
                <w:rFonts w:cs="Arial"/>
              </w:rPr>
            </w:pPr>
            <w:r w:rsidRPr="00CD5D94">
              <w:rPr>
                <w:rFonts w:cs="Arial"/>
              </w:rPr>
              <w:t>Australians have access to consular information and services, including in times of crisis.</w:t>
            </w:r>
          </w:p>
          <w:p w14:paraId="7B50E6E7" w14:textId="77777777" w:rsidR="00CD5D94" w:rsidRPr="00CD5D94" w:rsidRDefault="00CD5D94" w:rsidP="00C375FE">
            <w:pPr>
              <w:pStyle w:val="TableTextLeft"/>
              <w:rPr>
                <w:rFonts w:cs="Arial"/>
              </w:rPr>
            </w:pPr>
          </w:p>
        </w:tc>
        <w:tc>
          <w:tcPr>
            <w:tcW w:w="3077" w:type="dxa"/>
            <w:tcBorders>
              <w:top w:val="single" w:sz="4" w:space="0" w:color="auto"/>
              <w:left w:val="single" w:sz="4" w:space="0" w:color="auto"/>
              <w:bottom w:val="dotted" w:sz="4" w:space="0" w:color="auto"/>
            </w:tcBorders>
          </w:tcPr>
          <w:p w14:paraId="69B71C75" w14:textId="77777777" w:rsidR="00CD5D94" w:rsidRPr="00CD5D94" w:rsidRDefault="00CD5D94" w:rsidP="00C375FE">
            <w:pPr>
              <w:pStyle w:val="TableTextLeft"/>
              <w:spacing w:before="0"/>
              <w:rPr>
                <w:rFonts w:cs="Arial"/>
              </w:rPr>
            </w:pPr>
            <w:r w:rsidRPr="00CD5D94">
              <w:rPr>
                <w:rFonts w:cs="Arial"/>
                <w:b/>
                <w:bCs/>
              </w:rPr>
              <w:t>Target 1</w:t>
            </w:r>
            <w:r w:rsidRPr="00CD5D94">
              <w:rPr>
                <w:rFonts w:cs="Arial"/>
              </w:rPr>
              <w:t xml:space="preserve">: 100% of destination specific travel advisories reviewed biannually for posts in a volatile risk environment and where there are elevated Australian interests. 100% of destination specific travel advisories reviewed annually for all other posts. </w:t>
            </w:r>
          </w:p>
          <w:p w14:paraId="30CBAE1D" w14:textId="77777777" w:rsidR="00CD5D94" w:rsidRPr="00CD5D94" w:rsidRDefault="00CD5D94" w:rsidP="00C375FE">
            <w:pPr>
              <w:pStyle w:val="TableTextLeft"/>
              <w:spacing w:before="0"/>
              <w:rPr>
                <w:rFonts w:cs="Arial"/>
              </w:rPr>
            </w:pPr>
          </w:p>
          <w:p w14:paraId="7E05A99B" w14:textId="510947DC" w:rsidR="00CD5D94" w:rsidRPr="00CD5D94" w:rsidRDefault="00CD5D94" w:rsidP="000B3435">
            <w:pPr>
              <w:pStyle w:val="TableTextLeft"/>
              <w:spacing w:before="0" w:after="120"/>
              <w:rPr>
                <w:rFonts w:cs="Arial"/>
              </w:rPr>
            </w:pPr>
            <w:r w:rsidRPr="00CD5D94">
              <w:rPr>
                <w:rFonts w:cs="Arial"/>
                <w:b/>
                <w:bCs/>
              </w:rPr>
              <w:t>Target 2</w:t>
            </w:r>
            <w:r w:rsidRPr="00CD5D94">
              <w:rPr>
                <w:rFonts w:cs="Arial"/>
              </w:rPr>
              <w:t>: 100% of posts certify annually that crisis and contingency planning is in place for all locations of accreditation.</w:t>
            </w:r>
          </w:p>
        </w:tc>
      </w:tr>
      <w:tr w:rsidR="00CD5D94" w:rsidRPr="00CD5D94" w14:paraId="5C9E240C" w14:textId="77777777" w:rsidTr="00CD5D94">
        <w:trPr>
          <w:cantSplit/>
          <w:trHeight w:val="491"/>
        </w:trPr>
        <w:tc>
          <w:tcPr>
            <w:tcW w:w="1546" w:type="dxa"/>
            <w:tcBorders>
              <w:top w:val="dotted" w:sz="4" w:space="0" w:color="auto"/>
              <w:bottom w:val="dotted" w:sz="4" w:space="0" w:color="auto"/>
              <w:right w:val="single" w:sz="4" w:space="0" w:color="auto"/>
            </w:tcBorders>
          </w:tcPr>
          <w:p w14:paraId="0E2DA100" w14:textId="77777777" w:rsidR="00CD5D94" w:rsidRPr="00CD5D94" w:rsidRDefault="00CD5D94" w:rsidP="00C375FE">
            <w:pPr>
              <w:pStyle w:val="TableTextLeft"/>
              <w:rPr>
                <w:rFonts w:cs="Arial"/>
              </w:rPr>
            </w:pPr>
            <w:r w:rsidRPr="00CD5D94">
              <w:rPr>
                <w:rFonts w:cs="Arial"/>
              </w:rPr>
              <w:t xml:space="preserve">Forward Estimates </w:t>
            </w:r>
          </w:p>
          <w:p w14:paraId="07862CCF" w14:textId="77777777" w:rsidR="00CD5D94" w:rsidRPr="00CD5D94" w:rsidRDefault="00CD5D94" w:rsidP="00C375FE">
            <w:pPr>
              <w:pStyle w:val="TableTextLeft"/>
              <w:rPr>
                <w:rFonts w:cs="Arial"/>
                <w:b/>
              </w:rPr>
            </w:pPr>
            <w:r w:rsidRPr="00CD5D94">
              <w:rPr>
                <w:rFonts w:cs="Arial"/>
              </w:rPr>
              <w:t>2027–30</w:t>
            </w:r>
          </w:p>
        </w:tc>
        <w:tc>
          <w:tcPr>
            <w:tcW w:w="3077" w:type="dxa"/>
            <w:tcBorders>
              <w:top w:val="dotted" w:sz="4" w:space="0" w:color="auto"/>
              <w:left w:val="single" w:sz="4" w:space="0" w:color="auto"/>
              <w:bottom w:val="dotted" w:sz="4" w:space="0" w:color="auto"/>
              <w:right w:val="single" w:sz="4" w:space="0" w:color="auto"/>
            </w:tcBorders>
          </w:tcPr>
          <w:p w14:paraId="4171B054" w14:textId="77777777" w:rsidR="00CD5D94" w:rsidRPr="00CD5D94" w:rsidRDefault="00CD5D94" w:rsidP="00C375FE">
            <w:pPr>
              <w:pStyle w:val="TableTextLeft"/>
              <w:rPr>
                <w:rFonts w:cs="Arial"/>
                <w:b/>
              </w:rPr>
            </w:pPr>
            <w:r w:rsidRPr="00CD5D94">
              <w:rPr>
                <w:rFonts w:cs="Arial"/>
              </w:rPr>
              <w:t>As per 2026–27</w:t>
            </w:r>
          </w:p>
        </w:tc>
        <w:tc>
          <w:tcPr>
            <w:tcW w:w="3077" w:type="dxa"/>
            <w:tcBorders>
              <w:top w:val="dotted" w:sz="4" w:space="0" w:color="auto"/>
              <w:left w:val="single" w:sz="4" w:space="0" w:color="auto"/>
              <w:bottom w:val="dotted" w:sz="4" w:space="0" w:color="auto"/>
            </w:tcBorders>
          </w:tcPr>
          <w:p w14:paraId="41866A05" w14:textId="77777777" w:rsidR="00CD5D94" w:rsidRPr="00CD5D94" w:rsidRDefault="00CD5D94" w:rsidP="00C375FE">
            <w:pPr>
              <w:pStyle w:val="TableTextLeft"/>
              <w:rPr>
                <w:rFonts w:cs="Arial"/>
                <w:b/>
              </w:rPr>
            </w:pPr>
            <w:r w:rsidRPr="00CD5D94">
              <w:rPr>
                <w:rFonts w:cs="Arial"/>
              </w:rPr>
              <w:t>As per 2026–27</w:t>
            </w:r>
          </w:p>
        </w:tc>
      </w:tr>
      <w:tr w:rsidR="00CD5D94" w:rsidRPr="00CD5D94" w14:paraId="71899F88" w14:textId="77777777" w:rsidTr="00CD5D94">
        <w:trPr>
          <w:cantSplit/>
          <w:trHeight w:val="261"/>
        </w:trPr>
        <w:tc>
          <w:tcPr>
            <w:tcW w:w="7700" w:type="dxa"/>
            <w:gridSpan w:val="3"/>
          </w:tcPr>
          <w:p w14:paraId="39D9BF38" w14:textId="77777777" w:rsidR="00CD5D94" w:rsidRPr="00CD5D94" w:rsidRDefault="00CD5D94" w:rsidP="00C375FE">
            <w:pPr>
              <w:pStyle w:val="TableTextLeft"/>
              <w:rPr>
                <w:rFonts w:eastAsia="Cambria" w:cs="Arial"/>
                <w:spacing w:val="-6"/>
              </w:rPr>
            </w:pPr>
            <w:r w:rsidRPr="00CD5D94">
              <w:rPr>
                <w:rFonts w:cs="Arial"/>
              </w:rPr>
              <w:t>Material changes to Program 2.1 resulting from 2026–27 Budget Measures:</w:t>
            </w:r>
            <w:r w:rsidRPr="00CD5D94">
              <w:rPr>
                <w:rFonts w:eastAsia="Cambria" w:cs="Arial"/>
                <w:spacing w:val="-6"/>
                <w:lang w:eastAsia="en-US"/>
              </w:rPr>
              <w:t xml:space="preserve"> Nil</w:t>
            </w:r>
          </w:p>
        </w:tc>
      </w:tr>
    </w:tbl>
    <w:p w14:paraId="4D8CAAF3" w14:textId="6ED8D02F" w:rsidR="00535C4E" w:rsidRDefault="00535C4E" w:rsidP="00F5556B">
      <w:pPr>
        <w:pStyle w:val="TableGraphic"/>
        <w:numPr>
          <w:ilvl w:val="0"/>
          <w:numId w:val="52"/>
        </w:numPr>
        <w:rPr>
          <w:rFonts w:ascii="Arial" w:hAnsi="Arial" w:cs="Arial"/>
          <w:noProof/>
          <w:sz w:val="16"/>
          <w:szCs w:val="16"/>
        </w:rPr>
      </w:pPr>
      <w:r>
        <w:rPr>
          <w:rFonts w:ascii="Arial" w:hAnsi="Arial" w:cs="Arial"/>
          <w:noProof/>
          <w:sz w:val="16"/>
          <w:szCs w:val="16"/>
        </w:rPr>
        <w:t xml:space="preserve">The </w:t>
      </w:r>
      <w:r w:rsidRPr="00535C4E">
        <w:rPr>
          <w:rFonts w:ascii="Arial" w:hAnsi="Arial" w:cs="Arial"/>
          <w:noProof/>
          <w:sz w:val="16"/>
          <w:szCs w:val="16"/>
        </w:rPr>
        <w:t>target language has been amended to clarify the scope of assessment</w:t>
      </w:r>
      <w:r>
        <w:rPr>
          <w:rFonts w:ascii="Arial" w:hAnsi="Arial" w:cs="Arial"/>
          <w:noProof/>
          <w:sz w:val="16"/>
          <w:szCs w:val="16"/>
        </w:rPr>
        <w:t xml:space="preserve">. </w:t>
      </w:r>
    </w:p>
    <w:p w14:paraId="5D620CB5" w14:textId="4435A545" w:rsidR="00CD5D94" w:rsidRDefault="00535C4E" w:rsidP="00F5556B">
      <w:pPr>
        <w:pStyle w:val="TableGraphic"/>
        <w:numPr>
          <w:ilvl w:val="0"/>
          <w:numId w:val="52"/>
        </w:numPr>
        <w:rPr>
          <w:rFonts w:ascii="Arial" w:hAnsi="Arial" w:cs="Arial"/>
          <w:noProof/>
          <w:sz w:val="16"/>
          <w:szCs w:val="16"/>
        </w:rPr>
      </w:pPr>
      <w:r>
        <w:rPr>
          <w:rFonts w:ascii="Arial" w:hAnsi="Arial" w:cs="Arial"/>
          <w:noProof/>
          <w:sz w:val="16"/>
          <w:szCs w:val="16"/>
        </w:rPr>
        <w:t xml:space="preserve">The </w:t>
      </w:r>
      <w:r w:rsidRPr="00535C4E">
        <w:rPr>
          <w:rFonts w:ascii="Arial" w:hAnsi="Arial" w:cs="Arial"/>
          <w:noProof/>
          <w:sz w:val="16"/>
          <w:szCs w:val="16"/>
        </w:rPr>
        <w:t>target was amended to provide more meaningful insight into the department’s crisis preparedness and delivery of consular services</w:t>
      </w:r>
      <w:r>
        <w:rPr>
          <w:rFonts w:ascii="Arial" w:hAnsi="Arial" w:cs="Arial"/>
          <w:noProof/>
          <w:sz w:val="16"/>
          <w:szCs w:val="16"/>
        </w:rPr>
        <w:t xml:space="preserve">. </w:t>
      </w:r>
    </w:p>
    <w:p w14:paraId="79BD60DE" w14:textId="26D66CE2" w:rsidR="00535C4E" w:rsidRDefault="00535C4E">
      <w:pPr>
        <w:spacing w:before="0" w:after="0" w:line="240" w:lineRule="auto"/>
      </w:pPr>
      <w:r>
        <w:br w:type="page"/>
      </w:r>
    </w:p>
    <w:p w14:paraId="6E9E6F76" w14:textId="77777777" w:rsidR="00304D62" w:rsidRDefault="00304D62" w:rsidP="00304D62">
      <w:pPr>
        <w:pStyle w:val="TableHeading"/>
      </w:pPr>
      <w:r w:rsidRPr="00E6464E">
        <w:lastRenderedPageBreak/>
        <w:t>Table 2.</w:t>
      </w:r>
      <w:r>
        <w:t>2</w:t>
      </w:r>
      <w:r w:rsidRPr="00E6464E">
        <w:t>.</w:t>
      </w:r>
      <w:r>
        <w:t>2</w:t>
      </w:r>
      <w:r w:rsidRPr="00E6464E">
        <w:t xml:space="preserve">: Performance measures for Outcome </w:t>
      </w:r>
      <w:r>
        <w:t>2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304D62" w:rsidRPr="00304D62" w14:paraId="625EBCCF" w14:textId="77777777">
        <w:trPr>
          <w:cantSplit/>
          <w:trHeight w:val="261"/>
          <w:tblHeader/>
        </w:trPr>
        <w:tc>
          <w:tcPr>
            <w:tcW w:w="7700" w:type="dxa"/>
            <w:gridSpan w:val="3"/>
            <w:shd w:val="clear" w:color="auto" w:fill="F2F2F2"/>
          </w:tcPr>
          <w:p w14:paraId="314C978D" w14:textId="77777777" w:rsidR="00304D62" w:rsidRPr="00304D62" w:rsidRDefault="00304D62" w:rsidP="00C375FE">
            <w:pPr>
              <w:pStyle w:val="TableColumnHeadingLeft"/>
              <w:rPr>
                <w:rFonts w:ascii="Arial" w:hAnsi="Arial" w:cs="Arial"/>
                <w:bCs/>
                <w:szCs w:val="16"/>
              </w:rPr>
            </w:pPr>
            <w:r w:rsidRPr="00304D62">
              <w:rPr>
                <w:rFonts w:ascii="Arial" w:hAnsi="Arial" w:cs="Arial"/>
                <w:szCs w:val="16"/>
              </w:rPr>
              <w:t>Outcome 2</w:t>
            </w:r>
            <w:r w:rsidRPr="00304D62">
              <w:rPr>
                <w:rFonts w:ascii="Arial" w:hAnsi="Arial" w:cs="Arial"/>
                <w:bCs/>
                <w:szCs w:val="16"/>
              </w:rPr>
              <w:t xml:space="preserve"> </w:t>
            </w:r>
            <w:r w:rsidRPr="00304D62">
              <w:rPr>
                <w:rFonts w:ascii="Arial" w:hAnsi="Arial" w:cs="Arial"/>
                <w:szCs w:val="16"/>
              </w:rPr>
              <w:t>– The protection and welfare of Australians abroad and access to secure international travel documentation through timely and responsive travel advice and consular and passport services in Australia and overseas.</w:t>
            </w:r>
          </w:p>
        </w:tc>
      </w:tr>
      <w:tr w:rsidR="00304D62" w:rsidRPr="00304D62" w14:paraId="71930A48" w14:textId="77777777" w:rsidTr="000B3435">
        <w:trPr>
          <w:cantSplit/>
          <w:trHeight w:val="388"/>
          <w:tblHeader/>
        </w:trPr>
        <w:tc>
          <w:tcPr>
            <w:tcW w:w="7700" w:type="dxa"/>
            <w:gridSpan w:val="3"/>
            <w:shd w:val="clear" w:color="auto" w:fill="F2F2F2"/>
          </w:tcPr>
          <w:p w14:paraId="677E4111"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 xml:space="preserve">Program 2.2 – </w:t>
            </w:r>
            <w:r w:rsidRPr="00304D62">
              <w:rPr>
                <w:rFonts w:ascii="Arial" w:eastAsia="Arial" w:hAnsi="Arial" w:cs="Arial"/>
                <w:szCs w:val="16"/>
              </w:rPr>
              <w:t xml:space="preserve">Passport Services </w:t>
            </w:r>
            <w:r w:rsidRPr="00304D62">
              <w:rPr>
                <w:rFonts w:ascii="Arial" w:eastAsia="Arial" w:hAnsi="Arial" w:cs="Arial"/>
                <w:b w:val="0"/>
                <w:bCs/>
                <w:szCs w:val="16"/>
              </w:rPr>
              <w:t>provide Australians access to secure international travel documentation through the delivery of high-quality passport services.</w:t>
            </w:r>
          </w:p>
        </w:tc>
      </w:tr>
      <w:tr w:rsidR="00304D62" w:rsidRPr="00304D62" w14:paraId="334865A6" w14:textId="77777777">
        <w:trPr>
          <w:cantSplit/>
          <w:trHeight w:val="261"/>
        </w:trPr>
        <w:tc>
          <w:tcPr>
            <w:tcW w:w="1546" w:type="dxa"/>
            <w:tcBorders>
              <w:bottom w:val="double" w:sz="4" w:space="0" w:color="auto"/>
            </w:tcBorders>
          </w:tcPr>
          <w:p w14:paraId="30FE5595"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Key activities</w:t>
            </w:r>
          </w:p>
        </w:tc>
        <w:tc>
          <w:tcPr>
            <w:tcW w:w="6154" w:type="dxa"/>
            <w:gridSpan w:val="2"/>
            <w:tcBorders>
              <w:bottom w:val="double" w:sz="4" w:space="0" w:color="auto"/>
            </w:tcBorders>
          </w:tcPr>
          <w:p w14:paraId="2825FE7C" w14:textId="77777777" w:rsidR="00304D62" w:rsidRPr="00304D62" w:rsidRDefault="00304D62" w:rsidP="00C375FE">
            <w:pPr>
              <w:pStyle w:val="TableTextLeft"/>
              <w:rPr>
                <w:rFonts w:cs="Arial"/>
                <w:szCs w:val="16"/>
              </w:rPr>
            </w:pPr>
            <w:r w:rsidRPr="00304D62">
              <w:rPr>
                <w:rFonts w:cs="Arial"/>
                <w:szCs w:val="16"/>
              </w:rPr>
              <w:t>Key activities reported in the Corporate Plan 2025–26 that relate to this program.</w:t>
            </w:r>
          </w:p>
          <w:p w14:paraId="54A0AE37" w14:textId="77777777" w:rsidR="00304D62" w:rsidRPr="00304D62" w:rsidRDefault="00304D62" w:rsidP="00304D62">
            <w:pPr>
              <w:pStyle w:val="TableTextLeft"/>
              <w:numPr>
                <w:ilvl w:val="0"/>
                <w:numId w:val="48"/>
              </w:numPr>
              <w:rPr>
                <w:rFonts w:cs="Arial"/>
                <w:szCs w:val="16"/>
              </w:rPr>
            </w:pPr>
            <w:r w:rsidRPr="00304D62">
              <w:rPr>
                <w:rFonts w:cs="Arial"/>
                <w:szCs w:val="16"/>
              </w:rPr>
              <w:t>Deliver passport services.</w:t>
            </w:r>
          </w:p>
        </w:tc>
      </w:tr>
      <w:tr w:rsidR="00304D62" w:rsidRPr="00304D62" w14:paraId="24B9BC5B" w14:textId="77777777">
        <w:trPr>
          <w:cantSplit/>
          <w:trHeight w:val="258"/>
        </w:trPr>
        <w:tc>
          <w:tcPr>
            <w:tcW w:w="1546" w:type="dxa"/>
            <w:tcBorders>
              <w:top w:val="double" w:sz="4" w:space="0" w:color="auto"/>
              <w:bottom w:val="single" w:sz="4" w:space="0" w:color="auto"/>
              <w:right w:val="single" w:sz="4" w:space="0" w:color="auto"/>
            </w:tcBorders>
          </w:tcPr>
          <w:p w14:paraId="7B7059D5"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Year</w:t>
            </w:r>
          </w:p>
        </w:tc>
        <w:tc>
          <w:tcPr>
            <w:tcW w:w="3077" w:type="dxa"/>
            <w:tcBorders>
              <w:top w:val="double" w:sz="4" w:space="0" w:color="auto"/>
              <w:left w:val="single" w:sz="4" w:space="0" w:color="auto"/>
              <w:bottom w:val="single" w:sz="4" w:space="0" w:color="auto"/>
              <w:right w:val="single" w:sz="4" w:space="0" w:color="auto"/>
            </w:tcBorders>
          </w:tcPr>
          <w:p w14:paraId="203339FD"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Performance measures</w:t>
            </w:r>
          </w:p>
        </w:tc>
        <w:tc>
          <w:tcPr>
            <w:tcW w:w="3077" w:type="dxa"/>
            <w:tcBorders>
              <w:top w:val="double" w:sz="4" w:space="0" w:color="auto"/>
              <w:left w:val="single" w:sz="4" w:space="0" w:color="auto"/>
              <w:bottom w:val="single" w:sz="4" w:space="0" w:color="auto"/>
            </w:tcBorders>
          </w:tcPr>
          <w:p w14:paraId="68447141"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Expected performance results</w:t>
            </w:r>
          </w:p>
        </w:tc>
      </w:tr>
      <w:tr w:rsidR="00304D62" w:rsidRPr="00304D62" w14:paraId="61AEC15E" w14:textId="77777777">
        <w:trPr>
          <w:cantSplit/>
          <w:trHeight w:val="642"/>
        </w:trPr>
        <w:tc>
          <w:tcPr>
            <w:tcW w:w="1546" w:type="dxa"/>
            <w:tcBorders>
              <w:top w:val="single" w:sz="4" w:space="0" w:color="auto"/>
              <w:bottom w:val="dotted" w:sz="4" w:space="0" w:color="auto"/>
              <w:right w:val="single" w:sz="4" w:space="0" w:color="auto"/>
            </w:tcBorders>
          </w:tcPr>
          <w:p w14:paraId="047BBE90" w14:textId="77777777" w:rsidR="00304D62" w:rsidRPr="00304D62" w:rsidRDefault="00304D62" w:rsidP="00C375FE">
            <w:pPr>
              <w:pStyle w:val="TableTextLeft"/>
              <w:rPr>
                <w:rFonts w:cs="Arial"/>
                <w:szCs w:val="16"/>
              </w:rPr>
            </w:pPr>
            <w:r w:rsidRPr="00304D62">
              <w:rPr>
                <w:rFonts w:cs="Arial"/>
                <w:szCs w:val="16"/>
              </w:rPr>
              <w:t xml:space="preserve">Current Year </w:t>
            </w:r>
          </w:p>
          <w:p w14:paraId="1A4A4313" w14:textId="77777777" w:rsidR="00304D62" w:rsidRPr="00304D62" w:rsidRDefault="00304D62" w:rsidP="00C375FE">
            <w:pPr>
              <w:pStyle w:val="TableTextLeft"/>
              <w:rPr>
                <w:rFonts w:cs="Arial"/>
                <w:szCs w:val="16"/>
              </w:rPr>
            </w:pPr>
            <w:r w:rsidRPr="00304D62">
              <w:rPr>
                <w:rFonts w:cs="Arial"/>
                <w:szCs w:val="16"/>
              </w:rPr>
              <w:t>2025–26</w:t>
            </w:r>
          </w:p>
        </w:tc>
        <w:tc>
          <w:tcPr>
            <w:tcW w:w="3077" w:type="dxa"/>
            <w:tcBorders>
              <w:top w:val="single" w:sz="4" w:space="0" w:color="auto"/>
              <w:left w:val="single" w:sz="4" w:space="0" w:color="auto"/>
              <w:bottom w:val="dotted" w:sz="4" w:space="0" w:color="auto"/>
              <w:right w:val="single" w:sz="4" w:space="0" w:color="auto"/>
            </w:tcBorders>
          </w:tcPr>
          <w:p w14:paraId="2DFC028D" w14:textId="77777777" w:rsidR="00304D62" w:rsidRPr="00304D62" w:rsidRDefault="00304D62" w:rsidP="00C375FE">
            <w:pPr>
              <w:pStyle w:val="TableTextLeft"/>
              <w:rPr>
                <w:rFonts w:cs="Arial"/>
                <w:szCs w:val="16"/>
              </w:rPr>
            </w:pPr>
            <w:r w:rsidRPr="00304D62">
              <w:rPr>
                <w:rFonts w:cs="Arial"/>
                <w:szCs w:val="16"/>
              </w:rPr>
              <w:t>Australian passports are processed efficiently.</w:t>
            </w:r>
          </w:p>
        </w:tc>
        <w:tc>
          <w:tcPr>
            <w:tcW w:w="3077" w:type="dxa"/>
            <w:tcBorders>
              <w:top w:val="single" w:sz="4" w:space="0" w:color="auto"/>
              <w:left w:val="single" w:sz="4" w:space="0" w:color="auto"/>
              <w:bottom w:val="dotted" w:sz="4" w:space="0" w:color="auto"/>
            </w:tcBorders>
          </w:tcPr>
          <w:p w14:paraId="37FA9C1D" w14:textId="31222705" w:rsidR="00304D62" w:rsidRPr="00304D62" w:rsidRDefault="00304D62" w:rsidP="00C375FE">
            <w:pPr>
              <w:pStyle w:val="TableTextLeft"/>
              <w:spacing w:before="0"/>
              <w:rPr>
                <w:rFonts w:cs="Arial"/>
                <w:szCs w:val="16"/>
              </w:rPr>
            </w:pPr>
            <w:r w:rsidRPr="00304D62">
              <w:rPr>
                <w:rFonts w:cs="Arial"/>
                <w:b/>
                <w:bCs/>
                <w:szCs w:val="16"/>
              </w:rPr>
              <w:t>Target 1</w:t>
            </w:r>
            <w:r w:rsidRPr="00304D62">
              <w:rPr>
                <w:rFonts w:cs="Arial"/>
                <w:szCs w:val="16"/>
              </w:rPr>
              <w:t>: 95% of travel documents</w:t>
            </w:r>
            <w:r w:rsidR="00CD1EE5" w:rsidRPr="00CD1EE5">
              <w:rPr>
                <w:rFonts w:cs="Arial"/>
                <w:szCs w:val="16"/>
                <w:vertAlign w:val="superscript"/>
              </w:rPr>
              <w:t>1</w:t>
            </w:r>
            <w:r w:rsidRPr="00304D62">
              <w:rPr>
                <w:rFonts w:cs="Arial"/>
                <w:szCs w:val="16"/>
              </w:rPr>
              <w:t xml:space="preserve"> are available within 6 weeks of lodgement.</w:t>
            </w:r>
            <w:r w:rsidR="00CD1EE5" w:rsidRPr="00CD1EE5">
              <w:rPr>
                <w:rFonts w:cs="Arial"/>
                <w:szCs w:val="16"/>
                <w:vertAlign w:val="superscript"/>
              </w:rPr>
              <w:t>2</w:t>
            </w:r>
          </w:p>
          <w:p w14:paraId="2443C38D" w14:textId="77777777" w:rsidR="00304D62" w:rsidRPr="00304D62" w:rsidRDefault="00304D62" w:rsidP="000B3435">
            <w:pPr>
              <w:pStyle w:val="TableTextLeft"/>
              <w:spacing w:before="0"/>
              <w:rPr>
                <w:rFonts w:cs="Arial"/>
                <w:szCs w:val="16"/>
              </w:rPr>
            </w:pPr>
          </w:p>
          <w:p w14:paraId="56B1C8D8" w14:textId="77777777" w:rsidR="00304D62" w:rsidRPr="00304D62" w:rsidRDefault="00304D62" w:rsidP="000B3435">
            <w:pPr>
              <w:pStyle w:val="TableTextLeft"/>
              <w:spacing w:before="0"/>
              <w:rPr>
                <w:rFonts w:cs="Arial"/>
                <w:szCs w:val="16"/>
              </w:rPr>
            </w:pPr>
            <w:r w:rsidRPr="00304D62">
              <w:rPr>
                <w:rFonts w:cs="Arial"/>
                <w:b/>
                <w:bCs/>
                <w:szCs w:val="16"/>
              </w:rPr>
              <w:t>The target is on track</w:t>
            </w:r>
            <w:r w:rsidRPr="00304D62">
              <w:rPr>
                <w:rFonts w:cs="Arial"/>
                <w:szCs w:val="16"/>
              </w:rPr>
              <w:t>. From 1 July to 31 December 2025, 98.9% of travel documents were available within 6 weeks of lodgement.</w:t>
            </w:r>
          </w:p>
          <w:p w14:paraId="7D72F163" w14:textId="77777777" w:rsidR="00304D62" w:rsidRPr="00304D62" w:rsidRDefault="00304D62" w:rsidP="00C375FE">
            <w:pPr>
              <w:pStyle w:val="TableTextLeft"/>
              <w:spacing w:before="0"/>
              <w:rPr>
                <w:rFonts w:cs="Arial"/>
                <w:szCs w:val="16"/>
              </w:rPr>
            </w:pPr>
          </w:p>
          <w:p w14:paraId="3DA36AE3" w14:textId="77777777" w:rsidR="00304D62" w:rsidRPr="00304D62" w:rsidRDefault="00304D62" w:rsidP="00C375FE">
            <w:pPr>
              <w:pStyle w:val="TableTextLeft"/>
              <w:spacing w:before="0"/>
              <w:rPr>
                <w:rFonts w:cs="Arial"/>
                <w:szCs w:val="16"/>
              </w:rPr>
            </w:pPr>
            <w:r w:rsidRPr="00304D62">
              <w:rPr>
                <w:rFonts w:cs="Arial"/>
                <w:b/>
                <w:bCs/>
                <w:szCs w:val="16"/>
              </w:rPr>
              <w:t>Target 2</w:t>
            </w:r>
            <w:r w:rsidRPr="00304D62">
              <w:rPr>
                <w:rFonts w:cs="Arial"/>
                <w:szCs w:val="16"/>
              </w:rPr>
              <w:t xml:space="preserve">: 98% of priority passports are processed within 2 business days.  </w:t>
            </w:r>
          </w:p>
          <w:p w14:paraId="41484D1F" w14:textId="77777777" w:rsidR="00304D62" w:rsidRPr="00304D62" w:rsidRDefault="00304D62" w:rsidP="00C375FE">
            <w:pPr>
              <w:pStyle w:val="TableTextLeft"/>
              <w:spacing w:before="0"/>
              <w:rPr>
                <w:rFonts w:cs="Arial"/>
                <w:b/>
                <w:bCs/>
                <w:szCs w:val="16"/>
              </w:rPr>
            </w:pPr>
          </w:p>
          <w:p w14:paraId="0DC3831E" w14:textId="42EA3C97" w:rsidR="00304D62" w:rsidRPr="00304D62" w:rsidRDefault="00304D62" w:rsidP="00C375FE">
            <w:pPr>
              <w:pStyle w:val="TableTextLeft"/>
              <w:spacing w:before="0"/>
              <w:rPr>
                <w:rFonts w:cs="Arial"/>
                <w:szCs w:val="16"/>
              </w:rPr>
            </w:pPr>
            <w:r w:rsidRPr="00304D62">
              <w:rPr>
                <w:rFonts w:cs="Arial"/>
                <w:b/>
                <w:bCs/>
                <w:szCs w:val="16"/>
              </w:rPr>
              <w:t>The target is on track.</w:t>
            </w:r>
            <w:r w:rsidRPr="00304D62">
              <w:rPr>
                <w:rFonts w:cs="Arial"/>
                <w:szCs w:val="16"/>
              </w:rPr>
              <w:t xml:space="preserve"> From 1 July to 31 December 2025, 99.9% of priority passports were processed within 2</w:t>
            </w:r>
            <w:r w:rsidR="000B3435">
              <w:rPr>
                <w:rFonts w:cs="Arial"/>
                <w:szCs w:val="16"/>
              </w:rPr>
              <w:t> </w:t>
            </w:r>
            <w:r w:rsidRPr="00304D62">
              <w:rPr>
                <w:rFonts w:cs="Arial"/>
                <w:szCs w:val="16"/>
              </w:rPr>
              <w:t xml:space="preserve">business days. </w:t>
            </w:r>
          </w:p>
          <w:p w14:paraId="2089DC1C" w14:textId="77777777" w:rsidR="00304D62" w:rsidRPr="00304D62" w:rsidRDefault="00304D62" w:rsidP="00C375FE">
            <w:pPr>
              <w:pStyle w:val="TableTextLeft"/>
              <w:spacing w:before="0"/>
              <w:rPr>
                <w:rFonts w:cs="Arial"/>
                <w:szCs w:val="16"/>
              </w:rPr>
            </w:pPr>
          </w:p>
          <w:p w14:paraId="63CDD937" w14:textId="77777777" w:rsidR="00304D62" w:rsidRPr="00304D62" w:rsidRDefault="00304D62" w:rsidP="00C375FE">
            <w:pPr>
              <w:pStyle w:val="TableTextLeft"/>
              <w:spacing w:before="0"/>
              <w:rPr>
                <w:rFonts w:cs="Arial"/>
                <w:szCs w:val="16"/>
              </w:rPr>
            </w:pPr>
            <w:r w:rsidRPr="00304D62">
              <w:rPr>
                <w:rFonts w:cs="Arial"/>
                <w:b/>
                <w:bCs/>
                <w:szCs w:val="16"/>
              </w:rPr>
              <w:t>Target 3</w:t>
            </w:r>
            <w:r w:rsidRPr="00304D62">
              <w:rPr>
                <w:rFonts w:cs="Arial"/>
                <w:szCs w:val="16"/>
              </w:rPr>
              <w:t>: 98% of fast-track passports are processed within 5 business days.</w:t>
            </w:r>
          </w:p>
          <w:p w14:paraId="6B12F1EA" w14:textId="77777777" w:rsidR="00304D62" w:rsidRPr="00304D62" w:rsidRDefault="00304D62" w:rsidP="00C375FE">
            <w:pPr>
              <w:pStyle w:val="TableTextLeft"/>
              <w:spacing w:before="0"/>
              <w:rPr>
                <w:rFonts w:cs="Arial"/>
                <w:b/>
                <w:bCs/>
                <w:szCs w:val="16"/>
              </w:rPr>
            </w:pPr>
          </w:p>
          <w:p w14:paraId="50D77D2B" w14:textId="4A7D0D8A" w:rsidR="00304D62" w:rsidRPr="00304D62" w:rsidRDefault="00304D62" w:rsidP="00C375FE">
            <w:pPr>
              <w:pStyle w:val="TableTextLeft"/>
              <w:spacing w:before="0"/>
              <w:rPr>
                <w:rFonts w:cs="Arial"/>
                <w:szCs w:val="16"/>
              </w:rPr>
            </w:pPr>
            <w:r w:rsidRPr="00304D62">
              <w:rPr>
                <w:rFonts w:cs="Arial"/>
                <w:b/>
                <w:bCs/>
                <w:szCs w:val="16"/>
              </w:rPr>
              <w:t>The target is on track.</w:t>
            </w:r>
            <w:r w:rsidRPr="00304D62">
              <w:rPr>
                <w:rFonts w:cs="Arial"/>
                <w:szCs w:val="16"/>
              </w:rPr>
              <w:t xml:space="preserve"> From 1 July to 31 December 2025, 99.9% of fast-track passports were processed within 5</w:t>
            </w:r>
            <w:r w:rsidR="000B3435">
              <w:rPr>
                <w:rFonts w:cs="Arial"/>
                <w:szCs w:val="16"/>
              </w:rPr>
              <w:t> </w:t>
            </w:r>
            <w:r w:rsidRPr="00304D62">
              <w:rPr>
                <w:rFonts w:cs="Arial"/>
                <w:szCs w:val="16"/>
              </w:rPr>
              <w:t>business days.</w:t>
            </w:r>
          </w:p>
          <w:p w14:paraId="75E9A878" w14:textId="77777777" w:rsidR="00304D62" w:rsidRPr="00304D62" w:rsidRDefault="00304D62" w:rsidP="00C375FE">
            <w:pPr>
              <w:pStyle w:val="TableTextLeft"/>
              <w:spacing w:before="0"/>
              <w:rPr>
                <w:rFonts w:cs="Arial"/>
                <w:szCs w:val="16"/>
              </w:rPr>
            </w:pPr>
          </w:p>
          <w:p w14:paraId="1FF0F93C" w14:textId="77777777" w:rsidR="00304D62" w:rsidRPr="00304D62" w:rsidRDefault="00304D62" w:rsidP="00C375FE">
            <w:pPr>
              <w:pStyle w:val="TableTextLeft"/>
              <w:spacing w:before="0"/>
              <w:rPr>
                <w:rFonts w:cs="Arial"/>
                <w:szCs w:val="16"/>
              </w:rPr>
            </w:pPr>
            <w:r w:rsidRPr="00304D62">
              <w:rPr>
                <w:rFonts w:cs="Arial"/>
                <w:b/>
                <w:bCs/>
                <w:szCs w:val="16"/>
              </w:rPr>
              <w:t>Target 4</w:t>
            </w:r>
            <w:r w:rsidRPr="00304D62">
              <w:rPr>
                <w:rFonts w:cs="Arial"/>
                <w:szCs w:val="16"/>
              </w:rPr>
              <w:t>: Travel document processing efficiency is greater than or equal to 90% of the agreed benchmark.</w:t>
            </w:r>
          </w:p>
          <w:p w14:paraId="7A962D2A" w14:textId="77777777" w:rsidR="00304D62" w:rsidRPr="00304D62" w:rsidRDefault="00304D62" w:rsidP="00C375FE">
            <w:pPr>
              <w:pStyle w:val="TableTextLeft"/>
              <w:spacing w:before="0"/>
              <w:rPr>
                <w:rFonts w:cs="Arial"/>
                <w:b/>
                <w:bCs/>
                <w:szCs w:val="16"/>
              </w:rPr>
            </w:pPr>
          </w:p>
          <w:p w14:paraId="6E4F9133" w14:textId="77777777" w:rsidR="00304D62" w:rsidRPr="00304D62" w:rsidRDefault="00304D62" w:rsidP="00C375FE">
            <w:pPr>
              <w:pStyle w:val="TableTextLeft"/>
              <w:spacing w:before="0"/>
              <w:rPr>
                <w:rFonts w:cs="Arial"/>
                <w:szCs w:val="16"/>
              </w:rPr>
            </w:pPr>
            <w:r w:rsidRPr="00304D62">
              <w:rPr>
                <w:rFonts w:cs="Arial"/>
                <w:b/>
                <w:bCs/>
                <w:szCs w:val="16"/>
              </w:rPr>
              <w:t>The target is on track</w:t>
            </w:r>
            <w:r w:rsidRPr="00304D62">
              <w:rPr>
                <w:rFonts w:cs="Arial"/>
                <w:szCs w:val="16"/>
              </w:rPr>
              <w:t>. From 1 July to 31 December 2025, the travel document processing efficiency was 112% of the agreed benchmark.</w:t>
            </w:r>
          </w:p>
          <w:p w14:paraId="7D8255EC" w14:textId="77777777" w:rsidR="00304D62" w:rsidRPr="00304D62" w:rsidRDefault="00304D62" w:rsidP="00C375FE">
            <w:pPr>
              <w:pStyle w:val="TableTextLeft"/>
              <w:spacing w:before="0"/>
              <w:rPr>
                <w:rFonts w:cs="Arial"/>
                <w:b/>
                <w:bCs/>
                <w:szCs w:val="16"/>
              </w:rPr>
            </w:pPr>
          </w:p>
          <w:p w14:paraId="586CD185" w14:textId="1254E681" w:rsidR="00304D62" w:rsidRPr="00304D62" w:rsidRDefault="00304D62" w:rsidP="000B3435">
            <w:pPr>
              <w:pStyle w:val="TableTextLeft"/>
              <w:spacing w:before="0" w:after="120"/>
              <w:rPr>
                <w:rFonts w:cs="Arial"/>
                <w:szCs w:val="16"/>
              </w:rPr>
            </w:pPr>
            <w:r w:rsidRPr="00304D62">
              <w:rPr>
                <w:rFonts w:cs="Arial"/>
                <w:b/>
                <w:bCs/>
                <w:szCs w:val="16"/>
              </w:rPr>
              <w:t>Performance measure</w:t>
            </w:r>
            <w:r w:rsidRPr="00304D62">
              <w:rPr>
                <w:rFonts w:cs="Arial"/>
                <w:szCs w:val="16"/>
              </w:rPr>
              <w:t>: On track</w:t>
            </w:r>
            <w:r w:rsidR="000B3435">
              <w:rPr>
                <w:rFonts w:cs="Arial"/>
                <w:szCs w:val="16"/>
              </w:rPr>
              <w:t>.</w:t>
            </w:r>
          </w:p>
        </w:tc>
      </w:tr>
      <w:tr w:rsidR="00304D62" w:rsidRPr="00304D62" w14:paraId="60B23C3E" w14:textId="77777777" w:rsidTr="00304D62">
        <w:trPr>
          <w:cantSplit/>
          <w:trHeight w:val="642"/>
        </w:trPr>
        <w:tc>
          <w:tcPr>
            <w:tcW w:w="1546" w:type="dxa"/>
            <w:tcBorders>
              <w:top w:val="single" w:sz="4" w:space="0" w:color="auto"/>
              <w:bottom w:val="single" w:sz="4" w:space="0" w:color="auto"/>
              <w:right w:val="single" w:sz="4" w:space="0" w:color="auto"/>
            </w:tcBorders>
          </w:tcPr>
          <w:p w14:paraId="083D1C20" w14:textId="77777777" w:rsidR="00304D62" w:rsidRPr="00304D62" w:rsidRDefault="00304D62" w:rsidP="00C375FE">
            <w:pPr>
              <w:pStyle w:val="TableTextLeft"/>
              <w:rPr>
                <w:rFonts w:cs="Arial"/>
                <w:szCs w:val="16"/>
              </w:rPr>
            </w:pPr>
            <w:r w:rsidRPr="00304D62">
              <w:rPr>
                <w:rFonts w:cs="Arial"/>
                <w:szCs w:val="16"/>
              </w:rPr>
              <w:t xml:space="preserve">Current Year </w:t>
            </w:r>
          </w:p>
          <w:p w14:paraId="2B6CBD76" w14:textId="77777777" w:rsidR="00304D62" w:rsidRPr="00304D62" w:rsidRDefault="00304D62" w:rsidP="00C375FE">
            <w:pPr>
              <w:pStyle w:val="TableTextLeft"/>
              <w:rPr>
                <w:rFonts w:cs="Arial"/>
                <w:szCs w:val="16"/>
              </w:rPr>
            </w:pPr>
            <w:r w:rsidRPr="00304D62">
              <w:rPr>
                <w:rFonts w:cs="Arial"/>
                <w:szCs w:val="16"/>
              </w:rPr>
              <w:t>2025–26</w:t>
            </w:r>
          </w:p>
        </w:tc>
        <w:tc>
          <w:tcPr>
            <w:tcW w:w="3077" w:type="dxa"/>
            <w:tcBorders>
              <w:top w:val="single" w:sz="4" w:space="0" w:color="auto"/>
              <w:left w:val="single" w:sz="4" w:space="0" w:color="auto"/>
              <w:bottom w:val="single" w:sz="4" w:space="0" w:color="auto"/>
              <w:right w:val="single" w:sz="4" w:space="0" w:color="auto"/>
            </w:tcBorders>
          </w:tcPr>
          <w:p w14:paraId="05AD1670" w14:textId="77777777" w:rsidR="00304D62" w:rsidRPr="00304D62" w:rsidRDefault="00304D62" w:rsidP="00C375FE">
            <w:pPr>
              <w:pStyle w:val="TableTextLeft"/>
              <w:rPr>
                <w:rFonts w:cs="Arial"/>
                <w:szCs w:val="16"/>
              </w:rPr>
            </w:pPr>
            <w:r w:rsidRPr="00304D62">
              <w:rPr>
                <w:rFonts w:cs="Arial"/>
                <w:szCs w:val="16"/>
              </w:rPr>
              <w:t xml:space="preserve">Customers are satisfied with passport </w:t>
            </w:r>
          </w:p>
          <w:p w14:paraId="5C426D80" w14:textId="77777777" w:rsidR="00304D62" w:rsidRPr="00304D62" w:rsidRDefault="00304D62" w:rsidP="00C375FE">
            <w:pPr>
              <w:pStyle w:val="TableTextLeft"/>
              <w:rPr>
                <w:rFonts w:cs="Arial"/>
                <w:szCs w:val="16"/>
              </w:rPr>
            </w:pPr>
            <w:r w:rsidRPr="00304D62">
              <w:rPr>
                <w:rFonts w:cs="Arial"/>
                <w:szCs w:val="16"/>
              </w:rPr>
              <w:t>services.</w:t>
            </w:r>
          </w:p>
        </w:tc>
        <w:tc>
          <w:tcPr>
            <w:tcW w:w="3077" w:type="dxa"/>
            <w:tcBorders>
              <w:top w:val="single" w:sz="4" w:space="0" w:color="auto"/>
              <w:left w:val="single" w:sz="4" w:space="0" w:color="auto"/>
              <w:bottom w:val="single" w:sz="4" w:space="0" w:color="auto"/>
            </w:tcBorders>
          </w:tcPr>
          <w:p w14:paraId="7B6FA4C8" w14:textId="77777777" w:rsidR="00304D62" w:rsidRDefault="00304D62" w:rsidP="00C375FE">
            <w:pPr>
              <w:pStyle w:val="TableTextLeft"/>
              <w:spacing w:before="0"/>
              <w:rPr>
                <w:rFonts w:cs="Arial"/>
                <w:szCs w:val="16"/>
              </w:rPr>
            </w:pPr>
            <w:r w:rsidRPr="00304D62">
              <w:rPr>
                <w:rFonts w:cs="Arial"/>
                <w:b/>
                <w:bCs/>
                <w:szCs w:val="16"/>
              </w:rPr>
              <w:t xml:space="preserve">Target 1: </w:t>
            </w:r>
            <w:r w:rsidRPr="00304D62">
              <w:rPr>
                <w:rFonts w:cs="Arial"/>
                <w:szCs w:val="16"/>
              </w:rPr>
              <w:t>85% satisfaction rate overall from customer surveys.</w:t>
            </w:r>
          </w:p>
          <w:p w14:paraId="442FF603" w14:textId="77777777" w:rsidR="000B3435" w:rsidRPr="00304D62" w:rsidRDefault="000B3435" w:rsidP="000B3435">
            <w:pPr>
              <w:pStyle w:val="TableTextLeft"/>
              <w:spacing w:before="0"/>
              <w:rPr>
                <w:rFonts w:cs="Arial"/>
                <w:szCs w:val="16"/>
              </w:rPr>
            </w:pPr>
          </w:p>
          <w:p w14:paraId="05119255" w14:textId="77777777" w:rsidR="00304D62" w:rsidRPr="00304D62" w:rsidRDefault="00304D62" w:rsidP="000B3435">
            <w:pPr>
              <w:pStyle w:val="TableTextLeft"/>
              <w:spacing w:before="0"/>
              <w:rPr>
                <w:rFonts w:cs="Arial"/>
                <w:szCs w:val="16"/>
              </w:rPr>
            </w:pPr>
            <w:r w:rsidRPr="00304D62">
              <w:rPr>
                <w:rFonts w:cs="Arial"/>
                <w:b/>
                <w:bCs/>
                <w:szCs w:val="16"/>
              </w:rPr>
              <w:t xml:space="preserve">The target is on track. </w:t>
            </w:r>
            <w:r w:rsidRPr="00304D62">
              <w:rPr>
                <w:rFonts w:cs="Arial"/>
                <w:szCs w:val="16"/>
              </w:rPr>
              <w:t>From 1 July to 31 December 2025, 90% overall satisfaction was achieved based on the year to-date aggregate results of monthly surveys.</w:t>
            </w:r>
          </w:p>
          <w:p w14:paraId="0E277C28" w14:textId="77777777" w:rsidR="00304D62" w:rsidRPr="00304D62" w:rsidRDefault="00304D62" w:rsidP="000B3435">
            <w:pPr>
              <w:pStyle w:val="TableTextLeft"/>
              <w:spacing w:before="0"/>
              <w:rPr>
                <w:rFonts w:cs="Arial"/>
                <w:b/>
                <w:bCs/>
                <w:szCs w:val="16"/>
              </w:rPr>
            </w:pPr>
          </w:p>
          <w:p w14:paraId="7FA7BAB2" w14:textId="370FBFF4" w:rsidR="00304D62" w:rsidRPr="000B3435" w:rsidRDefault="00304D62" w:rsidP="000B3435">
            <w:pPr>
              <w:pStyle w:val="TableTextLeft"/>
              <w:spacing w:before="0" w:after="120"/>
              <w:rPr>
                <w:rFonts w:cs="Arial"/>
                <w:szCs w:val="16"/>
              </w:rPr>
            </w:pPr>
            <w:r w:rsidRPr="00304D62">
              <w:rPr>
                <w:rFonts w:cs="Arial"/>
                <w:b/>
                <w:bCs/>
                <w:szCs w:val="16"/>
              </w:rPr>
              <w:t xml:space="preserve">Performance measure: </w:t>
            </w:r>
            <w:r w:rsidRPr="00304D62">
              <w:rPr>
                <w:rFonts w:cs="Arial"/>
                <w:szCs w:val="16"/>
              </w:rPr>
              <w:t>On track.</w:t>
            </w:r>
          </w:p>
        </w:tc>
      </w:tr>
    </w:tbl>
    <w:p w14:paraId="7AD6214D" w14:textId="2497646B" w:rsidR="00304D62" w:rsidRDefault="00304D62" w:rsidP="00304D62">
      <w:pPr>
        <w:pStyle w:val="TableGraphic"/>
        <w:rPr>
          <w:rFonts w:ascii="Arial" w:hAnsi="Arial" w:cs="Arial"/>
          <w:noProof/>
          <w:sz w:val="16"/>
          <w:szCs w:val="16"/>
        </w:rPr>
      </w:pPr>
      <w:r w:rsidRPr="00824706">
        <w:rPr>
          <w:rFonts w:ascii="Arial" w:hAnsi="Arial" w:cs="Arial"/>
          <w:noProof/>
          <w:sz w:val="16"/>
          <w:szCs w:val="16"/>
        </w:rPr>
        <w:t>Table continued on the next page.</w:t>
      </w:r>
    </w:p>
    <w:p w14:paraId="5EF42B78" w14:textId="77777777" w:rsidR="00304D62" w:rsidRDefault="00304D62">
      <w:pPr>
        <w:spacing w:before="0" w:after="0" w:line="240" w:lineRule="auto"/>
        <w:rPr>
          <w:rFonts w:ascii="Arial" w:hAnsi="Arial" w:cs="Arial"/>
          <w:noProof/>
          <w:sz w:val="16"/>
          <w:szCs w:val="16"/>
        </w:rPr>
      </w:pPr>
      <w:r>
        <w:rPr>
          <w:rFonts w:ascii="Arial" w:hAnsi="Arial" w:cs="Arial"/>
          <w:noProof/>
          <w:sz w:val="16"/>
          <w:szCs w:val="16"/>
        </w:rPr>
        <w:br w:type="page"/>
      </w:r>
    </w:p>
    <w:p w14:paraId="6BC5DD2C" w14:textId="77777777" w:rsidR="00304D62" w:rsidRDefault="00304D62" w:rsidP="00304D62">
      <w:pPr>
        <w:pStyle w:val="TableHeading"/>
      </w:pPr>
      <w:r w:rsidRPr="00E6464E">
        <w:lastRenderedPageBreak/>
        <w:t>Table 2.</w:t>
      </w:r>
      <w:r>
        <w:t>2</w:t>
      </w:r>
      <w:r w:rsidRPr="00E6464E">
        <w:t>.</w:t>
      </w:r>
      <w:r>
        <w:t>2</w:t>
      </w:r>
      <w:r w:rsidRPr="00E6464E">
        <w:t xml:space="preserve">: Performance measures for Outcome </w:t>
      </w:r>
      <w:r>
        <w:t>2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304D62" w:rsidRPr="00304D62" w14:paraId="1F8EE003" w14:textId="77777777">
        <w:trPr>
          <w:cantSplit/>
          <w:trHeight w:val="261"/>
          <w:tblHeader/>
        </w:trPr>
        <w:tc>
          <w:tcPr>
            <w:tcW w:w="7700" w:type="dxa"/>
            <w:gridSpan w:val="3"/>
            <w:shd w:val="clear" w:color="auto" w:fill="F2F2F2"/>
          </w:tcPr>
          <w:p w14:paraId="6ABE3F4A" w14:textId="77777777" w:rsidR="00304D62" w:rsidRPr="00304D62" w:rsidRDefault="00304D62" w:rsidP="00C375FE">
            <w:pPr>
              <w:pStyle w:val="TableColumnHeadingLeft"/>
              <w:rPr>
                <w:rFonts w:ascii="Arial" w:hAnsi="Arial" w:cs="Arial"/>
                <w:bCs/>
                <w:szCs w:val="16"/>
              </w:rPr>
            </w:pPr>
            <w:r w:rsidRPr="00304D62">
              <w:rPr>
                <w:rFonts w:ascii="Arial" w:hAnsi="Arial" w:cs="Arial"/>
                <w:szCs w:val="16"/>
              </w:rPr>
              <w:t>Outcome 2</w:t>
            </w:r>
            <w:r w:rsidRPr="00304D62">
              <w:rPr>
                <w:rFonts w:ascii="Arial" w:hAnsi="Arial" w:cs="Arial"/>
                <w:bCs/>
                <w:szCs w:val="16"/>
              </w:rPr>
              <w:t xml:space="preserve"> </w:t>
            </w:r>
            <w:r w:rsidRPr="00304D62">
              <w:rPr>
                <w:rFonts w:ascii="Arial" w:hAnsi="Arial" w:cs="Arial"/>
                <w:szCs w:val="16"/>
              </w:rPr>
              <w:t>– The protection and welfare of Australians abroad and access to secure international travel documentation through timely and responsive travel advice and consular and passport services in Australia and overseas.</w:t>
            </w:r>
          </w:p>
        </w:tc>
      </w:tr>
      <w:tr w:rsidR="00304D62" w:rsidRPr="00304D62" w14:paraId="486B3432" w14:textId="77777777" w:rsidTr="000B3435">
        <w:trPr>
          <w:cantSplit/>
          <w:trHeight w:val="388"/>
          <w:tblHeader/>
        </w:trPr>
        <w:tc>
          <w:tcPr>
            <w:tcW w:w="7700" w:type="dxa"/>
            <w:gridSpan w:val="3"/>
            <w:shd w:val="clear" w:color="auto" w:fill="F2F2F2"/>
          </w:tcPr>
          <w:p w14:paraId="47349CAB"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 xml:space="preserve">Program 2.2 – </w:t>
            </w:r>
            <w:r w:rsidRPr="00304D62">
              <w:rPr>
                <w:rFonts w:ascii="Arial" w:eastAsia="Arial" w:hAnsi="Arial" w:cs="Arial"/>
                <w:szCs w:val="16"/>
              </w:rPr>
              <w:t xml:space="preserve">Passport Services </w:t>
            </w:r>
            <w:r w:rsidRPr="00304D62">
              <w:rPr>
                <w:rFonts w:ascii="Arial" w:eastAsia="Arial" w:hAnsi="Arial" w:cs="Arial"/>
                <w:b w:val="0"/>
                <w:bCs/>
                <w:szCs w:val="16"/>
              </w:rPr>
              <w:t>provide Australians access to secure international travel documentation through the delivery of high-quality passport services.</w:t>
            </w:r>
          </w:p>
        </w:tc>
      </w:tr>
      <w:tr w:rsidR="00304D62" w:rsidRPr="00304D62" w14:paraId="50A5A1B4" w14:textId="77777777">
        <w:trPr>
          <w:cantSplit/>
          <w:trHeight w:val="100"/>
        </w:trPr>
        <w:tc>
          <w:tcPr>
            <w:tcW w:w="1546" w:type="dxa"/>
            <w:tcBorders>
              <w:top w:val="single" w:sz="4" w:space="0" w:color="auto"/>
              <w:bottom w:val="dotted" w:sz="4" w:space="0" w:color="auto"/>
              <w:right w:val="single" w:sz="4" w:space="0" w:color="auto"/>
            </w:tcBorders>
          </w:tcPr>
          <w:p w14:paraId="2B331558"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Year</w:t>
            </w:r>
          </w:p>
        </w:tc>
        <w:tc>
          <w:tcPr>
            <w:tcW w:w="3077" w:type="dxa"/>
            <w:tcBorders>
              <w:top w:val="single" w:sz="4" w:space="0" w:color="auto"/>
              <w:left w:val="single" w:sz="4" w:space="0" w:color="auto"/>
              <w:bottom w:val="dotted" w:sz="4" w:space="0" w:color="auto"/>
              <w:right w:val="single" w:sz="4" w:space="0" w:color="auto"/>
            </w:tcBorders>
          </w:tcPr>
          <w:p w14:paraId="61C696BA" w14:textId="77777777" w:rsidR="00304D62" w:rsidRPr="00304D62" w:rsidRDefault="00304D62" w:rsidP="00C375FE">
            <w:pPr>
              <w:pStyle w:val="TableColumnHeadingLeft"/>
              <w:rPr>
                <w:rFonts w:ascii="Arial" w:hAnsi="Arial" w:cs="Arial"/>
                <w:szCs w:val="16"/>
              </w:rPr>
            </w:pPr>
            <w:r w:rsidRPr="00304D62">
              <w:rPr>
                <w:rFonts w:ascii="Arial" w:hAnsi="Arial" w:cs="Arial"/>
                <w:szCs w:val="16"/>
              </w:rPr>
              <w:t>Performance measures</w:t>
            </w:r>
          </w:p>
        </w:tc>
        <w:tc>
          <w:tcPr>
            <w:tcW w:w="3077" w:type="dxa"/>
            <w:tcBorders>
              <w:top w:val="single" w:sz="4" w:space="0" w:color="auto"/>
              <w:left w:val="single" w:sz="4" w:space="0" w:color="auto"/>
              <w:bottom w:val="dotted" w:sz="4" w:space="0" w:color="auto"/>
            </w:tcBorders>
          </w:tcPr>
          <w:p w14:paraId="1A913B88" w14:textId="77777777" w:rsidR="00304D62" w:rsidRPr="00304D62" w:rsidRDefault="00304D62" w:rsidP="00C375FE">
            <w:pPr>
              <w:pStyle w:val="TableColumnHeadingLeft"/>
              <w:spacing w:before="0" w:after="20"/>
              <w:rPr>
                <w:rFonts w:ascii="Arial" w:hAnsi="Arial" w:cs="Arial"/>
                <w:szCs w:val="16"/>
              </w:rPr>
            </w:pPr>
            <w:r w:rsidRPr="00304D62">
              <w:rPr>
                <w:rFonts w:ascii="Arial" w:hAnsi="Arial" w:cs="Arial"/>
                <w:szCs w:val="16"/>
              </w:rPr>
              <w:t>Planned performance results</w:t>
            </w:r>
          </w:p>
        </w:tc>
      </w:tr>
      <w:tr w:rsidR="00304D62" w:rsidRPr="00304D62" w14:paraId="596D02A7" w14:textId="77777777">
        <w:trPr>
          <w:cantSplit/>
          <w:trHeight w:val="782"/>
        </w:trPr>
        <w:tc>
          <w:tcPr>
            <w:tcW w:w="1546" w:type="dxa"/>
            <w:tcBorders>
              <w:top w:val="single" w:sz="4" w:space="0" w:color="auto"/>
              <w:bottom w:val="dotted" w:sz="4" w:space="0" w:color="auto"/>
              <w:right w:val="single" w:sz="4" w:space="0" w:color="auto"/>
            </w:tcBorders>
          </w:tcPr>
          <w:p w14:paraId="7D39534C" w14:textId="77777777" w:rsidR="00304D62" w:rsidRPr="00304D62" w:rsidRDefault="00304D62" w:rsidP="00C375FE">
            <w:pPr>
              <w:pStyle w:val="TableTextLeft"/>
              <w:rPr>
                <w:rFonts w:cs="Arial"/>
                <w:szCs w:val="16"/>
              </w:rPr>
            </w:pPr>
            <w:r w:rsidRPr="00304D62">
              <w:rPr>
                <w:rFonts w:cs="Arial"/>
                <w:szCs w:val="16"/>
              </w:rPr>
              <w:t xml:space="preserve">Budget Year </w:t>
            </w:r>
          </w:p>
          <w:p w14:paraId="1B3D93CE" w14:textId="77777777" w:rsidR="00304D62" w:rsidRPr="00304D62" w:rsidRDefault="00304D62" w:rsidP="00C375FE">
            <w:pPr>
              <w:pStyle w:val="TableTextLeft"/>
              <w:rPr>
                <w:rFonts w:cs="Arial"/>
                <w:szCs w:val="16"/>
              </w:rPr>
            </w:pPr>
            <w:r w:rsidRPr="00304D62">
              <w:rPr>
                <w:rFonts w:cs="Arial"/>
                <w:szCs w:val="16"/>
              </w:rPr>
              <w:t>2026–27</w:t>
            </w:r>
          </w:p>
        </w:tc>
        <w:tc>
          <w:tcPr>
            <w:tcW w:w="3077" w:type="dxa"/>
            <w:tcBorders>
              <w:top w:val="single" w:sz="4" w:space="0" w:color="auto"/>
              <w:left w:val="single" w:sz="4" w:space="0" w:color="auto"/>
              <w:bottom w:val="dotted" w:sz="4" w:space="0" w:color="auto"/>
              <w:right w:val="single" w:sz="4" w:space="0" w:color="auto"/>
            </w:tcBorders>
          </w:tcPr>
          <w:p w14:paraId="245C0FCB" w14:textId="77777777" w:rsidR="00304D62" w:rsidRPr="00304D62" w:rsidRDefault="00304D62" w:rsidP="00C375FE">
            <w:pPr>
              <w:pStyle w:val="TableTextLeft"/>
              <w:rPr>
                <w:rFonts w:cs="Arial"/>
                <w:szCs w:val="16"/>
              </w:rPr>
            </w:pPr>
            <w:r w:rsidRPr="00304D62">
              <w:rPr>
                <w:rFonts w:cs="Arial"/>
                <w:szCs w:val="16"/>
              </w:rPr>
              <w:t>Australian passports are processed efficiently.</w:t>
            </w:r>
          </w:p>
          <w:p w14:paraId="7AD69CEF" w14:textId="77777777" w:rsidR="00304D62" w:rsidRPr="00304D62" w:rsidRDefault="00304D62" w:rsidP="00C375FE">
            <w:pPr>
              <w:pStyle w:val="TableTextLeft"/>
              <w:rPr>
                <w:rFonts w:cs="Arial"/>
                <w:szCs w:val="16"/>
              </w:rPr>
            </w:pPr>
          </w:p>
        </w:tc>
        <w:tc>
          <w:tcPr>
            <w:tcW w:w="3077" w:type="dxa"/>
            <w:tcBorders>
              <w:top w:val="single" w:sz="4" w:space="0" w:color="auto"/>
              <w:left w:val="single" w:sz="4" w:space="0" w:color="auto"/>
              <w:bottom w:val="dotted" w:sz="4" w:space="0" w:color="auto"/>
            </w:tcBorders>
          </w:tcPr>
          <w:p w14:paraId="164F73E3" w14:textId="1198D302" w:rsidR="00304D62" w:rsidRPr="00304D62" w:rsidRDefault="00304D62" w:rsidP="00C375FE">
            <w:pPr>
              <w:pStyle w:val="TableTextLeft"/>
              <w:spacing w:before="0"/>
              <w:rPr>
                <w:rFonts w:cs="Arial"/>
                <w:szCs w:val="16"/>
              </w:rPr>
            </w:pPr>
            <w:r w:rsidRPr="00304D62">
              <w:rPr>
                <w:rFonts w:cs="Arial"/>
                <w:b/>
                <w:bCs/>
                <w:szCs w:val="16"/>
              </w:rPr>
              <w:t>Target 1</w:t>
            </w:r>
            <w:r w:rsidRPr="00304D62">
              <w:rPr>
                <w:rFonts w:cs="Arial"/>
                <w:szCs w:val="16"/>
              </w:rPr>
              <w:t>: 95% of travel documents</w:t>
            </w:r>
            <w:r w:rsidR="00CD1EE5" w:rsidRPr="00CD1EE5">
              <w:rPr>
                <w:rFonts w:cs="Arial"/>
                <w:szCs w:val="16"/>
                <w:vertAlign w:val="superscript"/>
              </w:rPr>
              <w:t>1</w:t>
            </w:r>
            <w:r w:rsidRPr="00304D62">
              <w:rPr>
                <w:rFonts w:cs="Arial"/>
                <w:szCs w:val="16"/>
              </w:rPr>
              <w:t xml:space="preserve"> are available within 6 weeks of lodgement. </w:t>
            </w:r>
          </w:p>
          <w:p w14:paraId="011D9712" w14:textId="77777777" w:rsidR="00304D62" w:rsidRPr="00304D62" w:rsidRDefault="00304D62" w:rsidP="00C375FE">
            <w:pPr>
              <w:pStyle w:val="TableTextLeft"/>
              <w:spacing w:before="0"/>
              <w:rPr>
                <w:rFonts w:cs="Arial"/>
                <w:b/>
                <w:bCs/>
                <w:szCs w:val="16"/>
              </w:rPr>
            </w:pPr>
          </w:p>
          <w:p w14:paraId="67394B94" w14:textId="77777777" w:rsidR="00304D62" w:rsidRPr="00304D62" w:rsidRDefault="00304D62" w:rsidP="00C375FE">
            <w:pPr>
              <w:pStyle w:val="TableTextLeft"/>
              <w:spacing w:before="0"/>
              <w:rPr>
                <w:rFonts w:cs="Arial"/>
                <w:szCs w:val="16"/>
              </w:rPr>
            </w:pPr>
            <w:r w:rsidRPr="00304D62">
              <w:rPr>
                <w:rFonts w:cs="Arial"/>
                <w:b/>
                <w:bCs/>
                <w:szCs w:val="16"/>
              </w:rPr>
              <w:t>Target 2</w:t>
            </w:r>
            <w:r w:rsidRPr="00304D62">
              <w:rPr>
                <w:rFonts w:cs="Arial"/>
                <w:szCs w:val="16"/>
              </w:rPr>
              <w:t>: 98% of priority passports are processed within 2 business days.</w:t>
            </w:r>
          </w:p>
          <w:p w14:paraId="1C1555E5" w14:textId="77777777" w:rsidR="00304D62" w:rsidRPr="00304D62" w:rsidRDefault="00304D62" w:rsidP="00C375FE">
            <w:pPr>
              <w:pStyle w:val="TableTextLeft"/>
              <w:spacing w:before="0"/>
              <w:rPr>
                <w:rFonts w:cs="Arial"/>
                <w:b/>
                <w:bCs/>
                <w:szCs w:val="16"/>
              </w:rPr>
            </w:pPr>
          </w:p>
          <w:p w14:paraId="798CEB0F" w14:textId="77777777" w:rsidR="00304D62" w:rsidRPr="00304D62" w:rsidRDefault="00304D62" w:rsidP="00C375FE">
            <w:pPr>
              <w:pStyle w:val="TableTextLeft"/>
              <w:spacing w:before="0"/>
              <w:rPr>
                <w:rFonts w:cs="Arial"/>
                <w:szCs w:val="16"/>
              </w:rPr>
            </w:pPr>
            <w:r w:rsidRPr="00304D62">
              <w:rPr>
                <w:rFonts w:cs="Arial"/>
                <w:b/>
                <w:bCs/>
                <w:szCs w:val="16"/>
              </w:rPr>
              <w:t>Target 3</w:t>
            </w:r>
            <w:r w:rsidRPr="00304D62">
              <w:rPr>
                <w:rFonts w:cs="Arial"/>
                <w:szCs w:val="16"/>
              </w:rPr>
              <w:t>: 98% of fast-track passports are processed within 5 business days.</w:t>
            </w:r>
          </w:p>
          <w:p w14:paraId="2E22997C" w14:textId="77777777" w:rsidR="00304D62" w:rsidRPr="00304D62" w:rsidRDefault="00304D62" w:rsidP="00C375FE">
            <w:pPr>
              <w:pStyle w:val="TableTextLeft"/>
              <w:spacing w:before="0"/>
              <w:rPr>
                <w:rFonts w:cs="Arial"/>
                <w:b/>
                <w:bCs/>
                <w:szCs w:val="16"/>
              </w:rPr>
            </w:pPr>
          </w:p>
          <w:p w14:paraId="06C89E49" w14:textId="4AF37E09" w:rsidR="00304D62" w:rsidRPr="00304D62" w:rsidRDefault="00304D62" w:rsidP="000B3435">
            <w:pPr>
              <w:pStyle w:val="TableTextLeft"/>
              <w:spacing w:before="0" w:after="120"/>
              <w:rPr>
                <w:rFonts w:cs="Arial"/>
                <w:szCs w:val="16"/>
              </w:rPr>
            </w:pPr>
            <w:r w:rsidRPr="00304D62">
              <w:rPr>
                <w:rFonts w:cs="Arial"/>
                <w:b/>
                <w:bCs/>
                <w:szCs w:val="16"/>
              </w:rPr>
              <w:t>Target 4</w:t>
            </w:r>
            <w:r w:rsidRPr="00304D62">
              <w:rPr>
                <w:rFonts w:cs="Arial"/>
                <w:szCs w:val="16"/>
              </w:rPr>
              <w:t>: Travel document processing efficiency is greater than or equal to 90% of the agreed benchmark.</w:t>
            </w:r>
          </w:p>
        </w:tc>
      </w:tr>
      <w:tr w:rsidR="00304D62" w:rsidRPr="00304D62" w14:paraId="175C312C" w14:textId="77777777">
        <w:trPr>
          <w:cantSplit/>
          <w:trHeight w:val="782"/>
        </w:trPr>
        <w:tc>
          <w:tcPr>
            <w:tcW w:w="1546" w:type="dxa"/>
            <w:tcBorders>
              <w:top w:val="single" w:sz="4" w:space="0" w:color="auto"/>
              <w:bottom w:val="dotted" w:sz="4" w:space="0" w:color="auto"/>
              <w:right w:val="single" w:sz="4" w:space="0" w:color="auto"/>
            </w:tcBorders>
          </w:tcPr>
          <w:p w14:paraId="460BA85C" w14:textId="77777777" w:rsidR="00304D62" w:rsidRPr="00304D62" w:rsidRDefault="00304D62" w:rsidP="00C375FE">
            <w:pPr>
              <w:pStyle w:val="TableTextLeft"/>
              <w:rPr>
                <w:rFonts w:cs="Arial"/>
                <w:szCs w:val="16"/>
              </w:rPr>
            </w:pPr>
            <w:r w:rsidRPr="00304D62">
              <w:rPr>
                <w:rFonts w:cs="Arial"/>
                <w:szCs w:val="16"/>
              </w:rPr>
              <w:t xml:space="preserve">Budget Year </w:t>
            </w:r>
          </w:p>
          <w:p w14:paraId="4846AAF6" w14:textId="77777777" w:rsidR="00304D62" w:rsidRPr="00304D62" w:rsidRDefault="00304D62" w:rsidP="00C375FE">
            <w:pPr>
              <w:pStyle w:val="TableTextLeft"/>
              <w:rPr>
                <w:rFonts w:cs="Arial"/>
                <w:szCs w:val="16"/>
              </w:rPr>
            </w:pPr>
            <w:r w:rsidRPr="00304D62">
              <w:rPr>
                <w:rFonts w:cs="Arial"/>
                <w:szCs w:val="16"/>
              </w:rPr>
              <w:t>2026–27</w:t>
            </w:r>
          </w:p>
        </w:tc>
        <w:tc>
          <w:tcPr>
            <w:tcW w:w="3077" w:type="dxa"/>
            <w:tcBorders>
              <w:top w:val="single" w:sz="4" w:space="0" w:color="auto"/>
              <w:left w:val="single" w:sz="4" w:space="0" w:color="auto"/>
              <w:bottom w:val="dotted" w:sz="4" w:space="0" w:color="auto"/>
              <w:right w:val="single" w:sz="4" w:space="0" w:color="auto"/>
            </w:tcBorders>
          </w:tcPr>
          <w:p w14:paraId="5A197B87" w14:textId="77777777" w:rsidR="00304D62" w:rsidRPr="00304D62" w:rsidRDefault="00304D62" w:rsidP="00C375FE">
            <w:pPr>
              <w:pStyle w:val="TableTextLeft"/>
              <w:rPr>
                <w:rFonts w:cs="Arial"/>
                <w:szCs w:val="16"/>
              </w:rPr>
            </w:pPr>
            <w:r w:rsidRPr="00304D62">
              <w:rPr>
                <w:rFonts w:cs="Arial"/>
                <w:szCs w:val="16"/>
              </w:rPr>
              <w:t xml:space="preserve">Customers are satisfied with passport </w:t>
            </w:r>
          </w:p>
          <w:p w14:paraId="3462AB19" w14:textId="1564E995" w:rsidR="00304D62" w:rsidRPr="00304D62" w:rsidRDefault="00304D62" w:rsidP="00C375FE">
            <w:pPr>
              <w:pStyle w:val="TableTextLeft"/>
              <w:rPr>
                <w:rFonts w:cs="Arial"/>
                <w:szCs w:val="16"/>
              </w:rPr>
            </w:pPr>
            <w:r w:rsidRPr="00304D62">
              <w:rPr>
                <w:rFonts w:cs="Arial"/>
                <w:szCs w:val="16"/>
              </w:rPr>
              <w:t>services.</w:t>
            </w:r>
          </w:p>
        </w:tc>
        <w:tc>
          <w:tcPr>
            <w:tcW w:w="3077" w:type="dxa"/>
            <w:tcBorders>
              <w:top w:val="single" w:sz="4" w:space="0" w:color="auto"/>
              <w:left w:val="single" w:sz="4" w:space="0" w:color="auto"/>
              <w:bottom w:val="dotted" w:sz="4" w:space="0" w:color="auto"/>
            </w:tcBorders>
          </w:tcPr>
          <w:p w14:paraId="757EAA67" w14:textId="31CC4FDB" w:rsidR="00304D62" w:rsidRPr="000B3435" w:rsidRDefault="00304D62" w:rsidP="00C375FE">
            <w:pPr>
              <w:pStyle w:val="TableTextLeft"/>
              <w:spacing w:before="0"/>
              <w:rPr>
                <w:rFonts w:cs="Arial"/>
                <w:szCs w:val="16"/>
              </w:rPr>
            </w:pPr>
            <w:r w:rsidRPr="00304D62">
              <w:rPr>
                <w:rFonts w:cs="Arial"/>
                <w:b/>
                <w:bCs/>
                <w:szCs w:val="16"/>
              </w:rPr>
              <w:t xml:space="preserve">Target 1: </w:t>
            </w:r>
            <w:r w:rsidRPr="00304D62">
              <w:rPr>
                <w:rFonts w:cs="Arial"/>
                <w:szCs w:val="16"/>
              </w:rPr>
              <w:t>85% satisfaction rate overall from customer surveys.</w:t>
            </w:r>
          </w:p>
        </w:tc>
      </w:tr>
      <w:tr w:rsidR="00304D62" w:rsidRPr="00304D62" w14:paraId="1F73EF23" w14:textId="77777777">
        <w:trPr>
          <w:cantSplit/>
          <w:trHeight w:val="491"/>
        </w:trPr>
        <w:tc>
          <w:tcPr>
            <w:tcW w:w="1546" w:type="dxa"/>
            <w:tcBorders>
              <w:top w:val="dotted" w:sz="4" w:space="0" w:color="auto"/>
              <w:bottom w:val="dotted" w:sz="4" w:space="0" w:color="auto"/>
              <w:right w:val="single" w:sz="4" w:space="0" w:color="auto"/>
            </w:tcBorders>
          </w:tcPr>
          <w:p w14:paraId="46D73349" w14:textId="77777777" w:rsidR="00304D62" w:rsidRPr="00304D62" w:rsidRDefault="00304D62" w:rsidP="00C375FE">
            <w:pPr>
              <w:pStyle w:val="TableTextLeft"/>
              <w:rPr>
                <w:rFonts w:cs="Arial"/>
                <w:szCs w:val="16"/>
              </w:rPr>
            </w:pPr>
            <w:r w:rsidRPr="00304D62">
              <w:rPr>
                <w:rFonts w:cs="Arial"/>
                <w:szCs w:val="16"/>
              </w:rPr>
              <w:t xml:space="preserve">Forward Estimates </w:t>
            </w:r>
          </w:p>
          <w:p w14:paraId="48D74A3D" w14:textId="77777777" w:rsidR="00304D62" w:rsidRPr="00304D62" w:rsidRDefault="00304D62" w:rsidP="00C375FE">
            <w:pPr>
              <w:pStyle w:val="TableTextLeft"/>
              <w:rPr>
                <w:rFonts w:cs="Arial"/>
                <w:b/>
                <w:szCs w:val="16"/>
              </w:rPr>
            </w:pPr>
            <w:r w:rsidRPr="00304D62">
              <w:rPr>
                <w:rFonts w:cs="Arial"/>
                <w:szCs w:val="16"/>
              </w:rPr>
              <w:t>2027–30</w:t>
            </w:r>
          </w:p>
        </w:tc>
        <w:tc>
          <w:tcPr>
            <w:tcW w:w="3077" w:type="dxa"/>
            <w:tcBorders>
              <w:top w:val="dotted" w:sz="4" w:space="0" w:color="auto"/>
              <w:left w:val="single" w:sz="4" w:space="0" w:color="auto"/>
              <w:bottom w:val="dotted" w:sz="4" w:space="0" w:color="auto"/>
              <w:right w:val="single" w:sz="4" w:space="0" w:color="auto"/>
            </w:tcBorders>
          </w:tcPr>
          <w:p w14:paraId="0647F462" w14:textId="77777777" w:rsidR="00304D62" w:rsidRPr="00304D62" w:rsidRDefault="00304D62" w:rsidP="00C375FE">
            <w:pPr>
              <w:pStyle w:val="TableTextLeft"/>
              <w:rPr>
                <w:rFonts w:cs="Arial"/>
                <w:b/>
                <w:szCs w:val="16"/>
              </w:rPr>
            </w:pPr>
            <w:r w:rsidRPr="00304D62">
              <w:rPr>
                <w:rFonts w:cs="Arial"/>
                <w:szCs w:val="16"/>
              </w:rPr>
              <w:t>As per 2026–27</w:t>
            </w:r>
          </w:p>
        </w:tc>
        <w:tc>
          <w:tcPr>
            <w:tcW w:w="3077" w:type="dxa"/>
            <w:tcBorders>
              <w:top w:val="dotted" w:sz="4" w:space="0" w:color="auto"/>
              <w:left w:val="single" w:sz="4" w:space="0" w:color="auto"/>
              <w:bottom w:val="dotted" w:sz="4" w:space="0" w:color="auto"/>
            </w:tcBorders>
          </w:tcPr>
          <w:p w14:paraId="11770E80" w14:textId="77777777" w:rsidR="00304D62" w:rsidRPr="00304D62" w:rsidRDefault="00304D62" w:rsidP="00C375FE">
            <w:pPr>
              <w:pStyle w:val="TableTextLeft"/>
              <w:spacing w:before="0"/>
              <w:rPr>
                <w:rFonts w:cs="Arial"/>
                <w:b/>
                <w:szCs w:val="16"/>
              </w:rPr>
            </w:pPr>
            <w:r w:rsidRPr="00304D62">
              <w:rPr>
                <w:rFonts w:cs="Arial"/>
                <w:szCs w:val="16"/>
              </w:rPr>
              <w:t>As per 2026–27</w:t>
            </w:r>
          </w:p>
        </w:tc>
      </w:tr>
      <w:tr w:rsidR="00304D62" w:rsidRPr="00304D62" w14:paraId="37070311" w14:textId="77777777">
        <w:trPr>
          <w:cantSplit/>
          <w:trHeight w:val="261"/>
        </w:trPr>
        <w:tc>
          <w:tcPr>
            <w:tcW w:w="7700" w:type="dxa"/>
            <w:gridSpan w:val="3"/>
          </w:tcPr>
          <w:p w14:paraId="3DA9D2C1" w14:textId="77777777" w:rsidR="00304D62" w:rsidRPr="00304D62" w:rsidRDefault="00304D62" w:rsidP="00C375FE">
            <w:pPr>
              <w:pStyle w:val="TableTextLeft"/>
              <w:rPr>
                <w:rFonts w:eastAsia="Cambria" w:cs="Arial"/>
                <w:spacing w:val="-6"/>
                <w:szCs w:val="16"/>
              </w:rPr>
            </w:pPr>
            <w:r w:rsidRPr="00304D62">
              <w:rPr>
                <w:rFonts w:cs="Arial"/>
                <w:szCs w:val="16"/>
              </w:rPr>
              <w:t>Material changes to Program 2.2 resulting from 2026–27 Budget Measures:</w:t>
            </w:r>
            <w:r w:rsidRPr="00304D62">
              <w:rPr>
                <w:rFonts w:eastAsia="Cambria" w:cs="Arial"/>
                <w:spacing w:val="-6"/>
                <w:szCs w:val="16"/>
                <w:lang w:eastAsia="en-US"/>
              </w:rPr>
              <w:t xml:space="preserve"> Nil</w:t>
            </w:r>
          </w:p>
        </w:tc>
      </w:tr>
    </w:tbl>
    <w:p w14:paraId="4C18DEB6" w14:textId="535BB0F5" w:rsidR="00CD1EE5" w:rsidRDefault="00CD1EE5" w:rsidP="00F5556B">
      <w:pPr>
        <w:pStyle w:val="TableGraphic"/>
        <w:numPr>
          <w:ilvl w:val="0"/>
          <w:numId w:val="53"/>
        </w:numPr>
        <w:rPr>
          <w:rFonts w:ascii="Arial" w:hAnsi="Arial" w:cs="Arial"/>
          <w:noProof/>
          <w:sz w:val="16"/>
          <w:szCs w:val="16"/>
        </w:rPr>
      </w:pPr>
      <w:r>
        <w:rPr>
          <w:rFonts w:ascii="Arial" w:hAnsi="Arial" w:cs="Arial"/>
          <w:noProof/>
          <w:sz w:val="16"/>
          <w:szCs w:val="16"/>
        </w:rPr>
        <w:t xml:space="preserve">‘Travel </w:t>
      </w:r>
      <w:r w:rsidRPr="00CD1EE5">
        <w:rPr>
          <w:rFonts w:ascii="Arial" w:hAnsi="Arial" w:cs="Arial"/>
          <w:noProof/>
          <w:sz w:val="16"/>
          <w:szCs w:val="16"/>
        </w:rPr>
        <w:t>documents’ refers to official documents that allow a person to travel internationally, including passports, certificates of identity, convention travel documents and documents of identity</w:t>
      </w:r>
      <w:r>
        <w:rPr>
          <w:rFonts w:ascii="Arial" w:hAnsi="Arial" w:cs="Arial"/>
          <w:noProof/>
          <w:sz w:val="16"/>
          <w:szCs w:val="16"/>
        </w:rPr>
        <w:t xml:space="preserve">. </w:t>
      </w:r>
    </w:p>
    <w:p w14:paraId="6194CD5D" w14:textId="21A2A0C0" w:rsidR="00304D62" w:rsidRDefault="00CD1EE5" w:rsidP="00F5556B">
      <w:pPr>
        <w:pStyle w:val="TableGraphic"/>
        <w:numPr>
          <w:ilvl w:val="0"/>
          <w:numId w:val="53"/>
        </w:numPr>
        <w:rPr>
          <w:rFonts w:ascii="Arial" w:hAnsi="Arial" w:cs="Arial"/>
          <w:noProof/>
          <w:sz w:val="16"/>
          <w:szCs w:val="16"/>
        </w:rPr>
      </w:pPr>
      <w:r>
        <w:rPr>
          <w:rFonts w:ascii="Arial" w:hAnsi="Arial" w:cs="Arial"/>
          <w:noProof/>
          <w:sz w:val="16"/>
          <w:szCs w:val="16"/>
        </w:rPr>
        <w:t xml:space="preserve">The </w:t>
      </w:r>
      <w:r w:rsidRPr="00CD1EE5">
        <w:rPr>
          <w:rFonts w:ascii="Arial" w:hAnsi="Arial" w:cs="Arial"/>
          <w:noProof/>
          <w:sz w:val="16"/>
          <w:szCs w:val="16"/>
        </w:rPr>
        <w:t>target published in the Corporate Plan 2025–26 ‘95% of passports processed are available within 6 weeks of lodgement’ has been updated to improve the clarity of scope being measured</w:t>
      </w:r>
      <w:r>
        <w:rPr>
          <w:rFonts w:ascii="Arial" w:hAnsi="Arial" w:cs="Arial"/>
          <w:noProof/>
          <w:sz w:val="16"/>
          <w:szCs w:val="16"/>
        </w:rPr>
        <w:t xml:space="preserve">. </w:t>
      </w:r>
    </w:p>
    <w:p w14:paraId="0B1BD93A" w14:textId="77777777" w:rsidR="00172EB5" w:rsidRPr="00172EB5" w:rsidRDefault="00172EB5" w:rsidP="00172EB5">
      <w:pPr>
        <w:pStyle w:val="TableGraphic"/>
      </w:pPr>
    </w:p>
    <w:p w14:paraId="2FC799C3" w14:textId="70146EC7" w:rsidR="00D61654" w:rsidRDefault="00D61654">
      <w:pPr>
        <w:spacing w:before="0" w:after="0" w:line="240" w:lineRule="auto"/>
        <w:rPr>
          <w:rFonts w:ascii="Arial" w:hAnsi="Arial"/>
          <w:color w:val="000000"/>
          <w:sz w:val="16"/>
        </w:rPr>
      </w:pPr>
      <w:r>
        <w:br w:type="page"/>
      </w:r>
    </w:p>
    <w:p w14:paraId="63992348" w14:textId="0E8F04E9" w:rsidR="00D61654" w:rsidRPr="00F743D8" w:rsidRDefault="00D61654" w:rsidP="00D61654">
      <w:pPr>
        <w:pStyle w:val="Heading3"/>
      </w:pPr>
      <w:r>
        <w:lastRenderedPageBreak/>
        <w:t>2.</w:t>
      </w:r>
      <w:r w:rsidR="002E13C5">
        <w:t>3</w:t>
      </w:r>
      <w:r w:rsidRPr="00F743D8">
        <w:t xml:space="preserve"> </w:t>
      </w:r>
      <w:r w:rsidRPr="00F743D8">
        <w:tab/>
        <w:t xml:space="preserve">Budgeted expenses and performance for Outcome </w:t>
      </w:r>
      <w:r w:rsidR="002E13C5">
        <w:t>3</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61654" w:rsidRPr="0069545F" w14:paraId="564DA071" w14:textId="77777777" w:rsidTr="00FF7B23">
        <w:tc>
          <w:tcPr>
            <w:tcW w:w="7704" w:type="dxa"/>
            <w:shd w:val="clear" w:color="auto" w:fill="E6E6E6"/>
          </w:tcPr>
          <w:p w14:paraId="04EB69FC" w14:textId="0576F4F7" w:rsidR="00D61654" w:rsidRPr="0069545F" w:rsidRDefault="00D61654" w:rsidP="00FF7B23">
            <w:pPr>
              <w:pStyle w:val="TableColumnHeadingLeft"/>
            </w:pPr>
            <w:r w:rsidRPr="0069545F">
              <w:t xml:space="preserve">Outcome </w:t>
            </w:r>
            <w:r w:rsidR="002E13C5">
              <w:t>3</w:t>
            </w:r>
            <w:r w:rsidRPr="0069545F">
              <w:t xml:space="preserve">: </w:t>
            </w:r>
            <w:r w:rsidR="002E13C5" w:rsidRPr="002E13C5">
              <w:t>A secure Australian Government presence overseas through the provision of security services and information and communications technology infrastructure, and the management of the Commonwealth's overseas property estate</w:t>
            </w:r>
            <w:r w:rsidR="002E13C5">
              <w:t xml:space="preserve">. </w:t>
            </w:r>
          </w:p>
        </w:tc>
      </w:tr>
    </w:tbl>
    <w:p w14:paraId="7B10FC38" w14:textId="77777777" w:rsidR="00D61654" w:rsidRPr="0069545F" w:rsidRDefault="00D61654" w:rsidP="00D61654">
      <w:pPr>
        <w:pStyle w:val="SingleParagraph"/>
      </w:pPr>
    </w:p>
    <w:p w14:paraId="22D8D434" w14:textId="2C27645C" w:rsidR="00D61654" w:rsidRPr="00446612" w:rsidRDefault="00D61654" w:rsidP="00D61654">
      <w:pPr>
        <w:pStyle w:val="Heading4"/>
      </w:pPr>
      <w:r w:rsidRPr="00446612">
        <w:t xml:space="preserve">Budgeted expenses for Outcome </w:t>
      </w:r>
      <w:r w:rsidR="002E13C5">
        <w:t>3</w:t>
      </w:r>
    </w:p>
    <w:p w14:paraId="7351977E" w14:textId="77777777" w:rsidR="00D61654" w:rsidRDefault="00D61654" w:rsidP="00D61654">
      <w:r w:rsidRPr="00950281">
        <w:t>This table shows how much the entity intends to spend (on an accrual basis) on achieving the outcome, broken down by program, as well as by Administered an</w:t>
      </w:r>
      <w:r>
        <w:t>d Departmental funding sources.</w:t>
      </w:r>
    </w:p>
    <w:p w14:paraId="1C2DBD5A" w14:textId="0F675277" w:rsidR="00D61654" w:rsidRDefault="00D61654" w:rsidP="00D61654">
      <w:pPr>
        <w:pStyle w:val="TableHeading"/>
      </w:pPr>
      <w:r w:rsidRPr="006E4DF1">
        <w:t>Table 2.</w:t>
      </w:r>
      <w:r w:rsidR="002E13C5">
        <w:t>3</w:t>
      </w:r>
      <w:r w:rsidRPr="006E4DF1">
        <w:t xml:space="preserve">.1: Budgeted expenses for Outcome </w:t>
      </w:r>
      <w:r w:rsidR="002E13C5">
        <w:t>3</w:t>
      </w:r>
    </w:p>
    <w:p w14:paraId="5031091F" w14:textId="0A373FF7" w:rsidR="00D61654" w:rsidRDefault="00EA5DFB" w:rsidP="00D61654">
      <w:pPr>
        <w:pStyle w:val="TableGraphic"/>
      </w:pPr>
      <w:r w:rsidRPr="00EA5DFB">
        <w:drawing>
          <wp:inline distT="0" distB="0" distL="0" distR="0" wp14:anchorId="1F868EE0" wp14:editId="43936FDD">
            <wp:extent cx="4818380" cy="3903980"/>
            <wp:effectExtent l="0" t="0" r="1270" b="1270"/>
            <wp:docPr id="1030216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8380" cy="3903980"/>
                    </a:xfrm>
                    <a:prstGeom prst="rect">
                      <a:avLst/>
                    </a:prstGeom>
                    <a:noFill/>
                    <a:ln>
                      <a:noFill/>
                    </a:ln>
                  </pic:spPr>
                </pic:pic>
              </a:graphicData>
            </a:graphic>
          </wp:inline>
        </w:drawing>
      </w:r>
    </w:p>
    <w:p w14:paraId="6D75E811" w14:textId="3604ECC7" w:rsidR="00D61654" w:rsidRPr="00446EE2" w:rsidRDefault="00D61654" w:rsidP="00707A3D">
      <w:pPr>
        <w:pStyle w:val="ChartandTableFootnoteAlpha"/>
        <w:numPr>
          <w:ilvl w:val="0"/>
          <w:numId w:val="19"/>
        </w:numPr>
      </w:pPr>
      <w:r w:rsidRPr="00446EE2">
        <w:t>Expenses not requiring appropriation in the Budget year are made up of depreciation expenses, amortisation expenses</w:t>
      </w:r>
      <w:r w:rsidR="0023071E">
        <w:t xml:space="preserve"> and </w:t>
      </w:r>
      <w:r w:rsidRPr="00446EE2">
        <w:t>make good expenses.</w:t>
      </w:r>
    </w:p>
    <w:p w14:paraId="0645DAED" w14:textId="77777777" w:rsidR="00D61654" w:rsidRPr="00446612" w:rsidRDefault="00D61654" w:rsidP="00D61654">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40EC6CB8" w14:textId="77777777" w:rsidR="00D61654" w:rsidRDefault="00D61654" w:rsidP="00D61654">
      <w:pPr>
        <w:spacing w:before="0" w:after="0" w:line="240" w:lineRule="auto"/>
        <w:rPr>
          <w:highlight w:val="green"/>
        </w:rPr>
      </w:pPr>
      <w:r>
        <w:rPr>
          <w:highlight w:val="green"/>
        </w:rPr>
        <w:br w:type="page"/>
      </w:r>
    </w:p>
    <w:p w14:paraId="1885BB64" w14:textId="7F8F9320" w:rsidR="00D61654" w:rsidRPr="00F71634" w:rsidRDefault="00D61654" w:rsidP="00D61654">
      <w:pPr>
        <w:pStyle w:val="Heading4"/>
      </w:pPr>
      <w:r w:rsidRPr="00250122">
        <w:lastRenderedPageBreak/>
        <w:t>Performance</w:t>
      </w:r>
      <w:r w:rsidRPr="00F71634">
        <w:t xml:space="preserve"> </w:t>
      </w:r>
      <w:r>
        <w:t>measures</w:t>
      </w:r>
      <w:r w:rsidRPr="00F71634">
        <w:t xml:space="preserve"> for Outcome </w:t>
      </w:r>
      <w:r w:rsidR="002E13C5">
        <w:t>3</w:t>
      </w:r>
    </w:p>
    <w:p w14:paraId="5D72A5EC" w14:textId="6BD5665C" w:rsidR="003531A4" w:rsidRDefault="00D61654" w:rsidP="00D61654">
      <w:r w:rsidRPr="005D4B9C">
        <w:t>Table 2.</w:t>
      </w:r>
      <w:r w:rsidR="002E13C5">
        <w:t>3</w:t>
      </w:r>
      <w:r w:rsidRPr="005D4B9C">
        <w:t>.</w:t>
      </w:r>
      <w:r w:rsidR="00950B15">
        <w:t>2</w:t>
      </w:r>
      <w:r w:rsidRPr="005D4B9C">
        <w:t xml:space="preserve"> details the performance measures for each program associated with Outcome </w:t>
      </w:r>
      <w:r w:rsidR="002E13C5">
        <w:t>3</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6ACD94E1" w14:textId="25468AD0" w:rsidR="00D61654" w:rsidRDefault="003531A4" w:rsidP="003531A4">
      <w:pPr>
        <w:spacing w:before="0" w:after="0" w:line="240" w:lineRule="auto"/>
      </w:pPr>
      <w:r>
        <w:br w:type="page"/>
      </w:r>
    </w:p>
    <w:p w14:paraId="12542A3A" w14:textId="7404A48D" w:rsidR="00D61654" w:rsidRDefault="00D61654" w:rsidP="00D61654">
      <w:pPr>
        <w:pStyle w:val="TableHeading"/>
      </w:pPr>
      <w:r w:rsidRPr="00E6464E">
        <w:lastRenderedPageBreak/>
        <w:t>Table 2.</w:t>
      </w:r>
      <w:r w:rsidR="00950B15">
        <w:t>3</w:t>
      </w:r>
      <w:r w:rsidRPr="00E6464E">
        <w:t>.</w:t>
      </w:r>
      <w:r w:rsidR="00950B15">
        <w:t>2</w:t>
      </w:r>
      <w:r w:rsidRPr="00E6464E">
        <w:t xml:space="preserve">: Performance measures for Outcome </w:t>
      </w:r>
      <w:r w:rsidR="00950B15">
        <w:t>3</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6"/>
        <w:gridCol w:w="3079"/>
      </w:tblGrid>
      <w:tr w:rsidR="003531A4" w:rsidRPr="003531A4" w14:paraId="4AFEA93C" w14:textId="77777777">
        <w:trPr>
          <w:cantSplit/>
          <w:trHeight w:val="261"/>
          <w:tblHeader/>
        </w:trPr>
        <w:tc>
          <w:tcPr>
            <w:tcW w:w="7796" w:type="dxa"/>
            <w:gridSpan w:val="3"/>
            <w:shd w:val="clear" w:color="auto" w:fill="F2F2F2"/>
          </w:tcPr>
          <w:p w14:paraId="74CBD6DC" w14:textId="77777777" w:rsidR="003531A4" w:rsidRPr="003531A4" w:rsidRDefault="003531A4" w:rsidP="00C375FE">
            <w:pPr>
              <w:pStyle w:val="TableColumnHeadingLeft"/>
              <w:rPr>
                <w:rFonts w:ascii="Arial" w:hAnsi="Arial" w:cs="Arial"/>
                <w:bCs/>
              </w:rPr>
            </w:pPr>
            <w:r w:rsidRPr="003531A4">
              <w:rPr>
                <w:rFonts w:ascii="Arial" w:hAnsi="Arial" w:cs="Arial"/>
              </w:rPr>
              <w:t>Outcome 3</w:t>
            </w:r>
            <w:r w:rsidRPr="003531A4">
              <w:rPr>
                <w:rFonts w:ascii="Arial" w:hAnsi="Arial" w:cs="Arial"/>
                <w:bCs/>
              </w:rPr>
              <w:t xml:space="preserve"> </w:t>
            </w:r>
            <w:r w:rsidRPr="003531A4">
              <w:rPr>
                <w:rFonts w:ascii="Arial" w:hAnsi="Arial" w:cs="Arial"/>
              </w:rPr>
              <w:t>– A secure Australian Government presence overseas through the provision of security services and information and communications technology infrastructure, and the management of the Commonwealth’s overseas property estate.</w:t>
            </w:r>
          </w:p>
        </w:tc>
      </w:tr>
      <w:tr w:rsidR="003531A4" w:rsidRPr="003531A4" w14:paraId="2EDAE6AD" w14:textId="77777777" w:rsidTr="000B3435">
        <w:trPr>
          <w:cantSplit/>
          <w:trHeight w:val="246"/>
          <w:tblHeader/>
        </w:trPr>
        <w:tc>
          <w:tcPr>
            <w:tcW w:w="7796" w:type="dxa"/>
            <w:gridSpan w:val="3"/>
            <w:shd w:val="clear" w:color="auto" w:fill="F2F2F2"/>
          </w:tcPr>
          <w:p w14:paraId="26AF519E" w14:textId="77777777" w:rsidR="003531A4" w:rsidRPr="003531A4" w:rsidRDefault="003531A4" w:rsidP="00C375FE">
            <w:pPr>
              <w:pStyle w:val="TableColumnHeadingLeft"/>
              <w:rPr>
                <w:rFonts w:ascii="Arial" w:eastAsia="Arial" w:hAnsi="Arial" w:cs="Arial"/>
              </w:rPr>
            </w:pPr>
            <w:r w:rsidRPr="003531A4">
              <w:rPr>
                <w:rFonts w:ascii="Arial" w:hAnsi="Arial" w:cs="Arial"/>
              </w:rPr>
              <w:t xml:space="preserve">Program 3.1 – </w:t>
            </w:r>
            <w:r w:rsidRPr="003531A4">
              <w:rPr>
                <w:rFonts w:ascii="Arial" w:eastAsia="Arial" w:hAnsi="Arial" w:cs="Arial"/>
              </w:rPr>
              <w:t>Foreign Affairs and Trade Security and IT</w:t>
            </w:r>
          </w:p>
        </w:tc>
      </w:tr>
      <w:tr w:rsidR="003531A4" w:rsidRPr="003531A4" w14:paraId="27C1F9B6" w14:textId="77777777">
        <w:trPr>
          <w:cantSplit/>
          <w:trHeight w:val="261"/>
        </w:trPr>
        <w:tc>
          <w:tcPr>
            <w:tcW w:w="1560" w:type="dxa"/>
            <w:tcBorders>
              <w:bottom w:val="double" w:sz="4" w:space="0" w:color="auto"/>
            </w:tcBorders>
          </w:tcPr>
          <w:p w14:paraId="1ED0513E" w14:textId="77777777" w:rsidR="003531A4" w:rsidRPr="003531A4" w:rsidRDefault="003531A4" w:rsidP="00C375FE">
            <w:pPr>
              <w:pStyle w:val="TableColumnHeadingLeft"/>
              <w:rPr>
                <w:rFonts w:ascii="Arial" w:hAnsi="Arial" w:cs="Arial"/>
              </w:rPr>
            </w:pPr>
            <w:r w:rsidRPr="003531A4">
              <w:rPr>
                <w:rFonts w:ascii="Arial" w:hAnsi="Arial" w:cs="Arial"/>
              </w:rPr>
              <w:t>Key activities</w:t>
            </w:r>
          </w:p>
        </w:tc>
        <w:tc>
          <w:tcPr>
            <w:tcW w:w="6236" w:type="dxa"/>
            <w:gridSpan w:val="2"/>
            <w:tcBorders>
              <w:bottom w:val="double" w:sz="4" w:space="0" w:color="auto"/>
            </w:tcBorders>
          </w:tcPr>
          <w:p w14:paraId="38C97B8F" w14:textId="5C6632D2" w:rsidR="003531A4" w:rsidRPr="003531A4" w:rsidRDefault="003531A4" w:rsidP="00C375FE">
            <w:pPr>
              <w:pStyle w:val="TableTextLeft"/>
              <w:rPr>
                <w:rFonts w:cs="Arial"/>
              </w:rPr>
            </w:pPr>
            <w:r w:rsidRPr="003531A4">
              <w:rPr>
                <w:rFonts w:cs="Arial"/>
              </w:rPr>
              <w:t>Key activities reported in the Corporate Plan 2025</w:t>
            </w:r>
            <w:r w:rsidR="00FB3FDA" w:rsidRPr="003A00DB">
              <w:rPr>
                <w:rFonts w:cs="Arial"/>
              </w:rPr>
              <w:t>–</w:t>
            </w:r>
            <w:r w:rsidRPr="003531A4">
              <w:rPr>
                <w:rFonts w:cs="Arial"/>
              </w:rPr>
              <w:t>26 that relate to this program.</w:t>
            </w:r>
          </w:p>
          <w:p w14:paraId="2495F418" w14:textId="77777777" w:rsidR="003531A4" w:rsidRPr="003531A4" w:rsidRDefault="003531A4" w:rsidP="003531A4">
            <w:pPr>
              <w:pStyle w:val="TableTextLeft"/>
              <w:numPr>
                <w:ilvl w:val="0"/>
                <w:numId w:val="48"/>
              </w:numPr>
              <w:rPr>
                <w:rFonts w:cs="Arial"/>
              </w:rPr>
            </w:pPr>
            <w:r w:rsidRPr="003531A4">
              <w:rPr>
                <w:rFonts w:cs="Arial"/>
              </w:rPr>
              <w:t>Manage the Australian Government’s overseas network.</w:t>
            </w:r>
          </w:p>
        </w:tc>
      </w:tr>
      <w:tr w:rsidR="003531A4" w:rsidRPr="003531A4" w14:paraId="36585D62" w14:textId="77777777">
        <w:trPr>
          <w:cantSplit/>
          <w:trHeight w:val="258"/>
        </w:trPr>
        <w:tc>
          <w:tcPr>
            <w:tcW w:w="1560" w:type="dxa"/>
            <w:tcBorders>
              <w:top w:val="double" w:sz="4" w:space="0" w:color="auto"/>
              <w:bottom w:val="single" w:sz="4" w:space="0" w:color="auto"/>
              <w:right w:val="single" w:sz="4" w:space="0" w:color="auto"/>
            </w:tcBorders>
          </w:tcPr>
          <w:p w14:paraId="57958F69" w14:textId="77777777" w:rsidR="003531A4" w:rsidRPr="003531A4" w:rsidRDefault="003531A4" w:rsidP="00C375FE">
            <w:pPr>
              <w:pStyle w:val="TableColumnHeadingLeft"/>
              <w:rPr>
                <w:rFonts w:ascii="Arial" w:hAnsi="Arial" w:cs="Arial"/>
              </w:rPr>
            </w:pPr>
            <w:r w:rsidRPr="003531A4">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1FAB9640" w14:textId="77777777" w:rsidR="003531A4" w:rsidRPr="003531A4" w:rsidRDefault="003531A4" w:rsidP="00C375FE">
            <w:pPr>
              <w:pStyle w:val="TableColumnHeadingLeft"/>
              <w:rPr>
                <w:rFonts w:ascii="Arial" w:hAnsi="Arial" w:cs="Arial"/>
              </w:rPr>
            </w:pPr>
            <w:r w:rsidRPr="003531A4">
              <w:rPr>
                <w:rFonts w:ascii="Arial" w:hAnsi="Arial" w:cs="Arial"/>
              </w:rPr>
              <w:t xml:space="preserve">Performance measures </w:t>
            </w:r>
          </w:p>
        </w:tc>
        <w:tc>
          <w:tcPr>
            <w:tcW w:w="3118" w:type="dxa"/>
            <w:tcBorders>
              <w:top w:val="double" w:sz="4" w:space="0" w:color="auto"/>
              <w:left w:val="single" w:sz="4" w:space="0" w:color="auto"/>
              <w:bottom w:val="single" w:sz="4" w:space="0" w:color="auto"/>
            </w:tcBorders>
          </w:tcPr>
          <w:p w14:paraId="14AFC655" w14:textId="77777777" w:rsidR="003531A4" w:rsidRPr="003531A4" w:rsidRDefault="003531A4" w:rsidP="00C375FE">
            <w:pPr>
              <w:pStyle w:val="TableColumnHeadingLeft"/>
              <w:rPr>
                <w:rFonts w:ascii="Arial" w:hAnsi="Arial" w:cs="Arial"/>
              </w:rPr>
            </w:pPr>
            <w:r w:rsidRPr="003531A4">
              <w:rPr>
                <w:rFonts w:ascii="Arial" w:hAnsi="Arial" w:cs="Arial"/>
              </w:rPr>
              <w:t>Expected performance results</w:t>
            </w:r>
          </w:p>
        </w:tc>
      </w:tr>
      <w:tr w:rsidR="003531A4" w:rsidRPr="003531A4" w14:paraId="747CC446" w14:textId="77777777">
        <w:trPr>
          <w:cantSplit/>
          <w:trHeight w:val="642"/>
        </w:trPr>
        <w:tc>
          <w:tcPr>
            <w:tcW w:w="1560" w:type="dxa"/>
            <w:tcBorders>
              <w:top w:val="single" w:sz="4" w:space="0" w:color="auto"/>
              <w:bottom w:val="dotted" w:sz="4" w:space="0" w:color="auto"/>
              <w:right w:val="single" w:sz="4" w:space="0" w:color="auto"/>
            </w:tcBorders>
          </w:tcPr>
          <w:p w14:paraId="77033C69" w14:textId="77777777" w:rsidR="003531A4" w:rsidRPr="003531A4" w:rsidRDefault="003531A4" w:rsidP="00C375FE">
            <w:pPr>
              <w:pStyle w:val="TableTextLeft"/>
              <w:rPr>
                <w:rFonts w:cs="Arial"/>
              </w:rPr>
            </w:pPr>
            <w:r w:rsidRPr="003531A4">
              <w:rPr>
                <w:rFonts w:cs="Arial"/>
              </w:rPr>
              <w:t xml:space="preserve">Current Year </w:t>
            </w:r>
          </w:p>
          <w:p w14:paraId="523170BE" w14:textId="77777777" w:rsidR="003531A4" w:rsidRPr="003531A4" w:rsidRDefault="003531A4" w:rsidP="00C375FE">
            <w:pPr>
              <w:pStyle w:val="TableTextLeft"/>
              <w:rPr>
                <w:rFonts w:cs="Arial"/>
              </w:rPr>
            </w:pPr>
            <w:r w:rsidRPr="003531A4">
              <w:rPr>
                <w:rFonts w:cs="Arial"/>
              </w:rPr>
              <w:t>2025–26</w:t>
            </w:r>
          </w:p>
        </w:tc>
        <w:tc>
          <w:tcPr>
            <w:tcW w:w="3118" w:type="dxa"/>
            <w:tcBorders>
              <w:top w:val="single" w:sz="4" w:space="0" w:color="auto"/>
              <w:left w:val="single" w:sz="4" w:space="0" w:color="auto"/>
              <w:bottom w:val="dotted" w:sz="4" w:space="0" w:color="auto"/>
              <w:right w:val="single" w:sz="4" w:space="0" w:color="auto"/>
            </w:tcBorders>
          </w:tcPr>
          <w:p w14:paraId="4DBF18BE" w14:textId="1B40049A" w:rsidR="003531A4" w:rsidRPr="003531A4" w:rsidRDefault="003531A4" w:rsidP="00C375FE">
            <w:pPr>
              <w:pStyle w:val="TableTextLeft"/>
              <w:rPr>
                <w:rFonts w:cs="Arial"/>
              </w:rPr>
            </w:pPr>
            <w:r w:rsidRPr="003531A4">
              <w:rPr>
                <w:rFonts w:cs="Arial"/>
              </w:rPr>
              <w:t>Australian Government staff, information and assets overseas are protected through appropriate risk</w:t>
            </w:r>
            <w:r w:rsidR="000B3435">
              <w:rPr>
                <w:rFonts w:cs="Arial"/>
              </w:rPr>
              <w:noBreakHyphen/>
            </w:r>
            <w:r w:rsidRPr="003531A4">
              <w:rPr>
                <w:rFonts w:cs="Arial"/>
              </w:rPr>
              <w:t>focused security measures.</w:t>
            </w:r>
          </w:p>
          <w:p w14:paraId="37250432" w14:textId="77777777" w:rsidR="003531A4" w:rsidRPr="003531A4" w:rsidRDefault="003531A4" w:rsidP="00C375FE">
            <w:pPr>
              <w:pStyle w:val="TableTextLeft"/>
              <w:rPr>
                <w:rFonts w:cs="Arial"/>
              </w:rPr>
            </w:pPr>
          </w:p>
        </w:tc>
        <w:tc>
          <w:tcPr>
            <w:tcW w:w="3118" w:type="dxa"/>
            <w:tcBorders>
              <w:top w:val="single" w:sz="4" w:space="0" w:color="auto"/>
              <w:left w:val="single" w:sz="4" w:space="0" w:color="auto"/>
              <w:bottom w:val="dotted" w:sz="4" w:space="0" w:color="auto"/>
            </w:tcBorders>
          </w:tcPr>
          <w:p w14:paraId="221EBD78" w14:textId="77777777" w:rsidR="003531A4" w:rsidRDefault="003531A4" w:rsidP="00C375FE">
            <w:pPr>
              <w:pStyle w:val="TableTextLeft"/>
              <w:spacing w:before="0"/>
              <w:rPr>
                <w:rFonts w:cs="Arial"/>
              </w:rPr>
            </w:pPr>
            <w:r w:rsidRPr="003531A4">
              <w:rPr>
                <w:rFonts w:cs="Arial"/>
                <w:b/>
                <w:bCs/>
              </w:rPr>
              <w:t>Target 1</w:t>
            </w:r>
            <w:r w:rsidRPr="003531A4">
              <w:rPr>
                <w:rFonts w:cs="Arial"/>
              </w:rPr>
              <w:t xml:space="preserve">: DFAT achieves the set security performance standards across </w:t>
            </w:r>
            <w:proofErr w:type="gramStart"/>
            <w:r w:rsidRPr="003531A4">
              <w:rPr>
                <w:rFonts w:cs="Arial"/>
              </w:rPr>
              <w:t>a majority of</w:t>
            </w:r>
            <w:proofErr w:type="gramEnd"/>
            <w:r w:rsidRPr="003531A4">
              <w:rPr>
                <w:rFonts w:cs="Arial"/>
              </w:rPr>
              <w:t xml:space="preserve"> its posts in the areas of compliance, culture and responsiveness to incidents.</w:t>
            </w:r>
          </w:p>
          <w:p w14:paraId="49BC63FD" w14:textId="77777777" w:rsidR="0098772D" w:rsidRPr="003531A4" w:rsidRDefault="0098772D" w:rsidP="00C375FE">
            <w:pPr>
              <w:pStyle w:val="TableTextLeft"/>
              <w:spacing w:before="0"/>
              <w:rPr>
                <w:rFonts w:cs="Arial"/>
              </w:rPr>
            </w:pPr>
          </w:p>
          <w:p w14:paraId="10576D21" w14:textId="77777777" w:rsidR="003531A4" w:rsidRPr="003531A4" w:rsidRDefault="003531A4" w:rsidP="00C375FE">
            <w:pPr>
              <w:pStyle w:val="TableTextLeft"/>
              <w:spacing w:before="0" w:after="0"/>
              <w:rPr>
                <w:rFonts w:cs="Arial"/>
              </w:rPr>
            </w:pPr>
            <w:r w:rsidRPr="003531A4">
              <w:rPr>
                <w:rFonts w:cs="Arial"/>
                <w:b/>
                <w:bCs/>
              </w:rPr>
              <w:t>The target is on track</w:t>
            </w:r>
            <w:r w:rsidRPr="003531A4">
              <w:rPr>
                <w:rFonts w:cs="Arial"/>
              </w:rPr>
              <w:t xml:space="preserve">. From 1 July to 31 December 2025 </w:t>
            </w:r>
            <w:proofErr w:type="gramStart"/>
            <w:r w:rsidRPr="003531A4">
              <w:rPr>
                <w:rFonts w:cs="Arial"/>
              </w:rPr>
              <w:t>a majority of</w:t>
            </w:r>
            <w:proofErr w:type="gramEnd"/>
            <w:r w:rsidRPr="003531A4">
              <w:rPr>
                <w:rFonts w:cs="Arial"/>
              </w:rPr>
              <w:t xml:space="preserve"> posts met the set security standards in the areas of compliance, culture and responsiveness to incidents.</w:t>
            </w:r>
          </w:p>
          <w:p w14:paraId="050237E0" w14:textId="77777777" w:rsidR="003531A4" w:rsidRPr="003531A4" w:rsidRDefault="003531A4" w:rsidP="00C375FE">
            <w:pPr>
              <w:pStyle w:val="TableTextLeft"/>
              <w:spacing w:before="0" w:after="0"/>
              <w:rPr>
                <w:rFonts w:cs="Arial"/>
              </w:rPr>
            </w:pPr>
          </w:p>
          <w:p w14:paraId="41263849" w14:textId="77777777" w:rsidR="003531A4" w:rsidRPr="003531A4" w:rsidRDefault="003531A4" w:rsidP="00C375FE">
            <w:pPr>
              <w:pStyle w:val="TableTextLeft"/>
              <w:spacing w:before="0" w:after="0"/>
              <w:rPr>
                <w:rFonts w:cs="Arial"/>
              </w:rPr>
            </w:pPr>
            <w:r w:rsidRPr="003531A4">
              <w:rPr>
                <w:rFonts w:cs="Arial"/>
                <w:b/>
                <w:bCs/>
              </w:rPr>
              <w:t>Target 2</w:t>
            </w:r>
            <w:r w:rsidRPr="003531A4">
              <w:rPr>
                <w:rFonts w:cs="Arial"/>
              </w:rPr>
              <w:t xml:space="preserve">: DFAT delivers the Overseas Resilience to Cyber Activities program to 80% of posts selected through its annual risk-based planning process.  </w:t>
            </w:r>
          </w:p>
          <w:p w14:paraId="724A0CED" w14:textId="7299E553" w:rsidR="003531A4" w:rsidRPr="003531A4" w:rsidRDefault="003531A4" w:rsidP="00C375FE">
            <w:pPr>
              <w:pStyle w:val="TableTextLeft"/>
              <w:spacing w:before="80"/>
              <w:rPr>
                <w:rFonts w:cs="Arial"/>
              </w:rPr>
            </w:pPr>
            <w:r w:rsidRPr="003531A4">
              <w:rPr>
                <w:rFonts w:cs="Arial"/>
              </w:rPr>
              <w:t>Data will be available after 30 June 2026 and reported in the Performance Statements 2025</w:t>
            </w:r>
            <w:r w:rsidR="00422BCE" w:rsidRPr="003A00DB">
              <w:rPr>
                <w:rFonts w:cs="Arial"/>
              </w:rPr>
              <w:t>–</w:t>
            </w:r>
            <w:r w:rsidRPr="003531A4">
              <w:rPr>
                <w:rFonts w:cs="Arial"/>
              </w:rPr>
              <w:t>26.</w:t>
            </w:r>
          </w:p>
          <w:p w14:paraId="1DDEDA15" w14:textId="77777777" w:rsidR="003531A4" w:rsidRPr="003531A4" w:rsidRDefault="003531A4" w:rsidP="00C375FE">
            <w:pPr>
              <w:pStyle w:val="TableTextLeft"/>
              <w:spacing w:before="0" w:after="0"/>
              <w:rPr>
                <w:rFonts w:cs="Arial"/>
              </w:rPr>
            </w:pPr>
          </w:p>
          <w:p w14:paraId="6F0A2D67" w14:textId="45A1660D" w:rsidR="003531A4" w:rsidRPr="003531A4" w:rsidRDefault="003531A4" w:rsidP="000B3435">
            <w:pPr>
              <w:pStyle w:val="TableTextLeft"/>
              <w:spacing w:before="0" w:after="120"/>
              <w:rPr>
                <w:rFonts w:cs="Arial"/>
              </w:rPr>
            </w:pPr>
            <w:r w:rsidRPr="003531A4">
              <w:rPr>
                <w:rFonts w:cs="Arial"/>
                <w:b/>
                <w:bCs/>
              </w:rPr>
              <w:t>Performance measure</w:t>
            </w:r>
            <w:r w:rsidRPr="003531A4">
              <w:rPr>
                <w:rFonts w:cs="Arial"/>
              </w:rPr>
              <w:t>: The performance measure result will be reported in the Performance Statements 2025</w:t>
            </w:r>
            <w:r w:rsidR="00422BCE" w:rsidRPr="003A00DB">
              <w:rPr>
                <w:rFonts w:cs="Arial"/>
              </w:rPr>
              <w:t>–</w:t>
            </w:r>
            <w:r w:rsidRPr="003531A4">
              <w:rPr>
                <w:rFonts w:cs="Arial"/>
              </w:rPr>
              <w:t xml:space="preserve">26 when data for all targets is available.  </w:t>
            </w:r>
          </w:p>
        </w:tc>
      </w:tr>
      <w:tr w:rsidR="003531A4" w:rsidRPr="003531A4" w14:paraId="2B70E012" w14:textId="77777777">
        <w:trPr>
          <w:cantSplit/>
          <w:trHeight w:val="100"/>
        </w:trPr>
        <w:tc>
          <w:tcPr>
            <w:tcW w:w="1560" w:type="dxa"/>
            <w:tcBorders>
              <w:top w:val="single" w:sz="4" w:space="0" w:color="auto"/>
              <w:bottom w:val="dotted" w:sz="4" w:space="0" w:color="auto"/>
              <w:right w:val="single" w:sz="4" w:space="0" w:color="auto"/>
            </w:tcBorders>
          </w:tcPr>
          <w:p w14:paraId="71829502" w14:textId="77777777" w:rsidR="003531A4" w:rsidRPr="003531A4" w:rsidRDefault="003531A4" w:rsidP="00C375FE">
            <w:pPr>
              <w:pStyle w:val="TableColumnHeadingLeft"/>
              <w:rPr>
                <w:rFonts w:ascii="Arial" w:hAnsi="Arial" w:cs="Arial"/>
              </w:rPr>
            </w:pPr>
            <w:r w:rsidRPr="003531A4">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399B5700" w14:textId="77777777" w:rsidR="003531A4" w:rsidRPr="003531A4" w:rsidRDefault="003531A4" w:rsidP="00C375FE">
            <w:pPr>
              <w:pStyle w:val="TableColumnHeadingLeft"/>
              <w:rPr>
                <w:rFonts w:ascii="Arial" w:hAnsi="Arial" w:cs="Arial"/>
              </w:rPr>
            </w:pPr>
            <w:r w:rsidRPr="003531A4">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17657CC9" w14:textId="77777777" w:rsidR="003531A4" w:rsidRPr="003531A4" w:rsidRDefault="003531A4" w:rsidP="00C375FE">
            <w:pPr>
              <w:pStyle w:val="TableColumnHeadingLeft"/>
              <w:spacing w:before="0" w:after="20"/>
              <w:rPr>
                <w:rFonts w:ascii="Arial" w:hAnsi="Arial" w:cs="Arial"/>
              </w:rPr>
            </w:pPr>
            <w:r w:rsidRPr="003531A4">
              <w:rPr>
                <w:rFonts w:ascii="Arial" w:hAnsi="Arial" w:cs="Arial"/>
              </w:rPr>
              <w:t>Planned performance results</w:t>
            </w:r>
          </w:p>
        </w:tc>
      </w:tr>
      <w:tr w:rsidR="003531A4" w:rsidRPr="003531A4" w14:paraId="0F133DC1" w14:textId="77777777">
        <w:trPr>
          <w:cantSplit/>
          <w:trHeight w:val="782"/>
        </w:trPr>
        <w:tc>
          <w:tcPr>
            <w:tcW w:w="1560" w:type="dxa"/>
            <w:tcBorders>
              <w:top w:val="single" w:sz="4" w:space="0" w:color="auto"/>
              <w:bottom w:val="dotted" w:sz="4" w:space="0" w:color="auto"/>
              <w:right w:val="single" w:sz="4" w:space="0" w:color="auto"/>
            </w:tcBorders>
          </w:tcPr>
          <w:p w14:paraId="2450DD18" w14:textId="77777777" w:rsidR="003531A4" w:rsidRPr="003531A4" w:rsidRDefault="003531A4" w:rsidP="00C375FE">
            <w:pPr>
              <w:pStyle w:val="TableTextLeft"/>
              <w:rPr>
                <w:rFonts w:cs="Arial"/>
              </w:rPr>
            </w:pPr>
            <w:r w:rsidRPr="003531A4">
              <w:rPr>
                <w:rFonts w:cs="Arial"/>
              </w:rPr>
              <w:t xml:space="preserve">Budget Year </w:t>
            </w:r>
          </w:p>
          <w:p w14:paraId="4D3EB14B" w14:textId="77777777" w:rsidR="003531A4" w:rsidRPr="003531A4" w:rsidRDefault="003531A4" w:rsidP="00C375FE">
            <w:pPr>
              <w:pStyle w:val="TableTextLeft"/>
              <w:rPr>
                <w:rFonts w:cs="Arial"/>
              </w:rPr>
            </w:pPr>
            <w:r w:rsidRPr="003531A4">
              <w:rPr>
                <w:rFonts w:cs="Arial"/>
              </w:rPr>
              <w:t>2026–27</w:t>
            </w:r>
          </w:p>
        </w:tc>
        <w:tc>
          <w:tcPr>
            <w:tcW w:w="3118" w:type="dxa"/>
            <w:tcBorders>
              <w:top w:val="single" w:sz="4" w:space="0" w:color="auto"/>
              <w:left w:val="single" w:sz="4" w:space="0" w:color="auto"/>
              <w:bottom w:val="dotted" w:sz="4" w:space="0" w:color="auto"/>
              <w:right w:val="single" w:sz="4" w:space="0" w:color="auto"/>
            </w:tcBorders>
          </w:tcPr>
          <w:p w14:paraId="79246056" w14:textId="77777777" w:rsidR="003531A4" w:rsidRPr="003531A4" w:rsidRDefault="003531A4" w:rsidP="00C375FE">
            <w:pPr>
              <w:pStyle w:val="TableTextLeft"/>
              <w:rPr>
                <w:rFonts w:cs="Arial"/>
              </w:rPr>
            </w:pPr>
            <w:r w:rsidRPr="003531A4">
              <w:rPr>
                <w:rFonts w:cs="Arial"/>
              </w:rPr>
              <w:t>Australian Government staff, information and assets overseas are protected through appropriate risk-focused security measures.</w:t>
            </w:r>
          </w:p>
          <w:p w14:paraId="0390B822" w14:textId="77777777" w:rsidR="003531A4" w:rsidRPr="003531A4" w:rsidRDefault="003531A4" w:rsidP="00C375FE">
            <w:pPr>
              <w:pStyle w:val="TableTextLeft"/>
              <w:rPr>
                <w:rFonts w:cs="Arial"/>
              </w:rPr>
            </w:pPr>
          </w:p>
        </w:tc>
        <w:tc>
          <w:tcPr>
            <w:tcW w:w="3118" w:type="dxa"/>
            <w:tcBorders>
              <w:top w:val="single" w:sz="4" w:space="0" w:color="auto"/>
              <w:left w:val="single" w:sz="4" w:space="0" w:color="auto"/>
              <w:bottom w:val="dotted" w:sz="4" w:space="0" w:color="auto"/>
            </w:tcBorders>
          </w:tcPr>
          <w:p w14:paraId="61F4B19D" w14:textId="77777777" w:rsidR="003531A4" w:rsidRPr="003531A4" w:rsidRDefault="003531A4" w:rsidP="00C375FE">
            <w:pPr>
              <w:pStyle w:val="TableTextLeft"/>
              <w:spacing w:before="0"/>
              <w:rPr>
                <w:rFonts w:cs="Arial"/>
              </w:rPr>
            </w:pPr>
            <w:r w:rsidRPr="003531A4">
              <w:rPr>
                <w:rFonts w:cs="Arial"/>
                <w:b/>
                <w:bCs/>
              </w:rPr>
              <w:t>Target 1</w:t>
            </w:r>
            <w:r w:rsidRPr="003531A4">
              <w:rPr>
                <w:rFonts w:cs="Arial"/>
              </w:rPr>
              <w:t xml:space="preserve">: DFAT achieves the set security performance standards across </w:t>
            </w:r>
            <w:proofErr w:type="gramStart"/>
            <w:r w:rsidRPr="003531A4">
              <w:rPr>
                <w:rFonts w:cs="Arial"/>
              </w:rPr>
              <w:t>a majority of</w:t>
            </w:r>
            <w:proofErr w:type="gramEnd"/>
            <w:r w:rsidRPr="003531A4">
              <w:rPr>
                <w:rFonts w:cs="Arial"/>
              </w:rPr>
              <w:t xml:space="preserve"> its posts in the areas of compliance, culture and responsiveness to incidents. </w:t>
            </w:r>
          </w:p>
          <w:p w14:paraId="034EB5E5" w14:textId="77777777" w:rsidR="003531A4" w:rsidRPr="003531A4" w:rsidRDefault="003531A4" w:rsidP="00C375FE">
            <w:pPr>
              <w:pStyle w:val="TableTextLeft"/>
              <w:spacing w:before="0"/>
              <w:rPr>
                <w:rFonts w:cs="Arial"/>
              </w:rPr>
            </w:pPr>
          </w:p>
          <w:p w14:paraId="3687B40E" w14:textId="47A3958A" w:rsidR="003531A4" w:rsidRPr="003531A4" w:rsidRDefault="003531A4" w:rsidP="000B3435">
            <w:pPr>
              <w:pStyle w:val="TableTextLeft"/>
              <w:spacing w:before="0" w:after="120"/>
              <w:rPr>
                <w:rFonts w:cs="Arial"/>
              </w:rPr>
            </w:pPr>
            <w:r w:rsidRPr="003531A4">
              <w:rPr>
                <w:rFonts w:cs="Arial"/>
                <w:b/>
                <w:bCs/>
              </w:rPr>
              <w:t>Target 2:</w:t>
            </w:r>
            <w:r w:rsidRPr="003531A4">
              <w:rPr>
                <w:rFonts w:cs="Arial"/>
              </w:rPr>
              <w:t xml:space="preserve"> DFAT delivers the Overseas Resilience to Cyber Activities program to 80% of posts selected through its annual risk-based planning process.</w:t>
            </w:r>
          </w:p>
        </w:tc>
      </w:tr>
      <w:tr w:rsidR="003531A4" w:rsidRPr="003531A4" w14:paraId="303E13BE" w14:textId="77777777">
        <w:trPr>
          <w:cantSplit/>
          <w:trHeight w:val="491"/>
        </w:trPr>
        <w:tc>
          <w:tcPr>
            <w:tcW w:w="1560" w:type="dxa"/>
            <w:tcBorders>
              <w:top w:val="dotted" w:sz="4" w:space="0" w:color="auto"/>
              <w:bottom w:val="dotted" w:sz="4" w:space="0" w:color="auto"/>
              <w:right w:val="single" w:sz="4" w:space="0" w:color="auto"/>
            </w:tcBorders>
          </w:tcPr>
          <w:p w14:paraId="7034BF38" w14:textId="77777777" w:rsidR="003531A4" w:rsidRPr="003531A4" w:rsidRDefault="003531A4" w:rsidP="00C375FE">
            <w:pPr>
              <w:pStyle w:val="TableTextLeft"/>
              <w:rPr>
                <w:rFonts w:cs="Arial"/>
              </w:rPr>
            </w:pPr>
            <w:r w:rsidRPr="003531A4">
              <w:rPr>
                <w:rFonts w:cs="Arial"/>
              </w:rPr>
              <w:t xml:space="preserve">Forward Estimates </w:t>
            </w:r>
          </w:p>
          <w:p w14:paraId="3298CAB2" w14:textId="77777777" w:rsidR="003531A4" w:rsidRPr="003531A4" w:rsidRDefault="003531A4" w:rsidP="00C375FE">
            <w:pPr>
              <w:pStyle w:val="TableTextLeft"/>
              <w:rPr>
                <w:rFonts w:cs="Arial"/>
                <w:b/>
              </w:rPr>
            </w:pPr>
            <w:r w:rsidRPr="003531A4">
              <w:rPr>
                <w:rFonts w:cs="Arial"/>
              </w:rPr>
              <w:t>2027–30</w:t>
            </w:r>
          </w:p>
        </w:tc>
        <w:tc>
          <w:tcPr>
            <w:tcW w:w="3118" w:type="dxa"/>
            <w:tcBorders>
              <w:top w:val="dotted" w:sz="4" w:space="0" w:color="auto"/>
              <w:left w:val="single" w:sz="4" w:space="0" w:color="auto"/>
              <w:bottom w:val="dotted" w:sz="4" w:space="0" w:color="auto"/>
              <w:right w:val="single" w:sz="4" w:space="0" w:color="auto"/>
            </w:tcBorders>
          </w:tcPr>
          <w:p w14:paraId="2AA4D22D" w14:textId="77777777" w:rsidR="003531A4" w:rsidRPr="003531A4" w:rsidRDefault="003531A4" w:rsidP="00C375FE">
            <w:pPr>
              <w:pStyle w:val="TableTextLeft"/>
              <w:rPr>
                <w:rFonts w:cs="Arial"/>
                <w:b/>
              </w:rPr>
            </w:pPr>
            <w:r w:rsidRPr="003531A4">
              <w:rPr>
                <w:rFonts w:cs="Arial"/>
              </w:rPr>
              <w:t>As per 2026–27</w:t>
            </w:r>
          </w:p>
        </w:tc>
        <w:tc>
          <w:tcPr>
            <w:tcW w:w="3118" w:type="dxa"/>
            <w:tcBorders>
              <w:top w:val="dotted" w:sz="4" w:space="0" w:color="auto"/>
              <w:left w:val="single" w:sz="4" w:space="0" w:color="auto"/>
              <w:bottom w:val="dotted" w:sz="4" w:space="0" w:color="auto"/>
            </w:tcBorders>
          </w:tcPr>
          <w:p w14:paraId="101FD514" w14:textId="77777777" w:rsidR="003531A4" w:rsidRPr="003531A4" w:rsidRDefault="003531A4" w:rsidP="00C375FE">
            <w:pPr>
              <w:pStyle w:val="TableTextLeft"/>
              <w:spacing w:before="0"/>
              <w:rPr>
                <w:rFonts w:cs="Arial"/>
                <w:b/>
              </w:rPr>
            </w:pPr>
            <w:r w:rsidRPr="003531A4">
              <w:rPr>
                <w:rFonts w:cs="Arial"/>
              </w:rPr>
              <w:t>As per 2026–27</w:t>
            </w:r>
          </w:p>
        </w:tc>
      </w:tr>
      <w:tr w:rsidR="003531A4" w:rsidRPr="003531A4" w14:paraId="7BE7530D" w14:textId="77777777">
        <w:trPr>
          <w:cantSplit/>
          <w:trHeight w:val="261"/>
        </w:trPr>
        <w:tc>
          <w:tcPr>
            <w:tcW w:w="7796" w:type="dxa"/>
            <w:gridSpan w:val="3"/>
          </w:tcPr>
          <w:p w14:paraId="588831B2" w14:textId="77777777" w:rsidR="003531A4" w:rsidRPr="003531A4" w:rsidRDefault="003531A4" w:rsidP="00C375FE">
            <w:pPr>
              <w:pStyle w:val="TableTextLeft"/>
              <w:rPr>
                <w:rFonts w:eastAsia="Cambria" w:cs="Arial"/>
                <w:spacing w:val="-6"/>
              </w:rPr>
            </w:pPr>
            <w:r w:rsidRPr="003531A4">
              <w:rPr>
                <w:rFonts w:cs="Arial"/>
              </w:rPr>
              <w:t>Material changes to Program 3.1 resulting from 2026–27 Budget Measures:</w:t>
            </w:r>
            <w:r w:rsidRPr="003531A4">
              <w:rPr>
                <w:rFonts w:eastAsia="Cambria" w:cs="Arial"/>
                <w:spacing w:val="-6"/>
                <w:lang w:eastAsia="en-US"/>
              </w:rPr>
              <w:t xml:space="preserve"> Nil</w:t>
            </w:r>
          </w:p>
        </w:tc>
      </w:tr>
    </w:tbl>
    <w:p w14:paraId="71C3CCA8" w14:textId="0509DDA4" w:rsidR="003531A4" w:rsidRDefault="003531A4" w:rsidP="003531A4">
      <w:pPr>
        <w:pStyle w:val="TableGraphic"/>
      </w:pPr>
    </w:p>
    <w:p w14:paraId="66888410" w14:textId="77777777" w:rsidR="003531A4" w:rsidRDefault="003531A4">
      <w:pPr>
        <w:spacing w:before="0" w:after="0" w:line="240" w:lineRule="auto"/>
      </w:pPr>
      <w:r>
        <w:br w:type="page"/>
      </w:r>
    </w:p>
    <w:p w14:paraId="58D9B8DB" w14:textId="73539700" w:rsidR="003531A4" w:rsidRDefault="003531A4" w:rsidP="003531A4">
      <w:pPr>
        <w:pStyle w:val="TableHeading"/>
      </w:pPr>
      <w:r w:rsidRPr="00E6464E">
        <w:lastRenderedPageBreak/>
        <w:t>Table 2.</w:t>
      </w:r>
      <w:r>
        <w:t>3</w:t>
      </w:r>
      <w:r w:rsidRPr="00E6464E">
        <w:t>.</w:t>
      </w:r>
      <w:r>
        <w:t>2</w:t>
      </w:r>
      <w:r w:rsidRPr="00E6464E">
        <w:t xml:space="preserve">: Performance measures for Outcome </w:t>
      </w:r>
      <w:r>
        <w:t>3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3531A4" w:rsidRPr="003531A4" w14:paraId="4B27BC7F" w14:textId="77777777" w:rsidTr="003531A4">
        <w:trPr>
          <w:cantSplit/>
          <w:trHeight w:val="261"/>
          <w:tblHeader/>
        </w:trPr>
        <w:tc>
          <w:tcPr>
            <w:tcW w:w="7700" w:type="dxa"/>
            <w:gridSpan w:val="3"/>
            <w:shd w:val="clear" w:color="auto" w:fill="F2F2F2"/>
          </w:tcPr>
          <w:p w14:paraId="062EC427" w14:textId="77777777" w:rsidR="003531A4" w:rsidRPr="003531A4" w:rsidRDefault="003531A4" w:rsidP="00C375FE">
            <w:pPr>
              <w:pStyle w:val="TableColumnHeadingLeft"/>
              <w:rPr>
                <w:rFonts w:ascii="Arial" w:hAnsi="Arial" w:cs="Arial"/>
                <w:bCs/>
              </w:rPr>
            </w:pPr>
            <w:r w:rsidRPr="003531A4">
              <w:rPr>
                <w:rFonts w:ascii="Arial" w:hAnsi="Arial" w:cs="Arial"/>
              </w:rPr>
              <w:t>Outcome 3</w:t>
            </w:r>
            <w:r w:rsidRPr="003531A4">
              <w:rPr>
                <w:rFonts w:ascii="Arial" w:hAnsi="Arial" w:cs="Arial"/>
                <w:bCs/>
              </w:rPr>
              <w:t xml:space="preserve"> </w:t>
            </w:r>
            <w:r w:rsidRPr="003531A4">
              <w:rPr>
                <w:rFonts w:ascii="Arial" w:hAnsi="Arial" w:cs="Arial"/>
              </w:rPr>
              <w:t>– A secure Australian Government presence overseas through the provision of security services and information and communications technology infrastructure, and the management of the Commonwealth’s overseas property estate.</w:t>
            </w:r>
          </w:p>
        </w:tc>
      </w:tr>
      <w:tr w:rsidR="003531A4" w:rsidRPr="003531A4" w14:paraId="4E147704" w14:textId="77777777" w:rsidTr="003531A4">
        <w:trPr>
          <w:cantSplit/>
          <w:trHeight w:val="232"/>
          <w:tblHeader/>
        </w:trPr>
        <w:tc>
          <w:tcPr>
            <w:tcW w:w="7700" w:type="dxa"/>
            <w:gridSpan w:val="3"/>
            <w:shd w:val="clear" w:color="auto" w:fill="F2F2F2"/>
          </w:tcPr>
          <w:p w14:paraId="4E77340B" w14:textId="77777777" w:rsidR="003531A4" w:rsidRPr="003531A4" w:rsidRDefault="003531A4" w:rsidP="00C375FE">
            <w:pPr>
              <w:pStyle w:val="TableColumnHeadingLeft"/>
              <w:rPr>
                <w:rFonts w:ascii="Arial" w:eastAsia="Arial" w:hAnsi="Arial" w:cs="Arial"/>
              </w:rPr>
            </w:pPr>
            <w:r w:rsidRPr="003531A4">
              <w:rPr>
                <w:rFonts w:ascii="Arial" w:hAnsi="Arial" w:cs="Arial"/>
              </w:rPr>
              <w:t>Program 3.2 – Overseas property</w:t>
            </w:r>
          </w:p>
        </w:tc>
      </w:tr>
      <w:tr w:rsidR="003531A4" w:rsidRPr="003531A4" w14:paraId="29BC5FE0" w14:textId="77777777" w:rsidTr="003531A4">
        <w:trPr>
          <w:cantSplit/>
          <w:trHeight w:val="261"/>
        </w:trPr>
        <w:tc>
          <w:tcPr>
            <w:tcW w:w="1546" w:type="dxa"/>
            <w:tcBorders>
              <w:bottom w:val="double" w:sz="4" w:space="0" w:color="auto"/>
            </w:tcBorders>
          </w:tcPr>
          <w:p w14:paraId="0226B950" w14:textId="77777777" w:rsidR="003531A4" w:rsidRPr="003531A4" w:rsidRDefault="003531A4" w:rsidP="00C375FE">
            <w:pPr>
              <w:pStyle w:val="TableColumnHeadingLeft"/>
              <w:rPr>
                <w:rFonts w:ascii="Arial" w:hAnsi="Arial" w:cs="Arial"/>
              </w:rPr>
            </w:pPr>
            <w:r w:rsidRPr="003531A4">
              <w:rPr>
                <w:rFonts w:ascii="Arial" w:hAnsi="Arial" w:cs="Arial"/>
              </w:rPr>
              <w:t xml:space="preserve">Key activities </w:t>
            </w:r>
          </w:p>
        </w:tc>
        <w:tc>
          <w:tcPr>
            <w:tcW w:w="6154" w:type="dxa"/>
            <w:gridSpan w:val="2"/>
            <w:tcBorders>
              <w:bottom w:val="double" w:sz="4" w:space="0" w:color="auto"/>
            </w:tcBorders>
          </w:tcPr>
          <w:p w14:paraId="229FD1E9" w14:textId="77777777" w:rsidR="003531A4" w:rsidRPr="003531A4" w:rsidRDefault="003531A4" w:rsidP="00C375FE">
            <w:pPr>
              <w:pStyle w:val="TableTextLeft"/>
              <w:rPr>
                <w:rFonts w:cs="Arial"/>
              </w:rPr>
            </w:pPr>
            <w:r w:rsidRPr="003531A4">
              <w:rPr>
                <w:rFonts w:cs="Arial"/>
              </w:rPr>
              <w:t>Key activities reported in the Corporate Plan 2025–26 that relate to this program.</w:t>
            </w:r>
          </w:p>
          <w:p w14:paraId="684492B0" w14:textId="77777777" w:rsidR="003531A4" w:rsidRPr="003531A4" w:rsidRDefault="003531A4" w:rsidP="003531A4">
            <w:pPr>
              <w:pStyle w:val="TableTextLeft"/>
              <w:numPr>
                <w:ilvl w:val="0"/>
                <w:numId w:val="48"/>
              </w:numPr>
              <w:rPr>
                <w:rFonts w:cs="Arial"/>
              </w:rPr>
            </w:pPr>
            <w:r w:rsidRPr="003531A4">
              <w:rPr>
                <w:rFonts w:cs="Arial"/>
              </w:rPr>
              <w:t>Manage the Australian Government’s overseas network.</w:t>
            </w:r>
          </w:p>
        </w:tc>
      </w:tr>
      <w:tr w:rsidR="003531A4" w:rsidRPr="003531A4" w14:paraId="2C48308A" w14:textId="77777777" w:rsidTr="003531A4">
        <w:trPr>
          <w:cantSplit/>
          <w:trHeight w:val="258"/>
        </w:trPr>
        <w:tc>
          <w:tcPr>
            <w:tcW w:w="1546" w:type="dxa"/>
            <w:tcBorders>
              <w:top w:val="double" w:sz="4" w:space="0" w:color="auto"/>
              <w:bottom w:val="single" w:sz="4" w:space="0" w:color="auto"/>
              <w:right w:val="single" w:sz="4" w:space="0" w:color="auto"/>
            </w:tcBorders>
          </w:tcPr>
          <w:p w14:paraId="3AB6EA78" w14:textId="77777777" w:rsidR="003531A4" w:rsidRPr="003531A4" w:rsidRDefault="003531A4" w:rsidP="00C375FE">
            <w:pPr>
              <w:pStyle w:val="TableColumnHeadingLeft"/>
              <w:rPr>
                <w:rFonts w:ascii="Arial" w:hAnsi="Arial" w:cs="Arial"/>
              </w:rPr>
            </w:pPr>
            <w:r w:rsidRPr="003531A4">
              <w:rPr>
                <w:rFonts w:ascii="Arial" w:hAnsi="Arial" w:cs="Arial"/>
              </w:rPr>
              <w:t>Year</w:t>
            </w:r>
          </w:p>
        </w:tc>
        <w:tc>
          <w:tcPr>
            <w:tcW w:w="3077" w:type="dxa"/>
            <w:tcBorders>
              <w:top w:val="double" w:sz="4" w:space="0" w:color="auto"/>
              <w:left w:val="single" w:sz="4" w:space="0" w:color="auto"/>
              <w:bottom w:val="single" w:sz="4" w:space="0" w:color="auto"/>
              <w:right w:val="single" w:sz="4" w:space="0" w:color="auto"/>
            </w:tcBorders>
          </w:tcPr>
          <w:p w14:paraId="164DCC1F" w14:textId="77777777" w:rsidR="003531A4" w:rsidRPr="003531A4" w:rsidRDefault="003531A4" w:rsidP="00C375FE">
            <w:pPr>
              <w:pStyle w:val="TableColumnHeadingLeft"/>
              <w:rPr>
                <w:rFonts w:ascii="Arial" w:hAnsi="Arial" w:cs="Arial"/>
              </w:rPr>
            </w:pPr>
            <w:r w:rsidRPr="003531A4">
              <w:rPr>
                <w:rFonts w:ascii="Arial" w:hAnsi="Arial" w:cs="Arial"/>
              </w:rPr>
              <w:t>Performance measures</w:t>
            </w:r>
          </w:p>
        </w:tc>
        <w:tc>
          <w:tcPr>
            <w:tcW w:w="3077" w:type="dxa"/>
            <w:tcBorders>
              <w:top w:val="double" w:sz="4" w:space="0" w:color="auto"/>
              <w:left w:val="single" w:sz="4" w:space="0" w:color="auto"/>
              <w:bottom w:val="single" w:sz="4" w:space="0" w:color="auto"/>
            </w:tcBorders>
          </w:tcPr>
          <w:p w14:paraId="419C8286" w14:textId="77777777" w:rsidR="003531A4" w:rsidRPr="003531A4" w:rsidRDefault="003531A4" w:rsidP="00C375FE">
            <w:pPr>
              <w:pStyle w:val="TableColumnHeadingLeft"/>
              <w:rPr>
                <w:rFonts w:ascii="Arial" w:hAnsi="Arial" w:cs="Arial"/>
              </w:rPr>
            </w:pPr>
            <w:r w:rsidRPr="003531A4">
              <w:rPr>
                <w:rFonts w:ascii="Arial" w:hAnsi="Arial" w:cs="Arial"/>
              </w:rPr>
              <w:t>Expected performance results</w:t>
            </w:r>
          </w:p>
        </w:tc>
      </w:tr>
      <w:tr w:rsidR="003531A4" w:rsidRPr="003531A4" w14:paraId="3251ABC9" w14:textId="77777777" w:rsidTr="003531A4">
        <w:trPr>
          <w:cantSplit/>
          <w:trHeight w:val="642"/>
        </w:trPr>
        <w:tc>
          <w:tcPr>
            <w:tcW w:w="1546" w:type="dxa"/>
            <w:tcBorders>
              <w:top w:val="single" w:sz="4" w:space="0" w:color="auto"/>
              <w:bottom w:val="single" w:sz="4" w:space="0" w:color="auto"/>
              <w:right w:val="single" w:sz="4" w:space="0" w:color="auto"/>
            </w:tcBorders>
          </w:tcPr>
          <w:p w14:paraId="687ADA26" w14:textId="77777777" w:rsidR="003531A4" w:rsidRPr="003531A4" w:rsidRDefault="003531A4" w:rsidP="00C375FE">
            <w:pPr>
              <w:pStyle w:val="TableTextLeft"/>
              <w:rPr>
                <w:rFonts w:cs="Arial"/>
              </w:rPr>
            </w:pPr>
            <w:r w:rsidRPr="003531A4">
              <w:rPr>
                <w:rFonts w:cs="Arial"/>
              </w:rPr>
              <w:t xml:space="preserve">Current Year </w:t>
            </w:r>
          </w:p>
          <w:p w14:paraId="4C0FD09A" w14:textId="77777777" w:rsidR="003531A4" w:rsidRPr="003531A4" w:rsidRDefault="003531A4" w:rsidP="00C375FE">
            <w:pPr>
              <w:pStyle w:val="TableTextLeft"/>
              <w:rPr>
                <w:rFonts w:cs="Arial"/>
              </w:rPr>
            </w:pPr>
            <w:r w:rsidRPr="003531A4">
              <w:rPr>
                <w:rFonts w:cs="Arial"/>
              </w:rPr>
              <w:t>2025–26</w:t>
            </w:r>
          </w:p>
        </w:tc>
        <w:tc>
          <w:tcPr>
            <w:tcW w:w="3077" w:type="dxa"/>
            <w:tcBorders>
              <w:top w:val="single" w:sz="4" w:space="0" w:color="auto"/>
              <w:left w:val="single" w:sz="4" w:space="0" w:color="auto"/>
              <w:bottom w:val="single" w:sz="4" w:space="0" w:color="auto"/>
              <w:right w:val="single" w:sz="4" w:space="0" w:color="auto"/>
            </w:tcBorders>
          </w:tcPr>
          <w:p w14:paraId="15C273E6" w14:textId="77777777" w:rsidR="003531A4" w:rsidRPr="003531A4" w:rsidRDefault="003531A4" w:rsidP="00C375FE">
            <w:pPr>
              <w:pStyle w:val="TableTextLeft"/>
              <w:rPr>
                <w:rFonts w:cs="Arial"/>
              </w:rPr>
            </w:pPr>
            <w:r w:rsidRPr="003531A4">
              <w:rPr>
                <w:rFonts w:cs="Arial"/>
              </w:rPr>
              <w:t>The overseas property estate is effectively maintained and fit for purpose.</w:t>
            </w:r>
          </w:p>
          <w:p w14:paraId="5FE4EAC3" w14:textId="77777777" w:rsidR="003531A4" w:rsidRPr="003531A4" w:rsidRDefault="003531A4" w:rsidP="00C375FE">
            <w:pPr>
              <w:pStyle w:val="TableTextLeft"/>
              <w:rPr>
                <w:rFonts w:cs="Arial"/>
              </w:rPr>
            </w:pPr>
          </w:p>
        </w:tc>
        <w:tc>
          <w:tcPr>
            <w:tcW w:w="3077" w:type="dxa"/>
            <w:tcBorders>
              <w:top w:val="single" w:sz="4" w:space="0" w:color="auto"/>
              <w:left w:val="single" w:sz="4" w:space="0" w:color="auto"/>
              <w:bottom w:val="single" w:sz="4" w:space="0" w:color="auto"/>
            </w:tcBorders>
          </w:tcPr>
          <w:p w14:paraId="6C0F1B1F" w14:textId="77777777" w:rsidR="003531A4" w:rsidRPr="003531A4" w:rsidRDefault="003531A4" w:rsidP="00C375FE">
            <w:pPr>
              <w:pStyle w:val="TableTextLeft"/>
              <w:spacing w:before="80"/>
              <w:rPr>
                <w:rFonts w:cs="Arial"/>
              </w:rPr>
            </w:pPr>
            <w:r w:rsidRPr="003531A4">
              <w:rPr>
                <w:rFonts w:cs="Arial"/>
                <w:b/>
                <w:bCs/>
              </w:rPr>
              <w:t>Target 1</w:t>
            </w:r>
            <w:r w:rsidRPr="003531A4">
              <w:rPr>
                <w:rFonts w:cs="Arial"/>
              </w:rPr>
              <w:t>: At least 80% satisfaction rating with the performance of the outsourced property service provider and the Overseas Property Office (OPO).</w:t>
            </w:r>
          </w:p>
          <w:p w14:paraId="1A905DC3" w14:textId="44BE4C22" w:rsidR="003531A4" w:rsidRPr="003531A4" w:rsidRDefault="003531A4" w:rsidP="00C375FE">
            <w:pPr>
              <w:pStyle w:val="TableTextLeft"/>
              <w:spacing w:before="80"/>
              <w:rPr>
                <w:rFonts w:cs="Arial"/>
              </w:rPr>
            </w:pPr>
            <w:r w:rsidRPr="003531A4">
              <w:rPr>
                <w:rFonts w:cs="Arial"/>
              </w:rPr>
              <w:t>The annual property maintenance satisfaction survey is conducted annually. Data will be available after 30</w:t>
            </w:r>
            <w:r w:rsidR="000B3435">
              <w:rPr>
                <w:rFonts w:cs="Arial"/>
              </w:rPr>
              <w:t> </w:t>
            </w:r>
            <w:r w:rsidRPr="003531A4">
              <w:rPr>
                <w:rFonts w:cs="Arial"/>
              </w:rPr>
              <w:t>June 2026 and reported in the Performance Statements 2025–26.</w:t>
            </w:r>
          </w:p>
          <w:p w14:paraId="2F69D217" w14:textId="77777777" w:rsidR="003531A4" w:rsidRPr="003531A4" w:rsidRDefault="003531A4" w:rsidP="00C375FE">
            <w:pPr>
              <w:pStyle w:val="TableTextLeft"/>
              <w:spacing w:before="0" w:after="0"/>
              <w:rPr>
                <w:rFonts w:cs="Arial"/>
              </w:rPr>
            </w:pPr>
          </w:p>
          <w:p w14:paraId="09AD8471" w14:textId="77777777" w:rsidR="003531A4" w:rsidRPr="003531A4" w:rsidRDefault="003531A4" w:rsidP="00C375FE">
            <w:pPr>
              <w:pStyle w:val="TableTextLeft"/>
              <w:spacing w:before="0"/>
              <w:rPr>
                <w:rFonts w:cs="Arial"/>
              </w:rPr>
            </w:pPr>
            <w:r w:rsidRPr="003531A4">
              <w:rPr>
                <w:rFonts w:cs="Arial"/>
                <w:b/>
                <w:bCs/>
              </w:rPr>
              <w:t>Target 2</w:t>
            </w:r>
            <w:r w:rsidRPr="003531A4">
              <w:rPr>
                <w:rFonts w:cs="Arial"/>
              </w:rPr>
              <w:t>: Annual reinvestment in the DFAT portfolio of a minimum of 2% of the building asset value.</w:t>
            </w:r>
          </w:p>
          <w:p w14:paraId="60BE8C7C" w14:textId="6E03BE55" w:rsidR="003531A4" w:rsidRPr="003531A4" w:rsidRDefault="003531A4" w:rsidP="00C375FE">
            <w:pPr>
              <w:pStyle w:val="TableTextLeft"/>
              <w:spacing w:before="80"/>
              <w:rPr>
                <w:rFonts w:cs="Arial"/>
              </w:rPr>
            </w:pPr>
            <w:r w:rsidRPr="003531A4">
              <w:rPr>
                <w:rFonts w:cs="Arial"/>
                <w:b/>
                <w:bCs/>
              </w:rPr>
              <w:t>The target is on track</w:t>
            </w:r>
            <w:r w:rsidRPr="003531A4">
              <w:rPr>
                <w:rFonts w:cs="Arial"/>
              </w:rPr>
              <w:t xml:space="preserve">. Year-to-date reinvestment expenditure </w:t>
            </w:r>
            <w:proofErr w:type="gramStart"/>
            <w:r w:rsidRPr="003531A4">
              <w:rPr>
                <w:rFonts w:cs="Arial"/>
              </w:rPr>
              <w:t>at</w:t>
            </w:r>
            <w:proofErr w:type="gramEnd"/>
            <w:r w:rsidRPr="003531A4">
              <w:rPr>
                <w:rFonts w:cs="Arial"/>
              </w:rPr>
              <w:t xml:space="preserve"> 31</w:t>
            </w:r>
            <w:r w:rsidR="000B3435">
              <w:rPr>
                <w:rFonts w:cs="Arial"/>
              </w:rPr>
              <w:t> </w:t>
            </w:r>
            <w:r w:rsidRPr="003531A4">
              <w:rPr>
                <w:rFonts w:cs="Arial"/>
              </w:rPr>
              <w:t xml:space="preserve">December 2025 exceeds half of the annual target at 1.07%. </w:t>
            </w:r>
          </w:p>
          <w:p w14:paraId="09205C0C" w14:textId="77777777" w:rsidR="003531A4" w:rsidRPr="003531A4" w:rsidRDefault="003531A4" w:rsidP="00C375FE">
            <w:pPr>
              <w:pStyle w:val="TableTextLeft"/>
              <w:spacing w:before="0" w:after="0"/>
              <w:rPr>
                <w:rFonts w:cs="Arial"/>
              </w:rPr>
            </w:pPr>
          </w:p>
          <w:p w14:paraId="3977FA86" w14:textId="77777777" w:rsidR="003531A4" w:rsidRPr="003531A4" w:rsidRDefault="003531A4" w:rsidP="00C375FE">
            <w:pPr>
              <w:pStyle w:val="TableTextLeft"/>
              <w:spacing w:before="0"/>
              <w:rPr>
                <w:rFonts w:cs="Arial"/>
              </w:rPr>
            </w:pPr>
            <w:r w:rsidRPr="003531A4">
              <w:rPr>
                <w:rFonts w:cs="Arial"/>
                <w:b/>
                <w:bCs/>
              </w:rPr>
              <w:t>Target 3</w:t>
            </w:r>
            <w:r w:rsidRPr="003531A4">
              <w:rPr>
                <w:rFonts w:cs="Arial"/>
              </w:rPr>
              <w:t>: At least 90% of the owned property estate planned and preventative maintenance program is completed as per the agreed schedule.</w:t>
            </w:r>
          </w:p>
          <w:p w14:paraId="4AD2A911" w14:textId="77777777" w:rsidR="003531A4" w:rsidRPr="003531A4" w:rsidRDefault="003531A4" w:rsidP="00C375FE">
            <w:pPr>
              <w:pStyle w:val="TableTextLeft"/>
              <w:spacing w:before="80"/>
              <w:rPr>
                <w:rFonts w:cs="Arial"/>
              </w:rPr>
            </w:pPr>
            <w:r w:rsidRPr="003531A4">
              <w:rPr>
                <w:rFonts w:cs="Arial"/>
                <w:b/>
                <w:bCs/>
              </w:rPr>
              <w:t>The target is on track</w:t>
            </w:r>
            <w:r w:rsidRPr="003531A4">
              <w:rPr>
                <w:rFonts w:cs="Arial"/>
              </w:rPr>
              <w:t>. From 1 July to 31 December 2025, 97% of the planned and preventative maintenance works included in the agreed schedule were completed.</w:t>
            </w:r>
          </w:p>
          <w:p w14:paraId="0EACC878" w14:textId="77777777" w:rsidR="003531A4" w:rsidRPr="003531A4" w:rsidRDefault="003531A4" w:rsidP="00C375FE">
            <w:pPr>
              <w:pStyle w:val="TableTextLeft"/>
              <w:spacing w:before="0" w:after="0"/>
              <w:rPr>
                <w:rFonts w:cs="Arial"/>
              </w:rPr>
            </w:pPr>
          </w:p>
          <w:p w14:paraId="5403D6BB" w14:textId="15A765AC" w:rsidR="003531A4" w:rsidRPr="003531A4" w:rsidRDefault="003531A4" w:rsidP="000B3435">
            <w:pPr>
              <w:pStyle w:val="TableTextLeft"/>
              <w:spacing w:before="0" w:after="120"/>
              <w:rPr>
                <w:rFonts w:cs="Arial"/>
              </w:rPr>
            </w:pPr>
            <w:r w:rsidRPr="003531A4">
              <w:rPr>
                <w:rFonts w:cs="Arial"/>
                <w:b/>
                <w:bCs/>
              </w:rPr>
              <w:t>Performance measure</w:t>
            </w:r>
            <w:r w:rsidRPr="003531A4">
              <w:rPr>
                <w:rFonts w:cs="Arial"/>
              </w:rPr>
              <w:t>: The performance measure result will be reported in the Performance Statements 2025–26 when data for all targets is available.</w:t>
            </w:r>
          </w:p>
        </w:tc>
      </w:tr>
    </w:tbl>
    <w:p w14:paraId="745C26BB" w14:textId="52C0F568" w:rsidR="003531A4" w:rsidRDefault="003531A4" w:rsidP="003531A4">
      <w:pPr>
        <w:pStyle w:val="TableGraphic"/>
        <w:rPr>
          <w:rFonts w:ascii="Arial" w:hAnsi="Arial" w:cs="Arial"/>
          <w:noProof/>
          <w:sz w:val="16"/>
          <w:szCs w:val="16"/>
        </w:rPr>
      </w:pPr>
      <w:r w:rsidRPr="00824706">
        <w:rPr>
          <w:rFonts w:ascii="Arial" w:hAnsi="Arial" w:cs="Arial"/>
          <w:noProof/>
          <w:sz w:val="16"/>
          <w:szCs w:val="16"/>
        </w:rPr>
        <w:t>Table continued on the next page.</w:t>
      </w:r>
    </w:p>
    <w:p w14:paraId="4F9368D4" w14:textId="77777777" w:rsidR="003531A4" w:rsidRDefault="003531A4">
      <w:pPr>
        <w:spacing w:before="0" w:after="0" w:line="240" w:lineRule="auto"/>
        <w:rPr>
          <w:rFonts w:ascii="Arial" w:hAnsi="Arial" w:cs="Arial"/>
          <w:noProof/>
          <w:sz w:val="16"/>
          <w:szCs w:val="16"/>
        </w:rPr>
      </w:pPr>
      <w:r>
        <w:rPr>
          <w:rFonts w:ascii="Arial" w:hAnsi="Arial" w:cs="Arial"/>
          <w:noProof/>
          <w:sz w:val="16"/>
          <w:szCs w:val="16"/>
        </w:rPr>
        <w:br w:type="page"/>
      </w:r>
    </w:p>
    <w:p w14:paraId="320C9235" w14:textId="77777777" w:rsidR="003531A4" w:rsidRDefault="003531A4" w:rsidP="003531A4">
      <w:pPr>
        <w:pStyle w:val="TableHeading"/>
      </w:pPr>
      <w:r w:rsidRPr="00E6464E">
        <w:lastRenderedPageBreak/>
        <w:t>Table 2.</w:t>
      </w:r>
      <w:r>
        <w:t>3</w:t>
      </w:r>
      <w:r w:rsidRPr="00E6464E">
        <w:t>.</w:t>
      </w:r>
      <w:r>
        <w:t>2</w:t>
      </w:r>
      <w:r w:rsidRPr="00E6464E">
        <w:t xml:space="preserve">: Performance measures for Outcome </w:t>
      </w:r>
      <w:r>
        <w:t>3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3531A4" w:rsidRPr="003531A4" w14:paraId="688C32CF" w14:textId="77777777">
        <w:trPr>
          <w:cantSplit/>
          <w:trHeight w:val="261"/>
          <w:tblHeader/>
        </w:trPr>
        <w:tc>
          <w:tcPr>
            <w:tcW w:w="7700" w:type="dxa"/>
            <w:gridSpan w:val="3"/>
            <w:shd w:val="clear" w:color="auto" w:fill="F2F2F2"/>
          </w:tcPr>
          <w:p w14:paraId="737848C2" w14:textId="77777777" w:rsidR="003531A4" w:rsidRPr="003531A4" w:rsidRDefault="003531A4" w:rsidP="00C375FE">
            <w:pPr>
              <w:pStyle w:val="TableColumnHeadingLeft"/>
              <w:rPr>
                <w:rFonts w:ascii="Arial" w:hAnsi="Arial" w:cs="Arial"/>
                <w:bCs/>
              </w:rPr>
            </w:pPr>
            <w:r w:rsidRPr="003531A4">
              <w:rPr>
                <w:rFonts w:ascii="Arial" w:hAnsi="Arial" w:cs="Arial"/>
              </w:rPr>
              <w:t>Outcome 3</w:t>
            </w:r>
            <w:r w:rsidRPr="003531A4">
              <w:rPr>
                <w:rFonts w:ascii="Arial" w:hAnsi="Arial" w:cs="Arial"/>
                <w:bCs/>
              </w:rPr>
              <w:t xml:space="preserve"> </w:t>
            </w:r>
            <w:r w:rsidRPr="003531A4">
              <w:rPr>
                <w:rFonts w:ascii="Arial" w:hAnsi="Arial" w:cs="Arial"/>
              </w:rPr>
              <w:t>– A secure Australian Government presence overseas through the provision of security services and information and communications technology infrastructure, and the management of the Commonwealth’s overseas property estate.</w:t>
            </w:r>
          </w:p>
        </w:tc>
      </w:tr>
      <w:tr w:rsidR="003531A4" w:rsidRPr="003531A4" w14:paraId="663766B6" w14:textId="77777777">
        <w:trPr>
          <w:cantSplit/>
          <w:trHeight w:val="232"/>
          <w:tblHeader/>
        </w:trPr>
        <w:tc>
          <w:tcPr>
            <w:tcW w:w="7700" w:type="dxa"/>
            <w:gridSpan w:val="3"/>
            <w:shd w:val="clear" w:color="auto" w:fill="F2F2F2"/>
          </w:tcPr>
          <w:p w14:paraId="6586249C" w14:textId="77777777" w:rsidR="003531A4" w:rsidRPr="003531A4" w:rsidRDefault="003531A4" w:rsidP="00C375FE">
            <w:pPr>
              <w:pStyle w:val="TableColumnHeadingLeft"/>
              <w:rPr>
                <w:rFonts w:ascii="Arial" w:eastAsia="Arial" w:hAnsi="Arial" w:cs="Arial"/>
              </w:rPr>
            </w:pPr>
            <w:r w:rsidRPr="003531A4">
              <w:rPr>
                <w:rFonts w:ascii="Arial" w:hAnsi="Arial" w:cs="Arial"/>
              </w:rPr>
              <w:t>Program 3.2 – Overseas property</w:t>
            </w:r>
          </w:p>
        </w:tc>
      </w:tr>
      <w:tr w:rsidR="003531A4" w:rsidRPr="00E50D11" w14:paraId="280D508B" w14:textId="77777777" w:rsidTr="003531A4">
        <w:trPr>
          <w:cantSplit/>
          <w:trHeight w:val="100"/>
        </w:trPr>
        <w:tc>
          <w:tcPr>
            <w:tcW w:w="1546" w:type="dxa"/>
            <w:tcBorders>
              <w:top w:val="single" w:sz="4" w:space="0" w:color="auto"/>
              <w:bottom w:val="dotted" w:sz="4" w:space="0" w:color="auto"/>
              <w:right w:val="single" w:sz="4" w:space="0" w:color="auto"/>
            </w:tcBorders>
          </w:tcPr>
          <w:p w14:paraId="0C407C36" w14:textId="77777777" w:rsidR="003531A4" w:rsidRPr="00FC7ED1" w:rsidRDefault="003531A4" w:rsidP="00C375FE">
            <w:pPr>
              <w:pStyle w:val="TableColumnHeadingLeft"/>
            </w:pPr>
            <w:r w:rsidRPr="00FC7ED1">
              <w:t>Year</w:t>
            </w:r>
          </w:p>
        </w:tc>
        <w:tc>
          <w:tcPr>
            <w:tcW w:w="3077" w:type="dxa"/>
            <w:tcBorders>
              <w:top w:val="single" w:sz="4" w:space="0" w:color="auto"/>
              <w:left w:val="single" w:sz="4" w:space="0" w:color="auto"/>
              <w:bottom w:val="dotted" w:sz="4" w:space="0" w:color="auto"/>
              <w:right w:val="single" w:sz="4" w:space="0" w:color="auto"/>
            </w:tcBorders>
          </w:tcPr>
          <w:p w14:paraId="20E9EBC6" w14:textId="77777777" w:rsidR="003531A4" w:rsidRPr="00FC7ED1" w:rsidRDefault="003531A4" w:rsidP="00C375FE">
            <w:pPr>
              <w:pStyle w:val="TableColumnHeadingLeft"/>
            </w:pPr>
            <w:r w:rsidRPr="00FC7ED1">
              <w:t xml:space="preserve">Performance measures </w:t>
            </w:r>
          </w:p>
        </w:tc>
        <w:tc>
          <w:tcPr>
            <w:tcW w:w="3077" w:type="dxa"/>
            <w:tcBorders>
              <w:top w:val="single" w:sz="4" w:space="0" w:color="auto"/>
              <w:left w:val="single" w:sz="4" w:space="0" w:color="auto"/>
              <w:bottom w:val="dotted" w:sz="4" w:space="0" w:color="auto"/>
            </w:tcBorders>
          </w:tcPr>
          <w:p w14:paraId="4906E1B2" w14:textId="77777777" w:rsidR="003531A4" w:rsidRPr="00E50D11" w:rsidRDefault="003531A4" w:rsidP="00C375FE">
            <w:pPr>
              <w:pStyle w:val="TableColumnHeadingLeft"/>
              <w:spacing w:before="80" w:after="20"/>
            </w:pPr>
            <w:r w:rsidRPr="00E50D11">
              <w:t xml:space="preserve">Planned performance results </w:t>
            </w:r>
          </w:p>
        </w:tc>
      </w:tr>
      <w:tr w:rsidR="003531A4" w:rsidRPr="00B94946" w14:paraId="3C5CDD63" w14:textId="77777777" w:rsidTr="003531A4">
        <w:trPr>
          <w:cantSplit/>
          <w:trHeight w:val="782"/>
        </w:trPr>
        <w:tc>
          <w:tcPr>
            <w:tcW w:w="1546" w:type="dxa"/>
            <w:tcBorders>
              <w:top w:val="single" w:sz="4" w:space="0" w:color="auto"/>
              <w:bottom w:val="dotted" w:sz="4" w:space="0" w:color="auto"/>
              <w:right w:val="single" w:sz="4" w:space="0" w:color="auto"/>
            </w:tcBorders>
          </w:tcPr>
          <w:p w14:paraId="21D7A709" w14:textId="77777777" w:rsidR="003531A4" w:rsidRPr="00B94946" w:rsidRDefault="003531A4" w:rsidP="00C375FE">
            <w:pPr>
              <w:pStyle w:val="TableTextLeft"/>
            </w:pPr>
            <w:r w:rsidRPr="00B94946">
              <w:t xml:space="preserve">Budget Year </w:t>
            </w:r>
          </w:p>
          <w:p w14:paraId="692FC322" w14:textId="77777777" w:rsidR="003531A4" w:rsidRPr="00B94946" w:rsidRDefault="003531A4" w:rsidP="00C375FE">
            <w:pPr>
              <w:pStyle w:val="TableTextLeft"/>
            </w:pPr>
            <w:r w:rsidRPr="00B94946">
              <w:t>2026–27</w:t>
            </w:r>
          </w:p>
        </w:tc>
        <w:tc>
          <w:tcPr>
            <w:tcW w:w="3077" w:type="dxa"/>
            <w:tcBorders>
              <w:top w:val="single" w:sz="4" w:space="0" w:color="auto"/>
              <w:left w:val="single" w:sz="4" w:space="0" w:color="auto"/>
              <w:bottom w:val="dotted" w:sz="4" w:space="0" w:color="auto"/>
              <w:right w:val="single" w:sz="4" w:space="0" w:color="auto"/>
            </w:tcBorders>
          </w:tcPr>
          <w:p w14:paraId="685DD866" w14:textId="77777777" w:rsidR="003531A4" w:rsidRPr="00B94946" w:rsidRDefault="003531A4" w:rsidP="00C375FE">
            <w:pPr>
              <w:pStyle w:val="TableTextLeft"/>
            </w:pPr>
            <w:r w:rsidRPr="00B94946">
              <w:t>The overseas property estate is effectively maintained and fit for purpose.</w:t>
            </w:r>
          </w:p>
        </w:tc>
        <w:tc>
          <w:tcPr>
            <w:tcW w:w="3077" w:type="dxa"/>
            <w:tcBorders>
              <w:top w:val="single" w:sz="4" w:space="0" w:color="auto"/>
              <w:left w:val="single" w:sz="4" w:space="0" w:color="auto"/>
              <w:bottom w:val="dotted" w:sz="4" w:space="0" w:color="auto"/>
            </w:tcBorders>
          </w:tcPr>
          <w:p w14:paraId="7343B437" w14:textId="77777777" w:rsidR="003531A4" w:rsidRPr="00B94946" w:rsidRDefault="003531A4" w:rsidP="00C375FE">
            <w:pPr>
              <w:pStyle w:val="TableTextLeft"/>
              <w:spacing w:before="0"/>
            </w:pPr>
            <w:r w:rsidRPr="00B94946">
              <w:rPr>
                <w:b/>
                <w:bCs/>
              </w:rPr>
              <w:t>Target 1</w:t>
            </w:r>
            <w:r w:rsidRPr="00B94946">
              <w:t>: At least 80% satisfaction rating with the performance of the outsourced property service provider and the Overseas Property Office (OPO).</w:t>
            </w:r>
          </w:p>
          <w:p w14:paraId="0765A928" w14:textId="77777777" w:rsidR="003531A4" w:rsidRPr="00B94946" w:rsidRDefault="003531A4" w:rsidP="00C375FE">
            <w:pPr>
              <w:pStyle w:val="TableTextLeft"/>
              <w:spacing w:before="0" w:after="0"/>
            </w:pPr>
          </w:p>
          <w:p w14:paraId="62170AB8" w14:textId="77777777" w:rsidR="003531A4" w:rsidRPr="00B94946" w:rsidRDefault="003531A4" w:rsidP="00C375FE">
            <w:pPr>
              <w:pStyle w:val="TableTextLeft"/>
              <w:spacing w:before="0"/>
            </w:pPr>
            <w:r w:rsidRPr="00B94946">
              <w:rPr>
                <w:b/>
                <w:bCs/>
              </w:rPr>
              <w:t>Target 2</w:t>
            </w:r>
            <w:r w:rsidRPr="00B94946">
              <w:t xml:space="preserve">: Annual reinvestment in the DFAT portfolio of a minimum of 2% of the building asset value. </w:t>
            </w:r>
          </w:p>
          <w:p w14:paraId="29030E9C" w14:textId="77777777" w:rsidR="003531A4" w:rsidRPr="00B94946" w:rsidRDefault="003531A4" w:rsidP="00C375FE">
            <w:pPr>
              <w:pStyle w:val="TableTextLeft"/>
              <w:spacing w:before="0" w:after="0"/>
              <w:rPr>
                <w:b/>
                <w:bCs/>
              </w:rPr>
            </w:pPr>
          </w:p>
          <w:p w14:paraId="7554415F" w14:textId="77777777" w:rsidR="003531A4" w:rsidRPr="00B94946" w:rsidRDefault="003531A4" w:rsidP="000B3435">
            <w:pPr>
              <w:pStyle w:val="TableTextLeft"/>
              <w:spacing w:before="0" w:after="120"/>
            </w:pPr>
            <w:r w:rsidRPr="00B94946">
              <w:rPr>
                <w:b/>
                <w:bCs/>
              </w:rPr>
              <w:t>Target 3</w:t>
            </w:r>
            <w:r w:rsidRPr="00B94946">
              <w:t>: At least 90% of the owned property estate planned and preventative maintenance program is completed as per the agreed schedule.</w:t>
            </w:r>
          </w:p>
        </w:tc>
      </w:tr>
      <w:tr w:rsidR="003531A4" w:rsidRPr="00B94946" w14:paraId="3C28B5D7" w14:textId="77777777" w:rsidTr="003531A4">
        <w:trPr>
          <w:cantSplit/>
          <w:trHeight w:val="491"/>
        </w:trPr>
        <w:tc>
          <w:tcPr>
            <w:tcW w:w="1546" w:type="dxa"/>
            <w:tcBorders>
              <w:top w:val="dotted" w:sz="4" w:space="0" w:color="auto"/>
              <w:bottom w:val="dotted" w:sz="4" w:space="0" w:color="auto"/>
              <w:right w:val="single" w:sz="4" w:space="0" w:color="auto"/>
            </w:tcBorders>
          </w:tcPr>
          <w:p w14:paraId="51A5ECD1" w14:textId="77777777" w:rsidR="003531A4" w:rsidRPr="00B94946" w:rsidRDefault="003531A4" w:rsidP="00C375FE">
            <w:pPr>
              <w:pStyle w:val="TableTextLeft"/>
            </w:pPr>
            <w:r w:rsidRPr="00B94946">
              <w:t xml:space="preserve">Forward Estimates </w:t>
            </w:r>
          </w:p>
          <w:p w14:paraId="657ADD33" w14:textId="77777777" w:rsidR="003531A4" w:rsidRPr="00B94946" w:rsidRDefault="003531A4" w:rsidP="00C375FE">
            <w:pPr>
              <w:pStyle w:val="TableTextLeft"/>
              <w:rPr>
                <w:b/>
              </w:rPr>
            </w:pPr>
            <w:r w:rsidRPr="00B94946">
              <w:t>2027–30</w:t>
            </w:r>
          </w:p>
        </w:tc>
        <w:tc>
          <w:tcPr>
            <w:tcW w:w="3077" w:type="dxa"/>
            <w:tcBorders>
              <w:top w:val="dotted" w:sz="4" w:space="0" w:color="auto"/>
              <w:left w:val="single" w:sz="4" w:space="0" w:color="auto"/>
              <w:bottom w:val="dotted" w:sz="4" w:space="0" w:color="auto"/>
              <w:right w:val="single" w:sz="4" w:space="0" w:color="auto"/>
            </w:tcBorders>
          </w:tcPr>
          <w:p w14:paraId="3584CE1C" w14:textId="77777777" w:rsidR="003531A4" w:rsidRPr="00B94946" w:rsidRDefault="003531A4" w:rsidP="00C375FE">
            <w:pPr>
              <w:pStyle w:val="TableTextLeft"/>
              <w:rPr>
                <w:b/>
              </w:rPr>
            </w:pPr>
            <w:r w:rsidRPr="00B94946">
              <w:t>As per 2026–27</w:t>
            </w:r>
          </w:p>
        </w:tc>
        <w:tc>
          <w:tcPr>
            <w:tcW w:w="3077" w:type="dxa"/>
            <w:tcBorders>
              <w:top w:val="dotted" w:sz="4" w:space="0" w:color="auto"/>
              <w:left w:val="single" w:sz="4" w:space="0" w:color="auto"/>
              <w:bottom w:val="dotted" w:sz="4" w:space="0" w:color="auto"/>
            </w:tcBorders>
          </w:tcPr>
          <w:p w14:paraId="42E3E72E" w14:textId="77777777" w:rsidR="003531A4" w:rsidRPr="00B94946" w:rsidRDefault="003531A4" w:rsidP="00C375FE">
            <w:pPr>
              <w:pStyle w:val="TableTextLeft"/>
              <w:rPr>
                <w:b/>
              </w:rPr>
            </w:pPr>
            <w:r w:rsidRPr="00B94946">
              <w:t>As per 2026–27</w:t>
            </w:r>
          </w:p>
        </w:tc>
      </w:tr>
      <w:tr w:rsidR="003531A4" w:rsidRPr="00E50D11" w14:paraId="7D3D9BA5" w14:textId="77777777" w:rsidTr="003531A4">
        <w:trPr>
          <w:cantSplit/>
          <w:trHeight w:val="261"/>
        </w:trPr>
        <w:tc>
          <w:tcPr>
            <w:tcW w:w="7700" w:type="dxa"/>
            <w:gridSpan w:val="3"/>
          </w:tcPr>
          <w:p w14:paraId="00D4C2B0" w14:textId="77777777" w:rsidR="003531A4" w:rsidRPr="00E50D11" w:rsidRDefault="003531A4" w:rsidP="00C375FE">
            <w:pPr>
              <w:pStyle w:val="TableTextLeft"/>
              <w:rPr>
                <w:rFonts w:eastAsia="Cambria"/>
                <w:spacing w:val="-6"/>
              </w:rPr>
            </w:pPr>
            <w:r w:rsidRPr="00E50D11">
              <w:t>Material changes to Program 3.2 resulting from 2026–27 Budget Measures:</w:t>
            </w:r>
            <w:r w:rsidRPr="00E50D11">
              <w:rPr>
                <w:rFonts w:eastAsia="Cambria"/>
                <w:spacing w:val="-6"/>
                <w:lang w:eastAsia="en-US"/>
              </w:rPr>
              <w:t xml:space="preserve"> Nil</w:t>
            </w:r>
          </w:p>
        </w:tc>
      </w:tr>
    </w:tbl>
    <w:p w14:paraId="386D4370" w14:textId="77777777" w:rsidR="003531A4" w:rsidRDefault="003531A4" w:rsidP="003531A4">
      <w:pPr>
        <w:pStyle w:val="TableGraphic"/>
        <w:rPr>
          <w:rFonts w:ascii="Arial" w:hAnsi="Arial" w:cs="Arial"/>
          <w:noProof/>
          <w:sz w:val="16"/>
          <w:szCs w:val="16"/>
        </w:rPr>
      </w:pPr>
    </w:p>
    <w:p w14:paraId="545CBEA0" w14:textId="77777777" w:rsidR="003531A4" w:rsidRPr="003531A4" w:rsidRDefault="003531A4" w:rsidP="003531A4">
      <w:pPr>
        <w:pStyle w:val="TableGraphic"/>
      </w:pPr>
    </w:p>
    <w:p w14:paraId="218957F8" w14:textId="77777777" w:rsidR="00D61654" w:rsidRPr="00D61654" w:rsidRDefault="00D61654" w:rsidP="00D61654"/>
    <w:p w14:paraId="389A4FC5" w14:textId="261B2955" w:rsidR="002213BB" w:rsidRPr="00D61654" w:rsidRDefault="00D61654" w:rsidP="00D61654">
      <w:pPr>
        <w:spacing w:before="0" w:after="0" w:line="240" w:lineRule="auto"/>
        <w:rPr>
          <w:rFonts w:ascii="Arial" w:hAnsi="Arial"/>
          <w:color w:val="000000"/>
          <w:sz w:val="16"/>
        </w:rPr>
      </w:pPr>
      <w:r>
        <w:br w:type="page"/>
      </w:r>
    </w:p>
    <w:p w14:paraId="52CD0D12" w14:textId="750014D0" w:rsidR="002F530C" w:rsidRPr="006913EB" w:rsidRDefault="002F530C" w:rsidP="00250122">
      <w:pPr>
        <w:pStyle w:val="Heading2"/>
      </w:pPr>
      <w:bookmarkStart w:id="49" w:name="_Toc444523516"/>
      <w:bookmarkStart w:id="50" w:name="_Toc65243511"/>
      <w:bookmarkEnd w:id="46"/>
      <w:bookmarkEnd w:id="47"/>
      <w:r w:rsidRPr="006913EB">
        <w:lastRenderedPageBreak/>
        <w:t>Section 3: Budgeted financial statements</w:t>
      </w:r>
      <w:bookmarkEnd w:id="49"/>
      <w:bookmarkEnd w:id="50"/>
    </w:p>
    <w:p w14:paraId="1F7B5C02" w14:textId="45187D1E"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9709FF">
        <w:t>2026–27</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51" w:name="_Toc190682317"/>
      <w:bookmarkStart w:id="52" w:name="_Toc444523517"/>
      <w:bookmarkStart w:id="53" w:name="_Toc65243512"/>
      <w:r w:rsidRPr="005328A9">
        <w:t>3.1</w:t>
      </w:r>
      <w:r w:rsidR="00E4582E" w:rsidRPr="005328A9">
        <w:tab/>
        <w:t>Budgeted financial statements</w:t>
      </w:r>
      <w:bookmarkEnd w:id="51"/>
      <w:bookmarkEnd w:id="52"/>
      <w:bookmarkEnd w:id="53"/>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3AFF598D" w14:textId="19B6B7D0" w:rsidR="00E4582E" w:rsidRPr="00DB25A7" w:rsidRDefault="00DB25A7" w:rsidP="00DB25A7">
      <w:pPr>
        <w:pStyle w:val="ExampleText0"/>
        <w:spacing w:after="160"/>
        <w:rPr>
          <w:i w:val="0"/>
          <w:iCs/>
          <w:color w:val="auto"/>
        </w:rPr>
      </w:pPr>
      <w:r w:rsidRPr="00DB25A7">
        <w:rPr>
          <w:i w:val="0"/>
          <w:iCs/>
          <w:color w:val="auto"/>
        </w:rPr>
        <w:t>There are no differences between the resource information presented in the Budget Papers and in DFAT’s Portfolio Budget Statements</w:t>
      </w:r>
      <w:r>
        <w:rPr>
          <w:i w:val="0"/>
          <w:iCs/>
          <w:color w:val="auto"/>
        </w:rPr>
        <w:t xml:space="preserve">. </w:t>
      </w:r>
    </w:p>
    <w:p w14:paraId="711B4D5D"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23EA913F" w14:textId="247F89CF" w:rsidR="00DB25A7" w:rsidRPr="00696204" w:rsidRDefault="00DB25A7" w:rsidP="00DB25A7">
      <w:pPr>
        <w:pStyle w:val="ExampleText0"/>
        <w:spacing w:after="160"/>
        <w:rPr>
          <w:i w:val="0"/>
          <w:iCs/>
          <w:color w:val="000000" w:themeColor="text1"/>
          <w:szCs w:val="19"/>
        </w:rPr>
      </w:pPr>
      <w:r w:rsidRPr="00A76734">
        <w:rPr>
          <w:i w:val="0"/>
          <w:iCs/>
          <w:color w:val="000000" w:themeColor="text1"/>
          <w:szCs w:val="19"/>
        </w:rPr>
        <w:t xml:space="preserve">The total budgeted revenue from government in </w:t>
      </w:r>
      <w:r>
        <w:rPr>
          <w:i w:val="0"/>
          <w:iCs/>
          <w:color w:val="000000" w:themeColor="text1"/>
          <w:szCs w:val="19"/>
        </w:rPr>
        <w:t>2026–27</w:t>
      </w:r>
      <w:r w:rsidRPr="00A76734">
        <w:rPr>
          <w:i w:val="0"/>
          <w:iCs/>
          <w:color w:val="000000" w:themeColor="text1"/>
          <w:szCs w:val="19"/>
        </w:rPr>
        <w:t xml:space="preserve"> </w:t>
      </w:r>
      <w:r w:rsidRPr="003F2049">
        <w:rPr>
          <w:i w:val="0"/>
          <w:iCs/>
          <w:color w:val="000000" w:themeColor="text1"/>
          <w:szCs w:val="19"/>
        </w:rPr>
        <w:t>is $2,</w:t>
      </w:r>
      <w:r w:rsidR="003F2049" w:rsidRPr="003F2049">
        <w:rPr>
          <w:i w:val="0"/>
          <w:iCs/>
          <w:color w:val="000000" w:themeColor="text1"/>
          <w:szCs w:val="19"/>
        </w:rPr>
        <w:t>346</w:t>
      </w:r>
      <w:r w:rsidR="003F2049">
        <w:rPr>
          <w:i w:val="0"/>
          <w:iCs/>
          <w:color w:val="000000" w:themeColor="text1"/>
          <w:szCs w:val="19"/>
        </w:rPr>
        <w:t>.2</w:t>
      </w:r>
      <w:r w:rsidRPr="00984D6A">
        <w:rPr>
          <w:i w:val="0"/>
          <w:iCs/>
          <w:color w:val="000000" w:themeColor="text1"/>
          <w:szCs w:val="19"/>
        </w:rPr>
        <w:t xml:space="preserve"> million</w:t>
      </w:r>
      <w:r w:rsidRPr="00A76734">
        <w:rPr>
          <w:i w:val="0"/>
          <w:iCs/>
          <w:color w:val="000000" w:themeColor="text1"/>
          <w:szCs w:val="19"/>
        </w:rPr>
        <w:t xml:space="preserve"> as shown in </w:t>
      </w:r>
      <w:r w:rsidRPr="00A76734">
        <w:rPr>
          <w:i w:val="0"/>
          <w:iCs/>
          <w:color w:val="000000" w:themeColor="text1"/>
          <w:szCs w:val="19"/>
        </w:rPr>
        <w:br/>
        <w:t>Table 3.1</w:t>
      </w:r>
      <w:r w:rsidRPr="00696204">
        <w:rPr>
          <w:i w:val="0"/>
          <w:iCs/>
          <w:color w:val="000000" w:themeColor="text1"/>
          <w:szCs w:val="19"/>
        </w:rPr>
        <w:t xml:space="preserve">. The increase is primarily attributable to: </w:t>
      </w:r>
    </w:p>
    <w:p w14:paraId="78D2E032" w14:textId="77777777" w:rsidR="00DB25A7" w:rsidRPr="00696204" w:rsidRDefault="00DB25A7" w:rsidP="00DB25A7">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 xml:space="preserve">funding for new </w:t>
      </w:r>
      <w:proofErr w:type="gramStart"/>
      <w:r w:rsidRPr="00696204">
        <w:rPr>
          <w:rFonts w:ascii="Book Antiqua" w:hAnsi="Book Antiqua" w:cs="Book Antiqua"/>
          <w:color w:val="000000" w:themeColor="text1"/>
          <w:sz w:val="19"/>
          <w:szCs w:val="19"/>
        </w:rPr>
        <w:t>measures;</w:t>
      </w:r>
      <w:proofErr w:type="gramEnd"/>
      <w:r w:rsidRPr="00696204">
        <w:rPr>
          <w:rFonts w:ascii="Book Antiqua" w:hAnsi="Book Antiqua" w:cs="Book Antiqua"/>
          <w:color w:val="000000" w:themeColor="text1"/>
          <w:sz w:val="19"/>
          <w:szCs w:val="19"/>
        </w:rPr>
        <w:t xml:space="preserve"> </w:t>
      </w:r>
    </w:p>
    <w:p w14:paraId="4CEFD4DA" w14:textId="77777777" w:rsidR="00DB25A7" w:rsidRPr="00696204" w:rsidRDefault="00DB25A7" w:rsidP="00DB25A7">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parameter adjustments for overseas and domestic inflation; and</w:t>
      </w:r>
    </w:p>
    <w:p w14:paraId="27C57E3F" w14:textId="77777777" w:rsidR="00DB25A7" w:rsidRPr="00A76734" w:rsidRDefault="00DB25A7" w:rsidP="00DB25A7">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foreign exchange movements.</w:t>
      </w:r>
    </w:p>
    <w:p w14:paraId="5E890290" w14:textId="1462D810" w:rsidR="00DB25A7" w:rsidRPr="00A76734" w:rsidRDefault="00DB25A7" w:rsidP="00DB25A7">
      <w:pPr>
        <w:pStyle w:val="ExampleText0"/>
        <w:spacing w:after="160"/>
        <w:rPr>
          <w:i w:val="0"/>
          <w:iCs/>
          <w:color w:val="000000" w:themeColor="text1"/>
          <w:szCs w:val="19"/>
        </w:rPr>
      </w:pPr>
      <w:r w:rsidRPr="00A76734">
        <w:rPr>
          <w:i w:val="0"/>
          <w:iCs/>
          <w:color w:val="000000" w:themeColor="text1"/>
          <w:szCs w:val="19"/>
        </w:rPr>
        <w:t xml:space="preserve">The Income Statement shows a </w:t>
      </w:r>
      <w:r w:rsidRPr="008953AA">
        <w:rPr>
          <w:i w:val="0"/>
          <w:iCs/>
          <w:color w:val="000000" w:themeColor="text1"/>
          <w:szCs w:val="19"/>
        </w:rPr>
        <w:t>budgeted deficit in 20</w:t>
      </w:r>
      <w:r>
        <w:rPr>
          <w:i w:val="0"/>
          <w:iCs/>
          <w:color w:val="000000" w:themeColor="text1"/>
          <w:szCs w:val="19"/>
        </w:rPr>
        <w:t>26</w:t>
      </w:r>
      <w:r w:rsidRPr="004061F1">
        <w:rPr>
          <w:i w:val="0"/>
          <w:iCs/>
          <w:color w:val="000000" w:themeColor="text1"/>
        </w:rPr>
        <w:t>–</w:t>
      </w:r>
      <w:r>
        <w:rPr>
          <w:i w:val="0"/>
          <w:iCs/>
          <w:color w:val="000000" w:themeColor="text1"/>
          <w:szCs w:val="19"/>
        </w:rPr>
        <w:t>27</w:t>
      </w:r>
      <w:r w:rsidRPr="00A76734">
        <w:rPr>
          <w:i w:val="0"/>
          <w:iCs/>
          <w:color w:val="000000" w:themeColor="text1"/>
          <w:szCs w:val="19"/>
        </w:rPr>
        <w:t xml:space="preserve"> of </w:t>
      </w:r>
      <w:r w:rsidRPr="00984D6A">
        <w:rPr>
          <w:i w:val="0"/>
          <w:iCs/>
          <w:color w:val="000000" w:themeColor="text1"/>
          <w:szCs w:val="19"/>
        </w:rPr>
        <w:t>$</w:t>
      </w:r>
      <w:r w:rsidR="003F2049">
        <w:rPr>
          <w:i w:val="0"/>
          <w:iCs/>
          <w:color w:val="000000" w:themeColor="text1"/>
          <w:szCs w:val="19"/>
        </w:rPr>
        <w:t>154.5</w:t>
      </w:r>
      <w:r>
        <w:rPr>
          <w:i w:val="0"/>
          <w:iCs/>
          <w:color w:val="000000" w:themeColor="text1"/>
          <w:szCs w:val="19"/>
        </w:rPr>
        <w:t xml:space="preserve"> </w:t>
      </w:r>
      <w:r w:rsidRPr="00984D6A">
        <w:rPr>
          <w:i w:val="0"/>
          <w:iCs/>
          <w:color w:val="000000" w:themeColor="text1"/>
          <w:szCs w:val="19"/>
        </w:rPr>
        <w:t>million</w:t>
      </w:r>
      <w:r w:rsidRPr="00A76734">
        <w:rPr>
          <w:i w:val="0"/>
          <w:iCs/>
          <w:color w:val="000000" w:themeColor="text1"/>
          <w:szCs w:val="19"/>
        </w:rPr>
        <w:t xml:space="preserve"> before allowing for net cash funding arrangements. </w:t>
      </w:r>
    </w:p>
    <w:p w14:paraId="28BCC45B" w14:textId="493439AF" w:rsidR="00143750" w:rsidRDefault="00DB25A7" w:rsidP="00DB25A7">
      <w:pPr>
        <w:pStyle w:val="ExampleText0"/>
        <w:spacing w:after="160"/>
        <w:rPr>
          <w:i w:val="0"/>
          <w:iCs/>
          <w:color w:val="auto"/>
        </w:rPr>
      </w:pPr>
      <w:r w:rsidRPr="00A76734">
        <w:rPr>
          <w:i w:val="0"/>
          <w:iCs/>
          <w:color w:val="000000" w:themeColor="text1"/>
          <w:szCs w:val="19"/>
        </w:rPr>
        <w:t>In addition, all departmental financial statements have been updated to include the estimated impact of the accounting standards for leases (AASB 16)</w:t>
      </w:r>
      <w:r w:rsidR="00FD522D" w:rsidRPr="00DB25A7">
        <w:rPr>
          <w:i w:val="0"/>
          <w:iCs/>
          <w:color w:val="auto"/>
        </w:rPr>
        <w:t>.</w:t>
      </w:r>
    </w:p>
    <w:p w14:paraId="5B1AAC5F" w14:textId="77777777" w:rsidR="00DB25A7" w:rsidRPr="00A76734" w:rsidRDefault="00DB25A7" w:rsidP="00DB25A7">
      <w:pPr>
        <w:pStyle w:val="Heading4"/>
        <w:rPr>
          <w:color w:val="000000" w:themeColor="text1"/>
        </w:rPr>
      </w:pPr>
      <w:r w:rsidRPr="00A76734">
        <w:rPr>
          <w:color w:val="000000" w:themeColor="text1"/>
        </w:rPr>
        <w:t xml:space="preserve">Budgeted </w:t>
      </w:r>
      <w:r>
        <w:rPr>
          <w:color w:val="000000" w:themeColor="text1"/>
        </w:rPr>
        <w:t>d</w:t>
      </w:r>
      <w:r w:rsidRPr="00A76734">
        <w:rPr>
          <w:color w:val="000000" w:themeColor="text1"/>
        </w:rPr>
        <w:t xml:space="preserve">epartmental </w:t>
      </w:r>
      <w:r>
        <w:rPr>
          <w:color w:val="000000" w:themeColor="text1"/>
        </w:rPr>
        <w:t>b</w:t>
      </w:r>
      <w:r w:rsidRPr="00A76734">
        <w:rPr>
          <w:color w:val="000000" w:themeColor="text1"/>
        </w:rPr>
        <w:t xml:space="preserve">alance </w:t>
      </w:r>
      <w:r>
        <w:rPr>
          <w:color w:val="000000" w:themeColor="text1"/>
        </w:rPr>
        <w:t>s</w:t>
      </w:r>
      <w:r w:rsidRPr="00A76734">
        <w:rPr>
          <w:color w:val="000000" w:themeColor="text1"/>
        </w:rPr>
        <w:t xml:space="preserve">heet </w:t>
      </w:r>
    </w:p>
    <w:p w14:paraId="2953A96E" w14:textId="7591701E" w:rsidR="00DB25A7" w:rsidRPr="00A76734" w:rsidRDefault="00DB25A7" w:rsidP="00DB25A7">
      <w:pPr>
        <w:rPr>
          <w:color w:val="000000" w:themeColor="text1"/>
          <w:szCs w:val="19"/>
        </w:rPr>
      </w:pPr>
      <w:r w:rsidRPr="00A76734">
        <w:rPr>
          <w:color w:val="000000" w:themeColor="text1"/>
          <w:szCs w:val="19"/>
        </w:rPr>
        <w:t>The department will receive an equity injection of $</w:t>
      </w:r>
      <w:r w:rsidR="003F2049">
        <w:rPr>
          <w:color w:val="000000" w:themeColor="text1"/>
          <w:szCs w:val="19"/>
        </w:rPr>
        <w:t>145.7</w:t>
      </w:r>
      <w:r w:rsidRPr="00556C34">
        <w:rPr>
          <w:color w:val="000000" w:themeColor="text1"/>
          <w:szCs w:val="19"/>
        </w:rPr>
        <w:t xml:space="preserve"> million</w:t>
      </w:r>
      <w:r w:rsidRPr="00A76734">
        <w:rPr>
          <w:color w:val="000000" w:themeColor="text1"/>
          <w:szCs w:val="19"/>
        </w:rPr>
        <w:t xml:space="preserve"> in 202</w:t>
      </w:r>
      <w:r>
        <w:rPr>
          <w:color w:val="000000" w:themeColor="text1"/>
          <w:szCs w:val="19"/>
        </w:rPr>
        <w:t>6–27</w:t>
      </w:r>
      <w:r w:rsidRPr="00A76734">
        <w:rPr>
          <w:color w:val="000000" w:themeColor="text1"/>
          <w:szCs w:val="19"/>
        </w:rPr>
        <w:t xml:space="preserve"> for the purchase or construction of new assets. The department will also receive $</w:t>
      </w:r>
      <w:r w:rsidR="003F2049">
        <w:rPr>
          <w:color w:val="000000" w:themeColor="text1"/>
          <w:szCs w:val="19"/>
        </w:rPr>
        <w:t>110.2</w:t>
      </w:r>
      <w:r w:rsidRPr="00556C34">
        <w:rPr>
          <w:color w:val="000000" w:themeColor="text1"/>
          <w:szCs w:val="19"/>
        </w:rPr>
        <w:t xml:space="preserve"> million</w:t>
      </w:r>
      <w:r w:rsidRPr="00A76734">
        <w:rPr>
          <w:color w:val="000000" w:themeColor="text1"/>
          <w:szCs w:val="19"/>
        </w:rPr>
        <w:t xml:space="preserve"> through its </w:t>
      </w:r>
      <w:r w:rsidR="006761AC">
        <w:rPr>
          <w:color w:val="000000" w:themeColor="text1"/>
          <w:szCs w:val="19"/>
        </w:rPr>
        <w:t>d</w:t>
      </w:r>
      <w:r w:rsidRPr="00A76734">
        <w:rPr>
          <w:color w:val="000000" w:themeColor="text1"/>
          <w:szCs w:val="19"/>
        </w:rPr>
        <w:t xml:space="preserve">epartmental </w:t>
      </w:r>
      <w:r w:rsidR="006761AC">
        <w:rPr>
          <w:color w:val="000000" w:themeColor="text1"/>
          <w:szCs w:val="19"/>
        </w:rPr>
        <w:t>c</w:t>
      </w:r>
      <w:r w:rsidRPr="00A76734">
        <w:rPr>
          <w:color w:val="000000" w:themeColor="text1"/>
          <w:szCs w:val="19"/>
        </w:rPr>
        <w:t xml:space="preserve">apital </w:t>
      </w:r>
      <w:r w:rsidR="006761AC">
        <w:rPr>
          <w:color w:val="000000" w:themeColor="text1"/>
          <w:szCs w:val="19"/>
        </w:rPr>
        <w:t>b</w:t>
      </w:r>
      <w:r w:rsidRPr="00A76734">
        <w:rPr>
          <w:color w:val="000000" w:themeColor="text1"/>
          <w:szCs w:val="19"/>
        </w:rPr>
        <w:t>udget to fund the replacement of existing assets.</w:t>
      </w:r>
    </w:p>
    <w:p w14:paraId="034EECDE" w14:textId="46F28BE1" w:rsidR="00DB25A7" w:rsidRPr="00DB25A7" w:rsidRDefault="00DB25A7" w:rsidP="00DB25A7">
      <w:pPr>
        <w:pStyle w:val="ExampleText0"/>
        <w:spacing w:after="160"/>
        <w:rPr>
          <w:i w:val="0"/>
          <w:iCs/>
          <w:color w:val="auto"/>
        </w:rPr>
      </w:pPr>
      <w:r w:rsidRPr="00DB25A7">
        <w:rPr>
          <w:i w:val="0"/>
          <w:iCs/>
          <w:color w:val="000000" w:themeColor="text1"/>
          <w:szCs w:val="19"/>
        </w:rPr>
        <w:t>For 202</w:t>
      </w:r>
      <w:r>
        <w:rPr>
          <w:i w:val="0"/>
          <w:iCs/>
          <w:color w:val="000000" w:themeColor="text1"/>
          <w:szCs w:val="19"/>
        </w:rPr>
        <w:t>6</w:t>
      </w:r>
      <w:r w:rsidRPr="00DB25A7">
        <w:rPr>
          <w:i w:val="0"/>
          <w:iCs/>
          <w:color w:val="000000" w:themeColor="text1"/>
          <w:szCs w:val="19"/>
        </w:rPr>
        <w:t>–2</w:t>
      </w:r>
      <w:r>
        <w:rPr>
          <w:i w:val="0"/>
          <w:iCs/>
          <w:color w:val="000000" w:themeColor="text1"/>
          <w:szCs w:val="19"/>
        </w:rPr>
        <w:t>7</w:t>
      </w:r>
      <w:r w:rsidRPr="00DB25A7">
        <w:rPr>
          <w:i w:val="0"/>
          <w:iCs/>
          <w:color w:val="000000" w:themeColor="text1"/>
          <w:szCs w:val="19"/>
        </w:rPr>
        <w:t xml:space="preserve">, the department’s non-financial asset position is budgeted to be </w:t>
      </w:r>
      <w:r w:rsidRPr="003F2049">
        <w:rPr>
          <w:i w:val="0"/>
          <w:iCs/>
          <w:color w:val="000000" w:themeColor="text1"/>
          <w:szCs w:val="19"/>
        </w:rPr>
        <w:t>$5,</w:t>
      </w:r>
      <w:r w:rsidR="003F2049">
        <w:rPr>
          <w:i w:val="0"/>
          <w:iCs/>
          <w:color w:val="000000" w:themeColor="text1"/>
          <w:szCs w:val="19"/>
        </w:rPr>
        <w:t>865.5</w:t>
      </w:r>
      <w:r w:rsidRPr="00DB25A7">
        <w:rPr>
          <w:i w:val="0"/>
          <w:iCs/>
          <w:color w:val="000000" w:themeColor="text1"/>
          <w:szCs w:val="19"/>
        </w:rPr>
        <w:t xml:space="preserve"> million at year-end. The major asset component is </w:t>
      </w:r>
      <w:r w:rsidRPr="003F2049">
        <w:rPr>
          <w:i w:val="0"/>
          <w:iCs/>
          <w:color w:val="000000" w:themeColor="text1"/>
          <w:szCs w:val="19"/>
        </w:rPr>
        <w:t>$4,</w:t>
      </w:r>
      <w:r w:rsidR="003F2049">
        <w:rPr>
          <w:i w:val="0"/>
          <w:iCs/>
          <w:color w:val="000000" w:themeColor="text1"/>
          <w:szCs w:val="19"/>
        </w:rPr>
        <w:t>884.9</w:t>
      </w:r>
      <w:r w:rsidRPr="00DB25A7">
        <w:rPr>
          <w:i w:val="0"/>
          <w:iCs/>
          <w:color w:val="000000" w:themeColor="text1"/>
          <w:szCs w:val="19"/>
        </w:rPr>
        <w:t xml:space="preserve"> million for land and buildings</w:t>
      </w:r>
      <w:r>
        <w:rPr>
          <w:i w:val="0"/>
          <w:iCs/>
          <w:color w:val="000000" w:themeColor="text1"/>
          <w:szCs w:val="19"/>
        </w:rPr>
        <w:t xml:space="preserve">. </w:t>
      </w:r>
    </w:p>
    <w:p w14:paraId="49085D90" w14:textId="1735D958" w:rsidR="00DB25A7" w:rsidRDefault="00DB25A7">
      <w:pPr>
        <w:spacing w:before="0" w:after="0" w:line="240" w:lineRule="auto"/>
        <w:rPr>
          <w:iCs/>
        </w:rPr>
      </w:pPr>
      <w:r>
        <w:rPr>
          <w:i/>
          <w:iCs/>
        </w:rPr>
        <w:br w:type="page"/>
      </w:r>
    </w:p>
    <w:p w14:paraId="37B0F4A3" w14:textId="21F34746" w:rsidR="00DB25A7" w:rsidRPr="00A76734" w:rsidRDefault="00DB25A7" w:rsidP="00DB25A7">
      <w:pPr>
        <w:pStyle w:val="Heading4"/>
        <w:rPr>
          <w:color w:val="000000" w:themeColor="text1"/>
        </w:rPr>
      </w:pPr>
      <w:r w:rsidRPr="00A76734">
        <w:rPr>
          <w:color w:val="000000" w:themeColor="text1"/>
        </w:rPr>
        <w:lastRenderedPageBreak/>
        <w:t xml:space="preserve">Schedule of </w:t>
      </w:r>
      <w:r>
        <w:rPr>
          <w:color w:val="000000" w:themeColor="text1"/>
        </w:rPr>
        <w:t>b</w:t>
      </w:r>
      <w:r w:rsidRPr="00A76734">
        <w:rPr>
          <w:color w:val="000000" w:themeColor="text1"/>
        </w:rPr>
        <w:t xml:space="preserve">udgeted </w:t>
      </w:r>
      <w:r>
        <w:rPr>
          <w:color w:val="000000" w:themeColor="text1"/>
        </w:rPr>
        <w:t>i</w:t>
      </w:r>
      <w:r w:rsidRPr="00A76734">
        <w:rPr>
          <w:color w:val="000000" w:themeColor="text1"/>
        </w:rPr>
        <w:t xml:space="preserve">ncome and </w:t>
      </w:r>
      <w:r>
        <w:rPr>
          <w:color w:val="000000" w:themeColor="text1"/>
        </w:rPr>
        <w:t>e</w:t>
      </w:r>
      <w:r w:rsidRPr="00A76734">
        <w:rPr>
          <w:color w:val="000000" w:themeColor="text1"/>
        </w:rPr>
        <w:t xml:space="preserve">xpenses </w:t>
      </w:r>
      <w:r>
        <w:rPr>
          <w:color w:val="000000" w:themeColor="text1"/>
        </w:rPr>
        <w:t>a</w:t>
      </w:r>
      <w:r w:rsidRPr="00A76734">
        <w:rPr>
          <w:color w:val="000000" w:themeColor="text1"/>
        </w:rPr>
        <w:t xml:space="preserve">dministered on behalf of the </w:t>
      </w:r>
      <w:r w:rsidR="00B41B5B">
        <w:rPr>
          <w:color w:val="000000" w:themeColor="text1"/>
        </w:rPr>
        <w:t>G</w:t>
      </w:r>
      <w:r w:rsidRPr="00A76734">
        <w:rPr>
          <w:color w:val="000000" w:themeColor="text1"/>
        </w:rPr>
        <w:t>overnment</w:t>
      </w:r>
    </w:p>
    <w:p w14:paraId="1AA5DD92" w14:textId="3C13D285" w:rsidR="00DB25A7" w:rsidRPr="00E907EF" w:rsidRDefault="00DB25A7" w:rsidP="00DB25A7">
      <w:pPr>
        <w:rPr>
          <w:color w:val="000000" w:themeColor="text1"/>
          <w:szCs w:val="19"/>
          <w:highlight w:val="yellow"/>
        </w:rPr>
      </w:pPr>
      <w:r w:rsidRPr="00A76734">
        <w:rPr>
          <w:color w:val="000000" w:themeColor="text1"/>
          <w:szCs w:val="19"/>
        </w:rPr>
        <w:t xml:space="preserve">Administered expenses for multilateral replenishments are budgeted </w:t>
      </w:r>
      <w:r w:rsidR="00A66EFC" w:rsidRPr="00E907EF">
        <w:rPr>
          <w:color w:val="000000" w:themeColor="text1"/>
          <w:szCs w:val="19"/>
        </w:rPr>
        <w:t>for $107.9 million</w:t>
      </w:r>
      <w:r w:rsidRPr="00E907EF">
        <w:rPr>
          <w:color w:val="000000" w:themeColor="text1"/>
          <w:szCs w:val="19"/>
        </w:rPr>
        <w:t>, a decrease of $</w:t>
      </w:r>
      <w:r w:rsidR="00A66EFC" w:rsidRPr="00E907EF">
        <w:rPr>
          <w:color w:val="000000" w:themeColor="text1"/>
          <w:szCs w:val="19"/>
        </w:rPr>
        <w:t>1,052.1</w:t>
      </w:r>
      <w:r w:rsidRPr="00E907EF">
        <w:rPr>
          <w:color w:val="000000" w:themeColor="text1"/>
          <w:szCs w:val="19"/>
        </w:rPr>
        <w:t xml:space="preserve"> million from the 2025–26 estimated actual due to </w:t>
      </w:r>
      <w:r w:rsidR="00E907EF" w:rsidRPr="00E907EF">
        <w:rPr>
          <w:color w:val="000000" w:themeColor="text1"/>
          <w:szCs w:val="19"/>
        </w:rPr>
        <w:t xml:space="preserve">two new </w:t>
      </w:r>
      <w:r w:rsidRPr="00E907EF">
        <w:rPr>
          <w:color w:val="000000" w:themeColor="text1"/>
          <w:szCs w:val="19"/>
        </w:rPr>
        <w:t>multilateral replenishments being negotiated in 2026</w:t>
      </w:r>
      <w:r w:rsidR="004402A3" w:rsidRPr="00E907EF">
        <w:rPr>
          <w:rFonts w:cs="Arial"/>
        </w:rPr>
        <w:t>–</w:t>
      </w:r>
      <w:r w:rsidRPr="00E907EF">
        <w:rPr>
          <w:color w:val="000000" w:themeColor="text1"/>
          <w:szCs w:val="19"/>
        </w:rPr>
        <w:t>27 compared to three being finalised in 2025</w:t>
      </w:r>
      <w:r w:rsidR="004402A3" w:rsidRPr="00E907EF">
        <w:rPr>
          <w:rFonts w:cs="Arial"/>
        </w:rPr>
        <w:t>–</w:t>
      </w:r>
      <w:r w:rsidRPr="00E907EF">
        <w:rPr>
          <w:color w:val="000000" w:themeColor="text1"/>
          <w:szCs w:val="19"/>
        </w:rPr>
        <w:t>26.</w:t>
      </w:r>
      <w:r w:rsidRPr="00A76734">
        <w:rPr>
          <w:color w:val="000000" w:themeColor="text1"/>
          <w:szCs w:val="19"/>
        </w:rPr>
        <w:t xml:space="preserve">  </w:t>
      </w:r>
    </w:p>
    <w:p w14:paraId="6831E109" w14:textId="77777777" w:rsidR="00DB25A7" w:rsidRPr="00A76734" w:rsidRDefault="00DB25A7" w:rsidP="00DB25A7">
      <w:pPr>
        <w:pStyle w:val="Heading4"/>
        <w:rPr>
          <w:color w:val="000000" w:themeColor="text1"/>
        </w:rPr>
      </w:pPr>
      <w:r w:rsidRPr="00A76734">
        <w:rPr>
          <w:color w:val="000000" w:themeColor="text1"/>
        </w:rPr>
        <w:t xml:space="preserve">Schedule of </w:t>
      </w:r>
      <w:r>
        <w:rPr>
          <w:color w:val="000000" w:themeColor="text1"/>
        </w:rPr>
        <w:t>b</w:t>
      </w:r>
      <w:r w:rsidRPr="00A76734">
        <w:rPr>
          <w:color w:val="000000" w:themeColor="text1"/>
        </w:rPr>
        <w:t xml:space="preserve">udgeted </w:t>
      </w:r>
      <w:r>
        <w:rPr>
          <w:color w:val="000000" w:themeColor="text1"/>
        </w:rPr>
        <w:t>a</w:t>
      </w:r>
      <w:r w:rsidRPr="00A76734">
        <w:rPr>
          <w:color w:val="000000" w:themeColor="text1"/>
        </w:rPr>
        <w:t xml:space="preserve">ssets and </w:t>
      </w:r>
      <w:r>
        <w:rPr>
          <w:color w:val="000000" w:themeColor="text1"/>
        </w:rPr>
        <w:t>l</w:t>
      </w:r>
      <w:r w:rsidRPr="00A76734">
        <w:rPr>
          <w:color w:val="000000" w:themeColor="text1"/>
        </w:rPr>
        <w:t xml:space="preserve">iabilities </w:t>
      </w:r>
      <w:r>
        <w:rPr>
          <w:color w:val="000000" w:themeColor="text1"/>
        </w:rPr>
        <w:t>a</w:t>
      </w:r>
      <w:r w:rsidRPr="00A76734">
        <w:rPr>
          <w:color w:val="000000" w:themeColor="text1"/>
        </w:rPr>
        <w:t xml:space="preserve">dministered on behalf of the Government </w:t>
      </w:r>
    </w:p>
    <w:p w14:paraId="5C92FC8C" w14:textId="0E8539CE" w:rsidR="00DB25A7" w:rsidRPr="00A76734" w:rsidRDefault="00DB25A7" w:rsidP="00DB25A7">
      <w:pPr>
        <w:rPr>
          <w:color w:val="000000" w:themeColor="text1"/>
        </w:rPr>
      </w:pPr>
      <w:r w:rsidRPr="00A76734">
        <w:rPr>
          <w:color w:val="000000" w:themeColor="text1"/>
        </w:rPr>
        <w:t xml:space="preserve">Administered assets and liabilities administered on behalf of the Government are budgeted at </w:t>
      </w:r>
      <w:r w:rsidRPr="00A66EFC">
        <w:rPr>
          <w:color w:val="000000" w:themeColor="text1"/>
        </w:rPr>
        <w:t>$3,</w:t>
      </w:r>
      <w:r w:rsidR="00A66EFC" w:rsidRPr="00A66EFC">
        <w:rPr>
          <w:color w:val="000000" w:themeColor="text1"/>
        </w:rPr>
        <w:t>710.</w:t>
      </w:r>
      <w:r w:rsidR="000A6C08">
        <w:rPr>
          <w:color w:val="000000" w:themeColor="text1"/>
        </w:rPr>
        <w:t>7</w:t>
      </w:r>
      <w:r w:rsidRPr="00A66EFC">
        <w:rPr>
          <w:color w:val="000000" w:themeColor="text1"/>
        </w:rPr>
        <w:t xml:space="preserve"> million and $1,</w:t>
      </w:r>
      <w:r w:rsidR="00A66EFC" w:rsidRPr="00A66EFC">
        <w:rPr>
          <w:color w:val="000000" w:themeColor="text1"/>
        </w:rPr>
        <w:t>960.9</w:t>
      </w:r>
      <w:r w:rsidRPr="00A20179">
        <w:rPr>
          <w:color w:val="000000" w:themeColor="text1"/>
        </w:rPr>
        <w:t xml:space="preserve"> million</w:t>
      </w:r>
      <w:r w:rsidRPr="00A76734">
        <w:rPr>
          <w:color w:val="000000" w:themeColor="text1"/>
        </w:rPr>
        <w:t xml:space="preserve"> respectively for the year ending 30 June 202</w:t>
      </w:r>
      <w:r>
        <w:rPr>
          <w:color w:val="000000" w:themeColor="text1"/>
        </w:rPr>
        <w:t>7</w:t>
      </w:r>
      <w:r w:rsidRPr="00A76734">
        <w:rPr>
          <w:color w:val="000000" w:themeColor="text1"/>
        </w:rPr>
        <w:t>.</w:t>
      </w:r>
    </w:p>
    <w:p w14:paraId="0DEF5E61" w14:textId="77777777" w:rsidR="00DB25A7" w:rsidRPr="00A76734" w:rsidRDefault="00DB25A7" w:rsidP="00DB25A7">
      <w:pPr>
        <w:pStyle w:val="Heading4"/>
        <w:jc w:val="both"/>
        <w:rPr>
          <w:color w:val="000000" w:themeColor="text1"/>
        </w:rPr>
      </w:pPr>
      <w:r w:rsidRPr="00A76734">
        <w:rPr>
          <w:color w:val="000000" w:themeColor="text1"/>
        </w:rPr>
        <w:t xml:space="preserve">Schedule of </w:t>
      </w:r>
      <w:r>
        <w:rPr>
          <w:color w:val="000000" w:themeColor="text1"/>
        </w:rPr>
        <w:t>b</w:t>
      </w:r>
      <w:r w:rsidRPr="00A76734">
        <w:rPr>
          <w:color w:val="000000" w:themeColor="text1"/>
        </w:rPr>
        <w:t xml:space="preserve">udgeted </w:t>
      </w:r>
      <w:r>
        <w:rPr>
          <w:color w:val="000000" w:themeColor="text1"/>
        </w:rPr>
        <w:t>a</w:t>
      </w:r>
      <w:r w:rsidRPr="00A76734">
        <w:rPr>
          <w:color w:val="000000" w:themeColor="text1"/>
        </w:rPr>
        <w:t xml:space="preserve">dministered </w:t>
      </w:r>
      <w:r>
        <w:rPr>
          <w:color w:val="000000" w:themeColor="text1"/>
        </w:rPr>
        <w:t>c</w:t>
      </w:r>
      <w:r w:rsidRPr="00A76734">
        <w:rPr>
          <w:color w:val="000000" w:themeColor="text1"/>
        </w:rPr>
        <w:t xml:space="preserve">ash </w:t>
      </w:r>
      <w:r>
        <w:rPr>
          <w:color w:val="000000" w:themeColor="text1"/>
        </w:rPr>
        <w:t>f</w:t>
      </w:r>
      <w:r w:rsidRPr="00A76734">
        <w:rPr>
          <w:color w:val="000000" w:themeColor="text1"/>
        </w:rPr>
        <w:t xml:space="preserve">lows </w:t>
      </w:r>
    </w:p>
    <w:p w14:paraId="330468B6" w14:textId="00F2636A" w:rsidR="00DB25A7" w:rsidRPr="00A76734" w:rsidRDefault="00DB25A7" w:rsidP="00DB25A7">
      <w:pPr>
        <w:rPr>
          <w:color w:val="000000" w:themeColor="text1"/>
        </w:rPr>
      </w:pPr>
      <w:r w:rsidRPr="00A76734">
        <w:rPr>
          <w:color w:val="000000" w:themeColor="text1"/>
        </w:rPr>
        <w:t xml:space="preserve">Administered cash receipts primarily comprise receipts from passport and consular services and are budgeted at </w:t>
      </w:r>
      <w:r w:rsidRPr="00A66EFC">
        <w:rPr>
          <w:color w:val="000000" w:themeColor="text1"/>
        </w:rPr>
        <w:t>$</w:t>
      </w:r>
      <w:r w:rsidR="00A66EFC" w:rsidRPr="00A66EFC">
        <w:rPr>
          <w:color w:val="000000" w:themeColor="text1"/>
        </w:rPr>
        <w:t>1,040.9</w:t>
      </w:r>
      <w:r w:rsidRPr="00A66EFC">
        <w:rPr>
          <w:color w:val="000000" w:themeColor="text1"/>
        </w:rPr>
        <w:t xml:space="preserve"> million, a decrease of $</w:t>
      </w:r>
      <w:r w:rsidR="00A66EFC" w:rsidRPr="00A66EFC">
        <w:rPr>
          <w:color w:val="000000" w:themeColor="text1"/>
        </w:rPr>
        <w:t>251</w:t>
      </w:r>
      <w:r w:rsidR="00A66EFC">
        <w:rPr>
          <w:color w:val="000000" w:themeColor="text1"/>
        </w:rPr>
        <w:t>.6</w:t>
      </w:r>
      <w:r w:rsidRPr="00A20179">
        <w:rPr>
          <w:color w:val="000000" w:themeColor="text1"/>
        </w:rPr>
        <w:t xml:space="preserve"> million</w:t>
      </w:r>
      <w:r w:rsidRPr="00A76734">
        <w:rPr>
          <w:color w:val="000000" w:themeColor="text1"/>
        </w:rPr>
        <w:t xml:space="preserve">.  </w:t>
      </w:r>
    </w:p>
    <w:p w14:paraId="07DFCE2D" w14:textId="210BEEF4" w:rsidR="00DB25A7" w:rsidRPr="00DB25A7" w:rsidRDefault="00DB25A7" w:rsidP="00DB25A7">
      <w:pPr>
        <w:pStyle w:val="ExampleText0"/>
        <w:spacing w:after="160"/>
        <w:rPr>
          <w:i w:val="0"/>
          <w:iCs/>
          <w:color w:val="auto"/>
        </w:rPr>
      </w:pPr>
      <w:r w:rsidRPr="00DB25A7">
        <w:rPr>
          <w:i w:val="0"/>
          <w:iCs/>
          <w:color w:val="000000" w:themeColor="text1"/>
        </w:rPr>
        <w:t>Administered cash used in 202</w:t>
      </w:r>
      <w:r>
        <w:rPr>
          <w:i w:val="0"/>
          <w:iCs/>
          <w:color w:val="000000" w:themeColor="text1"/>
        </w:rPr>
        <w:t>6</w:t>
      </w:r>
      <w:r w:rsidRPr="00DB25A7">
        <w:rPr>
          <w:i w:val="0"/>
          <w:iCs/>
          <w:color w:val="000000" w:themeColor="text1"/>
        </w:rPr>
        <w:t>–2</w:t>
      </w:r>
      <w:r>
        <w:rPr>
          <w:i w:val="0"/>
          <w:iCs/>
          <w:color w:val="000000" w:themeColor="text1"/>
        </w:rPr>
        <w:t>7</w:t>
      </w:r>
      <w:r w:rsidRPr="00DB25A7">
        <w:rPr>
          <w:i w:val="0"/>
          <w:iCs/>
          <w:color w:val="000000" w:themeColor="text1"/>
        </w:rPr>
        <w:t xml:space="preserve"> is estimated </w:t>
      </w:r>
      <w:r w:rsidRPr="00A66EFC">
        <w:rPr>
          <w:i w:val="0"/>
          <w:iCs/>
          <w:color w:val="000000" w:themeColor="text1"/>
        </w:rPr>
        <w:t xml:space="preserve">to </w:t>
      </w:r>
      <w:r w:rsidR="00A66EFC" w:rsidRPr="00A66EFC">
        <w:rPr>
          <w:i w:val="0"/>
          <w:iCs/>
          <w:color w:val="000000" w:themeColor="text1"/>
        </w:rPr>
        <w:t>in</w:t>
      </w:r>
      <w:r w:rsidRPr="00A66EFC">
        <w:rPr>
          <w:i w:val="0"/>
          <w:iCs/>
          <w:color w:val="000000" w:themeColor="text1"/>
        </w:rPr>
        <w:t>crease by $</w:t>
      </w:r>
      <w:r w:rsidR="000A6C08">
        <w:rPr>
          <w:i w:val="0"/>
          <w:iCs/>
          <w:color w:val="000000" w:themeColor="text1"/>
        </w:rPr>
        <w:t>1,040.4</w:t>
      </w:r>
      <w:r w:rsidRPr="00A66EFC">
        <w:rPr>
          <w:i w:val="0"/>
          <w:iCs/>
          <w:color w:val="000000" w:themeColor="text1"/>
        </w:rPr>
        <w:t xml:space="preserve"> million</w:t>
      </w:r>
      <w:r w:rsidRPr="00DB25A7">
        <w:rPr>
          <w:i w:val="0"/>
          <w:iCs/>
          <w:color w:val="000000" w:themeColor="text1"/>
        </w:rPr>
        <w:t xml:space="preserve"> compared to 202</w:t>
      </w:r>
      <w:r>
        <w:rPr>
          <w:i w:val="0"/>
          <w:iCs/>
          <w:color w:val="000000" w:themeColor="text1"/>
        </w:rPr>
        <w:t>5</w:t>
      </w:r>
      <w:r w:rsidRPr="00DB25A7">
        <w:rPr>
          <w:i w:val="0"/>
          <w:iCs/>
          <w:color w:val="000000" w:themeColor="text1"/>
          <w:szCs w:val="19"/>
        </w:rPr>
        <w:t>–</w:t>
      </w:r>
      <w:r w:rsidRPr="00DB25A7">
        <w:rPr>
          <w:i w:val="0"/>
          <w:iCs/>
          <w:color w:val="000000" w:themeColor="text1"/>
        </w:rPr>
        <w:t>2</w:t>
      </w:r>
      <w:r>
        <w:rPr>
          <w:i w:val="0"/>
          <w:iCs/>
          <w:color w:val="000000" w:themeColor="text1"/>
        </w:rPr>
        <w:t>6</w:t>
      </w:r>
      <w:r w:rsidRPr="00DB25A7">
        <w:rPr>
          <w:i w:val="0"/>
          <w:iCs/>
          <w:color w:val="000000" w:themeColor="text1"/>
        </w:rPr>
        <w:t>. This is due primarily to the profile of the measures and other variations across the forward estimates</w:t>
      </w:r>
      <w:r>
        <w:rPr>
          <w:i w:val="0"/>
          <w:iCs/>
          <w:color w:val="000000" w:themeColor="text1"/>
        </w:rPr>
        <w:t xml:space="preserve">. </w:t>
      </w:r>
    </w:p>
    <w:p w14:paraId="5FC5B155" w14:textId="361CBA20" w:rsidR="00DB25A7" w:rsidRPr="00DB25A7" w:rsidRDefault="00DB25A7" w:rsidP="00DB25A7">
      <w:pPr>
        <w:spacing w:before="0" w:after="0" w:line="240" w:lineRule="auto"/>
        <w:rPr>
          <w:iCs/>
        </w:rPr>
      </w:pPr>
      <w:r>
        <w:rPr>
          <w:i/>
          <w:iCs/>
        </w:rPr>
        <w:br w:type="page"/>
      </w:r>
    </w:p>
    <w:p w14:paraId="6CC5A641" w14:textId="758EA601" w:rsidR="00E4582E" w:rsidRPr="00E36F77" w:rsidRDefault="00E4582E" w:rsidP="029FCC3C">
      <w:pPr>
        <w:pStyle w:val="Heading4"/>
        <w:rPr>
          <w:rStyle w:val="TableHeadingChar"/>
          <w:rFonts w:ascii="Arial Bold" w:hAnsi="Arial Bold"/>
          <w:b/>
          <w:bCs/>
        </w:rPr>
      </w:pPr>
      <w:bookmarkStart w:id="54" w:name="_Toc444523518"/>
      <w:r w:rsidRPr="029FCC3C">
        <w:rPr>
          <w:rStyle w:val="TableHeadingChar"/>
          <w:rFonts w:ascii="Arial Bold" w:hAnsi="Arial Bold"/>
          <w:b/>
          <w:bCs/>
        </w:rPr>
        <w:lastRenderedPageBreak/>
        <w:t>3.2.</w:t>
      </w:r>
      <w:r w:rsidR="000A6897">
        <w:tab/>
      </w:r>
      <w:r w:rsidRPr="029FCC3C">
        <w:rPr>
          <w:rStyle w:val="TableHeadingChar"/>
          <w:rFonts w:ascii="Arial Bold" w:hAnsi="Arial Bold"/>
          <w:b/>
          <w:bCs/>
        </w:rPr>
        <w:t xml:space="preserve">Budgeted </w:t>
      </w:r>
      <w:r w:rsidR="00F626C2" w:rsidRPr="029FCC3C">
        <w:rPr>
          <w:rStyle w:val="TableHeadingChar"/>
          <w:rFonts w:ascii="Arial Bold" w:hAnsi="Arial Bold"/>
          <w:b/>
          <w:bCs/>
        </w:rPr>
        <w:t>financial statements tables</w:t>
      </w:r>
      <w:bookmarkEnd w:id="54"/>
    </w:p>
    <w:p w14:paraId="7A97590A" w14:textId="74124BF4" w:rsidR="00960553" w:rsidRPr="00960553" w:rsidRDefault="00E855E0" w:rsidP="00960553">
      <w:pPr>
        <w:pStyle w:val="TableHeading"/>
        <w:rPr>
          <w:b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p>
    <w:p w14:paraId="75E9088B" w14:textId="69B55F6B" w:rsidR="001A67BE" w:rsidRDefault="00C13BD0" w:rsidP="00EE6B95">
      <w:pPr>
        <w:pStyle w:val="TableGraphic"/>
        <w:rPr>
          <w:noProof/>
        </w:rPr>
      </w:pPr>
      <w:r w:rsidRPr="00C13BD0">
        <w:rPr>
          <w:noProof/>
        </w:rPr>
        <w:drawing>
          <wp:inline distT="0" distB="0" distL="0" distR="0" wp14:anchorId="25D16C68" wp14:editId="168C289F">
            <wp:extent cx="4895850" cy="4201795"/>
            <wp:effectExtent l="0" t="0" r="0" b="8255"/>
            <wp:docPr id="9577883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4201795"/>
                    </a:xfrm>
                    <a:prstGeom prst="rect">
                      <a:avLst/>
                    </a:prstGeom>
                    <a:noFill/>
                    <a:ln>
                      <a:noFill/>
                    </a:ln>
                  </pic:spPr>
                </pic:pic>
              </a:graphicData>
            </a:graphic>
          </wp:inline>
        </w:drawing>
      </w:r>
    </w:p>
    <w:p w14:paraId="0F96DF77" w14:textId="1690E1E1" w:rsidR="00C13BD0" w:rsidRPr="00C13BD0" w:rsidRDefault="00C13BD0">
      <w:pPr>
        <w:spacing w:before="0" w:after="0" w:line="240" w:lineRule="auto"/>
        <w:rPr>
          <w:rFonts w:ascii="Arial" w:hAnsi="Arial" w:cs="Arial"/>
          <w:sz w:val="16"/>
          <w:szCs w:val="16"/>
        </w:rPr>
      </w:pPr>
      <w:r>
        <w:rPr>
          <w:rFonts w:ascii="Arial" w:hAnsi="Arial" w:cs="Arial"/>
          <w:sz w:val="16"/>
          <w:szCs w:val="16"/>
        </w:rPr>
        <w:t xml:space="preserve">Table </w:t>
      </w:r>
      <w:proofErr w:type="gramStart"/>
      <w:r>
        <w:rPr>
          <w:rFonts w:ascii="Arial" w:hAnsi="Arial" w:cs="Arial"/>
          <w:sz w:val="16"/>
          <w:szCs w:val="16"/>
        </w:rPr>
        <w:t>continued on</w:t>
      </w:r>
      <w:proofErr w:type="gramEnd"/>
      <w:r>
        <w:rPr>
          <w:rFonts w:ascii="Arial" w:hAnsi="Arial" w:cs="Arial"/>
          <w:sz w:val="16"/>
          <w:szCs w:val="16"/>
        </w:rPr>
        <w:t xml:space="preserve"> the next page. </w:t>
      </w:r>
    </w:p>
    <w:p w14:paraId="55095816" w14:textId="1E391993" w:rsidR="001D3237" w:rsidRDefault="007742FF">
      <w:pPr>
        <w:spacing w:before="0" w:after="0" w:line="240" w:lineRule="auto"/>
      </w:pPr>
      <w:r w:rsidRPr="001D3237">
        <w:br w:type="page"/>
      </w:r>
    </w:p>
    <w:p w14:paraId="00CE987E" w14:textId="18741D52" w:rsidR="00F55E8E" w:rsidRPr="00AB4CF9" w:rsidRDefault="00146B5E" w:rsidP="00AB4CF9">
      <w:pPr>
        <w:pStyle w:val="TableHeadingcontinued"/>
        <w:rPr>
          <w:snapToGrid w:val="0"/>
        </w:rPr>
      </w:pPr>
      <w:r w:rsidRPr="00AB4CF9">
        <w:lastRenderedPageBreak/>
        <w:t xml:space="preserve">Table 3.1: Comprehensive income statement (showing net cost of services) </w:t>
      </w:r>
      <w:r w:rsidRPr="00AB4CF9">
        <w:rPr>
          <w:snapToGrid w:val="0"/>
        </w:rPr>
        <w:t>for the period ended 30 June</w:t>
      </w:r>
      <w:r w:rsidR="00765A82" w:rsidRPr="00AB4CF9">
        <w:rPr>
          <w:snapToGrid w:val="0"/>
        </w:rPr>
        <w:t xml:space="preserve"> (continued)</w:t>
      </w:r>
    </w:p>
    <w:p w14:paraId="46F70198" w14:textId="41B303D2" w:rsidR="000A7442" w:rsidRPr="00C557C1" w:rsidRDefault="000A7442" w:rsidP="00A9767E">
      <w:pPr>
        <w:pStyle w:val="TableGraphic"/>
        <w:rPr>
          <w:snapToGrid w:val="0"/>
        </w:rPr>
      </w:pPr>
    </w:p>
    <w:p w14:paraId="5B07E22E" w14:textId="1C03B6FD" w:rsidR="00395D29" w:rsidRDefault="007742FF" w:rsidP="00C557C1">
      <w:pPr>
        <w:pStyle w:val="TableHeading"/>
      </w:pPr>
      <w:r w:rsidRPr="003819E1">
        <w:t>Note: Impact of net cash appropriation arrangements</w:t>
      </w:r>
    </w:p>
    <w:p w14:paraId="656788F2" w14:textId="5EDEB9FD" w:rsidR="00255344" w:rsidRDefault="00C13BD0" w:rsidP="00A9767E">
      <w:pPr>
        <w:pStyle w:val="TableGraphic"/>
      </w:pPr>
      <w:r w:rsidRPr="00C13BD0">
        <w:rPr>
          <w:noProof/>
        </w:rPr>
        <w:drawing>
          <wp:inline distT="0" distB="0" distL="0" distR="0" wp14:anchorId="150C385F" wp14:editId="510546A5">
            <wp:extent cx="4895850" cy="2101215"/>
            <wp:effectExtent l="0" t="0" r="0" b="0"/>
            <wp:docPr id="16561752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2101215"/>
                    </a:xfrm>
                    <a:prstGeom prst="rect">
                      <a:avLst/>
                    </a:prstGeom>
                    <a:noFill/>
                    <a:ln>
                      <a:noFill/>
                    </a:ln>
                  </pic:spPr>
                </pic:pic>
              </a:graphicData>
            </a:graphic>
          </wp:inline>
        </w:drawing>
      </w:r>
    </w:p>
    <w:p w14:paraId="6E14EB7C" w14:textId="703049D0" w:rsidR="007742FF" w:rsidRPr="009D54F3" w:rsidRDefault="594C8CDB" w:rsidP="001A3FDA">
      <w:pPr>
        <w:pStyle w:val="ChartandTableFootnote"/>
        <w:rPr>
          <w:rFonts w:cs="Arial"/>
        </w:rPr>
      </w:pPr>
      <w:r>
        <w:t>Prepared on Australian Accounting Standards basis.</w:t>
      </w:r>
    </w:p>
    <w:p w14:paraId="079FDC9D" w14:textId="42DEBA41" w:rsidR="00D52088" w:rsidRPr="000053CF" w:rsidRDefault="00DE1278" w:rsidP="005F2FDC">
      <w:pPr>
        <w:pStyle w:val="ChartandTableFootnoteAlpha"/>
        <w:numPr>
          <w:ilvl w:val="0"/>
          <w:numId w:val="11"/>
        </w:numPr>
        <w:spacing w:line="259" w:lineRule="auto"/>
        <w:rPr>
          <w:rFonts w:cs="Arial"/>
          <w:color w:val="auto"/>
          <w:szCs w:val="16"/>
        </w:rPr>
      </w:pPr>
      <w:r w:rsidRPr="00DE1278">
        <w:rPr>
          <w:rFonts w:cs="Arial"/>
        </w:rPr>
        <w:t>From 2010</w:t>
      </w:r>
      <w:r w:rsidR="00D55AD4">
        <w:rPr>
          <w:rFonts w:cs="Arial"/>
        </w:rPr>
        <w:t>–</w:t>
      </w:r>
      <w:r w:rsidRPr="00DE1278">
        <w:rPr>
          <w:rFonts w:cs="Arial"/>
        </w:rPr>
        <w:t>11, the Government introduced net cash appropriation arrangements that provided non</w:t>
      </w:r>
      <w:r w:rsidRPr="00DE1278">
        <w:rPr>
          <w:rFonts w:ascii="Cambria Math" w:hAnsi="Cambria Math" w:cs="Cambria Math"/>
        </w:rPr>
        <w:t>‑</w:t>
      </w:r>
      <w:r w:rsidRPr="00DE1278">
        <w:rPr>
          <w:rFonts w:cs="Arial"/>
        </w:rPr>
        <w:t xml:space="preserve">corporate </w:t>
      </w:r>
      <w:r w:rsidRPr="00AF0A7A">
        <w:rPr>
          <w:rFonts w:cs="Arial"/>
        </w:rPr>
        <w:t>Commonwealth entities with a separate Departmental Capital Budget (DCB) under Appropriation Bill (</w:t>
      </w:r>
      <w:r w:rsidR="00221EF8" w:rsidRPr="00AF0A7A">
        <w:rPr>
          <w:rFonts w:cs="Arial"/>
        </w:rPr>
        <w:t>No. 1</w:t>
      </w:r>
      <w:r w:rsidRPr="00AF0A7A">
        <w:rPr>
          <w:rFonts w:cs="Arial"/>
        </w:rPr>
        <w:t>). This replaced revenue appropriations provided under Appropriation Bill (</w:t>
      </w:r>
      <w:r w:rsidR="00221EF8" w:rsidRPr="00AF0A7A">
        <w:rPr>
          <w:rFonts w:cs="Arial"/>
        </w:rPr>
        <w:t>No. 1</w:t>
      </w:r>
      <w:r w:rsidRPr="00AF0A7A">
        <w:rPr>
          <w:rFonts w:cs="Arial"/>
        </w:rPr>
        <w:t>) used for the depreciation/amortisation expenses. For information regarding DCBs, please refer to Table 3.</w:t>
      </w:r>
      <w:r w:rsidRPr="00DE1278">
        <w:rPr>
          <w:rFonts w:cs="Arial"/>
        </w:rPr>
        <w:t>5 Departmental Capital Budget Statement.</w:t>
      </w:r>
    </w:p>
    <w:p w14:paraId="1ADF1940" w14:textId="77777777" w:rsidR="00D52088" w:rsidRDefault="00D52088" w:rsidP="005F2FDC">
      <w:pPr>
        <w:pStyle w:val="ChartandTableFootnoteAlpha"/>
        <w:numPr>
          <w:ilvl w:val="0"/>
          <w:numId w:val="11"/>
        </w:numPr>
      </w:pPr>
      <w:r>
        <w:t>Applies leases under AASB 16 Leases.</w:t>
      </w:r>
    </w:p>
    <w:p w14:paraId="146EF795" w14:textId="77777777" w:rsidR="001D3237" w:rsidRDefault="001D3237">
      <w:pPr>
        <w:spacing w:before="0" w:after="0" w:line="240" w:lineRule="auto"/>
        <w:rPr>
          <w:highlight w:val="cyan"/>
        </w:rPr>
      </w:pPr>
      <w:r>
        <w:rPr>
          <w:highlight w:val="cyan"/>
        </w:rPr>
        <w:br w:type="page"/>
      </w:r>
    </w:p>
    <w:p w14:paraId="0F228062" w14:textId="4A72BB3F" w:rsidR="00960553" w:rsidRPr="00960553" w:rsidRDefault="00525AB1" w:rsidP="00960553">
      <w:pPr>
        <w:pStyle w:val="TableHeading"/>
        <w:rPr>
          <w:rFonts w:ascii="Times New Roman" w:hAnsi="Times New Roman"/>
        </w:rPr>
      </w:pPr>
      <w:r w:rsidRPr="00E4582E">
        <w:lastRenderedPageBreak/>
        <w:t>Table</w:t>
      </w:r>
      <w:r w:rsidR="00971CBF">
        <w:t xml:space="preserve"> 3.</w:t>
      </w:r>
      <w:r w:rsidRPr="00E4582E">
        <w:t>2: Budg</w:t>
      </w:r>
      <w:r>
        <w:t xml:space="preserve">eted </w:t>
      </w:r>
      <w:r w:rsidR="00F626C2">
        <w:t xml:space="preserve">departmental balance sheet </w:t>
      </w:r>
      <w:r w:rsidRPr="00E4582E">
        <w:t xml:space="preserve">(as </w:t>
      </w:r>
      <w:proofErr w:type="gramStart"/>
      <w:r w:rsidRPr="00E4582E">
        <w:t>at</w:t>
      </w:r>
      <w:proofErr w:type="gramEnd"/>
      <w:r w:rsidRPr="00E4582E">
        <w:t xml:space="preserve"> 30 June)</w:t>
      </w:r>
    </w:p>
    <w:p w14:paraId="1DAC8C56" w14:textId="2FF2377C" w:rsidR="00E4582E" w:rsidRDefault="00993B1D" w:rsidP="00A9767E">
      <w:pPr>
        <w:pStyle w:val="TableGraphic"/>
      </w:pPr>
      <w:r w:rsidRPr="00993B1D">
        <w:rPr>
          <w:noProof/>
        </w:rPr>
        <w:drawing>
          <wp:inline distT="0" distB="0" distL="0" distR="0" wp14:anchorId="54FDF80A" wp14:editId="3DF34868">
            <wp:extent cx="4895850" cy="5426075"/>
            <wp:effectExtent l="0" t="0" r="0" b="3175"/>
            <wp:docPr id="2024163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95850" cy="5426075"/>
                    </a:xfrm>
                    <a:prstGeom prst="rect">
                      <a:avLst/>
                    </a:prstGeom>
                    <a:noFill/>
                    <a:ln>
                      <a:noFill/>
                    </a:ln>
                  </pic:spPr>
                </pic:pic>
              </a:graphicData>
            </a:graphic>
          </wp:inline>
        </w:drawing>
      </w:r>
    </w:p>
    <w:p w14:paraId="1BFFE57C" w14:textId="77777777" w:rsidR="00D606C2" w:rsidRPr="00132F9E" w:rsidRDefault="00D606C2" w:rsidP="00446EE2">
      <w:pPr>
        <w:pStyle w:val="ChartandTableFootnote"/>
      </w:pPr>
      <w:r w:rsidRPr="00132F9E">
        <w:t xml:space="preserve">Prepared on </w:t>
      </w:r>
      <w:r w:rsidRPr="00446EE2">
        <w:rPr>
          <w:rStyle w:val="ChartandTableFootnoteChar"/>
        </w:rPr>
        <w:t>Australian</w:t>
      </w:r>
      <w:r w:rsidRPr="00132F9E">
        <w:t xml:space="preserve"> Accounting Standards basis.</w:t>
      </w:r>
    </w:p>
    <w:p w14:paraId="4EE16F39" w14:textId="2836EDD1" w:rsidR="0082593D" w:rsidRPr="0082593D" w:rsidRDefault="00E4582E" w:rsidP="00043AF1">
      <w:pPr>
        <w:pStyle w:val="ChartandTableFootnote"/>
      </w:pPr>
      <w:r w:rsidRPr="00132F9E">
        <w:rPr>
          <w:rFonts w:cs="Arial"/>
        </w:rPr>
        <w:t>*</w:t>
      </w:r>
      <w:r w:rsidR="00AF213C">
        <w:rPr>
          <w:rFonts w:cs="Arial"/>
        </w:rPr>
        <w:t>’</w:t>
      </w:r>
      <w:r w:rsidRPr="00132F9E">
        <w:rPr>
          <w:rFonts w:cs="Arial"/>
        </w:rPr>
        <w:t>E</w:t>
      </w:r>
      <w:r w:rsidR="00F626C2" w:rsidRPr="00132F9E">
        <w:rPr>
          <w:rFonts w:cs="Arial"/>
        </w:rPr>
        <w:t>quity</w:t>
      </w:r>
      <w:r w:rsidR="00AF213C">
        <w:rPr>
          <w:rFonts w:cs="Arial"/>
        </w:rPr>
        <w:t>’</w:t>
      </w:r>
      <w:r w:rsidRPr="00132F9E">
        <w:rPr>
          <w:rFonts w:cs="Arial"/>
        </w:rPr>
        <w:t xml:space="preserve"> is the residual interest in assets after deduction of liabilities.</w:t>
      </w:r>
    </w:p>
    <w:p w14:paraId="777679E5" w14:textId="77777777" w:rsidR="001D3237" w:rsidRDefault="001D3237">
      <w:pPr>
        <w:spacing w:before="0" w:after="0" w:line="240" w:lineRule="auto"/>
        <w:rPr>
          <w:highlight w:val="green"/>
        </w:rPr>
      </w:pPr>
      <w:r>
        <w:rPr>
          <w:highlight w:val="green"/>
        </w:rPr>
        <w:br w:type="page"/>
      </w:r>
    </w:p>
    <w:p w14:paraId="2CADFC2E" w14:textId="28AD5B0B" w:rsidR="00960553" w:rsidRPr="00960553" w:rsidRDefault="00A80C87" w:rsidP="00554D69">
      <w:pPr>
        <w:pStyle w:val="TableHeading"/>
        <w:rPr>
          <w:rFonts w:ascii="Times New Roman" w:hAnsi="Times New Roman"/>
        </w:rPr>
      </w:pPr>
      <w:r w:rsidRPr="00AD42E2">
        <w:lastRenderedPageBreak/>
        <w:t>Table</w:t>
      </w:r>
      <w:r w:rsidR="00971CBF" w:rsidRPr="00AD42E2">
        <w:t xml:space="preserve"> 3.</w:t>
      </w:r>
      <w:r w:rsidRPr="00AD42E2">
        <w:t>3</w:t>
      </w:r>
      <w:r w:rsidR="00345CCD" w:rsidRPr="00AD42E2">
        <w:t xml:space="preserve">: Departmental </w:t>
      </w:r>
      <w:r w:rsidR="00F626C2" w:rsidRPr="00AD42E2">
        <w:t>statement of changes in equity</w:t>
      </w:r>
      <w:r w:rsidR="00AF213C">
        <w:t xml:space="preserve"> – </w:t>
      </w:r>
      <w:r w:rsidR="00F626C2" w:rsidRPr="00AD42E2">
        <w:t>summary of</w:t>
      </w:r>
      <w:r w:rsidR="00F626C2">
        <w:t xml:space="preserve"> movement (</w:t>
      </w:r>
      <w:r w:rsidR="008A1DDE">
        <w:t xml:space="preserve">Budget </w:t>
      </w:r>
      <w:r w:rsidR="00F626C2">
        <w:t>y</w:t>
      </w:r>
      <w:r w:rsidR="008A1DDE">
        <w:t xml:space="preserve">ear </w:t>
      </w:r>
      <w:r w:rsidR="009709FF">
        <w:t>2026–27</w:t>
      </w:r>
      <w:r w:rsidR="00345CCD" w:rsidRPr="00D30CBA">
        <w:t>)</w:t>
      </w:r>
    </w:p>
    <w:p w14:paraId="26031CF5" w14:textId="50675039" w:rsidR="00827182" w:rsidRPr="00D606C2" w:rsidRDefault="001848DF" w:rsidP="00827182">
      <w:pPr>
        <w:pStyle w:val="TableGraphic"/>
      </w:pPr>
      <w:r w:rsidRPr="001848DF">
        <w:rPr>
          <w:noProof/>
        </w:rPr>
        <w:drawing>
          <wp:inline distT="0" distB="0" distL="0" distR="0" wp14:anchorId="0DE7159A" wp14:editId="5220D3B9">
            <wp:extent cx="4818380" cy="3291840"/>
            <wp:effectExtent l="0" t="0" r="1270" b="3810"/>
            <wp:docPr id="106005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18380" cy="3291840"/>
                    </a:xfrm>
                    <a:prstGeom prst="rect">
                      <a:avLst/>
                    </a:prstGeom>
                    <a:noFill/>
                    <a:ln>
                      <a:noFill/>
                    </a:ln>
                  </pic:spPr>
                </pic:pic>
              </a:graphicData>
            </a:graphic>
          </wp:inline>
        </w:drawing>
      </w:r>
    </w:p>
    <w:p w14:paraId="05F30CCD" w14:textId="690F45EF" w:rsidR="00132F9E" w:rsidRPr="00132F9E" w:rsidRDefault="00D606C2" w:rsidP="001A3FDA">
      <w:pPr>
        <w:pStyle w:val="ChartandTableFootnote"/>
        <w:rPr>
          <w:szCs w:val="16"/>
        </w:rPr>
      </w:pPr>
      <w:r w:rsidRPr="00D606C2">
        <w:t>Prepared on Australian Accounting Standards basis</w:t>
      </w:r>
      <w:r w:rsidR="00ED2A50">
        <w:t xml:space="preserve">. </w:t>
      </w:r>
    </w:p>
    <w:p w14:paraId="76C461CB" w14:textId="77777777" w:rsidR="001D3237" w:rsidRDefault="000A24C4" w:rsidP="001D3237">
      <w:r w:rsidRPr="001D3237">
        <w:br w:type="page"/>
      </w:r>
    </w:p>
    <w:p w14:paraId="25E0061D" w14:textId="4A7F4E43" w:rsidR="00960553" w:rsidRPr="00960553" w:rsidRDefault="00345CCD" w:rsidP="00960553">
      <w:pPr>
        <w:pStyle w:val="TableHeading"/>
        <w:rPr>
          <w:rFonts w:ascii="Times New Roman" w:hAnsi="Times New Roman"/>
        </w:rPr>
      </w:pPr>
      <w:r>
        <w:lastRenderedPageBreak/>
        <w:t>Table</w:t>
      </w:r>
      <w:r w:rsidR="00971CBF">
        <w:t xml:space="preserve"> 3.</w:t>
      </w:r>
      <w:r>
        <w:t xml:space="preserve">4: </w:t>
      </w:r>
      <w:r w:rsidRPr="00D30CBA">
        <w:t xml:space="preserve">Budgeted </w:t>
      </w:r>
      <w:r w:rsidR="00F10305">
        <w:t>d</w:t>
      </w:r>
      <w:r w:rsidR="00F10305" w:rsidRPr="00D30CBA">
        <w:t>epar</w:t>
      </w:r>
      <w:r w:rsidR="00F10305">
        <w:t xml:space="preserve">tmental statement of cash flows </w:t>
      </w:r>
      <w:r w:rsidRPr="00D30CBA">
        <w:t>(</w:t>
      </w:r>
      <w:r w:rsidR="00F10305">
        <w:t>for </w:t>
      </w:r>
      <w:r>
        <w:t>the period ended</w:t>
      </w:r>
      <w:r w:rsidRPr="00D30CBA">
        <w:t xml:space="preserve"> 30 June)</w:t>
      </w:r>
    </w:p>
    <w:p w14:paraId="1ED980C4" w14:textId="076D5603" w:rsidR="00A00283" w:rsidRPr="00A00283" w:rsidRDefault="0049373C" w:rsidP="00A9767E">
      <w:pPr>
        <w:pStyle w:val="TableGraphic"/>
      </w:pPr>
      <w:r w:rsidRPr="0049373C">
        <w:rPr>
          <w:noProof/>
        </w:rPr>
        <w:drawing>
          <wp:inline distT="0" distB="0" distL="0" distR="0" wp14:anchorId="7D106445" wp14:editId="59A3F7F8">
            <wp:extent cx="4895850" cy="5490845"/>
            <wp:effectExtent l="0" t="0" r="0" b="0"/>
            <wp:docPr id="15694014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95850" cy="5490845"/>
                    </a:xfrm>
                    <a:prstGeom prst="rect">
                      <a:avLst/>
                    </a:prstGeom>
                    <a:noFill/>
                    <a:ln>
                      <a:noFill/>
                    </a:ln>
                  </pic:spPr>
                </pic:pic>
              </a:graphicData>
            </a:graphic>
          </wp:inline>
        </w:drawing>
      </w:r>
    </w:p>
    <w:p w14:paraId="5E6983D6" w14:textId="1E8E80A6" w:rsidR="0082593D" w:rsidRDefault="00345CCD" w:rsidP="00AD1701">
      <w:pPr>
        <w:pStyle w:val="ChartandTableFootnote"/>
      </w:pPr>
      <w:r w:rsidRPr="00132F9E">
        <w:t>Prepared on Australian Accounting Standards basis.</w:t>
      </w:r>
    </w:p>
    <w:p w14:paraId="2ACD62CC" w14:textId="77777777" w:rsidR="00A9767E" w:rsidRDefault="000A24C4" w:rsidP="00A9767E">
      <w:r w:rsidRPr="00A9767E">
        <w:br w:type="page"/>
      </w:r>
    </w:p>
    <w:p w14:paraId="432C4610" w14:textId="4075F864" w:rsidR="00960553" w:rsidRPr="00960553" w:rsidRDefault="008B4464" w:rsidP="00960553">
      <w:pPr>
        <w:pStyle w:val="TableHeading"/>
        <w:rPr>
          <w:rFonts w:ascii="Times New Roman" w:hAnsi="Times New Roman"/>
        </w:rPr>
      </w:pPr>
      <w:r w:rsidRPr="00D30CBA">
        <w:lastRenderedPageBreak/>
        <w:t>Table</w:t>
      </w:r>
      <w:r w:rsidR="00971CBF">
        <w:t xml:space="preserve"> 3.</w:t>
      </w:r>
      <w:r>
        <w:t>5</w:t>
      </w:r>
      <w:r w:rsidRPr="00D30CBA">
        <w:t xml:space="preserve">: </w:t>
      </w:r>
      <w:r w:rsidR="00F54947">
        <w:t xml:space="preserve">Departmental </w:t>
      </w:r>
      <w:r w:rsidR="00F10305">
        <w:t>capital budget statement</w:t>
      </w:r>
      <w:r w:rsidR="005067C7">
        <w:t xml:space="preserve"> (for the period ended 30 June)</w:t>
      </w:r>
    </w:p>
    <w:p w14:paraId="44C85ED7" w14:textId="013F9CF3" w:rsidR="0043795A" w:rsidRPr="0043795A" w:rsidRDefault="00FC690F" w:rsidP="00784AB7">
      <w:pPr>
        <w:pStyle w:val="TableGraphic"/>
      </w:pPr>
      <w:r w:rsidRPr="00FC690F">
        <w:rPr>
          <w:noProof/>
        </w:rPr>
        <w:drawing>
          <wp:inline distT="0" distB="0" distL="0" distR="0" wp14:anchorId="4D54B6AD" wp14:editId="0171AE7D">
            <wp:extent cx="4886325" cy="3152775"/>
            <wp:effectExtent l="0" t="0" r="9525" b="9525"/>
            <wp:docPr id="14820320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86325" cy="3152775"/>
                    </a:xfrm>
                    <a:prstGeom prst="rect">
                      <a:avLst/>
                    </a:prstGeom>
                    <a:noFill/>
                    <a:ln>
                      <a:noFill/>
                    </a:ln>
                  </pic:spPr>
                </pic:pic>
              </a:graphicData>
            </a:graphic>
          </wp:inline>
        </w:drawing>
      </w:r>
    </w:p>
    <w:p w14:paraId="3238E9BE" w14:textId="69C515A5" w:rsidR="00D606C2" w:rsidRDefault="001A3FDA" w:rsidP="00446EE2">
      <w:pPr>
        <w:pStyle w:val="ChartandTableFootnote"/>
      </w:pPr>
      <w:r>
        <w:t>P</w:t>
      </w:r>
      <w:r w:rsidR="00D606C2" w:rsidRPr="00132F9E">
        <w:t>repared on Australian Accounting Standards basis.</w:t>
      </w:r>
    </w:p>
    <w:p w14:paraId="4C6BE4D5" w14:textId="383ADFC0" w:rsidR="00F20FF5" w:rsidRPr="00D52088" w:rsidRDefault="00F20FF5" w:rsidP="5D51FF8B">
      <w:pPr>
        <w:pStyle w:val="ChartandTableFootnoteAlpha"/>
        <w:numPr>
          <w:ilvl w:val="0"/>
          <w:numId w:val="7"/>
        </w:numPr>
        <w:rPr>
          <w:rFonts w:cs="Arial"/>
        </w:rPr>
      </w:pPr>
      <w:r w:rsidRPr="5D51FF8B">
        <w:rPr>
          <w:rFonts w:cs="Arial"/>
        </w:rPr>
        <w:t xml:space="preserve">Includes both current </w:t>
      </w:r>
      <w:r w:rsidR="16156D4F" w:rsidRPr="5D51FF8B">
        <w:rPr>
          <w:rFonts w:cs="Arial"/>
        </w:rPr>
        <w:t xml:space="preserve">Appropriation </w:t>
      </w:r>
      <w:r w:rsidRPr="5D51FF8B">
        <w:rPr>
          <w:rFonts w:cs="Arial"/>
        </w:rPr>
        <w:t xml:space="preserve">Bill </w:t>
      </w:r>
      <w:r w:rsidR="12CE89F4" w:rsidRPr="5D51FF8B">
        <w:rPr>
          <w:rFonts w:cs="Arial"/>
        </w:rPr>
        <w:t>(</w:t>
      </w:r>
      <w:r w:rsidR="12CE89F4" w:rsidRPr="00AF0A7A">
        <w:rPr>
          <w:rFonts w:cs="Arial"/>
        </w:rPr>
        <w:t xml:space="preserve">No. </w:t>
      </w:r>
      <w:r w:rsidRPr="00AF0A7A">
        <w:rPr>
          <w:rFonts w:cs="Arial"/>
        </w:rPr>
        <w:t>2</w:t>
      </w:r>
      <w:r w:rsidR="75A58F91" w:rsidRPr="00AF0A7A">
        <w:rPr>
          <w:rFonts w:cs="Arial"/>
        </w:rPr>
        <w:t>)</w:t>
      </w:r>
      <w:r w:rsidR="00A360B5" w:rsidRPr="00AF0A7A">
        <w:rPr>
          <w:rFonts w:cs="Arial"/>
        </w:rPr>
        <w:t xml:space="preserve"> </w:t>
      </w:r>
      <w:r w:rsidRPr="00AF0A7A">
        <w:rPr>
          <w:rFonts w:cs="Arial"/>
        </w:rPr>
        <w:t>and prior</w:t>
      </w:r>
      <w:r w:rsidRPr="5D51FF8B">
        <w:rPr>
          <w:rFonts w:cs="Arial"/>
        </w:rPr>
        <w:t xml:space="preserve"> </w:t>
      </w:r>
      <w:r w:rsidR="160C83AA" w:rsidRPr="5D51FF8B">
        <w:rPr>
          <w:rFonts w:cs="Arial"/>
        </w:rPr>
        <w:t xml:space="preserve">Appropriation </w:t>
      </w:r>
      <w:r w:rsidRPr="5D51FF8B">
        <w:rPr>
          <w:rFonts w:cs="Arial"/>
        </w:rPr>
        <w:t xml:space="preserve">Act </w:t>
      </w:r>
      <w:r w:rsidR="08F1E4E0" w:rsidRPr="5D51FF8B">
        <w:rPr>
          <w:rFonts w:cs="Arial"/>
        </w:rPr>
        <w:t xml:space="preserve">(No. </w:t>
      </w:r>
      <w:r w:rsidRPr="5D51FF8B">
        <w:rPr>
          <w:rFonts w:cs="Arial"/>
        </w:rPr>
        <w:t>2/4</w:t>
      </w:r>
      <w:r w:rsidR="20C68186" w:rsidRPr="5D51FF8B">
        <w:rPr>
          <w:rFonts w:cs="Arial"/>
        </w:rPr>
        <w:t>)</w:t>
      </w:r>
      <w:r w:rsidR="00D52088" w:rsidRPr="5D51FF8B">
        <w:rPr>
          <w:rFonts w:cs="Arial"/>
        </w:rPr>
        <w:t>.</w:t>
      </w:r>
    </w:p>
    <w:p w14:paraId="62368BCE" w14:textId="5F7E6D33" w:rsidR="00F20FF5" w:rsidRPr="00132F9E" w:rsidRDefault="00F20FF5" w:rsidP="000053CF">
      <w:pPr>
        <w:pStyle w:val="ChartandTableFootnoteAlpha"/>
        <w:numPr>
          <w:ilvl w:val="0"/>
          <w:numId w:val="7"/>
        </w:numPr>
        <w:spacing w:line="259" w:lineRule="auto"/>
        <w:rPr>
          <w:rFonts w:cs="Arial"/>
          <w:color w:val="000000" w:themeColor="text1"/>
          <w:szCs w:val="16"/>
        </w:rPr>
      </w:pPr>
      <w:r w:rsidRPr="5D51FF8B">
        <w:rPr>
          <w:rFonts w:cs="Arial"/>
        </w:rPr>
        <w:t>Includes purchases from current an</w:t>
      </w:r>
      <w:r w:rsidR="00EE2ED0" w:rsidRPr="5D51FF8B">
        <w:rPr>
          <w:rFonts w:cs="Arial"/>
        </w:rPr>
        <w:t>d previous years</w:t>
      </w:r>
      <w:r w:rsidR="00AF213C">
        <w:rPr>
          <w:rFonts w:cs="Arial"/>
        </w:rPr>
        <w:t>’</w:t>
      </w:r>
      <w:r w:rsidR="00EE2ED0" w:rsidRPr="5D51FF8B">
        <w:rPr>
          <w:rFonts w:cs="Arial"/>
        </w:rPr>
        <w:t xml:space="preserve"> Departmental </w:t>
      </w:r>
      <w:r w:rsidR="3E9962EE" w:rsidRPr="5D51FF8B">
        <w:rPr>
          <w:rFonts w:cs="Arial"/>
        </w:rPr>
        <w:t>C</w:t>
      </w:r>
      <w:r w:rsidRPr="5D51FF8B">
        <w:rPr>
          <w:rFonts w:cs="Arial"/>
        </w:rPr>
        <w:t xml:space="preserve">apital </w:t>
      </w:r>
      <w:r w:rsidR="7DDC91FE" w:rsidRPr="5D51FF8B">
        <w:rPr>
          <w:rFonts w:cs="Arial"/>
        </w:rPr>
        <w:t>B</w:t>
      </w:r>
      <w:r w:rsidRPr="5D51FF8B">
        <w:rPr>
          <w:rFonts w:cs="Arial"/>
        </w:rPr>
        <w:t>udgets (DCBs).</w:t>
      </w:r>
    </w:p>
    <w:p w14:paraId="23B6E995" w14:textId="03EC6282" w:rsidR="0092017C" w:rsidRDefault="00C37BFF" w:rsidP="00FC690F">
      <w:pPr>
        <w:pStyle w:val="ChartandTableFootnoteAlpha"/>
        <w:numPr>
          <w:ilvl w:val="0"/>
          <w:numId w:val="7"/>
        </w:numPr>
        <w:spacing w:after="20"/>
      </w:pPr>
      <w:r>
        <w:t xml:space="preserve">Includes </w:t>
      </w:r>
      <w:r w:rsidR="00FC690F">
        <w:t xml:space="preserve">internally developed assets. </w:t>
      </w:r>
    </w:p>
    <w:p w14:paraId="299FEAC5" w14:textId="77777777" w:rsidR="0092017C" w:rsidRDefault="0092017C" w:rsidP="0092017C">
      <w:pPr>
        <w:pStyle w:val="ChartandTableFootnote-Dash"/>
        <w:ind w:left="0" w:firstLine="0"/>
      </w:pPr>
    </w:p>
    <w:p w14:paraId="12ED82C7" w14:textId="3F1197C8" w:rsidR="0092017C" w:rsidRDefault="0092017C">
      <w:pPr>
        <w:spacing w:before="0" w:after="0" w:line="240" w:lineRule="auto"/>
        <w:rPr>
          <w:rFonts w:ascii="Arial" w:hAnsi="Arial"/>
          <w:sz w:val="16"/>
        </w:rPr>
      </w:pPr>
      <w:r>
        <w:br w:type="page"/>
      </w:r>
    </w:p>
    <w:p w14:paraId="5831DDDA" w14:textId="5CC173AC" w:rsidR="0092017C" w:rsidRPr="00960553" w:rsidRDefault="0092017C" w:rsidP="0092017C">
      <w:pPr>
        <w:pStyle w:val="TableHeadingcontinued"/>
      </w:pPr>
      <w:r w:rsidRPr="00D30CBA">
        <w:lastRenderedPageBreak/>
        <w:t>Table</w:t>
      </w:r>
      <w:r>
        <w:t xml:space="preserve"> 3.6</w:t>
      </w:r>
      <w:r w:rsidRPr="00D30CBA">
        <w:t xml:space="preserve">: </w:t>
      </w:r>
      <w:r>
        <w:t xml:space="preserve">Statement of departmental asset movements (Budget year 2026–27) </w:t>
      </w:r>
    </w:p>
    <w:p w14:paraId="0C18DA07" w14:textId="56EBE76D" w:rsidR="0092017C" w:rsidRDefault="005D1F42" w:rsidP="0092017C">
      <w:pPr>
        <w:pStyle w:val="ChartandTableFootnote"/>
      </w:pPr>
      <w:r w:rsidRPr="005D1F42">
        <w:rPr>
          <w:noProof/>
        </w:rPr>
        <w:drawing>
          <wp:inline distT="0" distB="0" distL="0" distR="0" wp14:anchorId="3E8155FB" wp14:editId="258A7969">
            <wp:extent cx="4954524" cy="4492487"/>
            <wp:effectExtent l="0" t="0" r="0" b="0"/>
            <wp:docPr id="18439693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55968" cy="4493796"/>
                    </a:xfrm>
                    <a:prstGeom prst="rect">
                      <a:avLst/>
                    </a:prstGeom>
                    <a:noFill/>
                    <a:ln>
                      <a:noFill/>
                    </a:ln>
                  </pic:spPr>
                </pic:pic>
              </a:graphicData>
            </a:graphic>
          </wp:inline>
        </w:drawing>
      </w:r>
    </w:p>
    <w:p w14:paraId="3070EC40" w14:textId="77777777" w:rsidR="0092017C" w:rsidRDefault="0092017C" w:rsidP="0092017C">
      <w:pPr>
        <w:pStyle w:val="ChartandTableFootnote"/>
      </w:pPr>
      <w:r w:rsidRPr="00132F9E">
        <w:t>Prepared on Australian Accounting Standards basis.</w:t>
      </w:r>
    </w:p>
    <w:p w14:paraId="40BD6A38" w14:textId="12E85CCB" w:rsidR="0092017C" w:rsidRPr="00AF0A7A" w:rsidRDefault="0092017C" w:rsidP="0092017C">
      <w:pPr>
        <w:pStyle w:val="ChartandTableFootnoteAlpha"/>
        <w:numPr>
          <w:ilvl w:val="0"/>
          <w:numId w:val="8"/>
        </w:numPr>
        <w:spacing w:line="259" w:lineRule="auto"/>
        <w:rPr>
          <w:rFonts w:cs="Arial"/>
          <w:color w:val="000000" w:themeColor="text1"/>
        </w:rPr>
      </w:pPr>
      <w:r>
        <w:rPr>
          <w:rFonts w:cs="Arial"/>
        </w:rPr>
        <w:t>‘</w:t>
      </w:r>
      <w:r w:rsidRPr="5736F694">
        <w:rPr>
          <w:rFonts w:cs="Arial"/>
        </w:rPr>
        <w:t>Appropriation equity</w:t>
      </w:r>
      <w:r>
        <w:rPr>
          <w:rFonts w:cs="Arial"/>
        </w:rPr>
        <w:t>’</w:t>
      </w:r>
      <w:r w:rsidRPr="5736F694">
        <w:rPr>
          <w:rFonts w:cs="Arial"/>
        </w:rPr>
        <w:t xml:space="preserve"> refers to equity injection appropriations provided </w:t>
      </w:r>
      <w:r w:rsidRPr="00AF0A7A">
        <w:rPr>
          <w:rFonts w:cs="Arial"/>
        </w:rPr>
        <w:t xml:space="preserve">through </w:t>
      </w:r>
      <w:r w:rsidRPr="005D1F42">
        <w:rPr>
          <w:rFonts w:cs="Arial"/>
          <w:i/>
          <w:iCs/>
        </w:rPr>
        <w:t>Appropriation Bill (No. 2) 2026–2027</w:t>
      </w:r>
      <w:r w:rsidRPr="00AF0A7A">
        <w:rPr>
          <w:rFonts w:cs="Arial"/>
        </w:rPr>
        <w:t>.</w:t>
      </w:r>
    </w:p>
    <w:p w14:paraId="3DA0BE16" w14:textId="0795B1EA" w:rsidR="0092017C" w:rsidRPr="00AF0A7A" w:rsidRDefault="0092017C" w:rsidP="0092017C">
      <w:pPr>
        <w:pStyle w:val="ChartandTableFootnoteAlpha"/>
        <w:numPr>
          <w:ilvl w:val="0"/>
          <w:numId w:val="8"/>
        </w:numPr>
        <w:spacing w:line="259" w:lineRule="auto"/>
        <w:rPr>
          <w:rFonts w:cs="Arial"/>
          <w:color w:val="000000" w:themeColor="text1"/>
        </w:rPr>
      </w:pPr>
      <w:r w:rsidRPr="00AF0A7A">
        <w:rPr>
          <w:rFonts w:cs="Arial"/>
        </w:rPr>
        <w:t xml:space="preserve">‘Appropriation ordinary annual services’ refers to funding provided through </w:t>
      </w:r>
      <w:r w:rsidRPr="005D1F42">
        <w:rPr>
          <w:rFonts w:cs="Arial"/>
          <w:i/>
          <w:iCs/>
        </w:rPr>
        <w:t>Appropriation Bill (No. 1) 2026–2027</w:t>
      </w:r>
      <w:r w:rsidRPr="00AF0A7A">
        <w:rPr>
          <w:rFonts w:cs="Arial"/>
        </w:rPr>
        <w:t xml:space="preserve"> for DCBs.</w:t>
      </w:r>
    </w:p>
    <w:p w14:paraId="5AA9205E" w14:textId="69FC22F9" w:rsidR="0092017C" w:rsidRDefault="005D1F42" w:rsidP="0092017C">
      <w:pPr>
        <w:pStyle w:val="ChartandTableFootnoteAlpha"/>
        <w:numPr>
          <w:ilvl w:val="0"/>
          <w:numId w:val="8"/>
        </w:numPr>
        <w:rPr>
          <w:rFonts w:cs="Arial"/>
        </w:rPr>
      </w:pPr>
      <w:r>
        <w:rPr>
          <w:rFonts w:cs="Arial"/>
        </w:rPr>
        <w:t>Other refers to internally developed assets</w:t>
      </w:r>
      <w:r w:rsidR="0092017C" w:rsidRPr="5736F694">
        <w:rPr>
          <w:rFonts w:cs="Arial"/>
        </w:rPr>
        <w:t>.</w:t>
      </w:r>
    </w:p>
    <w:p w14:paraId="20F8BAFC" w14:textId="77777777" w:rsidR="0092017C" w:rsidRDefault="0092017C" w:rsidP="0092017C">
      <w:pPr>
        <w:pStyle w:val="ChartandTableFootnote-Dash"/>
        <w:ind w:left="0" w:firstLine="0"/>
      </w:pPr>
    </w:p>
    <w:p w14:paraId="41E258D4" w14:textId="77777777" w:rsidR="0092017C" w:rsidRDefault="0092017C" w:rsidP="0092017C">
      <w:pPr>
        <w:pStyle w:val="ChartandTableFootnote-Dash"/>
        <w:ind w:left="0" w:firstLine="0"/>
      </w:pPr>
    </w:p>
    <w:p w14:paraId="69A0D879" w14:textId="77777777" w:rsidR="0092017C" w:rsidRPr="005E7F97" w:rsidRDefault="0092017C" w:rsidP="0092017C">
      <w:pPr>
        <w:pStyle w:val="ChartandTableFootnote-Dash"/>
        <w:ind w:left="0" w:firstLine="0"/>
      </w:pPr>
    </w:p>
    <w:p w14:paraId="431A8B4E" w14:textId="77777777" w:rsidR="001D3237" w:rsidRPr="00A9767E" w:rsidRDefault="001D3237" w:rsidP="00A9767E">
      <w:pPr>
        <w:sectPr w:rsidR="001D3237" w:rsidRPr="00A9767E" w:rsidSect="00583B88">
          <w:headerReference w:type="even" r:id="rId84"/>
          <w:headerReference w:type="default" r:id="rId85"/>
          <w:footerReference w:type="default" r:id="rId86"/>
          <w:headerReference w:type="first" r:id="rId87"/>
          <w:footerReference w:type="first" r:id="rId88"/>
          <w:type w:val="oddPage"/>
          <w:pgSz w:w="11906" w:h="16838" w:code="9"/>
          <w:pgMar w:top="2835" w:right="2098" w:bottom="2466" w:left="2098" w:header="1814" w:footer="1814" w:gutter="0"/>
          <w:cols w:space="708"/>
          <w:titlePg/>
          <w:docGrid w:linePitch="360"/>
        </w:sectPr>
      </w:pPr>
    </w:p>
    <w:p w14:paraId="08F67BAA" w14:textId="3D39EE31" w:rsidR="00960553" w:rsidRDefault="00D30CBA" w:rsidP="00960553">
      <w:pPr>
        <w:pStyle w:val="TableHeading"/>
        <w:rPr>
          <w:b w:val="0"/>
        </w:rPr>
      </w:pPr>
      <w:r w:rsidRPr="00D30CBA">
        <w:lastRenderedPageBreak/>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r w:rsidRPr="00D30CBA">
        <w:t>June)</w:t>
      </w:r>
    </w:p>
    <w:p w14:paraId="3DD875E9" w14:textId="5B5DFF74" w:rsidR="00777907" w:rsidRDefault="00B2117E" w:rsidP="009A5F36">
      <w:pPr>
        <w:pStyle w:val="TableGraphic"/>
        <w:rPr>
          <w:noProof/>
        </w:rPr>
      </w:pPr>
      <w:r w:rsidRPr="00B2117E">
        <w:rPr>
          <w:noProof/>
        </w:rPr>
        <w:drawing>
          <wp:inline distT="0" distB="0" distL="0" distR="0" wp14:anchorId="7C591DAD" wp14:editId="5F878ADB">
            <wp:extent cx="4895850" cy="4276090"/>
            <wp:effectExtent l="0" t="0" r="0" b="0"/>
            <wp:docPr id="20703713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95850" cy="4276090"/>
                    </a:xfrm>
                    <a:prstGeom prst="rect">
                      <a:avLst/>
                    </a:prstGeom>
                    <a:noFill/>
                    <a:ln>
                      <a:noFill/>
                    </a:ln>
                  </pic:spPr>
                </pic:pic>
              </a:graphicData>
            </a:graphic>
          </wp:inline>
        </w:drawing>
      </w:r>
    </w:p>
    <w:p w14:paraId="3814F82E" w14:textId="77777777" w:rsidR="00933A7D" w:rsidRPr="00933A7D" w:rsidRDefault="00DD53A9" w:rsidP="00446EE2">
      <w:pPr>
        <w:pStyle w:val="ChartandTableFootnote"/>
      </w:pPr>
      <w:r w:rsidRPr="00E4582E">
        <w:t>Prepared on Australian Accounting Standards basis</w:t>
      </w:r>
      <w:r w:rsidR="009A5F36">
        <w:t>.</w:t>
      </w:r>
    </w:p>
    <w:p w14:paraId="2CD0DE44" w14:textId="77777777" w:rsidR="00A9767E" w:rsidRDefault="000A24C4" w:rsidP="00A9767E">
      <w:r w:rsidRPr="00A9767E">
        <w:br w:type="page"/>
      </w:r>
    </w:p>
    <w:p w14:paraId="257C2A61" w14:textId="36E26B93" w:rsidR="00960553" w:rsidRPr="00F807F1" w:rsidRDefault="00D30CBA" w:rsidP="00193CA6">
      <w:pPr>
        <w:pStyle w:val="TableHeading"/>
        <w:rPr>
          <w:rFonts w:ascii="Times New Roman" w:hAnsi="Times New Roman"/>
        </w:rPr>
      </w:pPr>
      <w:r w:rsidRPr="00D30CBA">
        <w:lastRenderedPageBreak/>
        <w:t>Table</w:t>
      </w:r>
      <w:r w:rsidR="00971CBF">
        <w:t xml:space="preserve"> 3.</w:t>
      </w:r>
      <w:r w:rsidR="00B93884">
        <w:t>8</w:t>
      </w:r>
      <w:r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Pr="00D30CBA">
        <w:t xml:space="preserve">overnment (as </w:t>
      </w:r>
      <w:proofErr w:type="gramStart"/>
      <w:r w:rsidRPr="00D30CBA">
        <w:t>at</w:t>
      </w:r>
      <w:proofErr w:type="gramEnd"/>
      <w:r w:rsidRPr="00D30CBA">
        <w:t xml:space="preserve"> 30 June)</w:t>
      </w:r>
    </w:p>
    <w:p w14:paraId="5FC466E5" w14:textId="1529F93B" w:rsidR="00FF046D" w:rsidRDefault="00B2117E" w:rsidP="009763C1">
      <w:pPr>
        <w:pStyle w:val="TableGraphic"/>
        <w:rPr>
          <w:noProof/>
        </w:rPr>
      </w:pPr>
      <w:r w:rsidRPr="00B2117E">
        <w:rPr>
          <w:noProof/>
        </w:rPr>
        <w:drawing>
          <wp:inline distT="0" distB="0" distL="0" distR="0" wp14:anchorId="068BC26D" wp14:editId="74986364">
            <wp:extent cx="4820920" cy="4293870"/>
            <wp:effectExtent l="0" t="0" r="0" b="0"/>
            <wp:docPr id="17671858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0920" cy="4293870"/>
                    </a:xfrm>
                    <a:prstGeom prst="rect">
                      <a:avLst/>
                    </a:prstGeom>
                    <a:noFill/>
                    <a:ln>
                      <a:noFill/>
                    </a:ln>
                  </pic:spPr>
                </pic:pic>
              </a:graphicData>
            </a:graphic>
          </wp:inline>
        </w:drawing>
      </w:r>
    </w:p>
    <w:p w14:paraId="463FD7A3" w14:textId="77777777" w:rsidR="007A0BB9" w:rsidRPr="00B7521F" w:rsidRDefault="007A0BB9" w:rsidP="009763C1">
      <w:pPr>
        <w:pStyle w:val="ChartandTableFootnote"/>
      </w:pPr>
      <w:r w:rsidRPr="00B7521F">
        <w:t>Prepared on Australian Accounting Standards basis.</w:t>
      </w:r>
    </w:p>
    <w:p w14:paraId="7F0EFB3A" w14:textId="7ACAD4C4" w:rsidR="00A9767E" w:rsidRPr="00A9767E" w:rsidRDefault="007B2FAD" w:rsidP="007B2FAD">
      <w:pPr>
        <w:spacing w:before="0" w:after="0" w:line="240" w:lineRule="auto"/>
      </w:pPr>
      <w:bookmarkStart w:id="55" w:name="OLE_LINK1"/>
      <w:r>
        <w:br w:type="page"/>
      </w:r>
    </w:p>
    <w:p w14:paraId="347913E7" w14:textId="6ED495F3" w:rsidR="00F807F1" w:rsidRPr="00F807F1" w:rsidRDefault="00C41D55" w:rsidP="00F807F1">
      <w:pPr>
        <w:pStyle w:val="TableHeading"/>
        <w:rPr>
          <w:rFonts w:ascii="Times New Roman" w:hAnsi="Times New Roman"/>
        </w:rPr>
      </w:pPr>
      <w:r>
        <w:lastRenderedPageBreak/>
        <w:t>Table</w:t>
      </w:r>
      <w:r w:rsidR="00971CBF">
        <w:t xml:space="preserve"> 3.</w:t>
      </w:r>
      <w:r w:rsidR="00F81CE4">
        <w:t>9</w:t>
      </w:r>
      <w:r>
        <w:t xml:space="preserve">: </w:t>
      </w:r>
      <w:r w:rsidRPr="00C41D55">
        <w:t xml:space="preserve">Schedule of </w:t>
      </w:r>
      <w:r w:rsidR="0044552A">
        <w:t xml:space="preserve">budgeted administered cash flows </w:t>
      </w:r>
      <w:r w:rsidRPr="00C41D55">
        <w:t>(for</w:t>
      </w:r>
      <w:r w:rsidR="0044552A">
        <w:t> the </w:t>
      </w:r>
      <w:r w:rsidRPr="00C41D55">
        <w:t>period ended 30 June)</w:t>
      </w:r>
      <w:r w:rsidR="00BD252D" w:rsidRPr="00BD252D">
        <w:rPr>
          <w:b w:val="0"/>
        </w:rPr>
        <w:t xml:space="preserve"> </w:t>
      </w:r>
    </w:p>
    <w:p w14:paraId="35294BCD" w14:textId="6124F54E" w:rsidR="00C41D55" w:rsidRDefault="001A1496" w:rsidP="00784AB7">
      <w:pPr>
        <w:pStyle w:val="TableGraphic"/>
      </w:pPr>
      <w:r w:rsidRPr="001A1496">
        <w:rPr>
          <w:noProof/>
        </w:rPr>
        <w:drawing>
          <wp:inline distT="0" distB="0" distL="0" distR="0" wp14:anchorId="6E22A4ED" wp14:editId="1B503E83">
            <wp:extent cx="4895850" cy="3780790"/>
            <wp:effectExtent l="0" t="0" r="0" b="0"/>
            <wp:docPr id="12904294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95850" cy="3780790"/>
                    </a:xfrm>
                    <a:prstGeom prst="rect">
                      <a:avLst/>
                    </a:prstGeom>
                    <a:noFill/>
                    <a:ln>
                      <a:noFill/>
                    </a:ln>
                  </pic:spPr>
                </pic:pic>
              </a:graphicData>
            </a:graphic>
          </wp:inline>
        </w:drawing>
      </w:r>
    </w:p>
    <w:bookmarkEnd w:id="55"/>
    <w:p w14:paraId="3DED6D3D" w14:textId="1C469B55" w:rsidR="00202EFA" w:rsidRPr="00202EFA" w:rsidRDefault="00202EFA">
      <w:pPr>
        <w:spacing w:before="0" w:after="0" w:line="240" w:lineRule="auto"/>
        <w:rPr>
          <w:rFonts w:ascii="Arial" w:hAnsi="Arial" w:cs="Arial"/>
          <w:sz w:val="16"/>
          <w:szCs w:val="16"/>
        </w:rPr>
      </w:pPr>
      <w:r>
        <w:rPr>
          <w:rFonts w:ascii="Arial" w:hAnsi="Arial" w:cs="Arial"/>
          <w:sz w:val="16"/>
          <w:szCs w:val="16"/>
        </w:rPr>
        <w:t xml:space="preserve">Table </w:t>
      </w:r>
      <w:proofErr w:type="gramStart"/>
      <w:r>
        <w:rPr>
          <w:rFonts w:ascii="Arial" w:hAnsi="Arial" w:cs="Arial"/>
          <w:sz w:val="16"/>
          <w:szCs w:val="16"/>
        </w:rPr>
        <w:t>continued on</w:t>
      </w:r>
      <w:proofErr w:type="gramEnd"/>
      <w:r>
        <w:rPr>
          <w:rFonts w:ascii="Arial" w:hAnsi="Arial" w:cs="Arial"/>
          <w:sz w:val="16"/>
          <w:szCs w:val="16"/>
        </w:rPr>
        <w:t xml:space="preserve"> the next page. </w:t>
      </w:r>
    </w:p>
    <w:p w14:paraId="446A5133" w14:textId="6B4B2C3F" w:rsidR="001D3237" w:rsidRDefault="001D3237">
      <w:pPr>
        <w:spacing w:before="0" w:after="0" w:line="240" w:lineRule="auto"/>
      </w:pPr>
      <w:r>
        <w:br w:type="page"/>
      </w:r>
    </w:p>
    <w:p w14:paraId="632CB764" w14:textId="77777777" w:rsidR="00D72FF1" w:rsidRPr="000B200F" w:rsidRDefault="00D72FF1" w:rsidP="00DC3740">
      <w:pPr>
        <w:pStyle w:val="TableHeadingcontinued"/>
      </w:pPr>
      <w:r w:rsidRPr="000B200F">
        <w:lastRenderedPageBreak/>
        <w:t xml:space="preserve">Table 3.9: Schedule of budgeted administered cash flows (for the period ended 30 June) (continued) </w:t>
      </w:r>
    </w:p>
    <w:p w14:paraId="45845896" w14:textId="11D025B8" w:rsidR="00D72FF1" w:rsidRDefault="001A1496" w:rsidP="00A9767E">
      <w:pPr>
        <w:pStyle w:val="TableGraphic"/>
      </w:pPr>
      <w:r w:rsidRPr="001A1496">
        <w:rPr>
          <w:noProof/>
        </w:rPr>
        <w:drawing>
          <wp:inline distT="0" distB="0" distL="0" distR="0" wp14:anchorId="6D096BDB" wp14:editId="620FAA53">
            <wp:extent cx="4895850" cy="4338955"/>
            <wp:effectExtent l="0" t="0" r="0" b="4445"/>
            <wp:docPr id="13605210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95850" cy="4338955"/>
                    </a:xfrm>
                    <a:prstGeom prst="rect">
                      <a:avLst/>
                    </a:prstGeom>
                    <a:noFill/>
                    <a:ln>
                      <a:noFill/>
                    </a:ln>
                  </pic:spPr>
                </pic:pic>
              </a:graphicData>
            </a:graphic>
          </wp:inline>
        </w:drawing>
      </w:r>
    </w:p>
    <w:p w14:paraId="0147437E" w14:textId="77777777" w:rsidR="00D72FF1" w:rsidRDefault="00D72FF1" w:rsidP="00D72FF1">
      <w:pPr>
        <w:pStyle w:val="ChartandTableFootnote"/>
      </w:pPr>
      <w:r w:rsidRPr="000B200F">
        <w:t>Prepared on Australian Accounting Standards basis.</w:t>
      </w:r>
    </w:p>
    <w:p w14:paraId="62622987" w14:textId="67C4AB0C" w:rsidR="00A851D0" w:rsidRPr="00340251" w:rsidRDefault="00D72FF1">
      <w:pPr>
        <w:spacing w:before="0" w:after="0" w:line="240" w:lineRule="auto"/>
        <w:rPr>
          <w:rFonts w:ascii="Arial Bold" w:hAnsi="Arial Bold"/>
          <w:b/>
          <w:sz w:val="20"/>
        </w:rPr>
      </w:pPr>
      <w:r>
        <w:rPr>
          <w:rFonts w:ascii="Arial Bold" w:hAnsi="Arial Bold"/>
          <w:b/>
          <w:sz w:val="20"/>
        </w:rPr>
        <w:br w:type="page"/>
      </w:r>
    </w:p>
    <w:p w14:paraId="22DF99D3" w14:textId="77EE4D86" w:rsidR="00F807F1" w:rsidRPr="00F807F1" w:rsidRDefault="002C606D" w:rsidP="00A9767E">
      <w:pPr>
        <w:pStyle w:val="TableHeading"/>
        <w:rPr>
          <w:rFonts w:ascii="Times New Roman" w:hAnsi="Times New Roman"/>
        </w:rPr>
      </w:pPr>
      <w:r w:rsidRPr="005D4B9C">
        <w:rPr>
          <w:rFonts w:ascii="Arial Bold" w:hAnsi="Arial Bold"/>
        </w:rPr>
        <w:lastRenderedPageBreak/>
        <w:t xml:space="preserve">Table 3.10: Schedule of administered capital budget statement (for the period ended 30 June) </w:t>
      </w:r>
    </w:p>
    <w:p w14:paraId="22CD6EA8" w14:textId="70D9C56D" w:rsidR="002C606D" w:rsidRPr="00A20C5D" w:rsidRDefault="00856B56" w:rsidP="002C606D">
      <w:pPr>
        <w:pStyle w:val="TableGraphic"/>
      </w:pPr>
      <w:r w:rsidRPr="00856B56">
        <w:t xml:space="preserve"> </w:t>
      </w:r>
      <w:r w:rsidR="00202EFA" w:rsidRPr="00202EFA">
        <w:rPr>
          <w:noProof/>
        </w:rPr>
        <w:drawing>
          <wp:inline distT="0" distB="0" distL="0" distR="0" wp14:anchorId="659CCD3F" wp14:editId="2808B378">
            <wp:extent cx="4718050" cy="1579880"/>
            <wp:effectExtent l="0" t="0" r="6350" b="1270"/>
            <wp:docPr id="34642158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18050" cy="1579880"/>
                    </a:xfrm>
                    <a:prstGeom prst="rect">
                      <a:avLst/>
                    </a:prstGeom>
                    <a:noFill/>
                    <a:ln>
                      <a:noFill/>
                    </a:ln>
                  </pic:spPr>
                </pic:pic>
              </a:graphicData>
            </a:graphic>
          </wp:inline>
        </w:drawing>
      </w:r>
    </w:p>
    <w:p w14:paraId="3CDB5BE5" w14:textId="7651A339" w:rsidR="001F62E9" w:rsidRDefault="002C606D" w:rsidP="001F62E9">
      <w:pPr>
        <w:pStyle w:val="ChartandTableFootnote"/>
      </w:pPr>
      <w:r w:rsidRPr="00B7521F">
        <w:t>Prepared on Australian Accounting Standards basis.</w:t>
      </w:r>
    </w:p>
    <w:p w14:paraId="1B140852" w14:textId="2B8CEB39" w:rsidR="00A275C0" w:rsidRDefault="00A275C0">
      <w:pPr>
        <w:spacing w:before="0" w:after="0" w:line="240" w:lineRule="auto"/>
      </w:pPr>
      <w:r>
        <w:br w:type="page"/>
      </w:r>
    </w:p>
    <w:p w14:paraId="5828ADAA" w14:textId="15E72F52" w:rsidR="007B2FAD" w:rsidRDefault="00A275C0" w:rsidP="00A275C0">
      <w:pPr>
        <w:pStyle w:val="TableHeading"/>
        <w:keepNext w:val="0"/>
        <w:spacing w:after="0" w:line="260" w:lineRule="exact"/>
        <w:jc w:val="both"/>
      </w:pPr>
      <w:r>
        <w:lastRenderedPageBreak/>
        <w:t>Table 3.11: Statement of administered asset movements (Budget year 2026–27)</w:t>
      </w:r>
    </w:p>
    <w:p w14:paraId="34CD5917" w14:textId="3D7A3EDD" w:rsidR="00A275C0" w:rsidRDefault="00A61F84" w:rsidP="00A275C0">
      <w:pPr>
        <w:pStyle w:val="TableGraphic"/>
      </w:pPr>
      <w:r w:rsidRPr="00A61F84">
        <w:rPr>
          <w:noProof/>
        </w:rPr>
        <w:drawing>
          <wp:inline distT="0" distB="0" distL="0" distR="0" wp14:anchorId="4585593E" wp14:editId="5327EB49">
            <wp:extent cx="3152775" cy="2150745"/>
            <wp:effectExtent l="0" t="0" r="9525" b="1905"/>
            <wp:docPr id="20328603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52775" cy="2150745"/>
                    </a:xfrm>
                    <a:prstGeom prst="rect">
                      <a:avLst/>
                    </a:prstGeom>
                    <a:noFill/>
                    <a:ln>
                      <a:noFill/>
                    </a:ln>
                  </pic:spPr>
                </pic:pic>
              </a:graphicData>
            </a:graphic>
          </wp:inline>
        </w:drawing>
      </w:r>
    </w:p>
    <w:p w14:paraId="44DFA65D" w14:textId="77777777" w:rsidR="00A275C0" w:rsidRDefault="00A275C0" w:rsidP="00A275C0">
      <w:pPr>
        <w:pStyle w:val="ChartandTableFootnote"/>
      </w:pPr>
      <w:r w:rsidRPr="00E4582E">
        <w:t>Prepared on Australian Accounting Standards basis</w:t>
      </w:r>
      <w:r>
        <w:t>.</w:t>
      </w:r>
    </w:p>
    <w:p w14:paraId="22AA23A6" w14:textId="77777777" w:rsidR="00474FFA" w:rsidRDefault="00474FFA" w:rsidP="00474FFA"/>
    <w:p w14:paraId="2B56E5EB" w14:textId="77777777" w:rsidR="00474FFA" w:rsidRDefault="00474FFA" w:rsidP="00474FFA">
      <w:pPr>
        <w:sectPr w:rsidR="00474FFA" w:rsidSect="004B23F6">
          <w:headerReference w:type="even" r:id="rId95"/>
          <w:headerReference w:type="default" r:id="rId96"/>
          <w:footerReference w:type="even" r:id="rId97"/>
          <w:footerReference w:type="default" r:id="rId98"/>
          <w:headerReference w:type="first" r:id="rId99"/>
          <w:footerReference w:type="first" r:id="rId100"/>
          <w:pgSz w:w="11906" w:h="16838" w:code="9"/>
          <w:pgMar w:top="2835" w:right="2098" w:bottom="2466" w:left="2098" w:header="1814" w:footer="1814" w:gutter="0"/>
          <w:cols w:space="708"/>
          <w:docGrid w:linePitch="360"/>
        </w:sectPr>
      </w:pPr>
    </w:p>
    <w:p w14:paraId="4DC30C16" w14:textId="77777777" w:rsidR="00474FFA" w:rsidRPr="00474FFA" w:rsidRDefault="00474FFA" w:rsidP="00474FFA"/>
    <w:p w14:paraId="0DF2AB1A" w14:textId="77777777" w:rsidR="00A275C0" w:rsidRDefault="00A275C0" w:rsidP="00A275C0">
      <w:pPr>
        <w:pStyle w:val="TableGraphic"/>
      </w:pPr>
    </w:p>
    <w:p w14:paraId="57113A8B" w14:textId="77777777" w:rsidR="00474FFA" w:rsidRDefault="00474FFA" w:rsidP="00A275C0">
      <w:pPr>
        <w:sectPr w:rsidR="00474FFA" w:rsidSect="004B23F6">
          <w:headerReference w:type="even" r:id="rId101"/>
          <w:footerReference w:type="even" r:id="rId102"/>
          <w:pgSz w:w="11906" w:h="16838" w:code="9"/>
          <w:pgMar w:top="2835" w:right="2098" w:bottom="2466" w:left="2098" w:header="1814" w:footer="1814" w:gutter="0"/>
          <w:cols w:space="708"/>
          <w:docGrid w:linePitch="360"/>
        </w:sectPr>
      </w:pPr>
    </w:p>
    <w:p w14:paraId="112E37DA" w14:textId="77777777" w:rsidR="00A275C0" w:rsidRPr="00A275C0" w:rsidRDefault="00A275C0" w:rsidP="00A275C0"/>
    <w:p w14:paraId="1A8F0F00" w14:textId="448900B8" w:rsidR="00E7366F" w:rsidRPr="004C1439" w:rsidRDefault="00D03FC2" w:rsidP="00E7366F">
      <w:pPr>
        <w:pStyle w:val="PartHeading"/>
      </w:pPr>
      <w:r w:rsidRPr="00D03FC2">
        <w:t>Australian Trade and Investment Commission</w:t>
      </w:r>
    </w:p>
    <w:p w14:paraId="7D3F3B61" w14:textId="77777777" w:rsidR="00E7366F" w:rsidRPr="004C1439" w:rsidRDefault="00E7366F" w:rsidP="00E7366F"/>
    <w:p w14:paraId="7DD5E3E8" w14:textId="77777777" w:rsidR="00E7366F" w:rsidRPr="004C1439" w:rsidRDefault="00E7366F" w:rsidP="00E7366F">
      <w:pPr>
        <w:pStyle w:val="PartHeading-TOC"/>
      </w:pPr>
      <w:r w:rsidRPr="004C1439">
        <w:t>Entity resources and planned performance</w:t>
      </w:r>
    </w:p>
    <w:p w14:paraId="11953C3C" w14:textId="77777777" w:rsidR="00E7366F" w:rsidRPr="004C1439" w:rsidRDefault="00E7366F" w:rsidP="00E7366F">
      <w:pPr>
        <w:sectPr w:rsidR="00E7366F" w:rsidRPr="004C1439" w:rsidSect="00E7366F">
          <w:footerReference w:type="first" r:id="rId103"/>
          <w:pgSz w:w="11906" w:h="16838" w:code="9"/>
          <w:pgMar w:top="2835" w:right="2098" w:bottom="2466" w:left="2098" w:header="1814" w:footer="1814" w:gutter="0"/>
          <w:cols w:space="708"/>
          <w:vAlign w:val="center"/>
          <w:titlePg/>
          <w:docGrid w:linePitch="360"/>
        </w:sectPr>
      </w:pPr>
    </w:p>
    <w:p w14:paraId="25349481" w14:textId="7FD6C1BE" w:rsidR="00E7366F" w:rsidRPr="00E36F77" w:rsidRDefault="007C08A3" w:rsidP="00E7366F">
      <w:pPr>
        <w:pStyle w:val="ContentsHeading"/>
      </w:pPr>
      <w:r w:rsidRPr="007C08A3">
        <w:lastRenderedPageBreak/>
        <w:t>Australian Trade and Investment Commission</w:t>
      </w:r>
    </w:p>
    <w:p w14:paraId="6D31D002" w14:textId="1A09294F" w:rsidR="00E7366F" w:rsidRPr="001C6402" w:rsidRDefault="00E7366F" w:rsidP="00E7366F">
      <w:pPr>
        <w:pStyle w:val="TOC1"/>
        <w:rPr>
          <w:rFonts w:ascii="Book Antiqua" w:hAnsi="Book Antiqua"/>
          <w:b w:val="0"/>
          <w:caps/>
          <w:noProof/>
          <w:sz w:val="22"/>
          <w:szCs w:val="22"/>
        </w:rPr>
      </w:pPr>
      <w:r>
        <w:fldChar w:fldCharType="begin"/>
      </w:r>
      <w:r>
        <w:instrText xml:space="preserve"> TOC \h \z \t "Heading 2,1,Heading 3,2" </w:instrText>
      </w:r>
      <w:r>
        <w:fldChar w:fldCharType="separate"/>
      </w:r>
      <w:r w:rsidRPr="00A75284">
        <w:rPr>
          <w:noProof/>
        </w:rPr>
        <w:t>Section 1: Entity overview and resources</w:t>
      </w:r>
      <w:r>
        <w:rPr>
          <w:noProof/>
          <w:webHidden/>
        </w:rPr>
        <w:tab/>
      </w:r>
      <w:r w:rsidR="00055AF2">
        <w:rPr>
          <w:noProof/>
          <w:webHidden/>
        </w:rPr>
        <w:t>77</w:t>
      </w:r>
    </w:p>
    <w:p w14:paraId="2B05D0F1" w14:textId="4F92F9A1" w:rsidR="00E7366F" w:rsidRPr="001C6402" w:rsidRDefault="00E7366F" w:rsidP="00E7366F">
      <w:pPr>
        <w:pStyle w:val="TOC2"/>
        <w:tabs>
          <w:tab w:val="left" w:pos="800"/>
        </w:tabs>
        <w:rPr>
          <w:rFonts w:ascii="Book Antiqua" w:hAnsi="Book Antiqua"/>
          <w:noProof/>
          <w:sz w:val="22"/>
          <w:szCs w:val="22"/>
        </w:rPr>
      </w:pPr>
      <w:r w:rsidRPr="00A75284">
        <w:rPr>
          <w:noProof/>
        </w:rPr>
        <w:t>1.1</w:t>
      </w:r>
      <w:r w:rsidRPr="001C6402">
        <w:rPr>
          <w:rFonts w:ascii="Book Antiqua" w:hAnsi="Book Antiqua"/>
          <w:noProof/>
          <w:sz w:val="22"/>
          <w:szCs w:val="22"/>
        </w:rPr>
        <w:tab/>
      </w:r>
      <w:r w:rsidRPr="00A75284">
        <w:rPr>
          <w:noProof/>
        </w:rPr>
        <w:t>Strategic direction statement</w:t>
      </w:r>
      <w:r>
        <w:rPr>
          <w:noProof/>
          <w:webHidden/>
        </w:rPr>
        <w:tab/>
      </w:r>
      <w:r w:rsidR="00055AF2">
        <w:rPr>
          <w:noProof/>
          <w:webHidden/>
        </w:rPr>
        <w:t>77</w:t>
      </w:r>
    </w:p>
    <w:p w14:paraId="192D7CE7" w14:textId="2F67296B" w:rsidR="00E7366F" w:rsidRPr="001C6402" w:rsidRDefault="00E7366F" w:rsidP="00E7366F">
      <w:pPr>
        <w:pStyle w:val="TOC2"/>
        <w:tabs>
          <w:tab w:val="left" w:pos="800"/>
        </w:tabs>
        <w:rPr>
          <w:rFonts w:ascii="Book Antiqua" w:hAnsi="Book Antiqua"/>
          <w:noProof/>
          <w:sz w:val="22"/>
          <w:szCs w:val="22"/>
        </w:rPr>
      </w:pPr>
      <w:r w:rsidRPr="00A75284">
        <w:rPr>
          <w:noProof/>
        </w:rPr>
        <w:t>1.2</w:t>
      </w:r>
      <w:r w:rsidRPr="001C6402">
        <w:rPr>
          <w:rFonts w:ascii="Book Antiqua" w:hAnsi="Book Antiqua"/>
          <w:noProof/>
          <w:sz w:val="22"/>
          <w:szCs w:val="22"/>
        </w:rPr>
        <w:tab/>
      </w:r>
      <w:r w:rsidRPr="00A75284">
        <w:rPr>
          <w:noProof/>
        </w:rPr>
        <w:t>Entity resource statement</w:t>
      </w:r>
      <w:r>
        <w:rPr>
          <w:noProof/>
          <w:webHidden/>
        </w:rPr>
        <w:tab/>
      </w:r>
      <w:r w:rsidR="00055AF2">
        <w:rPr>
          <w:noProof/>
          <w:webHidden/>
        </w:rPr>
        <w:t>80</w:t>
      </w:r>
    </w:p>
    <w:p w14:paraId="011D6B1C" w14:textId="79D0A993" w:rsidR="00E7366F" w:rsidRPr="001C6402" w:rsidRDefault="00E7366F" w:rsidP="00E7366F">
      <w:pPr>
        <w:pStyle w:val="TOC2"/>
        <w:tabs>
          <w:tab w:val="left" w:pos="800"/>
        </w:tabs>
        <w:rPr>
          <w:rFonts w:ascii="Book Antiqua" w:hAnsi="Book Antiqua"/>
          <w:noProof/>
          <w:sz w:val="22"/>
          <w:szCs w:val="22"/>
        </w:rPr>
      </w:pPr>
      <w:r w:rsidRPr="00A75284">
        <w:rPr>
          <w:noProof/>
        </w:rPr>
        <w:t>1.3</w:t>
      </w:r>
      <w:r w:rsidRPr="001C6402">
        <w:rPr>
          <w:rFonts w:ascii="Book Antiqua" w:hAnsi="Book Antiqua"/>
          <w:noProof/>
          <w:sz w:val="22"/>
          <w:szCs w:val="22"/>
        </w:rPr>
        <w:tab/>
      </w:r>
      <w:r w:rsidRPr="00A75284">
        <w:rPr>
          <w:noProof/>
        </w:rPr>
        <w:t>Budget measures</w:t>
      </w:r>
      <w:r>
        <w:rPr>
          <w:noProof/>
          <w:webHidden/>
        </w:rPr>
        <w:tab/>
      </w:r>
      <w:r w:rsidR="00055AF2">
        <w:rPr>
          <w:noProof/>
          <w:webHidden/>
        </w:rPr>
        <w:t>82</w:t>
      </w:r>
    </w:p>
    <w:p w14:paraId="60A2C5B2" w14:textId="24B92A30" w:rsidR="00E7366F" w:rsidRPr="001C6402" w:rsidRDefault="00E7366F" w:rsidP="00E7366F">
      <w:pPr>
        <w:pStyle w:val="TOC1"/>
        <w:rPr>
          <w:rFonts w:ascii="Book Antiqua" w:hAnsi="Book Antiqua"/>
          <w:b w:val="0"/>
          <w:caps/>
          <w:noProof/>
          <w:sz w:val="22"/>
          <w:szCs w:val="22"/>
        </w:rPr>
      </w:pPr>
      <w:r w:rsidRPr="00A75284">
        <w:rPr>
          <w:noProof/>
        </w:rPr>
        <w:t>Section 2: Outcomes and planned performance</w:t>
      </w:r>
      <w:r>
        <w:rPr>
          <w:noProof/>
          <w:webHidden/>
        </w:rPr>
        <w:tab/>
      </w:r>
      <w:r w:rsidR="00055AF2">
        <w:rPr>
          <w:noProof/>
          <w:webHidden/>
        </w:rPr>
        <w:t>83</w:t>
      </w:r>
    </w:p>
    <w:p w14:paraId="5F87242A" w14:textId="7F49B4F7" w:rsidR="00E7366F" w:rsidRDefault="00E7366F" w:rsidP="00E7366F">
      <w:pPr>
        <w:pStyle w:val="TOC2"/>
        <w:tabs>
          <w:tab w:val="left" w:pos="800"/>
        </w:tabs>
        <w:rPr>
          <w:noProof/>
          <w:webHidden/>
        </w:rPr>
      </w:pPr>
      <w:r w:rsidRPr="00A75284">
        <w:rPr>
          <w:noProof/>
        </w:rPr>
        <w:t xml:space="preserve">2.1 </w:t>
      </w:r>
      <w:r w:rsidRPr="001C6402">
        <w:rPr>
          <w:rFonts w:ascii="Book Antiqua" w:hAnsi="Book Antiqua"/>
          <w:noProof/>
          <w:sz w:val="22"/>
          <w:szCs w:val="22"/>
        </w:rPr>
        <w:tab/>
      </w:r>
      <w:r w:rsidRPr="00A75284">
        <w:rPr>
          <w:noProof/>
        </w:rPr>
        <w:t xml:space="preserve">Budgeted expenses and performance for Outcome </w:t>
      </w:r>
      <w:r>
        <w:rPr>
          <w:noProof/>
        </w:rPr>
        <w:t>1</w:t>
      </w:r>
      <w:r>
        <w:rPr>
          <w:noProof/>
          <w:webHidden/>
        </w:rPr>
        <w:tab/>
      </w:r>
      <w:r w:rsidR="00055AF2">
        <w:rPr>
          <w:noProof/>
          <w:webHidden/>
        </w:rPr>
        <w:t>84</w:t>
      </w:r>
    </w:p>
    <w:p w14:paraId="5E835724" w14:textId="1E94BFA0" w:rsidR="00E7366F" w:rsidRPr="001C6402" w:rsidRDefault="00E7366F" w:rsidP="00E7366F">
      <w:pPr>
        <w:pStyle w:val="TOC2"/>
        <w:tabs>
          <w:tab w:val="left" w:pos="800"/>
        </w:tabs>
        <w:rPr>
          <w:rFonts w:ascii="Book Antiqua" w:hAnsi="Book Antiqua"/>
          <w:noProof/>
          <w:sz w:val="22"/>
          <w:szCs w:val="22"/>
        </w:rPr>
      </w:pPr>
      <w:r w:rsidRPr="00A75284">
        <w:rPr>
          <w:noProof/>
        </w:rPr>
        <w:t>2.</w:t>
      </w:r>
      <w:r>
        <w:rPr>
          <w:noProof/>
        </w:rPr>
        <w:t>2</w:t>
      </w:r>
      <w:r w:rsidRPr="00A75284">
        <w:rPr>
          <w:noProof/>
        </w:rPr>
        <w:t xml:space="preserve"> </w:t>
      </w:r>
      <w:r w:rsidRPr="001C6402">
        <w:rPr>
          <w:rFonts w:ascii="Book Antiqua" w:hAnsi="Book Antiqua"/>
          <w:noProof/>
          <w:sz w:val="22"/>
          <w:szCs w:val="22"/>
        </w:rPr>
        <w:tab/>
      </w:r>
      <w:r w:rsidRPr="00A75284">
        <w:rPr>
          <w:noProof/>
        </w:rPr>
        <w:t xml:space="preserve">Budgeted expenses and performance for Outcome </w:t>
      </w:r>
      <w:r>
        <w:rPr>
          <w:noProof/>
        </w:rPr>
        <w:t>2</w:t>
      </w:r>
      <w:r>
        <w:rPr>
          <w:noProof/>
          <w:webHidden/>
        </w:rPr>
        <w:tab/>
      </w:r>
      <w:r w:rsidR="00055AF2">
        <w:rPr>
          <w:noProof/>
          <w:webHidden/>
        </w:rPr>
        <w:t>92</w:t>
      </w:r>
    </w:p>
    <w:p w14:paraId="3EF6B4A9" w14:textId="16D600F1" w:rsidR="00E7366F" w:rsidRPr="001C6402" w:rsidRDefault="00E7366F" w:rsidP="00E7366F">
      <w:pPr>
        <w:pStyle w:val="TOC1"/>
        <w:rPr>
          <w:rFonts w:ascii="Book Antiqua" w:hAnsi="Book Antiqua"/>
          <w:b w:val="0"/>
          <w:caps/>
          <w:noProof/>
          <w:sz w:val="22"/>
          <w:szCs w:val="22"/>
        </w:rPr>
      </w:pPr>
      <w:r w:rsidRPr="00A75284">
        <w:rPr>
          <w:noProof/>
        </w:rPr>
        <w:t>Section 3: Budgeted financial statements</w:t>
      </w:r>
      <w:r>
        <w:rPr>
          <w:noProof/>
          <w:webHidden/>
        </w:rPr>
        <w:tab/>
      </w:r>
      <w:r w:rsidR="00055AF2">
        <w:rPr>
          <w:noProof/>
          <w:webHidden/>
        </w:rPr>
        <w:t>95</w:t>
      </w:r>
    </w:p>
    <w:p w14:paraId="197D828D" w14:textId="3FB6CB2D" w:rsidR="00E7366F" w:rsidRPr="001C6402" w:rsidRDefault="00E7366F" w:rsidP="00E7366F">
      <w:pPr>
        <w:pStyle w:val="TOC2"/>
        <w:tabs>
          <w:tab w:val="left" w:pos="800"/>
        </w:tabs>
        <w:rPr>
          <w:rFonts w:ascii="Book Antiqua" w:hAnsi="Book Antiqua"/>
          <w:noProof/>
          <w:sz w:val="22"/>
          <w:szCs w:val="22"/>
        </w:rPr>
      </w:pPr>
      <w:r w:rsidRPr="00A75284">
        <w:rPr>
          <w:noProof/>
        </w:rPr>
        <w:t>3.1</w:t>
      </w:r>
      <w:r w:rsidRPr="001C6402">
        <w:rPr>
          <w:rFonts w:ascii="Book Antiqua" w:hAnsi="Book Antiqua"/>
          <w:noProof/>
          <w:sz w:val="22"/>
          <w:szCs w:val="22"/>
        </w:rPr>
        <w:tab/>
      </w:r>
      <w:r w:rsidRPr="00A75284">
        <w:rPr>
          <w:noProof/>
        </w:rPr>
        <w:t>Budgeted financial statements</w:t>
      </w:r>
      <w:r>
        <w:rPr>
          <w:noProof/>
          <w:webHidden/>
        </w:rPr>
        <w:tab/>
      </w:r>
      <w:r w:rsidR="00055AF2">
        <w:rPr>
          <w:noProof/>
          <w:webHidden/>
        </w:rPr>
        <w:t>95</w:t>
      </w:r>
    </w:p>
    <w:p w14:paraId="7F0615D0" w14:textId="77777777" w:rsidR="00E7366F" w:rsidRDefault="00E7366F" w:rsidP="00E7366F">
      <w:r>
        <w:fldChar w:fldCharType="end"/>
      </w:r>
    </w:p>
    <w:p w14:paraId="5813A53F" w14:textId="77777777" w:rsidR="00E7366F" w:rsidRDefault="00E7366F" w:rsidP="00E7366F"/>
    <w:p w14:paraId="3F710538" w14:textId="43081265" w:rsidR="00930CC7" w:rsidRDefault="00930CC7" w:rsidP="00930CC7">
      <w:pPr>
        <w:tabs>
          <w:tab w:val="left" w:pos="5697"/>
        </w:tabs>
      </w:pPr>
      <w:r>
        <w:tab/>
      </w:r>
    </w:p>
    <w:p w14:paraId="75FFF235" w14:textId="77777777" w:rsidR="00930CC7" w:rsidRDefault="00930CC7" w:rsidP="00930CC7"/>
    <w:p w14:paraId="277FCE6A" w14:textId="77777777" w:rsidR="00930CC7" w:rsidRPr="00930CC7" w:rsidRDefault="00930CC7" w:rsidP="00930CC7">
      <w:pPr>
        <w:sectPr w:rsidR="00930CC7" w:rsidRPr="00930CC7" w:rsidSect="00E7366F">
          <w:footerReference w:type="first" r:id="rId104"/>
          <w:type w:val="oddPage"/>
          <w:pgSz w:w="11906" w:h="16838" w:code="9"/>
          <w:pgMar w:top="2835" w:right="2098" w:bottom="2466" w:left="2098" w:header="1814" w:footer="1814" w:gutter="0"/>
          <w:cols w:space="708"/>
          <w:titlePg/>
          <w:docGrid w:linePitch="360"/>
        </w:sectPr>
      </w:pPr>
    </w:p>
    <w:p w14:paraId="6D1E8A1A" w14:textId="1468273B" w:rsidR="00E7366F" w:rsidRDefault="007C08A3" w:rsidP="00E7366F">
      <w:pPr>
        <w:pStyle w:val="Heading1"/>
      </w:pPr>
      <w:r w:rsidRPr="007C08A3">
        <w:lastRenderedPageBreak/>
        <w:t>Australian Trade and Investment Commission</w:t>
      </w:r>
    </w:p>
    <w:p w14:paraId="47A5003B" w14:textId="77777777" w:rsidR="00E7366F" w:rsidRPr="002C4D41" w:rsidRDefault="00E7366F" w:rsidP="00E7366F">
      <w:pPr>
        <w:pStyle w:val="Heading2"/>
      </w:pPr>
      <w:r w:rsidRPr="002C4D41">
        <w:t xml:space="preserve">Section 1: Entity overview and </w:t>
      </w:r>
      <w:r>
        <w:t>reso</w:t>
      </w:r>
      <w:r w:rsidRPr="002C4D41">
        <w:t>urces</w:t>
      </w:r>
    </w:p>
    <w:p w14:paraId="2006A9C8" w14:textId="77777777" w:rsidR="00E7366F" w:rsidRDefault="00E7366F" w:rsidP="00E7366F">
      <w:pPr>
        <w:pStyle w:val="Heading3"/>
      </w:pPr>
      <w:r>
        <w:t>1.1</w:t>
      </w:r>
      <w:r>
        <w:tab/>
        <w:t>Strategic direction statement</w:t>
      </w:r>
    </w:p>
    <w:p w14:paraId="3DFB3C68" w14:textId="77777777" w:rsidR="0038065D" w:rsidRDefault="0038065D" w:rsidP="0038065D">
      <w:pPr>
        <w:spacing w:after="231" w:line="251" w:lineRule="auto"/>
        <w:ind w:left="-5" w:hanging="10"/>
      </w:pPr>
      <w:r>
        <w:rPr>
          <w:rFonts w:eastAsia="Book Antiqua" w:cs="Book Antiqua"/>
        </w:rPr>
        <w:t xml:space="preserve">The Australian Trade and Investment Commission (Austrade) is the Australian Government’s international trade and investment promotion agency. Austrade also has responsibility for national tourism policy and program delivery, including the publication of official tourism statistics. In some overseas locations, Austrade delivers consular and passport services on behalf of the Australian Government. Austrade operates as a statutory agency within the Foreign Affairs and Trade portfolio.  </w:t>
      </w:r>
    </w:p>
    <w:p w14:paraId="6A492C08" w14:textId="77777777" w:rsidR="0038065D" w:rsidRDefault="0038065D" w:rsidP="0038065D">
      <w:pPr>
        <w:spacing w:after="233" w:line="251" w:lineRule="auto"/>
        <w:ind w:left="-5" w:hanging="10"/>
      </w:pPr>
      <w:r>
        <w:rPr>
          <w:rFonts w:eastAsia="Book Antiqua" w:cs="Book Antiqua"/>
        </w:rPr>
        <w:t xml:space="preserve">Austrade’s outcomes are: </w:t>
      </w:r>
    </w:p>
    <w:p w14:paraId="142B2F56" w14:textId="77777777" w:rsidR="0038065D" w:rsidRDefault="0038065D" w:rsidP="00F5556B">
      <w:pPr>
        <w:numPr>
          <w:ilvl w:val="0"/>
          <w:numId w:val="54"/>
        </w:numPr>
        <w:spacing w:before="0" w:after="231" w:line="251" w:lineRule="auto"/>
        <w:ind w:hanging="567"/>
      </w:pPr>
      <w:r>
        <w:rPr>
          <w:rFonts w:eastAsia="Book Antiqua" w:cs="Book Antiqua"/>
        </w:rPr>
        <w:t xml:space="preserve">To contribute to Australia’s economic prosperity by supporting Australian exporters to expand internationally, attracting productive international investment, and growing the visitor economy; and  </w:t>
      </w:r>
    </w:p>
    <w:p w14:paraId="57C3B674" w14:textId="77777777" w:rsidR="0038065D" w:rsidRDefault="0038065D" w:rsidP="00F5556B">
      <w:pPr>
        <w:numPr>
          <w:ilvl w:val="0"/>
          <w:numId w:val="54"/>
        </w:numPr>
        <w:spacing w:before="0" w:after="231" w:line="251" w:lineRule="auto"/>
        <w:ind w:hanging="567"/>
      </w:pPr>
      <w:r>
        <w:rPr>
          <w:rFonts w:eastAsia="Book Antiqua" w:cs="Book Antiqua"/>
        </w:rPr>
        <w:t xml:space="preserve">The protection and welfare of Australians abroad through timely and responsive consular and passport services in specific locations overseas. </w:t>
      </w:r>
    </w:p>
    <w:p w14:paraId="549F91A8" w14:textId="77777777" w:rsidR="00AA753A" w:rsidRPr="00AA753A" w:rsidRDefault="00AA753A" w:rsidP="00AA753A">
      <w:pPr>
        <w:spacing w:after="233" w:line="251" w:lineRule="auto"/>
        <w:ind w:left="-1"/>
        <w:rPr>
          <w:rFonts w:eastAsia="Book Antiqua" w:cs="Book Antiqua"/>
          <w:szCs w:val="19"/>
        </w:rPr>
      </w:pPr>
      <w:r w:rsidRPr="00AA753A">
        <w:rPr>
          <w:rFonts w:eastAsia="Book Antiqua" w:cs="Book Antiqua"/>
          <w:szCs w:val="19"/>
        </w:rPr>
        <w:t xml:space="preserve">Austrade delivers quality trade and investment services to businesses and policy advice to government to support the growth of Australia’s prosperity, including leading on national tourism policy. </w:t>
      </w:r>
    </w:p>
    <w:p w14:paraId="25CBF7C2" w14:textId="77777777" w:rsidR="0038065D" w:rsidRPr="006D0AF6" w:rsidRDefault="0038065D" w:rsidP="0038065D">
      <w:pPr>
        <w:spacing w:after="231" w:line="251" w:lineRule="auto"/>
        <w:ind w:left="-5" w:hanging="10"/>
      </w:pPr>
      <w:r w:rsidRPr="7F298151">
        <w:rPr>
          <w:rFonts w:eastAsia="Book Antiqua" w:cs="Book Antiqua"/>
          <w:szCs w:val="19"/>
        </w:rPr>
        <w:t xml:space="preserve">Austrade operates internationally, with a presence </w:t>
      </w:r>
      <w:r w:rsidRPr="00970CCA">
        <w:rPr>
          <w:rFonts w:eastAsia="Book Antiqua" w:cs="Book Antiqua"/>
          <w:szCs w:val="19"/>
        </w:rPr>
        <w:t>in 60</w:t>
      </w:r>
      <w:r w:rsidRPr="7F298151">
        <w:rPr>
          <w:rFonts w:eastAsia="Book Antiqua" w:cs="Book Antiqua"/>
          <w:szCs w:val="19"/>
        </w:rPr>
        <w:t xml:space="preserve"> overseas locations. Austrade provides practical in-market support to clients, drawing on our commercial knowledge and international networks, and contributes policy advice to government, using our global and commercial perspectives. Austrade also provides consular and passport services to Australians in 11 overseas locations. </w:t>
      </w:r>
    </w:p>
    <w:p w14:paraId="1CEC8EAB" w14:textId="77777777" w:rsidR="0038065D" w:rsidRDefault="0038065D" w:rsidP="0038065D">
      <w:pPr>
        <w:spacing w:after="231" w:line="251" w:lineRule="auto"/>
        <w:ind w:left="-5" w:hanging="10"/>
      </w:pPr>
      <w:r w:rsidRPr="006D0AF6">
        <w:rPr>
          <w:rFonts w:eastAsia="Book Antiqua" w:cs="Book Antiqua"/>
        </w:rPr>
        <w:t xml:space="preserve">In Australia, Austrade operates in 8 locations. Austrade extends its support for Australian businesses via the </w:t>
      </w:r>
      <w:proofErr w:type="spellStart"/>
      <w:r w:rsidRPr="006D0AF6">
        <w:rPr>
          <w:rFonts w:eastAsia="Book Antiqua" w:cs="Book Antiqua"/>
        </w:rPr>
        <w:t>TradeStart</w:t>
      </w:r>
      <w:proofErr w:type="spellEnd"/>
      <w:r w:rsidRPr="006D0AF6">
        <w:rPr>
          <w:rFonts w:eastAsia="Book Antiqua" w:cs="Book Antiqua"/>
        </w:rPr>
        <w:t xml:space="preserve"> network, which is delivered in partnership with state, territory and local governments, as well as industry bodies, in 30 locations across Australia.</w:t>
      </w:r>
      <w:r>
        <w:rPr>
          <w:rFonts w:eastAsia="Book Antiqua" w:cs="Book Antiqua"/>
        </w:rPr>
        <w:t xml:space="preserve"> </w:t>
      </w:r>
    </w:p>
    <w:p w14:paraId="3A29EAA6" w14:textId="5610C590" w:rsidR="00F47F9B" w:rsidRDefault="0038065D" w:rsidP="0038065D">
      <w:pPr>
        <w:spacing w:after="231" w:line="251" w:lineRule="auto"/>
        <w:ind w:left="-5" w:hanging="10"/>
        <w:rPr>
          <w:rFonts w:eastAsia="Book Antiqua" w:cs="Book Antiqua"/>
          <w:szCs w:val="19"/>
        </w:rPr>
      </w:pPr>
      <w:r w:rsidRPr="7F298151">
        <w:rPr>
          <w:rFonts w:eastAsia="Book Antiqua" w:cs="Book Antiqua"/>
          <w:szCs w:val="19"/>
        </w:rPr>
        <w:t>In 2026</w:t>
      </w:r>
      <w:r w:rsidR="001A6983">
        <w:rPr>
          <w:rFonts w:eastAsia="Book Antiqua" w:cs="Book Antiqua"/>
          <w:szCs w:val="19"/>
        </w:rPr>
        <w:t>–</w:t>
      </w:r>
      <w:r w:rsidRPr="7F298151">
        <w:rPr>
          <w:rFonts w:eastAsia="Book Antiqua" w:cs="Book Antiqua"/>
          <w:szCs w:val="19"/>
        </w:rPr>
        <w:t xml:space="preserve">27, Austrade will continue helping Australian businesses become export-ready, expand internationally and diversify through trade facilitation and program support. Austrade focuses its market activities to align with key government priorities. </w:t>
      </w:r>
    </w:p>
    <w:p w14:paraId="5C7811BB" w14:textId="77777777" w:rsidR="00F47F9B" w:rsidRDefault="00F47F9B">
      <w:pPr>
        <w:spacing w:before="0" w:after="0" w:line="240" w:lineRule="auto"/>
        <w:rPr>
          <w:rFonts w:eastAsia="Book Antiqua" w:cs="Book Antiqua"/>
          <w:szCs w:val="19"/>
        </w:rPr>
      </w:pPr>
      <w:r>
        <w:rPr>
          <w:rFonts w:eastAsia="Book Antiqua" w:cs="Book Antiqua"/>
          <w:szCs w:val="19"/>
        </w:rPr>
        <w:br w:type="page"/>
      </w:r>
    </w:p>
    <w:p w14:paraId="751BA271" w14:textId="087FB8D0" w:rsidR="0038065D" w:rsidRDefault="0038065D" w:rsidP="0038065D">
      <w:pPr>
        <w:spacing w:after="231" w:line="251" w:lineRule="auto"/>
        <w:ind w:left="-5" w:hanging="10"/>
        <w:rPr>
          <w:rFonts w:eastAsia="Book Antiqua" w:cs="Book Antiqua"/>
          <w:szCs w:val="19"/>
        </w:rPr>
      </w:pPr>
      <w:r w:rsidRPr="7F298151">
        <w:rPr>
          <w:rFonts w:eastAsia="Book Antiqua" w:cs="Book Antiqua"/>
          <w:szCs w:val="19"/>
        </w:rPr>
        <w:lastRenderedPageBreak/>
        <w:t xml:space="preserve">Austrade is supporting Australian businesses to navigate </w:t>
      </w:r>
      <w:r w:rsidR="0081131A">
        <w:rPr>
          <w:rFonts w:eastAsia="Book Antiqua" w:cs="Book Antiqua"/>
          <w:szCs w:val="19"/>
        </w:rPr>
        <w:t>an</w:t>
      </w:r>
      <w:r w:rsidRPr="7F298151">
        <w:rPr>
          <w:rFonts w:eastAsia="Book Antiqua" w:cs="Book Antiqua"/>
          <w:szCs w:val="19"/>
        </w:rPr>
        <w:t xml:space="preserve"> increasingly uncertain</w:t>
      </w:r>
      <w:r w:rsidR="0081131A">
        <w:rPr>
          <w:rFonts w:eastAsia="Book Antiqua" w:cs="Book Antiqua"/>
          <w:szCs w:val="19"/>
        </w:rPr>
        <w:t xml:space="preserve"> trading</w:t>
      </w:r>
      <w:r w:rsidRPr="7F298151">
        <w:rPr>
          <w:rFonts w:eastAsia="Book Antiqua" w:cs="Book Antiqua"/>
          <w:szCs w:val="19"/>
        </w:rPr>
        <w:t xml:space="preserve"> environment. Under the Accessing New Markets Initiative (ANMI), Austrade is working in close partnership with national peak industry bodies to assist Australian exporters to diversify into new markets, and to capitalise on growth opportunities in established markets.</w:t>
      </w:r>
      <w:r w:rsidR="0081131A">
        <w:rPr>
          <w:rFonts w:eastAsia="Book Antiqua" w:cs="Book Antiqua"/>
          <w:szCs w:val="19"/>
        </w:rPr>
        <w:t xml:space="preserve"> </w:t>
      </w:r>
      <w:r w:rsidR="0081131A" w:rsidRPr="0081131A">
        <w:rPr>
          <w:rFonts w:eastAsia="Book Antiqua" w:cs="Book Antiqua"/>
          <w:szCs w:val="19"/>
        </w:rPr>
        <w:t>Austrade has also launched a Trade Resilience Service to support businesses impacted by current volatility in the Middle East</w:t>
      </w:r>
      <w:r w:rsidR="0081131A">
        <w:rPr>
          <w:rFonts w:eastAsia="Book Antiqua" w:cs="Book Antiqua"/>
          <w:szCs w:val="19"/>
        </w:rPr>
        <w:t xml:space="preserve">. </w:t>
      </w:r>
    </w:p>
    <w:p w14:paraId="4033B579" w14:textId="75DBF2EF" w:rsidR="0038065D" w:rsidRDefault="0038065D" w:rsidP="0038065D">
      <w:pPr>
        <w:spacing w:after="231" w:line="251" w:lineRule="auto"/>
        <w:ind w:left="-5" w:hanging="10"/>
        <w:rPr>
          <w:rFonts w:eastAsia="Book Antiqua" w:cs="Book Antiqua"/>
          <w:szCs w:val="19"/>
        </w:rPr>
      </w:pPr>
      <w:r w:rsidRPr="6BF532A8">
        <w:rPr>
          <w:rFonts w:eastAsia="Book Antiqua" w:cs="Book Antiqua"/>
          <w:szCs w:val="19"/>
        </w:rPr>
        <w:t xml:space="preserve">ANMI </w:t>
      </w:r>
      <w:r w:rsidR="0081131A" w:rsidRPr="0081131A">
        <w:rPr>
          <w:rFonts w:eastAsia="Book Antiqua" w:cs="Book Antiqua"/>
          <w:szCs w:val="19"/>
        </w:rPr>
        <w:t xml:space="preserve">and the Trade Resilience Service </w:t>
      </w:r>
      <w:r w:rsidRPr="6BF532A8">
        <w:rPr>
          <w:rFonts w:eastAsia="Book Antiqua" w:cs="Book Antiqua"/>
          <w:szCs w:val="19"/>
        </w:rPr>
        <w:t xml:space="preserve">complement Austrade’s efforts to support Australian businesses </w:t>
      </w:r>
      <w:r w:rsidR="0081131A">
        <w:rPr>
          <w:rFonts w:eastAsia="Book Antiqua" w:cs="Book Antiqua"/>
          <w:szCs w:val="19"/>
        </w:rPr>
        <w:t xml:space="preserve">to </w:t>
      </w:r>
      <w:r w:rsidRPr="6BF532A8">
        <w:rPr>
          <w:rFonts w:eastAsia="Book Antiqua" w:cs="Book Antiqua"/>
          <w:szCs w:val="19"/>
        </w:rPr>
        <w:t>diversify into new markets</w:t>
      </w:r>
      <w:r w:rsidR="0081131A">
        <w:rPr>
          <w:rFonts w:eastAsia="Book Antiqua" w:cs="Book Antiqua"/>
          <w:szCs w:val="19"/>
        </w:rPr>
        <w:t>, including offering</w:t>
      </w:r>
      <w:r w:rsidRPr="6BF532A8">
        <w:rPr>
          <w:rFonts w:eastAsia="Book Antiqua" w:cs="Book Antiqua"/>
          <w:szCs w:val="19"/>
        </w:rPr>
        <w:t xml:space="preserve"> one-on-one support, trade missions and events, and digital trade services provided via the Go Global Toolkit.</w:t>
      </w:r>
    </w:p>
    <w:p w14:paraId="1AC5B681" w14:textId="77777777" w:rsidR="0038065D" w:rsidRDefault="0038065D" w:rsidP="0038065D">
      <w:pPr>
        <w:spacing w:after="231" w:line="251" w:lineRule="auto"/>
        <w:ind w:left="-5" w:hanging="10"/>
        <w:rPr>
          <w:rFonts w:eastAsia="Book Antiqua" w:cs="Book Antiqua"/>
        </w:rPr>
      </w:pPr>
      <w:r>
        <w:rPr>
          <w:rFonts w:eastAsia="Book Antiqua" w:cs="Book Antiqua"/>
        </w:rPr>
        <w:t>Austrade will continue to support Australian exporters to diversify through the Southeast Asia Business Exchange (SEABX) and the South Asia Business Exchange (SABX), alongside targeted assistance to help Australian exporters realise the full benefits of free trade agreements, such as the Australia-European Union Free Trade Agreement (A-EU FTA) and the Australia-United Arab Emirates Comprehensive Economic Partnership Agreement (Australia-UAE CEPA).</w:t>
      </w:r>
    </w:p>
    <w:p w14:paraId="2DF73AA5" w14:textId="77777777" w:rsidR="0038065D" w:rsidRDefault="0038065D" w:rsidP="0038065D">
      <w:pPr>
        <w:spacing w:after="231" w:line="251" w:lineRule="auto"/>
        <w:ind w:left="-5" w:hanging="10"/>
        <w:rPr>
          <w:rFonts w:eastAsia="Book Antiqua" w:cs="Book Antiqua"/>
        </w:rPr>
      </w:pPr>
      <w:r w:rsidRPr="00572A54">
        <w:rPr>
          <w:rFonts w:eastAsia="Book Antiqua" w:cs="Book Antiqua"/>
        </w:rPr>
        <w:t xml:space="preserve">Austrade supports First Nations businesses to access international markets and embeds First Nations perspectives in our activities. </w:t>
      </w:r>
      <w:r>
        <w:rPr>
          <w:rFonts w:eastAsia="Book Antiqua" w:cs="Book Antiqua"/>
        </w:rPr>
        <w:t>Austrade also supports Australian businesses on their export journey by providing guidance and resources through the Go Global Toolkit and administering the Export Market Development Grants program.</w:t>
      </w:r>
    </w:p>
    <w:p w14:paraId="0091A63C" w14:textId="2FAA64E9" w:rsidR="0038065D" w:rsidRDefault="0038065D" w:rsidP="0038065D">
      <w:pPr>
        <w:spacing w:after="231" w:line="251" w:lineRule="auto"/>
        <w:ind w:left="-5" w:hanging="10"/>
        <w:rPr>
          <w:rFonts w:eastAsia="Book Antiqua" w:cs="Book Antiqua"/>
          <w:szCs w:val="19"/>
        </w:rPr>
      </w:pPr>
      <w:r w:rsidRPr="22A9BE10">
        <w:rPr>
          <w:rFonts w:eastAsia="Book Antiqua" w:cs="Book Antiqua"/>
          <w:szCs w:val="19"/>
        </w:rPr>
        <w:t>As Australia's national foreign investment attraction and facilitation agency, Austrade supports Australia’s economic resilience, Australia’s energy transition and promotes Australia as a trusted partner in net zero transformation, driving outcomes that lower emissions and position Australia as a renewable energy superpower. In collaboration with state and territory governments, our focus in 2026</w:t>
      </w:r>
      <w:r w:rsidR="00E84FEA">
        <w:rPr>
          <w:rFonts w:eastAsia="Book Antiqua" w:cs="Book Antiqua"/>
          <w:szCs w:val="19"/>
        </w:rPr>
        <w:t>–</w:t>
      </w:r>
      <w:r w:rsidRPr="22A9BE10">
        <w:rPr>
          <w:rFonts w:eastAsia="Book Antiqua" w:cs="Book Antiqua"/>
          <w:szCs w:val="19"/>
        </w:rPr>
        <w:t>27 is to attract investment that aligns with the ‘Future Made in Australia’ agenda to enhance Australia's economic competitiveness by fostering the growth of critical and emerging industries and technologies. This includes continuing to support the global net zero transformation through the growth of Australia’s critical minerals sector.</w:t>
      </w:r>
    </w:p>
    <w:p w14:paraId="6EA2FA8D" w14:textId="1682A2F5" w:rsidR="00F47F9B" w:rsidRDefault="0038065D" w:rsidP="0038065D">
      <w:pPr>
        <w:spacing w:after="231" w:line="251" w:lineRule="auto"/>
        <w:ind w:left="-5" w:hanging="10"/>
        <w:rPr>
          <w:rFonts w:eastAsia="Book Antiqua" w:cs="Book Antiqua"/>
          <w:szCs w:val="19"/>
        </w:rPr>
      </w:pPr>
      <w:r w:rsidRPr="7F298151">
        <w:rPr>
          <w:rFonts w:eastAsia="Book Antiqua" w:cs="Book Antiqua"/>
          <w:szCs w:val="19"/>
        </w:rPr>
        <w:t xml:space="preserve">Building on </w:t>
      </w:r>
      <w:r w:rsidRPr="7F298151">
        <w:rPr>
          <w:rFonts w:eastAsia="Book Antiqua" w:cs="Book Antiqua"/>
          <w:i/>
          <w:iCs/>
          <w:szCs w:val="19"/>
        </w:rPr>
        <w:t>Invested: Australia’s Southeast Asia Economic Strategy to 2040</w:t>
      </w:r>
      <w:r w:rsidRPr="7F298151">
        <w:rPr>
          <w:rFonts w:eastAsia="Book Antiqua" w:cs="Book Antiqua"/>
          <w:szCs w:val="19"/>
        </w:rPr>
        <w:t>, Austrade will continue to boost two-way trade and investment between Australia and Southeast Asia by delivering the Southeast Asia Investment Deal Teams Program</w:t>
      </w:r>
      <w:r>
        <w:rPr>
          <w:rFonts w:eastAsia="Book Antiqua" w:cs="Book Antiqua"/>
          <w:szCs w:val="19"/>
        </w:rPr>
        <w:t>. In collaboration with our partner agencies, Austrade will also continue to prioritise inbound tourism attraction, strengthening efforts to both attract and better service travellers, and drive growth across leisure, business and education travel.</w:t>
      </w:r>
    </w:p>
    <w:p w14:paraId="2CB24142" w14:textId="77777777" w:rsidR="00F47F9B" w:rsidRDefault="00F47F9B">
      <w:pPr>
        <w:spacing w:before="0" w:after="0" w:line="240" w:lineRule="auto"/>
        <w:rPr>
          <w:rFonts w:eastAsia="Book Antiqua" w:cs="Book Antiqua"/>
          <w:szCs w:val="19"/>
        </w:rPr>
      </w:pPr>
      <w:r>
        <w:rPr>
          <w:rFonts w:eastAsia="Book Antiqua" w:cs="Book Antiqua"/>
          <w:szCs w:val="19"/>
        </w:rPr>
        <w:br w:type="page"/>
      </w:r>
    </w:p>
    <w:p w14:paraId="7D72DA3F" w14:textId="77777777" w:rsidR="0038065D" w:rsidRDefault="0038065D" w:rsidP="0038065D">
      <w:pPr>
        <w:spacing w:after="231" w:line="251" w:lineRule="auto"/>
        <w:ind w:left="-5" w:hanging="10"/>
        <w:rPr>
          <w:rFonts w:eastAsia="Book Antiqua" w:cs="Book Antiqua"/>
          <w:szCs w:val="19"/>
          <w:highlight w:val="cyan"/>
        </w:rPr>
      </w:pPr>
      <w:r w:rsidRPr="7F298151">
        <w:rPr>
          <w:rFonts w:eastAsia="Book Antiqua" w:cs="Book Antiqua"/>
          <w:szCs w:val="19"/>
        </w:rPr>
        <w:lastRenderedPageBreak/>
        <w:t xml:space="preserve">Leadership of tourism policy and the visitor economy </w:t>
      </w:r>
      <w:proofErr w:type="gramStart"/>
      <w:r w:rsidRPr="7F298151">
        <w:rPr>
          <w:rFonts w:eastAsia="Book Antiqua" w:cs="Book Antiqua"/>
          <w:szCs w:val="19"/>
        </w:rPr>
        <w:t>remains</w:t>
      </w:r>
      <w:proofErr w:type="gramEnd"/>
      <w:r w:rsidRPr="7F298151">
        <w:rPr>
          <w:rFonts w:eastAsia="Book Antiqua" w:cs="Book Antiqua"/>
          <w:szCs w:val="19"/>
        </w:rPr>
        <w:t xml:space="preserve"> a priority for Austrade. Austrade is responsible for the national THRIVE 2030 (The Re-Imagined Visitor Economy) strategy, which charts a course for the recovery and sustainable growth of Australia as a domestic and international tourism destination. THRIVE 2030 is focused on diversifying markets, modernising the visitor economy workforce, infrastructure and business practices, and improving collaboration across industry and governments. This includes developing high-quality visitor economy data and insights via Tourism Research Australia. Austrade continues to deliver a range of grant programs that support the recovery and sustainable growth of Australia’s visitor economy, such as</w:t>
      </w:r>
      <w:r>
        <w:rPr>
          <w:rFonts w:eastAsia="Book Antiqua" w:cs="Book Antiqua"/>
          <w:szCs w:val="19"/>
        </w:rPr>
        <w:t xml:space="preserve"> in</w:t>
      </w:r>
      <w:r w:rsidRPr="7F298151">
        <w:rPr>
          <w:rFonts w:eastAsia="Book Antiqua" w:cs="Book Antiqua"/>
          <w:szCs w:val="19"/>
        </w:rPr>
        <w:t xml:space="preserve"> the</w:t>
      </w:r>
      <w:r>
        <w:rPr>
          <w:rFonts w:eastAsia="Book Antiqua" w:cs="Book Antiqua"/>
          <w:szCs w:val="19"/>
        </w:rPr>
        <w:t xml:space="preserve"> Great Barrier Reef and Central Australia</w:t>
      </w:r>
      <w:r w:rsidRPr="7F298151">
        <w:rPr>
          <w:rFonts w:eastAsia="Book Antiqua" w:cs="Book Antiqua"/>
          <w:szCs w:val="19"/>
        </w:rPr>
        <w:t>.</w:t>
      </w:r>
    </w:p>
    <w:p w14:paraId="3A2BA556" w14:textId="7D92D8A6" w:rsidR="0038065D" w:rsidRDefault="0038065D" w:rsidP="0038065D">
      <w:pPr>
        <w:spacing w:after="231" w:line="251" w:lineRule="auto"/>
        <w:ind w:left="-5" w:hanging="10"/>
      </w:pPr>
      <w:r>
        <w:rPr>
          <w:rFonts w:eastAsia="Book Antiqua" w:cs="Book Antiqua"/>
        </w:rPr>
        <w:t>A more detailed description of Austrade’s activities will be provided in Austrade’s Corporate Plan 2026</w:t>
      </w:r>
      <w:r w:rsidR="00EE2199">
        <w:rPr>
          <w:rFonts w:eastAsia="Book Antiqua" w:cs="Book Antiqua"/>
        </w:rPr>
        <w:t>–</w:t>
      </w:r>
      <w:r>
        <w:rPr>
          <w:rFonts w:eastAsia="Book Antiqua" w:cs="Book Antiqua"/>
        </w:rPr>
        <w:t xml:space="preserve">27. Progress against our performance measures is detailed in our Annual Performance Statements, contained in the Austrade Annual Report. </w:t>
      </w:r>
    </w:p>
    <w:p w14:paraId="79AF0DC4" w14:textId="77777777" w:rsidR="00E7366F" w:rsidRDefault="00E7366F" w:rsidP="00E7366F">
      <w:pPr>
        <w:pStyle w:val="Heading3"/>
      </w:pPr>
      <w:r w:rsidRPr="0079797F">
        <w:br w:type="page"/>
      </w:r>
      <w:r>
        <w:lastRenderedPageBreak/>
        <w:t>1.2</w:t>
      </w:r>
      <w:r>
        <w:tab/>
        <w:t>Entity resource statement</w:t>
      </w:r>
    </w:p>
    <w:p w14:paraId="4BB00DB1" w14:textId="77777777" w:rsidR="00E7366F" w:rsidRDefault="00E7366F" w:rsidP="00E7366F">
      <w:r>
        <w:t>Table 1.1 shows the total resourcing from all sources available to the entity for its operations and to deliver programs and services on behalf of the Government.</w:t>
      </w:r>
    </w:p>
    <w:p w14:paraId="3C0A11F2" w14:textId="77777777" w:rsidR="00E7366F" w:rsidRDefault="00E7366F" w:rsidP="00E7366F">
      <w:r>
        <w:t>The table summarises how resources will be applied by outcome (government strategic policy objectives) and by administered (on behalf of the Government or the public) and departmental (for the entity’s operations) classification.</w:t>
      </w:r>
    </w:p>
    <w:p w14:paraId="695F582A" w14:textId="77777777" w:rsidR="00E7366F" w:rsidRDefault="00E7366F" w:rsidP="00E7366F">
      <w:r>
        <w:t xml:space="preserve">For more detailed information on special accounts and special appropriations, please refer to the </w:t>
      </w:r>
      <w:r w:rsidRPr="00412C0B">
        <w:rPr>
          <w:i/>
        </w:rPr>
        <w:t>Budget Paper No. 4 – Agency Resourcing</w:t>
      </w:r>
      <w:r>
        <w:t xml:space="preserve">. </w:t>
      </w:r>
    </w:p>
    <w:p w14:paraId="09C628A4" w14:textId="77777777" w:rsidR="00E7366F" w:rsidRDefault="00E7366F" w:rsidP="00E7366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1211C5D7" w14:textId="009EA83E" w:rsidR="00E7366F" w:rsidRDefault="00E7366F" w:rsidP="00E7366F">
      <w:pPr>
        <w:pStyle w:val="TableHeading"/>
      </w:pPr>
      <w:r>
        <w:br w:type="page"/>
      </w:r>
      <w:r w:rsidRPr="00D44150">
        <w:lastRenderedPageBreak/>
        <w:t xml:space="preserve">Table 1.1: </w:t>
      </w:r>
      <w:r w:rsidR="006E063E" w:rsidRPr="006E063E">
        <w:t>Australian Trade and Investment Commission</w:t>
      </w:r>
      <w:r>
        <w:t xml:space="preserve"> </w:t>
      </w:r>
      <w:r w:rsidRPr="00D44150">
        <w:t>resource statement</w:t>
      </w:r>
      <w:r>
        <w:t xml:space="preserve"> – Budget estimates for 2026–27 </w:t>
      </w:r>
      <w:r w:rsidRPr="00D44150">
        <w:t xml:space="preserve">as at Budget </w:t>
      </w:r>
      <w:r>
        <w:t>May 2026</w:t>
      </w:r>
    </w:p>
    <w:p w14:paraId="4EDF8DAA" w14:textId="5DF4F119" w:rsidR="00E7366F" w:rsidRDefault="002102CE" w:rsidP="00E7366F">
      <w:pPr>
        <w:spacing w:before="0" w:after="0" w:line="240" w:lineRule="auto"/>
      </w:pPr>
      <w:r w:rsidRPr="002102CE">
        <w:rPr>
          <w:noProof/>
        </w:rPr>
        <w:drawing>
          <wp:inline distT="0" distB="0" distL="0" distR="0" wp14:anchorId="6C312B6B" wp14:editId="40A03A9A">
            <wp:extent cx="4563745" cy="3498850"/>
            <wp:effectExtent l="0" t="0" r="8255" b="6350"/>
            <wp:docPr id="457003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63745" cy="3498850"/>
                    </a:xfrm>
                    <a:prstGeom prst="rect">
                      <a:avLst/>
                    </a:prstGeom>
                    <a:noFill/>
                    <a:ln>
                      <a:noFill/>
                    </a:ln>
                  </pic:spPr>
                </pic:pic>
              </a:graphicData>
            </a:graphic>
          </wp:inline>
        </w:drawing>
      </w:r>
    </w:p>
    <w:p w14:paraId="6D5FB781" w14:textId="77777777" w:rsidR="00E7366F" w:rsidRDefault="00E7366F" w:rsidP="00E7366F">
      <w:pPr>
        <w:pStyle w:val="ChartandTableFootnote"/>
      </w:pPr>
      <w:r w:rsidRPr="00AF0A7A">
        <w:t>Prepared on a resourcing (that is, appropriations available) basis.</w:t>
      </w:r>
    </w:p>
    <w:p w14:paraId="51CE3A9D" w14:textId="77777777" w:rsidR="00E7366F" w:rsidRPr="00AF0A7A" w:rsidRDefault="00E7366F" w:rsidP="00E7366F">
      <w:pPr>
        <w:pStyle w:val="ChartandTableFootnote"/>
      </w:pPr>
      <w:r w:rsidRPr="00AF0A7A">
        <w:t>All figures shown above are GST exclusive – these may not match figures in the cash flow statement.</w:t>
      </w:r>
    </w:p>
    <w:p w14:paraId="6FAB82AE" w14:textId="77777777" w:rsidR="00E7366F" w:rsidRPr="00AF0A7A" w:rsidRDefault="00E7366F" w:rsidP="00CA1C07">
      <w:pPr>
        <w:pStyle w:val="ChartandTableFootnoteAlpha"/>
        <w:numPr>
          <w:ilvl w:val="0"/>
          <w:numId w:val="57"/>
        </w:numPr>
      </w:pPr>
      <w:r w:rsidRPr="00934891">
        <w:rPr>
          <w:i/>
          <w:iCs/>
        </w:rPr>
        <w:t>Appropriation Bill (No. 1) 2026–2027</w:t>
      </w:r>
      <w:r w:rsidRPr="00AF0A7A">
        <w:t>.</w:t>
      </w:r>
    </w:p>
    <w:p w14:paraId="106A65C2" w14:textId="77777777" w:rsidR="00E7366F" w:rsidRPr="00AF0A7A" w:rsidRDefault="00E7366F" w:rsidP="00E7366F">
      <w:pPr>
        <w:pStyle w:val="ChartandTableFootnoteAlpha"/>
      </w:pPr>
      <w:r w:rsidRPr="00AF0A7A">
        <w:t>Excludes departmental capital budget (DCB).</w:t>
      </w:r>
    </w:p>
    <w:p w14:paraId="5CCE74A1" w14:textId="2E87A39F" w:rsidR="00E7366F" w:rsidRPr="00AF0A7A" w:rsidRDefault="00E7366F" w:rsidP="00E7366F">
      <w:pPr>
        <w:pStyle w:val="ChartandTableFootnoteAlpha"/>
      </w:pPr>
      <w:r w:rsidRPr="00AF0A7A">
        <w:t xml:space="preserve">Estimated External Revenue receipts under section 74 of the </w:t>
      </w:r>
      <w:r w:rsidR="00934891" w:rsidRPr="00934891">
        <w:rPr>
          <w:i/>
          <w:iCs/>
        </w:rPr>
        <w:t>Public Governance, Performance and Accountability Act 2013</w:t>
      </w:r>
      <w:r w:rsidR="00934891" w:rsidRPr="00934891">
        <w:t xml:space="preserve"> (PGPA Act)</w:t>
      </w:r>
      <w:r w:rsidRPr="00AF0A7A">
        <w:t>.</w:t>
      </w:r>
    </w:p>
    <w:p w14:paraId="775D2452" w14:textId="7D276C6D" w:rsidR="00E7366F" w:rsidRPr="00AF0A7A" w:rsidRDefault="00E7366F" w:rsidP="00E7366F">
      <w:pPr>
        <w:pStyle w:val="ChartandTableFootnoteAlpha"/>
      </w:pPr>
      <w:r w:rsidRPr="00AF0A7A">
        <w:t>Departmental capital budgets are not separately identified in Appropriation Bill (No. 1) and form part of ordinary annual services items. Please refer to Table 3.5 for further details. For accounting purposes, this amount has been designated as a ‘contribution by owner’.</w:t>
      </w:r>
    </w:p>
    <w:p w14:paraId="4B4743D7" w14:textId="77777777" w:rsidR="00E7366F" w:rsidRPr="00AF0A7A" w:rsidRDefault="00E7366F" w:rsidP="00E7366F">
      <w:pPr>
        <w:pStyle w:val="ChartandTableFootnoteAlpha"/>
      </w:pPr>
      <w:r w:rsidRPr="00934891">
        <w:rPr>
          <w:i/>
          <w:iCs/>
        </w:rPr>
        <w:t>Appropriation Bill (No. 2) 2026–2027</w:t>
      </w:r>
      <w:r w:rsidRPr="00AF0A7A">
        <w:t>.</w:t>
      </w:r>
    </w:p>
    <w:p w14:paraId="5B970763" w14:textId="77777777" w:rsidR="00E7366F" w:rsidRPr="00133BCE" w:rsidRDefault="00E7366F" w:rsidP="00E7366F">
      <w:pPr>
        <w:spacing w:before="0" w:after="0" w:line="240" w:lineRule="auto"/>
      </w:pPr>
      <w:r>
        <w:br w:type="page"/>
      </w:r>
    </w:p>
    <w:p w14:paraId="4C034392" w14:textId="77777777" w:rsidR="00E7366F" w:rsidRPr="005A7C0B" w:rsidRDefault="00E7366F" w:rsidP="00E7366F">
      <w:pPr>
        <w:pStyle w:val="Heading3"/>
      </w:pPr>
      <w:r w:rsidRPr="005A7C0B">
        <w:lastRenderedPageBreak/>
        <w:t>1.3</w:t>
      </w:r>
      <w:r w:rsidRPr="005A7C0B">
        <w:tab/>
        <w:t>Budget measures</w:t>
      </w:r>
    </w:p>
    <w:p w14:paraId="34441361" w14:textId="3D13059F" w:rsidR="00E7366F" w:rsidRDefault="00E7366F" w:rsidP="00E7366F">
      <w:r w:rsidRPr="00DC32EC">
        <w:t xml:space="preserve">Budget measures </w:t>
      </w:r>
      <w:r>
        <w:t xml:space="preserve">in Part 1 </w:t>
      </w:r>
      <w:r w:rsidRPr="00DC32EC">
        <w:t>relating to</w:t>
      </w:r>
      <w:r>
        <w:t xml:space="preserve"> </w:t>
      </w:r>
      <w:r w:rsidR="006E063E" w:rsidRPr="006E063E">
        <w:t xml:space="preserve">the Australian Trade and Investment Commission </w:t>
      </w:r>
      <w:r w:rsidRPr="00DC32EC">
        <w:t>a</w:t>
      </w:r>
      <w:r>
        <w:t>re detailed in the Budget Paper No. </w:t>
      </w:r>
      <w:r w:rsidRPr="00DC32EC">
        <w:t>2</w:t>
      </w:r>
      <w:r>
        <w:t xml:space="preserve"> and are summarised below.</w:t>
      </w:r>
    </w:p>
    <w:p w14:paraId="32A833D3" w14:textId="77777777" w:rsidR="00E7366F" w:rsidRPr="009A40DD" w:rsidRDefault="00E7366F" w:rsidP="00E7366F">
      <w:pPr>
        <w:pStyle w:val="TableHeading"/>
      </w:pPr>
      <w:r w:rsidRPr="009A40DD">
        <w:t>Table 1.2: Entity</w:t>
      </w:r>
      <w:r>
        <w:t xml:space="preserve"> 2026–27 </w:t>
      </w:r>
      <w:r w:rsidRPr="009A40DD">
        <w:t>Budget measures</w:t>
      </w:r>
    </w:p>
    <w:p w14:paraId="79D8F958" w14:textId="77777777" w:rsidR="00E7366F" w:rsidRPr="00422CB4" w:rsidRDefault="00E7366F" w:rsidP="00E7366F">
      <w:pPr>
        <w:pStyle w:val="TableHeading"/>
        <w:rPr>
          <w:rFonts w:ascii="Times New Roman" w:hAnsi="Times New Roman"/>
        </w:rPr>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2025–26 Mid-Year Economic and Fiscal Outlook (MYEFO)</w:t>
      </w:r>
      <w:r>
        <w:rPr>
          <w:rFonts w:ascii="Book Antiqua" w:hAnsi="Book Antiqua"/>
        </w:rPr>
        <w:fldChar w:fldCharType="begin" w:fldLock="1"/>
      </w:r>
      <w:r>
        <w:instrText xml:space="preserve"> LINK Excel.Sheet.12 "\\\\fs10\\csg_h$\\MCD\\Publishing\\Graphic Design Services Team\\Projects\\2025\\Budget 2025-26\\04 PBS 2025-26\\1. PBS 2025-26 TEMPLATES + SHELLS\\Supplied\\EM 2025-XX - Attachment B - 2025-26 PBS Excel Tables.xlsx" "Table 1.2!R3C1:R21C7" \a \f 4 \h  \* MERGEFORMAT </w:instrText>
      </w:r>
      <w:r>
        <w:rPr>
          <w:rFonts w:ascii="Book Antiqua" w:hAnsi="Book Antiqua"/>
        </w:rPr>
        <w:fldChar w:fldCharType="separate"/>
      </w:r>
      <w:r>
        <w:rPr>
          <w:rFonts w:ascii="Arial Bold" w:hAnsi="Arial Bold"/>
        </w:rPr>
        <w:fldChar w:fldCharType="end"/>
      </w:r>
    </w:p>
    <w:p w14:paraId="13E2A10E" w14:textId="03C35EB7" w:rsidR="00E7366F" w:rsidRDefault="00B87AA1" w:rsidP="00E7366F">
      <w:pPr>
        <w:pStyle w:val="TableGraphic"/>
        <w:rPr>
          <w:rFonts w:ascii="Arial Bold" w:hAnsi="Arial Bold"/>
          <w:b/>
        </w:rPr>
      </w:pPr>
      <w:r w:rsidRPr="00B87AA1">
        <w:rPr>
          <w:noProof/>
        </w:rPr>
        <w:drawing>
          <wp:inline distT="0" distB="0" distL="0" distR="0" wp14:anchorId="60B19768" wp14:editId="350E619C">
            <wp:extent cx="4659630" cy="2727325"/>
            <wp:effectExtent l="0" t="0" r="7620" b="0"/>
            <wp:docPr id="618489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59630" cy="2727325"/>
                    </a:xfrm>
                    <a:prstGeom prst="rect">
                      <a:avLst/>
                    </a:prstGeom>
                    <a:noFill/>
                    <a:ln>
                      <a:noFill/>
                    </a:ln>
                  </pic:spPr>
                </pic:pic>
              </a:graphicData>
            </a:graphic>
          </wp:inline>
        </w:drawing>
      </w:r>
    </w:p>
    <w:p w14:paraId="784941C4" w14:textId="77777777" w:rsidR="00E7366F" w:rsidRPr="00704BB6" w:rsidRDefault="00E7366F" w:rsidP="00E7366F">
      <w:pPr>
        <w:pStyle w:val="ChartandTableFootnote"/>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44E4147D" w14:textId="56471572" w:rsidR="00207964" w:rsidRDefault="00207964" w:rsidP="00CA1C07">
      <w:pPr>
        <w:pStyle w:val="ChartandTableFootnoteAlpha"/>
        <w:numPr>
          <w:ilvl w:val="0"/>
          <w:numId w:val="56"/>
        </w:numPr>
      </w:pPr>
      <w:r>
        <w:t xml:space="preserve">The full measure description and package details appear in Budget Paper No. 2 under the Foreign Affairs and Trade portfolio. </w:t>
      </w:r>
    </w:p>
    <w:p w14:paraId="361EBCF0" w14:textId="7B63F612" w:rsidR="00A7264B" w:rsidRDefault="00A7264B" w:rsidP="00CA1C07">
      <w:pPr>
        <w:pStyle w:val="ChartandTableFootnoteAlpha"/>
        <w:numPr>
          <w:ilvl w:val="0"/>
          <w:numId w:val="56"/>
        </w:numPr>
      </w:pPr>
      <w:r w:rsidRPr="00A7264B">
        <w:t>Includes capital funding of $1.981 million in 2026-27 and $1.956 million in 2027-28.</w:t>
      </w:r>
    </w:p>
    <w:p w14:paraId="46142231" w14:textId="6DF546D0" w:rsidR="00A7264B" w:rsidRDefault="00A7264B" w:rsidP="00CA1C07">
      <w:pPr>
        <w:pStyle w:val="ChartandTableFootnoteAlpha"/>
        <w:numPr>
          <w:ilvl w:val="0"/>
          <w:numId w:val="56"/>
        </w:numPr>
      </w:pPr>
      <w:r w:rsidRPr="00A7264B">
        <w:t>Includes costs of $1.1 million over 2 years that will be fully absorbed by Austrade.</w:t>
      </w:r>
    </w:p>
    <w:p w14:paraId="2D6CF870" w14:textId="38C7ED05" w:rsidR="00E7366F" w:rsidRPr="00116C76" w:rsidRDefault="00E7366F" w:rsidP="00CA1C07">
      <w:pPr>
        <w:pStyle w:val="ChartandTableFootnoteAlpha"/>
        <w:numPr>
          <w:ilvl w:val="0"/>
          <w:numId w:val="56"/>
        </w:numPr>
      </w:pPr>
      <w:r w:rsidRPr="00116C76">
        <w:t xml:space="preserve">The </w:t>
      </w:r>
      <w:r w:rsidR="00207964" w:rsidRPr="00207964">
        <w:t>full measure description and package details appear in Budget Paper No. 2 under</w:t>
      </w:r>
      <w:r w:rsidR="00207964">
        <w:t xml:space="preserve"> Cross </w:t>
      </w:r>
      <w:r w:rsidR="003F3561">
        <w:t>P</w:t>
      </w:r>
      <w:r w:rsidR="00207964">
        <w:t>ortfolio</w:t>
      </w:r>
      <w:r w:rsidRPr="00116C76">
        <w:t>.</w:t>
      </w:r>
    </w:p>
    <w:p w14:paraId="75F7A2AA" w14:textId="77777777" w:rsidR="00E7366F" w:rsidRDefault="00E7366F" w:rsidP="00E7366F">
      <w:pPr>
        <w:spacing w:before="0" w:after="0" w:line="240" w:lineRule="auto"/>
      </w:pPr>
      <w:r>
        <w:br w:type="page"/>
      </w:r>
    </w:p>
    <w:p w14:paraId="38284187" w14:textId="77777777" w:rsidR="00E7366F" w:rsidRPr="00810C6A" w:rsidRDefault="00E7366F" w:rsidP="00E7366F">
      <w:pPr>
        <w:pStyle w:val="Heading2"/>
      </w:pPr>
      <w:r w:rsidRPr="00810C6A">
        <w:lastRenderedPageBreak/>
        <w:t>Section 2: Outcomes and planned performance</w:t>
      </w:r>
    </w:p>
    <w:p w14:paraId="7B66B5ED" w14:textId="77777777" w:rsidR="00E7366F" w:rsidRPr="005E6F2B" w:rsidRDefault="00E7366F" w:rsidP="00E7366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E5E35CB" w14:textId="626A3EFC" w:rsidR="00E7366F" w:rsidRPr="0068433C" w:rsidRDefault="00E7366F" w:rsidP="00E7366F">
      <w:pPr>
        <w:rPr>
          <w:iCs/>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7366F" w:rsidRPr="001C6402" w14:paraId="7EB96396" w14:textId="77777777" w:rsidTr="00FF7B23">
        <w:tc>
          <w:tcPr>
            <w:tcW w:w="7700" w:type="dxa"/>
          </w:tcPr>
          <w:p w14:paraId="6F42676A" w14:textId="77777777" w:rsidR="00E7366F" w:rsidRPr="001C6402" w:rsidRDefault="00E7366F" w:rsidP="00FF7B23">
            <w:pPr>
              <w:spacing w:before="120" w:after="120" w:line="240" w:lineRule="auto"/>
              <w:jc w:val="both"/>
              <w:rPr>
                <w:b/>
              </w:rPr>
            </w:pPr>
            <w:r w:rsidRPr="001C6402">
              <w:rPr>
                <w:b/>
              </w:rPr>
              <w:t>Note:</w:t>
            </w:r>
          </w:p>
          <w:p w14:paraId="61862FF6" w14:textId="77777777" w:rsidR="00E7366F" w:rsidRPr="001C6402" w:rsidRDefault="00E7366F" w:rsidP="00FF7B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73EAE447" w14:textId="3E677FFF" w:rsidR="00E7366F" w:rsidRPr="001C6402" w:rsidRDefault="00E7366F" w:rsidP="00FF7B23">
            <w:r w:rsidRPr="001C6402">
              <w:t xml:space="preserve">The most recent corporate plan for </w:t>
            </w:r>
            <w:r w:rsidR="0068433C" w:rsidRPr="0068433C">
              <w:t xml:space="preserve">Austrade </w:t>
            </w:r>
            <w:r w:rsidRPr="001C6402">
              <w:t xml:space="preserve">can be found at: </w:t>
            </w:r>
            <w:hyperlink r:id="rId107" w:history="1">
              <w:r w:rsidR="0068433C" w:rsidRPr="0068433C">
                <w:rPr>
                  <w:rStyle w:val="Hyperlink"/>
                </w:rPr>
                <w:t>https://www.austrade.gov.au/en/about-austrade/governance/corporate-plan</w:t>
              </w:r>
            </w:hyperlink>
            <w:r w:rsidRPr="001C6402">
              <w:t>.</w:t>
            </w:r>
          </w:p>
          <w:p w14:paraId="154477EC" w14:textId="1635345A" w:rsidR="00E7366F" w:rsidRPr="001C6402" w:rsidRDefault="00E7366F" w:rsidP="00FF7B23">
            <w:r w:rsidRPr="001C6402">
              <w:t xml:space="preserve">The most recent annual performance statement can be found at: </w:t>
            </w:r>
            <w:hyperlink r:id="rId108" w:history="1">
              <w:r w:rsidR="0068433C" w:rsidRPr="0068433C">
                <w:rPr>
                  <w:rStyle w:val="Hyperlink"/>
                </w:rPr>
                <w:t>https://www.austrade.gov.au/en/about-austrade/governance/annual-report</w:t>
              </w:r>
            </w:hyperlink>
            <w:r w:rsidRPr="001C6402">
              <w:t>.</w:t>
            </w:r>
          </w:p>
        </w:tc>
      </w:tr>
    </w:tbl>
    <w:p w14:paraId="292E5CF1" w14:textId="77777777" w:rsidR="00E7366F" w:rsidRDefault="00E7366F" w:rsidP="00E7366F">
      <w:pPr>
        <w:spacing w:before="0" w:after="0" w:line="240" w:lineRule="auto"/>
        <w:rPr>
          <w:rFonts w:ascii="Arial Bold" w:hAnsi="Arial Bold"/>
          <w:b/>
          <w:sz w:val="22"/>
        </w:rPr>
      </w:pPr>
      <w:r>
        <w:br w:type="page"/>
      </w:r>
    </w:p>
    <w:p w14:paraId="72B04F4E" w14:textId="79631636" w:rsidR="00E7366F" w:rsidRPr="00F743D8" w:rsidRDefault="00E7366F" w:rsidP="00E7366F">
      <w:pPr>
        <w:pStyle w:val="Heading3"/>
      </w:pPr>
      <w:r>
        <w:lastRenderedPageBreak/>
        <w:t>2.1</w:t>
      </w:r>
      <w:r w:rsidRPr="00F743D8">
        <w:t xml:space="preserve"> </w:t>
      </w:r>
      <w:r w:rsidRPr="00F743D8">
        <w:tab/>
        <w:t xml:space="preserve">Budgeted expenses and performance for Outcome </w:t>
      </w:r>
      <w:r w:rsidR="00BE246B">
        <w:t>1</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7366F" w:rsidRPr="0069545F" w14:paraId="45988FD7" w14:textId="77777777" w:rsidTr="00FF7B23">
        <w:tc>
          <w:tcPr>
            <w:tcW w:w="7704" w:type="dxa"/>
            <w:shd w:val="clear" w:color="auto" w:fill="E6E6E6"/>
          </w:tcPr>
          <w:p w14:paraId="70DF67A8" w14:textId="7B858F49" w:rsidR="00E7366F" w:rsidRPr="0069545F" w:rsidRDefault="00E7366F" w:rsidP="00FF7B23">
            <w:pPr>
              <w:pStyle w:val="TableColumnHeadingLeft"/>
            </w:pPr>
            <w:r w:rsidRPr="0069545F">
              <w:t xml:space="preserve">Outcome </w:t>
            </w:r>
            <w:r w:rsidR="00BE246B">
              <w:t>1</w:t>
            </w:r>
            <w:r w:rsidRPr="0069545F">
              <w:t xml:space="preserve">: </w:t>
            </w:r>
            <w:r w:rsidR="00BE246B" w:rsidRPr="00BE246B">
              <w:t>To contribute to Australia’s economic prosperity by supporting Australian exporters to expand internationally, attracting productive international investment, and growing the visitor economy</w:t>
            </w:r>
            <w:r w:rsidR="00BE246B">
              <w:t xml:space="preserve">. </w:t>
            </w:r>
          </w:p>
        </w:tc>
      </w:tr>
    </w:tbl>
    <w:p w14:paraId="08D31608" w14:textId="77777777" w:rsidR="00E7366F" w:rsidRPr="0069545F" w:rsidRDefault="00E7366F" w:rsidP="00E7366F">
      <w:pPr>
        <w:pStyle w:val="SingleParagraph"/>
      </w:pPr>
    </w:p>
    <w:p w14:paraId="2500EC1A" w14:textId="77777777" w:rsidR="00E7366F" w:rsidRPr="00133BCE" w:rsidRDefault="00E7366F" w:rsidP="00E7366F">
      <w:pPr>
        <w:pStyle w:val="Heading4"/>
      </w:pPr>
      <w:r w:rsidRPr="0069545F">
        <w:t xml:space="preserve">Linked programs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E7366F" w:rsidRPr="00A238FC" w14:paraId="3996D28F" w14:textId="77777777" w:rsidTr="00BE246B">
        <w:trPr>
          <w:trHeight w:val="113"/>
          <w:tblHeader/>
        </w:trPr>
        <w:tc>
          <w:tcPr>
            <w:tcW w:w="7700" w:type="dxa"/>
            <w:tcBorders>
              <w:bottom w:val="dotted" w:sz="4" w:space="0" w:color="auto"/>
            </w:tcBorders>
          </w:tcPr>
          <w:p w14:paraId="2F6E67F4" w14:textId="2C4FAB92" w:rsidR="00E7366F" w:rsidRPr="00A238FC" w:rsidRDefault="00BF2716" w:rsidP="00F5556B">
            <w:pPr>
              <w:spacing w:before="40" w:after="60" w:line="240" w:lineRule="auto"/>
              <w:rPr>
                <w:rFonts w:ascii="Arial" w:hAnsi="Arial" w:cs="Arial"/>
                <w:b/>
                <w:sz w:val="16"/>
              </w:rPr>
            </w:pPr>
            <w:r w:rsidRPr="00A238FC">
              <w:rPr>
                <w:rFonts w:ascii="Arial" w:hAnsi="Arial" w:cs="Arial"/>
                <w:b/>
                <w:sz w:val="16"/>
              </w:rPr>
              <w:t>Department of Infrastructure, Transport, Regional Development, Communications, Sports and the Arts</w:t>
            </w:r>
          </w:p>
        </w:tc>
      </w:tr>
      <w:tr w:rsidR="00E7366F" w:rsidRPr="00A238FC" w14:paraId="3FCBBA86" w14:textId="77777777" w:rsidTr="00BE246B">
        <w:trPr>
          <w:trHeight w:val="113"/>
          <w:tblHeader/>
        </w:trPr>
        <w:tc>
          <w:tcPr>
            <w:tcW w:w="7700" w:type="dxa"/>
            <w:tcBorders>
              <w:top w:val="dotted" w:sz="4" w:space="0" w:color="auto"/>
              <w:bottom w:val="single" w:sz="4" w:space="0" w:color="auto"/>
            </w:tcBorders>
          </w:tcPr>
          <w:p w14:paraId="6A188666" w14:textId="77777777" w:rsidR="00E7366F" w:rsidRPr="00A238FC" w:rsidRDefault="00E7366F" w:rsidP="00F5556B">
            <w:pPr>
              <w:pStyle w:val="TableTextLeft"/>
              <w:spacing w:after="60"/>
              <w:rPr>
                <w:rFonts w:cs="Arial"/>
                <w:b/>
                <w:bCs/>
              </w:rPr>
            </w:pPr>
            <w:r w:rsidRPr="00A238FC">
              <w:rPr>
                <w:rFonts w:cs="Arial"/>
                <w:b/>
                <w:bCs/>
              </w:rPr>
              <w:t>Programs</w:t>
            </w:r>
          </w:p>
          <w:p w14:paraId="46BC45BA" w14:textId="1F6E2419" w:rsidR="00E7366F" w:rsidRPr="00A238FC" w:rsidRDefault="00E7366F" w:rsidP="0053190D">
            <w:pPr>
              <w:pStyle w:val="TableTextBullet"/>
              <w:spacing w:after="120"/>
              <w:rPr>
                <w:rFonts w:cs="Arial"/>
              </w:rPr>
            </w:pPr>
            <w:r w:rsidRPr="00A238FC">
              <w:rPr>
                <w:rFonts w:cs="Arial"/>
              </w:rPr>
              <w:t xml:space="preserve">Program </w:t>
            </w:r>
            <w:r w:rsidR="00BC55CF" w:rsidRPr="00A238FC">
              <w:rPr>
                <w:rFonts w:cs="Arial"/>
              </w:rPr>
              <w:t>3.1</w:t>
            </w:r>
            <w:r w:rsidRPr="00A238FC">
              <w:rPr>
                <w:rFonts w:cs="Arial"/>
              </w:rPr>
              <w:t xml:space="preserve"> – </w:t>
            </w:r>
            <w:r w:rsidR="00BC55CF" w:rsidRPr="00A238FC">
              <w:rPr>
                <w:rFonts w:cs="Arial"/>
              </w:rPr>
              <w:t xml:space="preserve">Regional Development </w:t>
            </w:r>
          </w:p>
        </w:tc>
      </w:tr>
      <w:tr w:rsidR="0036647E" w:rsidRPr="00A238FC" w14:paraId="2898A724" w14:textId="77777777" w:rsidTr="00BE246B">
        <w:trPr>
          <w:trHeight w:val="113"/>
          <w:tblHeader/>
        </w:trPr>
        <w:tc>
          <w:tcPr>
            <w:tcW w:w="7700" w:type="dxa"/>
            <w:tcBorders>
              <w:top w:val="dotted" w:sz="4" w:space="0" w:color="auto"/>
              <w:bottom w:val="single" w:sz="4" w:space="0" w:color="auto"/>
            </w:tcBorders>
          </w:tcPr>
          <w:p w14:paraId="2A58F3D6" w14:textId="77777777" w:rsidR="0053190D" w:rsidRPr="00A238FC" w:rsidRDefault="0053190D" w:rsidP="00F5556B">
            <w:pPr>
              <w:spacing w:before="60" w:after="60" w:line="240" w:lineRule="auto"/>
              <w:rPr>
                <w:rFonts w:ascii="Arial" w:hAnsi="Arial" w:cs="Arial"/>
                <w:b/>
                <w:sz w:val="16"/>
              </w:rPr>
            </w:pPr>
            <w:r w:rsidRPr="00A238FC">
              <w:rPr>
                <w:rFonts w:ascii="Arial" w:hAnsi="Arial" w:cs="Arial"/>
                <w:b/>
                <w:sz w:val="16"/>
              </w:rPr>
              <w:t>Contribution to Outcome 1 made by linked programs</w:t>
            </w:r>
          </w:p>
          <w:p w14:paraId="61C6F457" w14:textId="43C2705D" w:rsidR="0036647E" w:rsidRPr="00A238FC" w:rsidRDefault="0053190D" w:rsidP="004E040E">
            <w:pPr>
              <w:pStyle w:val="TableTextLeft"/>
              <w:spacing w:after="60"/>
              <w:rPr>
                <w:rFonts w:cs="Arial"/>
                <w:b/>
                <w:bCs/>
              </w:rPr>
            </w:pPr>
            <w:r w:rsidRPr="00A238FC">
              <w:rPr>
                <w:rFonts w:cs="Arial"/>
              </w:rPr>
              <w:t xml:space="preserve">The Department of Infrastructure, Transport, Regional Development, Communications, Sport and the Arts </w:t>
            </w:r>
            <w:proofErr w:type="gramStart"/>
            <w:r w:rsidRPr="00A238FC">
              <w:rPr>
                <w:rFonts w:cs="Arial"/>
              </w:rPr>
              <w:t>supports</w:t>
            </w:r>
            <w:proofErr w:type="gramEnd"/>
            <w:r w:rsidRPr="00A238FC">
              <w:rPr>
                <w:rFonts w:cs="Arial"/>
              </w:rPr>
              <w:t xml:space="preserve"> tourism demand-driving infrastructure, arts and culture in Australia’s regions through regional programs and as part of its role in THRIVE 2030.</w:t>
            </w:r>
          </w:p>
        </w:tc>
      </w:tr>
      <w:tr w:rsidR="00E7366F" w:rsidRPr="00A238FC" w14:paraId="204D4D7F" w14:textId="77777777" w:rsidTr="00BE246B">
        <w:trPr>
          <w:trHeight w:val="113"/>
        </w:trPr>
        <w:tc>
          <w:tcPr>
            <w:tcW w:w="7700" w:type="dxa"/>
            <w:tcBorders>
              <w:bottom w:val="dotted" w:sz="4" w:space="0" w:color="auto"/>
            </w:tcBorders>
          </w:tcPr>
          <w:p w14:paraId="05BF8B3D" w14:textId="7CF62319" w:rsidR="00E7366F" w:rsidRPr="00A238FC" w:rsidRDefault="00F5556B" w:rsidP="00F5556B">
            <w:pPr>
              <w:spacing w:before="40" w:after="60" w:line="240" w:lineRule="auto"/>
              <w:rPr>
                <w:rFonts w:ascii="Arial" w:hAnsi="Arial" w:cs="Arial"/>
              </w:rPr>
            </w:pPr>
            <w:r w:rsidRPr="00A238FC">
              <w:rPr>
                <w:rFonts w:ascii="Arial" w:hAnsi="Arial" w:cs="Arial"/>
                <w:b/>
                <w:sz w:val="16"/>
              </w:rPr>
              <w:t>Department of Education</w:t>
            </w:r>
          </w:p>
        </w:tc>
      </w:tr>
      <w:tr w:rsidR="00E7366F" w:rsidRPr="00A238FC" w14:paraId="55A2FB52" w14:textId="77777777" w:rsidTr="00BE246B">
        <w:trPr>
          <w:trHeight w:val="113"/>
        </w:trPr>
        <w:tc>
          <w:tcPr>
            <w:tcW w:w="7700" w:type="dxa"/>
            <w:tcBorders>
              <w:top w:val="dotted" w:sz="4" w:space="0" w:color="auto"/>
              <w:bottom w:val="single" w:sz="4" w:space="0" w:color="auto"/>
            </w:tcBorders>
          </w:tcPr>
          <w:p w14:paraId="50A2CCAA" w14:textId="77777777" w:rsidR="00E7366F" w:rsidRPr="00A238FC" w:rsidRDefault="00E7366F" w:rsidP="00F5556B">
            <w:pPr>
              <w:pStyle w:val="TableTextLeft"/>
              <w:spacing w:after="60"/>
              <w:rPr>
                <w:rFonts w:cs="Arial"/>
                <w:b/>
                <w:bCs/>
              </w:rPr>
            </w:pPr>
            <w:r w:rsidRPr="00A238FC">
              <w:rPr>
                <w:rFonts w:cs="Arial"/>
                <w:b/>
                <w:bCs/>
              </w:rPr>
              <w:t>Programs</w:t>
            </w:r>
          </w:p>
          <w:p w14:paraId="628CFBC1" w14:textId="5BA7BA42" w:rsidR="00E7366F" w:rsidRPr="00A238FC" w:rsidRDefault="00E7366F" w:rsidP="00F5556B">
            <w:pPr>
              <w:pStyle w:val="TableTextBullet"/>
              <w:spacing w:after="120"/>
              <w:rPr>
                <w:rFonts w:cs="Arial"/>
              </w:rPr>
            </w:pPr>
            <w:r w:rsidRPr="00A238FC">
              <w:rPr>
                <w:rFonts w:cs="Arial"/>
              </w:rPr>
              <w:t xml:space="preserve">Program </w:t>
            </w:r>
            <w:r w:rsidR="00F5556B" w:rsidRPr="00A238FC">
              <w:rPr>
                <w:rFonts w:cs="Arial"/>
              </w:rPr>
              <w:t xml:space="preserve">2.7 </w:t>
            </w:r>
            <w:r w:rsidRPr="00A238FC">
              <w:rPr>
                <w:rFonts w:cs="Arial"/>
              </w:rPr>
              <w:t xml:space="preserve">– </w:t>
            </w:r>
            <w:r w:rsidR="00F5556B" w:rsidRPr="00A238FC">
              <w:rPr>
                <w:rFonts w:cs="Arial"/>
              </w:rPr>
              <w:t>International Education Support</w:t>
            </w:r>
          </w:p>
        </w:tc>
      </w:tr>
      <w:tr w:rsidR="00E7366F" w:rsidRPr="00A238FC" w14:paraId="3F2D459A" w14:textId="77777777" w:rsidTr="00BE246B">
        <w:trPr>
          <w:trHeight w:val="113"/>
        </w:trPr>
        <w:tc>
          <w:tcPr>
            <w:tcW w:w="7700" w:type="dxa"/>
            <w:tcBorders>
              <w:bottom w:val="single" w:sz="4" w:space="0" w:color="auto"/>
            </w:tcBorders>
          </w:tcPr>
          <w:p w14:paraId="68905B51" w14:textId="37E7B871" w:rsidR="00E7366F" w:rsidRPr="00A238FC" w:rsidRDefault="00E7366F" w:rsidP="00FF7B23">
            <w:pPr>
              <w:pStyle w:val="TableColumnHeadingLeft"/>
              <w:rPr>
                <w:rFonts w:ascii="Arial" w:hAnsi="Arial" w:cs="Arial"/>
              </w:rPr>
            </w:pPr>
            <w:r w:rsidRPr="00A238FC">
              <w:rPr>
                <w:rFonts w:ascii="Arial" w:hAnsi="Arial" w:cs="Arial"/>
              </w:rPr>
              <w:t xml:space="preserve">Contribution to Outcome </w:t>
            </w:r>
            <w:r w:rsidR="00F5556B" w:rsidRPr="00A238FC">
              <w:rPr>
                <w:rFonts w:ascii="Arial" w:hAnsi="Arial" w:cs="Arial"/>
              </w:rPr>
              <w:t>1</w:t>
            </w:r>
            <w:r w:rsidRPr="00A238FC">
              <w:rPr>
                <w:rFonts w:ascii="Arial" w:hAnsi="Arial" w:cs="Arial"/>
                <w:color w:val="FF0000"/>
              </w:rPr>
              <w:t xml:space="preserve"> </w:t>
            </w:r>
            <w:r w:rsidRPr="00A238FC">
              <w:rPr>
                <w:rFonts w:ascii="Arial" w:hAnsi="Arial" w:cs="Arial"/>
              </w:rPr>
              <w:t>made by linked programs</w:t>
            </w:r>
          </w:p>
          <w:p w14:paraId="050C2D2A" w14:textId="7F9E7A02" w:rsidR="00E7366F" w:rsidRPr="00A238FC" w:rsidRDefault="00F5556B" w:rsidP="004E040E">
            <w:pPr>
              <w:pStyle w:val="TableTextLeft"/>
              <w:spacing w:after="60"/>
              <w:rPr>
                <w:rFonts w:cs="Arial"/>
              </w:rPr>
            </w:pPr>
            <w:r w:rsidRPr="00A238FC">
              <w:rPr>
                <w:rFonts w:cs="Arial"/>
              </w:rPr>
              <w:t>Program 2.7 contributes to partnerships with foreign governments to advance Australia’s education sector and reputation. The Program also ensures policy and legislation protects and enhances Australia’s reputation for quality education, consumer protections, and system integrity. The Department of Education and Austrade collaborate to align policy and program delivery to improve Australia’s quality international education sector, complementing Austrade’s focus on enabling a sustainable, diverse and high-quality international education sector.</w:t>
            </w:r>
          </w:p>
        </w:tc>
      </w:tr>
    </w:tbl>
    <w:p w14:paraId="46D3F844" w14:textId="20176169" w:rsidR="00E7366F" w:rsidRPr="0069545F" w:rsidRDefault="00BE246B" w:rsidP="00BE246B">
      <w:pPr>
        <w:pStyle w:val="ChartandTableFootnoteAlpha"/>
        <w:numPr>
          <w:ilvl w:val="0"/>
          <w:numId w:val="0"/>
        </w:numPr>
        <w:ind w:left="284" w:hanging="284"/>
      </w:pPr>
      <w:r w:rsidRPr="00DD1807">
        <w:rPr>
          <w:rFonts w:cs="Arial"/>
          <w:szCs w:val="16"/>
        </w:rPr>
        <w:t xml:space="preserve">Table </w:t>
      </w:r>
      <w:proofErr w:type="gramStart"/>
      <w:r w:rsidRPr="00DD1807">
        <w:rPr>
          <w:rFonts w:cs="Arial"/>
          <w:szCs w:val="16"/>
        </w:rPr>
        <w:t>continued on</w:t>
      </w:r>
      <w:proofErr w:type="gramEnd"/>
      <w:r w:rsidRPr="00DD1807">
        <w:rPr>
          <w:rFonts w:cs="Arial"/>
          <w:szCs w:val="16"/>
        </w:rPr>
        <w:t xml:space="preserve"> the next page</w:t>
      </w:r>
      <w:r w:rsidR="00E7366F" w:rsidRPr="0069545F">
        <w:t>.</w:t>
      </w:r>
    </w:p>
    <w:p w14:paraId="2ABDAE7A" w14:textId="77777777" w:rsidR="00FA45B0" w:rsidRDefault="00FA45B0" w:rsidP="00E7366F"/>
    <w:p w14:paraId="103B0465" w14:textId="77777777" w:rsidR="00FA45B0" w:rsidRDefault="00FA45B0">
      <w:pPr>
        <w:spacing w:before="0" w:after="0" w:line="240" w:lineRule="auto"/>
      </w:pPr>
      <w:r>
        <w:br w:type="page"/>
      </w:r>
    </w:p>
    <w:p w14:paraId="25E38FAF" w14:textId="68D36407" w:rsidR="00FA45B0" w:rsidRDefault="00FA45B0" w:rsidP="00FA45B0">
      <w:pPr>
        <w:pStyle w:val="Heading4"/>
      </w:pPr>
      <w:r w:rsidRPr="005E6F2B">
        <w:lastRenderedPageBreak/>
        <w:t>Linked programs</w:t>
      </w:r>
      <w:r>
        <w:t xml:space="preserve">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F5556B" w:rsidRPr="00A238FC" w14:paraId="0EF152F4" w14:textId="77777777" w:rsidTr="00892594">
        <w:trPr>
          <w:trHeight w:val="113"/>
          <w:tblHeader/>
        </w:trPr>
        <w:tc>
          <w:tcPr>
            <w:tcW w:w="7700" w:type="dxa"/>
            <w:tcBorders>
              <w:bottom w:val="dotted" w:sz="4" w:space="0" w:color="auto"/>
            </w:tcBorders>
          </w:tcPr>
          <w:p w14:paraId="3832C661" w14:textId="20E60BF1" w:rsidR="00F5556B" w:rsidRPr="00A238FC" w:rsidRDefault="00F5556B" w:rsidP="00F5556B">
            <w:pPr>
              <w:spacing w:before="40" w:after="60" w:line="240" w:lineRule="auto"/>
              <w:rPr>
                <w:rFonts w:ascii="Arial" w:hAnsi="Arial" w:cs="Arial"/>
                <w:b/>
                <w:sz w:val="16"/>
              </w:rPr>
            </w:pPr>
            <w:r w:rsidRPr="00A238FC">
              <w:rPr>
                <w:rFonts w:ascii="Arial" w:hAnsi="Arial" w:cs="Arial"/>
                <w:b/>
                <w:sz w:val="16"/>
              </w:rPr>
              <w:t>Department of Agriculture, Fisheries and Forestry</w:t>
            </w:r>
          </w:p>
        </w:tc>
      </w:tr>
      <w:tr w:rsidR="00F5556B" w:rsidRPr="00A238FC" w14:paraId="3E2B460F" w14:textId="77777777" w:rsidTr="00892594">
        <w:trPr>
          <w:trHeight w:val="113"/>
          <w:tblHeader/>
        </w:trPr>
        <w:tc>
          <w:tcPr>
            <w:tcW w:w="7700" w:type="dxa"/>
            <w:tcBorders>
              <w:top w:val="dotted" w:sz="4" w:space="0" w:color="auto"/>
              <w:bottom w:val="single" w:sz="4" w:space="0" w:color="auto"/>
            </w:tcBorders>
          </w:tcPr>
          <w:p w14:paraId="5B081AB4" w14:textId="77777777" w:rsidR="00F5556B" w:rsidRPr="00A238FC" w:rsidRDefault="00F5556B" w:rsidP="00892594">
            <w:pPr>
              <w:pStyle w:val="TableTextLeft"/>
              <w:spacing w:after="60"/>
              <w:rPr>
                <w:rFonts w:cs="Arial"/>
                <w:b/>
                <w:bCs/>
              </w:rPr>
            </w:pPr>
            <w:r w:rsidRPr="00A238FC">
              <w:rPr>
                <w:rFonts w:cs="Arial"/>
                <w:b/>
                <w:bCs/>
              </w:rPr>
              <w:t>Programs</w:t>
            </w:r>
          </w:p>
          <w:p w14:paraId="22AB4323" w14:textId="16D88867" w:rsidR="00F5556B" w:rsidRPr="00A238FC" w:rsidRDefault="00F5556B" w:rsidP="00892594">
            <w:pPr>
              <w:pStyle w:val="TableTextBullet"/>
              <w:spacing w:after="120"/>
              <w:rPr>
                <w:rFonts w:cs="Arial"/>
              </w:rPr>
            </w:pPr>
            <w:r w:rsidRPr="00A238FC">
              <w:rPr>
                <w:rFonts w:cs="Arial"/>
              </w:rPr>
              <w:t>Program 1.13 – International Market Access</w:t>
            </w:r>
          </w:p>
          <w:p w14:paraId="60F550D8" w14:textId="414B432F" w:rsidR="00F5556B" w:rsidRPr="00A238FC" w:rsidRDefault="00F5556B" w:rsidP="00892594">
            <w:pPr>
              <w:pStyle w:val="TableTextBullet"/>
              <w:spacing w:after="120"/>
              <w:rPr>
                <w:rFonts w:cs="Arial"/>
              </w:rPr>
            </w:pPr>
            <w:r w:rsidRPr="00A238FC">
              <w:rPr>
                <w:rFonts w:cs="Arial"/>
              </w:rPr>
              <w:t>Program 2.01 – Biosecurity and Export Services</w:t>
            </w:r>
          </w:p>
        </w:tc>
      </w:tr>
      <w:tr w:rsidR="00F5556B" w:rsidRPr="00A238FC" w14:paraId="47AEF70F" w14:textId="77777777" w:rsidTr="00892594">
        <w:trPr>
          <w:trHeight w:val="113"/>
          <w:tblHeader/>
        </w:trPr>
        <w:tc>
          <w:tcPr>
            <w:tcW w:w="7700" w:type="dxa"/>
            <w:tcBorders>
              <w:top w:val="dotted" w:sz="4" w:space="0" w:color="auto"/>
              <w:bottom w:val="single" w:sz="4" w:space="0" w:color="auto"/>
            </w:tcBorders>
          </w:tcPr>
          <w:p w14:paraId="1D2B9441" w14:textId="77777777" w:rsidR="00F5556B" w:rsidRPr="00A238FC" w:rsidRDefault="00F5556B" w:rsidP="00F5556B">
            <w:pPr>
              <w:spacing w:before="60" w:after="60" w:line="240" w:lineRule="auto"/>
              <w:rPr>
                <w:rFonts w:ascii="Arial" w:hAnsi="Arial" w:cs="Arial"/>
                <w:b/>
                <w:sz w:val="16"/>
              </w:rPr>
            </w:pPr>
            <w:r w:rsidRPr="00A238FC">
              <w:rPr>
                <w:rFonts w:ascii="Arial" w:hAnsi="Arial" w:cs="Arial"/>
                <w:b/>
                <w:sz w:val="16"/>
              </w:rPr>
              <w:t>Contribution to Outcome 1 made by linked programs</w:t>
            </w:r>
          </w:p>
          <w:p w14:paraId="2BE33D2F" w14:textId="37C485D5" w:rsidR="00F5556B" w:rsidRPr="00A238FC" w:rsidRDefault="00F5556B" w:rsidP="00F5556B">
            <w:pPr>
              <w:pStyle w:val="TableTextLeft"/>
              <w:spacing w:after="120"/>
              <w:rPr>
                <w:rFonts w:cs="Arial"/>
                <w:b/>
                <w:bCs/>
              </w:rPr>
            </w:pPr>
            <w:r w:rsidRPr="00A238FC">
              <w:rPr>
                <w:rFonts w:cs="Arial"/>
              </w:rPr>
              <w:t>The Department of Agriculture, Fisheries and Forestry and Austrade work together to achieve the best outcomes for Australian agricultural, fisheries and forestry exporters, including through improved market access and supporting the transition plan to phase out live sheep exports by sea. The department also undertakes activities to preserve Australia’s favourable animal and plant health status, helping maintain overseas markets.</w:t>
            </w:r>
          </w:p>
        </w:tc>
      </w:tr>
      <w:tr w:rsidR="00F5556B" w:rsidRPr="00A238FC" w14:paraId="6D3E12F2" w14:textId="77777777" w:rsidTr="00892594">
        <w:trPr>
          <w:trHeight w:val="113"/>
        </w:trPr>
        <w:tc>
          <w:tcPr>
            <w:tcW w:w="7700" w:type="dxa"/>
            <w:tcBorders>
              <w:bottom w:val="dotted" w:sz="4" w:space="0" w:color="auto"/>
            </w:tcBorders>
          </w:tcPr>
          <w:p w14:paraId="1E48E320" w14:textId="51F909B3" w:rsidR="00F5556B" w:rsidRPr="00A238FC" w:rsidRDefault="00F5556B" w:rsidP="00892594">
            <w:pPr>
              <w:spacing w:before="40" w:after="60" w:line="240" w:lineRule="auto"/>
              <w:rPr>
                <w:rFonts w:ascii="Arial" w:hAnsi="Arial" w:cs="Arial"/>
              </w:rPr>
            </w:pPr>
            <w:r w:rsidRPr="00A238FC">
              <w:rPr>
                <w:rFonts w:ascii="Arial" w:hAnsi="Arial" w:cs="Arial"/>
                <w:b/>
                <w:sz w:val="16"/>
              </w:rPr>
              <w:t>Department of Foreign Affairs and Trade</w:t>
            </w:r>
          </w:p>
        </w:tc>
      </w:tr>
      <w:tr w:rsidR="00F5556B" w:rsidRPr="00A238FC" w14:paraId="65DCD80B" w14:textId="77777777" w:rsidTr="00892594">
        <w:trPr>
          <w:trHeight w:val="113"/>
        </w:trPr>
        <w:tc>
          <w:tcPr>
            <w:tcW w:w="7700" w:type="dxa"/>
            <w:tcBorders>
              <w:top w:val="dotted" w:sz="4" w:space="0" w:color="auto"/>
              <w:bottom w:val="single" w:sz="4" w:space="0" w:color="auto"/>
            </w:tcBorders>
          </w:tcPr>
          <w:p w14:paraId="0169C355" w14:textId="77777777" w:rsidR="00F5556B" w:rsidRPr="00A238FC" w:rsidRDefault="00F5556B" w:rsidP="00892594">
            <w:pPr>
              <w:pStyle w:val="TableTextLeft"/>
              <w:spacing w:after="60"/>
              <w:rPr>
                <w:rFonts w:cs="Arial"/>
                <w:b/>
                <w:bCs/>
              </w:rPr>
            </w:pPr>
            <w:r w:rsidRPr="00A238FC">
              <w:rPr>
                <w:rFonts w:cs="Arial"/>
                <w:b/>
                <w:bCs/>
              </w:rPr>
              <w:t>Programs</w:t>
            </w:r>
          </w:p>
          <w:p w14:paraId="51773944" w14:textId="07AE9E8F" w:rsidR="00F5556B" w:rsidRPr="00A238FC" w:rsidRDefault="00F5556B" w:rsidP="00892594">
            <w:pPr>
              <w:pStyle w:val="TableTextBullet"/>
              <w:spacing w:after="120"/>
              <w:rPr>
                <w:rFonts w:cs="Arial"/>
              </w:rPr>
            </w:pPr>
            <w:r w:rsidRPr="00A238FC">
              <w:rPr>
                <w:rFonts w:cs="Arial"/>
              </w:rPr>
              <w:t>Program 1.1 – Foreign Affairs and Trade Operations</w:t>
            </w:r>
          </w:p>
        </w:tc>
      </w:tr>
      <w:tr w:rsidR="00F5556B" w:rsidRPr="00A238FC" w14:paraId="4B424CE4" w14:textId="77777777" w:rsidTr="00892594">
        <w:trPr>
          <w:trHeight w:val="113"/>
        </w:trPr>
        <w:tc>
          <w:tcPr>
            <w:tcW w:w="7700" w:type="dxa"/>
            <w:tcBorders>
              <w:bottom w:val="single" w:sz="4" w:space="0" w:color="auto"/>
            </w:tcBorders>
          </w:tcPr>
          <w:p w14:paraId="64590A57" w14:textId="77777777" w:rsidR="00F5556B" w:rsidRPr="00A238FC" w:rsidRDefault="00F5556B" w:rsidP="00F5556B">
            <w:pPr>
              <w:pStyle w:val="TableColumnHeadingLeft"/>
              <w:spacing w:after="60"/>
              <w:rPr>
                <w:rFonts w:ascii="Arial" w:hAnsi="Arial" w:cs="Arial"/>
              </w:rPr>
            </w:pPr>
            <w:r w:rsidRPr="00A238FC">
              <w:rPr>
                <w:rFonts w:ascii="Arial" w:hAnsi="Arial" w:cs="Arial"/>
              </w:rPr>
              <w:t>Contribution to Outcome 1</w:t>
            </w:r>
            <w:r w:rsidRPr="00A238FC">
              <w:rPr>
                <w:rFonts w:ascii="Arial" w:hAnsi="Arial" w:cs="Arial"/>
                <w:color w:val="FF0000"/>
              </w:rPr>
              <w:t xml:space="preserve"> </w:t>
            </w:r>
            <w:r w:rsidRPr="00A238FC">
              <w:rPr>
                <w:rFonts w:ascii="Arial" w:hAnsi="Arial" w:cs="Arial"/>
              </w:rPr>
              <w:t>made by linked programs</w:t>
            </w:r>
          </w:p>
          <w:p w14:paraId="46EE9E78" w14:textId="6A7A95A7" w:rsidR="00F5556B" w:rsidRPr="00A238FC" w:rsidRDefault="00F5556B" w:rsidP="00892594">
            <w:pPr>
              <w:pStyle w:val="TableTextLeft"/>
              <w:spacing w:after="120"/>
              <w:rPr>
                <w:rFonts w:cs="Arial"/>
              </w:rPr>
            </w:pPr>
            <w:r w:rsidRPr="00A238FC">
              <w:rPr>
                <w:rFonts w:cs="Arial"/>
              </w:rPr>
              <w:t xml:space="preserve">The Department of Foreign Affairs and Trade (DFAT) and Austrade work closely across </w:t>
            </w:r>
            <w:proofErr w:type="gramStart"/>
            <w:r w:rsidRPr="00A238FC">
              <w:rPr>
                <w:rFonts w:cs="Arial"/>
              </w:rPr>
              <w:t>a number of</w:t>
            </w:r>
            <w:proofErr w:type="gramEnd"/>
            <w:r w:rsidRPr="00A238FC">
              <w:rPr>
                <w:rFonts w:cs="Arial"/>
              </w:rPr>
              <w:t xml:space="preserve"> areas to promote trade and investment; address non-tariff barriers to trade; support and facilitate businesses to engage in trade; advocate to uphold the global rules-based trading system; and advance First Nations Foreign Policy. DFAT and Austrade work closely on advancing trade diversification and strengthening economic bilateral relationships, such as activities connected to implementing recommendations of Invested: Australia’s Southeast Asia Economic Strategy to 2040 and supporting Australia’s critical minerals sector. This cooperation results in more economic opportunities and contributes to the projection of a positive image of Australia as a favourable destination to undertake business, investment, tourism and study.</w:t>
            </w:r>
          </w:p>
        </w:tc>
      </w:tr>
    </w:tbl>
    <w:p w14:paraId="648B6CDC" w14:textId="77777777" w:rsidR="00F5556B" w:rsidRDefault="00F5556B" w:rsidP="00F5556B">
      <w:pPr>
        <w:pStyle w:val="ChartandTableFootnoteAlpha"/>
        <w:numPr>
          <w:ilvl w:val="0"/>
          <w:numId w:val="0"/>
        </w:numPr>
        <w:ind w:left="284" w:hanging="284"/>
      </w:pPr>
      <w:r w:rsidRPr="00DD1807">
        <w:rPr>
          <w:rFonts w:cs="Arial"/>
          <w:szCs w:val="16"/>
        </w:rPr>
        <w:t xml:space="preserve">Table </w:t>
      </w:r>
      <w:proofErr w:type="gramStart"/>
      <w:r w:rsidRPr="00DD1807">
        <w:rPr>
          <w:rFonts w:cs="Arial"/>
          <w:szCs w:val="16"/>
        </w:rPr>
        <w:t>continued on</w:t>
      </w:r>
      <w:proofErr w:type="gramEnd"/>
      <w:r w:rsidRPr="00DD1807">
        <w:rPr>
          <w:rFonts w:cs="Arial"/>
          <w:szCs w:val="16"/>
        </w:rPr>
        <w:t xml:space="preserve"> the next page</w:t>
      </w:r>
      <w:r w:rsidRPr="0069545F">
        <w:t>.</w:t>
      </w:r>
    </w:p>
    <w:p w14:paraId="4CE4CF0D" w14:textId="6D3F3B01" w:rsidR="00F5556B" w:rsidRDefault="00F5556B">
      <w:pPr>
        <w:spacing w:before="0" w:after="0" w:line="240" w:lineRule="auto"/>
      </w:pPr>
      <w:r>
        <w:br w:type="page"/>
      </w:r>
    </w:p>
    <w:p w14:paraId="37623DAE" w14:textId="77777777" w:rsidR="00F5556B" w:rsidRDefault="00F5556B" w:rsidP="00F5556B">
      <w:pPr>
        <w:pStyle w:val="Heading4"/>
      </w:pPr>
      <w:r w:rsidRPr="005E6F2B">
        <w:lastRenderedPageBreak/>
        <w:t>Linked programs</w:t>
      </w:r>
      <w:r>
        <w:t xml:space="preserve">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F5556B" w:rsidRPr="000C0FE9" w14:paraId="41757178" w14:textId="77777777" w:rsidTr="00892594">
        <w:trPr>
          <w:trHeight w:val="113"/>
          <w:tblHeader/>
        </w:trPr>
        <w:tc>
          <w:tcPr>
            <w:tcW w:w="7700" w:type="dxa"/>
            <w:tcBorders>
              <w:bottom w:val="dotted" w:sz="4" w:space="0" w:color="auto"/>
            </w:tcBorders>
          </w:tcPr>
          <w:p w14:paraId="4EE4FAC7" w14:textId="6D4CB4AF" w:rsidR="00A238FC" w:rsidRPr="000C0FE9" w:rsidRDefault="00F5556B" w:rsidP="00892594">
            <w:pPr>
              <w:spacing w:before="40" w:after="60" w:line="240" w:lineRule="auto"/>
              <w:rPr>
                <w:rFonts w:ascii="Arial" w:hAnsi="Arial" w:cs="Arial"/>
                <w:b/>
                <w:sz w:val="16"/>
              </w:rPr>
            </w:pPr>
            <w:r w:rsidRPr="000C0FE9">
              <w:rPr>
                <w:rFonts w:ascii="Arial" w:hAnsi="Arial" w:cs="Arial"/>
                <w:b/>
                <w:sz w:val="16"/>
              </w:rPr>
              <w:t>Department of Industry, Science and Resources</w:t>
            </w:r>
          </w:p>
        </w:tc>
      </w:tr>
      <w:tr w:rsidR="00F5556B" w:rsidRPr="000C0FE9" w14:paraId="7C11C92B" w14:textId="77777777" w:rsidTr="00892594">
        <w:trPr>
          <w:trHeight w:val="113"/>
          <w:tblHeader/>
        </w:trPr>
        <w:tc>
          <w:tcPr>
            <w:tcW w:w="7700" w:type="dxa"/>
            <w:tcBorders>
              <w:top w:val="dotted" w:sz="4" w:space="0" w:color="auto"/>
              <w:bottom w:val="single" w:sz="4" w:space="0" w:color="auto"/>
            </w:tcBorders>
          </w:tcPr>
          <w:p w14:paraId="518EE5E1" w14:textId="77777777" w:rsidR="00F5556B" w:rsidRPr="000C0FE9" w:rsidRDefault="00F5556B" w:rsidP="00892594">
            <w:pPr>
              <w:pStyle w:val="TableTextLeft"/>
              <w:spacing w:after="60"/>
              <w:rPr>
                <w:rFonts w:cs="Arial"/>
                <w:b/>
                <w:bCs/>
              </w:rPr>
            </w:pPr>
            <w:r w:rsidRPr="000C0FE9">
              <w:rPr>
                <w:rFonts w:cs="Arial"/>
                <w:b/>
                <w:bCs/>
              </w:rPr>
              <w:t>Programs</w:t>
            </w:r>
          </w:p>
          <w:p w14:paraId="7215C80B" w14:textId="58F21082" w:rsidR="00F5556B" w:rsidRPr="000C0FE9" w:rsidRDefault="00F5556B" w:rsidP="00892594">
            <w:pPr>
              <w:pStyle w:val="TableTextBullet"/>
              <w:spacing w:after="120"/>
              <w:rPr>
                <w:rFonts w:cs="Arial"/>
              </w:rPr>
            </w:pPr>
            <w:r w:rsidRPr="000C0FE9">
              <w:rPr>
                <w:rFonts w:cs="Arial"/>
              </w:rPr>
              <w:t>Program 1.2 – Investing in science, technology and commercialisation</w:t>
            </w:r>
          </w:p>
          <w:p w14:paraId="48A84FFF" w14:textId="4688C485" w:rsidR="00F5556B" w:rsidRPr="000C0FE9" w:rsidRDefault="00F5556B" w:rsidP="00892594">
            <w:pPr>
              <w:pStyle w:val="TableTextBullet"/>
              <w:spacing w:after="120"/>
              <w:rPr>
                <w:rFonts w:cs="Arial"/>
              </w:rPr>
            </w:pPr>
            <w:r w:rsidRPr="000C0FE9">
              <w:rPr>
                <w:rFonts w:cs="Arial"/>
              </w:rPr>
              <w:t>Program 1.3 – Supporting a strong resources sector</w:t>
            </w:r>
          </w:p>
        </w:tc>
      </w:tr>
      <w:tr w:rsidR="00F5556B" w:rsidRPr="000C0FE9" w14:paraId="7378EC22" w14:textId="77777777" w:rsidTr="00892594">
        <w:trPr>
          <w:trHeight w:val="113"/>
          <w:tblHeader/>
        </w:trPr>
        <w:tc>
          <w:tcPr>
            <w:tcW w:w="7700" w:type="dxa"/>
            <w:tcBorders>
              <w:top w:val="dotted" w:sz="4" w:space="0" w:color="auto"/>
              <w:bottom w:val="single" w:sz="4" w:space="0" w:color="auto"/>
            </w:tcBorders>
          </w:tcPr>
          <w:p w14:paraId="515F672A" w14:textId="77777777" w:rsidR="00F5556B" w:rsidRPr="000C0FE9" w:rsidRDefault="00F5556B" w:rsidP="00F5556B">
            <w:pPr>
              <w:spacing w:before="60" w:after="60" w:line="240" w:lineRule="auto"/>
              <w:rPr>
                <w:rFonts w:ascii="Arial" w:hAnsi="Arial" w:cs="Arial"/>
                <w:b/>
                <w:sz w:val="16"/>
              </w:rPr>
            </w:pPr>
            <w:r w:rsidRPr="000C0FE9">
              <w:rPr>
                <w:rFonts w:ascii="Arial" w:hAnsi="Arial" w:cs="Arial"/>
                <w:b/>
                <w:sz w:val="16"/>
              </w:rPr>
              <w:t>Contribution to Outcome 1 made by linked programs</w:t>
            </w:r>
          </w:p>
          <w:p w14:paraId="54058981" w14:textId="582680A1" w:rsidR="00F5556B" w:rsidRPr="000C0FE9" w:rsidRDefault="00F5556B" w:rsidP="00892594">
            <w:pPr>
              <w:pStyle w:val="TableTextLeft"/>
              <w:spacing w:after="120"/>
              <w:rPr>
                <w:rFonts w:cs="Arial"/>
                <w:b/>
                <w:bCs/>
              </w:rPr>
            </w:pPr>
            <w:r w:rsidRPr="000C0FE9">
              <w:rPr>
                <w:rFonts w:cs="Arial"/>
              </w:rPr>
              <w:t xml:space="preserve">The Department of Industry, Science and Resources works with Austrade to build global networks, develop resilient supply chains, attract international investment to Australia and identify and capitalise on opportunities in priority areas such as critical minerals, critical technologies, and manufacturing. By improving Australia’s industrial capability and competitiveness through the National Reconstruction Fund, the Department of Industry, Science and Resources will indirectly support Australian exporters and attract foreign investment. The Department of Industry, Science and Resources works with Austrade to support the aims of the department funded </w:t>
            </w:r>
            <w:proofErr w:type="spellStart"/>
            <w:r w:rsidRPr="000C0FE9">
              <w:rPr>
                <w:rFonts w:cs="Arial"/>
              </w:rPr>
              <w:t>Asialink</w:t>
            </w:r>
            <w:proofErr w:type="spellEnd"/>
            <w:r w:rsidRPr="000C0FE9">
              <w:rPr>
                <w:rFonts w:cs="Arial"/>
              </w:rPr>
              <w:t xml:space="preserve"> Business Program to enhance Asia capability and readiness across business and industry. </w:t>
            </w:r>
            <w:proofErr w:type="spellStart"/>
            <w:r w:rsidRPr="000C0FE9">
              <w:rPr>
                <w:rFonts w:cs="Arial"/>
              </w:rPr>
              <w:t>Asialink</w:t>
            </w:r>
            <w:proofErr w:type="spellEnd"/>
            <w:r w:rsidRPr="000C0FE9">
              <w:rPr>
                <w:rFonts w:cs="Arial"/>
              </w:rPr>
              <w:t xml:space="preserve"> Business has signed an MOU with Austrade to formalise a strategic partnership and shared commitment to boost capabilities of Australian businesses seeking to expand into Asian markets, with enhanced support to enter and succeed.</w:t>
            </w:r>
          </w:p>
        </w:tc>
      </w:tr>
      <w:tr w:rsidR="00F5556B" w:rsidRPr="000C0FE9" w14:paraId="213C0252" w14:textId="77777777" w:rsidTr="00892594">
        <w:trPr>
          <w:trHeight w:val="113"/>
        </w:trPr>
        <w:tc>
          <w:tcPr>
            <w:tcW w:w="7700" w:type="dxa"/>
            <w:tcBorders>
              <w:bottom w:val="dotted" w:sz="4" w:space="0" w:color="auto"/>
            </w:tcBorders>
          </w:tcPr>
          <w:p w14:paraId="0107BF21" w14:textId="035DF3B5" w:rsidR="00F5556B" w:rsidRPr="000C0FE9" w:rsidRDefault="00F5556B" w:rsidP="00892594">
            <w:pPr>
              <w:spacing w:before="40" w:after="60" w:line="240" w:lineRule="auto"/>
              <w:rPr>
                <w:rFonts w:ascii="Arial" w:hAnsi="Arial" w:cs="Arial"/>
              </w:rPr>
            </w:pPr>
            <w:r w:rsidRPr="000C0FE9">
              <w:rPr>
                <w:rFonts w:ascii="Arial" w:hAnsi="Arial" w:cs="Arial"/>
                <w:b/>
                <w:sz w:val="16"/>
              </w:rPr>
              <w:t>Department of Defence</w:t>
            </w:r>
          </w:p>
        </w:tc>
      </w:tr>
      <w:tr w:rsidR="00F5556B" w:rsidRPr="000C0FE9" w14:paraId="6452E972" w14:textId="77777777" w:rsidTr="00892594">
        <w:trPr>
          <w:trHeight w:val="113"/>
        </w:trPr>
        <w:tc>
          <w:tcPr>
            <w:tcW w:w="7700" w:type="dxa"/>
            <w:tcBorders>
              <w:top w:val="dotted" w:sz="4" w:space="0" w:color="auto"/>
              <w:bottom w:val="single" w:sz="4" w:space="0" w:color="auto"/>
            </w:tcBorders>
          </w:tcPr>
          <w:p w14:paraId="1631D983" w14:textId="77777777" w:rsidR="00F5556B" w:rsidRPr="000C0FE9" w:rsidRDefault="00F5556B" w:rsidP="00892594">
            <w:pPr>
              <w:pStyle w:val="TableTextLeft"/>
              <w:spacing w:after="60"/>
              <w:rPr>
                <w:rFonts w:cs="Arial"/>
                <w:b/>
                <w:bCs/>
              </w:rPr>
            </w:pPr>
            <w:r w:rsidRPr="000C0FE9">
              <w:rPr>
                <w:rFonts w:cs="Arial"/>
                <w:b/>
                <w:bCs/>
              </w:rPr>
              <w:t>Programs</w:t>
            </w:r>
          </w:p>
          <w:p w14:paraId="11722DC7" w14:textId="580289AD" w:rsidR="00F5556B" w:rsidRPr="000C0FE9" w:rsidRDefault="00F5556B" w:rsidP="00892594">
            <w:pPr>
              <w:pStyle w:val="TableTextBullet"/>
              <w:spacing w:after="120"/>
              <w:rPr>
                <w:rFonts w:cs="Arial"/>
              </w:rPr>
            </w:pPr>
            <w:r w:rsidRPr="000C0FE9">
              <w:rPr>
                <w:rFonts w:cs="Arial"/>
              </w:rPr>
              <w:t>Program 2.9 – Capability Acquisition and Sustainment</w:t>
            </w:r>
          </w:p>
        </w:tc>
      </w:tr>
      <w:tr w:rsidR="00F5556B" w:rsidRPr="000C0FE9" w14:paraId="78309246" w14:textId="77777777" w:rsidTr="00F5556B">
        <w:trPr>
          <w:trHeight w:val="113"/>
        </w:trPr>
        <w:tc>
          <w:tcPr>
            <w:tcW w:w="7700" w:type="dxa"/>
          </w:tcPr>
          <w:p w14:paraId="5BD29ACF" w14:textId="77777777" w:rsidR="00F5556B" w:rsidRPr="000C0FE9" w:rsidRDefault="00F5556B" w:rsidP="00F5556B">
            <w:pPr>
              <w:pStyle w:val="TableColumnHeadingLeft"/>
              <w:spacing w:after="60"/>
              <w:rPr>
                <w:rFonts w:ascii="Arial" w:hAnsi="Arial" w:cs="Arial"/>
              </w:rPr>
            </w:pPr>
            <w:r w:rsidRPr="000C0FE9">
              <w:rPr>
                <w:rFonts w:ascii="Arial" w:hAnsi="Arial" w:cs="Arial"/>
              </w:rPr>
              <w:t>Contribution to Outcome 1 made by linked programs</w:t>
            </w:r>
          </w:p>
          <w:p w14:paraId="3989D802" w14:textId="4C984D7A" w:rsidR="00F5556B" w:rsidRPr="000C0FE9" w:rsidRDefault="00F5556B" w:rsidP="00892594">
            <w:pPr>
              <w:pStyle w:val="TableTextLeft"/>
              <w:spacing w:after="120"/>
              <w:rPr>
                <w:rFonts w:cs="Arial"/>
              </w:rPr>
            </w:pPr>
            <w:r w:rsidRPr="000C0FE9">
              <w:rPr>
                <w:rFonts w:cs="Arial"/>
              </w:rPr>
              <w:t>Implementation of the Government’s Defence Industry Development Strategy is led by Defence. The partnership with Austrade is focused on growing exports to bring scale, competitiveness, and sustainability to Australia’s defence industrial base.</w:t>
            </w:r>
          </w:p>
        </w:tc>
      </w:tr>
      <w:tr w:rsidR="00F5556B" w:rsidRPr="000C0FE9" w14:paraId="5240D9DE" w14:textId="77777777" w:rsidTr="00F5556B">
        <w:trPr>
          <w:trHeight w:val="113"/>
        </w:trPr>
        <w:tc>
          <w:tcPr>
            <w:tcW w:w="7700" w:type="dxa"/>
            <w:tcBorders>
              <w:bottom w:val="dotted" w:sz="4" w:space="0" w:color="auto"/>
            </w:tcBorders>
          </w:tcPr>
          <w:p w14:paraId="56BE0133" w14:textId="291D9641" w:rsidR="00F5556B" w:rsidRPr="00A238FC" w:rsidRDefault="00F5556B" w:rsidP="00F5556B">
            <w:pPr>
              <w:pStyle w:val="TableColumnHeadingLeft"/>
              <w:spacing w:after="60"/>
              <w:rPr>
                <w:rFonts w:ascii="Arial" w:hAnsi="Arial" w:cs="Arial"/>
                <w:bCs/>
              </w:rPr>
            </w:pPr>
            <w:r w:rsidRPr="00A238FC">
              <w:rPr>
                <w:rFonts w:ascii="Arial" w:hAnsi="Arial" w:cs="Arial"/>
                <w:bCs/>
              </w:rPr>
              <w:t>Tourism Australia</w:t>
            </w:r>
          </w:p>
        </w:tc>
      </w:tr>
      <w:tr w:rsidR="00F5556B" w:rsidRPr="000C0FE9" w14:paraId="6A8BE89E" w14:textId="77777777" w:rsidTr="00F5556B">
        <w:trPr>
          <w:trHeight w:val="113"/>
        </w:trPr>
        <w:tc>
          <w:tcPr>
            <w:tcW w:w="7700" w:type="dxa"/>
            <w:tcBorders>
              <w:top w:val="dotted" w:sz="4" w:space="0" w:color="auto"/>
            </w:tcBorders>
          </w:tcPr>
          <w:p w14:paraId="0C54373C" w14:textId="77777777" w:rsidR="00F5556B" w:rsidRPr="000C0FE9" w:rsidRDefault="00F5556B" w:rsidP="00F5556B">
            <w:pPr>
              <w:pStyle w:val="TableTextLeft"/>
              <w:spacing w:after="60"/>
              <w:rPr>
                <w:rFonts w:cs="Arial"/>
                <w:b/>
                <w:bCs/>
              </w:rPr>
            </w:pPr>
            <w:r w:rsidRPr="000C0FE9">
              <w:rPr>
                <w:rFonts w:cs="Arial"/>
                <w:b/>
                <w:bCs/>
              </w:rPr>
              <w:t>Programs</w:t>
            </w:r>
          </w:p>
          <w:p w14:paraId="1A23CD69" w14:textId="46C2B6C7" w:rsidR="00F5556B" w:rsidRPr="000C0FE9" w:rsidRDefault="00F5556B" w:rsidP="00F5556B">
            <w:pPr>
              <w:pStyle w:val="TableTextBullet"/>
              <w:spacing w:after="120"/>
              <w:rPr>
                <w:rFonts w:cs="Arial"/>
              </w:rPr>
            </w:pPr>
            <w:r w:rsidRPr="000C0FE9">
              <w:rPr>
                <w:rFonts w:cs="Arial"/>
              </w:rPr>
              <w:t>Program 1.1 – Grow demand and foster a competitive and sustainable Australian tourism industry through partnership marketing to targeted global consumers in key markets</w:t>
            </w:r>
          </w:p>
        </w:tc>
      </w:tr>
      <w:tr w:rsidR="00F5556B" w:rsidRPr="000C0FE9" w14:paraId="6DCB88F9" w14:textId="77777777" w:rsidTr="00892594">
        <w:trPr>
          <w:trHeight w:val="113"/>
        </w:trPr>
        <w:tc>
          <w:tcPr>
            <w:tcW w:w="7700" w:type="dxa"/>
            <w:tcBorders>
              <w:bottom w:val="single" w:sz="4" w:space="0" w:color="auto"/>
            </w:tcBorders>
          </w:tcPr>
          <w:p w14:paraId="6AA573A5" w14:textId="77777777" w:rsidR="00F5556B" w:rsidRPr="000C0FE9" w:rsidRDefault="00F5556B" w:rsidP="00F5556B">
            <w:pPr>
              <w:pStyle w:val="TableColumnHeadingLeft"/>
              <w:spacing w:after="60"/>
              <w:rPr>
                <w:rFonts w:ascii="Arial" w:hAnsi="Arial" w:cs="Arial"/>
              </w:rPr>
            </w:pPr>
            <w:r w:rsidRPr="000C0FE9">
              <w:rPr>
                <w:rFonts w:ascii="Arial" w:hAnsi="Arial" w:cs="Arial"/>
              </w:rPr>
              <w:t>Contribution to Outcome 1 made by linked programs</w:t>
            </w:r>
          </w:p>
          <w:p w14:paraId="3D4DD405" w14:textId="4CDFEC0C" w:rsidR="00F5556B" w:rsidRPr="000C0FE9" w:rsidRDefault="00F5556B" w:rsidP="00F5556B">
            <w:pPr>
              <w:pStyle w:val="TableColumnHeadingLeft"/>
              <w:spacing w:after="60"/>
              <w:rPr>
                <w:rFonts w:ascii="Arial" w:hAnsi="Arial" w:cs="Arial"/>
                <w:b w:val="0"/>
                <w:bCs/>
              </w:rPr>
            </w:pPr>
            <w:r w:rsidRPr="000C0FE9">
              <w:rPr>
                <w:rFonts w:ascii="Arial" w:hAnsi="Arial" w:cs="Arial"/>
                <w:b w:val="0"/>
                <w:bCs/>
              </w:rPr>
              <w:t>Austrade provides research and policy support to Tourism Australia’s activities of promoting the export of Australian tourism services. These exports contribute to Australia’s prosperity.</w:t>
            </w:r>
            <w:r w:rsidRPr="000C0FE9">
              <w:rPr>
                <w:rFonts w:ascii="Arial" w:eastAsia="Book Antiqua" w:hAnsi="Arial" w:cs="Arial"/>
                <w:sz w:val="19"/>
              </w:rPr>
              <w:t xml:space="preserve">  </w:t>
            </w:r>
          </w:p>
        </w:tc>
      </w:tr>
    </w:tbl>
    <w:p w14:paraId="2DC7775F" w14:textId="77777777" w:rsidR="00F5556B" w:rsidRPr="00F5556B" w:rsidRDefault="00F5556B" w:rsidP="00F5556B"/>
    <w:p w14:paraId="7A5178AE" w14:textId="77777777" w:rsidR="00FA45B0" w:rsidRPr="00FA45B0" w:rsidRDefault="00FA45B0" w:rsidP="00FA45B0"/>
    <w:p w14:paraId="2419FBE3" w14:textId="7AD3AEBD" w:rsidR="00E7366F" w:rsidRPr="0069545F" w:rsidRDefault="00E7366F" w:rsidP="00E7366F">
      <w:r w:rsidRPr="0069545F">
        <w:br w:type="page"/>
      </w:r>
    </w:p>
    <w:p w14:paraId="13E0FEB2" w14:textId="77777777" w:rsidR="00E7366F" w:rsidRPr="00446612" w:rsidRDefault="00E7366F" w:rsidP="00E7366F">
      <w:pPr>
        <w:pStyle w:val="Heading4"/>
      </w:pPr>
      <w:r w:rsidRPr="00446612">
        <w:lastRenderedPageBreak/>
        <w:t xml:space="preserve">Budgeted expenses for Outcome </w:t>
      </w:r>
      <w:r>
        <w:t>1</w:t>
      </w:r>
    </w:p>
    <w:p w14:paraId="3997BFBB" w14:textId="77777777" w:rsidR="00E7366F" w:rsidRDefault="00E7366F" w:rsidP="00E7366F">
      <w:r w:rsidRPr="00950281">
        <w:t>This table shows how much the entity intends to spend (on an accrual basis) on achieving the outcome, broken down by program, as well as by Administered an</w:t>
      </w:r>
      <w:r>
        <w:t>d Departmental funding sources.</w:t>
      </w:r>
    </w:p>
    <w:p w14:paraId="0DA32897" w14:textId="77777777" w:rsidR="00E7366F" w:rsidRDefault="00E7366F" w:rsidP="00E7366F">
      <w:pPr>
        <w:pStyle w:val="TableHeading"/>
      </w:pPr>
      <w:r w:rsidRPr="006E4DF1">
        <w:t>Table 2.</w:t>
      </w:r>
      <w:r>
        <w:t>1</w:t>
      </w:r>
      <w:r w:rsidRPr="006E4DF1">
        <w:t xml:space="preserve">.1: Budgeted expenses for Outcome </w:t>
      </w:r>
      <w:r>
        <w:t>1</w:t>
      </w:r>
    </w:p>
    <w:p w14:paraId="35E7279D" w14:textId="6F8BCD0E" w:rsidR="00E7366F" w:rsidRPr="00DC1ADC" w:rsidRDefault="00095230" w:rsidP="00E7366F">
      <w:pPr>
        <w:pStyle w:val="TableGraphic"/>
      </w:pPr>
      <w:r w:rsidRPr="00095230">
        <w:rPr>
          <w:noProof/>
        </w:rPr>
        <w:drawing>
          <wp:inline distT="0" distB="0" distL="0" distR="0" wp14:anchorId="41BBB8A1" wp14:editId="1FB14AB5">
            <wp:extent cx="4818380" cy="5295265"/>
            <wp:effectExtent l="0" t="0" r="1270" b="635"/>
            <wp:docPr id="960021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18380" cy="5295265"/>
                    </a:xfrm>
                    <a:prstGeom prst="rect">
                      <a:avLst/>
                    </a:prstGeom>
                    <a:noFill/>
                    <a:ln>
                      <a:noFill/>
                    </a:ln>
                  </pic:spPr>
                </pic:pic>
              </a:graphicData>
            </a:graphic>
          </wp:inline>
        </w:drawing>
      </w:r>
    </w:p>
    <w:p w14:paraId="0EFAF6C2" w14:textId="77777777" w:rsidR="008F61A7" w:rsidRPr="00B325CF" w:rsidRDefault="008F61A7" w:rsidP="008F61A7">
      <w:pPr>
        <w:spacing w:before="0" w:after="0" w:line="240" w:lineRule="auto"/>
        <w:rPr>
          <w:rFonts w:ascii="Arial" w:hAnsi="Arial" w:cs="Arial"/>
          <w:sz w:val="16"/>
          <w:szCs w:val="16"/>
        </w:rPr>
      </w:pPr>
      <w:r w:rsidRPr="00B325CF">
        <w:rPr>
          <w:rFonts w:ascii="Arial" w:hAnsi="Arial" w:cs="Arial"/>
          <w:sz w:val="16"/>
          <w:szCs w:val="16"/>
        </w:rPr>
        <w:t xml:space="preserve">Table </w:t>
      </w:r>
      <w:proofErr w:type="gramStart"/>
      <w:r w:rsidRPr="00B325CF">
        <w:rPr>
          <w:rFonts w:ascii="Arial" w:hAnsi="Arial" w:cs="Arial"/>
          <w:sz w:val="16"/>
          <w:szCs w:val="16"/>
        </w:rPr>
        <w:t>continued on</w:t>
      </w:r>
      <w:proofErr w:type="gramEnd"/>
      <w:r w:rsidRPr="00B325CF">
        <w:rPr>
          <w:rFonts w:ascii="Arial" w:hAnsi="Arial" w:cs="Arial"/>
          <w:sz w:val="16"/>
          <w:szCs w:val="16"/>
        </w:rPr>
        <w:t xml:space="preserve"> the next page.</w:t>
      </w:r>
    </w:p>
    <w:p w14:paraId="7ABC7032" w14:textId="77777777" w:rsidR="008F61A7" w:rsidRDefault="008F61A7" w:rsidP="00E7366F">
      <w:pPr>
        <w:spacing w:before="0" w:after="0" w:line="240" w:lineRule="auto"/>
      </w:pPr>
    </w:p>
    <w:p w14:paraId="7FE785A7" w14:textId="3C328F9E" w:rsidR="00E7366F" w:rsidRDefault="00E7366F" w:rsidP="00E7366F">
      <w:pPr>
        <w:spacing w:before="0" w:after="0" w:line="240" w:lineRule="auto"/>
      </w:pPr>
      <w:r>
        <w:br w:type="page"/>
      </w:r>
    </w:p>
    <w:p w14:paraId="3C1BFC64" w14:textId="77777777" w:rsidR="00E7366F" w:rsidRPr="000F4FFC" w:rsidRDefault="00E7366F" w:rsidP="00E7366F">
      <w:pPr>
        <w:pStyle w:val="TableHeadingcontinued"/>
      </w:pPr>
      <w:r w:rsidRPr="00AD42E2">
        <w:lastRenderedPageBreak/>
        <w:t>Table 2.</w:t>
      </w:r>
      <w:r>
        <w:t>1</w:t>
      </w:r>
      <w:r w:rsidRPr="00AD42E2">
        <w:t xml:space="preserve">.1: Budgeted expenses for Outcome </w:t>
      </w:r>
      <w:r>
        <w:t>1 (continued)</w:t>
      </w:r>
    </w:p>
    <w:p w14:paraId="18AE4B9E" w14:textId="20DD71BF" w:rsidR="00E7366F" w:rsidRDefault="00F86160" w:rsidP="00E7366F">
      <w:pPr>
        <w:pStyle w:val="TableGraphic"/>
      </w:pPr>
      <w:r w:rsidRPr="00F86160">
        <w:rPr>
          <w:noProof/>
        </w:rPr>
        <w:drawing>
          <wp:inline distT="0" distB="0" distL="0" distR="0" wp14:anchorId="2E83C276" wp14:editId="01EDF505">
            <wp:extent cx="4820920" cy="1492250"/>
            <wp:effectExtent l="0" t="0" r="0" b="0"/>
            <wp:docPr id="133861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20920" cy="1492250"/>
                    </a:xfrm>
                    <a:prstGeom prst="rect">
                      <a:avLst/>
                    </a:prstGeom>
                    <a:noFill/>
                    <a:ln>
                      <a:noFill/>
                    </a:ln>
                  </pic:spPr>
                </pic:pic>
              </a:graphicData>
            </a:graphic>
          </wp:inline>
        </w:drawing>
      </w:r>
    </w:p>
    <w:p w14:paraId="6183DE8B" w14:textId="314CD4BA" w:rsidR="00E7366F" w:rsidRPr="00446EE2" w:rsidRDefault="008F61A7" w:rsidP="00CA1C07">
      <w:pPr>
        <w:pStyle w:val="ChartandTableFootnoteAlpha"/>
        <w:numPr>
          <w:ilvl w:val="0"/>
          <w:numId w:val="58"/>
        </w:numPr>
      </w:pPr>
      <w:r w:rsidRPr="008F61A7">
        <w:t>Estimated expenses incurred in relation to receipts retained under section 74 of the PGPA Act</w:t>
      </w:r>
      <w:r w:rsidR="00E7366F" w:rsidRPr="00446EE2">
        <w:t>.</w:t>
      </w:r>
    </w:p>
    <w:p w14:paraId="1AFD7169" w14:textId="24D8A245" w:rsidR="00E7366F" w:rsidRDefault="008F61A7" w:rsidP="005F2FDC">
      <w:pPr>
        <w:pStyle w:val="ChartandTableFootnoteAlpha"/>
        <w:numPr>
          <w:ilvl w:val="0"/>
          <w:numId w:val="13"/>
        </w:numPr>
      </w:pPr>
      <w:r w:rsidRPr="008F61A7">
        <w:t>Expenses not requiring appropriation in the Budget year are made up of depreciation expenses, amortisation expenses, make good expenses, audit fees</w:t>
      </w:r>
      <w:r w:rsidR="00E7366F" w:rsidRPr="007379EF">
        <w:t>.</w:t>
      </w:r>
    </w:p>
    <w:p w14:paraId="07F486BD" w14:textId="77777777" w:rsidR="00E7366F" w:rsidRPr="00446EE2" w:rsidRDefault="00E7366F" w:rsidP="005F2FDC">
      <w:pPr>
        <w:pStyle w:val="ChartandTableFootnoteAlpha"/>
        <w:numPr>
          <w:ilvl w:val="0"/>
          <w:numId w:val="13"/>
        </w:numPr>
      </w:pPr>
      <w:r w:rsidRPr="00446EE2">
        <w:t>Figures displayed as a negative (</w:t>
      </w:r>
      <w:r>
        <w:noBreakHyphen/>
      </w:r>
      <w:r w:rsidRPr="00446EE2">
        <w:t>) represent a decrease in funds and a positive (+) represent an increase in funds.</w:t>
      </w:r>
    </w:p>
    <w:p w14:paraId="4AE1BFF9" w14:textId="77777777" w:rsidR="00E7366F" w:rsidRPr="00446612" w:rsidRDefault="00E7366F" w:rsidP="00E7366F">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518E9FF4" w14:textId="77777777" w:rsidR="00E7366F" w:rsidRDefault="00E7366F" w:rsidP="00E7366F">
      <w:pPr>
        <w:spacing w:before="0" w:after="0" w:line="240" w:lineRule="auto"/>
        <w:rPr>
          <w:highlight w:val="green"/>
        </w:rPr>
      </w:pPr>
      <w:r>
        <w:rPr>
          <w:highlight w:val="green"/>
        </w:rPr>
        <w:br w:type="page"/>
      </w:r>
    </w:p>
    <w:p w14:paraId="086EF32E" w14:textId="7DAB3344" w:rsidR="00283EC4" w:rsidRPr="00283EC4" w:rsidRDefault="00E7366F" w:rsidP="00E7366F">
      <w:pPr>
        <w:spacing w:after="0"/>
        <w:rPr>
          <w:rFonts w:ascii="Arial" w:hAnsi="Arial"/>
          <w:b/>
        </w:rPr>
      </w:pPr>
      <w:r w:rsidRPr="00B166C6">
        <w:rPr>
          <w:rStyle w:val="TableHeadingChar"/>
        </w:rPr>
        <w:lastRenderedPageBreak/>
        <w:t>Table 2.</w:t>
      </w:r>
      <w:r>
        <w:rPr>
          <w:rStyle w:val="TableHeadingChar"/>
        </w:rPr>
        <w:t>1</w:t>
      </w:r>
      <w:r w:rsidRPr="00B166C6">
        <w:rPr>
          <w:rStyle w:val="TableHeadingChar"/>
        </w:rPr>
        <w:t xml:space="preserve">.2: Program components of Outcome </w:t>
      </w:r>
      <w:r>
        <w:rPr>
          <w:rStyle w:val="TableHeadingChar"/>
        </w:rPr>
        <w:t>1</w:t>
      </w:r>
    </w:p>
    <w:p w14:paraId="1860C641" w14:textId="3752C7E6" w:rsidR="00FA45B0" w:rsidRPr="00FA45B0" w:rsidRDefault="00283EC4" w:rsidP="00283EC4">
      <w:pPr>
        <w:pStyle w:val="TableGraphic"/>
      </w:pPr>
      <w:r w:rsidRPr="00283EC4">
        <w:rPr>
          <w:noProof/>
        </w:rPr>
        <w:drawing>
          <wp:inline distT="0" distB="0" distL="0" distR="0" wp14:anchorId="27FBB998" wp14:editId="0C7D2074">
            <wp:extent cx="4820920" cy="4293870"/>
            <wp:effectExtent l="0" t="0" r="0" b="0"/>
            <wp:docPr id="11969681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20920" cy="4293870"/>
                    </a:xfrm>
                    <a:prstGeom prst="rect">
                      <a:avLst/>
                    </a:prstGeom>
                    <a:noFill/>
                    <a:ln>
                      <a:noFill/>
                    </a:ln>
                  </pic:spPr>
                </pic:pic>
              </a:graphicData>
            </a:graphic>
          </wp:inline>
        </w:drawing>
      </w:r>
    </w:p>
    <w:p w14:paraId="7FF8A55D" w14:textId="77777777" w:rsidR="00E7366F" w:rsidRDefault="00E7366F" w:rsidP="00E7366F">
      <w:pPr>
        <w:spacing w:before="0" w:after="0" w:line="240" w:lineRule="auto"/>
        <w:rPr>
          <w:highlight w:val="green"/>
        </w:rPr>
      </w:pPr>
      <w:r>
        <w:rPr>
          <w:highlight w:val="green"/>
        </w:rPr>
        <w:br w:type="page"/>
      </w:r>
    </w:p>
    <w:p w14:paraId="00ECCCE9" w14:textId="77777777" w:rsidR="00E7366F" w:rsidRPr="00F71634" w:rsidRDefault="00E7366F" w:rsidP="00E7366F">
      <w:pPr>
        <w:pStyle w:val="Heading4"/>
      </w:pPr>
      <w:r w:rsidRPr="00250122">
        <w:lastRenderedPageBreak/>
        <w:t>Performance</w:t>
      </w:r>
      <w:r w:rsidRPr="00F71634">
        <w:t xml:space="preserve"> </w:t>
      </w:r>
      <w:r>
        <w:t>measures</w:t>
      </w:r>
      <w:r w:rsidRPr="00F71634">
        <w:t xml:space="preserve"> for Outcome </w:t>
      </w:r>
      <w:r>
        <w:t>1</w:t>
      </w:r>
    </w:p>
    <w:p w14:paraId="177DBE52" w14:textId="77777777" w:rsidR="00E7366F" w:rsidRDefault="00E7366F" w:rsidP="00E7366F">
      <w:r w:rsidRPr="005D4B9C">
        <w:t>Table 2.</w:t>
      </w:r>
      <w:r>
        <w:t>1</w:t>
      </w:r>
      <w:r w:rsidRPr="005D4B9C">
        <w:t xml:space="preserve">.3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4DFB01B1" w14:textId="76140A6F" w:rsidR="00E7366F" w:rsidRDefault="00E7366F" w:rsidP="00E7366F">
      <w:pPr>
        <w:pStyle w:val="TableHeading"/>
      </w:pPr>
      <w:r w:rsidRPr="00E6464E">
        <w:t>Table 2.</w:t>
      </w:r>
      <w:r w:rsidR="009E4F11">
        <w:t>1</w:t>
      </w:r>
      <w:r w:rsidRPr="00E6464E">
        <w:t xml:space="preserve">.3: Performance measures for Outcome </w:t>
      </w:r>
      <w:r w:rsidR="009E4F11">
        <w:t>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B20411" w:rsidRPr="00B20411" w14:paraId="1B01DDC0" w14:textId="77777777" w:rsidTr="00D371A5">
        <w:trPr>
          <w:cantSplit/>
          <w:trHeight w:val="261"/>
          <w:tblHeader/>
        </w:trPr>
        <w:tc>
          <w:tcPr>
            <w:tcW w:w="7700" w:type="dxa"/>
            <w:gridSpan w:val="3"/>
            <w:shd w:val="clear" w:color="auto" w:fill="F2F2F2"/>
          </w:tcPr>
          <w:p w14:paraId="317CC798" w14:textId="5336080D" w:rsidR="00E7366F" w:rsidRPr="00B20411" w:rsidRDefault="00D371A5" w:rsidP="00FF7B23">
            <w:pPr>
              <w:pStyle w:val="TableColumnHeadingLeft"/>
              <w:rPr>
                <w:rFonts w:ascii="Arial" w:hAnsi="Arial" w:cs="Arial"/>
                <w:bCs/>
              </w:rPr>
            </w:pPr>
            <w:r w:rsidRPr="00B20411">
              <w:rPr>
                <w:rFonts w:ascii="Arial" w:eastAsia="Arial" w:hAnsi="Arial" w:cs="Arial"/>
              </w:rPr>
              <w:t>Outcome 1 – To contribute to Australia’s economic prosperity by supporting Australian exporters to expand internationally, attracting productive international investment, and growing the visitor economy.</w:t>
            </w:r>
          </w:p>
        </w:tc>
      </w:tr>
      <w:tr w:rsidR="00B20411" w:rsidRPr="00B20411" w14:paraId="2C0FB92B" w14:textId="77777777" w:rsidTr="00D371A5">
        <w:trPr>
          <w:cantSplit/>
          <w:trHeight w:val="489"/>
          <w:tblHeader/>
        </w:trPr>
        <w:tc>
          <w:tcPr>
            <w:tcW w:w="7700" w:type="dxa"/>
            <w:gridSpan w:val="3"/>
            <w:shd w:val="clear" w:color="auto" w:fill="F2F2F2"/>
          </w:tcPr>
          <w:p w14:paraId="1945F68A" w14:textId="71E9B2AD" w:rsidR="00E7366F" w:rsidRPr="00B20411" w:rsidRDefault="00D371A5" w:rsidP="00FF7B23">
            <w:pPr>
              <w:pStyle w:val="TableTextLeft"/>
              <w:rPr>
                <w:rFonts w:cs="Arial"/>
              </w:rPr>
            </w:pPr>
            <w:r w:rsidRPr="00B20411">
              <w:rPr>
                <w:rFonts w:eastAsia="Arial" w:cs="Arial"/>
                <w:b/>
              </w:rPr>
              <w:t>Program 1.1 – Supporting Australian exporters to expand internationally, attracting productive international investment, and growing the visitor economy</w:t>
            </w:r>
          </w:p>
        </w:tc>
      </w:tr>
      <w:tr w:rsidR="00B20411" w:rsidRPr="00B20411" w14:paraId="221EE849" w14:textId="77777777" w:rsidTr="00D371A5">
        <w:trPr>
          <w:cantSplit/>
          <w:trHeight w:val="261"/>
        </w:trPr>
        <w:tc>
          <w:tcPr>
            <w:tcW w:w="1546" w:type="dxa"/>
            <w:tcBorders>
              <w:bottom w:val="double" w:sz="4" w:space="0" w:color="auto"/>
            </w:tcBorders>
          </w:tcPr>
          <w:p w14:paraId="723F6077" w14:textId="6CF6CDAF" w:rsidR="00E7366F" w:rsidRPr="00B20411" w:rsidRDefault="00E7366F" w:rsidP="00FF7B23">
            <w:pPr>
              <w:pStyle w:val="TableColumnHeadingLeft"/>
              <w:rPr>
                <w:rFonts w:ascii="Arial" w:hAnsi="Arial" w:cs="Arial"/>
              </w:rPr>
            </w:pPr>
            <w:r w:rsidRPr="00B20411">
              <w:rPr>
                <w:rFonts w:ascii="Arial" w:hAnsi="Arial" w:cs="Arial"/>
              </w:rPr>
              <w:t xml:space="preserve">Key activities </w:t>
            </w:r>
          </w:p>
        </w:tc>
        <w:tc>
          <w:tcPr>
            <w:tcW w:w="6154" w:type="dxa"/>
            <w:gridSpan w:val="2"/>
            <w:tcBorders>
              <w:bottom w:val="double" w:sz="4" w:space="0" w:color="auto"/>
            </w:tcBorders>
          </w:tcPr>
          <w:p w14:paraId="1927D282" w14:textId="77777777" w:rsidR="00D371A5" w:rsidRPr="00B20411" w:rsidRDefault="00D371A5" w:rsidP="00D371A5">
            <w:pPr>
              <w:spacing w:before="60" w:after="60"/>
              <w:ind w:left="2"/>
              <w:rPr>
                <w:rFonts w:ascii="Arial" w:eastAsia="Arial" w:hAnsi="Arial" w:cs="Arial"/>
                <w:sz w:val="16"/>
              </w:rPr>
            </w:pPr>
            <w:r w:rsidRPr="00B20411">
              <w:rPr>
                <w:rFonts w:ascii="Arial" w:eastAsia="Arial" w:hAnsi="Arial" w:cs="Arial"/>
                <w:sz w:val="16"/>
              </w:rPr>
              <w:t xml:space="preserve">Austrade: </w:t>
            </w:r>
          </w:p>
          <w:p w14:paraId="61EE7703" w14:textId="77777777" w:rsidR="00950D1F" w:rsidRPr="00950D1F" w:rsidRDefault="00950D1F" w:rsidP="00950D1F">
            <w:pPr>
              <w:pStyle w:val="ListParagraph"/>
              <w:numPr>
                <w:ilvl w:val="0"/>
                <w:numId w:val="55"/>
              </w:numPr>
              <w:spacing w:before="0" w:after="120" w:line="240" w:lineRule="auto"/>
              <w:ind w:left="714" w:hanging="357"/>
              <w:contextualSpacing w:val="0"/>
              <w:rPr>
                <w:rFonts w:ascii="Arial" w:eastAsia="Arial" w:hAnsi="Arial" w:cs="Arial"/>
                <w:sz w:val="16"/>
                <w:szCs w:val="16"/>
              </w:rPr>
            </w:pPr>
            <w:r w:rsidRPr="00950D1F">
              <w:rPr>
                <w:rFonts w:ascii="Arial" w:eastAsia="Arial" w:hAnsi="Arial" w:cs="Arial"/>
                <w:sz w:val="16"/>
                <w:szCs w:val="16"/>
              </w:rPr>
              <w:t xml:space="preserve">supports Australian businesses to establish, expand and diversify international markets through trade advice, connections, and </w:t>
            </w:r>
            <w:proofErr w:type="gramStart"/>
            <w:r w:rsidRPr="00950D1F">
              <w:rPr>
                <w:rFonts w:ascii="Arial" w:eastAsia="Arial" w:hAnsi="Arial" w:cs="Arial"/>
                <w:sz w:val="16"/>
                <w:szCs w:val="16"/>
              </w:rPr>
              <w:t>support;</w:t>
            </w:r>
            <w:proofErr w:type="gramEnd"/>
            <w:r w:rsidRPr="00950D1F">
              <w:rPr>
                <w:rFonts w:ascii="Arial" w:eastAsia="Arial" w:hAnsi="Arial" w:cs="Arial"/>
                <w:sz w:val="16"/>
                <w:szCs w:val="16"/>
              </w:rPr>
              <w:t xml:space="preserve"> </w:t>
            </w:r>
          </w:p>
          <w:p w14:paraId="1458921F" w14:textId="77777777" w:rsidR="00950D1F" w:rsidRPr="00950D1F" w:rsidRDefault="00950D1F" w:rsidP="00950D1F">
            <w:pPr>
              <w:pStyle w:val="ListParagraph"/>
              <w:numPr>
                <w:ilvl w:val="0"/>
                <w:numId w:val="55"/>
              </w:numPr>
              <w:spacing w:before="0" w:after="120" w:line="240" w:lineRule="auto"/>
              <w:ind w:left="714" w:hanging="357"/>
              <w:contextualSpacing w:val="0"/>
              <w:rPr>
                <w:rFonts w:ascii="Arial" w:eastAsia="Arial" w:hAnsi="Arial" w:cs="Arial"/>
                <w:sz w:val="16"/>
                <w:szCs w:val="16"/>
              </w:rPr>
            </w:pPr>
            <w:r w:rsidRPr="00950D1F">
              <w:rPr>
                <w:rFonts w:ascii="Arial" w:eastAsia="Arial" w:hAnsi="Arial" w:cs="Arial"/>
                <w:sz w:val="16"/>
                <w:szCs w:val="16"/>
              </w:rPr>
              <w:t xml:space="preserve">proactively targets and attracts inwards foreign investment and outward investment, including via the Southeast Asia Investment Deal </w:t>
            </w:r>
            <w:proofErr w:type="gramStart"/>
            <w:r w:rsidRPr="00950D1F">
              <w:rPr>
                <w:rFonts w:ascii="Arial" w:eastAsia="Arial" w:hAnsi="Arial" w:cs="Arial"/>
                <w:sz w:val="16"/>
                <w:szCs w:val="16"/>
              </w:rPr>
              <w:t>Teams;</w:t>
            </w:r>
            <w:proofErr w:type="gramEnd"/>
            <w:r w:rsidRPr="00950D1F">
              <w:rPr>
                <w:rFonts w:ascii="Arial" w:eastAsia="Arial" w:hAnsi="Arial" w:cs="Arial"/>
                <w:sz w:val="16"/>
                <w:szCs w:val="16"/>
              </w:rPr>
              <w:t xml:space="preserve">  </w:t>
            </w:r>
          </w:p>
          <w:p w14:paraId="24EA758C" w14:textId="77777777" w:rsidR="00950D1F" w:rsidRPr="00950D1F" w:rsidRDefault="00950D1F" w:rsidP="00950D1F">
            <w:pPr>
              <w:pStyle w:val="ListParagraph"/>
              <w:numPr>
                <w:ilvl w:val="0"/>
                <w:numId w:val="55"/>
              </w:numPr>
              <w:spacing w:before="0" w:after="120" w:line="240" w:lineRule="auto"/>
              <w:ind w:left="714" w:hanging="357"/>
              <w:contextualSpacing w:val="0"/>
              <w:rPr>
                <w:rFonts w:ascii="Arial" w:eastAsia="Arial" w:hAnsi="Arial" w:cs="Arial"/>
                <w:sz w:val="16"/>
                <w:szCs w:val="16"/>
              </w:rPr>
            </w:pPr>
            <w:r w:rsidRPr="00950D1F">
              <w:rPr>
                <w:rFonts w:ascii="Arial" w:eastAsia="Arial" w:hAnsi="Arial" w:cs="Arial"/>
                <w:sz w:val="16"/>
                <w:szCs w:val="16"/>
              </w:rPr>
              <w:t xml:space="preserve">contributes to, and informs, the strategic direction of Australia’s trade and investment, including through supporting the building of national capability, partnering with industry and sharing market </w:t>
            </w:r>
            <w:proofErr w:type="gramStart"/>
            <w:r w:rsidRPr="00950D1F">
              <w:rPr>
                <w:rFonts w:ascii="Arial" w:eastAsia="Arial" w:hAnsi="Arial" w:cs="Arial"/>
                <w:sz w:val="16"/>
                <w:szCs w:val="16"/>
              </w:rPr>
              <w:t>insights;</w:t>
            </w:r>
            <w:proofErr w:type="gramEnd"/>
          </w:p>
          <w:p w14:paraId="51AC3DDF" w14:textId="77777777" w:rsidR="00950D1F" w:rsidRPr="00950D1F" w:rsidRDefault="00950D1F" w:rsidP="00950D1F">
            <w:pPr>
              <w:pStyle w:val="ListParagraph"/>
              <w:numPr>
                <w:ilvl w:val="0"/>
                <w:numId w:val="55"/>
              </w:numPr>
              <w:spacing w:before="0" w:after="120" w:line="240" w:lineRule="auto"/>
              <w:ind w:left="714" w:hanging="357"/>
              <w:contextualSpacing w:val="0"/>
              <w:rPr>
                <w:rFonts w:ascii="Arial" w:eastAsia="Arial" w:hAnsi="Arial" w:cs="Arial"/>
                <w:sz w:val="16"/>
                <w:szCs w:val="16"/>
              </w:rPr>
            </w:pPr>
            <w:r w:rsidRPr="00950D1F">
              <w:rPr>
                <w:rFonts w:ascii="Arial" w:eastAsia="Arial" w:hAnsi="Arial" w:cs="Arial"/>
                <w:sz w:val="16"/>
                <w:szCs w:val="16"/>
              </w:rPr>
              <w:t xml:space="preserve">conducts global marketing and promotion to create awareness of Australia’s nation brand, generate demand for Australian products and support conversion of leads for trade and investment; and </w:t>
            </w:r>
          </w:p>
          <w:p w14:paraId="046497C4" w14:textId="3A0EC4A8" w:rsidR="00E7366F" w:rsidRPr="00950D1F" w:rsidRDefault="00950D1F" w:rsidP="00950D1F">
            <w:pPr>
              <w:pStyle w:val="ListParagraph"/>
              <w:numPr>
                <w:ilvl w:val="0"/>
                <w:numId w:val="55"/>
              </w:numPr>
              <w:spacing w:before="60" w:after="60" w:line="240" w:lineRule="auto"/>
              <w:contextualSpacing w:val="0"/>
              <w:rPr>
                <w:rFonts w:ascii="Arial" w:eastAsia="Arial" w:hAnsi="Arial" w:cs="Arial"/>
                <w:sz w:val="16"/>
                <w:szCs w:val="16"/>
              </w:rPr>
            </w:pPr>
            <w:r w:rsidRPr="00950D1F">
              <w:rPr>
                <w:rFonts w:ascii="Arial" w:eastAsia="Arial" w:hAnsi="Arial" w:cs="Arial"/>
                <w:sz w:val="16"/>
                <w:szCs w:val="16"/>
              </w:rPr>
              <w:t>leads national visitor economy policy development and implementation, supported by the publication of official tourism statistics through Tourism Research Australia.</w:t>
            </w:r>
          </w:p>
        </w:tc>
      </w:tr>
      <w:tr w:rsidR="00B20411" w:rsidRPr="00B20411" w14:paraId="6CB8C92F" w14:textId="77777777" w:rsidTr="00D371A5">
        <w:trPr>
          <w:cantSplit/>
          <w:trHeight w:val="258"/>
        </w:trPr>
        <w:tc>
          <w:tcPr>
            <w:tcW w:w="1546" w:type="dxa"/>
            <w:tcBorders>
              <w:top w:val="double" w:sz="4" w:space="0" w:color="auto"/>
              <w:bottom w:val="single" w:sz="4" w:space="0" w:color="auto"/>
              <w:right w:val="single" w:sz="4" w:space="0" w:color="auto"/>
            </w:tcBorders>
          </w:tcPr>
          <w:p w14:paraId="16C20732" w14:textId="77777777" w:rsidR="00E7366F" w:rsidRPr="00B20411" w:rsidRDefault="00E7366F" w:rsidP="00FF7B23">
            <w:pPr>
              <w:pStyle w:val="TableColumnHeadingLeft"/>
              <w:rPr>
                <w:rFonts w:ascii="Arial" w:hAnsi="Arial" w:cs="Arial"/>
              </w:rPr>
            </w:pPr>
            <w:r w:rsidRPr="00B20411">
              <w:rPr>
                <w:rFonts w:ascii="Arial" w:hAnsi="Arial" w:cs="Arial"/>
              </w:rPr>
              <w:t>Year</w:t>
            </w:r>
          </w:p>
        </w:tc>
        <w:tc>
          <w:tcPr>
            <w:tcW w:w="3077" w:type="dxa"/>
            <w:tcBorders>
              <w:top w:val="double" w:sz="4" w:space="0" w:color="auto"/>
              <w:left w:val="single" w:sz="4" w:space="0" w:color="auto"/>
              <w:bottom w:val="single" w:sz="4" w:space="0" w:color="auto"/>
              <w:right w:val="single" w:sz="4" w:space="0" w:color="auto"/>
            </w:tcBorders>
          </w:tcPr>
          <w:p w14:paraId="2C9AD85D" w14:textId="5553F734" w:rsidR="00E7366F" w:rsidRPr="00B20411" w:rsidRDefault="00E7366F" w:rsidP="00FF7B23">
            <w:pPr>
              <w:pStyle w:val="TableColumnHeadingLeft"/>
              <w:rPr>
                <w:rFonts w:ascii="Arial" w:hAnsi="Arial" w:cs="Arial"/>
              </w:rPr>
            </w:pPr>
            <w:r w:rsidRPr="00B20411">
              <w:rPr>
                <w:rFonts w:ascii="Arial" w:hAnsi="Arial" w:cs="Arial"/>
              </w:rPr>
              <w:t>Performance measures</w:t>
            </w:r>
          </w:p>
        </w:tc>
        <w:tc>
          <w:tcPr>
            <w:tcW w:w="3077" w:type="dxa"/>
            <w:tcBorders>
              <w:top w:val="double" w:sz="4" w:space="0" w:color="auto"/>
              <w:left w:val="single" w:sz="4" w:space="0" w:color="auto"/>
              <w:bottom w:val="single" w:sz="4" w:space="0" w:color="auto"/>
            </w:tcBorders>
          </w:tcPr>
          <w:p w14:paraId="4B6B4166" w14:textId="77777777" w:rsidR="00E7366F" w:rsidRPr="00B20411" w:rsidRDefault="00E7366F" w:rsidP="00FF7B23">
            <w:pPr>
              <w:pStyle w:val="TableColumnHeadingLeft"/>
              <w:rPr>
                <w:rFonts w:ascii="Arial" w:hAnsi="Arial" w:cs="Arial"/>
              </w:rPr>
            </w:pPr>
            <w:r w:rsidRPr="00B20411">
              <w:rPr>
                <w:rFonts w:ascii="Arial" w:hAnsi="Arial" w:cs="Arial"/>
              </w:rPr>
              <w:t>Expected performance results</w:t>
            </w:r>
          </w:p>
        </w:tc>
      </w:tr>
      <w:tr w:rsidR="00B20411" w:rsidRPr="00B20411" w14:paraId="1271644B" w14:textId="77777777" w:rsidTr="00D371A5">
        <w:trPr>
          <w:cantSplit/>
          <w:trHeight w:val="642"/>
        </w:trPr>
        <w:tc>
          <w:tcPr>
            <w:tcW w:w="1546" w:type="dxa"/>
            <w:tcBorders>
              <w:top w:val="single" w:sz="4" w:space="0" w:color="auto"/>
              <w:bottom w:val="dotted" w:sz="4" w:space="0" w:color="auto"/>
              <w:right w:val="single" w:sz="4" w:space="0" w:color="auto"/>
            </w:tcBorders>
          </w:tcPr>
          <w:p w14:paraId="080AF5D5" w14:textId="77777777" w:rsidR="00D371A5" w:rsidRPr="00B20411" w:rsidRDefault="00D371A5" w:rsidP="00D371A5">
            <w:pPr>
              <w:pStyle w:val="TableTextLeft"/>
              <w:rPr>
                <w:rFonts w:cs="Arial"/>
              </w:rPr>
            </w:pPr>
            <w:r w:rsidRPr="00B20411">
              <w:rPr>
                <w:rFonts w:cs="Arial"/>
              </w:rPr>
              <w:t xml:space="preserve">Current Year </w:t>
            </w:r>
          </w:p>
          <w:p w14:paraId="27859345" w14:textId="77777777" w:rsidR="00D371A5" w:rsidRPr="00B20411" w:rsidRDefault="00D371A5" w:rsidP="00D371A5">
            <w:pPr>
              <w:pStyle w:val="TableTextLeft"/>
              <w:rPr>
                <w:rFonts w:cs="Arial"/>
              </w:rPr>
            </w:pPr>
            <w:r w:rsidRPr="00B20411">
              <w:rPr>
                <w:rFonts w:cs="Arial"/>
              </w:rPr>
              <w:t>2025–26</w:t>
            </w:r>
          </w:p>
        </w:tc>
        <w:tc>
          <w:tcPr>
            <w:tcW w:w="3077" w:type="dxa"/>
            <w:tcBorders>
              <w:top w:val="single" w:sz="4" w:space="0" w:color="auto"/>
              <w:left w:val="single" w:sz="4" w:space="0" w:color="auto"/>
              <w:bottom w:val="dotted" w:sz="4" w:space="0" w:color="auto"/>
              <w:right w:val="single" w:sz="4" w:space="0" w:color="auto"/>
            </w:tcBorders>
          </w:tcPr>
          <w:p w14:paraId="5C18D0D0" w14:textId="40E4219A" w:rsidR="00D371A5" w:rsidRPr="00B20411" w:rsidRDefault="00D371A5" w:rsidP="00D371A5">
            <w:pPr>
              <w:pStyle w:val="TableTextLeft"/>
              <w:rPr>
                <w:rFonts w:cs="Arial"/>
              </w:rPr>
            </w:pPr>
            <w:r w:rsidRPr="00B20411">
              <w:rPr>
                <w:rFonts w:eastAsia="Arial" w:cs="Arial"/>
              </w:rPr>
              <w:t xml:space="preserve">High level of satisfaction for Austrade’s clients with Austrade’s services. </w:t>
            </w:r>
          </w:p>
        </w:tc>
        <w:tc>
          <w:tcPr>
            <w:tcW w:w="3077" w:type="dxa"/>
            <w:tcBorders>
              <w:top w:val="single" w:sz="4" w:space="0" w:color="auto"/>
              <w:left w:val="single" w:sz="4" w:space="0" w:color="auto"/>
              <w:bottom w:val="dotted" w:sz="4" w:space="0" w:color="auto"/>
            </w:tcBorders>
          </w:tcPr>
          <w:p w14:paraId="64EA7AAE" w14:textId="4C5F417E" w:rsidR="00D371A5" w:rsidRPr="00B20411" w:rsidRDefault="00D371A5" w:rsidP="00D371A5">
            <w:pPr>
              <w:pStyle w:val="TableTextLeft"/>
              <w:rPr>
                <w:rFonts w:cs="Arial"/>
              </w:rPr>
            </w:pPr>
            <w:r w:rsidRPr="00B20411">
              <w:rPr>
                <w:rFonts w:eastAsia="Arial" w:cs="Arial"/>
              </w:rPr>
              <w:t xml:space="preserve">At least 85 per cent. </w:t>
            </w:r>
          </w:p>
        </w:tc>
      </w:tr>
      <w:tr w:rsidR="00B20411" w:rsidRPr="00B20411" w14:paraId="3D8921B4" w14:textId="77777777" w:rsidTr="00D371A5">
        <w:trPr>
          <w:cantSplit/>
          <w:trHeight w:val="100"/>
        </w:trPr>
        <w:tc>
          <w:tcPr>
            <w:tcW w:w="1546" w:type="dxa"/>
            <w:tcBorders>
              <w:top w:val="single" w:sz="4" w:space="0" w:color="auto"/>
              <w:bottom w:val="dotted" w:sz="4" w:space="0" w:color="auto"/>
              <w:right w:val="single" w:sz="4" w:space="0" w:color="auto"/>
            </w:tcBorders>
          </w:tcPr>
          <w:p w14:paraId="2321471F" w14:textId="77777777" w:rsidR="00E7366F" w:rsidRPr="00B20411" w:rsidRDefault="00E7366F" w:rsidP="00FF7B23">
            <w:pPr>
              <w:pStyle w:val="TableColumnHeadingLeft"/>
              <w:rPr>
                <w:rFonts w:ascii="Arial" w:hAnsi="Arial" w:cs="Arial"/>
              </w:rPr>
            </w:pPr>
            <w:r w:rsidRPr="00B20411">
              <w:rPr>
                <w:rFonts w:ascii="Arial" w:hAnsi="Arial" w:cs="Arial"/>
              </w:rPr>
              <w:t>Year</w:t>
            </w:r>
          </w:p>
        </w:tc>
        <w:tc>
          <w:tcPr>
            <w:tcW w:w="3077" w:type="dxa"/>
            <w:tcBorders>
              <w:top w:val="single" w:sz="4" w:space="0" w:color="auto"/>
              <w:left w:val="single" w:sz="4" w:space="0" w:color="auto"/>
              <w:bottom w:val="dotted" w:sz="4" w:space="0" w:color="auto"/>
              <w:right w:val="single" w:sz="4" w:space="0" w:color="auto"/>
            </w:tcBorders>
          </w:tcPr>
          <w:p w14:paraId="4EB23ABD" w14:textId="46BEF054" w:rsidR="00E7366F" w:rsidRPr="00B20411" w:rsidRDefault="00E7366F" w:rsidP="00FF7B23">
            <w:pPr>
              <w:pStyle w:val="TableColumnHeadingLeft"/>
              <w:rPr>
                <w:rFonts w:ascii="Arial" w:hAnsi="Arial" w:cs="Arial"/>
              </w:rPr>
            </w:pPr>
            <w:r w:rsidRPr="00B20411">
              <w:rPr>
                <w:rFonts w:ascii="Arial" w:hAnsi="Arial" w:cs="Arial"/>
              </w:rPr>
              <w:t>Performance measures</w:t>
            </w:r>
          </w:p>
        </w:tc>
        <w:tc>
          <w:tcPr>
            <w:tcW w:w="3077" w:type="dxa"/>
            <w:tcBorders>
              <w:top w:val="single" w:sz="4" w:space="0" w:color="auto"/>
              <w:left w:val="single" w:sz="4" w:space="0" w:color="auto"/>
              <w:bottom w:val="dotted" w:sz="4" w:space="0" w:color="auto"/>
            </w:tcBorders>
          </w:tcPr>
          <w:p w14:paraId="268453A1" w14:textId="756CE2C2" w:rsidR="00E7366F" w:rsidRPr="00B20411" w:rsidRDefault="00E7366F" w:rsidP="00FF7B23">
            <w:pPr>
              <w:pStyle w:val="TableColumnHeadingLeft"/>
              <w:rPr>
                <w:rFonts w:ascii="Arial" w:hAnsi="Arial" w:cs="Arial"/>
              </w:rPr>
            </w:pPr>
            <w:r w:rsidRPr="00B20411">
              <w:rPr>
                <w:rFonts w:ascii="Arial" w:hAnsi="Arial" w:cs="Arial"/>
              </w:rPr>
              <w:t>Planned performance results</w:t>
            </w:r>
          </w:p>
        </w:tc>
      </w:tr>
      <w:tr w:rsidR="00B20411" w:rsidRPr="00B20411" w14:paraId="6EE0CE4D" w14:textId="77777777" w:rsidTr="00D371A5">
        <w:trPr>
          <w:cantSplit/>
          <w:trHeight w:val="782"/>
        </w:trPr>
        <w:tc>
          <w:tcPr>
            <w:tcW w:w="1546" w:type="dxa"/>
            <w:tcBorders>
              <w:top w:val="single" w:sz="4" w:space="0" w:color="auto"/>
              <w:bottom w:val="dotted" w:sz="4" w:space="0" w:color="auto"/>
              <w:right w:val="single" w:sz="4" w:space="0" w:color="auto"/>
            </w:tcBorders>
          </w:tcPr>
          <w:p w14:paraId="50DEC48A" w14:textId="77777777" w:rsidR="00D371A5" w:rsidRPr="00B20411" w:rsidRDefault="00D371A5" w:rsidP="00D371A5">
            <w:pPr>
              <w:pStyle w:val="TableTextLeft"/>
              <w:rPr>
                <w:rFonts w:cs="Arial"/>
              </w:rPr>
            </w:pPr>
            <w:r w:rsidRPr="00B20411">
              <w:rPr>
                <w:rFonts w:cs="Arial"/>
              </w:rPr>
              <w:t xml:space="preserve">Budget Year </w:t>
            </w:r>
          </w:p>
          <w:p w14:paraId="0D26CD49" w14:textId="77777777" w:rsidR="00D371A5" w:rsidRPr="00B20411" w:rsidRDefault="00D371A5" w:rsidP="00D371A5">
            <w:pPr>
              <w:pStyle w:val="TableTextLeft"/>
              <w:rPr>
                <w:rFonts w:cs="Arial"/>
              </w:rPr>
            </w:pPr>
            <w:r w:rsidRPr="00B20411">
              <w:rPr>
                <w:rFonts w:cs="Arial"/>
              </w:rPr>
              <w:t>2026–27</w:t>
            </w:r>
          </w:p>
        </w:tc>
        <w:tc>
          <w:tcPr>
            <w:tcW w:w="3077" w:type="dxa"/>
            <w:tcBorders>
              <w:top w:val="single" w:sz="4" w:space="0" w:color="auto"/>
              <w:left w:val="single" w:sz="4" w:space="0" w:color="auto"/>
              <w:bottom w:val="dotted" w:sz="4" w:space="0" w:color="auto"/>
              <w:right w:val="single" w:sz="4" w:space="0" w:color="auto"/>
            </w:tcBorders>
          </w:tcPr>
          <w:p w14:paraId="249E1342" w14:textId="380EBD44" w:rsidR="00D371A5" w:rsidRPr="00B20411" w:rsidRDefault="00D371A5" w:rsidP="00D371A5">
            <w:pPr>
              <w:pStyle w:val="TableTextLeft"/>
              <w:rPr>
                <w:rFonts w:cs="Arial"/>
              </w:rPr>
            </w:pPr>
            <w:r w:rsidRPr="00B20411">
              <w:rPr>
                <w:rFonts w:eastAsia="Arial" w:cs="Arial"/>
              </w:rPr>
              <w:t xml:space="preserve">High level of satisfaction for Austrade’s clients with Austrade’s services. </w:t>
            </w:r>
          </w:p>
        </w:tc>
        <w:tc>
          <w:tcPr>
            <w:tcW w:w="3077" w:type="dxa"/>
            <w:tcBorders>
              <w:top w:val="single" w:sz="4" w:space="0" w:color="auto"/>
              <w:left w:val="single" w:sz="4" w:space="0" w:color="auto"/>
              <w:bottom w:val="dotted" w:sz="4" w:space="0" w:color="auto"/>
            </w:tcBorders>
          </w:tcPr>
          <w:p w14:paraId="5F55851F" w14:textId="456B34ED" w:rsidR="00D371A5" w:rsidRPr="00B20411" w:rsidRDefault="00D371A5" w:rsidP="00D371A5">
            <w:pPr>
              <w:pStyle w:val="TableTextLeft"/>
              <w:rPr>
                <w:rFonts w:cs="Arial"/>
              </w:rPr>
            </w:pPr>
            <w:r w:rsidRPr="00B20411">
              <w:rPr>
                <w:rFonts w:eastAsia="Arial" w:cs="Arial"/>
              </w:rPr>
              <w:t xml:space="preserve">Maintained or improved compared to the previous year. </w:t>
            </w:r>
          </w:p>
        </w:tc>
      </w:tr>
      <w:tr w:rsidR="00B20411" w:rsidRPr="00B20411" w14:paraId="058189F1" w14:textId="77777777" w:rsidTr="00D371A5">
        <w:trPr>
          <w:cantSplit/>
          <w:trHeight w:val="491"/>
        </w:trPr>
        <w:tc>
          <w:tcPr>
            <w:tcW w:w="1546" w:type="dxa"/>
            <w:tcBorders>
              <w:top w:val="dotted" w:sz="4" w:space="0" w:color="auto"/>
              <w:bottom w:val="dotted" w:sz="4" w:space="0" w:color="auto"/>
              <w:right w:val="single" w:sz="4" w:space="0" w:color="auto"/>
            </w:tcBorders>
          </w:tcPr>
          <w:p w14:paraId="41574A39" w14:textId="77777777" w:rsidR="00D371A5" w:rsidRPr="00B20411" w:rsidRDefault="00D371A5" w:rsidP="00D371A5">
            <w:pPr>
              <w:pStyle w:val="TableTextLeft"/>
              <w:rPr>
                <w:rFonts w:cs="Arial"/>
              </w:rPr>
            </w:pPr>
            <w:r w:rsidRPr="00B20411">
              <w:rPr>
                <w:rFonts w:cs="Arial"/>
              </w:rPr>
              <w:t xml:space="preserve">Forward Estimates </w:t>
            </w:r>
          </w:p>
          <w:p w14:paraId="4CC73610" w14:textId="77777777" w:rsidR="00D371A5" w:rsidRPr="00B20411" w:rsidRDefault="00D371A5" w:rsidP="00D371A5">
            <w:pPr>
              <w:pStyle w:val="TableTextLeft"/>
              <w:rPr>
                <w:rFonts w:cs="Arial"/>
                <w:b/>
              </w:rPr>
            </w:pPr>
            <w:r w:rsidRPr="00B20411">
              <w:rPr>
                <w:rFonts w:cs="Arial"/>
              </w:rPr>
              <w:t>2027–30</w:t>
            </w:r>
          </w:p>
        </w:tc>
        <w:tc>
          <w:tcPr>
            <w:tcW w:w="3077" w:type="dxa"/>
            <w:tcBorders>
              <w:top w:val="dotted" w:sz="4" w:space="0" w:color="auto"/>
              <w:left w:val="single" w:sz="4" w:space="0" w:color="auto"/>
              <w:bottom w:val="dotted" w:sz="4" w:space="0" w:color="auto"/>
              <w:right w:val="single" w:sz="4" w:space="0" w:color="auto"/>
            </w:tcBorders>
          </w:tcPr>
          <w:p w14:paraId="64FE0FB9" w14:textId="660BEFBC" w:rsidR="00D371A5" w:rsidRPr="00B20411" w:rsidRDefault="00D371A5" w:rsidP="00D371A5">
            <w:pPr>
              <w:pStyle w:val="TableTextLeft"/>
              <w:rPr>
                <w:rFonts w:cs="Arial"/>
                <w:b/>
              </w:rPr>
            </w:pPr>
            <w:r w:rsidRPr="00B20411">
              <w:rPr>
                <w:rFonts w:eastAsia="Arial" w:cs="Arial"/>
              </w:rPr>
              <w:t>As per 2026</w:t>
            </w:r>
            <w:r w:rsidR="00BE20D9" w:rsidRPr="003A00DB">
              <w:rPr>
                <w:rFonts w:cs="Arial"/>
              </w:rPr>
              <w:t>–</w:t>
            </w:r>
            <w:r w:rsidRPr="00B20411">
              <w:rPr>
                <w:rFonts w:eastAsia="Arial" w:cs="Arial"/>
              </w:rPr>
              <w:t>27</w:t>
            </w:r>
            <w:r w:rsidRPr="00B20411">
              <w:rPr>
                <w:rFonts w:eastAsia="Arial" w:cs="Arial"/>
                <w:b/>
              </w:rPr>
              <w:t xml:space="preserve"> </w:t>
            </w:r>
          </w:p>
        </w:tc>
        <w:tc>
          <w:tcPr>
            <w:tcW w:w="3077" w:type="dxa"/>
            <w:tcBorders>
              <w:top w:val="dotted" w:sz="4" w:space="0" w:color="auto"/>
              <w:left w:val="single" w:sz="4" w:space="0" w:color="auto"/>
              <w:bottom w:val="dotted" w:sz="4" w:space="0" w:color="auto"/>
            </w:tcBorders>
          </w:tcPr>
          <w:p w14:paraId="10ED9533" w14:textId="3297C104" w:rsidR="00D371A5" w:rsidRPr="00B20411" w:rsidRDefault="00D371A5" w:rsidP="00D371A5">
            <w:pPr>
              <w:pStyle w:val="TableTextLeft"/>
              <w:rPr>
                <w:rFonts w:cs="Arial"/>
                <w:b/>
              </w:rPr>
            </w:pPr>
            <w:r w:rsidRPr="00B20411">
              <w:rPr>
                <w:rFonts w:eastAsia="Arial" w:cs="Arial"/>
              </w:rPr>
              <w:t>As per 2026</w:t>
            </w:r>
            <w:r w:rsidR="00BE20D9" w:rsidRPr="003A00DB">
              <w:rPr>
                <w:rFonts w:cs="Arial"/>
              </w:rPr>
              <w:t>–</w:t>
            </w:r>
            <w:r w:rsidRPr="00B20411">
              <w:rPr>
                <w:rFonts w:eastAsia="Arial" w:cs="Arial"/>
              </w:rPr>
              <w:t>27</w:t>
            </w:r>
            <w:r w:rsidRPr="00B20411">
              <w:rPr>
                <w:rFonts w:eastAsia="Arial" w:cs="Arial"/>
                <w:b/>
              </w:rPr>
              <w:t xml:space="preserve"> </w:t>
            </w:r>
          </w:p>
        </w:tc>
      </w:tr>
      <w:tr w:rsidR="00B20411" w:rsidRPr="00B20411" w14:paraId="692D3F3E" w14:textId="77777777" w:rsidTr="00D371A5">
        <w:trPr>
          <w:cantSplit/>
          <w:trHeight w:val="261"/>
        </w:trPr>
        <w:tc>
          <w:tcPr>
            <w:tcW w:w="7700" w:type="dxa"/>
            <w:gridSpan w:val="3"/>
          </w:tcPr>
          <w:p w14:paraId="5595A6CF" w14:textId="12B3B37B" w:rsidR="00E7366F" w:rsidRPr="00B20411" w:rsidRDefault="00E7366F" w:rsidP="00FF7B23">
            <w:pPr>
              <w:pStyle w:val="TableTextLeft"/>
              <w:rPr>
                <w:rFonts w:eastAsia="Cambria" w:cs="Arial"/>
                <w:spacing w:val="-6"/>
              </w:rPr>
            </w:pPr>
            <w:r w:rsidRPr="00B20411">
              <w:rPr>
                <w:rFonts w:cs="Arial"/>
              </w:rPr>
              <w:t xml:space="preserve">Material changes to Program </w:t>
            </w:r>
            <w:r w:rsidR="0077395D" w:rsidRPr="00B20411">
              <w:rPr>
                <w:rFonts w:cs="Arial"/>
              </w:rPr>
              <w:t>1.1</w:t>
            </w:r>
            <w:r w:rsidRPr="00B20411">
              <w:rPr>
                <w:rFonts w:cs="Arial"/>
              </w:rPr>
              <w:t xml:space="preserve"> resulting from 2026–27 Budget Measures:</w:t>
            </w:r>
            <w:r w:rsidR="0077395D" w:rsidRPr="00B20411">
              <w:rPr>
                <w:rFonts w:cs="Arial"/>
              </w:rPr>
              <w:t xml:space="preserve"> Nil</w:t>
            </w:r>
          </w:p>
        </w:tc>
      </w:tr>
    </w:tbl>
    <w:p w14:paraId="78CE1CEE" w14:textId="77777777" w:rsidR="0077395D" w:rsidRDefault="0077395D">
      <w:pPr>
        <w:spacing w:before="0" w:after="0" w:line="240" w:lineRule="auto"/>
      </w:pPr>
    </w:p>
    <w:p w14:paraId="1DC3C72E" w14:textId="77777777" w:rsidR="0077395D" w:rsidRDefault="0077395D">
      <w:pPr>
        <w:spacing w:before="0" w:after="0" w:line="240" w:lineRule="auto"/>
      </w:pPr>
      <w:r>
        <w:br w:type="page"/>
      </w:r>
    </w:p>
    <w:p w14:paraId="24EB91E2" w14:textId="6B6341AC" w:rsidR="0077395D" w:rsidRDefault="0077395D" w:rsidP="0077395D">
      <w:pPr>
        <w:pStyle w:val="TableHeading"/>
      </w:pPr>
      <w:r w:rsidRPr="00E6464E">
        <w:lastRenderedPageBreak/>
        <w:t>Table 2.</w:t>
      </w:r>
      <w:r>
        <w:t>1</w:t>
      </w:r>
      <w:r w:rsidRPr="00E6464E">
        <w:t xml:space="preserve">.3: Performance measures for Outcome </w:t>
      </w:r>
      <w:r>
        <w:t>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CF67C1" w:rsidRPr="00CF67C1" w14:paraId="3979359D" w14:textId="77777777">
        <w:trPr>
          <w:cantSplit/>
          <w:trHeight w:val="489"/>
          <w:tblHeader/>
        </w:trPr>
        <w:tc>
          <w:tcPr>
            <w:tcW w:w="7700" w:type="dxa"/>
            <w:gridSpan w:val="3"/>
            <w:shd w:val="clear" w:color="auto" w:fill="F2F2F2"/>
          </w:tcPr>
          <w:p w14:paraId="18D4DEEF" w14:textId="3A4C1A67" w:rsidR="0077395D" w:rsidRPr="00CF67C1" w:rsidRDefault="0077395D" w:rsidP="00892594">
            <w:pPr>
              <w:pStyle w:val="TableTextLeft"/>
              <w:rPr>
                <w:rFonts w:cs="Arial"/>
              </w:rPr>
            </w:pPr>
            <w:r w:rsidRPr="00CF67C1">
              <w:rPr>
                <w:rFonts w:eastAsia="Arial" w:cs="Arial"/>
                <w:b/>
              </w:rPr>
              <w:t>Program 1.2 – Programs to support Australian exporters to expand internationally, attract productive international investment, and grow the visitor economy</w:t>
            </w:r>
          </w:p>
        </w:tc>
      </w:tr>
      <w:tr w:rsidR="00CF67C1" w:rsidRPr="00CF67C1" w14:paraId="36AD681D" w14:textId="77777777">
        <w:trPr>
          <w:cantSplit/>
          <w:trHeight w:val="261"/>
        </w:trPr>
        <w:tc>
          <w:tcPr>
            <w:tcW w:w="1546" w:type="dxa"/>
            <w:tcBorders>
              <w:bottom w:val="double" w:sz="4" w:space="0" w:color="auto"/>
            </w:tcBorders>
          </w:tcPr>
          <w:p w14:paraId="7A0AAA1D" w14:textId="36BDB9CB" w:rsidR="0077395D" w:rsidRPr="00CF67C1" w:rsidRDefault="0077395D" w:rsidP="00892594">
            <w:pPr>
              <w:pStyle w:val="TableColumnHeadingLeft"/>
              <w:rPr>
                <w:rFonts w:ascii="Arial" w:hAnsi="Arial" w:cs="Arial"/>
              </w:rPr>
            </w:pPr>
            <w:r w:rsidRPr="00CF67C1">
              <w:rPr>
                <w:rFonts w:ascii="Arial" w:hAnsi="Arial" w:cs="Arial"/>
              </w:rPr>
              <w:t xml:space="preserve">Key activities </w:t>
            </w:r>
          </w:p>
        </w:tc>
        <w:tc>
          <w:tcPr>
            <w:tcW w:w="6154" w:type="dxa"/>
            <w:gridSpan w:val="2"/>
            <w:tcBorders>
              <w:bottom w:val="double" w:sz="4" w:space="0" w:color="auto"/>
            </w:tcBorders>
          </w:tcPr>
          <w:p w14:paraId="2A451117" w14:textId="1CE4407D" w:rsidR="0077395D" w:rsidRPr="00CF67C1" w:rsidRDefault="0077395D" w:rsidP="0077395D">
            <w:pPr>
              <w:spacing w:before="60" w:after="60" w:line="240" w:lineRule="auto"/>
              <w:rPr>
                <w:rFonts w:ascii="Arial" w:eastAsia="Arial" w:hAnsi="Arial" w:cs="Arial"/>
                <w:sz w:val="16"/>
              </w:rPr>
            </w:pPr>
            <w:r w:rsidRPr="00CF67C1">
              <w:rPr>
                <w:rFonts w:ascii="Arial" w:eastAsia="Arial" w:hAnsi="Arial" w:cs="Arial"/>
                <w:sz w:val="16"/>
              </w:rPr>
              <w:t>Austrade supports Australian businesses to expand internationally through program support, including through the Export Market Development Grants (EMDG) Scheme.</w:t>
            </w:r>
          </w:p>
        </w:tc>
      </w:tr>
      <w:tr w:rsidR="00CF67C1" w:rsidRPr="00CF67C1" w14:paraId="17B78E64" w14:textId="77777777">
        <w:trPr>
          <w:cantSplit/>
          <w:trHeight w:val="258"/>
        </w:trPr>
        <w:tc>
          <w:tcPr>
            <w:tcW w:w="1546" w:type="dxa"/>
            <w:tcBorders>
              <w:top w:val="double" w:sz="4" w:space="0" w:color="auto"/>
              <w:bottom w:val="single" w:sz="4" w:space="0" w:color="auto"/>
              <w:right w:val="single" w:sz="4" w:space="0" w:color="auto"/>
            </w:tcBorders>
          </w:tcPr>
          <w:p w14:paraId="357FE253" w14:textId="77777777" w:rsidR="0077395D" w:rsidRPr="00CF67C1" w:rsidRDefault="0077395D" w:rsidP="00892594">
            <w:pPr>
              <w:pStyle w:val="TableColumnHeadingLeft"/>
              <w:rPr>
                <w:rFonts w:ascii="Arial" w:hAnsi="Arial" w:cs="Arial"/>
              </w:rPr>
            </w:pPr>
            <w:r w:rsidRPr="00CF67C1">
              <w:rPr>
                <w:rFonts w:ascii="Arial" w:hAnsi="Arial" w:cs="Arial"/>
              </w:rPr>
              <w:t>Year</w:t>
            </w:r>
          </w:p>
        </w:tc>
        <w:tc>
          <w:tcPr>
            <w:tcW w:w="3077" w:type="dxa"/>
            <w:tcBorders>
              <w:top w:val="double" w:sz="4" w:space="0" w:color="auto"/>
              <w:left w:val="single" w:sz="4" w:space="0" w:color="auto"/>
              <w:bottom w:val="single" w:sz="4" w:space="0" w:color="auto"/>
              <w:right w:val="single" w:sz="4" w:space="0" w:color="auto"/>
            </w:tcBorders>
          </w:tcPr>
          <w:p w14:paraId="061A5010" w14:textId="522EF669" w:rsidR="0077395D" w:rsidRPr="00CF67C1" w:rsidRDefault="0077395D" w:rsidP="00892594">
            <w:pPr>
              <w:pStyle w:val="TableColumnHeadingLeft"/>
              <w:rPr>
                <w:rFonts w:ascii="Arial" w:hAnsi="Arial" w:cs="Arial"/>
              </w:rPr>
            </w:pPr>
            <w:r w:rsidRPr="00CF67C1">
              <w:rPr>
                <w:rFonts w:ascii="Arial" w:hAnsi="Arial" w:cs="Arial"/>
              </w:rPr>
              <w:t>Performance measures</w:t>
            </w:r>
          </w:p>
        </w:tc>
        <w:tc>
          <w:tcPr>
            <w:tcW w:w="3077" w:type="dxa"/>
            <w:tcBorders>
              <w:top w:val="double" w:sz="4" w:space="0" w:color="auto"/>
              <w:left w:val="single" w:sz="4" w:space="0" w:color="auto"/>
              <w:bottom w:val="single" w:sz="4" w:space="0" w:color="auto"/>
            </w:tcBorders>
          </w:tcPr>
          <w:p w14:paraId="3A7E3B59" w14:textId="77777777" w:rsidR="0077395D" w:rsidRPr="00CF67C1" w:rsidRDefault="0077395D" w:rsidP="00892594">
            <w:pPr>
              <w:pStyle w:val="TableColumnHeadingLeft"/>
              <w:rPr>
                <w:rFonts w:ascii="Arial" w:hAnsi="Arial" w:cs="Arial"/>
              </w:rPr>
            </w:pPr>
            <w:r w:rsidRPr="00CF67C1">
              <w:rPr>
                <w:rFonts w:ascii="Arial" w:hAnsi="Arial" w:cs="Arial"/>
              </w:rPr>
              <w:t>Expected performance results</w:t>
            </w:r>
          </w:p>
        </w:tc>
      </w:tr>
      <w:tr w:rsidR="00CF67C1" w:rsidRPr="00CF67C1" w14:paraId="1BF27F97" w14:textId="77777777">
        <w:trPr>
          <w:cantSplit/>
          <w:trHeight w:val="642"/>
        </w:trPr>
        <w:tc>
          <w:tcPr>
            <w:tcW w:w="1546" w:type="dxa"/>
            <w:tcBorders>
              <w:top w:val="single" w:sz="4" w:space="0" w:color="auto"/>
              <w:bottom w:val="dotted" w:sz="4" w:space="0" w:color="auto"/>
              <w:right w:val="single" w:sz="4" w:space="0" w:color="auto"/>
            </w:tcBorders>
          </w:tcPr>
          <w:p w14:paraId="77DE499F" w14:textId="77777777" w:rsidR="0077395D" w:rsidRPr="00CF67C1" w:rsidRDefault="0077395D" w:rsidP="0077395D">
            <w:pPr>
              <w:pStyle w:val="TableTextLeft"/>
              <w:rPr>
                <w:rFonts w:cs="Arial"/>
              </w:rPr>
            </w:pPr>
            <w:r w:rsidRPr="00CF67C1">
              <w:rPr>
                <w:rFonts w:cs="Arial"/>
              </w:rPr>
              <w:t xml:space="preserve">Current Year </w:t>
            </w:r>
          </w:p>
          <w:p w14:paraId="25BB5AEA" w14:textId="77777777" w:rsidR="0077395D" w:rsidRPr="00CF67C1" w:rsidRDefault="0077395D" w:rsidP="0077395D">
            <w:pPr>
              <w:pStyle w:val="TableTextLeft"/>
              <w:rPr>
                <w:rFonts w:cs="Arial"/>
              </w:rPr>
            </w:pPr>
            <w:r w:rsidRPr="00CF67C1">
              <w:rPr>
                <w:rFonts w:cs="Arial"/>
              </w:rPr>
              <w:t>2025–26</w:t>
            </w:r>
          </w:p>
        </w:tc>
        <w:tc>
          <w:tcPr>
            <w:tcW w:w="3077" w:type="dxa"/>
            <w:tcBorders>
              <w:top w:val="single" w:sz="4" w:space="0" w:color="auto"/>
              <w:left w:val="single" w:sz="4" w:space="0" w:color="auto"/>
              <w:bottom w:val="dotted" w:sz="4" w:space="0" w:color="auto"/>
              <w:right w:val="single" w:sz="4" w:space="0" w:color="auto"/>
            </w:tcBorders>
          </w:tcPr>
          <w:p w14:paraId="1F9B8A1E" w14:textId="5FAC0594" w:rsidR="0077395D" w:rsidRPr="00CF67C1" w:rsidRDefault="0077395D" w:rsidP="0077395D">
            <w:pPr>
              <w:pStyle w:val="TableTextLeft"/>
              <w:rPr>
                <w:rFonts w:cs="Arial"/>
              </w:rPr>
            </w:pPr>
            <w:r w:rsidRPr="00CF67C1">
              <w:rPr>
                <w:rFonts w:eastAsia="Arial" w:cs="Arial"/>
              </w:rPr>
              <w:t xml:space="preserve">EMDG recipients report that the receipt of a grant encouraged them to increase their export promotion activities. </w:t>
            </w:r>
          </w:p>
        </w:tc>
        <w:tc>
          <w:tcPr>
            <w:tcW w:w="3077" w:type="dxa"/>
            <w:tcBorders>
              <w:top w:val="single" w:sz="4" w:space="0" w:color="auto"/>
              <w:left w:val="single" w:sz="4" w:space="0" w:color="auto"/>
              <w:bottom w:val="dotted" w:sz="4" w:space="0" w:color="auto"/>
            </w:tcBorders>
          </w:tcPr>
          <w:p w14:paraId="2D0E62D6" w14:textId="07A7AA6F" w:rsidR="0077395D" w:rsidRPr="00CF67C1" w:rsidRDefault="0077395D" w:rsidP="0077395D">
            <w:pPr>
              <w:pStyle w:val="TableTextLeft"/>
              <w:rPr>
                <w:rFonts w:cs="Arial"/>
              </w:rPr>
            </w:pPr>
            <w:r w:rsidRPr="00CF67C1">
              <w:rPr>
                <w:rFonts w:eastAsia="Arial" w:cs="Arial"/>
              </w:rPr>
              <w:t xml:space="preserve">At least 70 per cent. </w:t>
            </w:r>
          </w:p>
        </w:tc>
      </w:tr>
      <w:tr w:rsidR="00CF67C1" w:rsidRPr="00CF67C1" w14:paraId="67EF02D2" w14:textId="77777777">
        <w:trPr>
          <w:cantSplit/>
          <w:trHeight w:val="100"/>
        </w:trPr>
        <w:tc>
          <w:tcPr>
            <w:tcW w:w="1546" w:type="dxa"/>
            <w:tcBorders>
              <w:top w:val="single" w:sz="4" w:space="0" w:color="auto"/>
              <w:bottom w:val="dotted" w:sz="4" w:space="0" w:color="auto"/>
              <w:right w:val="single" w:sz="4" w:space="0" w:color="auto"/>
            </w:tcBorders>
          </w:tcPr>
          <w:p w14:paraId="41158126" w14:textId="77777777" w:rsidR="0077395D" w:rsidRPr="00CF67C1" w:rsidRDefault="0077395D" w:rsidP="00892594">
            <w:pPr>
              <w:pStyle w:val="TableColumnHeadingLeft"/>
              <w:rPr>
                <w:rFonts w:ascii="Arial" w:hAnsi="Arial" w:cs="Arial"/>
              </w:rPr>
            </w:pPr>
            <w:r w:rsidRPr="00CF67C1">
              <w:rPr>
                <w:rFonts w:ascii="Arial" w:hAnsi="Arial" w:cs="Arial"/>
              </w:rPr>
              <w:t>Year</w:t>
            </w:r>
          </w:p>
        </w:tc>
        <w:tc>
          <w:tcPr>
            <w:tcW w:w="3077" w:type="dxa"/>
            <w:tcBorders>
              <w:top w:val="single" w:sz="4" w:space="0" w:color="auto"/>
              <w:left w:val="single" w:sz="4" w:space="0" w:color="auto"/>
              <w:bottom w:val="dotted" w:sz="4" w:space="0" w:color="auto"/>
              <w:right w:val="single" w:sz="4" w:space="0" w:color="auto"/>
            </w:tcBorders>
          </w:tcPr>
          <w:p w14:paraId="7108589B" w14:textId="4BD95820" w:rsidR="0077395D" w:rsidRPr="00CF67C1" w:rsidRDefault="0077395D" w:rsidP="00892594">
            <w:pPr>
              <w:pStyle w:val="TableColumnHeadingLeft"/>
              <w:rPr>
                <w:rFonts w:ascii="Arial" w:hAnsi="Arial" w:cs="Arial"/>
              </w:rPr>
            </w:pPr>
            <w:r w:rsidRPr="00CF67C1">
              <w:rPr>
                <w:rFonts w:ascii="Arial" w:hAnsi="Arial" w:cs="Arial"/>
              </w:rPr>
              <w:t>Performance measures</w:t>
            </w:r>
          </w:p>
        </w:tc>
        <w:tc>
          <w:tcPr>
            <w:tcW w:w="3077" w:type="dxa"/>
            <w:tcBorders>
              <w:top w:val="single" w:sz="4" w:space="0" w:color="auto"/>
              <w:left w:val="single" w:sz="4" w:space="0" w:color="auto"/>
              <w:bottom w:val="dotted" w:sz="4" w:space="0" w:color="auto"/>
            </w:tcBorders>
          </w:tcPr>
          <w:p w14:paraId="683C2F49" w14:textId="01704010" w:rsidR="0077395D" w:rsidRPr="00CF67C1" w:rsidRDefault="0077395D" w:rsidP="00892594">
            <w:pPr>
              <w:pStyle w:val="TableColumnHeadingLeft"/>
              <w:rPr>
                <w:rFonts w:ascii="Arial" w:hAnsi="Arial" w:cs="Arial"/>
              </w:rPr>
            </w:pPr>
            <w:r w:rsidRPr="00CF67C1">
              <w:rPr>
                <w:rFonts w:ascii="Arial" w:hAnsi="Arial" w:cs="Arial"/>
              </w:rPr>
              <w:t>Planned performance results</w:t>
            </w:r>
          </w:p>
        </w:tc>
      </w:tr>
      <w:tr w:rsidR="00CF67C1" w:rsidRPr="00CF67C1" w14:paraId="38512066" w14:textId="77777777">
        <w:trPr>
          <w:cantSplit/>
          <w:trHeight w:val="782"/>
        </w:trPr>
        <w:tc>
          <w:tcPr>
            <w:tcW w:w="1546" w:type="dxa"/>
            <w:tcBorders>
              <w:top w:val="single" w:sz="4" w:space="0" w:color="auto"/>
              <w:bottom w:val="dotted" w:sz="4" w:space="0" w:color="auto"/>
              <w:right w:val="single" w:sz="4" w:space="0" w:color="auto"/>
            </w:tcBorders>
          </w:tcPr>
          <w:p w14:paraId="574C236E" w14:textId="77777777" w:rsidR="0077395D" w:rsidRPr="00CF67C1" w:rsidRDefault="0077395D" w:rsidP="0077395D">
            <w:pPr>
              <w:pStyle w:val="TableTextLeft"/>
              <w:rPr>
                <w:rFonts w:cs="Arial"/>
              </w:rPr>
            </w:pPr>
            <w:r w:rsidRPr="00CF67C1">
              <w:rPr>
                <w:rFonts w:cs="Arial"/>
              </w:rPr>
              <w:t xml:space="preserve">Budget Year </w:t>
            </w:r>
          </w:p>
          <w:p w14:paraId="1EF81771" w14:textId="77777777" w:rsidR="0077395D" w:rsidRPr="00CF67C1" w:rsidRDefault="0077395D" w:rsidP="0077395D">
            <w:pPr>
              <w:pStyle w:val="TableTextLeft"/>
              <w:rPr>
                <w:rFonts w:cs="Arial"/>
              </w:rPr>
            </w:pPr>
            <w:r w:rsidRPr="00CF67C1">
              <w:rPr>
                <w:rFonts w:cs="Arial"/>
              </w:rPr>
              <w:t>2026–27</w:t>
            </w:r>
          </w:p>
        </w:tc>
        <w:tc>
          <w:tcPr>
            <w:tcW w:w="3077" w:type="dxa"/>
            <w:tcBorders>
              <w:top w:val="single" w:sz="4" w:space="0" w:color="auto"/>
              <w:left w:val="single" w:sz="4" w:space="0" w:color="auto"/>
              <w:bottom w:val="dotted" w:sz="4" w:space="0" w:color="auto"/>
              <w:right w:val="single" w:sz="4" w:space="0" w:color="auto"/>
            </w:tcBorders>
          </w:tcPr>
          <w:p w14:paraId="2EA813C8" w14:textId="402DF136" w:rsidR="0077395D" w:rsidRPr="00CF67C1" w:rsidRDefault="0077395D" w:rsidP="0077395D">
            <w:pPr>
              <w:pStyle w:val="TableTextLeft"/>
              <w:rPr>
                <w:rFonts w:cs="Arial"/>
              </w:rPr>
            </w:pPr>
            <w:r w:rsidRPr="00CF67C1">
              <w:rPr>
                <w:rFonts w:eastAsia="Arial" w:cs="Arial"/>
              </w:rPr>
              <w:t xml:space="preserve">EMDG recipients report that the receipt of a grant encouraged them to increase their export promotion activities. </w:t>
            </w:r>
          </w:p>
        </w:tc>
        <w:tc>
          <w:tcPr>
            <w:tcW w:w="3077" w:type="dxa"/>
            <w:tcBorders>
              <w:top w:val="single" w:sz="4" w:space="0" w:color="auto"/>
              <w:left w:val="single" w:sz="4" w:space="0" w:color="auto"/>
              <w:bottom w:val="dotted" w:sz="4" w:space="0" w:color="auto"/>
            </w:tcBorders>
          </w:tcPr>
          <w:p w14:paraId="010BAF4F" w14:textId="2B51223F" w:rsidR="0077395D" w:rsidRPr="00CF67C1" w:rsidRDefault="0077395D" w:rsidP="0077395D">
            <w:pPr>
              <w:pStyle w:val="TableTextLeft"/>
              <w:rPr>
                <w:rFonts w:cs="Arial"/>
              </w:rPr>
            </w:pPr>
            <w:r w:rsidRPr="00CF67C1">
              <w:rPr>
                <w:rFonts w:eastAsia="Arial" w:cs="Arial"/>
              </w:rPr>
              <w:t xml:space="preserve">Maintained or improved compared to the previous year. </w:t>
            </w:r>
          </w:p>
        </w:tc>
      </w:tr>
      <w:tr w:rsidR="00CF67C1" w:rsidRPr="00CF67C1" w14:paraId="75402FA9" w14:textId="77777777">
        <w:trPr>
          <w:cantSplit/>
          <w:trHeight w:val="491"/>
        </w:trPr>
        <w:tc>
          <w:tcPr>
            <w:tcW w:w="1546" w:type="dxa"/>
            <w:tcBorders>
              <w:top w:val="dotted" w:sz="4" w:space="0" w:color="auto"/>
              <w:bottom w:val="dotted" w:sz="4" w:space="0" w:color="auto"/>
              <w:right w:val="single" w:sz="4" w:space="0" w:color="auto"/>
            </w:tcBorders>
          </w:tcPr>
          <w:p w14:paraId="1B54B376" w14:textId="77777777" w:rsidR="0077395D" w:rsidRPr="00CF67C1" w:rsidRDefault="0077395D" w:rsidP="0077395D">
            <w:pPr>
              <w:pStyle w:val="TableTextLeft"/>
              <w:rPr>
                <w:rFonts w:cs="Arial"/>
              </w:rPr>
            </w:pPr>
            <w:r w:rsidRPr="00CF67C1">
              <w:rPr>
                <w:rFonts w:cs="Arial"/>
              </w:rPr>
              <w:t xml:space="preserve">Forward Estimates </w:t>
            </w:r>
          </w:p>
          <w:p w14:paraId="1B7582F9" w14:textId="77777777" w:rsidR="0077395D" w:rsidRPr="00CF67C1" w:rsidRDefault="0077395D" w:rsidP="0077395D">
            <w:pPr>
              <w:pStyle w:val="TableTextLeft"/>
              <w:rPr>
                <w:rFonts w:cs="Arial"/>
                <w:b/>
              </w:rPr>
            </w:pPr>
            <w:r w:rsidRPr="00CF67C1">
              <w:rPr>
                <w:rFonts w:cs="Arial"/>
              </w:rPr>
              <w:t>2027–30</w:t>
            </w:r>
          </w:p>
        </w:tc>
        <w:tc>
          <w:tcPr>
            <w:tcW w:w="3077" w:type="dxa"/>
            <w:tcBorders>
              <w:top w:val="dotted" w:sz="4" w:space="0" w:color="auto"/>
              <w:left w:val="single" w:sz="4" w:space="0" w:color="auto"/>
              <w:bottom w:val="dotted" w:sz="4" w:space="0" w:color="auto"/>
              <w:right w:val="single" w:sz="4" w:space="0" w:color="auto"/>
            </w:tcBorders>
          </w:tcPr>
          <w:p w14:paraId="062E3A6A" w14:textId="0217FBF3" w:rsidR="0077395D" w:rsidRPr="00CF67C1" w:rsidRDefault="0077395D" w:rsidP="0077395D">
            <w:pPr>
              <w:pStyle w:val="TableTextLeft"/>
              <w:rPr>
                <w:rFonts w:cs="Arial"/>
                <w:b/>
              </w:rPr>
            </w:pPr>
            <w:r w:rsidRPr="00CF67C1">
              <w:rPr>
                <w:rFonts w:eastAsia="Arial" w:cs="Arial"/>
              </w:rPr>
              <w:t>As per 2026</w:t>
            </w:r>
            <w:r w:rsidR="00BE20D9" w:rsidRPr="003A00DB">
              <w:rPr>
                <w:rFonts w:cs="Arial"/>
              </w:rPr>
              <w:t>–</w:t>
            </w:r>
            <w:r w:rsidRPr="00CF67C1">
              <w:rPr>
                <w:rFonts w:eastAsia="Arial" w:cs="Arial"/>
              </w:rPr>
              <w:t>27</w:t>
            </w:r>
            <w:r w:rsidRPr="00CF67C1">
              <w:rPr>
                <w:rFonts w:eastAsia="Arial" w:cs="Arial"/>
                <w:b/>
              </w:rPr>
              <w:t xml:space="preserve"> </w:t>
            </w:r>
          </w:p>
        </w:tc>
        <w:tc>
          <w:tcPr>
            <w:tcW w:w="3077" w:type="dxa"/>
            <w:tcBorders>
              <w:top w:val="dotted" w:sz="4" w:space="0" w:color="auto"/>
              <w:left w:val="single" w:sz="4" w:space="0" w:color="auto"/>
              <w:bottom w:val="dotted" w:sz="4" w:space="0" w:color="auto"/>
            </w:tcBorders>
          </w:tcPr>
          <w:p w14:paraId="3683B193" w14:textId="2989C221" w:rsidR="0077395D" w:rsidRPr="00CF67C1" w:rsidRDefault="0077395D" w:rsidP="0077395D">
            <w:pPr>
              <w:pStyle w:val="TableTextLeft"/>
              <w:rPr>
                <w:rFonts w:cs="Arial"/>
                <w:b/>
              </w:rPr>
            </w:pPr>
            <w:r w:rsidRPr="00CF67C1">
              <w:rPr>
                <w:rFonts w:eastAsia="Arial" w:cs="Arial"/>
              </w:rPr>
              <w:t>As per 2026</w:t>
            </w:r>
            <w:r w:rsidR="00BE20D9" w:rsidRPr="003A00DB">
              <w:rPr>
                <w:rFonts w:cs="Arial"/>
              </w:rPr>
              <w:t>–</w:t>
            </w:r>
            <w:r w:rsidRPr="00CF67C1">
              <w:rPr>
                <w:rFonts w:eastAsia="Arial" w:cs="Arial"/>
              </w:rPr>
              <w:t>27</w:t>
            </w:r>
            <w:r w:rsidRPr="00CF67C1">
              <w:rPr>
                <w:rFonts w:eastAsia="Arial" w:cs="Arial"/>
                <w:b/>
              </w:rPr>
              <w:t xml:space="preserve"> </w:t>
            </w:r>
          </w:p>
        </w:tc>
      </w:tr>
      <w:tr w:rsidR="00CF67C1" w:rsidRPr="00CF67C1" w14:paraId="2CD87D8D" w14:textId="77777777">
        <w:trPr>
          <w:cantSplit/>
          <w:trHeight w:val="261"/>
        </w:trPr>
        <w:tc>
          <w:tcPr>
            <w:tcW w:w="7700" w:type="dxa"/>
            <w:gridSpan w:val="3"/>
          </w:tcPr>
          <w:p w14:paraId="3A716FBD" w14:textId="6E5298F7" w:rsidR="0077395D" w:rsidRPr="00CF67C1" w:rsidRDefault="0077395D" w:rsidP="00892594">
            <w:pPr>
              <w:pStyle w:val="TableTextLeft"/>
              <w:rPr>
                <w:rFonts w:eastAsia="Cambria" w:cs="Arial"/>
                <w:spacing w:val="-6"/>
              </w:rPr>
            </w:pPr>
            <w:r w:rsidRPr="00CF67C1">
              <w:rPr>
                <w:rFonts w:cs="Arial"/>
              </w:rPr>
              <w:t>Material changes to Program 1.2 resulting from 2026–27 Budget Measures: Nil</w:t>
            </w:r>
          </w:p>
        </w:tc>
      </w:tr>
    </w:tbl>
    <w:p w14:paraId="1FB73895" w14:textId="0F4D5611" w:rsidR="00FA45B0" w:rsidRDefault="00FA45B0">
      <w:pPr>
        <w:spacing w:before="0" w:after="0" w:line="240" w:lineRule="auto"/>
      </w:pPr>
      <w:r>
        <w:br w:type="page"/>
      </w:r>
    </w:p>
    <w:p w14:paraId="63D984D8" w14:textId="36F1BF1E" w:rsidR="00FA45B0" w:rsidRPr="00F743D8" w:rsidRDefault="00FA45B0" w:rsidP="00FA45B0">
      <w:pPr>
        <w:pStyle w:val="Heading3"/>
      </w:pPr>
      <w:r>
        <w:lastRenderedPageBreak/>
        <w:t>2.1</w:t>
      </w:r>
      <w:r w:rsidRPr="00F743D8">
        <w:t xml:space="preserve"> </w:t>
      </w:r>
      <w:r w:rsidRPr="00F743D8">
        <w:tab/>
        <w:t xml:space="preserve">Budgeted expenses and performance for Outcome </w:t>
      </w:r>
      <w:r>
        <w:t>2</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FA45B0" w:rsidRPr="0069545F" w14:paraId="299F7E09" w14:textId="77777777" w:rsidTr="00FF7B23">
        <w:tc>
          <w:tcPr>
            <w:tcW w:w="7704" w:type="dxa"/>
            <w:shd w:val="clear" w:color="auto" w:fill="E6E6E6"/>
          </w:tcPr>
          <w:p w14:paraId="2ACA2FFB" w14:textId="6A4DF51F" w:rsidR="00FA45B0" w:rsidRPr="0069545F" w:rsidRDefault="00FA45B0" w:rsidP="00FF7B23">
            <w:pPr>
              <w:pStyle w:val="TableColumnHeadingLeft"/>
            </w:pPr>
            <w:r w:rsidRPr="0069545F">
              <w:t xml:space="preserve">Outcome </w:t>
            </w:r>
            <w:r>
              <w:t>2</w:t>
            </w:r>
            <w:r w:rsidRPr="0069545F">
              <w:t xml:space="preserve">: </w:t>
            </w:r>
            <w:r w:rsidRPr="00FA45B0">
              <w:t>The protection and welfare of Australians abroad though timely and responsive consular and passport services in specific locations overseas</w:t>
            </w:r>
            <w:r>
              <w:t xml:space="preserve">. </w:t>
            </w:r>
          </w:p>
        </w:tc>
      </w:tr>
    </w:tbl>
    <w:p w14:paraId="66B2EE8B" w14:textId="77777777" w:rsidR="00FA45B0" w:rsidRPr="0069545F" w:rsidRDefault="00FA45B0" w:rsidP="00FA45B0">
      <w:pPr>
        <w:pStyle w:val="SingleParagraph"/>
      </w:pPr>
    </w:p>
    <w:p w14:paraId="79762B13" w14:textId="77777777" w:rsidR="00FA45B0" w:rsidRPr="00133BCE" w:rsidRDefault="00FA45B0" w:rsidP="00FA45B0">
      <w:pPr>
        <w:pStyle w:val="Heading4"/>
      </w:pPr>
      <w:r w:rsidRPr="0069545F">
        <w:t xml:space="preserve">Linked programs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CF67C1" w:rsidRPr="00CF67C1" w14:paraId="7B55CC8E" w14:textId="77777777" w:rsidTr="00FF7B23">
        <w:trPr>
          <w:trHeight w:val="113"/>
          <w:tblHeader/>
        </w:trPr>
        <w:tc>
          <w:tcPr>
            <w:tcW w:w="7700" w:type="dxa"/>
            <w:tcBorders>
              <w:bottom w:val="dotted" w:sz="4" w:space="0" w:color="auto"/>
            </w:tcBorders>
          </w:tcPr>
          <w:p w14:paraId="455F7D46" w14:textId="2E65CC1E" w:rsidR="00FA45B0" w:rsidRPr="00CF67C1" w:rsidRDefault="00793E4D" w:rsidP="00793E4D">
            <w:pPr>
              <w:spacing w:before="40" w:after="60" w:line="240" w:lineRule="auto"/>
              <w:rPr>
                <w:rFonts w:ascii="Arial" w:hAnsi="Arial" w:cs="Arial"/>
                <w:b/>
                <w:sz w:val="16"/>
              </w:rPr>
            </w:pPr>
            <w:r w:rsidRPr="00CF67C1">
              <w:rPr>
                <w:rFonts w:ascii="Arial" w:hAnsi="Arial" w:cs="Arial"/>
                <w:b/>
                <w:sz w:val="16"/>
              </w:rPr>
              <w:t xml:space="preserve">Department of Foreign Affairs and Trade </w:t>
            </w:r>
          </w:p>
        </w:tc>
      </w:tr>
      <w:tr w:rsidR="00CF67C1" w:rsidRPr="00CF67C1" w14:paraId="20F8DDB0" w14:textId="77777777" w:rsidTr="00FF7B23">
        <w:trPr>
          <w:trHeight w:val="113"/>
          <w:tblHeader/>
        </w:trPr>
        <w:tc>
          <w:tcPr>
            <w:tcW w:w="7700" w:type="dxa"/>
            <w:tcBorders>
              <w:top w:val="dotted" w:sz="4" w:space="0" w:color="auto"/>
              <w:bottom w:val="single" w:sz="4" w:space="0" w:color="auto"/>
            </w:tcBorders>
          </w:tcPr>
          <w:p w14:paraId="25955388" w14:textId="77777777" w:rsidR="00FA45B0" w:rsidRPr="00CF67C1" w:rsidRDefault="00FA45B0" w:rsidP="00793E4D">
            <w:pPr>
              <w:pStyle w:val="TableTextLeft"/>
              <w:spacing w:before="60" w:after="60"/>
              <w:rPr>
                <w:rFonts w:cs="Arial"/>
                <w:b/>
                <w:bCs/>
              </w:rPr>
            </w:pPr>
            <w:r w:rsidRPr="00CF67C1">
              <w:rPr>
                <w:rFonts w:cs="Arial"/>
                <w:b/>
                <w:bCs/>
              </w:rPr>
              <w:t>Programs</w:t>
            </w:r>
          </w:p>
          <w:p w14:paraId="6CB24A44" w14:textId="2154B5CF" w:rsidR="00FA45B0" w:rsidRPr="00CF67C1" w:rsidRDefault="00FA45B0" w:rsidP="00793E4D">
            <w:pPr>
              <w:pStyle w:val="TableTextBullet"/>
              <w:spacing w:before="60" w:after="60"/>
              <w:rPr>
                <w:rFonts w:cs="Arial"/>
              </w:rPr>
            </w:pPr>
            <w:r w:rsidRPr="00CF67C1">
              <w:rPr>
                <w:rFonts w:cs="Arial"/>
              </w:rPr>
              <w:t xml:space="preserve">Program </w:t>
            </w:r>
            <w:r w:rsidR="00793E4D" w:rsidRPr="00CF67C1">
              <w:rPr>
                <w:rFonts w:cs="Arial"/>
              </w:rPr>
              <w:t>1.1</w:t>
            </w:r>
            <w:r w:rsidRPr="00CF67C1">
              <w:rPr>
                <w:rFonts w:cs="Arial"/>
              </w:rPr>
              <w:t xml:space="preserve"> – </w:t>
            </w:r>
            <w:r w:rsidR="00793E4D" w:rsidRPr="00CF67C1">
              <w:rPr>
                <w:rFonts w:cs="Arial"/>
              </w:rPr>
              <w:t>Foreign Affairs and Trade</w:t>
            </w:r>
          </w:p>
          <w:p w14:paraId="0ED805F2" w14:textId="6FD33E64" w:rsidR="00FA45B0" w:rsidRPr="00CF67C1" w:rsidRDefault="00FA45B0" w:rsidP="00793E4D">
            <w:pPr>
              <w:pStyle w:val="TableTextBullet"/>
              <w:spacing w:before="60" w:after="60"/>
              <w:rPr>
                <w:rFonts w:cs="Arial"/>
              </w:rPr>
            </w:pPr>
            <w:r w:rsidRPr="00CF67C1">
              <w:rPr>
                <w:rFonts w:cs="Arial"/>
              </w:rPr>
              <w:t xml:space="preserve">Program </w:t>
            </w:r>
            <w:r w:rsidR="00793E4D" w:rsidRPr="00CF67C1">
              <w:rPr>
                <w:rFonts w:cs="Arial"/>
              </w:rPr>
              <w:t>2.1</w:t>
            </w:r>
            <w:r w:rsidRPr="00CF67C1">
              <w:rPr>
                <w:rFonts w:cs="Arial"/>
              </w:rPr>
              <w:t xml:space="preserve"> – </w:t>
            </w:r>
            <w:r w:rsidR="00793E4D" w:rsidRPr="00CF67C1">
              <w:rPr>
                <w:rFonts w:cs="Arial"/>
              </w:rPr>
              <w:t>Consular Services</w:t>
            </w:r>
          </w:p>
          <w:p w14:paraId="1068D67B" w14:textId="1644D237" w:rsidR="00FA45B0" w:rsidRPr="00CF67C1" w:rsidRDefault="00793E4D" w:rsidP="00793E4D">
            <w:pPr>
              <w:pStyle w:val="TableTextBullet"/>
              <w:spacing w:before="60" w:after="60"/>
              <w:rPr>
                <w:rFonts w:cs="Arial"/>
              </w:rPr>
            </w:pPr>
            <w:r w:rsidRPr="00CF67C1">
              <w:rPr>
                <w:rFonts w:cs="Arial"/>
              </w:rPr>
              <w:t>Program 2.2 – Passport Services</w:t>
            </w:r>
          </w:p>
        </w:tc>
      </w:tr>
      <w:tr w:rsidR="00CF67C1" w:rsidRPr="00CF67C1" w14:paraId="7937AD72" w14:textId="77777777" w:rsidTr="00FF7B23">
        <w:trPr>
          <w:trHeight w:val="113"/>
        </w:trPr>
        <w:tc>
          <w:tcPr>
            <w:tcW w:w="7700" w:type="dxa"/>
            <w:tcBorders>
              <w:bottom w:val="single" w:sz="4" w:space="0" w:color="auto"/>
            </w:tcBorders>
          </w:tcPr>
          <w:p w14:paraId="68F9B6E1" w14:textId="71981A62" w:rsidR="00FA45B0" w:rsidRPr="00CF67C1" w:rsidRDefault="00FA45B0" w:rsidP="00793E4D">
            <w:pPr>
              <w:pStyle w:val="TableColumnHeadingLeft"/>
              <w:spacing w:after="60"/>
              <w:rPr>
                <w:rFonts w:ascii="Arial" w:hAnsi="Arial" w:cs="Arial"/>
              </w:rPr>
            </w:pPr>
            <w:r w:rsidRPr="00CF67C1">
              <w:rPr>
                <w:rFonts w:ascii="Arial" w:hAnsi="Arial" w:cs="Arial"/>
              </w:rPr>
              <w:t xml:space="preserve">Contribution to Outcome </w:t>
            </w:r>
            <w:r w:rsidR="00793E4D" w:rsidRPr="00CF67C1">
              <w:rPr>
                <w:rFonts w:ascii="Arial" w:hAnsi="Arial" w:cs="Arial"/>
              </w:rPr>
              <w:t>2</w:t>
            </w:r>
            <w:r w:rsidRPr="00CF67C1">
              <w:rPr>
                <w:rFonts w:ascii="Arial" w:hAnsi="Arial" w:cs="Arial"/>
              </w:rPr>
              <w:t xml:space="preserve"> made by linked programs</w:t>
            </w:r>
          </w:p>
          <w:p w14:paraId="4EE9C502" w14:textId="7DFC317B" w:rsidR="00FA45B0" w:rsidRPr="00CF67C1" w:rsidRDefault="00793E4D" w:rsidP="00793E4D">
            <w:pPr>
              <w:pStyle w:val="TableTextLeft"/>
              <w:spacing w:after="60"/>
              <w:rPr>
                <w:rFonts w:cs="Arial"/>
              </w:rPr>
            </w:pPr>
            <w:r w:rsidRPr="00CF67C1">
              <w:rPr>
                <w:rFonts w:cs="Arial"/>
              </w:rPr>
              <w:t>Austrade delivers consular and passport services on behalf of the Australian Government in 11 locations.</w:t>
            </w:r>
          </w:p>
        </w:tc>
      </w:tr>
    </w:tbl>
    <w:p w14:paraId="6805F8CE" w14:textId="0D2EEAF8" w:rsidR="00FA45B0" w:rsidRPr="0069545F" w:rsidRDefault="00FA45B0" w:rsidP="00FA45B0">
      <w:pPr>
        <w:pStyle w:val="ChartandTableFootnoteAlpha"/>
        <w:numPr>
          <w:ilvl w:val="0"/>
          <w:numId w:val="0"/>
        </w:numPr>
        <w:ind w:left="284" w:hanging="284"/>
      </w:pPr>
    </w:p>
    <w:p w14:paraId="4826E38F" w14:textId="77777777" w:rsidR="00FA45B0" w:rsidRPr="0069545F" w:rsidRDefault="00FA45B0" w:rsidP="00FA45B0">
      <w:r w:rsidRPr="0069545F">
        <w:br w:type="page"/>
      </w:r>
    </w:p>
    <w:p w14:paraId="16F4ADEF" w14:textId="7D0C731C" w:rsidR="00FA45B0" w:rsidRPr="00446612" w:rsidRDefault="00FA45B0" w:rsidP="00FA45B0">
      <w:pPr>
        <w:pStyle w:val="Heading4"/>
      </w:pPr>
      <w:r w:rsidRPr="00446612">
        <w:lastRenderedPageBreak/>
        <w:t xml:space="preserve">Budgeted expenses for Outcome </w:t>
      </w:r>
      <w:r>
        <w:t>2</w:t>
      </w:r>
    </w:p>
    <w:p w14:paraId="43C15A27" w14:textId="77777777" w:rsidR="00FA45B0" w:rsidRDefault="00FA45B0" w:rsidP="00FA45B0">
      <w:r w:rsidRPr="00950281">
        <w:t>This table shows how much the entity intends to spend (on an accrual basis) on achieving the outcome, broken down by program, as well as by Administered an</w:t>
      </w:r>
      <w:r>
        <w:t>d Departmental funding sources.</w:t>
      </w:r>
    </w:p>
    <w:p w14:paraId="6BAC6A13" w14:textId="33371BD4" w:rsidR="00FA45B0" w:rsidRDefault="00FA45B0" w:rsidP="00FA45B0">
      <w:pPr>
        <w:pStyle w:val="TableHeading"/>
      </w:pPr>
      <w:r w:rsidRPr="006E4DF1">
        <w:t>Table 2.</w:t>
      </w:r>
      <w:r>
        <w:t>2</w:t>
      </w:r>
      <w:r w:rsidRPr="006E4DF1">
        <w:t xml:space="preserve">.1: Budgeted expenses for Outcome </w:t>
      </w:r>
      <w:r>
        <w:t xml:space="preserve">2 </w:t>
      </w:r>
    </w:p>
    <w:p w14:paraId="7FDDB915" w14:textId="732D70B4" w:rsidR="00FA45B0" w:rsidRDefault="00DF53AC" w:rsidP="00FA45B0">
      <w:pPr>
        <w:pStyle w:val="TableGraphic"/>
      </w:pPr>
      <w:r w:rsidRPr="00DF53AC">
        <w:rPr>
          <w:noProof/>
        </w:rPr>
        <w:drawing>
          <wp:inline distT="0" distB="0" distL="0" distR="0" wp14:anchorId="087976D3" wp14:editId="3DB8BCBD">
            <wp:extent cx="4563745" cy="2926080"/>
            <wp:effectExtent l="0" t="0" r="8255" b="7620"/>
            <wp:docPr id="19308265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63745" cy="2926080"/>
                    </a:xfrm>
                    <a:prstGeom prst="rect">
                      <a:avLst/>
                    </a:prstGeom>
                    <a:noFill/>
                    <a:ln>
                      <a:noFill/>
                    </a:ln>
                  </pic:spPr>
                </pic:pic>
              </a:graphicData>
            </a:graphic>
          </wp:inline>
        </w:drawing>
      </w:r>
    </w:p>
    <w:p w14:paraId="4EEA36FC" w14:textId="77777777" w:rsidR="00FA45B0" w:rsidRDefault="00FA45B0" w:rsidP="00283EC4">
      <w:pPr>
        <w:pStyle w:val="ChartandTableFootnoteAlpha"/>
        <w:numPr>
          <w:ilvl w:val="0"/>
          <w:numId w:val="62"/>
        </w:numPr>
      </w:pPr>
      <w:r w:rsidRPr="007379EF">
        <w:t>Estimated expenses incurred in relation to receipts retained under section 74 of the PGPA Act.</w:t>
      </w:r>
    </w:p>
    <w:p w14:paraId="291C1BD0" w14:textId="77777777" w:rsidR="00FA45B0" w:rsidRPr="00446612" w:rsidRDefault="00FA45B0" w:rsidP="00FA45B0">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3663B8FB" w14:textId="77777777" w:rsidR="00FA45B0" w:rsidRDefault="00FA45B0" w:rsidP="00FA45B0">
      <w:pPr>
        <w:spacing w:before="0" w:after="0" w:line="240" w:lineRule="auto"/>
        <w:rPr>
          <w:highlight w:val="green"/>
        </w:rPr>
      </w:pPr>
      <w:r>
        <w:rPr>
          <w:highlight w:val="green"/>
        </w:rPr>
        <w:br w:type="page"/>
      </w:r>
    </w:p>
    <w:p w14:paraId="20F1F94D" w14:textId="2171DB3E" w:rsidR="00FA45B0" w:rsidRPr="00F71634" w:rsidRDefault="00FA45B0" w:rsidP="00FA45B0">
      <w:pPr>
        <w:pStyle w:val="Heading4"/>
      </w:pPr>
      <w:r w:rsidRPr="00250122">
        <w:lastRenderedPageBreak/>
        <w:t>Performance</w:t>
      </w:r>
      <w:r w:rsidRPr="00F71634">
        <w:t xml:space="preserve"> </w:t>
      </w:r>
      <w:r>
        <w:t>measures</w:t>
      </w:r>
      <w:r w:rsidRPr="00F71634">
        <w:t xml:space="preserve"> for Outcome </w:t>
      </w:r>
      <w:r>
        <w:t>2</w:t>
      </w:r>
    </w:p>
    <w:p w14:paraId="7DF5C554" w14:textId="7312C56B" w:rsidR="00FA45B0" w:rsidRDefault="00FA45B0" w:rsidP="00FA45B0">
      <w:r w:rsidRPr="005D4B9C">
        <w:t>Table 2.</w:t>
      </w:r>
      <w:r>
        <w:t>2</w:t>
      </w:r>
      <w:r w:rsidRPr="005D4B9C">
        <w:t>.</w:t>
      </w:r>
      <w:r>
        <w:t>2</w:t>
      </w:r>
      <w:r w:rsidRPr="005D4B9C">
        <w:t xml:space="preserve"> details the performance measures for each program associated with Outcome </w:t>
      </w:r>
      <w:r>
        <w:t>2</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58A016DC" w14:textId="7AC22EBC" w:rsidR="00FA45B0" w:rsidRDefault="00FA45B0" w:rsidP="00FA45B0">
      <w:pPr>
        <w:pStyle w:val="TableHeading"/>
      </w:pPr>
      <w:r w:rsidRPr="00E6464E">
        <w:t>Table 2.</w:t>
      </w:r>
      <w:r>
        <w:t>2.2</w:t>
      </w:r>
      <w:r w:rsidRPr="00E6464E">
        <w:t xml:space="preserve">: Performance measures for Outcome </w:t>
      </w:r>
      <w:r>
        <w:t>2</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80564B" w:rsidRPr="0080564B" w14:paraId="775142AF" w14:textId="77777777" w:rsidTr="00793E4D">
        <w:trPr>
          <w:cantSplit/>
          <w:trHeight w:val="261"/>
          <w:tblHeader/>
        </w:trPr>
        <w:tc>
          <w:tcPr>
            <w:tcW w:w="7700" w:type="dxa"/>
            <w:gridSpan w:val="3"/>
            <w:shd w:val="clear" w:color="auto" w:fill="F2F2F2"/>
          </w:tcPr>
          <w:p w14:paraId="1099CCC4" w14:textId="6A385EAA" w:rsidR="00FA45B0" w:rsidRPr="0080564B" w:rsidRDefault="00793E4D" w:rsidP="00FF7B23">
            <w:pPr>
              <w:pStyle w:val="TableColumnHeadingLeft"/>
              <w:rPr>
                <w:rFonts w:ascii="Arial" w:hAnsi="Arial" w:cs="Arial"/>
                <w:bCs/>
              </w:rPr>
            </w:pPr>
            <w:r w:rsidRPr="0080564B">
              <w:rPr>
                <w:rFonts w:ascii="Arial" w:eastAsia="Arial" w:hAnsi="Arial" w:cs="Arial"/>
              </w:rPr>
              <w:t>Outcome 2 – The protection and welfare of Australians abroad through timely and responsive consular and passport services in specific locations overseas.</w:t>
            </w:r>
          </w:p>
        </w:tc>
      </w:tr>
      <w:tr w:rsidR="0080564B" w:rsidRPr="0080564B" w14:paraId="293F9B02" w14:textId="77777777" w:rsidTr="00793E4D">
        <w:trPr>
          <w:cantSplit/>
          <w:trHeight w:val="246"/>
          <w:tblHeader/>
        </w:trPr>
        <w:tc>
          <w:tcPr>
            <w:tcW w:w="7700" w:type="dxa"/>
            <w:gridSpan w:val="3"/>
            <w:shd w:val="clear" w:color="auto" w:fill="F2F2F2"/>
          </w:tcPr>
          <w:p w14:paraId="314B1A60" w14:textId="7FFD56F9" w:rsidR="00FA45B0" w:rsidRPr="0080564B" w:rsidRDefault="00793E4D" w:rsidP="00FF7B23">
            <w:pPr>
              <w:pStyle w:val="TableTextLeft"/>
              <w:rPr>
                <w:rFonts w:cs="Arial"/>
              </w:rPr>
            </w:pPr>
            <w:r w:rsidRPr="0080564B">
              <w:rPr>
                <w:rFonts w:eastAsia="Arial" w:cs="Arial"/>
                <w:b/>
              </w:rPr>
              <w:t>Program 2.1 – Consular and Passport Services</w:t>
            </w:r>
          </w:p>
        </w:tc>
      </w:tr>
      <w:tr w:rsidR="0080564B" w:rsidRPr="0080564B" w14:paraId="165937DA" w14:textId="77777777" w:rsidTr="00793E4D">
        <w:trPr>
          <w:cantSplit/>
          <w:trHeight w:val="261"/>
        </w:trPr>
        <w:tc>
          <w:tcPr>
            <w:tcW w:w="1546" w:type="dxa"/>
            <w:tcBorders>
              <w:bottom w:val="double" w:sz="4" w:space="0" w:color="auto"/>
            </w:tcBorders>
          </w:tcPr>
          <w:p w14:paraId="082A762B" w14:textId="7A4FAA62" w:rsidR="00FA45B0" w:rsidRPr="0080564B" w:rsidRDefault="00FA45B0" w:rsidP="00FF7B23">
            <w:pPr>
              <w:pStyle w:val="TableColumnHeadingLeft"/>
              <w:rPr>
                <w:rFonts w:ascii="Arial" w:hAnsi="Arial" w:cs="Arial"/>
              </w:rPr>
            </w:pPr>
            <w:r w:rsidRPr="0080564B">
              <w:rPr>
                <w:rFonts w:ascii="Arial" w:hAnsi="Arial" w:cs="Arial"/>
              </w:rPr>
              <w:t xml:space="preserve">Key activities </w:t>
            </w:r>
          </w:p>
        </w:tc>
        <w:tc>
          <w:tcPr>
            <w:tcW w:w="6154" w:type="dxa"/>
            <w:gridSpan w:val="2"/>
            <w:tcBorders>
              <w:bottom w:val="double" w:sz="4" w:space="0" w:color="auto"/>
            </w:tcBorders>
          </w:tcPr>
          <w:p w14:paraId="60040C50" w14:textId="657DB574" w:rsidR="00FA45B0" w:rsidRPr="0080564B" w:rsidRDefault="00CF484F" w:rsidP="00FF7B23">
            <w:pPr>
              <w:pStyle w:val="TableTextLeft"/>
              <w:rPr>
                <w:rFonts w:cs="Arial"/>
              </w:rPr>
            </w:pPr>
            <w:r w:rsidRPr="00CF484F">
              <w:rPr>
                <w:rFonts w:eastAsia="Arial" w:cs="Arial"/>
              </w:rPr>
              <w:t>Austrade helps Australians overseas through the delivery of effective consular services, efficient passport services and practical contingency planning in designated locations, in accordance with DFAT’s Consular Services and Passports Client Services Charter.</w:t>
            </w:r>
          </w:p>
        </w:tc>
      </w:tr>
      <w:tr w:rsidR="0080564B" w:rsidRPr="0080564B" w14:paraId="707C3482" w14:textId="77777777" w:rsidTr="00793E4D">
        <w:trPr>
          <w:cantSplit/>
          <w:trHeight w:val="258"/>
        </w:trPr>
        <w:tc>
          <w:tcPr>
            <w:tcW w:w="1546" w:type="dxa"/>
            <w:tcBorders>
              <w:top w:val="double" w:sz="4" w:space="0" w:color="auto"/>
              <w:bottom w:val="single" w:sz="4" w:space="0" w:color="auto"/>
              <w:right w:val="single" w:sz="4" w:space="0" w:color="auto"/>
            </w:tcBorders>
          </w:tcPr>
          <w:p w14:paraId="77C0510D" w14:textId="77777777" w:rsidR="00FA45B0" w:rsidRPr="0080564B" w:rsidRDefault="00FA45B0" w:rsidP="00FF7B23">
            <w:pPr>
              <w:pStyle w:val="TableColumnHeadingLeft"/>
              <w:rPr>
                <w:rFonts w:ascii="Arial" w:hAnsi="Arial" w:cs="Arial"/>
              </w:rPr>
            </w:pPr>
            <w:r w:rsidRPr="0080564B">
              <w:rPr>
                <w:rFonts w:ascii="Arial" w:hAnsi="Arial" w:cs="Arial"/>
              </w:rPr>
              <w:t>Year</w:t>
            </w:r>
          </w:p>
        </w:tc>
        <w:tc>
          <w:tcPr>
            <w:tcW w:w="3077" w:type="dxa"/>
            <w:tcBorders>
              <w:top w:val="double" w:sz="4" w:space="0" w:color="auto"/>
              <w:left w:val="single" w:sz="4" w:space="0" w:color="auto"/>
              <w:bottom w:val="single" w:sz="4" w:space="0" w:color="auto"/>
              <w:right w:val="single" w:sz="4" w:space="0" w:color="auto"/>
            </w:tcBorders>
          </w:tcPr>
          <w:p w14:paraId="27F25C08" w14:textId="29FEC72E" w:rsidR="00FA45B0" w:rsidRPr="0080564B" w:rsidRDefault="00FA45B0" w:rsidP="00FF7B23">
            <w:pPr>
              <w:pStyle w:val="TableColumnHeadingLeft"/>
              <w:rPr>
                <w:rFonts w:ascii="Arial" w:hAnsi="Arial" w:cs="Arial"/>
              </w:rPr>
            </w:pPr>
            <w:r w:rsidRPr="0080564B">
              <w:rPr>
                <w:rFonts w:ascii="Arial" w:hAnsi="Arial" w:cs="Arial"/>
              </w:rPr>
              <w:t>Performance measures</w:t>
            </w:r>
          </w:p>
        </w:tc>
        <w:tc>
          <w:tcPr>
            <w:tcW w:w="3077" w:type="dxa"/>
            <w:tcBorders>
              <w:top w:val="double" w:sz="4" w:space="0" w:color="auto"/>
              <w:left w:val="single" w:sz="4" w:space="0" w:color="auto"/>
              <w:bottom w:val="single" w:sz="4" w:space="0" w:color="auto"/>
            </w:tcBorders>
          </w:tcPr>
          <w:p w14:paraId="17C15F92" w14:textId="77777777" w:rsidR="00FA45B0" w:rsidRPr="0080564B" w:rsidRDefault="00FA45B0" w:rsidP="00FF7B23">
            <w:pPr>
              <w:pStyle w:val="TableColumnHeadingLeft"/>
              <w:rPr>
                <w:rFonts w:ascii="Arial" w:hAnsi="Arial" w:cs="Arial"/>
              </w:rPr>
            </w:pPr>
            <w:r w:rsidRPr="0080564B">
              <w:rPr>
                <w:rFonts w:ascii="Arial" w:hAnsi="Arial" w:cs="Arial"/>
              </w:rPr>
              <w:t>Expected performance results</w:t>
            </w:r>
          </w:p>
        </w:tc>
      </w:tr>
      <w:tr w:rsidR="0080564B" w:rsidRPr="0080564B" w14:paraId="52ADF909" w14:textId="77777777" w:rsidTr="00793E4D">
        <w:trPr>
          <w:cantSplit/>
          <w:trHeight w:val="642"/>
        </w:trPr>
        <w:tc>
          <w:tcPr>
            <w:tcW w:w="1546" w:type="dxa"/>
            <w:tcBorders>
              <w:top w:val="single" w:sz="4" w:space="0" w:color="auto"/>
              <w:bottom w:val="dotted" w:sz="4" w:space="0" w:color="auto"/>
              <w:right w:val="single" w:sz="4" w:space="0" w:color="auto"/>
            </w:tcBorders>
          </w:tcPr>
          <w:p w14:paraId="67F76293" w14:textId="77777777" w:rsidR="00793E4D" w:rsidRPr="0080564B" w:rsidRDefault="00793E4D" w:rsidP="00793E4D">
            <w:pPr>
              <w:pStyle w:val="TableTextLeft"/>
              <w:rPr>
                <w:rFonts w:cs="Arial"/>
              </w:rPr>
            </w:pPr>
            <w:r w:rsidRPr="0080564B">
              <w:rPr>
                <w:rFonts w:cs="Arial"/>
              </w:rPr>
              <w:t xml:space="preserve">Current Year </w:t>
            </w:r>
          </w:p>
          <w:p w14:paraId="188D8B47" w14:textId="77777777" w:rsidR="00793E4D" w:rsidRPr="0080564B" w:rsidRDefault="00793E4D" w:rsidP="00793E4D">
            <w:pPr>
              <w:pStyle w:val="TableTextLeft"/>
              <w:rPr>
                <w:rFonts w:cs="Arial"/>
              </w:rPr>
            </w:pPr>
            <w:r w:rsidRPr="0080564B">
              <w:rPr>
                <w:rFonts w:cs="Arial"/>
              </w:rPr>
              <w:t>2025–26</w:t>
            </w:r>
          </w:p>
        </w:tc>
        <w:tc>
          <w:tcPr>
            <w:tcW w:w="3077" w:type="dxa"/>
            <w:tcBorders>
              <w:top w:val="single" w:sz="4" w:space="0" w:color="auto"/>
              <w:left w:val="single" w:sz="4" w:space="0" w:color="auto"/>
              <w:bottom w:val="dotted" w:sz="4" w:space="0" w:color="auto"/>
              <w:right w:val="single" w:sz="4" w:space="0" w:color="auto"/>
            </w:tcBorders>
          </w:tcPr>
          <w:p w14:paraId="171E1F35" w14:textId="712B5864" w:rsidR="00793E4D" w:rsidRPr="0080564B" w:rsidRDefault="00793E4D" w:rsidP="00793E4D">
            <w:pPr>
              <w:pStyle w:val="TableTextLeft"/>
              <w:rPr>
                <w:rFonts w:cs="Arial"/>
              </w:rPr>
            </w:pPr>
            <w:r w:rsidRPr="0080564B">
              <w:rPr>
                <w:rFonts w:eastAsia="Arial" w:cs="Arial"/>
              </w:rPr>
              <w:t xml:space="preserve">Effective delivery of consular and passport services to Australians overseas. </w:t>
            </w:r>
          </w:p>
        </w:tc>
        <w:tc>
          <w:tcPr>
            <w:tcW w:w="3077" w:type="dxa"/>
            <w:tcBorders>
              <w:top w:val="single" w:sz="4" w:space="0" w:color="auto"/>
              <w:left w:val="single" w:sz="4" w:space="0" w:color="auto"/>
              <w:bottom w:val="dotted" w:sz="4" w:space="0" w:color="auto"/>
            </w:tcBorders>
          </w:tcPr>
          <w:p w14:paraId="5855125A" w14:textId="1A612905" w:rsidR="00793E4D" w:rsidRPr="0080564B" w:rsidRDefault="00793E4D" w:rsidP="00793E4D">
            <w:pPr>
              <w:pStyle w:val="TableTextLeft"/>
              <w:rPr>
                <w:rFonts w:cs="Arial"/>
              </w:rPr>
            </w:pPr>
            <w:r w:rsidRPr="0080564B">
              <w:rPr>
                <w:rFonts w:eastAsia="Arial" w:cs="Arial"/>
              </w:rPr>
              <w:t xml:space="preserve">At least 97 per cent of passports processed by Austrade are without administrative errors. </w:t>
            </w:r>
          </w:p>
        </w:tc>
      </w:tr>
      <w:tr w:rsidR="0080564B" w:rsidRPr="0080564B" w14:paraId="3AB2D735" w14:textId="77777777" w:rsidTr="00793E4D">
        <w:trPr>
          <w:cantSplit/>
          <w:trHeight w:val="100"/>
        </w:trPr>
        <w:tc>
          <w:tcPr>
            <w:tcW w:w="1546" w:type="dxa"/>
            <w:tcBorders>
              <w:top w:val="single" w:sz="4" w:space="0" w:color="auto"/>
              <w:bottom w:val="dotted" w:sz="4" w:space="0" w:color="auto"/>
              <w:right w:val="single" w:sz="4" w:space="0" w:color="auto"/>
            </w:tcBorders>
          </w:tcPr>
          <w:p w14:paraId="7737AF26" w14:textId="77777777" w:rsidR="00FA45B0" w:rsidRPr="0080564B" w:rsidRDefault="00FA45B0" w:rsidP="00FF7B23">
            <w:pPr>
              <w:pStyle w:val="TableColumnHeadingLeft"/>
              <w:rPr>
                <w:rFonts w:ascii="Arial" w:hAnsi="Arial" w:cs="Arial"/>
              </w:rPr>
            </w:pPr>
            <w:r w:rsidRPr="0080564B">
              <w:rPr>
                <w:rFonts w:ascii="Arial" w:hAnsi="Arial" w:cs="Arial"/>
              </w:rPr>
              <w:t>Year</w:t>
            </w:r>
          </w:p>
        </w:tc>
        <w:tc>
          <w:tcPr>
            <w:tcW w:w="3077" w:type="dxa"/>
            <w:tcBorders>
              <w:top w:val="single" w:sz="4" w:space="0" w:color="auto"/>
              <w:left w:val="single" w:sz="4" w:space="0" w:color="auto"/>
              <w:bottom w:val="dotted" w:sz="4" w:space="0" w:color="auto"/>
              <w:right w:val="single" w:sz="4" w:space="0" w:color="auto"/>
            </w:tcBorders>
          </w:tcPr>
          <w:p w14:paraId="2E473FB0" w14:textId="657E879C" w:rsidR="00FA45B0" w:rsidRPr="0080564B" w:rsidRDefault="00FA45B0" w:rsidP="00FF7B23">
            <w:pPr>
              <w:pStyle w:val="TableColumnHeadingLeft"/>
              <w:rPr>
                <w:rFonts w:ascii="Arial" w:hAnsi="Arial" w:cs="Arial"/>
              </w:rPr>
            </w:pPr>
            <w:r w:rsidRPr="0080564B">
              <w:rPr>
                <w:rFonts w:ascii="Arial" w:hAnsi="Arial" w:cs="Arial"/>
              </w:rPr>
              <w:t>Performance measures</w:t>
            </w:r>
          </w:p>
        </w:tc>
        <w:tc>
          <w:tcPr>
            <w:tcW w:w="3077" w:type="dxa"/>
            <w:tcBorders>
              <w:top w:val="single" w:sz="4" w:space="0" w:color="auto"/>
              <w:left w:val="single" w:sz="4" w:space="0" w:color="auto"/>
              <w:bottom w:val="dotted" w:sz="4" w:space="0" w:color="auto"/>
            </w:tcBorders>
          </w:tcPr>
          <w:p w14:paraId="7E631894" w14:textId="1E429428" w:rsidR="00FA45B0" w:rsidRPr="0080564B" w:rsidRDefault="00FA45B0" w:rsidP="00FF7B23">
            <w:pPr>
              <w:pStyle w:val="TableColumnHeadingLeft"/>
              <w:rPr>
                <w:rFonts w:ascii="Arial" w:hAnsi="Arial" w:cs="Arial"/>
              </w:rPr>
            </w:pPr>
            <w:r w:rsidRPr="0080564B">
              <w:rPr>
                <w:rFonts w:ascii="Arial" w:hAnsi="Arial" w:cs="Arial"/>
              </w:rPr>
              <w:t>Planned performance results</w:t>
            </w:r>
          </w:p>
        </w:tc>
      </w:tr>
      <w:tr w:rsidR="0080564B" w:rsidRPr="0080564B" w14:paraId="0F8A018D" w14:textId="77777777" w:rsidTr="00793E4D">
        <w:trPr>
          <w:cantSplit/>
          <w:trHeight w:val="782"/>
        </w:trPr>
        <w:tc>
          <w:tcPr>
            <w:tcW w:w="1546" w:type="dxa"/>
            <w:tcBorders>
              <w:top w:val="single" w:sz="4" w:space="0" w:color="auto"/>
              <w:bottom w:val="dotted" w:sz="4" w:space="0" w:color="auto"/>
              <w:right w:val="single" w:sz="4" w:space="0" w:color="auto"/>
            </w:tcBorders>
          </w:tcPr>
          <w:p w14:paraId="79F6E664" w14:textId="77777777" w:rsidR="00793E4D" w:rsidRPr="0080564B" w:rsidRDefault="00793E4D" w:rsidP="00793E4D">
            <w:pPr>
              <w:pStyle w:val="TableTextLeft"/>
              <w:rPr>
                <w:rFonts w:cs="Arial"/>
              </w:rPr>
            </w:pPr>
            <w:r w:rsidRPr="0080564B">
              <w:rPr>
                <w:rFonts w:cs="Arial"/>
              </w:rPr>
              <w:t xml:space="preserve">Budget Year </w:t>
            </w:r>
          </w:p>
          <w:p w14:paraId="0FF177E0" w14:textId="77777777" w:rsidR="00793E4D" w:rsidRPr="0080564B" w:rsidRDefault="00793E4D" w:rsidP="00793E4D">
            <w:pPr>
              <w:pStyle w:val="TableTextLeft"/>
              <w:rPr>
                <w:rFonts w:cs="Arial"/>
              </w:rPr>
            </w:pPr>
            <w:r w:rsidRPr="0080564B">
              <w:rPr>
                <w:rFonts w:cs="Arial"/>
              </w:rPr>
              <w:t>2026–27</w:t>
            </w:r>
          </w:p>
        </w:tc>
        <w:tc>
          <w:tcPr>
            <w:tcW w:w="3077" w:type="dxa"/>
            <w:tcBorders>
              <w:top w:val="single" w:sz="4" w:space="0" w:color="auto"/>
              <w:left w:val="single" w:sz="4" w:space="0" w:color="auto"/>
              <w:bottom w:val="dotted" w:sz="4" w:space="0" w:color="auto"/>
              <w:right w:val="single" w:sz="4" w:space="0" w:color="auto"/>
            </w:tcBorders>
          </w:tcPr>
          <w:p w14:paraId="3D90956E" w14:textId="1570B938" w:rsidR="00793E4D" w:rsidRPr="0080564B" w:rsidRDefault="00793E4D" w:rsidP="00793E4D">
            <w:pPr>
              <w:pStyle w:val="TableTextLeft"/>
              <w:rPr>
                <w:rFonts w:cs="Arial"/>
              </w:rPr>
            </w:pPr>
            <w:r w:rsidRPr="0080564B">
              <w:rPr>
                <w:rFonts w:eastAsia="Arial" w:cs="Arial"/>
              </w:rPr>
              <w:t xml:space="preserve">Effective delivery of consular and passport services to Australians overseas. </w:t>
            </w:r>
          </w:p>
        </w:tc>
        <w:tc>
          <w:tcPr>
            <w:tcW w:w="3077" w:type="dxa"/>
            <w:tcBorders>
              <w:top w:val="single" w:sz="4" w:space="0" w:color="auto"/>
              <w:left w:val="single" w:sz="4" w:space="0" w:color="auto"/>
              <w:bottom w:val="dotted" w:sz="4" w:space="0" w:color="auto"/>
            </w:tcBorders>
          </w:tcPr>
          <w:p w14:paraId="6EC17A9E" w14:textId="2A6C8DE8" w:rsidR="00793E4D" w:rsidRPr="0080564B" w:rsidRDefault="00793E4D" w:rsidP="00793E4D">
            <w:pPr>
              <w:pStyle w:val="TableTextLeft"/>
              <w:rPr>
                <w:rFonts w:cs="Arial"/>
              </w:rPr>
            </w:pPr>
            <w:r w:rsidRPr="0080564B">
              <w:rPr>
                <w:rFonts w:eastAsia="Arial" w:cs="Arial"/>
              </w:rPr>
              <w:t xml:space="preserve">Maintained or improved compared to the previous year. </w:t>
            </w:r>
          </w:p>
        </w:tc>
      </w:tr>
      <w:tr w:rsidR="0080564B" w:rsidRPr="0080564B" w14:paraId="6A8777F1" w14:textId="77777777" w:rsidTr="00793E4D">
        <w:trPr>
          <w:cantSplit/>
          <w:trHeight w:val="491"/>
        </w:trPr>
        <w:tc>
          <w:tcPr>
            <w:tcW w:w="1546" w:type="dxa"/>
            <w:tcBorders>
              <w:top w:val="dotted" w:sz="4" w:space="0" w:color="auto"/>
              <w:bottom w:val="dotted" w:sz="4" w:space="0" w:color="auto"/>
              <w:right w:val="single" w:sz="4" w:space="0" w:color="auto"/>
            </w:tcBorders>
          </w:tcPr>
          <w:p w14:paraId="3C6A4555" w14:textId="77777777" w:rsidR="00793E4D" w:rsidRPr="0080564B" w:rsidRDefault="00793E4D" w:rsidP="00793E4D">
            <w:pPr>
              <w:pStyle w:val="TableTextLeft"/>
              <w:rPr>
                <w:rFonts w:cs="Arial"/>
              </w:rPr>
            </w:pPr>
            <w:r w:rsidRPr="0080564B">
              <w:rPr>
                <w:rFonts w:cs="Arial"/>
              </w:rPr>
              <w:t xml:space="preserve">Forward Estimates </w:t>
            </w:r>
          </w:p>
          <w:p w14:paraId="53F28FD1" w14:textId="77777777" w:rsidR="00793E4D" w:rsidRPr="0080564B" w:rsidRDefault="00793E4D" w:rsidP="00793E4D">
            <w:pPr>
              <w:pStyle w:val="TableTextLeft"/>
              <w:rPr>
                <w:rFonts w:cs="Arial"/>
                <w:b/>
              </w:rPr>
            </w:pPr>
            <w:r w:rsidRPr="0080564B">
              <w:rPr>
                <w:rFonts w:cs="Arial"/>
              </w:rPr>
              <w:t>2027–30</w:t>
            </w:r>
          </w:p>
        </w:tc>
        <w:tc>
          <w:tcPr>
            <w:tcW w:w="3077" w:type="dxa"/>
            <w:tcBorders>
              <w:top w:val="dotted" w:sz="4" w:space="0" w:color="auto"/>
              <w:left w:val="single" w:sz="4" w:space="0" w:color="auto"/>
              <w:bottom w:val="dotted" w:sz="4" w:space="0" w:color="auto"/>
              <w:right w:val="single" w:sz="4" w:space="0" w:color="auto"/>
            </w:tcBorders>
          </w:tcPr>
          <w:p w14:paraId="4D825183" w14:textId="0F2D71D6" w:rsidR="00793E4D" w:rsidRPr="0080564B" w:rsidRDefault="00793E4D" w:rsidP="00793E4D">
            <w:pPr>
              <w:pStyle w:val="TableTextLeft"/>
              <w:rPr>
                <w:rFonts w:cs="Arial"/>
                <w:b/>
              </w:rPr>
            </w:pPr>
            <w:r w:rsidRPr="0080564B">
              <w:rPr>
                <w:rFonts w:eastAsia="Arial" w:cs="Arial"/>
              </w:rPr>
              <w:t>As per 2026</w:t>
            </w:r>
            <w:r w:rsidR="007C0821" w:rsidRPr="003A00DB">
              <w:rPr>
                <w:rFonts w:cs="Arial"/>
              </w:rPr>
              <w:t>–</w:t>
            </w:r>
            <w:r w:rsidRPr="0080564B">
              <w:rPr>
                <w:rFonts w:eastAsia="Arial" w:cs="Arial"/>
              </w:rPr>
              <w:t>27</w:t>
            </w:r>
            <w:r w:rsidRPr="0080564B">
              <w:rPr>
                <w:rFonts w:eastAsia="Arial" w:cs="Arial"/>
                <w:b/>
              </w:rPr>
              <w:t xml:space="preserve"> </w:t>
            </w:r>
          </w:p>
        </w:tc>
        <w:tc>
          <w:tcPr>
            <w:tcW w:w="3077" w:type="dxa"/>
            <w:tcBorders>
              <w:top w:val="dotted" w:sz="4" w:space="0" w:color="auto"/>
              <w:left w:val="single" w:sz="4" w:space="0" w:color="auto"/>
              <w:bottom w:val="dotted" w:sz="4" w:space="0" w:color="auto"/>
            </w:tcBorders>
          </w:tcPr>
          <w:p w14:paraId="47CEFB32" w14:textId="5599B2BB" w:rsidR="00793E4D" w:rsidRPr="0080564B" w:rsidRDefault="00793E4D" w:rsidP="00793E4D">
            <w:pPr>
              <w:pStyle w:val="TableTextLeft"/>
              <w:rPr>
                <w:rFonts w:cs="Arial"/>
                <w:b/>
              </w:rPr>
            </w:pPr>
            <w:r w:rsidRPr="0080564B">
              <w:rPr>
                <w:rFonts w:eastAsia="Arial" w:cs="Arial"/>
              </w:rPr>
              <w:t>As per 2026</w:t>
            </w:r>
            <w:r w:rsidR="007C0821" w:rsidRPr="003A00DB">
              <w:rPr>
                <w:rFonts w:cs="Arial"/>
              </w:rPr>
              <w:t>–</w:t>
            </w:r>
            <w:r w:rsidRPr="0080564B">
              <w:rPr>
                <w:rFonts w:eastAsia="Arial" w:cs="Arial"/>
              </w:rPr>
              <w:t>27</w:t>
            </w:r>
            <w:r w:rsidRPr="0080564B">
              <w:rPr>
                <w:rFonts w:eastAsia="Arial" w:cs="Arial"/>
                <w:b/>
              </w:rPr>
              <w:t xml:space="preserve"> </w:t>
            </w:r>
          </w:p>
        </w:tc>
      </w:tr>
      <w:tr w:rsidR="0080564B" w:rsidRPr="0080564B" w14:paraId="325F25A3" w14:textId="77777777" w:rsidTr="00793E4D">
        <w:trPr>
          <w:cantSplit/>
          <w:trHeight w:val="261"/>
        </w:trPr>
        <w:tc>
          <w:tcPr>
            <w:tcW w:w="7700" w:type="dxa"/>
            <w:gridSpan w:val="3"/>
          </w:tcPr>
          <w:p w14:paraId="6A113D07" w14:textId="0E28AFF1" w:rsidR="00FA45B0" w:rsidRPr="0080564B" w:rsidRDefault="00FA45B0" w:rsidP="00FF7B23">
            <w:pPr>
              <w:pStyle w:val="TableTextLeft"/>
              <w:rPr>
                <w:rFonts w:eastAsia="Cambria" w:cs="Arial"/>
                <w:spacing w:val="-6"/>
              </w:rPr>
            </w:pPr>
            <w:r w:rsidRPr="0080564B">
              <w:rPr>
                <w:rFonts w:cs="Arial"/>
              </w:rPr>
              <w:t xml:space="preserve">Material changes to Program </w:t>
            </w:r>
            <w:r w:rsidR="00793E4D" w:rsidRPr="0080564B">
              <w:rPr>
                <w:rFonts w:cs="Arial"/>
              </w:rPr>
              <w:t xml:space="preserve">2.1 </w:t>
            </w:r>
            <w:r w:rsidRPr="0080564B">
              <w:rPr>
                <w:rFonts w:cs="Arial"/>
              </w:rPr>
              <w:t>resulting from 2026–27 Budget Measures:</w:t>
            </w:r>
            <w:r w:rsidRPr="0080564B">
              <w:rPr>
                <w:rFonts w:eastAsia="Cambria" w:cs="Arial"/>
                <w:spacing w:val="-6"/>
                <w:lang w:eastAsia="en-US"/>
              </w:rPr>
              <w:t xml:space="preserve"> </w:t>
            </w:r>
            <w:r w:rsidR="00793E4D" w:rsidRPr="0080564B">
              <w:rPr>
                <w:rFonts w:eastAsia="Cambria" w:cs="Arial"/>
                <w:spacing w:val="-6"/>
                <w:lang w:eastAsia="en-US"/>
              </w:rPr>
              <w:t>Nil</w:t>
            </w:r>
          </w:p>
        </w:tc>
      </w:tr>
    </w:tbl>
    <w:p w14:paraId="21069A3B" w14:textId="6A686E67" w:rsidR="00FA45B0" w:rsidRPr="00FA45B0" w:rsidRDefault="00FA45B0" w:rsidP="00FA45B0">
      <w:pPr>
        <w:spacing w:before="0" w:after="0" w:line="240" w:lineRule="auto"/>
      </w:pPr>
      <w:r>
        <w:br w:type="page"/>
      </w:r>
    </w:p>
    <w:p w14:paraId="58B8F3C1" w14:textId="77777777" w:rsidR="00E7366F" w:rsidRPr="006913EB" w:rsidRDefault="00E7366F" w:rsidP="00E7366F">
      <w:pPr>
        <w:pStyle w:val="Heading2"/>
      </w:pPr>
      <w:r w:rsidRPr="006913EB">
        <w:lastRenderedPageBreak/>
        <w:t>Section 3: Budgeted financial statements</w:t>
      </w:r>
    </w:p>
    <w:p w14:paraId="4A6C198A" w14:textId="77777777" w:rsidR="00E7366F" w:rsidRDefault="00E7366F" w:rsidP="00E7366F">
      <w:r>
        <w:t>Section 3 presents budgeted financial statements which provide a comprehensive snapshot of entity finances for the 2026–27</w:t>
      </w:r>
      <w:r>
        <w:rPr>
          <w:color w:val="00B050"/>
        </w:rPr>
        <w:t xml:space="preserve"> </w:t>
      </w:r>
      <w:r>
        <w:t>budget year, including the impact of budget measures and resourcing on financial statements.</w:t>
      </w:r>
    </w:p>
    <w:p w14:paraId="301CA896" w14:textId="77777777" w:rsidR="00E7366F" w:rsidRPr="005328A9" w:rsidRDefault="00E7366F" w:rsidP="00E7366F">
      <w:pPr>
        <w:pStyle w:val="Heading3"/>
      </w:pPr>
      <w:r w:rsidRPr="005328A9">
        <w:t>3.1</w:t>
      </w:r>
      <w:r w:rsidRPr="005328A9">
        <w:tab/>
        <w:t>Budgeted financial statements</w:t>
      </w:r>
    </w:p>
    <w:p w14:paraId="2B4B85E5" w14:textId="7CC4C025" w:rsidR="00E7366F" w:rsidRDefault="00E7366F" w:rsidP="00E7366F">
      <w:pPr>
        <w:pStyle w:val="Heading4"/>
      </w:pPr>
      <w:r>
        <w:t>3.1.</w:t>
      </w:r>
      <w:r w:rsidR="00313B3F">
        <w:t>1</w:t>
      </w:r>
      <w:r>
        <w:tab/>
        <w:t>Explanatory notes and analysis of budgeted financial statements</w:t>
      </w:r>
    </w:p>
    <w:p w14:paraId="2CCB3E12" w14:textId="5FB6F11C" w:rsidR="002F7C97" w:rsidRDefault="002F7C97" w:rsidP="00E7366F">
      <w:pPr>
        <w:pStyle w:val="ExampleText0"/>
        <w:spacing w:after="160"/>
        <w:rPr>
          <w:i w:val="0"/>
          <w:iCs/>
          <w:color w:val="auto"/>
        </w:rPr>
      </w:pPr>
      <w:r w:rsidRPr="002F7C97">
        <w:rPr>
          <w:i w:val="0"/>
          <w:iCs/>
          <w:color w:val="auto"/>
        </w:rPr>
        <w:t>An analysis of Austrade’s budgeted financial statements, as reflected in the departmental financial statements and administered schedules, is provided below. </w:t>
      </w:r>
    </w:p>
    <w:p w14:paraId="297C0537" w14:textId="48504F9E" w:rsidR="00EB55F6" w:rsidRPr="00A76734" w:rsidRDefault="00EB55F6" w:rsidP="00EB55F6">
      <w:pPr>
        <w:pStyle w:val="Heading4"/>
        <w:rPr>
          <w:color w:val="000000" w:themeColor="text1"/>
        </w:rPr>
      </w:pPr>
      <w:r>
        <w:rPr>
          <w:color w:val="000000" w:themeColor="text1"/>
        </w:rPr>
        <w:t xml:space="preserve">Departmental </w:t>
      </w:r>
      <w:r w:rsidR="008A5FE3">
        <w:rPr>
          <w:color w:val="000000" w:themeColor="text1"/>
        </w:rPr>
        <w:t>f</w:t>
      </w:r>
      <w:r>
        <w:rPr>
          <w:color w:val="000000" w:themeColor="text1"/>
        </w:rPr>
        <w:t xml:space="preserve">inancial </w:t>
      </w:r>
      <w:r w:rsidR="008A5FE3">
        <w:rPr>
          <w:color w:val="000000" w:themeColor="text1"/>
        </w:rPr>
        <w:t>s</w:t>
      </w:r>
      <w:r>
        <w:rPr>
          <w:color w:val="000000" w:themeColor="text1"/>
        </w:rPr>
        <w:t>tatement</w:t>
      </w:r>
      <w:r w:rsidR="003277B5">
        <w:rPr>
          <w:color w:val="000000" w:themeColor="text1"/>
        </w:rPr>
        <w:t>s</w:t>
      </w:r>
      <w:r>
        <w:rPr>
          <w:color w:val="000000" w:themeColor="text1"/>
        </w:rPr>
        <w:t xml:space="preserve"> </w:t>
      </w:r>
    </w:p>
    <w:p w14:paraId="4835654E" w14:textId="54FD1FE7" w:rsidR="00EB55F6" w:rsidRDefault="00D76990" w:rsidP="00E7366F">
      <w:pPr>
        <w:pStyle w:val="ExampleText0"/>
        <w:spacing w:after="160"/>
        <w:rPr>
          <w:i w:val="0"/>
          <w:iCs/>
          <w:color w:val="auto"/>
        </w:rPr>
      </w:pPr>
      <w:r w:rsidRPr="00D76990">
        <w:rPr>
          <w:i w:val="0"/>
          <w:iCs/>
          <w:color w:val="auto"/>
        </w:rPr>
        <w:t>The Departmental financial statements represent the assets, liabilities, revenues, and expenses which are controlled by Austrade. Departmental expenses include employee and supplier expenses and other administrative costs which are incurred by Austrade in undertaking its operations. </w:t>
      </w:r>
    </w:p>
    <w:p w14:paraId="4B35E652" w14:textId="2C64C980" w:rsidR="00D76990" w:rsidRPr="00A76734" w:rsidRDefault="00D76990" w:rsidP="00D76990">
      <w:pPr>
        <w:pStyle w:val="Heading4"/>
        <w:rPr>
          <w:color w:val="000000" w:themeColor="text1"/>
        </w:rPr>
      </w:pPr>
      <w:r>
        <w:rPr>
          <w:color w:val="000000" w:themeColor="text1"/>
        </w:rPr>
        <w:t>Budgeted departmental comprehensive income statement</w:t>
      </w:r>
    </w:p>
    <w:p w14:paraId="3E44EE84" w14:textId="3CE90FA9" w:rsidR="00AF60DC" w:rsidRPr="00AF60DC" w:rsidRDefault="00AF60DC" w:rsidP="00AF60DC">
      <w:pPr>
        <w:pStyle w:val="ExampleText0"/>
        <w:spacing w:after="160"/>
        <w:rPr>
          <w:i w:val="0"/>
          <w:iCs/>
          <w:color w:val="auto"/>
        </w:rPr>
      </w:pPr>
      <w:r w:rsidRPr="00AF60DC">
        <w:rPr>
          <w:i w:val="0"/>
          <w:iCs/>
          <w:color w:val="auto"/>
        </w:rPr>
        <w:t>This statement provides estimated actual financial results for 2025</w:t>
      </w:r>
      <w:r w:rsidR="00963C2B">
        <w:rPr>
          <w:i w:val="0"/>
          <w:iCs/>
          <w:color w:val="auto"/>
        </w:rPr>
        <w:t>–</w:t>
      </w:r>
      <w:r w:rsidRPr="00AF60DC">
        <w:rPr>
          <w:i w:val="0"/>
          <w:iCs/>
          <w:color w:val="auto"/>
        </w:rPr>
        <w:t>26 and the estimated revenue and expenses for 2026</w:t>
      </w:r>
      <w:r w:rsidR="00963C2B">
        <w:rPr>
          <w:i w:val="0"/>
          <w:iCs/>
          <w:color w:val="auto"/>
        </w:rPr>
        <w:t>–</w:t>
      </w:r>
      <w:r w:rsidRPr="00AF60DC">
        <w:rPr>
          <w:i w:val="0"/>
          <w:iCs/>
          <w:color w:val="auto"/>
        </w:rPr>
        <w:t>27 and forward years.  </w:t>
      </w:r>
    </w:p>
    <w:p w14:paraId="757F0FD9" w14:textId="33B118CA" w:rsidR="00AF60DC" w:rsidRPr="00AF60DC" w:rsidRDefault="00AF60DC" w:rsidP="00AF60DC">
      <w:pPr>
        <w:pStyle w:val="ExampleText0"/>
        <w:spacing w:after="160"/>
        <w:rPr>
          <w:i w:val="0"/>
          <w:iCs/>
          <w:color w:val="auto"/>
        </w:rPr>
      </w:pPr>
      <w:r w:rsidRPr="00AF60DC">
        <w:rPr>
          <w:i w:val="0"/>
          <w:iCs/>
          <w:color w:val="auto"/>
        </w:rPr>
        <w:t>Total income in 2026</w:t>
      </w:r>
      <w:r w:rsidR="00963C2B">
        <w:rPr>
          <w:i w:val="0"/>
          <w:iCs/>
          <w:color w:val="auto"/>
        </w:rPr>
        <w:t>–</w:t>
      </w:r>
      <w:r w:rsidRPr="00AF60DC">
        <w:rPr>
          <w:i w:val="0"/>
          <w:iCs/>
          <w:color w:val="auto"/>
        </w:rPr>
        <w:t>27 is estimated to be $305.8 million, a decrease of $3.1 million from  </w:t>
      </w:r>
      <w:r w:rsidRPr="00AF60DC">
        <w:rPr>
          <w:i w:val="0"/>
          <w:iCs/>
          <w:color w:val="auto"/>
        </w:rPr>
        <w:br/>
        <w:t>2025</w:t>
      </w:r>
      <w:r w:rsidR="00963C2B">
        <w:rPr>
          <w:i w:val="0"/>
          <w:iCs/>
          <w:color w:val="auto"/>
        </w:rPr>
        <w:t>–</w:t>
      </w:r>
      <w:r w:rsidRPr="00AF60DC">
        <w:rPr>
          <w:i w:val="0"/>
          <w:iCs/>
          <w:color w:val="auto"/>
        </w:rPr>
        <w:t>26. Total estimated expenses for 2026</w:t>
      </w:r>
      <w:r w:rsidR="00963C2B">
        <w:rPr>
          <w:i w:val="0"/>
          <w:iCs/>
          <w:color w:val="auto"/>
        </w:rPr>
        <w:t>–</w:t>
      </w:r>
      <w:r w:rsidRPr="00AF60DC">
        <w:rPr>
          <w:i w:val="0"/>
          <w:iCs/>
          <w:color w:val="auto"/>
        </w:rPr>
        <w:t>27 decrease commensurately. </w:t>
      </w:r>
    </w:p>
    <w:p w14:paraId="34243386" w14:textId="735E3C6C" w:rsidR="00AF60DC" w:rsidRPr="00A76734" w:rsidRDefault="00AF60DC" w:rsidP="00AF60DC">
      <w:pPr>
        <w:pStyle w:val="Heading4"/>
        <w:rPr>
          <w:color w:val="000000" w:themeColor="text1"/>
        </w:rPr>
      </w:pPr>
      <w:r>
        <w:rPr>
          <w:color w:val="000000" w:themeColor="text1"/>
        </w:rPr>
        <w:t>Budgeted departmental balance sheet</w:t>
      </w:r>
    </w:p>
    <w:p w14:paraId="75EA22F9" w14:textId="633E8995" w:rsidR="00D76990" w:rsidRDefault="00AF60DC" w:rsidP="00E7366F">
      <w:pPr>
        <w:pStyle w:val="ExampleText0"/>
        <w:spacing w:after="160"/>
        <w:rPr>
          <w:i w:val="0"/>
          <w:iCs/>
          <w:color w:val="auto"/>
        </w:rPr>
      </w:pPr>
      <w:r w:rsidRPr="00AF60DC">
        <w:rPr>
          <w:i w:val="0"/>
          <w:iCs/>
          <w:color w:val="auto"/>
        </w:rPr>
        <w:t>This statement discloses the estimated end of year financial position for Austrade. Austrade’s budgeted net asset position at the end of 2026</w:t>
      </w:r>
      <w:r w:rsidR="00963C2B">
        <w:rPr>
          <w:i w:val="0"/>
          <w:iCs/>
          <w:color w:val="auto"/>
        </w:rPr>
        <w:t>–</w:t>
      </w:r>
      <w:r w:rsidRPr="00AF60DC">
        <w:rPr>
          <w:i w:val="0"/>
          <w:iCs/>
          <w:color w:val="auto"/>
        </w:rPr>
        <w:t>27 is $47.9 million, representing a slight increase from the net asset position at the end of the 2025</w:t>
      </w:r>
      <w:r w:rsidR="00963C2B">
        <w:rPr>
          <w:i w:val="0"/>
          <w:iCs/>
          <w:color w:val="auto"/>
        </w:rPr>
        <w:t>–</w:t>
      </w:r>
      <w:r w:rsidRPr="00AF60DC">
        <w:rPr>
          <w:i w:val="0"/>
          <w:iCs/>
          <w:color w:val="auto"/>
        </w:rPr>
        <w:t>26 financial year.  </w:t>
      </w:r>
    </w:p>
    <w:p w14:paraId="5F31D04E" w14:textId="31344DC6" w:rsidR="00AF60DC" w:rsidRPr="00A76734" w:rsidRDefault="00AF60DC" w:rsidP="00AF60DC">
      <w:pPr>
        <w:pStyle w:val="Heading4"/>
        <w:rPr>
          <w:color w:val="000000" w:themeColor="text1"/>
        </w:rPr>
      </w:pPr>
      <w:r>
        <w:rPr>
          <w:color w:val="000000" w:themeColor="text1"/>
        </w:rPr>
        <w:t>Departmental capital budget</w:t>
      </w:r>
      <w:r w:rsidR="00097FCA">
        <w:rPr>
          <w:color w:val="000000" w:themeColor="text1"/>
        </w:rPr>
        <w:t xml:space="preserve"> statement</w:t>
      </w:r>
    </w:p>
    <w:p w14:paraId="40E3979E" w14:textId="0258A0B9" w:rsidR="00AF60DC" w:rsidRDefault="00AF60DC" w:rsidP="00E7366F">
      <w:pPr>
        <w:pStyle w:val="ExampleText0"/>
        <w:spacing w:after="160"/>
        <w:rPr>
          <w:i w:val="0"/>
          <w:iCs/>
          <w:color w:val="auto"/>
        </w:rPr>
      </w:pPr>
      <w:r w:rsidRPr="00AF60DC">
        <w:rPr>
          <w:i w:val="0"/>
          <w:iCs/>
          <w:color w:val="auto"/>
        </w:rPr>
        <w:t>This statement shows all planned departmental capital expenditure on non-financial assets, whether funded through capital appropriations, equity injections, borrowings, or funds from internal sources. </w:t>
      </w:r>
    </w:p>
    <w:p w14:paraId="30FD3B03" w14:textId="2C003351" w:rsidR="00AF60DC" w:rsidRDefault="00AF60DC" w:rsidP="00AF60DC">
      <w:pPr>
        <w:pStyle w:val="Heading4"/>
        <w:rPr>
          <w:color w:val="000000" w:themeColor="text1"/>
        </w:rPr>
      </w:pPr>
      <w:r>
        <w:rPr>
          <w:color w:val="000000" w:themeColor="text1"/>
        </w:rPr>
        <w:t>Departmental statement of asset movements</w:t>
      </w:r>
    </w:p>
    <w:p w14:paraId="2F5568D2" w14:textId="4FC82B2E" w:rsidR="00AF60DC" w:rsidRDefault="00AF60DC" w:rsidP="00AF60DC">
      <w:r w:rsidRPr="00AF60DC">
        <w:t>This statement shows budgeted acquisitions and disposals of non-financial assets during the budget year. </w:t>
      </w:r>
    </w:p>
    <w:p w14:paraId="0428EE47" w14:textId="7227B5EB" w:rsidR="00AF60DC" w:rsidRDefault="00AF60DC" w:rsidP="00AF60DC">
      <w:pPr>
        <w:pStyle w:val="Heading4"/>
        <w:rPr>
          <w:color w:val="000000" w:themeColor="text1"/>
        </w:rPr>
      </w:pPr>
      <w:r>
        <w:rPr>
          <w:color w:val="000000" w:themeColor="text1"/>
        </w:rPr>
        <w:t>Schedule of administered activity</w:t>
      </w:r>
    </w:p>
    <w:p w14:paraId="51EF8B94" w14:textId="27F7CEF9" w:rsidR="00AF60DC" w:rsidRPr="00AF60DC" w:rsidRDefault="005F08BD" w:rsidP="00AF60DC">
      <w:r w:rsidRPr="005F08BD">
        <w:t>Details of transactions administered by Austrade on behalf of the Government are shown in the following schedules to the financial statements. </w:t>
      </w:r>
    </w:p>
    <w:p w14:paraId="1F0A4AE6" w14:textId="49F3CE2C" w:rsidR="005F08BD" w:rsidRDefault="005F08BD" w:rsidP="005F08BD">
      <w:pPr>
        <w:pStyle w:val="Heading4"/>
        <w:rPr>
          <w:color w:val="000000" w:themeColor="text1"/>
        </w:rPr>
      </w:pPr>
      <w:r>
        <w:rPr>
          <w:color w:val="000000" w:themeColor="text1"/>
        </w:rPr>
        <w:lastRenderedPageBreak/>
        <w:t>Schedule of budgeted income and expenses administered on behalf of Government</w:t>
      </w:r>
    </w:p>
    <w:p w14:paraId="32FCB53B" w14:textId="77777777" w:rsidR="00331666" w:rsidRPr="00331666" w:rsidRDefault="00331666" w:rsidP="00331666">
      <w:r w:rsidRPr="00331666">
        <w:t>This schedule discloses revenue and expenses administered on behalf of the Government. </w:t>
      </w:r>
    </w:p>
    <w:p w14:paraId="23C15DE5" w14:textId="4E716265" w:rsidR="00331666" w:rsidRPr="00331666" w:rsidRDefault="00331666" w:rsidP="00331666">
      <w:r w:rsidRPr="00331666">
        <w:t>Administered expenses of $120.9 million for 2026</w:t>
      </w:r>
      <w:r w:rsidR="000D67A8">
        <w:t>–</w:t>
      </w:r>
      <w:r w:rsidRPr="00331666">
        <w:t>27 financial year relate to the Export Market Development Grants (EMDG) program ($110</w:t>
      </w:r>
      <w:r w:rsidR="002A0740">
        <w:t>.0</w:t>
      </w:r>
      <w:r w:rsidRPr="00331666">
        <w:t> million), Sculpture by the Sea program ($0.</w:t>
      </w:r>
      <w:r w:rsidR="00454D7E">
        <w:t>45</w:t>
      </w:r>
      <w:r w:rsidRPr="00331666">
        <w:t> million), Supporting Australian Tourism and Travel program ($1.5 million), Supporting Australian Tourism and Travel Extension ($1</w:t>
      </w:r>
      <w:r w:rsidR="002A0740">
        <w:t>.0</w:t>
      </w:r>
      <w:r w:rsidRPr="00331666">
        <w:t xml:space="preserve"> million) and Supporting Australia’s Trade and Tourism Industries programs ($</w:t>
      </w:r>
      <w:r w:rsidR="00454D7E">
        <w:t>7.95</w:t>
      </w:r>
      <w:r w:rsidRPr="00331666">
        <w:t> million). </w:t>
      </w:r>
    </w:p>
    <w:p w14:paraId="4C3BDC47" w14:textId="76382D8A" w:rsidR="00331666" w:rsidRPr="00331666" w:rsidRDefault="00331666" w:rsidP="00331666">
      <w:r w:rsidRPr="00331666">
        <w:t>Administered expenditure in 2026</w:t>
      </w:r>
      <w:r w:rsidR="000D67A8">
        <w:t>–</w:t>
      </w:r>
      <w:r w:rsidRPr="00331666">
        <w:t>27 is estimated to be $2</w:t>
      </w:r>
      <w:r w:rsidR="002A0740">
        <w:t>.0</w:t>
      </w:r>
      <w:r w:rsidRPr="00331666">
        <w:t xml:space="preserve"> million greater than administered resourcing provided through Appropriation Bill 1 in 2026</w:t>
      </w:r>
      <w:r w:rsidR="000D67A8">
        <w:t>–</w:t>
      </w:r>
      <w:r w:rsidRPr="00331666">
        <w:t>27. Austrade was appropriated for this expenditure in 2025</w:t>
      </w:r>
      <w:r w:rsidR="000D67A8">
        <w:t>–</w:t>
      </w:r>
      <w:r w:rsidRPr="00331666">
        <w:t>26. </w:t>
      </w:r>
    </w:p>
    <w:p w14:paraId="38B64C3B" w14:textId="25439C9C" w:rsidR="00331666" w:rsidRDefault="00331666" w:rsidP="00331666">
      <w:pPr>
        <w:pStyle w:val="Heading4"/>
        <w:rPr>
          <w:color w:val="000000" w:themeColor="text1"/>
        </w:rPr>
      </w:pPr>
      <w:r>
        <w:rPr>
          <w:color w:val="000000" w:themeColor="text1"/>
        </w:rPr>
        <w:t>Schedule of budgeted assets and liabilities administered on behalf of Government</w:t>
      </w:r>
    </w:p>
    <w:p w14:paraId="69857B77" w14:textId="77777777" w:rsidR="00331666" w:rsidRPr="00331666" w:rsidRDefault="00331666" w:rsidP="00331666">
      <w:pPr>
        <w:rPr>
          <w:lang w:val="en-US"/>
        </w:rPr>
      </w:pPr>
      <w:r w:rsidRPr="00331666">
        <w:t>This schedule identifies the assets and liabilities administered on behalf of the Government.</w:t>
      </w:r>
      <w:r w:rsidRPr="00331666">
        <w:rPr>
          <w:lang w:val="en-US"/>
        </w:rPr>
        <w:t> </w:t>
      </w:r>
    </w:p>
    <w:p w14:paraId="40DE6377" w14:textId="10738637" w:rsidR="00331666" w:rsidRPr="00331666" w:rsidRDefault="00331666" w:rsidP="00331666">
      <w:pPr>
        <w:rPr>
          <w:lang w:val="en-US"/>
        </w:rPr>
      </w:pPr>
      <w:r w:rsidRPr="00331666">
        <w:t>Total administered assets and liabilities for 2025</w:t>
      </w:r>
      <w:r w:rsidR="000D67A8">
        <w:t>–</w:t>
      </w:r>
      <w:r w:rsidRPr="00331666">
        <w:t>26 are estimated at $0.9 million and $15.9</w:t>
      </w:r>
      <w:r>
        <w:t> </w:t>
      </w:r>
      <w:r w:rsidRPr="00331666">
        <w:t>million respectively. Liabilities administered on behalf of Government relate to provisions recognised for grant payments from the EMDG program where the timing of those payments is uncertain.</w:t>
      </w:r>
      <w:r w:rsidRPr="00331666">
        <w:rPr>
          <w:lang w:val="en-US"/>
        </w:rPr>
        <w:t> </w:t>
      </w:r>
    </w:p>
    <w:p w14:paraId="2E5C22D3" w14:textId="024F2DA1" w:rsidR="00331666" w:rsidRDefault="00331666" w:rsidP="00331666">
      <w:pPr>
        <w:pStyle w:val="Heading4"/>
        <w:rPr>
          <w:color w:val="000000" w:themeColor="text1"/>
        </w:rPr>
      </w:pPr>
      <w:r>
        <w:rPr>
          <w:color w:val="000000" w:themeColor="text1"/>
        </w:rPr>
        <w:t xml:space="preserve">Schedule budgeted </w:t>
      </w:r>
      <w:r w:rsidR="008A5FE3">
        <w:rPr>
          <w:color w:val="000000" w:themeColor="text1"/>
        </w:rPr>
        <w:t xml:space="preserve">administered </w:t>
      </w:r>
      <w:r>
        <w:rPr>
          <w:color w:val="000000" w:themeColor="text1"/>
        </w:rPr>
        <w:t>cash flows</w:t>
      </w:r>
    </w:p>
    <w:p w14:paraId="59597504" w14:textId="75C41681" w:rsidR="00331666" w:rsidRPr="00331666" w:rsidRDefault="00331666" w:rsidP="00331666">
      <w:r w:rsidRPr="00331666">
        <w:t>This schedule shows cash flows administered on behalf of the Government. All cash received is expected to be expended on the relevant programs. </w:t>
      </w:r>
    </w:p>
    <w:p w14:paraId="1238E2EE" w14:textId="77777777" w:rsidR="00E7366F" w:rsidRPr="00E36F77" w:rsidRDefault="00E7366F" w:rsidP="00E7366F">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2B668BF2" w14:textId="77777777" w:rsidR="00E7366F" w:rsidRPr="00960553" w:rsidRDefault="00E7366F" w:rsidP="00E7366F">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3F55591E" w14:textId="155AE15F" w:rsidR="00E7366F" w:rsidRDefault="00623E35" w:rsidP="00E7366F">
      <w:pPr>
        <w:pStyle w:val="TableGraphic"/>
        <w:rPr>
          <w:noProof/>
        </w:rPr>
      </w:pPr>
      <w:r w:rsidRPr="00623E35">
        <w:rPr>
          <w:noProof/>
        </w:rPr>
        <w:drawing>
          <wp:inline distT="0" distB="0" distL="0" distR="0" wp14:anchorId="7E87F570" wp14:editId="6FFB4389">
            <wp:extent cx="4820920" cy="4008755"/>
            <wp:effectExtent l="0" t="0" r="0" b="0"/>
            <wp:docPr id="18121080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20920" cy="4008755"/>
                    </a:xfrm>
                    <a:prstGeom prst="rect">
                      <a:avLst/>
                    </a:prstGeom>
                    <a:noFill/>
                    <a:ln>
                      <a:noFill/>
                    </a:ln>
                  </pic:spPr>
                </pic:pic>
              </a:graphicData>
            </a:graphic>
          </wp:inline>
        </w:drawing>
      </w:r>
    </w:p>
    <w:p w14:paraId="69EB4398" w14:textId="77777777" w:rsidR="00754DCA" w:rsidRPr="00B325CF" w:rsidRDefault="00754DCA" w:rsidP="00754DCA">
      <w:pPr>
        <w:spacing w:before="0" w:after="0" w:line="240" w:lineRule="auto"/>
        <w:rPr>
          <w:rFonts w:ascii="Arial" w:hAnsi="Arial" w:cs="Arial"/>
          <w:sz w:val="16"/>
          <w:szCs w:val="16"/>
        </w:rPr>
      </w:pPr>
      <w:r w:rsidRPr="00B325CF">
        <w:rPr>
          <w:rFonts w:ascii="Arial" w:hAnsi="Arial" w:cs="Arial"/>
          <w:sz w:val="16"/>
          <w:szCs w:val="16"/>
        </w:rPr>
        <w:t xml:space="preserve">Table </w:t>
      </w:r>
      <w:proofErr w:type="gramStart"/>
      <w:r w:rsidRPr="00B325CF">
        <w:rPr>
          <w:rFonts w:ascii="Arial" w:hAnsi="Arial" w:cs="Arial"/>
          <w:sz w:val="16"/>
          <w:szCs w:val="16"/>
        </w:rPr>
        <w:t>continued on</w:t>
      </w:r>
      <w:proofErr w:type="gramEnd"/>
      <w:r w:rsidRPr="00B325CF">
        <w:rPr>
          <w:rFonts w:ascii="Arial" w:hAnsi="Arial" w:cs="Arial"/>
          <w:sz w:val="16"/>
          <w:szCs w:val="16"/>
        </w:rPr>
        <w:t xml:space="preserve"> the next page.</w:t>
      </w:r>
    </w:p>
    <w:p w14:paraId="0B5F5ADD" w14:textId="77777777" w:rsidR="00754DCA" w:rsidRDefault="00754DCA" w:rsidP="00E7366F">
      <w:pPr>
        <w:spacing w:before="0" w:after="0" w:line="240" w:lineRule="auto"/>
      </w:pPr>
    </w:p>
    <w:p w14:paraId="4848B96D" w14:textId="7935432F" w:rsidR="00E7366F" w:rsidRDefault="00E7366F" w:rsidP="00E7366F">
      <w:pPr>
        <w:spacing w:before="0" w:after="0" w:line="240" w:lineRule="auto"/>
      </w:pPr>
      <w:r w:rsidRPr="001D3237">
        <w:br w:type="page"/>
      </w:r>
    </w:p>
    <w:p w14:paraId="28FE6929" w14:textId="77777777" w:rsidR="00E7366F" w:rsidRPr="00AB4CF9" w:rsidRDefault="00E7366F" w:rsidP="00E7366F">
      <w:pPr>
        <w:pStyle w:val="TableHeadingcontinued"/>
        <w:rPr>
          <w:snapToGrid w:val="0"/>
        </w:rPr>
      </w:pPr>
      <w:r w:rsidRPr="00AB4CF9">
        <w:lastRenderedPageBreak/>
        <w:t xml:space="preserve">Table 3.1: Comprehensive income statement (showing net cost of services) </w:t>
      </w:r>
      <w:r w:rsidRPr="00AB4CF9">
        <w:rPr>
          <w:snapToGrid w:val="0"/>
        </w:rPr>
        <w:t>for the period ended 30 June (continued)</w:t>
      </w:r>
    </w:p>
    <w:p w14:paraId="43150636" w14:textId="77777777" w:rsidR="00E7366F" w:rsidRPr="00C557C1" w:rsidRDefault="00E7366F" w:rsidP="00E7366F">
      <w:pPr>
        <w:pStyle w:val="TableGraphic"/>
        <w:rPr>
          <w:snapToGrid w:val="0"/>
        </w:rPr>
      </w:pPr>
    </w:p>
    <w:p w14:paraId="189C27ED" w14:textId="77777777" w:rsidR="00E7366F" w:rsidRDefault="00E7366F" w:rsidP="00E7366F">
      <w:pPr>
        <w:pStyle w:val="TableHeading"/>
      </w:pPr>
      <w:r w:rsidRPr="003819E1">
        <w:t>Note: Impact of net cash appropriation arrangements</w:t>
      </w:r>
    </w:p>
    <w:p w14:paraId="39B46E90" w14:textId="6D08C251" w:rsidR="00E7366F" w:rsidRDefault="00754DCA" w:rsidP="00E7366F">
      <w:pPr>
        <w:pStyle w:val="TableGraphic"/>
      </w:pPr>
      <w:r w:rsidRPr="00754DCA">
        <w:rPr>
          <w:noProof/>
        </w:rPr>
        <w:drawing>
          <wp:inline distT="0" distB="0" distL="0" distR="0" wp14:anchorId="3E2D600B" wp14:editId="30FCCB1C">
            <wp:extent cx="4820920" cy="2150745"/>
            <wp:effectExtent l="0" t="0" r="0" b="1905"/>
            <wp:docPr id="2230958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20920" cy="2150745"/>
                    </a:xfrm>
                    <a:prstGeom prst="rect">
                      <a:avLst/>
                    </a:prstGeom>
                    <a:noFill/>
                    <a:ln>
                      <a:noFill/>
                    </a:ln>
                  </pic:spPr>
                </pic:pic>
              </a:graphicData>
            </a:graphic>
          </wp:inline>
        </w:drawing>
      </w:r>
    </w:p>
    <w:p w14:paraId="5A025E61" w14:textId="77777777" w:rsidR="00E7366F" w:rsidRPr="009D54F3" w:rsidRDefault="00E7366F" w:rsidP="00E7366F">
      <w:pPr>
        <w:pStyle w:val="ChartandTableFootnote"/>
        <w:rPr>
          <w:rFonts w:cs="Arial"/>
        </w:rPr>
      </w:pPr>
      <w:r>
        <w:t>Prepared on Australian Accounting Standards basis.</w:t>
      </w:r>
    </w:p>
    <w:p w14:paraId="27EBA7CD" w14:textId="2680E5A1" w:rsidR="00E7366F" w:rsidRPr="00A71243" w:rsidRDefault="00E7366F" w:rsidP="00707A3D">
      <w:pPr>
        <w:pStyle w:val="ChartandTableFootnoteAlpha"/>
        <w:numPr>
          <w:ilvl w:val="0"/>
          <w:numId w:val="21"/>
        </w:numPr>
        <w:spacing w:line="259" w:lineRule="auto"/>
        <w:rPr>
          <w:rFonts w:cs="Arial"/>
          <w:color w:val="auto"/>
          <w:szCs w:val="16"/>
        </w:rPr>
      </w:pPr>
      <w:r w:rsidRPr="00A71243">
        <w:rPr>
          <w:rFonts w:cs="Arial"/>
        </w:rPr>
        <w:t>From 2010</w:t>
      </w:r>
      <w:r w:rsidR="00970CCA">
        <w:rPr>
          <w:rFonts w:cs="Arial"/>
        </w:rPr>
        <w:t>–</w:t>
      </w:r>
      <w:r w:rsidRPr="00A71243">
        <w:rPr>
          <w:rFonts w:cs="Arial"/>
        </w:rPr>
        <w:t>11, the Government introduced net cash appropriation arrangements that provided non</w:t>
      </w:r>
      <w:r w:rsidRPr="00A71243">
        <w:rPr>
          <w:rFonts w:ascii="Cambria Math" w:hAnsi="Cambria Math" w:cs="Cambria Math"/>
        </w:rPr>
        <w:t>‑</w:t>
      </w:r>
      <w:r w:rsidRPr="00A71243">
        <w:rPr>
          <w:rFonts w:cs="Arial"/>
        </w:rPr>
        <w:t>corporate Commonwealth entities with a separate Departmental Capital Budget (DCB) under Appropriation Bill (No. 1). This replaced revenue appropriations provided under Appropriation Bill (No. 1) used for the depreciation/amortisation expenses. For information regarding DCBs, please refer to Table 3.5 Departmental Capital Budget Statement.</w:t>
      </w:r>
    </w:p>
    <w:p w14:paraId="169120EB" w14:textId="77777777" w:rsidR="00E7366F" w:rsidRDefault="00E7366F" w:rsidP="005F2FDC">
      <w:pPr>
        <w:pStyle w:val="ChartandTableFootnoteAlpha"/>
        <w:numPr>
          <w:ilvl w:val="0"/>
          <w:numId w:val="11"/>
        </w:numPr>
      </w:pPr>
      <w:r>
        <w:t>Applies leases under AASB 16 Leases.</w:t>
      </w:r>
    </w:p>
    <w:p w14:paraId="58A888BF" w14:textId="77777777" w:rsidR="00E7366F" w:rsidRDefault="00E7366F" w:rsidP="00E7366F">
      <w:pPr>
        <w:spacing w:before="0" w:after="0" w:line="240" w:lineRule="auto"/>
        <w:rPr>
          <w:highlight w:val="cyan"/>
        </w:rPr>
      </w:pPr>
      <w:r>
        <w:rPr>
          <w:highlight w:val="cyan"/>
        </w:rPr>
        <w:br w:type="page"/>
      </w:r>
    </w:p>
    <w:p w14:paraId="5492FC20" w14:textId="77777777" w:rsidR="00E7366F" w:rsidRPr="00960553" w:rsidRDefault="00E7366F" w:rsidP="00E7366F">
      <w:pPr>
        <w:pStyle w:val="TableHeading"/>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25DF3151" w14:textId="6EA834A3" w:rsidR="00E7366F" w:rsidRDefault="00754DCA" w:rsidP="00E7366F">
      <w:pPr>
        <w:pStyle w:val="TableGraphic"/>
      </w:pPr>
      <w:r w:rsidRPr="00754DCA">
        <w:rPr>
          <w:noProof/>
        </w:rPr>
        <w:drawing>
          <wp:inline distT="0" distB="0" distL="0" distR="0" wp14:anchorId="0B611C08" wp14:editId="63B69613">
            <wp:extent cx="4820920" cy="5427980"/>
            <wp:effectExtent l="0" t="0" r="0" b="1270"/>
            <wp:docPr id="2316893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20920" cy="5427980"/>
                    </a:xfrm>
                    <a:prstGeom prst="rect">
                      <a:avLst/>
                    </a:prstGeom>
                    <a:noFill/>
                    <a:ln>
                      <a:noFill/>
                    </a:ln>
                  </pic:spPr>
                </pic:pic>
              </a:graphicData>
            </a:graphic>
          </wp:inline>
        </w:drawing>
      </w:r>
    </w:p>
    <w:p w14:paraId="7E73B428" w14:textId="77777777" w:rsidR="00E7366F" w:rsidRPr="00132F9E" w:rsidRDefault="00E7366F" w:rsidP="00E7366F">
      <w:pPr>
        <w:pStyle w:val="ChartandTableFootnote"/>
      </w:pPr>
      <w:r w:rsidRPr="00132F9E">
        <w:t xml:space="preserve">Prepared on </w:t>
      </w:r>
      <w:r w:rsidRPr="00446EE2">
        <w:rPr>
          <w:rStyle w:val="ChartandTableFootnoteChar"/>
        </w:rPr>
        <w:t>Australian</w:t>
      </w:r>
      <w:r w:rsidRPr="00132F9E">
        <w:t xml:space="preserve"> Accounting Standards basis.</w:t>
      </w:r>
    </w:p>
    <w:p w14:paraId="37D36A87" w14:textId="77777777" w:rsidR="00E7366F" w:rsidRPr="0082593D" w:rsidRDefault="00E7366F" w:rsidP="00E7366F">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44AA8A98" w14:textId="77777777" w:rsidR="00E7366F" w:rsidRDefault="00E7366F" w:rsidP="00E7366F">
      <w:pPr>
        <w:spacing w:before="0" w:after="0" w:line="240" w:lineRule="auto"/>
        <w:rPr>
          <w:highlight w:val="green"/>
        </w:rPr>
      </w:pPr>
      <w:r>
        <w:rPr>
          <w:highlight w:val="green"/>
        </w:rPr>
        <w:br w:type="page"/>
      </w:r>
    </w:p>
    <w:p w14:paraId="5D93C2FB" w14:textId="77777777" w:rsidR="00E7366F" w:rsidRPr="00960553" w:rsidRDefault="00E7366F" w:rsidP="00E7366F">
      <w:pPr>
        <w:pStyle w:val="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08AC0841" w14:textId="22B8CB04" w:rsidR="00E7366F" w:rsidRPr="00D606C2" w:rsidRDefault="00EC48E2" w:rsidP="00E7366F">
      <w:pPr>
        <w:pStyle w:val="TableGraphic"/>
      </w:pPr>
      <w:r w:rsidRPr="00EC48E2">
        <w:rPr>
          <w:noProof/>
        </w:rPr>
        <w:drawing>
          <wp:inline distT="0" distB="0" distL="0" distR="0" wp14:anchorId="2C44A97B" wp14:editId="511160BB">
            <wp:extent cx="4389120" cy="3299460"/>
            <wp:effectExtent l="0" t="0" r="0" b="0"/>
            <wp:docPr id="5730479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89120" cy="3299460"/>
                    </a:xfrm>
                    <a:prstGeom prst="rect">
                      <a:avLst/>
                    </a:prstGeom>
                    <a:noFill/>
                    <a:ln>
                      <a:noFill/>
                    </a:ln>
                  </pic:spPr>
                </pic:pic>
              </a:graphicData>
            </a:graphic>
          </wp:inline>
        </w:drawing>
      </w:r>
    </w:p>
    <w:p w14:paraId="4AC55CC3" w14:textId="60F954CD" w:rsidR="00E7366F" w:rsidRPr="00132F9E" w:rsidRDefault="00E7366F" w:rsidP="00E7366F">
      <w:pPr>
        <w:pStyle w:val="ChartandTableFootnote"/>
        <w:rPr>
          <w:szCs w:val="16"/>
        </w:rPr>
      </w:pPr>
      <w:r w:rsidRPr="00D606C2">
        <w:t>Prepared on Australian Accounting Standards basis</w:t>
      </w:r>
      <w:r w:rsidR="00EC48E2">
        <w:t xml:space="preserve">. </w:t>
      </w:r>
    </w:p>
    <w:p w14:paraId="4430BF93" w14:textId="77777777" w:rsidR="00E7366F" w:rsidRDefault="00E7366F" w:rsidP="00E7366F">
      <w:r w:rsidRPr="001D3237">
        <w:br w:type="page"/>
      </w:r>
    </w:p>
    <w:p w14:paraId="1D324AFD" w14:textId="77777777" w:rsidR="00E7366F" w:rsidRPr="00960553" w:rsidRDefault="00E7366F" w:rsidP="00E7366F">
      <w:pPr>
        <w:pStyle w:val="TableHeading"/>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43B121B7" w14:textId="1A2D9D06" w:rsidR="00E7366F" w:rsidRPr="00A00283" w:rsidRDefault="00623E35" w:rsidP="00E7366F">
      <w:pPr>
        <w:pStyle w:val="TableGraphic"/>
      </w:pPr>
      <w:r w:rsidRPr="00623E35">
        <w:rPr>
          <w:noProof/>
        </w:rPr>
        <w:drawing>
          <wp:inline distT="0" distB="0" distL="0" distR="0" wp14:anchorId="19D9CEEF" wp14:editId="624F6048">
            <wp:extent cx="4820920" cy="5713095"/>
            <wp:effectExtent l="0" t="0" r="0" b="1905"/>
            <wp:docPr id="3785696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20920" cy="5713095"/>
                    </a:xfrm>
                    <a:prstGeom prst="rect">
                      <a:avLst/>
                    </a:prstGeom>
                    <a:noFill/>
                    <a:ln>
                      <a:noFill/>
                    </a:ln>
                  </pic:spPr>
                </pic:pic>
              </a:graphicData>
            </a:graphic>
          </wp:inline>
        </w:drawing>
      </w:r>
    </w:p>
    <w:p w14:paraId="7D67330E" w14:textId="77777777" w:rsidR="00E7366F" w:rsidRDefault="00E7366F" w:rsidP="00E7366F">
      <w:pPr>
        <w:pStyle w:val="ChartandTableFootnote"/>
      </w:pPr>
      <w:r w:rsidRPr="00132F9E">
        <w:t>Prepared on Australian Accounting Standards basis.</w:t>
      </w:r>
    </w:p>
    <w:p w14:paraId="7B1EAE85" w14:textId="77777777" w:rsidR="00E7366F" w:rsidRDefault="00E7366F" w:rsidP="00E7366F">
      <w:r w:rsidRPr="00A9767E">
        <w:br w:type="page"/>
      </w:r>
    </w:p>
    <w:p w14:paraId="631A300E" w14:textId="77777777" w:rsidR="00E7366F" w:rsidRPr="00960553" w:rsidRDefault="00E7366F" w:rsidP="00E7366F">
      <w:pPr>
        <w:pStyle w:val="TableHeading"/>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7EB28025" w14:textId="6D5E211D" w:rsidR="00E7366F" w:rsidRPr="0043795A" w:rsidRDefault="0041789E" w:rsidP="00E7366F">
      <w:pPr>
        <w:pStyle w:val="TableGraphic"/>
      </w:pPr>
      <w:r w:rsidRPr="0041789E">
        <w:rPr>
          <w:noProof/>
        </w:rPr>
        <w:drawing>
          <wp:inline distT="0" distB="0" distL="0" distR="0" wp14:anchorId="23E4A59E" wp14:editId="520D901A">
            <wp:extent cx="4820920" cy="3255010"/>
            <wp:effectExtent l="0" t="0" r="0" b="2540"/>
            <wp:docPr id="11616381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20920" cy="3255010"/>
                    </a:xfrm>
                    <a:prstGeom prst="rect">
                      <a:avLst/>
                    </a:prstGeom>
                    <a:noFill/>
                    <a:ln>
                      <a:noFill/>
                    </a:ln>
                  </pic:spPr>
                </pic:pic>
              </a:graphicData>
            </a:graphic>
          </wp:inline>
        </w:drawing>
      </w:r>
    </w:p>
    <w:p w14:paraId="20EAFD56" w14:textId="77777777" w:rsidR="00E7366F" w:rsidRDefault="00E7366F" w:rsidP="00E7366F">
      <w:pPr>
        <w:pStyle w:val="ChartandTableFootnote"/>
      </w:pPr>
      <w:r>
        <w:t>P</w:t>
      </w:r>
      <w:r w:rsidRPr="00132F9E">
        <w:t>repared on Australian Accounting Standards basis.</w:t>
      </w:r>
    </w:p>
    <w:p w14:paraId="588B814F" w14:textId="77777777" w:rsidR="00E7366F" w:rsidRPr="00A71243" w:rsidRDefault="00E7366F" w:rsidP="00707A3D">
      <w:pPr>
        <w:pStyle w:val="ChartandTableFootnoteAlpha"/>
        <w:numPr>
          <w:ilvl w:val="0"/>
          <w:numId w:val="22"/>
        </w:numPr>
        <w:rPr>
          <w:rFonts w:cs="Arial"/>
        </w:rPr>
      </w:pPr>
      <w:r w:rsidRPr="00A71243">
        <w:rPr>
          <w:rFonts w:cs="Arial"/>
        </w:rPr>
        <w:t>Includes both current Appropriation Bill (No. 2) and prior Appropriation Act (No. 2/4/6).</w:t>
      </w:r>
    </w:p>
    <w:p w14:paraId="7AEC873E" w14:textId="77777777" w:rsidR="00E7366F" w:rsidRPr="00132F9E" w:rsidRDefault="00E7366F" w:rsidP="00E7366F">
      <w:pPr>
        <w:pStyle w:val="ChartandTableFootnoteAlpha"/>
        <w:numPr>
          <w:ilvl w:val="0"/>
          <w:numId w:val="7"/>
        </w:numPr>
        <w:spacing w:line="259" w:lineRule="auto"/>
        <w:rPr>
          <w:rFonts w:cs="Arial"/>
          <w:color w:val="000000" w:themeColor="text1"/>
          <w:szCs w:val="16"/>
        </w:rPr>
      </w:pPr>
      <w:r w:rsidRPr="5D51FF8B">
        <w:rPr>
          <w:rFonts w:cs="Arial"/>
        </w:rPr>
        <w:t>Includes purchases from current and previous years</w:t>
      </w:r>
      <w:r>
        <w:rPr>
          <w:rFonts w:cs="Arial"/>
        </w:rPr>
        <w:t>’</w:t>
      </w:r>
      <w:r w:rsidRPr="5D51FF8B">
        <w:rPr>
          <w:rFonts w:cs="Arial"/>
        </w:rPr>
        <w:t xml:space="preserve"> Departmental Capital Budgets (DCBs).</w:t>
      </w:r>
    </w:p>
    <w:p w14:paraId="65230206" w14:textId="77777777" w:rsidR="00E7366F" w:rsidRDefault="00E7366F" w:rsidP="00E7366F">
      <w:pPr>
        <w:pStyle w:val="ChartandTableFootnote-Dash"/>
        <w:ind w:left="0" w:firstLine="0"/>
      </w:pPr>
    </w:p>
    <w:p w14:paraId="0B119C7D" w14:textId="77777777" w:rsidR="00E7366F" w:rsidRDefault="00E7366F" w:rsidP="00E7366F">
      <w:pPr>
        <w:spacing w:before="0" w:after="0" w:line="240" w:lineRule="auto"/>
        <w:rPr>
          <w:rFonts w:ascii="Arial" w:hAnsi="Arial"/>
          <w:sz w:val="16"/>
        </w:rPr>
      </w:pPr>
      <w:r>
        <w:br w:type="page"/>
      </w:r>
    </w:p>
    <w:p w14:paraId="3DAD2800" w14:textId="77777777" w:rsidR="00E7366F" w:rsidRPr="00960553" w:rsidRDefault="00E7366F" w:rsidP="00E7366F">
      <w:pPr>
        <w:pStyle w:val="TableHeadingcontinued"/>
      </w:pPr>
      <w:r w:rsidRPr="00D30CBA">
        <w:lastRenderedPageBreak/>
        <w:t>Table</w:t>
      </w:r>
      <w:r>
        <w:t xml:space="preserve"> 3.6</w:t>
      </w:r>
      <w:r w:rsidRPr="00D30CBA">
        <w:t xml:space="preserve">: </w:t>
      </w:r>
      <w:r>
        <w:t xml:space="preserve">Statement of departmental asset movements (Budget year 2026–27) </w:t>
      </w:r>
    </w:p>
    <w:p w14:paraId="36E45181" w14:textId="283C69C0" w:rsidR="00E7366F" w:rsidRDefault="00114803" w:rsidP="00E7366F">
      <w:pPr>
        <w:pStyle w:val="ChartandTableFootnote"/>
      </w:pPr>
      <w:r w:rsidRPr="00114803">
        <w:rPr>
          <w:noProof/>
        </w:rPr>
        <w:drawing>
          <wp:inline distT="0" distB="0" distL="0" distR="0" wp14:anchorId="78B8A63B" wp14:editId="145BFE6D">
            <wp:extent cx="4549775" cy="4915535"/>
            <wp:effectExtent l="0" t="0" r="3175" b="0"/>
            <wp:docPr id="10003736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49775" cy="4915535"/>
                    </a:xfrm>
                    <a:prstGeom prst="rect">
                      <a:avLst/>
                    </a:prstGeom>
                    <a:noFill/>
                    <a:ln>
                      <a:noFill/>
                    </a:ln>
                  </pic:spPr>
                </pic:pic>
              </a:graphicData>
            </a:graphic>
          </wp:inline>
        </w:drawing>
      </w:r>
    </w:p>
    <w:p w14:paraId="7017A2F8" w14:textId="77777777" w:rsidR="00E7366F" w:rsidRDefault="00E7366F" w:rsidP="00E7366F">
      <w:pPr>
        <w:pStyle w:val="ChartandTableFootnote"/>
      </w:pPr>
      <w:r w:rsidRPr="00132F9E">
        <w:t>Prepared on Australian Accounting Standards basis.</w:t>
      </w:r>
    </w:p>
    <w:p w14:paraId="3E4BD0AC" w14:textId="05639EEE" w:rsidR="00E7366F" w:rsidRPr="00A71243" w:rsidRDefault="00E7366F" w:rsidP="00707A3D">
      <w:pPr>
        <w:pStyle w:val="ChartandTableFootnoteAlpha"/>
        <w:numPr>
          <w:ilvl w:val="0"/>
          <w:numId w:val="23"/>
        </w:numPr>
        <w:spacing w:line="259" w:lineRule="auto"/>
        <w:rPr>
          <w:rFonts w:cs="Arial"/>
          <w:color w:val="000000" w:themeColor="text1"/>
        </w:rPr>
      </w:pPr>
      <w:r w:rsidRPr="00A71243">
        <w:rPr>
          <w:rFonts w:cs="Arial"/>
        </w:rPr>
        <w:t xml:space="preserve">‘Appropriation equity’ refers to equity injection appropriations provided through </w:t>
      </w:r>
      <w:r w:rsidRPr="00114803">
        <w:rPr>
          <w:rFonts w:cs="Arial"/>
          <w:i/>
          <w:iCs/>
        </w:rPr>
        <w:t>Appropriation Bill (No. 2) 2026–2027</w:t>
      </w:r>
      <w:r w:rsidR="00114803">
        <w:rPr>
          <w:rFonts w:cs="Arial"/>
        </w:rPr>
        <w:t xml:space="preserve">. </w:t>
      </w:r>
    </w:p>
    <w:p w14:paraId="7D9129A7" w14:textId="77777777" w:rsidR="00E7366F" w:rsidRPr="00AF0A7A" w:rsidRDefault="00E7366F" w:rsidP="00E7366F">
      <w:pPr>
        <w:pStyle w:val="ChartandTableFootnoteAlpha"/>
        <w:numPr>
          <w:ilvl w:val="0"/>
          <w:numId w:val="8"/>
        </w:numPr>
        <w:spacing w:line="259" w:lineRule="auto"/>
        <w:rPr>
          <w:rFonts w:cs="Arial"/>
          <w:color w:val="000000" w:themeColor="text1"/>
        </w:rPr>
      </w:pPr>
      <w:r w:rsidRPr="00AF0A7A">
        <w:rPr>
          <w:rFonts w:cs="Arial"/>
        </w:rPr>
        <w:t xml:space="preserve">‘Appropriation ordinary annual services’ refers to funding provided through </w:t>
      </w:r>
      <w:r w:rsidRPr="00114803">
        <w:rPr>
          <w:rFonts w:cs="Arial"/>
          <w:i/>
          <w:iCs/>
        </w:rPr>
        <w:t>Appropriation Bill (No. 1) 2026–2027</w:t>
      </w:r>
      <w:r w:rsidRPr="00AF0A7A">
        <w:rPr>
          <w:rFonts w:cs="Arial"/>
        </w:rPr>
        <w:t xml:space="preserve"> for depreciation/amortisation expenses, DCBs or other operational expenses.</w:t>
      </w:r>
    </w:p>
    <w:p w14:paraId="73F2F4D8" w14:textId="34F700B3" w:rsidR="00B96BB1" w:rsidRDefault="00B96BB1">
      <w:pPr>
        <w:spacing w:before="0" w:after="0" w:line="240" w:lineRule="auto"/>
        <w:rPr>
          <w:rFonts w:ascii="Arial" w:hAnsi="Arial"/>
          <w:sz w:val="16"/>
        </w:rPr>
      </w:pPr>
      <w:r>
        <w:br w:type="page"/>
      </w:r>
    </w:p>
    <w:p w14:paraId="70035AD7" w14:textId="77777777" w:rsidR="00B96BB1" w:rsidRDefault="00B96BB1" w:rsidP="00B96BB1">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4A98BCDB" w14:textId="2C66A5A1" w:rsidR="00B96BB1" w:rsidRDefault="009C55C9" w:rsidP="00B96BB1">
      <w:pPr>
        <w:pStyle w:val="ChartandTableFootnote"/>
      </w:pPr>
      <w:r w:rsidRPr="009C55C9">
        <w:rPr>
          <w:noProof/>
        </w:rPr>
        <w:drawing>
          <wp:inline distT="0" distB="0" distL="0" distR="0" wp14:anchorId="6BE99987" wp14:editId="5C07A58B">
            <wp:extent cx="4820920" cy="1726565"/>
            <wp:effectExtent l="0" t="0" r="0" b="6985"/>
            <wp:docPr id="104043660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20920" cy="1726565"/>
                    </a:xfrm>
                    <a:prstGeom prst="rect">
                      <a:avLst/>
                    </a:prstGeom>
                    <a:noFill/>
                    <a:ln>
                      <a:noFill/>
                    </a:ln>
                  </pic:spPr>
                </pic:pic>
              </a:graphicData>
            </a:graphic>
          </wp:inline>
        </w:drawing>
      </w:r>
    </w:p>
    <w:p w14:paraId="1B4598D1" w14:textId="10C4024B" w:rsidR="00B96BB1" w:rsidRPr="00933A7D" w:rsidRDefault="00B96BB1" w:rsidP="00B96BB1">
      <w:pPr>
        <w:pStyle w:val="ChartandTableFootnote"/>
      </w:pPr>
      <w:r w:rsidRPr="00E4582E">
        <w:t>Prepared on Australian Accounting Standards basis</w:t>
      </w:r>
      <w:r>
        <w:t>.</w:t>
      </w:r>
    </w:p>
    <w:p w14:paraId="1243847B" w14:textId="77777777" w:rsidR="00B96BB1" w:rsidRDefault="00B96BB1" w:rsidP="00E7366F">
      <w:pPr>
        <w:pStyle w:val="ChartandTableFootnote-Dash"/>
        <w:ind w:left="0" w:firstLine="0"/>
      </w:pPr>
    </w:p>
    <w:p w14:paraId="50BAD955" w14:textId="77777777" w:rsidR="00B96BB1" w:rsidRDefault="00B96BB1" w:rsidP="00E7366F">
      <w:pPr>
        <w:pStyle w:val="ChartandTableFootnote-Dash"/>
        <w:ind w:left="0" w:firstLine="0"/>
      </w:pPr>
    </w:p>
    <w:p w14:paraId="36915370" w14:textId="59BBE925" w:rsidR="00B96BB1" w:rsidRDefault="00B96BB1">
      <w:pPr>
        <w:spacing w:before="0" w:after="0" w:line="240" w:lineRule="auto"/>
        <w:rPr>
          <w:rFonts w:ascii="Arial" w:hAnsi="Arial"/>
          <w:sz w:val="16"/>
        </w:rPr>
      </w:pPr>
      <w:r>
        <w:br w:type="page"/>
      </w:r>
    </w:p>
    <w:p w14:paraId="3C3BF355" w14:textId="77777777" w:rsidR="00B96BB1" w:rsidRPr="00F807F1" w:rsidRDefault="00B96BB1" w:rsidP="00B96BB1">
      <w:pPr>
        <w:pStyle w:val="TableHeading"/>
        <w:rPr>
          <w:rFonts w:ascii="Times New Roman" w:hAnsi="Times New Roman"/>
        </w:rPr>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19A99399" w14:textId="0A313D10" w:rsidR="00B96BB1" w:rsidRDefault="00BB3D07" w:rsidP="00B96BB1">
      <w:pPr>
        <w:pStyle w:val="TableGraphic"/>
        <w:rPr>
          <w:noProof/>
        </w:rPr>
      </w:pPr>
      <w:r w:rsidRPr="00BB3D07">
        <w:rPr>
          <w:noProof/>
        </w:rPr>
        <w:drawing>
          <wp:inline distT="0" distB="0" distL="0" distR="0" wp14:anchorId="32CFCC78" wp14:editId="6CD388BA">
            <wp:extent cx="4820920" cy="2867660"/>
            <wp:effectExtent l="0" t="0" r="0" b="8890"/>
            <wp:docPr id="6492274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20920" cy="2867660"/>
                    </a:xfrm>
                    <a:prstGeom prst="rect">
                      <a:avLst/>
                    </a:prstGeom>
                    <a:noFill/>
                    <a:ln>
                      <a:noFill/>
                    </a:ln>
                  </pic:spPr>
                </pic:pic>
              </a:graphicData>
            </a:graphic>
          </wp:inline>
        </w:drawing>
      </w:r>
    </w:p>
    <w:p w14:paraId="1990097C" w14:textId="77777777" w:rsidR="00B96BB1" w:rsidRPr="00B7521F" w:rsidRDefault="00B96BB1" w:rsidP="00B96BB1">
      <w:pPr>
        <w:pStyle w:val="ChartandTableFootnote"/>
      </w:pPr>
      <w:r w:rsidRPr="00B7521F">
        <w:t>Prepared on Australian Accounting Standards basis.</w:t>
      </w:r>
    </w:p>
    <w:p w14:paraId="18EC269B" w14:textId="77777777" w:rsidR="00B96BB1" w:rsidRDefault="00B96BB1" w:rsidP="00E7366F">
      <w:pPr>
        <w:pStyle w:val="ChartandTableFootnote-Dash"/>
        <w:ind w:left="0" w:firstLine="0"/>
      </w:pPr>
    </w:p>
    <w:p w14:paraId="3E2526A4" w14:textId="77777777" w:rsidR="00B96BB1" w:rsidRDefault="00B96BB1" w:rsidP="00E7366F">
      <w:pPr>
        <w:pStyle w:val="ChartandTableFootnote-Dash"/>
        <w:ind w:left="0" w:firstLine="0"/>
      </w:pPr>
    </w:p>
    <w:p w14:paraId="4258C5E3" w14:textId="33635C9B" w:rsidR="00B96BB1" w:rsidRDefault="00B96BB1">
      <w:pPr>
        <w:spacing w:before="0" w:after="0" w:line="240" w:lineRule="auto"/>
        <w:rPr>
          <w:rFonts w:ascii="Arial" w:hAnsi="Arial"/>
          <w:sz w:val="16"/>
        </w:rPr>
      </w:pPr>
      <w:r>
        <w:br w:type="page"/>
      </w:r>
    </w:p>
    <w:p w14:paraId="5757A248" w14:textId="77777777" w:rsidR="00B96BB1" w:rsidRPr="00F807F1" w:rsidRDefault="00B96BB1" w:rsidP="00B96BB1">
      <w:pPr>
        <w:pStyle w:val="TableHeading"/>
        <w:rPr>
          <w:rFonts w:ascii="Times New Roman" w:hAnsi="Times New Roman"/>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18553D78" w14:textId="296033F6" w:rsidR="00B96BB1" w:rsidRDefault="00C8301A" w:rsidP="00B96BB1">
      <w:pPr>
        <w:pStyle w:val="TableGraphic"/>
      </w:pPr>
      <w:r w:rsidRPr="00C8301A">
        <w:rPr>
          <w:noProof/>
        </w:rPr>
        <w:drawing>
          <wp:inline distT="0" distB="0" distL="0" distR="0" wp14:anchorId="5754A465" wp14:editId="49ED22E3">
            <wp:extent cx="4820920" cy="2574925"/>
            <wp:effectExtent l="0" t="0" r="0" b="0"/>
            <wp:docPr id="18300712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20920" cy="2574925"/>
                    </a:xfrm>
                    <a:prstGeom prst="rect">
                      <a:avLst/>
                    </a:prstGeom>
                    <a:noFill/>
                    <a:ln>
                      <a:noFill/>
                    </a:ln>
                  </pic:spPr>
                </pic:pic>
              </a:graphicData>
            </a:graphic>
          </wp:inline>
        </w:drawing>
      </w:r>
    </w:p>
    <w:p w14:paraId="1923DB5E" w14:textId="77777777" w:rsidR="00B96BB1" w:rsidRDefault="00B96BB1" w:rsidP="00B96BB1">
      <w:pPr>
        <w:pStyle w:val="ChartandTableFootnote"/>
      </w:pPr>
      <w:r w:rsidRPr="000B200F">
        <w:t>Prepared on Australian Accounting Standards basis.</w:t>
      </w:r>
    </w:p>
    <w:p w14:paraId="05E46541" w14:textId="77777777" w:rsidR="00B96BB1" w:rsidRDefault="00B96BB1" w:rsidP="00E7366F">
      <w:pPr>
        <w:pStyle w:val="ChartandTableFootnote-Dash"/>
        <w:ind w:left="0" w:firstLine="0"/>
      </w:pPr>
    </w:p>
    <w:p w14:paraId="63465E83" w14:textId="77777777" w:rsidR="00B96BB1" w:rsidRDefault="00B96BB1" w:rsidP="00E7366F">
      <w:pPr>
        <w:pStyle w:val="ChartandTableFootnote-Dash"/>
        <w:ind w:left="0" w:firstLine="0"/>
      </w:pPr>
    </w:p>
    <w:p w14:paraId="7F6BB35F" w14:textId="77777777" w:rsidR="00E7366F" w:rsidRPr="00A9767E" w:rsidRDefault="00E7366F" w:rsidP="00E7366F">
      <w:pPr>
        <w:sectPr w:rsidR="00E7366F" w:rsidRPr="00A9767E" w:rsidSect="00E7366F">
          <w:headerReference w:type="even" r:id="rId123"/>
          <w:headerReference w:type="default" r:id="rId124"/>
          <w:footerReference w:type="even" r:id="rId125"/>
          <w:footerReference w:type="default" r:id="rId126"/>
          <w:headerReference w:type="first" r:id="rId127"/>
          <w:footerReference w:type="first" r:id="rId128"/>
          <w:type w:val="oddPage"/>
          <w:pgSz w:w="11906" w:h="16838" w:code="9"/>
          <w:pgMar w:top="2835" w:right="2098" w:bottom="2466" w:left="2098" w:header="1814" w:footer="1814" w:gutter="0"/>
          <w:cols w:space="708"/>
          <w:titlePg/>
          <w:docGrid w:linePitch="360"/>
        </w:sectPr>
      </w:pPr>
    </w:p>
    <w:p w14:paraId="040780F9" w14:textId="0D3EE9AA" w:rsidR="00E7366F" w:rsidRPr="004C1439" w:rsidRDefault="00E440D0" w:rsidP="00E7366F">
      <w:pPr>
        <w:pStyle w:val="PartHeading"/>
      </w:pPr>
      <w:r w:rsidRPr="00E440D0">
        <w:lastRenderedPageBreak/>
        <w:t>Australian Centre for International Agricultural Research</w:t>
      </w:r>
    </w:p>
    <w:p w14:paraId="2EEB8E46" w14:textId="77777777" w:rsidR="00E7366F" w:rsidRPr="004C1439" w:rsidRDefault="00E7366F" w:rsidP="00E7366F"/>
    <w:p w14:paraId="1DBDE7A7" w14:textId="77777777" w:rsidR="00E7366F" w:rsidRPr="004C1439" w:rsidRDefault="00E7366F" w:rsidP="00E7366F">
      <w:pPr>
        <w:pStyle w:val="PartHeading-TOC"/>
      </w:pPr>
      <w:r w:rsidRPr="004C1439">
        <w:t>Entity resources and planned performance</w:t>
      </w:r>
    </w:p>
    <w:p w14:paraId="196CAB71" w14:textId="77777777" w:rsidR="00E7366F" w:rsidRPr="004C1439" w:rsidRDefault="00E7366F" w:rsidP="00E7366F">
      <w:pPr>
        <w:sectPr w:rsidR="00E7366F" w:rsidRPr="004C1439" w:rsidSect="00E7366F">
          <w:headerReference w:type="first" r:id="rId129"/>
          <w:footerReference w:type="first" r:id="rId130"/>
          <w:type w:val="oddPage"/>
          <w:pgSz w:w="11906" w:h="16838" w:code="9"/>
          <w:pgMar w:top="2835" w:right="2098" w:bottom="2466" w:left="2098" w:header="1814" w:footer="1814" w:gutter="0"/>
          <w:cols w:space="708"/>
          <w:vAlign w:val="center"/>
          <w:titlePg/>
          <w:docGrid w:linePitch="360"/>
        </w:sectPr>
      </w:pPr>
    </w:p>
    <w:p w14:paraId="78F9C33F" w14:textId="5F6D1FCD" w:rsidR="00E7366F" w:rsidRPr="00E36F77" w:rsidRDefault="00E440D0" w:rsidP="00E7366F">
      <w:pPr>
        <w:pStyle w:val="ContentsHeading"/>
      </w:pPr>
      <w:r w:rsidRPr="00E440D0">
        <w:lastRenderedPageBreak/>
        <w:t>Australian Centre for International Agricultural Research</w:t>
      </w:r>
    </w:p>
    <w:p w14:paraId="20C446BE" w14:textId="757756F4" w:rsidR="00E7366F" w:rsidRPr="001C6402" w:rsidRDefault="00E7366F" w:rsidP="00E7366F">
      <w:pPr>
        <w:pStyle w:val="TOC1"/>
        <w:rPr>
          <w:rFonts w:ascii="Book Antiqua" w:hAnsi="Book Antiqua"/>
          <w:b w:val="0"/>
          <w:caps/>
          <w:noProof/>
          <w:sz w:val="22"/>
          <w:szCs w:val="22"/>
        </w:rPr>
      </w:pPr>
      <w:r>
        <w:fldChar w:fldCharType="begin"/>
      </w:r>
      <w:r>
        <w:instrText xml:space="preserve"> TOC \h \z \t "Heading 2,1,Heading 3,2" </w:instrText>
      </w:r>
      <w:r>
        <w:fldChar w:fldCharType="separate"/>
      </w:r>
      <w:r w:rsidRPr="00A75284">
        <w:rPr>
          <w:noProof/>
        </w:rPr>
        <w:t>Section 1: Entity overview and resources</w:t>
      </w:r>
      <w:r>
        <w:rPr>
          <w:noProof/>
          <w:webHidden/>
        </w:rPr>
        <w:tab/>
      </w:r>
      <w:r w:rsidR="007C635E">
        <w:rPr>
          <w:noProof/>
          <w:webHidden/>
        </w:rPr>
        <w:t>111</w:t>
      </w:r>
    </w:p>
    <w:p w14:paraId="24DAAE6F" w14:textId="2995E3EC" w:rsidR="00E7366F" w:rsidRPr="001C6402" w:rsidRDefault="00E7366F" w:rsidP="00E7366F">
      <w:pPr>
        <w:pStyle w:val="TOC2"/>
        <w:tabs>
          <w:tab w:val="left" w:pos="800"/>
        </w:tabs>
        <w:rPr>
          <w:rFonts w:ascii="Book Antiqua" w:hAnsi="Book Antiqua"/>
          <w:noProof/>
          <w:sz w:val="22"/>
          <w:szCs w:val="22"/>
        </w:rPr>
      </w:pPr>
      <w:r w:rsidRPr="00A75284">
        <w:rPr>
          <w:noProof/>
        </w:rPr>
        <w:t>1.1</w:t>
      </w:r>
      <w:r w:rsidRPr="001C6402">
        <w:rPr>
          <w:rFonts w:ascii="Book Antiqua" w:hAnsi="Book Antiqua"/>
          <w:noProof/>
          <w:sz w:val="22"/>
          <w:szCs w:val="22"/>
        </w:rPr>
        <w:tab/>
      </w:r>
      <w:r w:rsidRPr="00A75284">
        <w:rPr>
          <w:noProof/>
        </w:rPr>
        <w:t>Strategic direction statement</w:t>
      </w:r>
      <w:r>
        <w:rPr>
          <w:noProof/>
          <w:webHidden/>
        </w:rPr>
        <w:tab/>
      </w:r>
      <w:r w:rsidR="007C635E">
        <w:rPr>
          <w:noProof/>
          <w:webHidden/>
        </w:rPr>
        <w:t>111</w:t>
      </w:r>
    </w:p>
    <w:p w14:paraId="74628FC5" w14:textId="70FAD106" w:rsidR="00E7366F" w:rsidRPr="001C6402" w:rsidRDefault="00E7366F" w:rsidP="00E7366F">
      <w:pPr>
        <w:pStyle w:val="TOC2"/>
        <w:tabs>
          <w:tab w:val="left" w:pos="800"/>
        </w:tabs>
        <w:rPr>
          <w:rFonts w:ascii="Book Antiqua" w:hAnsi="Book Antiqua"/>
          <w:noProof/>
          <w:sz w:val="22"/>
          <w:szCs w:val="22"/>
        </w:rPr>
      </w:pPr>
      <w:r w:rsidRPr="00A75284">
        <w:rPr>
          <w:noProof/>
        </w:rPr>
        <w:t>1.2</w:t>
      </w:r>
      <w:r w:rsidRPr="001C6402">
        <w:rPr>
          <w:rFonts w:ascii="Book Antiqua" w:hAnsi="Book Antiqua"/>
          <w:noProof/>
          <w:sz w:val="22"/>
          <w:szCs w:val="22"/>
        </w:rPr>
        <w:tab/>
      </w:r>
      <w:r w:rsidRPr="00A75284">
        <w:rPr>
          <w:noProof/>
        </w:rPr>
        <w:t>Entity resource statement</w:t>
      </w:r>
      <w:r>
        <w:rPr>
          <w:noProof/>
          <w:webHidden/>
        </w:rPr>
        <w:tab/>
      </w:r>
      <w:r w:rsidR="007C635E">
        <w:rPr>
          <w:noProof/>
          <w:webHidden/>
        </w:rPr>
        <w:t>113</w:t>
      </w:r>
    </w:p>
    <w:p w14:paraId="0432624B" w14:textId="6FEFE736" w:rsidR="00E7366F" w:rsidRPr="001C6402" w:rsidRDefault="00E7366F" w:rsidP="00E7366F">
      <w:pPr>
        <w:pStyle w:val="TOC2"/>
        <w:tabs>
          <w:tab w:val="left" w:pos="800"/>
        </w:tabs>
        <w:rPr>
          <w:rFonts w:ascii="Book Antiqua" w:hAnsi="Book Antiqua"/>
          <w:noProof/>
          <w:sz w:val="22"/>
          <w:szCs w:val="22"/>
        </w:rPr>
      </w:pPr>
      <w:r w:rsidRPr="00A75284">
        <w:rPr>
          <w:noProof/>
        </w:rPr>
        <w:t>1.3</w:t>
      </w:r>
      <w:r w:rsidRPr="001C6402">
        <w:rPr>
          <w:rFonts w:ascii="Book Antiqua" w:hAnsi="Book Antiqua"/>
          <w:noProof/>
          <w:sz w:val="22"/>
          <w:szCs w:val="22"/>
        </w:rPr>
        <w:tab/>
      </w:r>
      <w:r w:rsidRPr="00A75284">
        <w:rPr>
          <w:noProof/>
        </w:rPr>
        <w:t>Budget measures</w:t>
      </w:r>
      <w:r>
        <w:rPr>
          <w:noProof/>
          <w:webHidden/>
        </w:rPr>
        <w:tab/>
      </w:r>
      <w:r w:rsidR="007C635E">
        <w:rPr>
          <w:noProof/>
          <w:webHidden/>
        </w:rPr>
        <w:t>115</w:t>
      </w:r>
    </w:p>
    <w:p w14:paraId="1BF1961D" w14:textId="4240CF5A" w:rsidR="00E7366F" w:rsidRPr="001C6402" w:rsidRDefault="00E7366F" w:rsidP="00E7366F">
      <w:pPr>
        <w:pStyle w:val="TOC1"/>
        <w:rPr>
          <w:rFonts w:ascii="Book Antiqua" w:hAnsi="Book Antiqua"/>
          <w:b w:val="0"/>
          <w:caps/>
          <w:noProof/>
          <w:sz w:val="22"/>
          <w:szCs w:val="22"/>
        </w:rPr>
      </w:pPr>
      <w:r w:rsidRPr="00A75284">
        <w:rPr>
          <w:noProof/>
        </w:rPr>
        <w:t>Section 2: Outcomes and planned performance</w:t>
      </w:r>
      <w:r>
        <w:rPr>
          <w:noProof/>
          <w:webHidden/>
        </w:rPr>
        <w:tab/>
      </w:r>
      <w:r w:rsidR="007C635E">
        <w:rPr>
          <w:noProof/>
          <w:webHidden/>
        </w:rPr>
        <w:t>116</w:t>
      </w:r>
    </w:p>
    <w:p w14:paraId="1E189939" w14:textId="01B33D57" w:rsidR="00E7366F" w:rsidRDefault="00E7366F" w:rsidP="00E7366F">
      <w:pPr>
        <w:pStyle w:val="TOC2"/>
        <w:tabs>
          <w:tab w:val="left" w:pos="800"/>
        </w:tabs>
        <w:rPr>
          <w:noProof/>
          <w:webHidden/>
        </w:rPr>
      </w:pPr>
      <w:r w:rsidRPr="00A75284">
        <w:rPr>
          <w:noProof/>
        </w:rPr>
        <w:t xml:space="preserve">2.1 </w:t>
      </w:r>
      <w:r w:rsidRPr="001C6402">
        <w:rPr>
          <w:rFonts w:ascii="Book Antiqua" w:hAnsi="Book Antiqua"/>
          <w:noProof/>
          <w:sz w:val="22"/>
          <w:szCs w:val="22"/>
        </w:rPr>
        <w:tab/>
      </w:r>
      <w:r w:rsidRPr="00A75284">
        <w:rPr>
          <w:noProof/>
        </w:rPr>
        <w:t xml:space="preserve">Budgeted expenses and performance for Outcome </w:t>
      </w:r>
      <w:r>
        <w:rPr>
          <w:noProof/>
        </w:rPr>
        <w:t>1</w:t>
      </w:r>
      <w:r>
        <w:rPr>
          <w:noProof/>
          <w:webHidden/>
        </w:rPr>
        <w:tab/>
      </w:r>
      <w:r w:rsidR="007C635E">
        <w:rPr>
          <w:noProof/>
          <w:webHidden/>
        </w:rPr>
        <w:t>117</w:t>
      </w:r>
    </w:p>
    <w:p w14:paraId="1A76DED3" w14:textId="432A22C4" w:rsidR="00E7366F" w:rsidRPr="001C6402" w:rsidRDefault="00E7366F" w:rsidP="00E7366F">
      <w:pPr>
        <w:pStyle w:val="TOC1"/>
        <w:rPr>
          <w:rFonts w:ascii="Book Antiqua" w:hAnsi="Book Antiqua"/>
          <w:b w:val="0"/>
          <w:caps/>
          <w:noProof/>
          <w:sz w:val="22"/>
          <w:szCs w:val="22"/>
        </w:rPr>
      </w:pPr>
      <w:r w:rsidRPr="00A75284">
        <w:rPr>
          <w:noProof/>
        </w:rPr>
        <w:t>Section 3: Budgeted financial statements</w:t>
      </w:r>
      <w:r>
        <w:rPr>
          <w:noProof/>
          <w:webHidden/>
        </w:rPr>
        <w:tab/>
      </w:r>
      <w:r w:rsidR="007C635E">
        <w:rPr>
          <w:noProof/>
          <w:webHidden/>
        </w:rPr>
        <w:t>121</w:t>
      </w:r>
    </w:p>
    <w:p w14:paraId="5D4EF80D" w14:textId="40B64F2E" w:rsidR="00E7366F" w:rsidRPr="001C6402" w:rsidRDefault="00E7366F" w:rsidP="00E7366F">
      <w:pPr>
        <w:pStyle w:val="TOC2"/>
        <w:tabs>
          <w:tab w:val="left" w:pos="800"/>
        </w:tabs>
        <w:rPr>
          <w:rFonts w:ascii="Book Antiqua" w:hAnsi="Book Antiqua"/>
          <w:noProof/>
          <w:sz w:val="22"/>
          <w:szCs w:val="22"/>
        </w:rPr>
      </w:pPr>
      <w:r w:rsidRPr="00A75284">
        <w:rPr>
          <w:noProof/>
        </w:rPr>
        <w:t>3.1</w:t>
      </w:r>
      <w:r w:rsidRPr="001C6402">
        <w:rPr>
          <w:rFonts w:ascii="Book Antiqua" w:hAnsi="Book Antiqua"/>
          <w:noProof/>
          <w:sz w:val="22"/>
          <w:szCs w:val="22"/>
        </w:rPr>
        <w:tab/>
      </w:r>
      <w:r w:rsidRPr="00A75284">
        <w:rPr>
          <w:noProof/>
        </w:rPr>
        <w:t>Budgeted financial statements</w:t>
      </w:r>
      <w:r>
        <w:rPr>
          <w:noProof/>
          <w:webHidden/>
        </w:rPr>
        <w:tab/>
      </w:r>
      <w:r w:rsidR="007C635E">
        <w:rPr>
          <w:noProof/>
          <w:webHidden/>
        </w:rPr>
        <w:t>121</w:t>
      </w:r>
    </w:p>
    <w:p w14:paraId="398EFBCA" w14:textId="77777777" w:rsidR="00E7366F" w:rsidRDefault="00E7366F" w:rsidP="00E7366F">
      <w:r>
        <w:fldChar w:fldCharType="end"/>
      </w:r>
    </w:p>
    <w:p w14:paraId="3D5E51E5" w14:textId="77777777" w:rsidR="00E7366F" w:rsidRDefault="00E7366F" w:rsidP="00E7366F">
      <w:pPr>
        <w:sectPr w:rsidR="00E7366F" w:rsidSect="00E7366F">
          <w:footerReference w:type="first" r:id="rId131"/>
          <w:type w:val="oddPage"/>
          <w:pgSz w:w="11906" w:h="16838" w:code="9"/>
          <w:pgMar w:top="2835" w:right="2098" w:bottom="2466" w:left="2098" w:header="1814" w:footer="1814" w:gutter="0"/>
          <w:cols w:space="708"/>
          <w:titlePg/>
          <w:docGrid w:linePitch="360"/>
        </w:sectPr>
      </w:pPr>
    </w:p>
    <w:p w14:paraId="66788C0A" w14:textId="23A59485" w:rsidR="00E7366F" w:rsidRDefault="00382776" w:rsidP="00E7366F">
      <w:pPr>
        <w:pStyle w:val="Heading1"/>
      </w:pPr>
      <w:r w:rsidRPr="00382776">
        <w:lastRenderedPageBreak/>
        <w:t>Australian Centre for International Agricultural Research</w:t>
      </w:r>
    </w:p>
    <w:p w14:paraId="39A15145" w14:textId="77777777" w:rsidR="00E7366F" w:rsidRPr="002C4D41" w:rsidRDefault="00E7366F" w:rsidP="00E7366F">
      <w:pPr>
        <w:pStyle w:val="Heading2"/>
      </w:pPr>
      <w:r w:rsidRPr="002C4D41">
        <w:t xml:space="preserve">Section 1: Entity overview and </w:t>
      </w:r>
      <w:r>
        <w:t>reso</w:t>
      </w:r>
      <w:r w:rsidRPr="002C4D41">
        <w:t>urces</w:t>
      </w:r>
    </w:p>
    <w:p w14:paraId="7CB7A4A5" w14:textId="77777777" w:rsidR="00E7366F" w:rsidRDefault="00E7366F" w:rsidP="00E7366F">
      <w:pPr>
        <w:pStyle w:val="Heading3"/>
      </w:pPr>
      <w:r>
        <w:t>1.1</w:t>
      </w:r>
      <w:r>
        <w:tab/>
        <w:t>Strategic direction statement</w:t>
      </w:r>
    </w:p>
    <w:p w14:paraId="493B42DD" w14:textId="77777777" w:rsidR="006D0845" w:rsidRPr="00233A84" w:rsidRDefault="006D0845" w:rsidP="006D0845">
      <w:r>
        <w:t xml:space="preserve">The Australian Centre for International Agricultural Research (ACIAR) supports Australia’s national interests by investing in international agricultural research partnerships that reduce poverty and improve livelihoods in the Indo-Pacific and Africa. </w:t>
      </w:r>
    </w:p>
    <w:p w14:paraId="0180FF9E" w14:textId="77777777" w:rsidR="006D0845" w:rsidRDefault="006D0845" w:rsidP="006D0845">
      <w:r>
        <w:t>We achieve this through excellence in research, partnerships and coordinated engagement across an international network that is efficient, effective and responsive to the needs of our partners.</w:t>
      </w:r>
    </w:p>
    <w:p w14:paraId="4CDAF005" w14:textId="325EFD1B" w:rsidR="006D0845" w:rsidRPr="00233A84" w:rsidRDefault="006D0845" w:rsidP="006D0845">
      <w:pPr>
        <w:rPr>
          <w:rFonts w:eastAsia="Book Antiqua" w:cs="Arial"/>
          <w:color w:val="000000" w:themeColor="text1"/>
          <w:szCs w:val="19"/>
        </w:rPr>
      </w:pPr>
      <w:r w:rsidRPr="00233A84">
        <w:rPr>
          <w:rFonts w:eastAsia="Book Antiqua" w:cs="Arial"/>
          <w:color w:val="000000" w:themeColor="text1"/>
          <w:szCs w:val="19"/>
        </w:rPr>
        <w:t xml:space="preserve">We work bilaterally and multilaterally with governments and institutions to improve food security, reduce poverty, promote sustainable natural resource management and </w:t>
      </w:r>
      <w:r w:rsidR="00763797">
        <w:rPr>
          <w:rFonts w:eastAsia="Book Antiqua" w:cs="Arial"/>
          <w:color w:val="000000" w:themeColor="text1"/>
          <w:szCs w:val="19"/>
        </w:rPr>
        <w:br/>
      </w:r>
      <w:r w:rsidRPr="00233A84">
        <w:rPr>
          <w:rFonts w:eastAsia="Book Antiqua" w:cs="Arial"/>
          <w:color w:val="000000" w:themeColor="text1"/>
          <w:szCs w:val="19"/>
        </w:rPr>
        <w:t xml:space="preserve">climate-resilient agriculture, enhance nutrition and human health, advance gender equality, strengthen inclusive agrifood and forestry value chains, and build scientific and policy capability in partner countries.   </w:t>
      </w:r>
    </w:p>
    <w:p w14:paraId="0636BC53" w14:textId="77777777" w:rsidR="006D0845" w:rsidRDefault="006D0845" w:rsidP="006D0845">
      <w:r>
        <w:t>We deliver outcomes across resource-based sectors such as crops, fisheries, horticulture, livestock and forestry. This requires a strong scientific focus on agronomy, plant genetics, livestock production, agribusiness, social systems, soil and land management, water and climate.</w:t>
      </w:r>
    </w:p>
    <w:p w14:paraId="7CE3662F" w14:textId="77777777" w:rsidR="006D0845" w:rsidRDefault="006D0845" w:rsidP="006D0845">
      <w:r>
        <w:t>In line with Australia’s International Development Policy, we continue to prioritise deeper consultation with our partners and strengthen Australia’s engagement with research institutions, universities and international organisations. We deliver investments that reflect changing country and regional priorities, are targeted and locally led, and prioritise the knowledge transfer and local retention needed to optimise next generation economic, social and environmental benefits.</w:t>
      </w:r>
    </w:p>
    <w:p w14:paraId="3AD41575" w14:textId="77777777" w:rsidR="006D0845" w:rsidRDefault="006D0845" w:rsidP="006D0845">
      <w:r>
        <w:t>Our investments have a strong focus on climate change, building resilience in rural communities and empowering our research partners to lead climate adaptation and mitigation efforts. Engaging collaboratively with partners, we endeavour to integrate gender equality and social inclusion across all research and capacity building programs.</w:t>
      </w:r>
    </w:p>
    <w:p w14:paraId="7547F10F" w14:textId="77777777" w:rsidR="006D0845" w:rsidRDefault="006D0845" w:rsidP="006D0845">
      <w:r w:rsidRPr="00182866">
        <w:t>To foster continuous learning and guide future investments, ACIAR programs will be measured with contemporary impact evaluation assessments and promoted through targeted public outreach activities.</w:t>
      </w:r>
    </w:p>
    <w:p w14:paraId="118A5900" w14:textId="77777777" w:rsidR="006D0845" w:rsidRDefault="006D0845">
      <w:pPr>
        <w:spacing w:before="0" w:after="0" w:line="240" w:lineRule="auto"/>
      </w:pPr>
      <w:r>
        <w:br w:type="page"/>
      </w:r>
    </w:p>
    <w:p w14:paraId="2F958B9A" w14:textId="4435C78E" w:rsidR="006D0845" w:rsidRDefault="006D0845" w:rsidP="006D0845">
      <w:r>
        <w:lastRenderedPageBreak/>
        <w:t>In 2026</w:t>
      </w:r>
      <w:r w:rsidR="00770EFB">
        <w:t>–</w:t>
      </w:r>
      <w:r>
        <w:t>27 our performance will be measured across three key activities:</w:t>
      </w:r>
    </w:p>
    <w:p w14:paraId="17195A21" w14:textId="77777777" w:rsidR="006D0845" w:rsidRDefault="006D0845" w:rsidP="006D0845">
      <w:pPr>
        <w:ind w:left="567" w:hanging="567"/>
      </w:pPr>
      <w:r>
        <w:t>1.</w:t>
      </w:r>
      <w:r>
        <w:tab/>
        <w:t xml:space="preserve">global research </w:t>
      </w:r>
      <w:proofErr w:type="gramStart"/>
      <w:r>
        <w:t>collaborations</w:t>
      </w:r>
      <w:r w:rsidRPr="000E6D05">
        <w:t>;</w:t>
      </w:r>
      <w:proofErr w:type="gramEnd"/>
    </w:p>
    <w:p w14:paraId="42A36CE5" w14:textId="77777777" w:rsidR="006D0845" w:rsidRDefault="006D0845" w:rsidP="006D0845">
      <w:pPr>
        <w:ind w:left="567" w:hanging="567"/>
      </w:pPr>
      <w:r>
        <w:t>2.</w:t>
      </w:r>
      <w:r>
        <w:tab/>
        <w:t>bilateral and regional research projects</w:t>
      </w:r>
      <w:r w:rsidRPr="000E6D05">
        <w:t>; and</w:t>
      </w:r>
    </w:p>
    <w:p w14:paraId="12955CEB" w14:textId="77777777" w:rsidR="006D0845" w:rsidRDefault="006D0845" w:rsidP="006D0845">
      <w:pPr>
        <w:ind w:left="567" w:hanging="567"/>
      </w:pPr>
      <w:r>
        <w:t>3.</w:t>
      </w:r>
      <w:r>
        <w:tab/>
        <w:t xml:space="preserve">scientific </w:t>
      </w:r>
      <w:r w:rsidRPr="000E6D05">
        <w:t>and policy capacity</w:t>
      </w:r>
      <w:r>
        <w:t>-building</w:t>
      </w:r>
      <w:r w:rsidRPr="000E6D05">
        <w:t xml:space="preserve"> activities.</w:t>
      </w:r>
    </w:p>
    <w:p w14:paraId="071A610A" w14:textId="14326F00" w:rsidR="006D0845" w:rsidRDefault="006D0845" w:rsidP="006D0845">
      <w:r>
        <w:t xml:space="preserve">Further information on ACIAR’s activities, operating environment and performance measures are contained in the ACIAR Corporate Plan and 10-Year Strategy </w:t>
      </w:r>
      <w:r>
        <w:br/>
        <w:t>2018</w:t>
      </w:r>
      <w:r w:rsidR="00770EFB">
        <w:t>–</w:t>
      </w:r>
      <w:r>
        <w:t>2027.</w:t>
      </w:r>
    </w:p>
    <w:p w14:paraId="56412055" w14:textId="77777777" w:rsidR="006D0845" w:rsidRPr="0079797F" w:rsidRDefault="006D0845" w:rsidP="00E7366F"/>
    <w:p w14:paraId="6E6D0A30" w14:textId="77777777" w:rsidR="00E7366F" w:rsidRDefault="00E7366F" w:rsidP="00E7366F">
      <w:pPr>
        <w:pStyle w:val="Heading3"/>
      </w:pPr>
      <w:r w:rsidRPr="0079797F">
        <w:br w:type="page"/>
      </w:r>
      <w:r>
        <w:lastRenderedPageBreak/>
        <w:t>1.2</w:t>
      </w:r>
      <w:r>
        <w:tab/>
        <w:t>Entity resource statement</w:t>
      </w:r>
    </w:p>
    <w:p w14:paraId="682CC361" w14:textId="77777777" w:rsidR="00E7366F" w:rsidRDefault="00E7366F" w:rsidP="00E7366F">
      <w:r>
        <w:t>Table 1.1 shows the total resourcing from all sources available to the entity for its operations and to deliver programs and services on behalf of the Government.</w:t>
      </w:r>
    </w:p>
    <w:p w14:paraId="18504877" w14:textId="77777777" w:rsidR="00E7366F" w:rsidRDefault="00E7366F" w:rsidP="00E7366F">
      <w:r>
        <w:t>The table summarises how resources will be applied by outcome (government strategic policy objectives) and by administered (on behalf of the Government or the public) and departmental (for the entity’s operations) classification.</w:t>
      </w:r>
    </w:p>
    <w:p w14:paraId="5AF8CA1B" w14:textId="77777777" w:rsidR="00E7366F" w:rsidRDefault="00E7366F" w:rsidP="00E7366F">
      <w:r>
        <w:t xml:space="preserve">For more detailed information on special accounts and special appropriations, please refer to the </w:t>
      </w:r>
      <w:r w:rsidRPr="00412C0B">
        <w:rPr>
          <w:i/>
        </w:rPr>
        <w:t>Budget Paper No. 4 – Agency Resourcing</w:t>
      </w:r>
      <w:r>
        <w:t xml:space="preserve">. </w:t>
      </w:r>
    </w:p>
    <w:p w14:paraId="156E5596" w14:textId="77777777" w:rsidR="00E7366F" w:rsidRDefault="00E7366F" w:rsidP="00E7366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44D624EC" w14:textId="62C9E79E" w:rsidR="00E7366F" w:rsidRDefault="00E7366F" w:rsidP="00E7366F">
      <w:pPr>
        <w:pStyle w:val="TableHeading"/>
      </w:pPr>
      <w:r>
        <w:br w:type="page"/>
      </w:r>
      <w:r w:rsidRPr="00D44150">
        <w:lastRenderedPageBreak/>
        <w:t xml:space="preserve">Table 1.1: </w:t>
      </w:r>
      <w:r w:rsidR="006F35D1" w:rsidRPr="006F35D1">
        <w:t xml:space="preserve">Australian Centre for International Agricultural Research </w:t>
      </w:r>
      <w:r w:rsidRPr="00D44150">
        <w:t>resource statement</w:t>
      </w:r>
      <w:r>
        <w:t xml:space="preserve"> – Budget estimates for 2026–27 </w:t>
      </w:r>
      <w:r w:rsidRPr="00D44150">
        <w:t xml:space="preserve">as at Budget </w:t>
      </w:r>
      <w:r>
        <w:t>May 2026</w:t>
      </w:r>
    </w:p>
    <w:p w14:paraId="4C20842F" w14:textId="26354570" w:rsidR="00E7366F" w:rsidRDefault="00563654" w:rsidP="00E7366F">
      <w:pPr>
        <w:pStyle w:val="TableGraphic"/>
      </w:pPr>
      <w:r w:rsidRPr="00563654">
        <w:rPr>
          <w:noProof/>
        </w:rPr>
        <w:drawing>
          <wp:inline distT="0" distB="0" distL="0" distR="0" wp14:anchorId="230EF5D8" wp14:editId="4A9DE3B4">
            <wp:extent cx="4629150" cy="3765550"/>
            <wp:effectExtent l="0" t="0" r="0" b="6350"/>
            <wp:docPr id="13386539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29150" cy="3765550"/>
                    </a:xfrm>
                    <a:prstGeom prst="rect">
                      <a:avLst/>
                    </a:prstGeom>
                    <a:noFill/>
                    <a:ln>
                      <a:noFill/>
                    </a:ln>
                  </pic:spPr>
                </pic:pic>
              </a:graphicData>
            </a:graphic>
          </wp:inline>
        </w:drawing>
      </w:r>
    </w:p>
    <w:p w14:paraId="167BEBB9" w14:textId="77777777" w:rsidR="00E7366F" w:rsidRDefault="00E7366F" w:rsidP="00E7366F">
      <w:pPr>
        <w:pStyle w:val="ChartandTableFootnote"/>
      </w:pPr>
      <w:r w:rsidRPr="00AF0A7A">
        <w:t>Prepared on a resourcing (that is, appropriations available) basis.</w:t>
      </w:r>
    </w:p>
    <w:p w14:paraId="73D67127" w14:textId="77777777" w:rsidR="00E7366F" w:rsidRPr="00AF0A7A" w:rsidRDefault="00E7366F" w:rsidP="00E7366F">
      <w:pPr>
        <w:pStyle w:val="ChartandTableFootnote"/>
      </w:pPr>
      <w:r w:rsidRPr="00AF0A7A">
        <w:t>All figures shown above are GST exclusive – these may not match figures in the cash flow statement.</w:t>
      </w:r>
    </w:p>
    <w:p w14:paraId="04BFEB12" w14:textId="77777777" w:rsidR="00E7366F" w:rsidRPr="00AF0A7A" w:rsidRDefault="00E7366F" w:rsidP="00707A3D">
      <w:pPr>
        <w:pStyle w:val="ChartandTableFootnoteAlpha"/>
        <w:numPr>
          <w:ilvl w:val="0"/>
          <w:numId w:val="44"/>
        </w:numPr>
      </w:pPr>
      <w:r w:rsidRPr="009A648E">
        <w:rPr>
          <w:i/>
          <w:iCs/>
        </w:rPr>
        <w:t>Appropriation Bill (No. 1) 2026–2027</w:t>
      </w:r>
      <w:r w:rsidRPr="00AF0A7A">
        <w:t>.</w:t>
      </w:r>
    </w:p>
    <w:p w14:paraId="76A21706" w14:textId="77777777" w:rsidR="00E7366F" w:rsidRPr="00AF0A7A" w:rsidRDefault="00E7366F" w:rsidP="00E7366F">
      <w:pPr>
        <w:pStyle w:val="ChartandTableFootnoteAlpha"/>
      </w:pPr>
      <w:r w:rsidRPr="00AF0A7A">
        <w:t>Excludes departmental capital budget (DCB).</w:t>
      </w:r>
    </w:p>
    <w:p w14:paraId="435A27C2" w14:textId="609506EC" w:rsidR="00E7366F" w:rsidRPr="00AF0A7A" w:rsidRDefault="00E7366F" w:rsidP="00E7366F">
      <w:pPr>
        <w:pStyle w:val="ChartandTableFootnoteAlpha"/>
      </w:pPr>
      <w:r w:rsidRPr="00AF0A7A">
        <w:t xml:space="preserve">Estimated </w:t>
      </w:r>
      <w:r w:rsidR="00B5156C" w:rsidRPr="00B5156C">
        <w:t xml:space="preserve">External Revenue receipts under section 74 of the </w:t>
      </w:r>
      <w:r w:rsidR="00B5156C" w:rsidRPr="009A648E">
        <w:rPr>
          <w:i/>
          <w:iCs/>
        </w:rPr>
        <w:t>Public Governance, Performance and Accountability Act 2013</w:t>
      </w:r>
      <w:r w:rsidR="00B5156C" w:rsidRPr="00B5156C">
        <w:t xml:space="preserve"> (PGPA Act)</w:t>
      </w:r>
      <w:r w:rsidRPr="00AF0A7A">
        <w:t>.</w:t>
      </w:r>
      <w:r w:rsidR="00B5156C">
        <w:t xml:space="preserve"> </w:t>
      </w:r>
    </w:p>
    <w:p w14:paraId="48FF4133" w14:textId="732875C0" w:rsidR="00E7366F" w:rsidRDefault="00E7366F" w:rsidP="00B5156C">
      <w:pPr>
        <w:pStyle w:val="ChartandTableFootnoteAlpha"/>
      </w:pPr>
      <w:r w:rsidRPr="00AF0A7A">
        <w:t xml:space="preserve">Departmental </w:t>
      </w:r>
      <w:r w:rsidR="00B5156C" w:rsidRPr="00B5156C">
        <w:t>capital budgets are not separately identified in Appropriation Bill (No. 1) and form part of ordinary annual services items. Please refer to Table 3.5 for further details. For accounting purposes, capital budget appropriations have been designated as a 'contribution by owner'</w:t>
      </w:r>
      <w:r w:rsidR="00B5156C">
        <w:t xml:space="preserve">.  </w:t>
      </w:r>
    </w:p>
    <w:p w14:paraId="03750C9C" w14:textId="77777777" w:rsidR="00E7366F" w:rsidRPr="00133BCE" w:rsidRDefault="00E7366F" w:rsidP="00E7366F">
      <w:pPr>
        <w:spacing w:before="0" w:after="0" w:line="240" w:lineRule="auto"/>
      </w:pPr>
      <w:r>
        <w:br w:type="page"/>
      </w:r>
    </w:p>
    <w:p w14:paraId="3C71704C" w14:textId="77777777" w:rsidR="00E7366F" w:rsidRPr="005A7C0B" w:rsidRDefault="00E7366F" w:rsidP="00E7366F">
      <w:pPr>
        <w:pStyle w:val="Heading3"/>
      </w:pPr>
      <w:r w:rsidRPr="005A7C0B">
        <w:lastRenderedPageBreak/>
        <w:t>1.3</w:t>
      </w:r>
      <w:r w:rsidRPr="005A7C0B">
        <w:tab/>
        <w:t>Budget measures</w:t>
      </w:r>
    </w:p>
    <w:p w14:paraId="66EDF337" w14:textId="566FBB9C" w:rsidR="00E7366F" w:rsidRDefault="00E7366F" w:rsidP="00E7366F">
      <w:r w:rsidRPr="00DC32EC">
        <w:t xml:space="preserve">Budget measures </w:t>
      </w:r>
      <w:r>
        <w:t xml:space="preserve">in Part 1 </w:t>
      </w:r>
      <w:r w:rsidRPr="00DC32EC">
        <w:t>relating to</w:t>
      </w:r>
      <w:r>
        <w:t xml:space="preserve"> </w:t>
      </w:r>
      <w:r w:rsidR="000B2E3D" w:rsidRPr="000B2E3D">
        <w:t xml:space="preserve">the Australian Centre for International Agricultural Research </w:t>
      </w:r>
      <w:r w:rsidRPr="00DC32EC">
        <w:t>a</w:t>
      </w:r>
      <w:r>
        <w:t>re detailed in the Budget Paper No. </w:t>
      </w:r>
      <w:r w:rsidRPr="00DC32EC">
        <w:t>2</w:t>
      </w:r>
      <w:r>
        <w:t xml:space="preserve"> and are summarised below.</w:t>
      </w:r>
    </w:p>
    <w:p w14:paraId="51987C7E" w14:textId="72B18840" w:rsidR="00E7366F" w:rsidRPr="009A40DD" w:rsidRDefault="00E7366F" w:rsidP="00E7366F">
      <w:pPr>
        <w:pStyle w:val="TableHeading"/>
      </w:pPr>
      <w:r w:rsidRPr="009A40DD">
        <w:t xml:space="preserve">Table 1.2: </w:t>
      </w:r>
      <w:r w:rsidR="004A4DEE" w:rsidRPr="000B2E3D">
        <w:t xml:space="preserve">Australian Centre for International Agricultural Research </w:t>
      </w:r>
      <w:r>
        <w:t xml:space="preserve">2026–27 </w:t>
      </w:r>
      <w:r w:rsidRPr="009A40DD">
        <w:t>Budget measures</w:t>
      </w:r>
    </w:p>
    <w:p w14:paraId="61ECBCBF" w14:textId="77777777" w:rsidR="00E7366F" w:rsidRPr="00422CB4" w:rsidRDefault="00E7366F" w:rsidP="00E7366F">
      <w:pPr>
        <w:pStyle w:val="TableHeading"/>
        <w:rPr>
          <w:rFonts w:ascii="Times New Roman" w:hAnsi="Times New Roman"/>
        </w:rPr>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2025–26 Mid-Year Economic and Fiscal Outlook (MYEFO)</w:t>
      </w:r>
      <w:r>
        <w:rPr>
          <w:rFonts w:ascii="Book Antiqua" w:hAnsi="Book Antiqua"/>
        </w:rPr>
        <w:fldChar w:fldCharType="begin" w:fldLock="1"/>
      </w:r>
      <w:r>
        <w:instrText xml:space="preserve"> LINK Excel.Sheet.12 "\\\\fs10\\csg_h$\\MCD\\Publishing\\Graphic Design Services Team\\Projects\\2025\\Budget 2025-26\\04 PBS 2025-26\\1. PBS 2025-26 TEMPLATES + SHELLS\\Supplied\\EM 2025-XX - Attachment B - 2025-26 PBS Excel Tables.xlsx" "Table 1.2!R3C1:R21C7" \a \f 4 \h  \* MERGEFORMAT </w:instrText>
      </w:r>
      <w:r>
        <w:rPr>
          <w:rFonts w:ascii="Book Antiqua" w:hAnsi="Book Antiqua"/>
        </w:rPr>
        <w:fldChar w:fldCharType="separate"/>
      </w:r>
      <w:r>
        <w:rPr>
          <w:rFonts w:ascii="Arial Bold" w:hAnsi="Arial Bold"/>
        </w:rPr>
        <w:fldChar w:fldCharType="end"/>
      </w:r>
    </w:p>
    <w:p w14:paraId="5211D675" w14:textId="38022BCA" w:rsidR="00E7366F" w:rsidRDefault="0014059C" w:rsidP="00E7366F">
      <w:pPr>
        <w:pStyle w:val="TableGraphic"/>
        <w:rPr>
          <w:rFonts w:ascii="Arial Bold" w:hAnsi="Arial Bold"/>
          <w:b/>
        </w:rPr>
      </w:pPr>
      <w:r w:rsidRPr="0014059C">
        <w:rPr>
          <w:noProof/>
        </w:rPr>
        <w:drawing>
          <wp:inline distT="0" distB="0" distL="0" distR="0" wp14:anchorId="6817CC14" wp14:editId="6FD0CAD4">
            <wp:extent cx="4763135" cy="1868805"/>
            <wp:effectExtent l="0" t="0" r="0" b="0"/>
            <wp:docPr id="7360371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63135" cy="1868805"/>
                    </a:xfrm>
                    <a:prstGeom prst="rect">
                      <a:avLst/>
                    </a:prstGeom>
                    <a:noFill/>
                    <a:ln>
                      <a:noFill/>
                    </a:ln>
                  </pic:spPr>
                </pic:pic>
              </a:graphicData>
            </a:graphic>
          </wp:inline>
        </w:drawing>
      </w:r>
    </w:p>
    <w:p w14:paraId="115D3600" w14:textId="77777777" w:rsidR="00E7366F" w:rsidRPr="00704BB6" w:rsidRDefault="00E7366F" w:rsidP="00E7366F">
      <w:pPr>
        <w:pStyle w:val="ChartandTableFootnote"/>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3FED5C44" w14:textId="2C672C6F" w:rsidR="00E7366F" w:rsidRPr="00116C76" w:rsidRDefault="00E7366F" w:rsidP="00707A3D">
      <w:pPr>
        <w:pStyle w:val="ChartandTableFootnoteAlpha"/>
        <w:numPr>
          <w:ilvl w:val="0"/>
          <w:numId w:val="25"/>
        </w:numPr>
      </w:pPr>
      <w:r w:rsidRPr="00116C76">
        <w:t>The full measure description and package details appear in</w:t>
      </w:r>
      <w:r>
        <w:t xml:space="preserve"> the </w:t>
      </w:r>
      <w:r w:rsidRPr="00116C76">
        <w:t xml:space="preserve">Budget Paper No. 2 under </w:t>
      </w:r>
      <w:r w:rsidR="004A4DEE">
        <w:t xml:space="preserve">Cross </w:t>
      </w:r>
      <w:r w:rsidR="003F3561">
        <w:t>P</w:t>
      </w:r>
      <w:r w:rsidR="004A4DEE">
        <w:t>ortfolio.</w:t>
      </w:r>
    </w:p>
    <w:p w14:paraId="37F2402F" w14:textId="77777777" w:rsidR="00E7366F" w:rsidRDefault="00E7366F" w:rsidP="00E7366F">
      <w:pPr>
        <w:spacing w:before="0" w:after="0" w:line="240" w:lineRule="auto"/>
      </w:pPr>
      <w:r>
        <w:br w:type="page"/>
      </w:r>
    </w:p>
    <w:p w14:paraId="63950E6F" w14:textId="77777777" w:rsidR="00E7366F" w:rsidRPr="00810C6A" w:rsidRDefault="00E7366F" w:rsidP="00E7366F">
      <w:pPr>
        <w:pStyle w:val="Heading2"/>
      </w:pPr>
      <w:r w:rsidRPr="00810C6A">
        <w:lastRenderedPageBreak/>
        <w:t>Section 2: Outcomes and planned performance</w:t>
      </w:r>
    </w:p>
    <w:p w14:paraId="68579D7A" w14:textId="77777777" w:rsidR="00E7366F" w:rsidRPr="005E6F2B" w:rsidRDefault="00E7366F" w:rsidP="00E7366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4413368" w14:textId="5B307779" w:rsidR="00E7366F" w:rsidRPr="000B2E3D" w:rsidRDefault="00E7366F" w:rsidP="00E7366F">
      <w:pPr>
        <w:rPr>
          <w:iCs/>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7366F" w:rsidRPr="001C6402" w14:paraId="0431C5AD" w14:textId="77777777" w:rsidTr="00FF7B23">
        <w:tc>
          <w:tcPr>
            <w:tcW w:w="7700" w:type="dxa"/>
          </w:tcPr>
          <w:p w14:paraId="545DC757" w14:textId="77777777" w:rsidR="00E7366F" w:rsidRPr="001C6402" w:rsidRDefault="00E7366F" w:rsidP="00FF7B23">
            <w:pPr>
              <w:spacing w:before="120" w:after="120" w:line="240" w:lineRule="auto"/>
              <w:jc w:val="both"/>
              <w:rPr>
                <w:b/>
              </w:rPr>
            </w:pPr>
            <w:r w:rsidRPr="001C6402">
              <w:rPr>
                <w:b/>
              </w:rPr>
              <w:t>Note:</w:t>
            </w:r>
          </w:p>
          <w:p w14:paraId="2CB5350A" w14:textId="77777777" w:rsidR="00E7366F" w:rsidRPr="001C6402" w:rsidRDefault="00E7366F" w:rsidP="00FF7B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3EC091B5" w14:textId="338AA4CD" w:rsidR="00E7366F" w:rsidRPr="001C6402" w:rsidRDefault="00E7366F" w:rsidP="00FF7B23">
            <w:r w:rsidRPr="001C6402">
              <w:t xml:space="preserve">The most recent corporate plan for </w:t>
            </w:r>
            <w:r w:rsidR="000B2E3D" w:rsidRPr="000B2E3D">
              <w:t xml:space="preserve">the Australian Centre for International Agricultural Research </w:t>
            </w:r>
            <w:r w:rsidRPr="001C6402">
              <w:t xml:space="preserve">can be found at: </w:t>
            </w:r>
            <w:hyperlink r:id="rId134" w:history="1">
              <w:r w:rsidR="000B2E3D" w:rsidRPr="000B2E3D">
                <w:rPr>
                  <w:rStyle w:val="Hyperlink"/>
                </w:rPr>
                <w:t>https://www.aciar.gov.au/publication/corporate-publications/corporate-plan-2025-26</w:t>
              </w:r>
            </w:hyperlink>
            <w:r w:rsidRPr="001C6402">
              <w:t>.</w:t>
            </w:r>
          </w:p>
          <w:p w14:paraId="7CA294C2" w14:textId="5BE64CED" w:rsidR="00E7366F" w:rsidRPr="001C6402" w:rsidRDefault="00E7366F" w:rsidP="00FF7B23">
            <w:r w:rsidRPr="001C6402">
              <w:t xml:space="preserve">The most recent annual performance statement can be found at: </w:t>
            </w:r>
            <w:hyperlink r:id="rId135" w:history="1">
              <w:r w:rsidR="000B2E3D" w:rsidRPr="000B2E3D">
                <w:rPr>
                  <w:rStyle w:val="Hyperlink"/>
                </w:rPr>
                <w:t>https://www.aciar.gov.au/publication/corporate-publications/annual-report-2024-25</w:t>
              </w:r>
            </w:hyperlink>
            <w:r w:rsidRPr="001C6402">
              <w:t>.</w:t>
            </w:r>
          </w:p>
        </w:tc>
      </w:tr>
    </w:tbl>
    <w:p w14:paraId="0479203E" w14:textId="77777777" w:rsidR="00E7366F" w:rsidRDefault="00E7366F" w:rsidP="00E7366F">
      <w:pPr>
        <w:spacing w:before="0" w:after="0" w:line="240" w:lineRule="auto"/>
        <w:rPr>
          <w:rFonts w:ascii="Arial Bold" w:hAnsi="Arial Bold"/>
          <w:b/>
          <w:sz w:val="22"/>
        </w:rPr>
      </w:pPr>
      <w:r>
        <w:br w:type="page"/>
      </w:r>
    </w:p>
    <w:p w14:paraId="35D6AC50" w14:textId="31AD2989" w:rsidR="00E7366F" w:rsidRPr="00F743D8" w:rsidRDefault="00E7366F" w:rsidP="00E7366F">
      <w:pPr>
        <w:pStyle w:val="Heading3"/>
      </w:pPr>
      <w:r>
        <w:lastRenderedPageBreak/>
        <w:t>2.1</w:t>
      </w:r>
      <w:r w:rsidRPr="00F743D8">
        <w:t xml:space="preserve"> </w:t>
      </w:r>
      <w:r w:rsidRPr="00F743D8">
        <w:tab/>
        <w:t xml:space="preserve">Budgeted expenses and performance for Outcome </w:t>
      </w:r>
      <w:r w:rsidR="00777B77">
        <w:t>1</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7366F" w:rsidRPr="0069545F" w14:paraId="36859BFE" w14:textId="77777777" w:rsidTr="00FF7B23">
        <w:tc>
          <w:tcPr>
            <w:tcW w:w="7704" w:type="dxa"/>
            <w:shd w:val="clear" w:color="auto" w:fill="E6E6E6"/>
          </w:tcPr>
          <w:p w14:paraId="079D3EF9" w14:textId="17BA9CF4" w:rsidR="00E7366F" w:rsidRPr="0069545F" w:rsidRDefault="00E7366F" w:rsidP="00FF7B23">
            <w:pPr>
              <w:pStyle w:val="TableColumnHeadingLeft"/>
            </w:pPr>
            <w:r w:rsidRPr="0069545F">
              <w:t xml:space="preserve">Outcome </w:t>
            </w:r>
            <w:r w:rsidR="00777B77">
              <w:t>1</w:t>
            </w:r>
            <w:r w:rsidRPr="0069545F">
              <w:t xml:space="preserve">: </w:t>
            </w:r>
            <w:r w:rsidR="00777B77" w:rsidRPr="00777B77">
              <w:t>To achieve more productive and sustainable agricultural systems for the benefit of developing countries and Australia through international agricultural research and training partnerships</w:t>
            </w:r>
            <w:r w:rsidR="00777B77">
              <w:t xml:space="preserve">. </w:t>
            </w:r>
          </w:p>
        </w:tc>
      </w:tr>
    </w:tbl>
    <w:p w14:paraId="3EBE2854" w14:textId="77777777" w:rsidR="00E7366F" w:rsidRPr="0069545F" w:rsidRDefault="00E7366F" w:rsidP="00E7366F">
      <w:pPr>
        <w:pStyle w:val="SingleParagraph"/>
      </w:pPr>
    </w:p>
    <w:p w14:paraId="201DFC2E" w14:textId="77777777" w:rsidR="00E7366F" w:rsidRPr="00133BCE" w:rsidRDefault="00E7366F" w:rsidP="00E7366F">
      <w:pPr>
        <w:pStyle w:val="Heading4"/>
      </w:pPr>
      <w:r w:rsidRPr="0069545F">
        <w:t xml:space="preserve">Linked programs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E7366F" w:rsidRPr="0069545F" w14:paraId="38A3D3BF" w14:textId="77777777" w:rsidTr="006D0845">
        <w:trPr>
          <w:trHeight w:val="113"/>
          <w:tblHeader/>
        </w:trPr>
        <w:tc>
          <w:tcPr>
            <w:tcW w:w="7700" w:type="dxa"/>
            <w:tcBorders>
              <w:bottom w:val="dotted" w:sz="4" w:space="0" w:color="auto"/>
            </w:tcBorders>
          </w:tcPr>
          <w:p w14:paraId="39602623" w14:textId="12FE6DC6" w:rsidR="00E7366F" w:rsidRPr="0069545F" w:rsidRDefault="006D0845" w:rsidP="006D0845">
            <w:pPr>
              <w:spacing w:before="60" w:after="60" w:line="240" w:lineRule="auto"/>
              <w:rPr>
                <w:rFonts w:ascii="Arial Bold" w:hAnsi="Arial Bold"/>
                <w:b/>
                <w:sz w:val="16"/>
              </w:rPr>
            </w:pPr>
            <w:r>
              <w:rPr>
                <w:rFonts w:ascii="Arial Bold" w:hAnsi="Arial Bold"/>
                <w:b/>
                <w:sz w:val="16"/>
              </w:rPr>
              <w:t xml:space="preserve">Department of Foreign Affairs and Trade </w:t>
            </w:r>
          </w:p>
        </w:tc>
      </w:tr>
      <w:tr w:rsidR="00E7366F" w:rsidRPr="0069545F" w14:paraId="4D38C8AD" w14:textId="77777777" w:rsidTr="006D0845">
        <w:trPr>
          <w:trHeight w:val="113"/>
          <w:tblHeader/>
        </w:trPr>
        <w:tc>
          <w:tcPr>
            <w:tcW w:w="7700" w:type="dxa"/>
            <w:tcBorders>
              <w:top w:val="dotted" w:sz="4" w:space="0" w:color="auto"/>
              <w:bottom w:val="single" w:sz="4" w:space="0" w:color="auto"/>
            </w:tcBorders>
          </w:tcPr>
          <w:p w14:paraId="7FFF27B7" w14:textId="77777777" w:rsidR="00E7366F" w:rsidRPr="0069545F" w:rsidRDefault="00E7366F" w:rsidP="006D0845">
            <w:pPr>
              <w:pStyle w:val="TableTextLeft"/>
              <w:spacing w:before="60" w:after="60"/>
              <w:rPr>
                <w:b/>
                <w:bCs/>
              </w:rPr>
            </w:pPr>
            <w:r w:rsidRPr="0069545F">
              <w:rPr>
                <w:b/>
                <w:bCs/>
              </w:rPr>
              <w:t>Programs</w:t>
            </w:r>
          </w:p>
          <w:p w14:paraId="38F940D4" w14:textId="476798D3" w:rsidR="00E7366F" w:rsidRPr="0069545F" w:rsidRDefault="00E7366F" w:rsidP="006D0845">
            <w:pPr>
              <w:pStyle w:val="TableTextBullet"/>
              <w:spacing w:before="60" w:after="60"/>
            </w:pPr>
            <w:r w:rsidRPr="0069545F">
              <w:t xml:space="preserve">Program </w:t>
            </w:r>
            <w:r w:rsidR="006D0845">
              <w:t>1.2</w:t>
            </w:r>
            <w:r w:rsidRPr="0069545F">
              <w:t xml:space="preserve"> – </w:t>
            </w:r>
            <w:r w:rsidR="006D0845">
              <w:t xml:space="preserve">Official Development Assistance </w:t>
            </w:r>
          </w:p>
        </w:tc>
      </w:tr>
      <w:tr w:rsidR="00E7366F" w:rsidRPr="0069545F" w14:paraId="1375FA0C" w14:textId="77777777" w:rsidTr="006D0845">
        <w:trPr>
          <w:trHeight w:val="113"/>
        </w:trPr>
        <w:tc>
          <w:tcPr>
            <w:tcW w:w="7700" w:type="dxa"/>
            <w:tcBorders>
              <w:bottom w:val="single" w:sz="4" w:space="0" w:color="auto"/>
            </w:tcBorders>
          </w:tcPr>
          <w:p w14:paraId="4E93DFDE" w14:textId="419B261E" w:rsidR="00E7366F" w:rsidRPr="00FA703A" w:rsidRDefault="00E7366F" w:rsidP="006D0845">
            <w:pPr>
              <w:pStyle w:val="TableColumnHeadingLeft"/>
              <w:spacing w:before="60" w:after="60"/>
            </w:pPr>
            <w:r w:rsidRPr="0069545F">
              <w:t xml:space="preserve">Contribution to Outcome </w:t>
            </w:r>
            <w:r w:rsidR="006D0845">
              <w:t>1</w:t>
            </w:r>
            <w:r w:rsidRPr="0069545F">
              <w:rPr>
                <w:color w:val="FF0000"/>
              </w:rPr>
              <w:t xml:space="preserve"> </w:t>
            </w:r>
            <w:r w:rsidRPr="0069545F">
              <w:t xml:space="preserve">made by linked </w:t>
            </w:r>
            <w:r w:rsidRPr="00FA703A">
              <w:t>programs</w:t>
            </w:r>
          </w:p>
          <w:p w14:paraId="1A002AC8" w14:textId="6C1AD900" w:rsidR="006D0845" w:rsidRPr="0069545F" w:rsidRDefault="006D0845" w:rsidP="006D0845">
            <w:pPr>
              <w:pStyle w:val="TableTextLeft"/>
              <w:spacing w:before="60" w:after="60"/>
            </w:pPr>
            <w:r w:rsidRPr="00402411">
              <w:rPr>
                <w:color w:val="000000" w:themeColor="text1"/>
              </w:rPr>
              <w:t xml:space="preserve">ACIAR manages a range of research programs and capacity development </w:t>
            </w:r>
            <w:r>
              <w:rPr>
                <w:color w:val="000000" w:themeColor="text1"/>
              </w:rPr>
              <w:br/>
            </w:r>
            <w:r w:rsidRPr="00402411">
              <w:rPr>
                <w:color w:val="000000" w:themeColor="text1"/>
              </w:rPr>
              <w:t>co</w:t>
            </w:r>
            <w:r>
              <w:rPr>
                <w:color w:val="000000" w:themeColor="text1"/>
              </w:rPr>
              <w:t>-</w:t>
            </w:r>
            <w:r w:rsidRPr="00402411">
              <w:rPr>
                <w:color w:val="000000" w:themeColor="text1"/>
              </w:rPr>
              <w:t>investments with DFAT.</w:t>
            </w:r>
            <w:r>
              <w:rPr>
                <w:color w:val="000000" w:themeColor="text1"/>
              </w:rPr>
              <w:t xml:space="preserve"> </w:t>
            </w:r>
            <w:r w:rsidRPr="00402411">
              <w:rPr>
                <w:color w:val="000000" w:themeColor="text1"/>
              </w:rPr>
              <w:t>These investments enable ACIAR to leverage resources and access complementary expertise</w:t>
            </w:r>
            <w:r>
              <w:rPr>
                <w:color w:val="000000" w:themeColor="text1"/>
              </w:rPr>
              <w:t xml:space="preserve">. </w:t>
            </w:r>
            <w:r w:rsidRPr="00402411">
              <w:rPr>
                <w:color w:val="000000" w:themeColor="text1"/>
              </w:rPr>
              <w:t>The ACIAR international offices are located within Australian high commissions/embassies and ACIAR staff work in close collaboration with DFAT.</w:t>
            </w:r>
          </w:p>
        </w:tc>
      </w:tr>
    </w:tbl>
    <w:p w14:paraId="30066B76" w14:textId="7A5CF889" w:rsidR="00E7366F" w:rsidRPr="0069545F" w:rsidRDefault="00E7366F" w:rsidP="00777B77">
      <w:pPr>
        <w:pStyle w:val="ChartandTableFootnoteAlpha"/>
        <w:numPr>
          <w:ilvl w:val="0"/>
          <w:numId w:val="0"/>
        </w:numPr>
        <w:ind w:left="284" w:hanging="284"/>
      </w:pPr>
    </w:p>
    <w:p w14:paraId="19912A21" w14:textId="77777777" w:rsidR="00E7366F" w:rsidRPr="0069545F" w:rsidRDefault="00E7366F" w:rsidP="00E7366F">
      <w:r w:rsidRPr="0069545F">
        <w:br w:type="page"/>
      </w:r>
    </w:p>
    <w:p w14:paraId="7109FC11" w14:textId="77777777" w:rsidR="00E7366F" w:rsidRPr="00446612" w:rsidRDefault="00E7366F" w:rsidP="00E7366F">
      <w:pPr>
        <w:pStyle w:val="Heading4"/>
      </w:pPr>
      <w:r w:rsidRPr="00446612">
        <w:lastRenderedPageBreak/>
        <w:t xml:space="preserve">Budgeted expenses for Outcome </w:t>
      </w:r>
      <w:r>
        <w:t>1</w:t>
      </w:r>
    </w:p>
    <w:p w14:paraId="27180E57" w14:textId="77777777" w:rsidR="00E7366F" w:rsidRDefault="00E7366F" w:rsidP="00E7366F">
      <w:r w:rsidRPr="00950281">
        <w:t>This table shows how much the entity intends to spend (on an accrual basis) on achieving the outcome, broken down by program, as well as by Administered an</w:t>
      </w:r>
      <w:r>
        <w:t>d Departmental funding sources.</w:t>
      </w:r>
    </w:p>
    <w:p w14:paraId="60EAE450" w14:textId="77777777" w:rsidR="00E7366F" w:rsidRDefault="00E7366F" w:rsidP="00E7366F">
      <w:pPr>
        <w:pStyle w:val="TableHeading"/>
      </w:pPr>
      <w:r w:rsidRPr="006E4DF1">
        <w:t>Table 2.</w:t>
      </w:r>
      <w:r>
        <w:t>1</w:t>
      </w:r>
      <w:r w:rsidRPr="006E4DF1">
        <w:t xml:space="preserve">.1: Budgeted expenses for Outcome </w:t>
      </w:r>
      <w:r>
        <w:t>1</w:t>
      </w:r>
    </w:p>
    <w:p w14:paraId="44F8EC37" w14:textId="1824A623" w:rsidR="00E7366F" w:rsidRPr="00DC1ADC" w:rsidRDefault="00D35025" w:rsidP="00E7366F">
      <w:pPr>
        <w:pStyle w:val="TableGraphic"/>
      </w:pPr>
      <w:r w:rsidRPr="00D35025">
        <w:rPr>
          <w:noProof/>
        </w:rPr>
        <w:drawing>
          <wp:inline distT="0" distB="0" distL="0" distR="0" wp14:anchorId="6695610D" wp14:editId="09BC4EB8">
            <wp:extent cx="4858385" cy="3013710"/>
            <wp:effectExtent l="0" t="0" r="0" b="0"/>
            <wp:docPr id="21032311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58385" cy="3013710"/>
                    </a:xfrm>
                    <a:prstGeom prst="rect">
                      <a:avLst/>
                    </a:prstGeom>
                    <a:noFill/>
                    <a:ln>
                      <a:noFill/>
                    </a:ln>
                  </pic:spPr>
                </pic:pic>
              </a:graphicData>
            </a:graphic>
          </wp:inline>
        </w:drawing>
      </w:r>
    </w:p>
    <w:p w14:paraId="397FC518" w14:textId="182E770E" w:rsidR="00B325CF" w:rsidRPr="00B325CF" w:rsidRDefault="00B325CF" w:rsidP="00E7366F">
      <w:pPr>
        <w:spacing w:before="0" w:after="0" w:line="240" w:lineRule="auto"/>
        <w:rPr>
          <w:rFonts w:ascii="Arial" w:hAnsi="Arial" w:cs="Arial"/>
          <w:sz w:val="16"/>
          <w:szCs w:val="16"/>
        </w:rPr>
      </w:pPr>
      <w:r w:rsidRPr="00B325CF">
        <w:rPr>
          <w:rFonts w:ascii="Arial" w:hAnsi="Arial" w:cs="Arial"/>
          <w:sz w:val="16"/>
          <w:szCs w:val="16"/>
        </w:rPr>
        <w:t xml:space="preserve">Table </w:t>
      </w:r>
      <w:proofErr w:type="gramStart"/>
      <w:r w:rsidRPr="00B325CF">
        <w:rPr>
          <w:rFonts w:ascii="Arial" w:hAnsi="Arial" w:cs="Arial"/>
          <w:sz w:val="16"/>
          <w:szCs w:val="16"/>
        </w:rPr>
        <w:t>continued on</w:t>
      </w:r>
      <w:proofErr w:type="gramEnd"/>
      <w:r w:rsidRPr="00B325CF">
        <w:rPr>
          <w:rFonts w:ascii="Arial" w:hAnsi="Arial" w:cs="Arial"/>
          <w:sz w:val="16"/>
          <w:szCs w:val="16"/>
        </w:rPr>
        <w:t xml:space="preserve"> the next page.</w:t>
      </w:r>
    </w:p>
    <w:p w14:paraId="1C8AD1A6" w14:textId="279C7D4D" w:rsidR="00E7366F" w:rsidRDefault="00E7366F" w:rsidP="00E7366F">
      <w:pPr>
        <w:spacing w:before="0" w:after="0" w:line="240" w:lineRule="auto"/>
      </w:pPr>
      <w:r>
        <w:br w:type="page"/>
      </w:r>
    </w:p>
    <w:p w14:paraId="5496B222" w14:textId="77777777" w:rsidR="00E7366F" w:rsidRPr="000F4FFC" w:rsidRDefault="00E7366F" w:rsidP="00E7366F">
      <w:pPr>
        <w:pStyle w:val="TableHeadingcontinued"/>
      </w:pPr>
      <w:r w:rsidRPr="00AD42E2">
        <w:lastRenderedPageBreak/>
        <w:t>Table 2.</w:t>
      </w:r>
      <w:r>
        <w:t>1</w:t>
      </w:r>
      <w:r w:rsidRPr="00AD42E2">
        <w:t xml:space="preserve">.1: Budgeted expenses for Outcome </w:t>
      </w:r>
      <w:r>
        <w:t>1 (continued)</w:t>
      </w:r>
    </w:p>
    <w:p w14:paraId="12EAC4DE" w14:textId="13A4486D" w:rsidR="00E7366F" w:rsidRDefault="003B07C9" w:rsidP="00E7366F">
      <w:pPr>
        <w:pStyle w:val="ChartandTableFootnote"/>
      </w:pPr>
      <w:r w:rsidRPr="003B07C9">
        <w:rPr>
          <w:noProof/>
        </w:rPr>
        <w:drawing>
          <wp:inline distT="0" distB="0" distL="0" distR="0" wp14:anchorId="260AA742" wp14:editId="44C9FAB8">
            <wp:extent cx="4858385" cy="2926080"/>
            <wp:effectExtent l="0" t="0" r="0" b="7620"/>
            <wp:docPr id="15255012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58385" cy="2926080"/>
                    </a:xfrm>
                    <a:prstGeom prst="rect">
                      <a:avLst/>
                    </a:prstGeom>
                    <a:noFill/>
                    <a:ln>
                      <a:noFill/>
                    </a:ln>
                  </pic:spPr>
                </pic:pic>
              </a:graphicData>
            </a:graphic>
          </wp:inline>
        </w:drawing>
      </w:r>
    </w:p>
    <w:p w14:paraId="354C486E" w14:textId="46AF60F9" w:rsidR="00E7366F" w:rsidRDefault="00E7366F" w:rsidP="00707A3D">
      <w:pPr>
        <w:pStyle w:val="ChartandTableFootnoteAlpha"/>
        <w:numPr>
          <w:ilvl w:val="0"/>
          <w:numId w:val="26"/>
        </w:numPr>
      </w:pPr>
      <w:r w:rsidRPr="007379EF">
        <w:t>Estimated expenses incurred in relation to receipts retained under section 74 of the PGPA Act.</w:t>
      </w:r>
    </w:p>
    <w:p w14:paraId="4A836CCA" w14:textId="224480FD" w:rsidR="00E7366F" w:rsidRPr="00446EE2" w:rsidRDefault="00FA703A" w:rsidP="005F2FDC">
      <w:pPr>
        <w:pStyle w:val="ChartandTableFootnoteAlpha"/>
        <w:numPr>
          <w:ilvl w:val="0"/>
          <w:numId w:val="13"/>
        </w:numPr>
      </w:pPr>
      <w:r>
        <w:t xml:space="preserve">Expense </w:t>
      </w:r>
      <w:r w:rsidRPr="00FA703A">
        <w:t>not requiring appropriation in the Budget year are made up of depreciation expenses, amortisation expenses, and audit fees</w:t>
      </w:r>
      <w:r w:rsidR="00E7366F" w:rsidRPr="00446EE2">
        <w:t>.</w:t>
      </w:r>
    </w:p>
    <w:p w14:paraId="2EF17081" w14:textId="77777777" w:rsidR="00E7366F" w:rsidRPr="00446612" w:rsidRDefault="00E7366F" w:rsidP="00E7366F">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7F75C6A6" w14:textId="77777777" w:rsidR="00E7366F" w:rsidRDefault="00E7366F" w:rsidP="00E7366F">
      <w:pPr>
        <w:spacing w:before="0" w:after="0" w:line="240" w:lineRule="auto"/>
        <w:rPr>
          <w:highlight w:val="green"/>
        </w:rPr>
      </w:pPr>
      <w:r>
        <w:rPr>
          <w:highlight w:val="green"/>
        </w:rPr>
        <w:br w:type="page"/>
      </w:r>
    </w:p>
    <w:p w14:paraId="5E3AC97D" w14:textId="77777777" w:rsidR="00E7366F" w:rsidRPr="00F71634" w:rsidRDefault="00E7366F" w:rsidP="00E7366F">
      <w:pPr>
        <w:pStyle w:val="Heading4"/>
      </w:pPr>
      <w:r w:rsidRPr="00250122">
        <w:lastRenderedPageBreak/>
        <w:t>Performance</w:t>
      </w:r>
      <w:r w:rsidRPr="00F71634">
        <w:t xml:space="preserve"> </w:t>
      </w:r>
      <w:r>
        <w:t>measures</w:t>
      </w:r>
      <w:r w:rsidRPr="00F71634">
        <w:t xml:space="preserve"> for Outcome </w:t>
      </w:r>
      <w:r>
        <w:t>1</w:t>
      </w:r>
    </w:p>
    <w:p w14:paraId="1050B500" w14:textId="5E72D55E" w:rsidR="00E7366F" w:rsidRDefault="00E7366F" w:rsidP="00E7366F">
      <w:r w:rsidRPr="005D4B9C">
        <w:t>Table 2.</w:t>
      </w:r>
      <w:r>
        <w:t>1</w:t>
      </w:r>
      <w:r w:rsidRPr="005D4B9C">
        <w:t>.</w:t>
      </w:r>
      <w:r w:rsidR="00B4124C">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033C8CC2" w14:textId="7888F5F1" w:rsidR="00E7366F" w:rsidRDefault="00E7366F" w:rsidP="00E7366F">
      <w:pPr>
        <w:pStyle w:val="TableHeading"/>
      </w:pPr>
      <w:r w:rsidRPr="00E6464E">
        <w:t>Table 2.</w:t>
      </w:r>
      <w:r w:rsidR="00B4124C">
        <w:t>1</w:t>
      </w:r>
      <w:r w:rsidRPr="00E6464E">
        <w:t>.</w:t>
      </w:r>
      <w:r w:rsidR="00B4124C">
        <w:t>2</w:t>
      </w:r>
      <w:r w:rsidRPr="00E6464E">
        <w:t xml:space="preserve">: Performance measures for Outcome </w:t>
      </w:r>
      <w:r w:rsidR="00B4124C">
        <w:t>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085"/>
        <w:gridCol w:w="3071"/>
      </w:tblGrid>
      <w:tr w:rsidR="00E7366F" w:rsidRPr="00FC7ED1" w14:paraId="5C6E173D" w14:textId="77777777" w:rsidTr="006D0845">
        <w:trPr>
          <w:cantSplit/>
          <w:trHeight w:val="261"/>
          <w:tblHeader/>
        </w:trPr>
        <w:tc>
          <w:tcPr>
            <w:tcW w:w="7700" w:type="dxa"/>
            <w:gridSpan w:val="3"/>
            <w:shd w:val="clear" w:color="auto" w:fill="F2F2F2"/>
          </w:tcPr>
          <w:p w14:paraId="44F09417" w14:textId="3B8311EC" w:rsidR="00E7366F" w:rsidRPr="00FC7ED1" w:rsidRDefault="00E7366F" w:rsidP="00FF7B23">
            <w:pPr>
              <w:pStyle w:val="TableColumnHeadingLeft"/>
              <w:rPr>
                <w:bCs/>
              </w:rPr>
            </w:pPr>
            <w:r w:rsidRPr="00FC7ED1">
              <w:rPr>
                <w:rFonts w:ascii="Arial" w:hAnsi="Arial"/>
              </w:rPr>
              <w:t xml:space="preserve">Outcome </w:t>
            </w:r>
            <w:r w:rsidR="006D0845">
              <w:rPr>
                <w:rFonts w:ascii="Arial" w:hAnsi="Arial"/>
              </w:rPr>
              <w:t>1</w:t>
            </w:r>
            <w:r w:rsidRPr="00FC7ED1">
              <w:rPr>
                <w:bCs/>
              </w:rPr>
              <w:t xml:space="preserve"> </w:t>
            </w:r>
            <w:r w:rsidRPr="00FC7ED1">
              <w:t xml:space="preserve">– </w:t>
            </w:r>
            <w:r w:rsidR="006D0845" w:rsidRPr="00311AB5">
              <w:rPr>
                <w:rFonts w:cs="Arial"/>
                <w:color w:val="000000" w:themeColor="text1"/>
                <w:szCs w:val="16"/>
              </w:rPr>
              <w:t>To achieve more productive and sustainable agricultural systems for the benefit of developing countries and Australia, through international agricultural research and training partnerships</w:t>
            </w:r>
            <w:r w:rsidR="006D0845">
              <w:rPr>
                <w:rFonts w:cs="Arial"/>
                <w:color w:val="000000" w:themeColor="text1"/>
                <w:szCs w:val="16"/>
              </w:rPr>
              <w:t>.</w:t>
            </w:r>
          </w:p>
        </w:tc>
      </w:tr>
      <w:tr w:rsidR="00E7366F" w:rsidRPr="00FC7ED1" w14:paraId="46A70C12" w14:textId="77777777" w:rsidTr="006D0845">
        <w:trPr>
          <w:cantSplit/>
          <w:trHeight w:val="522"/>
          <w:tblHeader/>
        </w:trPr>
        <w:tc>
          <w:tcPr>
            <w:tcW w:w="7700" w:type="dxa"/>
            <w:gridSpan w:val="3"/>
            <w:shd w:val="clear" w:color="auto" w:fill="F2F2F2"/>
          </w:tcPr>
          <w:p w14:paraId="3ACF8827" w14:textId="2D65055C" w:rsidR="00E7366F" w:rsidRPr="00FC7ED1" w:rsidRDefault="006D0845" w:rsidP="00FF7B23">
            <w:pPr>
              <w:pStyle w:val="TableTextLeft"/>
            </w:pPr>
            <w:r w:rsidRPr="00311AB5">
              <w:rPr>
                <w:rFonts w:cs="Arial"/>
                <w:b/>
                <w:color w:val="000000" w:themeColor="text1"/>
                <w:szCs w:val="16"/>
              </w:rPr>
              <w:t xml:space="preserve">Program </w:t>
            </w:r>
            <w:r>
              <w:rPr>
                <w:rFonts w:cs="Arial"/>
                <w:b/>
                <w:color w:val="000000" w:themeColor="text1"/>
                <w:szCs w:val="16"/>
              </w:rPr>
              <w:t>1</w:t>
            </w:r>
            <w:r w:rsidRPr="00311AB5">
              <w:rPr>
                <w:rFonts w:cs="Arial"/>
                <w:b/>
                <w:color w:val="000000" w:themeColor="text1"/>
                <w:szCs w:val="16"/>
              </w:rPr>
              <w:t xml:space="preserve"> – </w:t>
            </w:r>
            <w:r w:rsidRPr="00311AB5">
              <w:rPr>
                <w:rFonts w:eastAsia="Arial" w:cs="Arial"/>
                <w:b/>
                <w:color w:val="000000" w:themeColor="text1"/>
                <w:szCs w:val="16"/>
              </w:rPr>
              <w:t>International agricultural research-for-development for more productive and sustainable agriculture</w:t>
            </w:r>
            <w:r>
              <w:rPr>
                <w:rFonts w:eastAsia="Arial" w:cs="Arial"/>
                <w:b/>
                <w:color w:val="000000" w:themeColor="text1"/>
                <w:szCs w:val="16"/>
              </w:rPr>
              <w:t>.</w:t>
            </w:r>
          </w:p>
        </w:tc>
      </w:tr>
      <w:tr w:rsidR="00E7366F" w:rsidRPr="00FC7ED1" w14:paraId="65F607EC" w14:textId="77777777" w:rsidTr="006D0845">
        <w:trPr>
          <w:cantSplit/>
          <w:trHeight w:val="261"/>
        </w:trPr>
        <w:tc>
          <w:tcPr>
            <w:tcW w:w="1544" w:type="dxa"/>
            <w:tcBorders>
              <w:bottom w:val="double" w:sz="4" w:space="0" w:color="auto"/>
            </w:tcBorders>
          </w:tcPr>
          <w:p w14:paraId="1186E875" w14:textId="3EFA01F2" w:rsidR="00E7366F" w:rsidRPr="00FC7ED1" w:rsidRDefault="00E7366F" w:rsidP="00FF7B23">
            <w:pPr>
              <w:pStyle w:val="TableColumnHeadingLeft"/>
            </w:pPr>
            <w:r w:rsidRPr="00FC7ED1">
              <w:t>Key activities</w:t>
            </w:r>
            <w:r w:rsidR="00FE2A30">
              <w:t xml:space="preserve"> </w:t>
            </w:r>
          </w:p>
        </w:tc>
        <w:tc>
          <w:tcPr>
            <w:tcW w:w="6156" w:type="dxa"/>
            <w:gridSpan w:val="2"/>
            <w:tcBorders>
              <w:bottom w:val="double" w:sz="4" w:space="0" w:color="auto"/>
            </w:tcBorders>
          </w:tcPr>
          <w:p w14:paraId="12A50E58" w14:textId="77777777" w:rsidR="006D0845" w:rsidRPr="00311AB5" w:rsidRDefault="006D0845" w:rsidP="006D0845">
            <w:pPr>
              <w:tabs>
                <w:tab w:val="left" w:pos="709"/>
              </w:tabs>
              <w:spacing w:before="40" w:after="120" w:line="240" w:lineRule="auto"/>
              <w:rPr>
                <w:rFonts w:ascii="Arial" w:hAnsi="Arial" w:cs="Arial"/>
                <w:bCs/>
                <w:color w:val="000000" w:themeColor="text1"/>
                <w:sz w:val="16"/>
                <w:szCs w:val="16"/>
              </w:rPr>
            </w:pPr>
            <w:r w:rsidRPr="00311AB5">
              <w:rPr>
                <w:rFonts w:ascii="Arial" w:hAnsi="Arial" w:cs="Arial"/>
                <w:bCs/>
                <w:color w:val="000000" w:themeColor="text1"/>
                <w:sz w:val="16"/>
                <w:szCs w:val="16"/>
              </w:rPr>
              <w:t>ACIAR is an investor, broker, facilitator and manager of strategic partnerships in agricultural research for development, and an evaluator and communicator of research findings. The partnership model ensures that partner countr</w:t>
            </w:r>
            <w:r>
              <w:rPr>
                <w:rFonts w:ascii="Arial" w:hAnsi="Arial" w:cs="Arial"/>
                <w:bCs/>
                <w:color w:val="000000" w:themeColor="text1"/>
                <w:sz w:val="16"/>
                <w:szCs w:val="16"/>
              </w:rPr>
              <w:t xml:space="preserve">ies have input into and ownership of </w:t>
            </w:r>
            <w:r w:rsidRPr="00311AB5">
              <w:rPr>
                <w:rFonts w:ascii="Arial" w:hAnsi="Arial" w:cs="Arial"/>
                <w:bCs/>
                <w:color w:val="000000" w:themeColor="text1"/>
                <w:sz w:val="16"/>
                <w:szCs w:val="16"/>
              </w:rPr>
              <w:t>research priorities and</w:t>
            </w:r>
            <w:r>
              <w:rPr>
                <w:rFonts w:ascii="Arial" w:hAnsi="Arial" w:cs="Arial"/>
                <w:bCs/>
                <w:color w:val="000000" w:themeColor="text1"/>
                <w:sz w:val="16"/>
                <w:szCs w:val="16"/>
              </w:rPr>
              <w:t xml:space="preserve"> the delivery of</w:t>
            </w:r>
            <w:r w:rsidRPr="00311AB5">
              <w:rPr>
                <w:rFonts w:ascii="Arial" w:hAnsi="Arial" w:cs="Arial"/>
                <w:bCs/>
                <w:color w:val="000000" w:themeColor="text1"/>
                <w:sz w:val="16"/>
                <w:szCs w:val="16"/>
              </w:rPr>
              <w:t xml:space="preserve"> research programs. This approach maximises the relevance of the research undertaken and the likelihood that research outputs and findings will be used and will make a difference to those countries and to Australia. ACIAR has a well-established Impact Evaluation Program that helps to refine priorities, learn lessons from current and past projects, and report accurately to the Minister, the Parliament and the Australian public.</w:t>
            </w:r>
          </w:p>
          <w:p w14:paraId="61240788" w14:textId="77777777" w:rsidR="006D0845" w:rsidRPr="00311AB5" w:rsidRDefault="006D0845" w:rsidP="006D0845">
            <w:pPr>
              <w:tabs>
                <w:tab w:val="left" w:pos="709"/>
              </w:tabs>
              <w:spacing w:before="40" w:after="120" w:line="240" w:lineRule="auto"/>
              <w:rPr>
                <w:rFonts w:ascii="Arial" w:hAnsi="Arial" w:cs="Arial"/>
                <w:bCs/>
                <w:color w:val="000000" w:themeColor="text1"/>
                <w:sz w:val="16"/>
                <w:szCs w:val="16"/>
              </w:rPr>
            </w:pPr>
            <w:r w:rsidRPr="00311AB5">
              <w:rPr>
                <w:rFonts w:ascii="Arial" w:hAnsi="Arial" w:cs="Arial"/>
                <w:bCs/>
                <w:color w:val="000000" w:themeColor="text1"/>
                <w:sz w:val="16"/>
                <w:szCs w:val="16"/>
              </w:rPr>
              <w:t>To contribute to reducing poverty and improving the livelihoods of communities in the Indo-Pacific through more productive, resilient and sustainable agricultur</w:t>
            </w:r>
            <w:r>
              <w:rPr>
                <w:rFonts w:ascii="Arial" w:hAnsi="Arial" w:cs="Arial"/>
                <w:bCs/>
                <w:color w:val="000000" w:themeColor="text1"/>
                <w:sz w:val="16"/>
                <w:szCs w:val="16"/>
              </w:rPr>
              <w:t>e emerging from collaborative international research,</w:t>
            </w:r>
            <w:r w:rsidRPr="00311AB5">
              <w:rPr>
                <w:rFonts w:ascii="Arial" w:hAnsi="Arial" w:cs="Arial"/>
                <w:bCs/>
                <w:color w:val="000000" w:themeColor="text1"/>
                <w:sz w:val="16"/>
                <w:szCs w:val="16"/>
              </w:rPr>
              <w:t xml:space="preserve"> we deliver programs through three key activities:</w:t>
            </w:r>
          </w:p>
          <w:p w14:paraId="3E41C3C6" w14:textId="77777777" w:rsidR="006D0845" w:rsidRDefault="006D0845" w:rsidP="00707A3D">
            <w:pPr>
              <w:pStyle w:val="ListParagraph"/>
              <w:numPr>
                <w:ilvl w:val="0"/>
                <w:numId w:val="42"/>
              </w:numPr>
              <w:tabs>
                <w:tab w:val="left" w:pos="709"/>
              </w:tabs>
              <w:spacing w:before="40" w:after="40" w:line="240" w:lineRule="auto"/>
              <w:rPr>
                <w:rFonts w:ascii="Arial" w:hAnsi="Arial" w:cs="Arial"/>
                <w:bCs/>
                <w:color w:val="000000" w:themeColor="text1"/>
                <w:sz w:val="16"/>
                <w:szCs w:val="16"/>
              </w:rPr>
            </w:pPr>
            <w:r>
              <w:rPr>
                <w:rFonts w:ascii="Arial" w:hAnsi="Arial" w:cs="Arial"/>
                <w:bCs/>
                <w:color w:val="000000" w:themeColor="text1"/>
                <w:sz w:val="16"/>
                <w:szCs w:val="16"/>
              </w:rPr>
              <w:t xml:space="preserve">global research </w:t>
            </w:r>
            <w:proofErr w:type="gramStart"/>
            <w:r>
              <w:rPr>
                <w:rFonts w:ascii="Arial" w:hAnsi="Arial" w:cs="Arial"/>
                <w:bCs/>
                <w:color w:val="000000" w:themeColor="text1"/>
                <w:sz w:val="16"/>
                <w:szCs w:val="16"/>
              </w:rPr>
              <w:t>collaborations</w:t>
            </w:r>
            <w:r w:rsidRPr="000D626B">
              <w:rPr>
                <w:rFonts w:ascii="Arial" w:hAnsi="Arial" w:cs="Arial"/>
                <w:bCs/>
                <w:color w:val="000000" w:themeColor="text1"/>
                <w:sz w:val="16"/>
                <w:szCs w:val="16"/>
              </w:rPr>
              <w:t>;</w:t>
            </w:r>
            <w:proofErr w:type="gramEnd"/>
          </w:p>
          <w:p w14:paraId="09C0178B" w14:textId="77777777" w:rsidR="006D0845" w:rsidRDefault="006D0845" w:rsidP="00707A3D">
            <w:pPr>
              <w:pStyle w:val="ListParagraph"/>
              <w:numPr>
                <w:ilvl w:val="0"/>
                <w:numId w:val="42"/>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bilateral</w:t>
            </w:r>
            <w:r>
              <w:rPr>
                <w:rFonts w:ascii="Arial" w:hAnsi="Arial" w:cs="Arial"/>
                <w:bCs/>
                <w:color w:val="000000" w:themeColor="text1"/>
                <w:sz w:val="16"/>
                <w:szCs w:val="16"/>
              </w:rPr>
              <w:t xml:space="preserve"> and regional research projects</w:t>
            </w:r>
            <w:r w:rsidRPr="000D626B">
              <w:rPr>
                <w:rFonts w:ascii="Arial" w:hAnsi="Arial" w:cs="Arial"/>
                <w:bCs/>
                <w:color w:val="000000" w:themeColor="text1"/>
                <w:sz w:val="16"/>
                <w:szCs w:val="16"/>
              </w:rPr>
              <w:t>; and</w:t>
            </w:r>
          </w:p>
          <w:p w14:paraId="7F9082C7" w14:textId="2A6F453E" w:rsidR="00E7366F" w:rsidRPr="006D0845" w:rsidRDefault="006D0845" w:rsidP="00707A3D">
            <w:pPr>
              <w:pStyle w:val="ListParagraph"/>
              <w:numPr>
                <w:ilvl w:val="0"/>
                <w:numId w:val="42"/>
              </w:numPr>
              <w:tabs>
                <w:tab w:val="left" w:pos="709"/>
              </w:tabs>
              <w:spacing w:before="40" w:after="40" w:line="240" w:lineRule="auto"/>
              <w:rPr>
                <w:rFonts w:ascii="Arial" w:hAnsi="Arial" w:cs="Arial"/>
                <w:bCs/>
                <w:color w:val="000000" w:themeColor="text1"/>
                <w:sz w:val="16"/>
                <w:szCs w:val="16"/>
              </w:rPr>
            </w:pPr>
            <w:r w:rsidRPr="006D0845">
              <w:rPr>
                <w:rFonts w:ascii="Arial" w:hAnsi="Arial" w:cs="Arial"/>
                <w:bCs/>
                <w:color w:val="000000" w:themeColor="text1"/>
                <w:sz w:val="16"/>
                <w:szCs w:val="16"/>
              </w:rPr>
              <w:t>scientific and policy capacity-building activities.</w:t>
            </w:r>
          </w:p>
        </w:tc>
      </w:tr>
      <w:tr w:rsidR="00E7366F" w:rsidRPr="00FC7ED1" w14:paraId="06E0EA48" w14:textId="77777777" w:rsidTr="006D0845">
        <w:trPr>
          <w:cantSplit/>
          <w:trHeight w:val="258"/>
        </w:trPr>
        <w:tc>
          <w:tcPr>
            <w:tcW w:w="1544" w:type="dxa"/>
            <w:tcBorders>
              <w:top w:val="double" w:sz="4" w:space="0" w:color="auto"/>
              <w:bottom w:val="single" w:sz="4" w:space="0" w:color="auto"/>
              <w:right w:val="single" w:sz="4" w:space="0" w:color="auto"/>
            </w:tcBorders>
          </w:tcPr>
          <w:p w14:paraId="2A9ADDD9" w14:textId="77777777" w:rsidR="00E7366F" w:rsidRPr="00FC7ED1" w:rsidRDefault="00E7366F" w:rsidP="00FF7B23">
            <w:pPr>
              <w:pStyle w:val="TableColumnHeadingLeft"/>
            </w:pPr>
            <w:r w:rsidRPr="00FC7ED1">
              <w:t>Year</w:t>
            </w:r>
          </w:p>
        </w:tc>
        <w:tc>
          <w:tcPr>
            <w:tcW w:w="3085" w:type="dxa"/>
            <w:tcBorders>
              <w:top w:val="double" w:sz="4" w:space="0" w:color="auto"/>
              <w:left w:val="single" w:sz="4" w:space="0" w:color="auto"/>
              <w:bottom w:val="single" w:sz="4" w:space="0" w:color="auto"/>
              <w:right w:val="single" w:sz="4" w:space="0" w:color="auto"/>
            </w:tcBorders>
          </w:tcPr>
          <w:p w14:paraId="123DA401" w14:textId="13F64B9F" w:rsidR="00E7366F" w:rsidRPr="00FE2A30" w:rsidRDefault="00E7366F" w:rsidP="00FF7B23">
            <w:pPr>
              <w:pStyle w:val="TableColumnHeadingLeft"/>
            </w:pPr>
            <w:r w:rsidRPr="00FE2A30">
              <w:t xml:space="preserve">Performance measures </w:t>
            </w:r>
          </w:p>
        </w:tc>
        <w:tc>
          <w:tcPr>
            <w:tcW w:w="3071" w:type="dxa"/>
            <w:tcBorders>
              <w:top w:val="double" w:sz="4" w:space="0" w:color="auto"/>
              <w:left w:val="single" w:sz="4" w:space="0" w:color="auto"/>
              <w:bottom w:val="single" w:sz="4" w:space="0" w:color="auto"/>
            </w:tcBorders>
          </w:tcPr>
          <w:p w14:paraId="61C9697E" w14:textId="77777777" w:rsidR="00E7366F" w:rsidRPr="00FE2A30" w:rsidRDefault="00E7366F" w:rsidP="00FF7B23">
            <w:pPr>
              <w:pStyle w:val="TableColumnHeadingLeft"/>
            </w:pPr>
            <w:r w:rsidRPr="00FE2A30">
              <w:t>Expected performance results</w:t>
            </w:r>
          </w:p>
        </w:tc>
      </w:tr>
      <w:tr w:rsidR="00E7366F" w:rsidRPr="00FC7ED1" w14:paraId="711A05E0" w14:textId="77777777" w:rsidTr="006D0845">
        <w:trPr>
          <w:cantSplit/>
          <w:trHeight w:val="642"/>
        </w:trPr>
        <w:tc>
          <w:tcPr>
            <w:tcW w:w="1544" w:type="dxa"/>
            <w:tcBorders>
              <w:top w:val="single" w:sz="4" w:space="0" w:color="auto"/>
              <w:bottom w:val="dotted" w:sz="4" w:space="0" w:color="auto"/>
              <w:right w:val="single" w:sz="4" w:space="0" w:color="auto"/>
            </w:tcBorders>
          </w:tcPr>
          <w:p w14:paraId="7D888805" w14:textId="77777777" w:rsidR="00E7366F" w:rsidRPr="00FC7ED1" w:rsidRDefault="00E7366F" w:rsidP="00FF7B23">
            <w:pPr>
              <w:pStyle w:val="TableTextLeft"/>
            </w:pPr>
            <w:r w:rsidRPr="00FC7ED1">
              <w:t xml:space="preserve">Current Year </w:t>
            </w:r>
          </w:p>
          <w:p w14:paraId="79D72D09" w14:textId="77777777" w:rsidR="00E7366F" w:rsidRPr="00FC7ED1" w:rsidRDefault="00E7366F" w:rsidP="00FF7B23">
            <w:pPr>
              <w:pStyle w:val="TableTextLeft"/>
            </w:pPr>
            <w:r w:rsidRPr="00FC7ED1">
              <w:t>202</w:t>
            </w:r>
            <w:r>
              <w:t>5</w:t>
            </w:r>
            <w:r w:rsidRPr="00FC7ED1">
              <w:t>–2</w:t>
            </w:r>
            <w:r>
              <w:t>6</w:t>
            </w:r>
          </w:p>
        </w:tc>
        <w:tc>
          <w:tcPr>
            <w:tcW w:w="3085" w:type="dxa"/>
            <w:tcBorders>
              <w:top w:val="single" w:sz="4" w:space="0" w:color="auto"/>
              <w:left w:val="single" w:sz="4" w:space="0" w:color="auto"/>
              <w:bottom w:val="dotted" w:sz="4" w:space="0" w:color="auto"/>
              <w:right w:val="single" w:sz="4" w:space="0" w:color="auto"/>
            </w:tcBorders>
          </w:tcPr>
          <w:p w14:paraId="1728444E" w14:textId="77777777" w:rsidR="006D0845" w:rsidRPr="00FE2A30" w:rsidRDefault="006D0845" w:rsidP="006D0845">
            <w:pPr>
              <w:pStyle w:val="TableTextBase"/>
              <w:spacing w:before="40" w:after="40"/>
              <w:rPr>
                <w:rFonts w:cs="Arial"/>
              </w:rPr>
            </w:pPr>
            <w:r w:rsidRPr="00FE2A30">
              <w:rPr>
                <w:rFonts w:cs="Arial"/>
              </w:rPr>
              <w:t>Through annual project progress reports, mid- and end-project reviews, long-term outcomes evaluation and impact assessments, case studies (quantitative and qualitative), and financial activity indicators, as appropriate to each performance criteria, ACIAR will measure the extent to which these activities are:</w:t>
            </w:r>
          </w:p>
          <w:p w14:paraId="7ED128AB" w14:textId="77777777" w:rsidR="006D0845" w:rsidRPr="00FE2A30" w:rsidRDefault="006D0845" w:rsidP="00707A3D">
            <w:pPr>
              <w:pStyle w:val="TableTextBase"/>
              <w:numPr>
                <w:ilvl w:val="0"/>
                <w:numId w:val="43"/>
              </w:numPr>
              <w:spacing w:before="40" w:after="40"/>
              <w:rPr>
                <w:rFonts w:cs="Arial"/>
                <w:szCs w:val="16"/>
              </w:rPr>
            </w:pPr>
            <w:r w:rsidRPr="00FE2A30">
              <w:rPr>
                <w:rFonts w:cs="Arial"/>
                <w:szCs w:val="16"/>
              </w:rPr>
              <w:t>Highly satisfactory</w:t>
            </w:r>
          </w:p>
          <w:p w14:paraId="0A0F6BDB" w14:textId="77777777" w:rsidR="006D0845" w:rsidRPr="00FE2A30" w:rsidRDefault="006D0845" w:rsidP="00707A3D">
            <w:pPr>
              <w:pStyle w:val="TableTextBase"/>
              <w:numPr>
                <w:ilvl w:val="0"/>
                <w:numId w:val="43"/>
              </w:numPr>
              <w:spacing w:before="40" w:after="40"/>
              <w:rPr>
                <w:rFonts w:cs="Arial"/>
                <w:szCs w:val="16"/>
              </w:rPr>
            </w:pPr>
            <w:r w:rsidRPr="00FE2A30">
              <w:rPr>
                <w:rFonts w:cs="Arial"/>
                <w:szCs w:val="16"/>
              </w:rPr>
              <w:t>Satisfactory</w:t>
            </w:r>
          </w:p>
          <w:p w14:paraId="404C9CEF" w14:textId="00B3BABC" w:rsidR="00E7366F" w:rsidRPr="00FE2A30" w:rsidRDefault="006D0845" w:rsidP="00707A3D">
            <w:pPr>
              <w:pStyle w:val="TableTextBase"/>
              <w:numPr>
                <w:ilvl w:val="0"/>
                <w:numId w:val="43"/>
              </w:numPr>
              <w:spacing w:before="40" w:after="40"/>
              <w:rPr>
                <w:rFonts w:cs="Arial"/>
                <w:szCs w:val="16"/>
              </w:rPr>
            </w:pPr>
            <w:r w:rsidRPr="00FE2A30">
              <w:rPr>
                <w:rFonts w:cs="Arial"/>
                <w:szCs w:val="16"/>
              </w:rPr>
              <w:t>Not satisfactory</w:t>
            </w:r>
          </w:p>
        </w:tc>
        <w:tc>
          <w:tcPr>
            <w:tcW w:w="3071" w:type="dxa"/>
            <w:tcBorders>
              <w:top w:val="single" w:sz="4" w:space="0" w:color="auto"/>
              <w:left w:val="single" w:sz="4" w:space="0" w:color="auto"/>
              <w:bottom w:val="dotted" w:sz="4" w:space="0" w:color="auto"/>
            </w:tcBorders>
          </w:tcPr>
          <w:p w14:paraId="76CEA843" w14:textId="79D32138" w:rsidR="00E7366F" w:rsidRPr="00FE2A30" w:rsidRDefault="006D0845" w:rsidP="00FF7B23">
            <w:pPr>
              <w:pStyle w:val="TableTextLeft"/>
            </w:pPr>
            <w:r w:rsidRPr="00FE2A30">
              <w:rPr>
                <w:rFonts w:cs="Arial"/>
                <w:szCs w:val="16"/>
              </w:rPr>
              <w:t>All three key activities rated as satisfactory or highly satisfactory.</w:t>
            </w:r>
          </w:p>
        </w:tc>
      </w:tr>
      <w:tr w:rsidR="00E7366F" w:rsidRPr="00FC7ED1" w14:paraId="27A43C1E" w14:textId="77777777" w:rsidTr="006D0845">
        <w:trPr>
          <w:cantSplit/>
          <w:trHeight w:val="100"/>
        </w:trPr>
        <w:tc>
          <w:tcPr>
            <w:tcW w:w="1544" w:type="dxa"/>
            <w:tcBorders>
              <w:top w:val="single" w:sz="4" w:space="0" w:color="auto"/>
              <w:bottom w:val="dotted" w:sz="4" w:space="0" w:color="auto"/>
              <w:right w:val="single" w:sz="4" w:space="0" w:color="auto"/>
            </w:tcBorders>
          </w:tcPr>
          <w:p w14:paraId="0E60662D" w14:textId="77777777" w:rsidR="00E7366F" w:rsidRPr="00FC7ED1" w:rsidRDefault="00E7366F" w:rsidP="00FF7B23">
            <w:pPr>
              <w:pStyle w:val="TableColumnHeadingLeft"/>
            </w:pPr>
            <w:r w:rsidRPr="00FC7ED1">
              <w:t>Year</w:t>
            </w:r>
          </w:p>
        </w:tc>
        <w:tc>
          <w:tcPr>
            <w:tcW w:w="3085" w:type="dxa"/>
            <w:tcBorders>
              <w:top w:val="single" w:sz="4" w:space="0" w:color="auto"/>
              <w:left w:val="single" w:sz="4" w:space="0" w:color="auto"/>
              <w:bottom w:val="dotted" w:sz="4" w:space="0" w:color="auto"/>
              <w:right w:val="single" w:sz="4" w:space="0" w:color="auto"/>
            </w:tcBorders>
          </w:tcPr>
          <w:p w14:paraId="233C934F" w14:textId="316A0C40" w:rsidR="00E7366F" w:rsidRPr="00FE2A30" w:rsidRDefault="00E7366F" w:rsidP="00FF7B23">
            <w:pPr>
              <w:pStyle w:val="TableColumnHeadingLeft"/>
            </w:pPr>
            <w:r w:rsidRPr="00FE2A30">
              <w:t xml:space="preserve">Performance measures </w:t>
            </w:r>
          </w:p>
        </w:tc>
        <w:tc>
          <w:tcPr>
            <w:tcW w:w="3071" w:type="dxa"/>
            <w:tcBorders>
              <w:top w:val="single" w:sz="4" w:space="0" w:color="auto"/>
              <w:left w:val="single" w:sz="4" w:space="0" w:color="auto"/>
              <w:bottom w:val="dotted" w:sz="4" w:space="0" w:color="auto"/>
            </w:tcBorders>
          </w:tcPr>
          <w:p w14:paraId="65EBF1B3" w14:textId="5FA1510D" w:rsidR="00E7366F" w:rsidRPr="00FE2A30" w:rsidRDefault="00E7366F" w:rsidP="00FF7B23">
            <w:pPr>
              <w:pStyle w:val="TableColumnHeadingLeft"/>
            </w:pPr>
            <w:r w:rsidRPr="00FE2A30">
              <w:t xml:space="preserve">Planned performance results </w:t>
            </w:r>
          </w:p>
        </w:tc>
      </w:tr>
      <w:tr w:rsidR="006D0845" w:rsidRPr="00FC7ED1" w14:paraId="59C466B8" w14:textId="77777777" w:rsidTr="006D0845">
        <w:trPr>
          <w:cantSplit/>
          <w:trHeight w:val="559"/>
        </w:trPr>
        <w:tc>
          <w:tcPr>
            <w:tcW w:w="1544" w:type="dxa"/>
            <w:tcBorders>
              <w:top w:val="single" w:sz="4" w:space="0" w:color="auto"/>
              <w:bottom w:val="dotted" w:sz="4" w:space="0" w:color="auto"/>
              <w:right w:val="single" w:sz="4" w:space="0" w:color="auto"/>
            </w:tcBorders>
          </w:tcPr>
          <w:p w14:paraId="62A30770" w14:textId="77777777" w:rsidR="006D0845" w:rsidRPr="00FC7ED1" w:rsidRDefault="006D0845" w:rsidP="006D0845">
            <w:pPr>
              <w:pStyle w:val="TableTextLeft"/>
            </w:pPr>
            <w:r w:rsidRPr="00FC7ED1">
              <w:t xml:space="preserve">Budget Year </w:t>
            </w:r>
          </w:p>
          <w:p w14:paraId="23614AE7" w14:textId="77777777" w:rsidR="006D0845" w:rsidRPr="00FC7ED1" w:rsidRDefault="006D0845" w:rsidP="006D0845">
            <w:pPr>
              <w:pStyle w:val="TableTextLeft"/>
            </w:pPr>
            <w:r w:rsidRPr="00FC7ED1">
              <w:t>202</w:t>
            </w:r>
            <w:r>
              <w:t>6</w:t>
            </w:r>
            <w:r w:rsidRPr="00FC7ED1">
              <w:t>–2</w:t>
            </w:r>
            <w:r>
              <w:t>7</w:t>
            </w:r>
          </w:p>
        </w:tc>
        <w:tc>
          <w:tcPr>
            <w:tcW w:w="3085" w:type="dxa"/>
            <w:tcBorders>
              <w:top w:val="single" w:sz="4" w:space="0" w:color="auto"/>
              <w:left w:val="single" w:sz="4" w:space="0" w:color="auto"/>
              <w:bottom w:val="dotted" w:sz="4" w:space="0" w:color="auto"/>
              <w:right w:val="single" w:sz="4" w:space="0" w:color="auto"/>
            </w:tcBorders>
          </w:tcPr>
          <w:p w14:paraId="66833304" w14:textId="3F3EDF62" w:rsidR="006D0845" w:rsidRPr="00FE2A30" w:rsidRDefault="006D0845" w:rsidP="006D0845">
            <w:pPr>
              <w:pStyle w:val="TableTextLeft"/>
            </w:pPr>
            <w:r w:rsidRPr="00FE2A30">
              <w:rPr>
                <w:rFonts w:cs="Arial"/>
                <w:szCs w:val="16"/>
              </w:rPr>
              <w:t>As per 2025–26</w:t>
            </w:r>
          </w:p>
        </w:tc>
        <w:tc>
          <w:tcPr>
            <w:tcW w:w="3071" w:type="dxa"/>
            <w:tcBorders>
              <w:top w:val="single" w:sz="4" w:space="0" w:color="auto"/>
              <w:left w:val="single" w:sz="4" w:space="0" w:color="auto"/>
              <w:bottom w:val="dotted" w:sz="4" w:space="0" w:color="auto"/>
            </w:tcBorders>
          </w:tcPr>
          <w:p w14:paraId="52491C02" w14:textId="7E0A4181" w:rsidR="006D0845" w:rsidRPr="00FE2A30" w:rsidRDefault="006D0845" w:rsidP="006D0845">
            <w:pPr>
              <w:pStyle w:val="TableTextLeft"/>
            </w:pPr>
            <w:r w:rsidRPr="00FE2A30">
              <w:rPr>
                <w:rFonts w:cs="Arial"/>
                <w:szCs w:val="16"/>
              </w:rPr>
              <w:t>As per 2025–26</w:t>
            </w:r>
          </w:p>
        </w:tc>
      </w:tr>
      <w:tr w:rsidR="006D0845" w:rsidRPr="00FC7ED1" w14:paraId="6533813B" w14:textId="77777777" w:rsidTr="006D0845">
        <w:trPr>
          <w:cantSplit/>
          <w:trHeight w:val="491"/>
        </w:trPr>
        <w:tc>
          <w:tcPr>
            <w:tcW w:w="1544" w:type="dxa"/>
            <w:tcBorders>
              <w:top w:val="dotted" w:sz="4" w:space="0" w:color="auto"/>
              <w:bottom w:val="dotted" w:sz="4" w:space="0" w:color="auto"/>
              <w:right w:val="single" w:sz="4" w:space="0" w:color="auto"/>
            </w:tcBorders>
          </w:tcPr>
          <w:p w14:paraId="5EA5938F" w14:textId="77777777" w:rsidR="006D0845" w:rsidRPr="00FC7ED1" w:rsidRDefault="006D0845" w:rsidP="006D0845">
            <w:pPr>
              <w:pStyle w:val="TableTextLeft"/>
            </w:pPr>
            <w:r w:rsidRPr="00FC7ED1">
              <w:t xml:space="preserve">Forward Estimates </w:t>
            </w:r>
          </w:p>
          <w:p w14:paraId="111AB250" w14:textId="77777777" w:rsidR="006D0845" w:rsidRPr="00FC7ED1" w:rsidRDefault="006D0845" w:rsidP="006D0845">
            <w:pPr>
              <w:pStyle w:val="TableTextLeft"/>
              <w:rPr>
                <w:b/>
              </w:rPr>
            </w:pPr>
            <w:r w:rsidRPr="00FC7ED1">
              <w:t>202</w:t>
            </w:r>
            <w:r>
              <w:t>7</w:t>
            </w:r>
            <w:r w:rsidRPr="00FC7ED1">
              <w:t>–</w:t>
            </w:r>
            <w:r>
              <w:t>30</w:t>
            </w:r>
          </w:p>
        </w:tc>
        <w:tc>
          <w:tcPr>
            <w:tcW w:w="3085" w:type="dxa"/>
            <w:tcBorders>
              <w:top w:val="dotted" w:sz="4" w:space="0" w:color="auto"/>
              <w:left w:val="single" w:sz="4" w:space="0" w:color="auto"/>
              <w:bottom w:val="dotted" w:sz="4" w:space="0" w:color="auto"/>
              <w:right w:val="single" w:sz="4" w:space="0" w:color="auto"/>
            </w:tcBorders>
          </w:tcPr>
          <w:p w14:paraId="27C12F14" w14:textId="1D29DB46" w:rsidR="006D0845" w:rsidRPr="00FE2A30" w:rsidRDefault="006D0845" w:rsidP="006D0845">
            <w:pPr>
              <w:pStyle w:val="TableTextLeft"/>
              <w:rPr>
                <w:b/>
              </w:rPr>
            </w:pPr>
            <w:r w:rsidRPr="00FE2A30">
              <w:rPr>
                <w:rFonts w:cs="Arial"/>
                <w:szCs w:val="16"/>
              </w:rPr>
              <w:t>As per 2026–27</w:t>
            </w:r>
          </w:p>
        </w:tc>
        <w:tc>
          <w:tcPr>
            <w:tcW w:w="3071" w:type="dxa"/>
            <w:tcBorders>
              <w:top w:val="dotted" w:sz="4" w:space="0" w:color="auto"/>
              <w:left w:val="single" w:sz="4" w:space="0" w:color="auto"/>
              <w:bottom w:val="dotted" w:sz="4" w:space="0" w:color="auto"/>
            </w:tcBorders>
          </w:tcPr>
          <w:p w14:paraId="2D7E669E" w14:textId="170B44A7" w:rsidR="006D0845" w:rsidRPr="00FE2A30" w:rsidRDefault="006D0845" w:rsidP="006D0845">
            <w:pPr>
              <w:pStyle w:val="TableTextLeft"/>
              <w:rPr>
                <w:b/>
              </w:rPr>
            </w:pPr>
            <w:r w:rsidRPr="00FE2A30">
              <w:rPr>
                <w:rFonts w:cs="Arial"/>
                <w:szCs w:val="16"/>
              </w:rPr>
              <w:t>As per 2026–27</w:t>
            </w:r>
          </w:p>
        </w:tc>
      </w:tr>
      <w:tr w:rsidR="00E7366F" w:rsidRPr="00FC7ED1" w14:paraId="669551F6" w14:textId="77777777" w:rsidTr="006D0845">
        <w:trPr>
          <w:cantSplit/>
          <w:trHeight w:val="261"/>
        </w:trPr>
        <w:tc>
          <w:tcPr>
            <w:tcW w:w="7700" w:type="dxa"/>
            <w:gridSpan w:val="3"/>
          </w:tcPr>
          <w:p w14:paraId="03F1995E" w14:textId="78FC7424" w:rsidR="00E7366F" w:rsidRPr="00FC7ED1" w:rsidRDefault="00E7366F" w:rsidP="00FF7B23">
            <w:pPr>
              <w:pStyle w:val="TableTextLeft"/>
              <w:rPr>
                <w:rFonts w:eastAsia="Cambria"/>
                <w:spacing w:val="-6"/>
              </w:rPr>
            </w:pPr>
            <w:r w:rsidRPr="00FC7ED1">
              <w:t xml:space="preserve">Material changes to Program </w:t>
            </w:r>
            <w:r w:rsidR="006D0845">
              <w:t xml:space="preserve">1 </w:t>
            </w:r>
            <w:r w:rsidRPr="00FC7ED1">
              <w:t>resulting from 202</w:t>
            </w:r>
            <w:r>
              <w:t>6</w:t>
            </w:r>
            <w:r w:rsidRPr="00FC7ED1">
              <w:t>–2</w:t>
            </w:r>
            <w:r>
              <w:t>7</w:t>
            </w:r>
            <w:r w:rsidRPr="00FC7ED1">
              <w:t xml:space="preserve"> Budget Measures:</w:t>
            </w:r>
            <w:r w:rsidRPr="00FC7ED1">
              <w:rPr>
                <w:rFonts w:eastAsia="Cambria"/>
                <w:spacing w:val="-6"/>
                <w:lang w:eastAsia="en-US"/>
              </w:rPr>
              <w:t xml:space="preserve"> </w:t>
            </w:r>
            <w:r w:rsidR="006D0845">
              <w:rPr>
                <w:rFonts w:eastAsia="Cambria"/>
                <w:spacing w:val="-6"/>
                <w:lang w:eastAsia="en-US"/>
              </w:rPr>
              <w:t xml:space="preserve">Nil </w:t>
            </w:r>
          </w:p>
        </w:tc>
      </w:tr>
    </w:tbl>
    <w:p w14:paraId="75B86BC4" w14:textId="77777777" w:rsidR="00E7366F" w:rsidRPr="006913EB" w:rsidRDefault="00E7366F" w:rsidP="00E7366F">
      <w:pPr>
        <w:pStyle w:val="Heading2"/>
      </w:pPr>
      <w:r w:rsidRPr="00E05DE2">
        <w:lastRenderedPageBreak/>
        <w:t>Section 3: Budgeted financial statements</w:t>
      </w:r>
    </w:p>
    <w:p w14:paraId="3F0B2887" w14:textId="77777777" w:rsidR="00E7366F" w:rsidRDefault="00E7366F" w:rsidP="00E7366F">
      <w:r>
        <w:t>Section 3 presents budgeted financial statements which provide a comprehensive snapshot of entity finances for the 2026–27</w:t>
      </w:r>
      <w:r>
        <w:rPr>
          <w:color w:val="00B050"/>
        </w:rPr>
        <w:t xml:space="preserve"> </w:t>
      </w:r>
      <w:r>
        <w:t>budget year, including the impact of budget measures and resourcing on financial statements.</w:t>
      </w:r>
    </w:p>
    <w:p w14:paraId="2A1E934B" w14:textId="77777777" w:rsidR="00E7366F" w:rsidRPr="005328A9" w:rsidRDefault="00E7366F" w:rsidP="00E7366F">
      <w:pPr>
        <w:pStyle w:val="Heading3"/>
      </w:pPr>
      <w:r w:rsidRPr="005328A9">
        <w:t>3.1</w:t>
      </w:r>
      <w:r w:rsidRPr="005328A9">
        <w:tab/>
        <w:t>Budgeted financial statements</w:t>
      </w:r>
    </w:p>
    <w:p w14:paraId="72056C53" w14:textId="77777777" w:rsidR="00E7366F" w:rsidRDefault="00E7366F" w:rsidP="00E7366F">
      <w:pPr>
        <w:pStyle w:val="Heading4"/>
      </w:pPr>
      <w:r>
        <w:t>3.1.1</w:t>
      </w:r>
      <w:r>
        <w:tab/>
        <w:t>Differences between entity resourcing and financial statements</w:t>
      </w:r>
    </w:p>
    <w:p w14:paraId="740DE787" w14:textId="77777777" w:rsidR="006D0845" w:rsidRPr="00D20300" w:rsidRDefault="006D0845" w:rsidP="006D0845">
      <w:pPr>
        <w:pStyle w:val="ExampleText0"/>
        <w:spacing w:after="160"/>
        <w:rPr>
          <w:i w:val="0"/>
          <w:iCs/>
          <w:color w:val="000000" w:themeColor="text1"/>
        </w:rPr>
      </w:pPr>
      <w:r>
        <w:rPr>
          <w:i w:val="0"/>
          <w:iCs/>
          <w:color w:val="000000" w:themeColor="text1"/>
        </w:rPr>
        <w:t xml:space="preserve">There </w:t>
      </w:r>
      <w:r w:rsidRPr="00D20300">
        <w:rPr>
          <w:i w:val="0"/>
          <w:iCs/>
          <w:color w:val="000000" w:themeColor="text1"/>
        </w:rPr>
        <w:t>are no differences between the resource information presented in the Budget Papers and in the ACIAR Portfolio Budget Statements.</w:t>
      </w:r>
    </w:p>
    <w:p w14:paraId="15AA201A" w14:textId="77777777" w:rsidR="00E7366F" w:rsidRDefault="00E7366F" w:rsidP="00E7366F">
      <w:pPr>
        <w:pStyle w:val="Heading4"/>
      </w:pPr>
      <w:r>
        <w:t>3.1.2</w:t>
      </w:r>
      <w:r>
        <w:tab/>
        <w:t>Explanatory notes and analysis of budgeted financial statements</w:t>
      </w:r>
    </w:p>
    <w:p w14:paraId="4221DFAE" w14:textId="77777777" w:rsidR="006D0845" w:rsidRDefault="006D0845" w:rsidP="006D0845">
      <w:pPr>
        <w:pStyle w:val="ExampleText0"/>
        <w:spacing w:after="160"/>
        <w:rPr>
          <w:i w:val="0"/>
          <w:iCs/>
          <w:color w:val="000000" w:themeColor="text1"/>
        </w:rPr>
      </w:pPr>
      <w:r w:rsidRPr="001B42AE">
        <w:rPr>
          <w:i w:val="0"/>
          <w:iCs/>
          <w:color w:val="000000" w:themeColor="text1"/>
        </w:rPr>
        <w:t>Th</w:t>
      </w:r>
      <w:r>
        <w:rPr>
          <w:i w:val="0"/>
          <w:iCs/>
          <w:color w:val="000000" w:themeColor="text1"/>
        </w:rPr>
        <w:t>e</w:t>
      </w:r>
      <w:r w:rsidRPr="001B42AE">
        <w:rPr>
          <w:i w:val="0"/>
          <w:iCs/>
          <w:color w:val="000000" w:themeColor="text1"/>
        </w:rPr>
        <w:t xml:space="preserve"> departmental financial statements represent the assets, liabilities, revenues and expenses that are controlled by ACIAR. Departmental expenses include employee and supplier expenses and other administrative costs which are incurred by ACIAR in undertaking its operations.</w:t>
      </w:r>
    </w:p>
    <w:p w14:paraId="33CA2C98"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t>Budgeted departmental comprehensive income statement</w:t>
      </w:r>
    </w:p>
    <w:p w14:paraId="54799DAB" w14:textId="11366C27" w:rsidR="00720B35" w:rsidRPr="00B00598" w:rsidRDefault="00720B35" w:rsidP="00720B35">
      <w:pPr>
        <w:pStyle w:val="ExampleText0"/>
        <w:spacing w:after="160"/>
        <w:rPr>
          <w:i w:val="0"/>
          <w:iCs/>
          <w:color w:val="000000" w:themeColor="text1"/>
        </w:rPr>
      </w:pPr>
      <w:r w:rsidRPr="00B00598">
        <w:rPr>
          <w:i w:val="0"/>
          <w:iCs/>
          <w:color w:val="000000" w:themeColor="text1"/>
        </w:rPr>
        <w:t>The total budgeted revenue from government in 202</w:t>
      </w:r>
      <w:r>
        <w:rPr>
          <w:i w:val="0"/>
          <w:iCs/>
          <w:color w:val="000000" w:themeColor="text1"/>
        </w:rPr>
        <w:t>6</w:t>
      </w:r>
      <w:r w:rsidRPr="00B00598">
        <w:rPr>
          <w:i w:val="0"/>
          <w:iCs/>
          <w:color w:val="000000" w:themeColor="text1"/>
        </w:rPr>
        <w:t>–2</w:t>
      </w:r>
      <w:r>
        <w:rPr>
          <w:i w:val="0"/>
          <w:iCs/>
          <w:color w:val="000000" w:themeColor="text1"/>
        </w:rPr>
        <w:t>7</w:t>
      </w:r>
      <w:r w:rsidRPr="00B00598">
        <w:rPr>
          <w:i w:val="0"/>
          <w:iCs/>
          <w:color w:val="000000" w:themeColor="text1"/>
        </w:rPr>
        <w:t xml:space="preserve"> is $</w:t>
      </w:r>
      <w:r w:rsidRPr="007E6B77">
        <w:rPr>
          <w:i w:val="0"/>
          <w:iCs/>
          <w:color w:val="000000" w:themeColor="text1"/>
        </w:rPr>
        <w:t>11.8 million</w:t>
      </w:r>
      <w:r w:rsidRPr="00B00598">
        <w:rPr>
          <w:i w:val="0"/>
          <w:iCs/>
          <w:color w:val="000000" w:themeColor="text1"/>
        </w:rPr>
        <w:t xml:space="preserve">, which represents an increase </w:t>
      </w:r>
      <w:r w:rsidRPr="007E6B77">
        <w:rPr>
          <w:i w:val="0"/>
          <w:iCs/>
          <w:color w:val="000000" w:themeColor="text1"/>
        </w:rPr>
        <w:t>of $</w:t>
      </w:r>
      <w:r>
        <w:rPr>
          <w:i w:val="0"/>
          <w:iCs/>
          <w:color w:val="000000" w:themeColor="text1"/>
        </w:rPr>
        <w:t>1.5</w:t>
      </w:r>
      <w:r w:rsidRPr="007E6B77">
        <w:rPr>
          <w:i w:val="0"/>
          <w:iCs/>
          <w:color w:val="000000" w:themeColor="text1"/>
        </w:rPr>
        <w:t xml:space="preserve"> million in</w:t>
      </w:r>
      <w:r w:rsidRPr="00B00598">
        <w:rPr>
          <w:i w:val="0"/>
          <w:iCs/>
          <w:color w:val="000000" w:themeColor="text1"/>
        </w:rPr>
        <w:t xml:space="preserve"> appropriations from 202</w:t>
      </w:r>
      <w:r>
        <w:rPr>
          <w:i w:val="0"/>
          <w:iCs/>
          <w:color w:val="000000" w:themeColor="text1"/>
        </w:rPr>
        <w:t>5</w:t>
      </w:r>
      <w:r w:rsidRPr="00B00598">
        <w:rPr>
          <w:i w:val="0"/>
          <w:iCs/>
          <w:color w:val="000000" w:themeColor="text1"/>
        </w:rPr>
        <w:t>–2</w:t>
      </w:r>
      <w:r>
        <w:rPr>
          <w:i w:val="0"/>
          <w:iCs/>
          <w:color w:val="000000" w:themeColor="text1"/>
        </w:rPr>
        <w:t>6</w:t>
      </w:r>
      <w:r w:rsidRPr="00B00598">
        <w:rPr>
          <w:i w:val="0"/>
          <w:iCs/>
          <w:color w:val="000000" w:themeColor="text1"/>
        </w:rPr>
        <w:t xml:space="preserve"> as shown in Table 3.1. The increase is attributable to </w:t>
      </w:r>
      <w:r>
        <w:rPr>
          <w:i w:val="0"/>
          <w:iCs/>
          <w:color w:val="000000" w:themeColor="text1"/>
        </w:rPr>
        <w:t>the</w:t>
      </w:r>
      <w:r w:rsidRPr="00B00598">
        <w:rPr>
          <w:i w:val="0"/>
          <w:iCs/>
          <w:color w:val="000000" w:themeColor="text1"/>
        </w:rPr>
        <w:t xml:space="preserve"> reclassification of appropriation funding from </w:t>
      </w:r>
      <w:r>
        <w:rPr>
          <w:i w:val="0"/>
          <w:iCs/>
          <w:color w:val="000000" w:themeColor="text1"/>
        </w:rPr>
        <w:t>Departmental Operating to Capital to support the relocation of the Canberra office in 2025</w:t>
      </w:r>
      <w:r w:rsidR="009966A5">
        <w:rPr>
          <w:i w:val="0"/>
          <w:iCs/>
          <w:color w:val="000000" w:themeColor="text1"/>
        </w:rPr>
        <w:t>–</w:t>
      </w:r>
      <w:r>
        <w:rPr>
          <w:i w:val="0"/>
          <w:iCs/>
          <w:color w:val="000000" w:themeColor="text1"/>
        </w:rPr>
        <w:t>26</w:t>
      </w:r>
      <w:r w:rsidRPr="00B00598">
        <w:rPr>
          <w:i w:val="0"/>
          <w:iCs/>
          <w:color w:val="000000" w:themeColor="text1"/>
        </w:rPr>
        <w:t>.</w:t>
      </w:r>
    </w:p>
    <w:p w14:paraId="561339C6" w14:textId="70AEA5B2" w:rsidR="00720B35" w:rsidRDefault="00720B35" w:rsidP="006D0845">
      <w:pPr>
        <w:pStyle w:val="ExampleText0"/>
        <w:spacing w:after="160"/>
        <w:rPr>
          <w:i w:val="0"/>
          <w:iCs/>
          <w:color w:val="000000" w:themeColor="text1"/>
        </w:rPr>
      </w:pPr>
      <w:r w:rsidRPr="00B00598">
        <w:rPr>
          <w:i w:val="0"/>
          <w:iCs/>
          <w:color w:val="000000" w:themeColor="text1"/>
        </w:rPr>
        <w:t>The Income Statement shows a budgeted deficit in 202</w:t>
      </w:r>
      <w:r>
        <w:rPr>
          <w:i w:val="0"/>
          <w:iCs/>
          <w:color w:val="000000" w:themeColor="text1"/>
        </w:rPr>
        <w:t>6</w:t>
      </w:r>
      <w:r w:rsidRPr="00B00598">
        <w:rPr>
          <w:i w:val="0"/>
          <w:iCs/>
          <w:color w:val="000000" w:themeColor="text1"/>
        </w:rPr>
        <w:t>–2</w:t>
      </w:r>
      <w:r>
        <w:rPr>
          <w:i w:val="0"/>
          <w:iCs/>
          <w:color w:val="000000" w:themeColor="text1"/>
        </w:rPr>
        <w:t>7</w:t>
      </w:r>
      <w:r w:rsidRPr="00B00598">
        <w:rPr>
          <w:i w:val="0"/>
          <w:iCs/>
          <w:color w:val="000000" w:themeColor="text1"/>
        </w:rPr>
        <w:t xml:space="preserve"> of </w:t>
      </w:r>
      <w:r w:rsidRPr="007E6B77">
        <w:rPr>
          <w:i w:val="0"/>
          <w:iCs/>
          <w:color w:val="000000" w:themeColor="text1"/>
        </w:rPr>
        <w:t>$1.0 million</w:t>
      </w:r>
      <w:r w:rsidRPr="00B00598">
        <w:rPr>
          <w:i w:val="0"/>
          <w:iCs/>
          <w:color w:val="000000" w:themeColor="text1"/>
        </w:rPr>
        <w:t xml:space="preserve"> due to the removal of appropriation funding for depreciation and amortisation funding under the Net Cash funding arrangements.</w:t>
      </w:r>
    </w:p>
    <w:p w14:paraId="03D8C806"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t>Budgeted departmental balance sheet</w:t>
      </w:r>
    </w:p>
    <w:p w14:paraId="7700C479" w14:textId="2D41DF1E" w:rsidR="00F861EE" w:rsidRDefault="00F861EE" w:rsidP="006D0845">
      <w:pPr>
        <w:pStyle w:val="ExampleText0"/>
        <w:spacing w:after="160"/>
        <w:rPr>
          <w:i w:val="0"/>
          <w:iCs/>
          <w:color w:val="000000" w:themeColor="text1"/>
        </w:rPr>
      </w:pPr>
      <w:r w:rsidRPr="00B00598">
        <w:rPr>
          <w:i w:val="0"/>
          <w:iCs/>
          <w:color w:val="000000" w:themeColor="text1"/>
        </w:rPr>
        <w:t xml:space="preserve">The statement discloses the estimated end of year financial position for ACIAR. The ACIAR budgeted net asset position </w:t>
      </w:r>
      <w:r w:rsidRPr="007E6B77">
        <w:rPr>
          <w:i w:val="0"/>
          <w:iCs/>
          <w:color w:val="000000" w:themeColor="text1"/>
        </w:rPr>
        <w:t>of $3.4 million</w:t>
      </w:r>
      <w:r w:rsidRPr="00B00598">
        <w:rPr>
          <w:i w:val="0"/>
          <w:iCs/>
          <w:color w:val="000000" w:themeColor="text1"/>
        </w:rPr>
        <w:t xml:space="preserve"> at the end of 202</w:t>
      </w:r>
      <w:r>
        <w:rPr>
          <w:i w:val="0"/>
          <w:iCs/>
          <w:color w:val="000000" w:themeColor="text1"/>
        </w:rPr>
        <w:t>6</w:t>
      </w:r>
      <w:r w:rsidRPr="00B00598">
        <w:rPr>
          <w:i w:val="0"/>
          <w:iCs/>
          <w:color w:val="000000" w:themeColor="text1"/>
        </w:rPr>
        <w:t>–2</w:t>
      </w:r>
      <w:r>
        <w:rPr>
          <w:i w:val="0"/>
          <w:iCs/>
          <w:color w:val="000000" w:themeColor="text1"/>
        </w:rPr>
        <w:t>7</w:t>
      </w:r>
      <w:r w:rsidRPr="00B00598">
        <w:rPr>
          <w:i w:val="0"/>
          <w:iCs/>
          <w:color w:val="000000" w:themeColor="text1"/>
        </w:rPr>
        <w:t xml:space="preserve"> represents a decrease of </w:t>
      </w:r>
      <w:r w:rsidRPr="007E6B77">
        <w:rPr>
          <w:i w:val="0"/>
          <w:iCs/>
          <w:color w:val="000000" w:themeColor="text1"/>
        </w:rPr>
        <w:t>$0.7 million</w:t>
      </w:r>
      <w:r w:rsidRPr="00B00598">
        <w:rPr>
          <w:i w:val="0"/>
          <w:iCs/>
          <w:color w:val="000000" w:themeColor="text1"/>
        </w:rPr>
        <w:t xml:space="preserve"> from the 202</w:t>
      </w:r>
      <w:r>
        <w:rPr>
          <w:i w:val="0"/>
          <w:iCs/>
          <w:color w:val="000000" w:themeColor="text1"/>
        </w:rPr>
        <w:t>5</w:t>
      </w:r>
      <w:r w:rsidRPr="00B00598">
        <w:rPr>
          <w:i w:val="0"/>
          <w:iCs/>
          <w:color w:val="000000" w:themeColor="text1"/>
        </w:rPr>
        <w:t>–2</w:t>
      </w:r>
      <w:r>
        <w:rPr>
          <w:i w:val="0"/>
          <w:iCs/>
          <w:color w:val="000000" w:themeColor="text1"/>
        </w:rPr>
        <w:t>6</w:t>
      </w:r>
      <w:r w:rsidRPr="00B00598">
        <w:rPr>
          <w:i w:val="0"/>
          <w:iCs/>
          <w:color w:val="000000" w:themeColor="text1"/>
        </w:rPr>
        <w:t xml:space="preserve"> estimated actual in Table 3.2. This is mainly due to </w:t>
      </w:r>
      <w:r>
        <w:rPr>
          <w:i w:val="0"/>
          <w:iCs/>
          <w:color w:val="000000" w:themeColor="text1"/>
        </w:rPr>
        <w:t>depreciating non-financial assets,</w:t>
      </w:r>
      <w:r w:rsidRPr="00B00598">
        <w:rPr>
          <w:i w:val="0"/>
          <w:iCs/>
          <w:color w:val="000000" w:themeColor="text1"/>
        </w:rPr>
        <w:t xml:space="preserve"> offset by </w:t>
      </w:r>
      <w:r>
        <w:rPr>
          <w:i w:val="0"/>
          <w:iCs/>
          <w:color w:val="000000" w:themeColor="text1"/>
        </w:rPr>
        <w:t>decreasing lease liabilities.</w:t>
      </w:r>
    </w:p>
    <w:p w14:paraId="3CF186D8"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t>Departmental statement of changes in equity – summary of movement</w:t>
      </w:r>
    </w:p>
    <w:p w14:paraId="52F5027C" w14:textId="77777777" w:rsidR="00C65ADC" w:rsidRDefault="00C65ADC" w:rsidP="00C65ADC">
      <w:pPr>
        <w:pStyle w:val="ExampleText0"/>
        <w:spacing w:after="160"/>
        <w:rPr>
          <w:i w:val="0"/>
          <w:iCs/>
          <w:color w:val="000000" w:themeColor="text1"/>
        </w:rPr>
      </w:pPr>
      <w:r w:rsidRPr="00B00598">
        <w:rPr>
          <w:i w:val="0"/>
          <w:iCs/>
          <w:color w:val="000000" w:themeColor="text1"/>
        </w:rPr>
        <w:t>This statement shows changes in equity resulting from the net impact of movements in accumulated results, assets revaluation and contributed equity.</w:t>
      </w:r>
    </w:p>
    <w:p w14:paraId="7A374EE6" w14:textId="1C6D28A7" w:rsidR="006D0845" w:rsidRPr="000F4EB3" w:rsidRDefault="00C65ADC" w:rsidP="00C65ADC">
      <w:pPr>
        <w:pStyle w:val="ExampleText0"/>
        <w:spacing w:after="160"/>
        <w:rPr>
          <w:i w:val="0"/>
          <w:iCs/>
          <w:color w:val="000000" w:themeColor="text1"/>
        </w:rPr>
      </w:pPr>
      <w:r w:rsidRPr="00B00598">
        <w:rPr>
          <w:i w:val="0"/>
          <w:iCs/>
          <w:color w:val="000000" w:themeColor="text1"/>
        </w:rPr>
        <w:t>Total equity at the end of 202</w:t>
      </w:r>
      <w:r>
        <w:rPr>
          <w:i w:val="0"/>
          <w:iCs/>
          <w:color w:val="000000" w:themeColor="text1"/>
        </w:rPr>
        <w:t>6</w:t>
      </w:r>
      <w:r w:rsidRPr="00B00598">
        <w:rPr>
          <w:i w:val="0"/>
          <w:iCs/>
          <w:color w:val="000000" w:themeColor="text1"/>
        </w:rPr>
        <w:t>–2</w:t>
      </w:r>
      <w:r>
        <w:rPr>
          <w:i w:val="0"/>
          <w:iCs/>
          <w:color w:val="000000" w:themeColor="text1"/>
        </w:rPr>
        <w:t xml:space="preserve">7 </w:t>
      </w:r>
      <w:r w:rsidRPr="00B00598">
        <w:rPr>
          <w:i w:val="0"/>
          <w:iCs/>
          <w:color w:val="000000" w:themeColor="text1"/>
        </w:rPr>
        <w:t xml:space="preserve">is estimated to </w:t>
      </w:r>
      <w:r w:rsidRPr="007E6B77">
        <w:rPr>
          <w:i w:val="0"/>
          <w:iCs/>
          <w:color w:val="000000" w:themeColor="text1"/>
        </w:rPr>
        <w:t>be $3.4 million,</w:t>
      </w:r>
      <w:r w:rsidRPr="00B00598">
        <w:rPr>
          <w:i w:val="0"/>
          <w:iCs/>
          <w:color w:val="000000" w:themeColor="text1"/>
        </w:rPr>
        <w:t xml:space="preserve"> a decrease of </w:t>
      </w:r>
      <w:r w:rsidRPr="007E6B77">
        <w:rPr>
          <w:i w:val="0"/>
          <w:iCs/>
          <w:color w:val="000000" w:themeColor="text1"/>
        </w:rPr>
        <w:t>$0.7 million</w:t>
      </w:r>
      <w:r w:rsidRPr="00B00598">
        <w:rPr>
          <w:i w:val="0"/>
          <w:iCs/>
          <w:color w:val="000000" w:themeColor="text1"/>
        </w:rPr>
        <w:t xml:space="preserve"> mainly due to unfunded depreciation resulting in a deficit of the period, partly offset by receipt of the Departmental Capital Budget.</w:t>
      </w:r>
      <w:r w:rsidR="000F4EB3">
        <w:rPr>
          <w:i w:val="0"/>
          <w:iCs/>
          <w:color w:val="000000" w:themeColor="text1"/>
        </w:rPr>
        <w:br w:type="page"/>
      </w:r>
    </w:p>
    <w:p w14:paraId="734D954F"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lastRenderedPageBreak/>
        <w:t>Budgeted departmental statement of cashflows</w:t>
      </w:r>
    </w:p>
    <w:p w14:paraId="0265DAC2" w14:textId="4B781A79" w:rsidR="006D0845" w:rsidRDefault="006D0845" w:rsidP="006D0845">
      <w:pPr>
        <w:pStyle w:val="ExampleText0"/>
        <w:spacing w:after="160"/>
        <w:rPr>
          <w:i w:val="0"/>
          <w:iCs/>
          <w:color w:val="000000" w:themeColor="text1"/>
        </w:rPr>
      </w:pPr>
      <w:r w:rsidRPr="00C65ADC">
        <w:rPr>
          <w:i w:val="0"/>
          <w:iCs/>
          <w:color w:val="000000" w:themeColor="text1"/>
        </w:rPr>
        <w:t xml:space="preserve">This statement shows the extent and nature of cash flows </w:t>
      </w:r>
      <w:proofErr w:type="gramStart"/>
      <w:r w:rsidRPr="00C65ADC">
        <w:rPr>
          <w:i w:val="0"/>
          <w:iCs/>
          <w:color w:val="000000" w:themeColor="text1"/>
        </w:rPr>
        <w:t>as a result of</w:t>
      </w:r>
      <w:proofErr w:type="gramEnd"/>
      <w:r w:rsidRPr="00C65ADC">
        <w:rPr>
          <w:i w:val="0"/>
          <w:iCs/>
          <w:color w:val="000000" w:themeColor="text1"/>
        </w:rPr>
        <w:t xml:space="preserve"> the ACIAR operating, investing and financing activities. The ACIAR cash balance at the end of 202</w:t>
      </w:r>
      <w:r w:rsidR="00E05DE2" w:rsidRPr="00C65ADC">
        <w:rPr>
          <w:i w:val="0"/>
          <w:iCs/>
          <w:color w:val="000000" w:themeColor="text1"/>
        </w:rPr>
        <w:t>6</w:t>
      </w:r>
      <w:r w:rsidRPr="00C65ADC">
        <w:rPr>
          <w:i w:val="0"/>
          <w:iCs/>
          <w:color w:val="000000" w:themeColor="text1"/>
        </w:rPr>
        <w:t>–2</w:t>
      </w:r>
      <w:r w:rsidR="00E05DE2" w:rsidRPr="00C65ADC">
        <w:rPr>
          <w:i w:val="0"/>
          <w:iCs/>
          <w:color w:val="000000" w:themeColor="text1"/>
        </w:rPr>
        <w:t>7</w:t>
      </w:r>
      <w:r w:rsidRPr="00C65ADC">
        <w:rPr>
          <w:i w:val="0"/>
          <w:iCs/>
          <w:color w:val="000000" w:themeColor="text1"/>
        </w:rPr>
        <w:t xml:space="preserve"> is estimated to be $0.01 million.</w:t>
      </w:r>
    </w:p>
    <w:p w14:paraId="1885FD0D"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t>Departmental capital budget statement</w:t>
      </w:r>
    </w:p>
    <w:p w14:paraId="67499485" w14:textId="77777777" w:rsidR="006D0845" w:rsidRDefault="006D0845" w:rsidP="006D0845">
      <w:pPr>
        <w:pStyle w:val="ExampleText0"/>
        <w:spacing w:after="160"/>
        <w:rPr>
          <w:i w:val="0"/>
          <w:iCs/>
          <w:color w:val="000000" w:themeColor="text1"/>
        </w:rPr>
      </w:pPr>
      <w:r w:rsidRPr="00B00598">
        <w:rPr>
          <w:i w:val="0"/>
          <w:iCs/>
          <w:color w:val="000000" w:themeColor="text1"/>
        </w:rPr>
        <w:t>This statement shows all planned departmental capital expenditure on non-financial assets, whether funded through capital appropriations, additional equity, borrowings, or funds from internal sources.</w:t>
      </w:r>
    </w:p>
    <w:p w14:paraId="0CD39706"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t>Departmental statements of asset movements</w:t>
      </w:r>
    </w:p>
    <w:p w14:paraId="2C557974" w14:textId="77777777" w:rsidR="006D0845" w:rsidRDefault="006D0845" w:rsidP="006D0845">
      <w:pPr>
        <w:pStyle w:val="ExampleText0"/>
        <w:spacing w:after="160"/>
        <w:rPr>
          <w:i w:val="0"/>
          <w:iCs/>
          <w:color w:val="000000" w:themeColor="text1"/>
        </w:rPr>
      </w:pPr>
      <w:r w:rsidRPr="00B00598">
        <w:rPr>
          <w:i w:val="0"/>
          <w:iCs/>
          <w:color w:val="000000" w:themeColor="text1"/>
        </w:rPr>
        <w:t>This statement shows budgeted acquisitions and disposals of non-financial assets during the budget year.</w:t>
      </w:r>
    </w:p>
    <w:p w14:paraId="66211A6D"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t>Schedule of administered activity</w:t>
      </w:r>
    </w:p>
    <w:p w14:paraId="532AC994" w14:textId="13E8A694" w:rsidR="00C65ADC" w:rsidRDefault="00C65ADC" w:rsidP="00C65ADC">
      <w:pPr>
        <w:pStyle w:val="ExampleText0"/>
        <w:spacing w:after="160"/>
        <w:rPr>
          <w:i w:val="0"/>
          <w:iCs/>
          <w:color w:val="000000" w:themeColor="text1"/>
        </w:rPr>
      </w:pPr>
      <w:r w:rsidRPr="00B00598">
        <w:rPr>
          <w:i w:val="0"/>
          <w:iCs/>
          <w:color w:val="000000" w:themeColor="text1"/>
        </w:rPr>
        <w:t>In 202</w:t>
      </w:r>
      <w:r>
        <w:rPr>
          <w:i w:val="0"/>
          <w:iCs/>
          <w:color w:val="000000" w:themeColor="text1"/>
        </w:rPr>
        <w:t>6</w:t>
      </w:r>
      <w:r w:rsidRPr="00B00598">
        <w:rPr>
          <w:i w:val="0"/>
          <w:iCs/>
          <w:color w:val="000000" w:themeColor="text1"/>
        </w:rPr>
        <w:t>–2</w:t>
      </w:r>
      <w:r>
        <w:rPr>
          <w:i w:val="0"/>
          <w:iCs/>
          <w:color w:val="000000" w:themeColor="text1"/>
        </w:rPr>
        <w:t>7</w:t>
      </w:r>
      <w:r w:rsidRPr="00B00598">
        <w:rPr>
          <w:i w:val="0"/>
          <w:iCs/>
          <w:color w:val="000000" w:themeColor="text1"/>
        </w:rPr>
        <w:t>, ACIAR will receive administered appropriation of $</w:t>
      </w:r>
      <w:r>
        <w:rPr>
          <w:i w:val="0"/>
          <w:iCs/>
          <w:color w:val="000000" w:themeColor="text1"/>
        </w:rPr>
        <w:t>111.0</w:t>
      </w:r>
      <w:r w:rsidRPr="00B00598">
        <w:rPr>
          <w:i w:val="0"/>
          <w:iCs/>
          <w:color w:val="000000" w:themeColor="text1"/>
        </w:rPr>
        <w:t xml:space="preserve"> million for programs administered on behalf of the Government. The expenditure is for ‘Official Development Assistance’.</w:t>
      </w:r>
    </w:p>
    <w:p w14:paraId="5087CFDC" w14:textId="77777777" w:rsidR="006D0845" w:rsidRPr="00B00598" w:rsidRDefault="006D0845" w:rsidP="006D0845">
      <w:pPr>
        <w:pStyle w:val="ExampleText0"/>
        <w:spacing w:after="160"/>
        <w:rPr>
          <w:rFonts w:ascii="Arial Bold" w:hAnsi="Arial Bold"/>
          <w:b/>
          <w:i w:val="0"/>
          <w:color w:val="auto"/>
          <w:sz w:val="20"/>
        </w:rPr>
      </w:pPr>
      <w:r w:rsidRPr="00B00598">
        <w:rPr>
          <w:rFonts w:ascii="Arial Bold" w:hAnsi="Arial Bold"/>
          <w:b/>
          <w:i w:val="0"/>
          <w:color w:val="auto"/>
          <w:sz w:val="20"/>
        </w:rPr>
        <w:t>Schedule of budgeted assets and liabilities administered on behalf of government</w:t>
      </w:r>
    </w:p>
    <w:p w14:paraId="0A461989" w14:textId="77777777" w:rsidR="00C65ADC" w:rsidRDefault="00C65ADC" w:rsidP="00C65ADC">
      <w:pPr>
        <w:pStyle w:val="ExampleText0"/>
        <w:spacing w:after="160"/>
        <w:rPr>
          <w:i w:val="0"/>
          <w:iCs/>
          <w:color w:val="000000" w:themeColor="text1"/>
        </w:rPr>
      </w:pPr>
      <w:r w:rsidRPr="00B00598">
        <w:rPr>
          <w:i w:val="0"/>
          <w:iCs/>
          <w:color w:val="000000" w:themeColor="text1"/>
        </w:rPr>
        <w:t>This schedule identifies the assets and liabilities administered on behalf of the Government. Total administered assets and liabilities for 202</w:t>
      </w:r>
      <w:r>
        <w:rPr>
          <w:i w:val="0"/>
          <w:iCs/>
          <w:color w:val="000000" w:themeColor="text1"/>
        </w:rPr>
        <w:t>6</w:t>
      </w:r>
      <w:r w:rsidRPr="00B00598">
        <w:rPr>
          <w:i w:val="0"/>
          <w:iCs/>
          <w:color w:val="000000" w:themeColor="text1"/>
        </w:rPr>
        <w:t>–2</w:t>
      </w:r>
      <w:r>
        <w:rPr>
          <w:i w:val="0"/>
          <w:iCs/>
          <w:color w:val="000000" w:themeColor="text1"/>
        </w:rPr>
        <w:t>7</w:t>
      </w:r>
      <w:r w:rsidRPr="00B00598">
        <w:rPr>
          <w:i w:val="0"/>
          <w:iCs/>
          <w:color w:val="000000" w:themeColor="text1"/>
        </w:rPr>
        <w:t>, are estimated at $</w:t>
      </w:r>
      <w:r>
        <w:rPr>
          <w:i w:val="0"/>
          <w:iCs/>
          <w:color w:val="000000" w:themeColor="text1"/>
        </w:rPr>
        <w:t>14.5</w:t>
      </w:r>
      <w:r w:rsidRPr="00B00598">
        <w:rPr>
          <w:i w:val="0"/>
          <w:iCs/>
          <w:color w:val="000000" w:themeColor="text1"/>
        </w:rPr>
        <w:t xml:space="preserve"> million and $</w:t>
      </w:r>
      <w:r>
        <w:rPr>
          <w:i w:val="0"/>
          <w:iCs/>
          <w:color w:val="000000" w:themeColor="text1"/>
        </w:rPr>
        <w:t>19.6</w:t>
      </w:r>
      <w:r w:rsidRPr="00B00598">
        <w:rPr>
          <w:i w:val="0"/>
          <w:iCs/>
          <w:color w:val="000000" w:themeColor="text1"/>
        </w:rPr>
        <w:t xml:space="preserve"> million respectively.</w:t>
      </w:r>
    </w:p>
    <w:p w14:paraId="35E50E8D" w14:textId="77777777" w:rsidR="006D0845" w:rsidRPr="00026B33" w:rsidRDefault="006D0845" w:rsidP="006D0845">
      <w:pPr>
        <w:pStyle w:val="ExampleText0"/>
        <w:spacing w:after="160"/>
        <w:rPr>
          <w:rFonts w:ascii="Arial Bold" w:hAnsi="Arial Bold"/>
          <w:b/>
          <w:i w:val="0"/>
          <w:color w:val="auto"/>
          <w:sz w:val="20"/>
        </w:rPr>
      </w:pPr>
      <w:r w:rsidRPr="00026B33">
        <w:rPr>
          <w:rFonts w:ascii="Arial Bold" w:hAnsi="Arial Bold"/>
          <w:b/>
          <w:i w:val="0"/>
          <w:color w:val="auto"/>
          <w:sz w:val="20"/>
        </w:rPr>
        <w:t>Schedule of budgeted administered cash flows</w:t>
      </w:r>
    </w:p>
    <w:p w14:paraId="66D55CFB" w14:textId="3983F173" w:rsidR="006D0845" w:rsidRDefault="006D0845" w:rsidP="006D0845">
      <w:pPr>
        <w:pStyle w:val="ExampleText0"/>
        <w:spacing w:after="160"/>
        <w:rPr>
          <w:i w:val="0"/>
          <w:iCs/>
          <w:color w:val="000000" w:themeColor="text1"/>
        </w:rPr>
      </w:pPr>
      <w:r w:rsidRPr="00026B33">
        <w:rPr>
          <w:i w:val="0"/>
          <w:iCs/>
          <w:color w:val="000000" w:themeColor="text1"/>
        </w:rPr>
        <w:t>This schedule shows cash flows administered on behalf of the Government. All cash received is expected to be expended on the relevant programs.</w:t>
      </w:r>
    </w:p>
    <w:p w14:paraId="329BA255" w14:textId="77777777" w:rsidR="00E7366F" w:rsidRPr="00E36F77" w:rsidRDefault="00E7366F" w:rsidP="00E7366F">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17AF55AC" w14:textId="77777777" w:rsidR="00E7366F" w:rsidRPr="00960553" w:rsidRDefault="00E7366F" w:rsidP="00E7366F">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24C892D1" w14:textId="0756A70A" w:rsidR="00E7366F" w:rsidRDefault="00D163E3" w:rsidP="00E7366F">
      <w:pPr>
        <w:pStyle w:val="TableGraphic"/>
        <w:rPr>
          <w:noProof/>
        </w:rPr>
      </w:pPr>
      <w:r w:rsidRPr="00D163E3">
        <w:rPr>
          <w:noProof/>
        </w:rPr>
        <w:drawing>
          <wp:inline distT="0" distB="0" distL="0" distR="0" wp14:anchorId="3F9E8771" wp14:editId="2008A961">
            <wp:extent cx="4857115" cy="4293870"/>
            <wp:effectExtent l="0" t="0" r="635" b="0"/>
            <wp:docPr id="1680762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57115" cy="4293870"/>
                    </a:xfrm>
                    <a:prstGeom prst="rect">
                      <a:avLst/>
                    </a:prstGeom>
                    <a:noFill/>
                    <a:ln>
                      <a:noFill/>
                    </a:ln>
                  </pic:spPr>
                </pic:pic>
              </a:graphicData>
            </a:graphic>
          </wp:inline>
        </w:drawing>
      </w:r>
    </w:p>
    <w:p w14:paraId="3C9DE064" w14:textId="77777777" w:rsidR="00D163E3" w:rsidRPr="00B325CF" w:rsidRDefault="00D163E3" w:rsidP="00D163E3">
      <w:pPr>
        <w:spacing w:before="0" w:after="0" w:line="240" w:lineRule="auto"/>
        <w:rPr>
          <w:rFonts w:ascii="Arial" w:hAnsi="Arial" w:cs="Arial"/>
          <w:sz w:val="16"/>
          <w:szCs w:val="16"/>
        </w:rPr>
      </w:pPr>
      <w:r w:rsidRPr="00B325CF">
        <w:rPr>
          <w:rFonts w:ascii="Arial" w:hAnsi="Arial" w:cs="Arial"/>
          <w:sz w:val="16"/>
          <w:szCs w:val="16"/>
        </w:rPr>
        <w:t xml:space="preserve">Table </w:t>
      </w:r>
      <w:proofErr w:type="gramStart"/>
      <w:r w:rsidRPr="00B325CF">
        <w:rPr>
          <w:rFonts w:ascii="Arial" w:hAnsi="Arial" w:cs="Arial"/>
          <w:sz w:val="16"/>
          <w:szCs w:val="16"/>
        </w:rPr>
        <w:t>continued on</w:t>
      </w:r>
      <w:proofErr w:type="gramEnd"/>
      <w:r w:rsidRPr="00B325CF">
        <w:rPr>
          <w:rFonts w:ascii="Arial" w:hAnsi="Arial" w:cs="Arial"/>
          <w:sz w:val="16"/>
          <w:szCs w:val="16"/>
        </w:rPr>
        <w:t xml:space="preserve"> the next page.</w:t>
      </w:r>
    </w:p>
    <w:p w14:paraId="7FD313DE" w14:textId="77777777" w:rsidR="00D163E3" w:rsidRDefault="00D163E3" w:rsidP="00E7366F">
      <w:pPr>
        <w:spacing w:before="0" w:after="0" w:line="240" w:lineRule="auto"/>
      </w:pPr>
    </w:p>
    <w:p w14:paraId="3DB515FF" w14:textId="1CBC5344" w:rsidR="00E7366F" w:rsidRDefault="00E7366F" w:rsidP="00E7366F">
      <w:pPr>
        <w:spacing w:before="0" w:after="0" w:line="240" w:lineRule="auto"/>
      </w:pPr>
      <w:r w:rsidRPr="001D3237">
        <w:br w:type="page"/>
      </w:r>
    </w:p>
    <w:p w14:paraId="6719A8B5" w14:textId="77777777" w:rsidR="00E7366F" w:rsidRPr="00AB4CF9" w:rsidRDefault="00E7366F" w:rsidP="00E7366F">
      <w:pPr>
        <w:pStyle w:val="TableHeadingcontinued"/>
        <w:rPr>
          <w:snapToGrid w:val="0"/>
        </w:rPr>
      </w:pPr>
      <w:r w:rsidRPr="00AB4CF9">
        <w:lastRenderedPageBreak/>
        <w:t xml:space="preserve">Table 3.1: Comprehensive income statement (showing net cost of services) </w:t>
      </w:r>
      <w:r w:rsidRPr="00AB4CF9">
        <w:rPr>
          <w:snapToGrid w:val="0"/>
        </w:rPr>
        <w:t>for the period ended 30 June (continued)</w:t>
      </w:r>
    </w:p>
    <w:p w14:paraId="5E6A161F" w14:textId="77777777" w:rsidR="00E7366F" w:rsidRPr="00C557C1" w:rsidRDefault="00E7366F" w:rsidP="00E7366F">
      <w:pPr>
        <w:pStyle w:val="TableGraphic"/>
        <w:rPr>
          <w:snapToGrid w:val="0"/>
        </w:rPr>
      </w:pPr>
    </w:p>
    <w:p w14:paraId="26DF9275" w14:textId="77777777" w:rsidR="00E7366F" w:rsidRDefault="00E7366F" w:rsidP="00E7366F">
      <w:pPr>
        <w:pStyle w:val="TableHeading"/>
      </w:pPr>
      <w:r w:rsidRPr="003819E1">
        <w:t>Note: Impact of net cash appropriation arrangements</w:t>
      </w:r>
    </w:p>
    <w:p w14:paraId="6A025B42" w14:textId="26A007BB" w:rsidR="00E7366F" w:rsidRDefault="0005050D" w:rsidP="00E7366F">
      <w:pPr>
        <w:pStyle w:val="TableGraphic"/>
      </w:pPr>
      <w:r w:rsidRPr="0005050D">
        <w:rPr>
          <w:noProof/>
        </w:rPr>
        <w:drawing>
          <wp:inline distT="0" distB="0" distL="0" distR="0" wp14:anchorId="36C806F8" wp14:editId="0B751B2B">
            <wp:extent cx="4857115" cy="2150745"/>
            <wp:effectExtent l="0" t="0" r="635" b="1905"/>
            <wp:docPr id="12458541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57115" cy="2150745"/>
                    </a:xfrm>
                    <a:prstGeom prst="rect">
                      <a:avLst/>
                    </a:prstGeom>
                    <a:noFill/>
                    <a:ln>
                      <a:noFill/>
                    </a:ln>
                  </pic:spPr>
                </pic:pic>
              </a:graphicData>
            </a:graphic>
          </wp:inline>
        </w:drawing>
      </w:r>
    </w:p>
    <w:p w14:paraId="7773DB20" w14:textId="77777777" w:rsidR="00E7366F" w:rsidRPr="009D54F3" w:rsidRDefault="00E7366F" w:rsidP="00E7366F">
      <w:pPr>
        <w:pStyle w:val="ChartandTableFootnote"/>
        <w:rPr>
          <w:rFonts w:cs="Arial"/>
        </w:rPr>
      </w:pPr>
      <w:r>
        <w:t>Prepared on Australian Accounting Standards basis.</w:t>
      </w:r>
    </w:p>
    <w:p w14:paraId="32AA46E6" w14:textId="19668EF5" w:rsidR="00E7366F" w:rsidRPr="009A648E" w:rsidRDefault="009A648E" w:rsidP="00707A3D">
      <w:pPr>
        <w:pStyle w:val="ChartandTableFootnoteAlpha"/>
        <w:numPr>
          <w:ilvl w:val="0"/>
          <w:numId w:val="27"/>
        </w:numPr>
        <w:spacing w:line="259" w:lineRule="auto"/>
        <w:rPr>
          <w:rFonts w:cs="Arial"/>
          <w:color w:val="auto"/>
          <w:szCs w:val="16"/>
        </w:rPr>
      </w:pPr>
      <w:r w:rsidRPr="009A648E">
        <w:rPr>
          <w:rFonts w:cs="Arial"/>
          <w:color w:val="auto"/>
        </w:rPr>
        <w:t xml:space="preserve">From </w:t>
      </w:r>
      <w:r w:rsidR="00E7366F" w:rsidRPr="009A648E">
        <w:rPr>
          <w:rFonts w:cs="Arial"/>
          <w:color w:val="auto"/>
        </w:rPr>
        <w:t>2010</w:t>
      </w:r>
      <w:r w:rsidR="00970CCA">
        <w:rPr>
          <w:rFonts w:cs="Arial"/>
          <w:color w:val="auto"/>
        </w:rPr>
        <w:t>–</w:t>
      </w:r>
      <w:r w:rsidR="00E7366F" w:rsidRPr="009A648E">
        <w:rPr>
          <w:rFonts w:cs="Arial"/>
          <w:color w:val="auto"/>
        </w:rPr>
        <w:t>11, the Government introduced net cash appropriation arrangements that provided non</w:t>
      </w:r>
      <w:r w:rsidR="00E7366F" w:rsidRPr="009A648E">
        <w:rPr>
          <w:rFonts w:ascii="Cambria Math" w:hAnsi="Cambria Math" w:cs="Cambria Math"/>
          <w:color w:val="auto"/>
        </w:rPr>
        <w:t>‑</w:t>
      </w:r>
      <w:r w:rsidR="00E7366F" w:rsidRPr="009A648E">
        <w:rPr>
          <w:rFonts w:cs="Arial"/>
          <w:color w:val="auto"/>
        </w:rPr>
        <w:t>corporate Commonwealth entities with a separate Departmental Capital Budget (DCB) under Appropriation Bill (No. 1). This replaced revenue appropriations provided under Appropriation Bill (No. 1) used for the depreciation/amortisation expenses. For information regarding DCBs, please refer to Table 3.5 Departmental Capital Budget Statement.</w:t>
      </w:r>
    </w:p>
    <w:p w14:paraId="496EAB2A" w14:textId="77777777" w:rsidR="00E7366F" w:rsidRPr="009A648E" w:rsidRDefault="00E7366F" w:rsidP="005F2FDC">
      <w:pPr>
        <w:pStyle w:val="ChartandTableFootnoteAlpha"/>
        <w:numPr>
          <w:ilvl w:val="0"/>
          <w:numId w:val="11"/>
        </w:numPr>
        <w:rPr>
          <w:color w:val="auto"/>
        </w:rPr>
      </w:pPr>
      <w:r w:rsidRPr="009A648E">
        <w:rPr>
          <w:color w:val="auto"/>
        </w:rPr>
        <w:t>Applies leases under AASB 16 Leases.</w:t>
      </w:r>
    </w:p>
    <w:p w14:paraId="35A93A48" w14:textId="77777777" w:rsidR="00E7366F" w:rsidRDefault="00E7366F" w:rsidP="00E7366F">
      <w:pPr>
        <w:spacing w:before="0" w:after="0" w:line="240" w:lineRule="auto"/>
        <w:rPr>
          <w:highlight w:val="cyan"/>
        </w:rPr>
      </w:pPr>
      <w:r>
        <w:rPr>
          <w:highlight w:val="cyan"/>
        </w:rPr>
        <w:br w:type="page"/>
      </w:r>
    </w:p>
    <w:p w14:paraId="382DB5B2" w14:textId="77777777" w:rsidR="00E7366F" w:rsidRPr="00960553" w:rsidRDefault="00E7366F" w:rsidP="00E7366F">
      <w:pPr>
        <w:pStyle w:val="TableHeading"/>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4CA049D3" w14:textId="36717183" w:rsidR="00E7366F" w:rsidRDefault="007430EC" w:rsidP="00E7366F">
      <w:pPr>
        <w:pStyle w:val="TableGraphic"/>
      </w:pPr>
      <w:r w:rsidRPr="007430EC">
        <w:rPr>
          <w:noProof/>
        </w:rPr>
        <w:drawing>
          <wp:inline distT="0" distB="0" distL="0" distR="0" wp14:anchorId="59738301" wp14:editId="5CF1770F">
            <wp:extent cx="4857115" cy="5295900"/>
            <wp:effectExtent l="0" t="0" r="635" b="0"/>
            <wp:docPr id="3524364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57115" cy="5295900"/>
                    </a:xfrm>
                    <a:prstGeom prst="rect">
                      <a:avLst/>
                    </a:prstGeom>
                    <a:noFill/>
                    <a:ln>
                      <a:noFill/>
                    </a:ln>
                  </pic:spPr>
                </pic:pic>
              </a:graphicData>
            </a:graphic>
          </wp:inline>
        </w:drawing>
      </w:r>
    </w:p>
    <w:p w14:paraId="3C3D0D87" w14:textId="77777777" w:rsidR="00E7366F" w:rsidRPr="00132F9E" w:rsidRDefault="00E7366F" w:rsidP="00E7366F">
      <w:pPr>
        <w:pStyle w:val="ChartandTableFootnote"/>
      </w:pPr>
      <w:r w:rsidRPr="00132F9E">
        <w:t xml:space="preserve">Prepared on </w:t>
      </w:r>
      <w:r w:rsidRPr="00446EE2">
        <w:rPr>
          <w:rStyle w:val="ChartandTableFootnoteChar"/>
        </w:rPr>
        <w:t>Australian</w:t>
      </w:r>
      <w:r w:rsidRPr="00132F9E">
        <w:t xml:space="preserve"> Accounting Standards basis.</w:t>
      </w:r>
    </w:p>
    <w:p w14:paraId="0D3CC0C6" w14:textId="77777777" w:rsidR="00E7366F" w:rsidRPr="0082593D" w:rsidRDefault="00E7366F" w:rsidP="00E7366F">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6EBC1F67" w14:textId="77777777" w:rsidR="00E7366F" w:rsidRDefault="00E7366F" w:rsidP="00E7366F">
      <w:pPr>
        <w:spacing w:before="0" w:after="0" w:line="240" w:lineRule="auto"/>
        <w:rPr>
          <w:highlight w:val="green"/>
        </w:rPr>
      </w:pPr>
      <w:r>
        <w:rPr>
          <w:highlight w:val="green"/>
        </w:rPr>
        <w:br w:type="page"/>
      </w:r>
    </w:p>
    <w:p w14:paraId="420DAA74" w14:textId="77777777" w:rsidR="00E7366F" w:rsidRPr="00960553" w:rsidRDefault="00E7366F" w:rsidP="00E7366F">
      <w:pPr>
        <w:pStyle w:val="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2150FDAF" w14:textId="227A3CD8" w:rsidR="00E7366F" w:rsidRPr="00D606C2" w:rsidRDefault="00036E2F" w:rsidP="00E7366F">
      <w:pPr>
        <w:pStyle w:val="TableGraphic"/>
      </w:pPr>
      <w:r w:rsidRPr="00036E2F">
        <w:rPr>
          <w:noProof/>
        </w:rPr>
        <w:drawing>
          <wp:inline distT="0" distB="0" distL="0" distR="0" wp14:anchorId="42AD2026" wp14:editId="4C278085">
            <wp:extent cx="4718050" cy="3441700"/>
            <wp:effectExtent l="0" t="0" r="6350" b="6350"/>
            <wp:docPr id="871970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18050" cy="3441700"/>
                    </a:xfrm>
                    <a:prstGeom prst="rect">
                      <a:avLst/>
                    </a:prstGeom>
                    <a:noFill/>
                    <a:ln>
                      <a:noFill/>
                    </a:ln>
                  </pic:spPr>
                </pic:pic>
              </a:graphicData>
            </a:graphic>
          </wp:inline>
        </w:drawing>
      </w:r>
    </w:p>
    <w:p w14:paraId="3B20D860" w14:textId="0BFA4FEA" w:rsidR="00E7366F" w:rsidRPr="00132F9E" w:rsidRDefault="00E7366F" w:rsidP="00E7366F">
      <w:pPr>
        <w:pStyle w:val="ChartandTableFootnote"/>
        <w:rPr>
          <w:szCs w:val="16"/>
        </w:rPr>
      </w:pPr>
      <w:r w:rsidRPr="00D606C2">
        <w:t>Prepared on Australian Accounting Standards basis</w:t>
      </w:r>
      <w:r w:rsidR="000E1057">
        <w:t xml:space="preserve">. </w:t>
      </w:r>
    </w:p>
    <w:p w14:paraId="4FDE08B1" w14:textId="77777777" w:rsidR="00E7366F" w:rsidRDefault="00E7366F" w:rsidP="00E7366F">
      <w:r w:rsidRPr="001D3237">
        <w:br w:type="page"/>
      </w:r>
    </w:p>
    <w:p w14:paraId="14004825" w14:textId="77777777" w:rsidR="00E7366F" w:rsidRPr="00960553" w:rsidRDefault="00E7366F" w:rsidP="00E7366F">
      <w:pPr>
        <w:pStyle w:val="TableHeading"/>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462BC524" w14:textId="46806308" w:rsidR="00E7366F" w:rsidRPr="00A00283" w:rsidRDefault="00964951" w:rsidP="00E7366F">
      <w:pPr>
        <w:pStyle w:val="TableGraphic"/>
      </w:pPr>
      <w:r w:rsidRPr="00964951">
        <w:rPr>
          <w:noProof/>
        </w:rPr>
        <w:drawing>
          <wp:inline distT="0" distB="0" distL="0" distR="0" wp14:anchorId="77F599C8" wp14:editId="416478F0">
            <wp:extent cx="4857115" cy="6012815"/>
            <wp:effectExtent l="0" t="0" r="635" b="6985"/>
            <wp:docPr id="15116830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57115" cy="6012815"/>
                    </a:xfrm>
                    <a:prstGeom prst="rect">
                      <a:avLst/>
                    </a:prstGeom>
                    <a:noFill/>
                    <a:ln>
                      <a:noFill/>
                    </a:ln>
                  </pic:spPr>
                </pic:pic>
              </a:graphicData>
            </a:graphic>
          </wp:inline>
        </w:drawing>
      </w:r>
    </w:p>
    <w:p w14:paraId="1836C44E" w14:textId="77777777" w:rsidR="00E7366F" w:rsidRDefault="00E7366F" w:rsidP="00E7366F">
      <w:pPr>
        <w:pStyle w:val="ChartandTableFootnote"/>
      </w:pPr>
      <w:r w:rsidRPr="00132F9E">
        <w:t>Prepared on Australian Accounting Standards basis.</w:t>
      </w:r>
    </w:p>
    <w:p w14:paraId="0815B018" w14:textId="77777777" w:rsidR="00E7366F" w:rsidRDefault="00E7366F" w:rsidP="00E7366F">
      <w:r w:rsidRPr="00A9767E">
        <w:br w:type="page"/>
      </w:r>
    </w:p>
    <w:p w14:paraId="43112E55" w14:textId="77777777" w:rsidR="00E7366F" w:rsidRPr="00960553" w:rsidRDefault="00E7366F" w:rsidP="00E7366F">
      <w:pPr>
        <w:pStyle w:val="TableHeading"/>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052B53C4" w14:textId="0BFE813D" w:rsidR="00E7366F" w:rsidRPr="0043795A" w:rsidRDefault="00EF1D41" w:rsidP="00E7366F">
      <w:pPr>
        <w:pStyle w:val="TableGraphic"/>
      </w:pPr>
      <w:r w:rsidRPr="00EF1D41">
        <w:rPr>
          <w:noProof/>
        </w:rPr>
        <w:drawing>
          <wp:inline distT="0" distB="0" distL="0" distR="0" wp14:anchorId="0A2A3CA1" wp14:editId="22A41676">
            <wp:extent cx="4856480" cy="2950845"/>
            <wp:effectExtent l="0" t="0" r="1270" b="1905"/>
            <wp:docPr id="20579950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56480" cy="2950845"/>
                    </a:xfrm>
                    <a:prstGeom prst="rect">
                      <a:avLst/>
                    </a:prstGeom>
                    <a:noFill/>
                    <a:ln>
                      <a:noFill/>
                    </a:ln>
                  </pic:spPr>
                </pic:pic>
              </a:graphicData>
            </a:graphic>
          </wp:inline>
        </w:drawing>
      </w:r>
    </w:p>
    <w:p w14:paraId="6A39345B" w14:textId="77777777" w:rsidR="00E7366F" w:rsidRDefault="00E7366F" w:rsidP="00E7366F">
      <w:pPr>
        <w:pStyle w:val="ChartandTableFootnote"/>
      </w:pPr>
      <w:r>
        <w:t>P</w:t>
      </w:r>
      <w:r w:rsidRPr="00132F9E">
        <w:t>repared on Australian Accounting Standards basis.</w:t>
      </w:r>
    </w:p>
    <w:p w14:paraId="7E3D7F51" w14:textId="7A721187" w:rsidR="009A648E" w:rsidRPr="009A648E" w:rsidRDefault="009A648E" w:rsidP="00707A3D">
      <w:pPr>
        <w:pStyle w:val="ChartandTableFootnoteAlpha"/>
        <w:numPr>
          <w:ilvl w:val="0"/>
          <w:numId w:val="28"/>
        </w:numPr>
        <w:rPr>
          <w:rFonts w:cs="Arial"/>
        </w:rPr>
      </w:pPr>
      <w:r w:rsidRPr="009A648E">
        <w:rPr>
          <w:rFonts w:cs="Arial"/>
        </w:rPr>
        <w:t>Includes purchases from current and previous years' Departmental Capital Budgets (DCBs).</w:t>
      </w:r>
      <w:r>
        <w:rPr>
          <w:rFonts w:cs="Arial"/>
        </w:rPr>
        <w:t xml:space="preserve"> </w:t>
      </w:r>
    </w:p>
    <w:p w14:paraId="626D1F35" w14:textId="77777777" w:rsidR="00E7366F" w:rsidRDefault="00E7366F" w:rsidP="00E7366F">
      <w:pPr>
        <w:pStyle w:val="ChartandTableFootnote-Dash"/>
        <w:ind w:left="0" w:firstLine="0"/>
      </w:pPr>
    </w:p>
    <w:p w14:paraId="0F5318E3" w14:textId="77777777" w:rsidR="00E7366F" w:rsidRDefault="00E7366F" w:rsidP="00E7366F">
      <w:pPr>
        <w:spacing w:before="0" w:after="0" w:line="240" w:lineRule="auto"/>
        <w:rPr>
          <w:rFonts w:ascii="Arial" w:hAnsi="Arial"/>
          <w:sz w:val="16"/>
        </w:rPr>
      </w:pPr>
      <w:r>
        <w:br w:type="page"/>
      </w:r>
    </w:p>
    <w:p w14:paraId="01EE6DC6" w14:textId="77777777" w:rsidR="00E7366F" w:rsidRPr="00960553" w:rsidRDefault="00E7366F" w:rsidP="00E7366F">
      <w:pPr>
        <w:pStyle w:val="TableHeadingcontinued"/>
      </w:pPr>
      <w:r w:rsidRPr="00D30CBA">
        <w:lastRenderedPageBreak/>
        <w:t>Table</w:t>
      </w:r>
      <w:r>
        <w:t xml:space="preserve"> 3.6</w:t>
      </w:r>
      <w:r w:rsidRPr="00D30CBA">
        <w:t xml:space="preserve">: </w:t>
      </w:r>
      <w:r>
        <w:t xml:space="preserve">Statement of departmental asset movements (Budget year 2026–27) </w:t>
      </w:r>
    </w:p>
    <w:p w14:paraId="32F5E5F9" w14:textId="37069A76" w:rsidR="00E7366F" w:rsidRDefault="00EF1D41" w:rsidP="00E7366F">
      <w:pPr>
        <w:pStyle w:val="ChartandTableFootnote"/>
      </w:pPr>
      <w:r w:rsidRPr="00EF1D41">
        <w:rPr>
          <w:noProof/>
        </w:rPr>
        <w:drawing>
          <wp:inline distT="0" distB="0" distL="0" distR="0" wp14:anchorId="63881C08" wp14:editId="3A24F638">
            <wp:extent cx="4333875" cy="4579620"/>
            <wp:effectExtent l="0" t="0" r="9525" b="0"/>
            <wp:docPr id="12896894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33875" cy="4579620"/>
                    </a:xfrm>
                    <a:prstGeom prst="rect">
                      <a:avLst/>
                    </a:prstGeom>
                    <a:noFill/>
                    <a:ln>
                      <a:noFill/>
                    </a:ln>
                  </pic:spPr>
                </pic:pic>
              </a:graphicData>
            </a:graphic>
          </wp:inline>
        </w:drawing>
      </w:r>
    </w:p>
    <w:p w14:paraId="1E845F46" w14:textId="77777777" w:rsidR="00E7366F" w:rsidRDefault="00E7366F" w:rsidP="00E7366F">
      <w:pPr>
        <w:pStyle w:val="ChartandTableFootnote"/>
      </w:pPr>
      <w:r w:rsidRPr="00132F9E">
        <w:t>Prepared on Australian Accounting Standards basis.</w:t>
      </w:r>
    </w:p>
    <w:p w14:paraId="12F7FB45" w14:textId="34250B8E" w:rsidR="00E7366F" w:rsidRPr="009A648E" w:rsidRDefault="00E7366F" w:rsidP="00707A3D">
      <w:pPr>
        <w:pStyle w:val="ChartandTableFootnoteAlpha"/>
        <w:numPr>
          <w:ilvl w:val="0"/>
          <w:numId w:val="45"/>
        </w:numPr>
        <w:spacing w:line="259" w:lineRule="auto"/>
        <w:rPr>
          <w:rFonts w:cs="Arial"/>
          <w:color w:val="000000" w:themeColor="text1"/>
        </w:rPr>
      </w:pPr>
      <w:r w:rsidRPr="009A648E">
        <w:rPr>
          <w:rFonts w:cs="Arial"/>
        </w:rPr>
        <w:t xml:space="preserve">‘Appropriation ordinary annual services’ refers to funding provided through </w:t>
      </w:r>
      <w:r w:rsidRPr="009A648E">
        <w:rPr>
          <w:rFonts w:cs="Arial"/>
          <w:i/>
          <w:iCs/>
        </w:rPr>
        <w:t>Appropriation Bill (No. 1) 2026–2027</w:t>
      </w:r>
      <w:r w:rsidRPr="009A648E">
        <w:rPr>
          <w:rFonts w:cs="Arial"/>
        </w:rPr>
        <w:t xml:space="preserve"> for DCB</w:t>
      </w:r>
      <w:r w:rsidR="009A648E">
        <w:rPr>
          <w:rFonts w:cs="Arial"/>
        </w:rPr>
        <w:t xml:space="preserve">. </w:t>
      </w:r>
    </w:p>
    <w:p w14:paraId="1AA66AB1" w14:textId="77777777" w:rsidR="00E7366F" w:rsidRDefault="00E7366F" w:rsidP="00E7366F">
      <w:pPr>
        <w:pStyle w:val="ChartandTableFootnote-Dash"/>
        <w:ind w:left="0" w:firstLine="0"/>
      </w:pPr>
    </w:p>
    <w:p w14:paraId="037421AE" w14:textId="77777777" w:rsidR="009D7FF3" w:rsidRDefault="009D7FF3" w:rsidP="00E7366F">
      <w:pPr>
        <w:pStyle w:val="ChartandTableFootnote-Dash"/>
        <w:ind w:left="0" w:firstLine="0"/>
      </w:pPr>
    </w:p>
    <w:p w14:paraId="5336CD43" w14:textId="77777777" w:rsidR="009D7FF3" w:rsidRDefault="009D7FF3" w:rsidP="00E7366F">
      <w:pPr>
        <w:pStyle w:val="ChartandTableFootnote-Dash"/>
        <w:ind w:left="0" w:firstLine="0"/>
      </w:pPr>
    </w:p>
    <w:p w14:paraId="5BBD9100" w14:textId="77777777" w:rsidR="009D7FF3" w:rsidRDefault="009D7FF3" w:rsidP="00E7366F">
      <w:pPr>
        <w:pStyle w:val="ChartandTableFootnote-Dash"/>
        <w:ind w:left="0" w:firstLine="0"/>
      </w:pPr>
    </w:p>
    <w:p w14:paraId="6FD0370D" w14:textId="36E1C67B" w:rsidR="009D7FF3" w:rsidRDefault="009D7FF3">
      <w:pPr>
        <w:spacing w:before="0" w:after="0" w:line="240" w:lineRule="auto"/>
        <w:rPr>
          <w:rFonts w:ascii="Arial" w:hAnsi="Arial"/>
          <w:sz w:val="16"/>
        </w:rPr>
      </w:pPr>
      <w:r>
        <w:br w:type="page"/>
      </w:r>
    </w:p>
    <w:p w14:paraId="22E2FC2A" w14:textId="77777777" w:rsidR="009D7FF3" w:rsidRDefault="009D7FF3" w:rsidP="009D7FF3">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401B138E" w14:textId="3D5CC22A" w:rsidR="009D7FF3" w:rsidRDefault="00957724" w:rsidP="009D7FF3">
      <w:pPr>
        <w:pStyle w:val="TableGraphic"/>
        <w:rPr>
          <w:noProof/>
        </w:rPr>
      </w:pPr>
      <w:r w:rsidRPr="00957724">
        <w:rPr>
          <w:noProof/>
        </w:rPr>
        <w:drawing>
          <wp:inline distT="0" distB="0" distL="0" distR="0" wp14:anchorId="42FD953D" wp14:editId="58472B80">
            <wp:extent cx="4856480" cy="4011295"/>
            <wp:effectExtent l="0" t="0" r="1270" b="8255"/>
            <wp:docPr id="16931311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56480" cy="4011295"/>
                    </a:xfrm>
                    <a:prstGeom prst="rect">
                      <a:avLst/>
                    </a:prstGeom>
                    <a:noFill/>
                    <a:ln>
                      <a:noFill/>
                    </a:ln>
                  </pic:spPr>
                </pic:pic>
              </a:graphicData>
            </a:graphic>
          </wp:inline>
        </w:drawing>
      </w:r>
    </w:p>
    <w:p w14:paraId="69C9FC22" w14:textId="77777777" w:rsidR="009D7FF3" w:rsidRPr="00933A7D" w:rsidRDefault="009D7FF3" w:rsidP="009D7FF3">
      <w:pPr>
        <w:pStyle w:val="ChartandTableFootnote"/>
      </w:pPr>
      <w:r w:rsidRPr="00E4582E">
        <w:t>Prepared on Australian Accounting Standards basis</w:t>
      </w:r>
      <w:r>
        <w:t>.</w:t>
      </w:r>
    </w:p>
    <w:p w14:paraId="0E8825E4" w14:textId="77777777" w:rsidR="009D7FF3" w:rsidRDefault="009D7FF3" w:rsidP="00E7366F">
      <w:pPr>
        <w:pStyle w:val="ChartandTableFootnote-Dash"/>
        <w:ind w:left="0" w:firstLine="0"/>
      </w:pPr>
    </w:p>
    <w:p w14:paraId="3DE51CC5" w14:textId="77777777" w:rsidR="009D7FF3" w:rsidRDefault="009D7FF3" w:rsidP="00E7366F">
      <w:pPr>
        <w:pStyle w:val="ChartandTableFootnote-Dash"/>
        <w:ind w:left="0" w:firstLine="0"/>
      </w:pPr>
    </w:p>
    <w:p w14:paraId="7162C70B" w14:textId="77777777" w:rsidR="009D7FF3" w:rsidRDefault="009D7FF3" w:rsidP="00E7366F">
      <w:pPr>
        <w:pStyle w:val="ChartandTableFootnote-Dash"/>
        <w:ind w:left="0" w:firstLine="0"/>
      </w:pPr>
    </w:p>
    <w:p w14:paraId="12D4D1C6" w14:textId="14C65933" w:rsidR="009D7FF3" w:rsidRDefault="009D7FF3">
      <w:pPr>
        <w:spacing w:before="0" w:after="0" w:line="240" w:lineRule="auto"/>
        <w:rPr>
          <w:rFonts w:ascii="Arial" w:hAnsi="Arial"/>
          <w:sz w:val="16"/>
        </w:rPr>
      </w:pPr>
      <w:r>
        <w:br w:type="page"/>
      </w:r>
    </w:p>
    <w:p w14:paraId="70D42EDF" w14:textId="77777777" w:rsidR="009D7FF3" w:rsidRPr="00F807F1" w:rsidRDefault="009D7FF3" w:rsidP="009D7FF3">
      <w:pPr>
        <w:pStyle w:val="TableHeading"/>
        <w:rPr>
          <w:rFonts w:ascii="Times New Roman" w:hAnsi="Times New Roman"/>
        </w:rPr>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6982596B" w14:textId="69EE6FF0" w:rsidR="009D7FF3" w:rsidRDefault="008C2B4C" w:rsidP="009D7FF3">
      <w:pPr>
        <w:pStyle w:val="TableGraphic"/>
        <w:rPr>
          <w:noProof/>
        </w:rPr>
      </w:pPr>
      <w:r w:rsidRPr="008C2B4C">
        <w:rPr>
          <w:noProof/>
        </w:rPr>
        <w:drawing>
          <wp:inline distT="0" distB="0" distL="0" distR="0" wp14:anchorId="05E5277A" wp14:editId="7CD747E7">
            <wp:extent cx="4856480" cy="3580765"/>
            <wp:effectExtent l="0" t="0" r="1270" b="635"/>
            <wp:docPr id="3632987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56480" cy="3580765"/>
                    </a:xfrm>
                    <a:prstGeom prst="rect">
                      <a:avLst/>
                    </a:prstGeom>
                    <a:noFill/>
                    <a:ln>
                      <a:noFill/>
                    </a:ln>
                  </pic:spPr>
                </pic:pic>
              </a:graphicData>
            </a:graphic>
          </wp:inline>
        </w:drawing>
      </w:r>
    </w:p>
    <w:p w14:paraId="48AD4785" w14:textId="77777777" w:rsidR="009D7FF3" w:rsidRPr="00B7521F" w:rsidRDefault="009D7FF3" w:rsidP="009D7FF3">
      <w:pPr>
        <w:pStyle w:val="ChartandTableFootnote"/>
      </w:pPr>
      <w:r w:rsidRPr="00B7521F">
        <w:t>Prepared on Australian Accounting Standards basis.</w:t>
      </w:r>
    </w:p>
    <w:p w14:paraId="1858AF54" w14:textId="77777777" w:rsidR="009D7FF3" w:rsidRDefault="009D7FF3" w:rsidP="00E7366F">
      <w:pPr>
        <w:pStyle w:val="ChartandTableFootnote-Dash"/>
        <w:ind w:left="0" w:firstLine="0"/>
      </w:pPr>
    </w:p>
    <w:p w14:paraId="5389B406" w14:textId="77777777" w:rsidR="009D7FF3" w:rsidRDefault="009D7FF3" w:rsidP="00E7366F">
      <w:pPr>
        <w:pStyle w:val="ChartandTableFootnote-Dash"/>
        <w:ind w:left="0" w:firstLine="0"/>
      </w:pPr>
    </w:p>
    <w:p w14:paraId="191291C7" w14:textId="2B00CEA1" w:rsidR="009D7FF3" w:rsidRDefault="009D7FF3">
      <w:pPr>
        <w:spacing w:before="0" w:after="0" w:line="240" w:lineRule="auto"/>
        <w:rPr>
          <w:rFonts w:ascii="Arial" w:hAnsi="Arial"/>
          <w:sz w:val="16"/>
        </w:rPr>
      </w:pPr>
      <w:r>
        <w:br w:type="page"/>
      </w:r>
    </w:p>
    <w:p w14:paraId="5F48266D" w14:textId="77777777" w:rsidR="009D7FF3" w:rsidRPr="00F807F1" w:rsidRDefault="009D7FF3" w:rsidP="009D7FF3">
      <w:pPr>
        <w:pStyle w:val="TableHeading"/>
        <w:rPr>
          <w:rFonts w:ascii="Times New Roman" w:hAnsi="Times New Roman"/>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3BB271D4" w14:textId="75AD9762" w:rsidR="009D7FF3" w:rsidRDefault="008C2B4C" w:rsidP="009D7FF3">
      <w:pPr>
        <w:pStyle w:val="TableGraphic"/>
      </w:pPr>
      <w:r w:rsidRPr="008C2B4C">
        <w:rPr>
          <w:noProof/>
        </w:rPr>
        <w:drawing>
          <wp:inline distT="0" distB="0" distL="0" distR="0" wp14:anchorId="1DE627B4" wp14:editId="1929DA6F">
            <wp:extent cx="4856480" cy="3580765"/>
            <wp:effectExtent l="0" t="0" r="1270" b="635"/>
            <wp:docPr id="20661801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56480" cy="3580765"/>
                    </a:xfrm>
                    <a:prstGeom prst="rect">
                      <a:avLst/>
                    </a:prstGeom>
                    <a:noFill/>
                    <a:ln>
                      <a:noFill/>
                    </a:ln>
                  </pic:spPr>
                </pic:pic>
              </a:graphicData>
            </a:graphic>
          </wp:inline>
        </w:drawing>
      </w:r>
    </w:p>
    <w:p w14:paraId="47C5A603" w14:textId="77777777" w:rsidR="009D7FF3" w:rsidRDefault="009D7FF3" w:rsidP="009D7FF3">
      <w:pPr>
        <w:pStyle w:val="ChartandTableFootnote"/>
      </w:pPr>
      <w:r w:rsidRPr="000B200F">
        <w:t>Prepared on Australian Accounting Standards basis.</w:t>
      </w:r>
    </w:p>
    <w:p w14:paraId="5903D20D" w14:textId="77777777" w:rsidR="009D7FF3" w:rsidRDefault="009D7FF3" w:rsidP="00E7366F">
      <w:pPr>
        <w:pStyle w:val="ChartandTableFootnote-Dash"/>
        <w:ind w:left="0" w:firstLine="0"/>
      </w:pPr>
    </w:p>
    <w:p w14:paraId="7D57B721" w14:textId="77777777" w:rsidR="00E7366F" w:rsidRDefault="00E7366F" w:rsidP="00E7366F">
      <w:pPr>
        <w:pStyle w:val="ChartandTableFootnote-Dash"/>
        <w:ind w:left="0" w:firstLine="0"/>
      </w:pPr>
    </w:p>
    <w:p w14:paraId="29195AFC" w14:textId="77777777" w:rsidR="00E7366F" w:rsidRPr="005E7F97" w:rsidRDefault="00E7366F" w:rsidP="00E7366F">
      <w:pPr>
        <w:pStyle w:val="ChartandTableFootnote-Dash"/>
        <w:ind w:left="0" w:firstLine="0"/>
      </w:pPr>
    </w:p>
    <w:p w14:paraId="4CC441E6" w14:textId="77777777" w:rsidR="00E7366F" w:rsidRPr="00A9767E" w:rsidRDefault="00E7366F" w:rsidP="00E7366F">
      <w:pPr>
        <w:sectPr w:rsidR="00E7366F" w:rsidRPr="00A9767E" w:rsidSect="00E7366F">
          <w:headerReference w:type="even" r:id="rId148"/>
          <w:headerReference w:type="default" r:id="rId149"/>
          <w:footerReference w:type="default" r:id="rId150"/>
          <w:headerReference w:type="first" r:id="rId151"/>
          <w:footerReference w:type="first" r:id="rId152"/>
          <w:type w:val="oddPage"/>
          <w:pgSz w:w="11906" w:h="16838" w:code="9"/>
          <w:pgMar w:top="2835" w:right="2098" w:bottom="2466" w:left="2098" w:header="1814" w:footer="1814" w:gutter="0"/>
          <w:cols w:space="708"/>
          <w:titlePg/>
          <w:docGrid w:linePitch="360"/>
        </w:sectPr>
      </w:pPr>
    </w:p>
    <w:p w14:paraId="7C74EC9F" w14:textId="015F3404" w:rsidR="00E7366F" w:rsidRPr="004C1439" w:rsidRDefault="004B0B6E" w:rsidP="00E7366F">
      <w:pPr>
        <w:pStyle w:val="PartHeading"/>
      </w:pPr>
      <w:r w:rsidRPr="004B0B6E">
        <w:lastRenderedPageBreak/>
        <w:t>Australian Secret Intelligence Service</w:t>
      </w:r>
    </w:p>
    <w:p w14:paraId="2CA686C0" w14:textId="77777777" w:rsidR="00E7366F" w:rsidRPr="004C1439" w:rsidRDefault="00E7366F" w:rsidP="00E7366F"/>
    <w:p w14:paraId="0B8C3850" w14:textId="77777777" w:rsidR="00E7366F" w:rsidRPr="004C1439" w:rsidRDefault="00E7366F" w:rsidP="00E7366F">
      <w:pPr>
        <w:pStyle w:val="PartHeading-TOC"/>
      </w:pPr>
      <w:r w:rsidRPr="004C1439">
        <w:t>Entity resources and planned performance</w:t>
      </w:r>
    </w:p>
    <w:p w14:paraId="1D591042" w14:textId="77777777" w:rsidR="00E7366F" w:rsidRPr="004C1439" w:rsidRDefault="00E7366F" w:rsidP="00E7366F">
      <w:pPr>
        <w:sectPr w:rsidR="00E7366F" w:rsidRPr="004C1439" w:rsidSect="00E7366F">
          <w:headerReference w:type="first" r:id="rId153"/>
          <w:footerReference w:type="first" r:id="rId154"/>
          <w:type w:val="oddPage"/>
          <w:pgSz w:w="11906" w:h="16838" w:code="9"/>
          <w:pgMar w:top="2835" w:right="2098" w:bottom="2466" w:left="2098" w:header="1814" w:footer="1814" w:gutter="0"/>
          <w:cols w:space="708"/>
          <w:vAlign w:val="center"/>
          <w:titlePg/>
          <w:docGrid w:linePitch="360"/>
        </w:sectPr>
      </w:pPr>
    </w:p>
    <w:p w14:paraId="7CD17A7B" w14:textId="701E9B4D" w:rsidR="00E7366F" w:rsidRPr="00E36F77" w:rsidRDefault="004B0B6E" w:rsidP="00E7366F">
      <w:pPr>
        <w:pStyle w:val="ContentsHeading"/>
      </w:pPr>
      <w:r w:rsidRPr="004B0B6E">
        <w:lastRenderedPageBreak/>
        <w:t xml:space="preserve">Australian Secret Intelligence Service </w:t>
      </w:r>
    </w:p>
    <w:p w14:paraId="0B54BDF8" w14:textId="006DF8CD" w:rsidR="00E7366F" w:rsidRPr="001C6402" w:rsidRDefault="00E7366F" w:rsidP="00E7366F">
      <w:pPr>
        <w:pStyle w:val="TOC1"/>
        <w:rPr>
          <w:rFonts w:ascii="Book Antiqua" w:hAnsi="Book Antiqua"/>
          <w:b w:val="0"/>
          <w:caps/>
          <w:noProof/>
          <w:sz w:val="22"/>
          <w:szCs w:val="22"/>
        </w:rPr>
      </w:pPr>
      <w:r>
        <w:fldChar w:fldCharType="begin"/>
      </w:r>
      <w:r>
        <w:instrText xml:space="preserve"> TOC \h \z \t "Heading 2,1,Heading 3,2" </w:instrText>
      </w:r>
      <w:r>
        <w:fldChar w:fldCharType="separate"/>
      </w:r>
      <w:r w:rsidRPr="00A75284">
        <w:rPr>
          <w:noProof/>
        </w:rPr>
        <w:t>Section 1: Entity overview and resources</w:t>
      </w:r>
      <w:r>
        <w:rPr>
          <w:noProof/>
          <w:webHidden/>
        </w:rPr>
        <w:tab/>
      </w:r>
      <w:r w:rsidR="00434803">
        <w:rPr>
          <w:noProof/>
          <w:webHidden/>
        </w:rPr>
        <w:t>137</w:t>
      </w:r>
    </w:p>
    <w:p w14:paraId="4D087B2E" w14:textId="3C2BD3FC" w:rsidR="00E7366F" w:rsidRPr="001C6402" w:rsidRDefault="00E7366F" w:rsidP="00E7366F">
      <w:pPr>
        <w:pStyle w:val="TOC2"/>
        <w:tabs>
          <w:tab w:val="left" w:pos="800"/>
        </w:tabs>
        <w:rPr>
          <w:rFonts w:ascii="Book Antiqua" w:hAnsi="Book Antiqua"/>
          <w:noProof/>
          <w:sz w:val="22"/>
          <w:szCs w:val="22"/>
        </w:rPr>
      </w:pPr>
      <w:r w:rsidRPr="00A75284">
        <w:rPr>
          <w:noProof/>
        </w:rPr>
        <w:t>1.1</w:t>
      </w:r>
      <w:r w:rsidRPr="001C6402">
        <w:rPr>
          <w:rFonts w:ascii="Book Antiqua" w:hAnsi="Book Antiqua"/>
          <w:noProof/>
          <w:sz w:val="22"/>
          <w:szCs w:val="22"/>
        </w:rPr>
        <w:tab/>
      </w:r>
      <w:r w:rsidRPr="00A75284">
        <w:rPr>
          <w:noProof/>
        </w:rPr>
        <w:t>Strategic direction statement</w:t>
      </w:r>
      <w:r>
        <w:rPr>
          <w:noProof/>
          <w:webHidden/>
        </w:rPr>
        <w:tab/>
      </w:r>
      <w:r w:rsidR="00434803">
        <w:rPr>
          <w:noProof/>
          <w:webHidden/>
        </w:rPr>
        <w:t>137</w:t>
      </w:r>
    </w:p>
    <w:p w14:paraId="596A745E" w14:textId="69325914" w:rsidR="00E7366F" w:rsidRPr="001C6402" w:rsidRDefault="00E7366F" w:rsidP="00E7366F">
      <w:pPr>
        <w:pStyle w:val="TOC2"/>
        <w:tabs>
          <w:tab w:val="left" w:pos="800"/>
        </w:tabs>
        <w:rPr>
          <w:rFonts w:ascii="Book Antiqua" w:hAnsi="Book Antiqua"/>
          <w:noProof/>
          <w:sz w:val="22"/>
          <w:szCs w:val="22"/>
        </w:rPr>
      </w:pPr>
      <w:r w:rsidRPr="00A75284">
        <w:rPr>
          <w:noProof/>
        </w:rPr>
        <w:t>1.2</w:t>
      </w:r>
      <w:r w:rsidRPr="001C6402">
        <w:rPr>
          <w:rFonts w:ascii="Book Antiqua" w:hAnsi="Book Antiqua"/>
          <w:noProof/>
          <w:sz w:val="22"/>
          <w:szCs w:val="22"/>
        </w:rPr>
        <w:tab/>
      </w:r>
      <w:r w:rsidRPr="00A75284">
        <w:rPr>
          <w:noProof/>
        </w:rPr>
        <w:t>Entity resource statement</w:t>
      </w:r>
      <w:r>
        <w:rPr>
          <w:noProof/>
          <w:webHidden/>
        </w:rPr>
        <w:tab/>
      </w:r>
      <w:r w:rsidR="00434803">
        <w:rPr>
          <w:noProof/>
          <w:webHidden/>
        </w:rPr>
        <w:t>138</w:t>
      </w:r>
    </w:p>
    <w:p w14:paraId="4D804DA1" w14:textId="4F3A5364" w:rsidR="00E7366F" w:rsidRPr="001C6402" w:rsidRDefault="00E7366F" w:rsidP="00E7366F">
      <w:pPr>
        <w:pStyle w:val="TOC1"/>
        <w:rPr>
          <w:rFonts w:ascii="Book Antiqua" w:hAnsi="Book Antiqua"/>
          <w:b w:val="0"/>
          <w:caps/>
          <w:noProof/>
          <w:sz w:val="22"/>
          <w:szCs w:val="22"/>
        </w:rPr>
      </w:pPr>
      <w:r w:rsidRPr="00A75284">
        <w:rPr>
          <w:noProof/>
        </w:rPr>
        <w:t>Section 2: Outcomes and planned performance</w:t>
      </w:r>
      <w:r>
        <w:rPr>
          <w:noProof/>
          <w:webHidden/>
        </w:rPr>
        <w:tab/>
      </w:r>
      <w:r w:rsidR="00434803">
        <w:rPr>
          <w:noProof/>
          <w:webHidden/>
        </w:rPr>
        <w:t>140</w:t>
      </w:r>
    </w:p>
    <w:p w14:paraId="4E2F09CE" w14:textId="3E2B57B3" w:rsidR="00E7366F" w:rsidRDefault="00E7366F" w:rsidP="00E7366F">
      <w:pPr>
        <w:pStyle w:val="TOC2"/>
        <w:tabs>
          <w:tab w:val="left" w:pos="800"/>
        </w:tabs>
        <w:rPr>
          <w:noProof/>
          <w:webHidden/>
        </w:rPr>
      </w:pPr>
      <w:r w:rsidRPr="00A75284">
        <w:rPr>
          <w:noProof/>
        </w:rPr>
        <w:t xml:space="preserve">2.1 </w:t>
      </w:r>
      <w:r w:rsidRPr="001C6402">
        <w:rPr>
          <w:rFonts w:ascii="Book Antiqua" w:hAnsi="Book Antiqua"/>
          <w:noProof/>
          <w:sz w:val="22"/>
          <w:szCs w:val="22"/>
        </w:rPr>
        <w:tab/>
      </w:r>
      <w:r w:rsidRPr="00A75284">
        <w:rPr>
          <w:noProof/>
        </w:rPr>
        <w:t xml:space="preserve">Budgeted expenses and performance for Outcome </w:t>
      </w:r>
      <w:r>
        <w:rPr>
          <w:noProof/>
        </w:rPr>
        <w:t>1</w:t>
      </w:r>
      <w:r>
        <w:rPr>
          <w:noProof/>
          <w:webHidden/>
        </w:rPr>
        <w:tab/>
      </w:r>
      <w:r w:rsidR="00434803">
        <w:rPr>
          <w:noProof/>
          <w:webHidden/>
        </w:rPr>
        <w:t>141</w:t>
      </w:r>
    </w:p>
    <w:p w14:paraId="66DB9925" w14:textId="78DDC4D1" w:rsidR="00E7366F" w:rsidRPr="001C6402" w:rsidRDefault="00E7366F" w:rsidP="00E7366F">
      <w:pPr>
        <w:pStyle w:val="TOC1"/>
        <w:rPr>
          <w:rFonts w:ascii="Book Antiqua" w:hAnsi="Book Antiqua"/>
          <w:b w:val="0"/>
          <w:caps/>
          <w:noProof/>
          <w:sz w:val="22"/>
          <w:szCs w:val="22"/>
        </w:rPr>
      </w:pPr>
      <w:r w:rsidRPr="00A75284">
        <w:rPr>
          <w:noProof/>
        </w:rPr>
        <w:t>Section 3: Budgeted financial statements</w:t>
      </w:r>
      <w:r>
        <w:rPr>
          <w:noProof/>
          <w:webHidden/>
        </w:rPr>
        <w:tab/>
      </w:r>
      <w:r w:rsidR="00434803">
        <w:rPr>
          <w:noProof/>
          <w:webHidden/>
        </w:rPr>
        <w:t>143</w:t>
      </w:r>
    </w:p>
    <w:p w14:paraId="118F04D9" w14:textId="318676C1" w:rsidR="00E7366F" w:rsidRPr="001C6402" w:rsidRDefault="00E7366F" w:rsidP="00E7366F">
      <w:pPr>
        <w:pStyle w:val="TOC2"/>
        <w:tabs>
          <w:tab w:val="left" w:pos="800"/>
        </w:tabs>
        <w:rPr>
          <w:rFonts w:ascii="Book Antiqua" w:hAnsi="Book Antiqua"/>
          <w:noProof/>
          <w:sz w:val="22"/>
          <w:szCs w:val="22"/>
        </w:rPr>
      </w:pPr>
      <w:r w:rsidRPr="00A75284">
        <w:rPr>
          <w:noProof/>
        </w:rPr>
        <w:t>3.1</w:t>
      </w:r>
      <w:r w:rsidRPr="001C6402">
        <w:rPr>
          <w:rFonts w:ascii="Book Antiqua" w:hAnsi="Book Antiqua"/>
          <w:noProof/>
          <w:sz w:val="22"/>
          <w:szCs w:val="22"/>
        </w:rPr>
        <w:tab/>
      </w:r>
      <w:r w:rsidRPr="00A75284">
        <w:rPr>
          <w:noProof/>
        </w:rPr>
        <w:t>Budgeted financial statements</w:t>
      </w:r>
      <w:r>
        <w:rPr>
          <w:noProof/>
          <w:webHidden/>
        </w:rPr>
        <w:tab/>
      </w:r>
      <w:r w:rsidR="00434803">
        <w:rPr>
          <w:noProof/>
          <w:webHidden/>
        </w:rPr>
        <w:t>14</w:t>
      </w:r>
      <w:r w:rsidR="00692A79">
        <w:rPr>
          <w:noProof/>
          <w:webHidden/>
        </w:rPr>
        <w:t>4</w:t>
      </w:r>
    </w:p>
    <w:p w14:paraId="36B9BB98" w14:textId="77777777" w:rsidR="00E7366F" w:rsidRDefault="00E7366F" w:rsidP="00E7366F">
      <w:r>
        <w:fldChar w:fldCharType="end"/>
      </w:r>
    </w:p>
    <w:p w14:paraId="0E5E89FE" w14:textId="77777777" w:rsidR="00E7366F" w:rsidRDefault="00E7366F" w:rsidP="00E7366F">
      <w:pPr>
        <w:sectPr w:rsidR="00E7366F" w:rsidSect="00E7366F">
          <w:footerReference w:type="first" r:id="rId155"/>
          <w:type w:val="oddPage"/>
          <w:pgSz w:w="11906" w:h="16838" w:code="9"/>
          <w:pgMar w:top="2835" w:right="2098" w:bottom="2466" w:left="2098" w:header="1814" w:footer="1814" w:gutter="0"/>
          <w:cols w:space="708"/>
          <w:titlePg/>
          <w:docGrid w:linePitch="360"/>
        </w:sectPr>
      </w:pPr>
    </w:p>
    <w:p w14:paraId="5BE08B98" w14:textId="295C8EF8" w:rsidR="00E7366F" w:rsidRDefault="004B0B6E" w:rsidP="00E7366F">
      <w:pPr>
        <w:pStyle w:val="Heading1"/>
      </w:pPr>
      <w:r w:rsidRPr="004B0B6E">
        <w:lastRenderedPageBreak/>
        <w:t>Australian Secret Intelligence Service</w:t>
      </w:r>
    </w:p>
    <w:p w14:paraId="50583A82" w14:textId="77777777" w:rsidR="00E7366F" w:rsidRPr="002C4D41" w:rsidRDefault="00E7366F" w:rsidP="00E7366F">
      <w:pPr>
        <w:pStyle w:val="Heading2"/>
      </w:pPr>
      <w:r w:rsidRPr="002C4D41">
        <w:t xml:space="preserve">Section 1: Entity overview and </w:t>
      </w:r>
      <w:r>
        <w:t>reso</w:t>
      </w:r>
      <w:r w:rsidRPr="002C4D41">
        <w:t>urces</w:t>
      </w:r>
    </w:p>
    <w:p w14:paraId="63C96378" w14:textId="77777777" w:rsidR="00E7366F" w:rsidRDefault="00E7366F" w:rsidP="00E7366F">
      <w:pPr>
        <w:pStyle w:val="Heading3"/>
      </w:pPr>
      <w:r>
        <w:t>1.1</w:t>
      </w:r>
      <w:r>
        <w:tab/>
        <w:t>Strategic direction statement</w:t>
      </w:r>
    </w:p>
    <w:p w14:paraId="45EE36E2" w14:textId="6EDA1160" w:rsidR="00D031CC" w:rsidRDefault="00D031CC" w:rsidP="00D031CC">
      <w:r>
        <w:t xml:space="preserve">In 2026–27, the Australian Secret Intelligence Service (ASIS) will continue to enhance government understanding of the overseas environment affecting Australia’s vital interests. ASIS will take appropriate action, consistent with applicable legislation, to protect and promote Australia’s vital interests through the provision of unique foreign intelligence services as directed by the Government. </w:t>
      </w:r>
    </w:p>
    <w:p w14:paraId="5EBC47DA" w14:textId="77777777" w:rsidR="00D031CC" w:rsidRDefault="00D031CC" w:rsidP="00D031CC">
      <w:r>
        <w:t>The primary functions of ASIS are:</w:t>
      </w:r>
    </w:p>
    <w:p w14:paraId="781D6888" w14:textId="77777777" w:rsidR="00D031CC" w:rsidRDefault="00D031CC" w:rsidP="00D031CC">
      <w:pPr>
        <w:ind w:left="567" w:hanging="567"/>
      </w:pPr>
      <w:r>
        <w:t>•</w:t>
      </w:r>
      <w:r>
        <w:tab/>
        <w:t xml:space="preserve">to obtain, in accordance with the Government’s requirements, intelligence about the capabilities, intentions or activities of people or organisations outside </w:t>
      </w:r>
      <w:proofErr w:type="gramStart"/>
      <w:r>
        <w:t>Australia;</w:t>
      </w:r>
      <w:proofErr w:type="gramEnd"/>
    </w:p>
    <w:p w14:paraId="1B4030A8" w14:textId="77777777" w:rsidR="00D031CC" w:rsidRDefault="00D031CC" w:rsidP="00D031CC">
      <w:pPr>
        <w:ind w:left="567" w:hanging="567"/>
      </w:pPr>
      <w:r>
        <w:t>•</w:t>
      </w:r>
      <w:r>
        <w:tab/>
        <w:t xml:space="preserve">to communicate, in accordance with the Government’s requirements, such </w:t>
      </w:r>
      <w:proofErr w:type="gramStart"/>
      <w:r>
        <w:t>intelligence;</w:t>
      </w:r>
      <w:proofErr w:type="gramEnd"/>
    </w:p>
    <w:p w14:paraId="08974B44" w14:textId="644CCFE5" w:rsidR="00D031CC" w:rsidRDefault="00D031CC" w:rsidP="00D031CC">
      <w:pPr>
        <w:ind w:left="567" w:hanging="567"/>
      </w:pPr>
      <w:r>
        <w:t>•</w:t>
      </w:r>
      <w:r>
        <w:tab/>
        <w:t xml:space="preserve">to </w:t>
      </w:r>
      <w:proofErr w:type="gramStart"/>
      <w:r>
        <w:t>provide assistance to</w:t>
      </w:r>
      <w:proofErr w:type="gramEnd"/>
      <w:r>
        <w:t xml:space="preserve"> the </w:t>
      </w:r>
      <w:r w:rsidR="004500FF">
        <w:t xml:space="preserve">Australian </w:t>
      </w:r>
      <w:r>
        <w:t xml:space="preserve">Defence Force in support of military operations and to cooperate with the </w:t>
      </w:r>
      <w:r w:rsidR="004500FF">
        <w:t xml:space="preserve">Australian </w:t>
      </w:r>
      <w:r>
        <w:t xml:space="preserve">Defence Force on intelligence </w:t>
      </w:r>
      <w:proofErr w:type="gramStart"/>
      <w:r>
        <w:t>matters;</w:t>
      </w:r>
      <w:proofErr w:type="gramEnd"/>
    </w:p>
    <w:p w14:paraId="2F2F25F4" w14:textId="77777777" w:rsidR="00D031CC" w:rsidRDefault="00D031CC" w:rsidP="00D031CC">
      <w:pPr>
        <w:ind w:left="567" w:hanging="567"/>
      </w:pPr>
      <w:r>
        <w:t>•</w:t>
      </w:r>
      <w:r>
        <w:tab/>
        <w:t xml:space="preserve">to conduct </w:t>
      </w:r>
      <w:proofErr w:type="gramStart"/>
      <w:r>
        <w:t>counter-intelligence</w:t>
      </w:r>
      <w:proofErr w:type="gramEnd"/>
      <w:r>
        <w:t xml:space="preserve"> </w:t>
      </w:r>
      <w:proofErr w:type="gramStart"/>
      <w:r>
        <w:t>activities;</w:t>
      </w:r>
      <w:proofErr w:type="gramEnd"/>
    </w:p>
    <w:p w14:paraId="3ECFC899" w14:textId="77777777" w:rsidR="00D031CC" w:rsidRDefault="00D031CC" w:rsidP="00D031CC">
      <w:pPr>
        <w:ind w:left="567" w:hanging="567"/>
      </w:pPr>
      <w:r>
        <w:t>•</w:t>
      </w:r>
      <w:r>
        <w:tab/>
        <w:t xml:space="preserve">to liaise with intelligence or security services, or other authorities, of other </w:t>
      </w:r>
      <w:proofErr w:type="gramStart"/>
      <w:r>
        <w:t>countries;</w:t>
      </w:r>
      <w:proofErr w:type="gramEnd"/>
      <w:r>
        <w:t xml:space="preserve"> </w:t>
      </w:r>
    </w:p>
    <w:p w14:paraId="444F6FF2" w14:textId="77777777" w:rsidR="00D031CC" w:rsidRDefault="00D031CC" w:rsidP="00D031CC">
      <w:pPr>
        <w:ind w:left="567" w:hanging="567"/>
      </w:pPr>
      <w:r>
        <w:t>•</w:t>
      </w:r>
      <w:r>
        <w:tab/>
        <w:t>to cooperate with and assist the Australian Signals Directorate, the Australian Geospatial-Intelligence Organisation, the Australian Security Intelligence Organisation and other Commonwealth and State authorities in the performance of their functions; and</w:t>
      </w:r>
    </w:p>
    <w:p w14:paraId="36867300" w14:textId="77777777" w:rsidR="00D031CC" w:rsidRPr="0079797F" w:rsidRDefault="00D031CC" w:rsidP="00D031CC">
      <w:pPr>
        <w:ind w:left="567" w:hanging="567"/>
      </w:pPr>
      <w:r>
        <w:t>•</w:t>
      </w:r>
      <w:r>
        <w:tab/>
        <w:t>to undertake such other activities as the responsible minister directs relating to the capabilities, intentions or activities of people or organisations outside Australia.</w:t>
      </w:r>
    </w:p>
    <w:p w14:paraId="6D892B78" w14:textId="77777777" w:rsidR="00E7366F" w:rsidRDefault="00E7366F" w:rsidP="00E7366F">
      <w:pPr>
        <w:pStyle w:val="Heading3"/>
      </w:pPr>
      <w:r w:rsidRPr="0079797F">
        <w:br w:type="page"/>
      </w:r>
      <w:r>
        <w:lastRenderedPageBreak/>
        <w:t>1.2</w:t>
      </w:r>
      <w:r>
        <w:tab/>
        <w:t>Entity resource statement</w:t>
      </w:r>
    </w:p>
    <w:p w14:paraId="42557D33" w14:textId="77777777" w:rsidR="00E7366F" w:rsidRDefault="00E7366F" w:rsidP="00E7366F">
      <w:r>
        <w:t>Table 1.1 shows the total resourcing from all sources available to the entity for its operations and to deliver programs and services on behalf of the Government.</w:t>
      </w:r>
    </w:p>
    <w:p w14:paraId="64B0E8DD" w14:textId="77777777" w:rsidR="00E7366F" w:rsidRDefault="00E7366F" w:rsidP="00E7366F">
      <w:r>
        <w:t>The table summarises how resources will be applied by outcome (government strategic policy objectives) and by administered (on behalf of the Government or the public) and departmental (for the entity’s operations) classification.</w:t>
      </w:r>
    </w:p>
    <w:p w14:paraId="71E2503B" w14:textId="77777777" w:rsidR="00E7366F" w:rsidRDefault="00E7366F" w:rsidP="00E7366F">
      <w:r>
        <w:t xml:space="preserve">For more detailed information on special accounts and special appropriations, please refer to the </w:t>
      </w:r>
      <w:r w:rsidRPr="00412C0B">
        <w:rPr>
          <w:i/>
        </w:rPr>
        <w:t>Budget Paper No. 4 – Agency Resourcing</w:t>
      </w:r>
      <w:r>
        <w:t xml:space="preserve">. </w:t>
      </w:r>
    </w:p>
    <w:p w14:paraId="122CE17F" w14:textId="77777777" w:rsidR="00E7366F" w:rsidRDefault="00E7366F" w:rsidP="00E7366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5ED37491" w14:textId="19DCD9D3" w:rsidR="00E7366F" w:rsidRDefault="00E7366F" w:rsidP="00E7366F">
      <w:pPr>
        <w:pStyle w:val="TableHeading"/>
      </w:pPr>
      <w:r>
        <w:br w:type="page"/>
      </w:r>
      <w:r w:rsidRPr="00D44150">
        <w:lastRenderedPageBreak/>
        <w:t xml:space="preserve">Table 1.1: </w:t>
      </w:r>
      <w:r w:rsidR="004B0B6E" w:rsidRPr="004B0B6E">
        <w:t xml:space="preserve">Australian Secret Intelligence Service </w:t>
      </w:r>
      <w:r w:rsidRPr="00D44150">
        <w:t>resource statement</w:t>
      </w:r>
      <w:r>
        <w:t xml:space="preserve"> – Budget estimates for 2026–27 </w:t>
      </w:r>
      <w:r w:rsidRPr="00D44150">
        <w:t xml:space="preserve">as at Budget </w:t>
      </w:r>
      <w:r>
        <w:t>May 2026</w:t>
      </w:r>
    </w:p>
    <w:p w14:paraId="712BB7B0" w14:textId="5BB6426B" w:rsidR="00E7366F" w:rsidRDefault="006A6131" w:rsidP="00E7366F">
      <w:pPr>
        <w:spacing w:before="0" w:after="0" w:line="240" w:lineRule="auto"/>
      </w:pPr>
      <w:r w:rsidRPr="006A6131">
        <w:rPr>
          <w:noProof/>
        </w:rPr>
        <w:drawing>
          <wp:inline distT="0" distB="0" distL="0" distR="0" wp14:anchorId="25285ABE" wp14:editId="62312BBE">
            <wp:extent cx="4564049" cy="1894341"/>
            <wp:effectExtent l="0" t="0" r="8255" b="0"/>
            <wp:docPr id="1764865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69752" cy="1896708"/>
                    </a:xfrm>
                    <a:prstGeom prst="rect">
                      <a:avLst/>
                    </a:prstGeom>
                    <a:noFill/>
                    <a:ln>
                      <a:noFill/>
                    </a:ln>
                  </pic:spPr>
                </pic:pic>
              </a:graphicData>
            </a:graphic>
          </wp:inline>
        </w:drawing>
      </w:r>
    </w:p>
    <w:p w14:paraId="12FBE72F" w14:textId="77777777" w:rsidR="00E7366F" w:rsidRDefault="00E7366F" w:rsidP="00E7366F">
      <w:pPr>
        <w:pStyle w:val="ChartandTableFootnote"/>
      </w:pPr>
      <w:r w:rsidRPr="00AF0A7A">
        <w:t>Prepared on a resourcing (that is, appropriations available) basis.</w:t>
      </w:r>
    </w:p>
    <w:p w14:paraId="1BCF4123" w14:textId="77777777" w:rsidR="00E7366F" w:rsidRPr="00AF0A7A" w:rsidRDefault="00E7366F" w:rsidP="00E7366F">
      <w:pPr>
        <w:pStyle w:val="ChartandTableFootnote"/>
      </w:pPr>
      <w:r w:rsidRPr="00AF0A7A">
        <w:t>All figures shown above are GST exclusive – these may not match figures in the cash flow statement.</w:t>
      </w:r>
    </w:p>
    <w:p w14:paraId="79029256" w14:textId="77777777" w:rsidR="00E7366F" w:rsidRPr="00AF0A7A" w:rsidRDefault="00E7366F" w:rsidP="00707A3D">
      <w:pPr>
        <w:pStyle w:val="ChartandTableFootnoteAlpha"/>
        <w:numPr>
          <w:ilvl w:val="0"/>
          <w:numId w:val="47"/>
        </w:numPr>
      </w:pPr>
      <w:r w:rsidRPr="0062751A">
        <w:rPr>
          <w:i/>
          <w:iCs/>
        </w:rPr>
        <w:t>Appropriation Bill (No. 1) 2026–2027</w:t>
      </w:r>
      <w:r w:rsidRPr="00AF0A7A">
        <w:t>.</w:t>
      </w:r>
    </w:p>
    <w:p w14:paraId="1EAA86C2" w14:textId="77777777" w:rsidR="00E7366F" w:rsidRPr="00AF0A7A" w:rsidRDefault="00E7366F" w:rsidP="00E7366F">
      <w:pPr>
        <w:pStyle w:val="ChartandTableFootnoteAlpha"/>
      </w:pPr>
      <w:r w:rsidRPr="00AF0A7A">
        <w:t>Excludes departmental capital budget (DCB).</w:t>
      </w:r>
    </w:p>
    <w:p w14:paraId="0F007827" w14:textId="470F91E3" w:rsidR="00E7366F" w:rsidRPr="00AF0A7A" w:rsidRDefault="00E7366F" w:rsidP="00E7366F">
      <w:pPr>
        <w:pStyle w:val="ChartandTableFootnoteAlpha"/>
      </w:pPr>
      <w:r w:rsidRPr="00AF0A7A">
        <w:t xml:space="preserve">Estimated External Revenue receipts under section 74 of the </w:t>
      </w:r>
      <w:r w:rsidR="0062751A" w:rsidRPr="00AF0A7A">
        <w:rPr>
          <w:i/>
          <w:iCs/>
        </w:rPr>
        <w:t>Public Governance, Performance and Accountability Act 2013 (PGPA Act)</w:t>
      </w:r>
      <w:r w:rsidRPr="00AF0A7A">
        <w:t>.</w:t>
      </w:r>
    </w:p>
    <w:p w14:paraId="200E2213" w14:textId="239BEB8D" w:rsidR="00E7366F" w:rsidRPr="00AF0A7A" w:rsidRDefault="00E7366F" w:rsidP="00E7366F">
      <w:pPr>
        <w:pStyle w:val="ChartandTableFootnoteAlpha"/>
      </w:pPr>
      <w:r w:rsidRPr="00AF0A7A">
        <w:t xml:space="preserve">Departmental </w:t>
      </w:r>
      <w:r w:rsidR="0062751A" w:rsidRPr="0062751A">
        <w:t>Capital budgets are not separately identified in Appropriation Bill (No.1) and form part of ordinary annual services items. Please refer to Table 3.5 for further details. For accounting purposes, capital budget appropriations have been designated as a 'contribution by owner'</w:t>
      </w:r>
      <w:r w:rsidRPr="00AF0A7A">
        <w:t>.</w:t>
      </w:r>
    </w:p>
    <w:p w14:paraId="593DE554" w14:textId="77777777" w:rsidR="00E7366F" w:rsidRPr="00AF0A7A" w:rsidRDefault="00E7366F" w:rsidP="00E7366F">
      <w:pPr>
        <w:pStyle w:val="ChartandTableFootnoteAlpha"/>
      </w:pPr>
      <w:r w:rsidRPr="0062751A">
        <w:rPr>
          <w:i/>
          <w:iCs/>
        </w:rPr>
        <w:t>Appropriation Bill (No. 2) 2026–2027</w:t>
      </w:r>
      <w:r w:rsidRPr="00AF0A7A">
        <w:t>.</w:t>
      </w:r>
    </w:p>
    <w:p w14:paraId="64C08D70" w14:textId="77777777" w:rsidR="00E7366F" w:rsidRPr="00133BCE" w:rsidRDefault="00E7366F" w:rsidP="00E7366F">
      <w:pPr>
        <w:spacing w:before="0" w:after="0" w:line="240" w:lineRule="auto"/>
      </w:pPr>
      <w:r>
        <w:br w:type="page"/>
      </w:r>
    </w:p>
    <w:p w14:paraId="1D81C67F" w14:textId="77777777" w:rsidR="00E7366F" w:rsidRPr="00810C6A" w:rsidRDefault="00E7366F" w:rsidP="00E7366F">
      <w:pPr>
        <w:pStyle w:val="Heading2"/>
      </w:pPr>
      <w:r w:rsidRPr="00810C6A">
        <w:lastRenderedPageBreak/>
        <w:t>Section 2: Outcomes and planned performance</w:t>
      </w:r>
    </w:p>
    <w:p w14:paraId="16A8B4A1" w14:textId="77777777" w:rsidR="00E7366F" w:rsidRPr="005E6F2B" w:rsidRDefault="00E7366F" w:rsidP="00E7366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5F4A693" w14:textId="77777777" w:rsidR="004B0B6E" w:rsidRDefault="00E7366F" w:rsidP="004B0B6E">
      <w:r w:rsidRPr="005E6F2B">
        <w:t xml:space="preserve">Each outcome is described below together with its related programs. The following provides detailed information on expenses for each outcome and program, further broken down by funding source. </w:t>
      </w:r>
    </w:p>
    <w:p w14:paraId="69D8DD9C" w14:textId="77777777" w:rsidR="004B0B6E" w:rsidRDefault="004B0B6E" w:rsidP="004B0B6E"/>
    <w:p w14:paraId="4F9DD5FB" w14:textId="3D11AAF9" w:rsidR="00E7366F" w:rsidRDefault="00E7366F" w:rsidP="004B0B6E">
      <w:pPr>
        <w:rPr>
          <w:rFonts w:ascii="Arial Bold" w:hAnsi="Arial Bold"/>
          <w:b/>
          <w:sz w:val="22"/>
        </w:rPr>
      </w:pPr>
      <w:r>
        <w:br w:type="page"/>
      </w:r>
    </w:p>
    <w:p w14:paraId="7526DC71" w14:textId="6FCC08EE" w:rsidR="00E7366F" w:rsidRPr="00F743D8" w:rsidRDefault="00E7366F" w:rsidP="00E7366F">
      <w:pPr>
        <w:pStyle w:val="Heading3"/>
      </w:pPr>
      <w:r>
        <w:lastRenderedPageBreak/>
        <w:t>2.1</w:t>
      </w:r>
      <w:r w:rsidRPr="00F743D8">
        <w:t xml:space="preserve"> </w:t>
      </w:r>
      <w:r w:rsidRPr="00F743D8">
        <w:tab/>
        <w:t xml:space="preserve">Budgeted expenses and performance for Outcome </w:t>
      </w:r>
      <w:r w:rsidR="004B0B6E">
        <w:t>1</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7366F" w:rsidRPr="0069545F" w14:paraId="3384FF36" w14:textId="77777777" w:rsidTr="00FF7B23">
        <w:tc>
          <w:tcPr>
            <w:tcW w:w="7704" w:type="dxa"/>
            <w:shd w:val="clear" w:color="auto" w:fill="E6E6E6"/>
          </w:tcPr>
          <w:p w14:paraId="6EE3C838" w14:textId="01D93A38" w:rsidR="00E7366F" w:rsidRPr="0069545F" w:rsidRDefault="00E7366F" w:rsidP="00FF7B23">
            <w:pPr>
              <w:pStyle w:val="TableColumnHeadingLeft"/>
            </w:pPr>
            <w:r w:rsidRPr="0069545F">
              <w:t xml:space="preserve">Outcome </w:t>
            </w:r>
            <w:r w:rsidR="004B0B6E">
              <w:t>1</w:t>
            </w:r>
            <w:r w:rsidRPr="0069545F">
              <w:t xml:space="preserve">: </w:t>
            </w:r>
            <w:r w:rsidR="004B0B6E" w:rsidRPr="004B0B6E">
              <w:t>Enhanced understanding for the Government of the overseas environment affecting Australia's interests through the provision of covert intelligence services about the capabilities, intentions or activities of people or organisations outside Australia</w:t>
            </w:r>
            <w:r w:rsidR="004B0B6E">
              <w:t xml:space="preserve">. </w:t>
            </w:r>
          </w:p>
        </w:tc>
      </w:tr>
    </w:tbl>
    <w:p w14:paraId="103F7FA1" w14:textId="77777777" w:rsidR="00E7366F" w:rsidRPr="0069545F" w:rsidRDefault="00E7366F" w:rsidP="00E7366F">
      <w:pPr>
        <w:pStyle w:val="SingleParagraph"/>
      </w:pPr>
    </w:p>
    <w:p w14:paraId="62CD17A5" w14:textId="77777777" w:rsidR="00E7366F" w:rsidRPr="00446612" w:rsidRDefault="00E7366F" w:rsidP="00E7366F">
      <w:pPr>
        <w:pStyle w:val="Heading4"/>
      </w:pPr>
      <w:r w:rsidRPr="00446612">
        <w:t xml:space="preserve">Budgeted expenses for Outcome </w:t>
      </w:r>
      <w:r>
        <w:t>1</w:t>
      </w:r>
    </w:p>
    <w:p w14:paraId="7111057B" w14:textId="77777777" w:rsidR="00E7366F" w:rsidRDefault="00E7366F" w:rsidP="00E7366F">
      <w:r w:rsidRPr="00950281">
        <w:t>This table shows how much the entity intends to spend (on an accrual basis) on achieving the outcome, broken down by program, as well as by Administered an</w:t>
      </w:r>
      <w:r>
        <w:t>d Departmental funding sources.</w:t>
      </w:r>
    </w:p>
    <w:p w14:paraId="350C3925" w14:textId="77777777" w:rsidR="00E7366F" w:rsidRDefault="00E7366F" w:rsidP="00E7366F">
      <w:pPr>
        <w:pStyle w:val="TableHeading"/>
      </w:pPr>
      <w:r w:rsidRPr="006E4DF1">
        <w:t>Table 2.</w:t>
      </w:r>
      <w:r>
        <w:t>1</w:t>
      </w:r>
      <w:r w:rsidRPr="006E4DF1">
        <w:t xml:space="preserve">.1: Budgeted expenses for Outcome </w:t>
      </w:r>
      <w:r>
        <w:t>1</w:t>
      </w:r>
    </w:p>
    <w:p w14:paraId="30F904DA" w14:textId="0EBBDA32" w:rsidR="00E7366F" w:rsidRPr="00E6464E" w:rsidRDefault="00766CC1" w:rsidP="00E7366F">
      <w:pPr>
        <w:pStyle w:val="TableGraphic"/>
      </w:pPr>
      <w:r w:rsidRPr="00766CC1">
        <w:rPr>
          <w:noProof/>
        </w:rPr>
        <w:drawing>
          <wp:inline distT="0" distB="0" distL="0" distR="0" wp14:anchorId="56C2E830" wp14:editId="4981AC4D">
            <wp:extent cx="4783455" cy="3152775"/>
            <wp:effectExtent l="0" t="0" r="0" b="9525"/>
            <wp:docPr id="5761965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83455" cy="3152775"/>
                    </a:xfrm>
                    <a:prstGeom prst="rect">
                      <a:avLst/>
                    </a:prstGeom>
                    <a:noFill/>
                    <a:ln>
                      <a:noFill/>
                    </a:ln>
                  </pic:spPr>
                </pic:pic>
              </a:graphicData>
            </a:graphic>
          </wp:inline>
        </w:drawing>
      </w:r>
    </w:p>
    <w:p w14:paraId="0B343A14" w14:textId="77777777" w:rsidR="00E81FF9" w:rsidRDefault="00E81FF9" w:rsidP="00E81FF9">
      <w:pPr>
        <w:pStyle w:val="TableGraphic"/>
        <w:rPr>
          <w:rFonts w:ascii="Arial" w:hAnsi="Arial" w:cs="Arial"/>
          <w:noProof/>
          <w:sz w:val="16"/>
          <w:szCs w:val="16"/>
        </w:rPr>
      </w:pPr>
      <w:r w:rsidRPr="00824706">
        <w:rPr>
          <w:rFonts w:ascii="Arial" w:hAnsi="Arial" w:cs="Arial"/>
          <w:noProof/>
          <w:sz w:val="16"/>
          <w:szCs w:val="16"/>
        </w:rPr>
        <w:t>Table continued on the next page.</w:t>
      </w:r>
    </w:p>
    <w:p w14:paraId="5C3BF2D0" w14:textId="77777777" w:rsidR="00E7366F" w:rsidRPr="00DC1ADC" w:rsidRDefault="00E7366F" w:rsidP="00E7366F">
      <w:pPr>
        <w:pStyle w:val="TableGraphic"/>
      </w:pPr>
    </w:p>
    <w:p w14:paraId="02DF0AAE" w14:textId="77777777" w:rsidR="00E7366F" w:rsidRDefault="00E7366F" w:rsidP="00E7366F">
      <w:pPr>
        <w:spacing w:before="0" w:after="0" w:line="240" w:lineRule="auto"/>
      </w:pPr>
      <w:r>
        <w:br w:type="page"/>
      </w:r>
    </w:p>
    <w:p w14:paraId="4C6959BD" w14:textId="77777777" w:rsidR="00E7366F" w:rsidRPr="000F4FFC" w:rsidRDefault="00E7366F" w:rsidP="00E7366F">
      <w:pPr>
        <w:pStyle w:val="TableHeadingcontinued"/>
      </w:pPr>
      <w:r w:rsidRPr="00AD42E2">
        <w:lastRenderedPageBreak/>
        <w:t>Table 2.</w:t>
      </w:r>
      <w:r>
        <w:t>1</w:t>
      </w:r>
      <w:r w:rsidRPr="00AD42E2">
        <w:t xml:space="preserve">.1: Budgeted expenses for Outcome </w:t>
      </w:r>
      <w:r>
        <w:t>1 (continued)</w:t>
      </w:r>
    </w:p>
    <w:p w14:paraId="00A47FC8" w14:textId="0A9DACBB" w:rsidR="00E7366F" w:rsidRDefault="006F1473" w:rsidP="00E7366F">
      <w:pPr>
        <w:pStyle w:val="TableGraphic"/>
      </w:pPr>
      <w:r w:rsidRPr="006F1473">
        <w:drawing>
          <wp:inline distT="0" distB="0" distL="0" distR="0" wp14:anchorId="5D4C69C2" wp14:editId="7AA442A5">
            <wp:extent cx="4818380" cy="1868805"/>
            <wp:effectExtent l="0" t="0" r="1270" b="0"/>
            <wp:docPr id="2807216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18380" cy="1868805"/>
                    </a:xfrm>
                    <a:prstGeom prst="rect">
                      <a:avLst/>
                    </a:prstGeom>
                    <a:noFill/>
                    <a:ln>
                      <a:noFill/>
                    </a:ln>
                  </pic:spPr>
                </pic:pic>
              </a:graphicData>
            </a:graphic>
          </wp:inline>
        </w:drawing>
      </w:r>
    </w:p>
    <w:p w14:paraId="00C636E5" w14:textId="16DDD835" w:rsidR="00E7366F" w:rsidRPr="00446EE2" w:rsidRDefault="00A15BF1" w:rsidP="00707A3D">
      <w:pPr>
        <w:pStyle w:val="ChartandTableFootnoteAlpha"/>
        <w:numPr>
          <w:ilvl w:val="0"/>
          <w:numId w:val="29"/>
        </w:numPr>
      </w:pPr>
      <w:r w:rsidRPr="00A15BF1">
        <w:t>Excludes departmental capital budget (DCB).</w:t>
      </w:r>
      <w:r>
        <w:t xml:space="preserve"> </w:t>
      </w:r>
    </w:p>
    <w:p w14:paraId="4F3499E6" w14:textId="6F5F0FB4" w:rsidR="00E7366F" w:rsidRDefault="00E7366F" w:rsidP="005F2FDC">
      <w:pPr>
        <w:pStyle w:val="ChartandTableFootnoteAlpha"/>
        <w:numPr>
          <w:ilvl w:val="0"/>
          <w:numId w:val="13"/>
        </w:numPr>
      </w:pPr>
      <w:r w:rsidRPr="007379EF">
        <w:t>Estimated expenses incurred in relation to receipts retained under section 74 of the PGPA Act.</w:t>
      </w:r>
      <w:r w:rsidR="005F05A0">
        <w:t xml:space="preserve"> </w:t>
      </w:r>
    </w:p>
    <w:p w14:paraId="3000FAED" w14:textId="3A969909" w:rsidR="00E7366F" w:rsidRPr="00446EE2" w:rsidRDefault="00A15BF1" w:rsidP="005F2FDC">
      <w:pPr>
        <w:pStyle w:val="ChartandTableFootnoteAlpha"/>
        <w:numPr>
          <w:ilvl w:val="0"/>
          <w:numId w:val="13"/>
        </w:numPr>
      </w:pPr>
      <w:r w:rsidRPr="00A15BF1">
        <w:t>Expenses not requiring appropriation in the Budget year are made up of depreciation expenses</w:t>
      </w:r>
      <w:r w:rsidR="00E7366F" w:rsidRPr="00446EE2">
        <w:t>.</w:t>
      </w:r>
      <w:r w:rsidR="005F05A0">
        <w:t xml:space="preserve"> </w:t>
      </w:r>
    </w:p>
    <w:p w14:paraId="30A72A65" w14:textId="43644CE3" w:rsidR="00E7366F" w:rsidRPr="00446612" w:rsidRDefault="00E7366F" w:rsidP="00E7366F">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r w:rsidR="005F05A0">
        <w:t xml:space="preserve"> </w:t>
      </w:r>
    </w:p>
    <w:p w14:paraId="1812256F" w14:textId="77777777" w:rsidR="00E7366F" w:rsidRDefault="00E7366F" w:rsidP="00E7366F">
      <w:pPr>
        <w:spacing w:before="0" w:after="0" w:line="240" w:lineRule="auto"/>
        <w:rPr>
          <w:highlight w:val="green"/>
        </w:rPr>
      </w:pPr>
      <w:r>
        <w:rPr>
          <w:highlight w:val="green"/>
        </w:rPr>
        <w:br w:type="page"/>
      </w:r>
    </w:p>
    <w:p w14:paraId="5D1192B9" w14:textId="77777777" w:rsidR="00E7366F" w:rsidRPr="006913EB" w:rsidRDefault="00E7366F" w:rsidP="00E7366F">
      <w:pPr>
        <w:pStyle w:val="Heading2"/>
      </w:pPr>
      <w:r w:rsidRPr="006913EB">
        <w:lastRenderedPageBreak/>
        <w:t>Section 3: Budgeted financial statements</w:t>
      </w:r>
    </w:p>
    <w:p w14:paraId="0636B879" w14:textId="77777777" w:rsidR="00E7366F" w:rsidRDefault="00E7366F" w:rsidP="00E7366F">
      <w:r>
        <w:t>Section 3 presents budgeted financial statements which provide a comprehensive snapshot of entity finances for the 2026–27</w:t>
      </w:r>
      <w:r>
        <w:rPr>
          <w:color w:val="00B050"/>
        </w:rPr>
        <w:t xml:space="preserve"> </w:t>
      </w:r>
      <w:r>
        <w:t>budget year, including the impact of budget measures and resourcing on financial statements.</w:t>
      </w:r>
    </w:p>
    <w:p w14:paraId="4BD733CB" w14:textId="28A1123E" w:rsidR="005F2FDC" w:rsidRDefault="005F2FDC" w:rsidP="005F2FDC">
      <w:pPr>
        <w:spacing w:before="0" w:after="0" w:line="240" w:lineRule="auto"/>
      </w:pPr>
      <w:r>
        <w:br w:type="page"/>
      </w:r>
    </w:p>
    <w:p w14:paraId="7C4FB7B2" w14:textId="77777777" w:rsidR="00E7366F" w:rsidRPr="005328A9" w:rsidRDefault="00E7366F" w:rsidP="00E7366F">
      <w:pPr>
        <w:pStyle w:val="Heading3"/>
      </w:pPr>
      <w:r w:rsidRPr="005328A9">
        <w:lastRenderedPageBreak/>
        <w:t>3.1</w:t>
      </w:r>
      <w:r w:rsidRPr="005328A9">
        <w:tab/>
        <w:t>Budgeted financial statements</w:t>
      </w:r>
    </w:p>
    <w:p w14:paraId="73A22D80" w14:textId="16A63932" w:rsidR="00E7366F" w:rsidRPr="00E36F77" w:rsidRDefault="00E7366F" w:rsidP="00E7366F">
      <w:pPr>
        <w:pStyle w:val="Heading4"/>
        <w:rPr>
          <w:rStyle w:val="TableHeadingChar"/>
          <w:rFonts w:ascii="Arial Bold" w:hAnsi="Arial Bold"/>
          <w:b/>
          <w:bCs/>
        </w:rPr>
      </w:pP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248A7918" w14:textId="00CFFA33" w:rsidR="00E7366F" w:rsidRDefault="00E7366F" w:rsidP="005F05A0">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3235E5E4" w14:textId="5717B5A6" w:rsidR="005F05A0" w:rsidRPr="005F05A0" w:rsidRDefault="00140A23" w:rsidP="005F05A0">
      <w:pPr>
        <w:pStyle w:val="TableGraphic"/>
      </w:pPr>
      <w:r w:rsidRPr="00140A23">
        <w:rPr>
          <w:noProof/>
        </w:rPr>
        <w:drawing>
          <wp:inline distT="0" distB="0" distL="0" distR="0" wp14:anchorId="3AC37002" wp14:editId="1CF0A5DC">
            <wp:extent cx="4817110" cy="2152650"/>
            <wp:effectExtent l="0" t="0" r="2540" b="0"/>
            <wp:docPr id="20555294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17110" cy="2152650"/>
                    </a:xfrm>
                    <a:prstGeom prst="rect">
                      <a:avLst/>
                    </a:prstGeom>
                    <a:noFill/>
                    <a:ln>
                      <a:noFill/>
                    </a:ln>
                  </pic:spPr>
                </pic:pic>
              </a:graphicData>
            </a:graphic>
          </wp:inline>
        </w:drawing>
      </w:r>
    </w:p>
    <w:p w14:paraId="039EF669" w14:textId="77777777" w:rsidR="00E7366F" w:rsidRPr="00C557C1" w:rsidRDefault="00E7366F" w:rsidP="00E7366F">
      <w:pPr>
        <w:pStyle w:val="TableGraphic"/>
        <w:rPr>
          <w:snapToGrid w:val="0"/>
        </w:rPr>
      </w:pPr>
    </w:p>
    <w:p w14:paraId="045FD2F2" w14:textId="77777777" w:rsidR="00E7366F" w:rsidRDefault="00E7366F" w:rsidP="00E7366F">
      <w:pPr>
        <w:pStyle w:val="TableHeading"/>
      </w:pPr>
      <w:r w:rsidRPr="003819E1">
        <w:t>Note: Impact of net cash appropriation arrangements</w:t>
      </w:r>
    </w:p>
    <w:p w14:paraId="6B2C3540" w14:textId="32A178DA" w:rsidR="00E7366F" w:rsidRDefault="00140A23" w:rsidP="00E7366F">
      <w:pPr>
        <w:pStyle w:val="TableGraphic"/>
      </w:pPr>
      <w:r w:rsidRPr="00140A23">
        <w:rPr>
          <w:noProof/>
        </w:rPr>
        <w:drawing>
          <wp:inline distT="0" distB="0" distL="0" distR="0" wp14:anchorId="134E8735" wp14:editId="3F1C1013">
            <wp:extent cx="4817110" cy="1742440"/>
            <wp:effectExtent l="0" t="0" r="2540" b="0"/>
            <wp:docPr id="2811306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17110" cy="1742440"/>
                    </a:xfrm>
                    <a:prstGeom prst="rect">
                      <a:avLst/>
                    </a:prstGeom>
                    <a:noFill/>
                    <a:ln>
                      <a:noFill/>
                    </a:ln>
                  </pic:spPr>
                </pic:pic>
              </a:graphicData>
            </a:graphic>
          </wp:inline>
        </w:drawing>
      </w:r>
    </w:p>
    <w:p w14:paraId="1A03BFF4" w14:textId="77777777" w:rsidR="00E7366F" w:rsidRPr="009D54F3" w:rsidRDefault="00E7366F" w:rsidP="00E7366F">
      <w:pPr>
        <w:pStyle w:val="ChartandTableFootnote"/>
        <w:rPr>
          <w:rFonts w:cs="Arial"/>
        </w:rPr>
      </w:pPr>
      <w:r>
        <w:t>Prepared on Australian Accounting Standards basis.</w:t>
      </w:r>
    </w:p>
    <w:p w14:paraId="45E1E273" w14:textId="2100A4DC" w:rsidR="005F05A0" w:rsidRPr="005F05A0" w:rsidRDefault="005F05A0" w:rsidP="00707A3D">
      <w:pPr>
        <w:pStyle w:val="ChartandTableFootnoteAlpha"/>
        <w:numPr>
          <w:ilvl w:val="0"/>
          <w:numId w:val="30"/>
        </w:numPr>
        <w:spacing w:line="259" w:lineRule="auto"/>
        <w:rPr>
          <w:rFonts w:cs="Arial"/>
          <w:color w:val="auto"/>
          <w:szCs w:val="16"/>
        </w:rPr>
      </w:pPr>
      <w:r>
        <w:rPr>
          <w:rFonts w:cs="Arial"/>
          <w:color w:val="auto"/>
          <w:szCs w:val="16"/>
        </w:rPr>
        <w:t xml:space="preserve">Includes </w:t>
      </w:r>
      <w:r w:rsidRPr="005F05A0">
        <w:rPr>
          <w:rFonts w:cs="Arial"/>
          <w:color w:val="auto"/>
          <w:szCs w:val="16"/>
        </w:rPr>
        <w:t>depreciation on ROU assets.</w:t>
      </w:r>
      <w:r>
        <w:rPr>
          <w:rFonts w:cs="Arial"/>
          <w:color w:val="auto"/>
          <w:szCs w:val="16"/>
        </w:rPr>
        <w:t xml:space="preserve"> </w:t>
      </w:r>
    </w:p>
    <w:p w14:paraId="1CE7B61B" w14:textId="556C9835" w:rsidR="00E7366F" w:rsidRPr="005F2FDC" w:rsidRDefault="00E7366F" w:rsidP="00707A3D">
      <w:pPr>
        <w:pStyle w:val="ChartandTableFootnoteAlpha"/>
        <w:numPr>
          <w:ilvl w:val="0"/>
          <w:numId w:val="30"/>
        </w:numPr>
        <w:spacing w:line="259" w:lineRule="auto"/>
        <w:rPr>
          <w:rFonts w:cs="Arial"/>
          <w:color w:val="auto"/>
          <w:szCs w:val="16"/>
        </w:rPr>
      </w:pPr>
      <w:r w:rsidRPr="005F2FDC">
        <w:rPr>
          <w:rFonts w:cs="Arial"/>
        </w:rPr>
        <w:t>From 2010</w:t>
      </w:r>
      <w:r w:rsidR="005F05A0">
        <w:rPr>
          <w:rFonts w:cs="Arial"/>
        </w:rPr>
        <w:t>–</w:t>
      </w:r>
      <w:r w:rsidRPr="005F2FDC">
        <w:rPr>
          <w:rFonts w:cs="Arial"/>
        </w:rPr>
        <w:t>11, the Government introduced net cash appropriation arrangements that provided non</w:t>
      </w:r>
      <w:r w:rsidRPr="005F2FDC">
        <w:rPr>
          <w:rFonts w:ascii="Cambria Math" w:hAnsi="Cambria Math" w:cs="Cambria Math"/>
        </w:rPr>
        <w:t>‑</w:t>
      </w:r>
      <w:r w:rsidRPr="005F2FDC">
        <w:rPr>
          <w:rFonts w:cs="Arial"/>
        </w:rPr>
        <w:t xml:space="preserve">corporate Commonwealth entities with a separate Departmental Capital Budget (DCB) under Appropriation Bill (No. 1). This replaced revenue appropriations provided under Appropriation Bill (No. 1) used for the depreciation/amortisation expenses. </w:t>
      </w:r>
    </w:p>
    <w:p w14:paraId="7A7CA38F" w14:textId="77777777" w:rsidR="00E7366F" w:rsidRDefault="00E7366F" w:rsidP="00E7366F">
      <w:pPr>
        <w:spacing w:before="0" w:after="0" w:line="240" w:lineRule="auto"/>
        <w:rPr>
          <w:highlight w:val="cyan"/>
        </w:rPr>
      </w:pPr>
      <w:r>
        <w:rPr>
          <w:highlight w:val="cyan"/>
        </w:rPr>
        <w:br w:type="page"/>
      </w:r>
    </w:p>
    <w:p w14:paraId="1A9B97BE" w14:textId="77777777" w:rsidR="00E7366F" w:rsidRPr="00960553" w:rsidRDefault="00E7366F" w:rsidP="00E7366F">
      <w:pPr>
        <w:pStyle w:val="TableHeading"/>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5E192060" w14:textId="652CA5D2" w:rsidR="00E7366F" w:rsidRDefault="00402494" w:rsidP="00E7366F">
      <w:pPr>
        <w:pStyle w:val="TableGraphic"/>
      </w:pPr>
      <w:r w:rsidRPr="00402494">
        <w:rPr>
          <w:noProof/>
        </w:rPr>
        <w:drawing>
          <wp:inline distT="0" distB="0" distL="0" distR="0" wp14:anchorId="20A8F105" wp14:editId="7529F1C2">
            <wp:extent cx="4622165" cy="3153410"/>
            <wp:effectExtent l="0" t="0" r="6985" b="8890"/>
            <wp:docPr id="9963644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22165" cy="3153410"/>
                    </a:xfrm>
                    <a:prstGeom prst="rect">
                      <a:avLst/>
                    </a:prstGeom>
                    <a:noFill/>
                    <a:ln>
                      <a:noFill/>
                    </a:ln>
                  </pic:spPr>
                </pic:pic>
              </a:graphicData>
            </a:graphic>
          </wp:inline>
        </w:drawing>
      </w:r>
    </w:p>
    <w:p w14:paraId="04FBE03D" w14:textId="77777777" w:rsidR="00E7366F" w:rsidRPr="00132F9E" w:rsidRDefault="00E7366F" w:rsidP="00E7366F">
      <w:pPr>
        <w:pStyle w:val="ChartandTableFootnote"/>
      </w:pPr>
      <w:r w:rsidRPr="00132F9E">
        <w:t xml:space="preserve">Prepared on </w:t>
      </w:r>
      <w:r w:rsidRPr="00446EE2">
        <w:rPr>
          <w:rStyle w:val="ChartandTableFootnoteChar"/>
        </w:rPr>
        <w:t>Australian</w:t>
      </w:r>
      <w:r w:rsidRPr="00132F9E">
        <w:t xml:space="preserve"> Accounting Standards basis.</w:t>
      </w:r>
    </w:p>
    <w:p w14:paraId="4DD64413" w14:textId="77777777" w:rsidR="00E7366F" w:rsidRPr="0082593D" w:rsidRDefault="00E7366F" w:rsidP="00E7366F">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2FFE646B" w14:textId="77777777" w:rsidR="00E7366F" w:rsidRDefault="00E7366F" w:rsidP="00E7366F">
      <w:pPr>
        <w:spacing w:before="0" w:after="0" w:line="240" w:lineRule="auto"/>
        <w:rPr>
          <w:highlight w:val="green"/>
        </w:rPr>
      </w:pPr>
      <w:r>
        <w:rPr>
          <w:highlight w:val="green"/>
        </w:rPr>
        <w:br w:type="page"/>
      </w:r>
    </w:p>
    <w:p w14:paraId="4D5F3CB4" w14:textId="77777777" w:rsidR="00E7366F" w:rsidRPr="00960553" w:rsidRDefault="00E7366F" w:rsidP="00E7366F">
      <w:pPr>
        <w:pStyle w:val="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59A8AB71" w14:textId="039AE357" w:rsidR="00E7366F" w:rsidRPr="00D606C2" w:rsidRDefault="002B4682" w:rsidP="00E7366F">
      <w:pPr>
        <w:pStyle w:val="TableGraphic"/>
      </w:pPr>
      <w:r w:rsidRPr="002B4682">
        <w:rPr>
          <w:noProof/>
        </w:rPr>
        <w:drawing>
          <wp:inline distT="0" distB="0" distL="0" distR="0" wp14:anchorId="2EB8BB93" wp14:editId="2CCB0566">
            <wp:extent cx="4763135" cy="3578225"/>
            <wp:effectExtent l="0" t="0" r="0" b="3175"/>
            <wp:docPr id="14490796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63135" cy="3578225"/>
                    </a:xfrm>
                    <a:prstGeom prst="rect">
                      <a:avLst/>
                    </a:prstGeom>
                    <a:noFill/>
                    <a:ln>
                      <a:noFill/>
                    </a:ln>
                  </pic:spPr>
                </pic:pic>
              </a:graphicData>
            </a:graphic>
          </wp:inline>
        </w:drawing>
      </w:r>
    </w:p>
    <w:p w14:paraId="36C5F707" w14:textId="7D2DA8E9" w:rsidR="00E7366F" w:rsidRPr="00132F9E" w:rsidRDefault="00E7366F" w:rsidP="00E7366F">
      <w:pPr>
        <w:pStyle w:val="ChartandTableFootnote"/>
        <w:rPr>
          <w:szCs w:val="16"/>
        </w:rPr>
      </w:pPr>
      <w:r w:rsidRPr="00D606C2">
        <w:t>Prepared on Australian Accounting Standards basis</w:t>
      </w:r>
      <w:r w:rsidR="00535CF2">
        <w:t xml:space="preserve">. </w:t>
      </w:r>
    </w:p>
    <w:p w14:paraId="63A28D60" w14:textId="73129706" w:rsidR="00E7366F" w:rsidRDefault="00E7366F" w:rsidP="00E7366F">
      <w:pPr>
        <w:pStyle w:val="ChartandTableFootnote"/>
      </w:pPr>
    </w:p>
    <w:p w14:paraId="6E1680CD" w14:textId="77777777" w:rsidR="00E7366F" w:rsidRDefault="00E7366F" w:rsidP="00E7366F">
      <w:r w:rsidRPr="001D3237">
        <w:br w:type="page"/>
      </w:r>
    </w:p>
    <w:p w14:paraId="70582C02" w14:textId="77777777" w:rsidR="00E7366F" w:rsidRDefault="00E7366F" w:rsidP="00E7366F">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3AF6B367" w14:textId="66CC4CE4" w:rsidR="006B695F" w:rsidRPr="006B695F" w:rsidRDefault="00262EB9" w:rsidP="006B695F">
      <w:pPr>
        <w:pStyle w:val="TableGraphic"/>
      </w:pPr>
      <w:r w:rsidRPr="00262EB9">
        <w:rPr>
          <w:noProof/>
        </w:rPr>
        <w:drawing>
          <wp:inline distT="0" distB="0" distL="0" distR="0" wp14:anchorId="3A292609" wp14:editId="4D7D9BBC">
            <wp:extent cx="4817110" cy="3873500"/>
            <wp:effectExtent l="0" t="0" r="2540" b="0"/>
            <wp:docPr id="15105068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17110" cy="3873500"/>
                    </a:xfrm>
                    <a:prstGeom prst="rect">
                      <a:avLst/>
                    </a:prstGeom>
                    <a:noFill/>
                    <a:ln>
                      <a:noFill/>
                    </a:ln>
                  </pic:spPr>
                </pic:pic>
              </a:graphicData>
            </a:graphic>
          </wp:inline>
        </w:drawing>
      </w:r>
    </w:p>
    <w:p w14:paraId="75F3405D" w14:textId="77777777" w:rsidR="00E7366F" w:rsidRDefault="00E7366F" w:rsidP="00E7366F">
      <w:pPr>
        <w:pStyle w:val="ChartandTableFootnote"/>
      </w:pPr>
      <w:r w:rsidRPr="00132F9E">
        <w:t>Prepared on Australian Accounting Standards basis.</w:t>
      </w:r>
    </w:p>
    <w:p w14:paraId="0FF91760" w14:textId="227500E4" w:rsidR="00E7366F" w:rsidRDefault="00E7366F" w:rsidP="00E7366F"/>
    <w:p w14:paraId="4D84311E" w14:textId="77777777" w:rsidR="00E7366F" w:rsidRPr="00A9767E" w:rsidRDefault="00E7366F" w:rsidP="00E7366F">
      <w:pPr>
        <w:sectPr w:rsidR="00E7366F" w:rsidRPr="00A9767E" w:rsidSect="00E7366F">
          <w:headerReference w:type="even" r:id="rId164"/>
          <w:headerReference w:type="default" r:id="rId165"/>
          <w:footerReference w:type="default" r:id="rId166"/>
          <w:headerReference w:type="first" r:id="rId167"/>
          <w:footerReference w:type="first" r:id="rId168"/>
          <w:type w:val="oddPage"/>
          <w:pgSz w:w="11906" w:h="16838" w:code="9"/>
          <w:pgMar w:top="2835" w:right="2098" w:bottom="2466" w:left="2098" w:header="1814" w:footer="1814" w:gutter="0"/>
          <w:cols w:space="708"/>
          <w:titlePg/>
          <w:docGrid w:linePitch="360"/>
        </w:sectPr>
      </w:pPr>
    </w:p>
    <w:p w14:paraId="4BE9B52B" w14:textId="22A30994" w:rsidR="00E7366F" w:rsidRPr="004C1439" w:rsidRDefault="00027980" w:rsidP="00E7366F">
      <w:pPr>
        <w:pStyle w:val="PartHeading"/>
      </w:pPr>
      <w:r w:rsidRPr="00027980">
        <w:lastRenderedPageBreak/>
        <w:t xml:space="preserve">Tourism Australia </w:t>
      </w:r>
    </w:p>
    <w:p w14:paraId="5FD80783" w14:textId="77777777" w:rsidR="00E7366F" w:rsidRPr="004C1439" w:rsidRDefault="00E7366F" w:rsidP="00E7366F"/>
    <w:p w14:paraId="7DA52512" w14:textId="77777777" w:rsidR="00E7366F" w:rsidRPr="004C1439" w:rsidRDefault="00E7366F" w:rsidP="00E7366F">
      <w:pPr>
        <w:pStyle w:val="PartHeading-TOC"/>
      </w:pPr>
      <w:r w:rsidRPr="004C1439">
        <w:t>Entity resources and planned performance</w:t>
      </w:r>
    </w:p>
    <w:p w14:paraId="438C26BD" w14:textId="77777777" w:rsidR="00E7366F" w:rsidRPr="004C1439" w:rsidRDefault="00E7366F" w:rsidP="00E7366F">
      <w:pPr>
        <w:sectPr w:rsidR="00E7366F" w:rsidRPr="004C1439" w:rsidSect="00E7366F">
          <w:headerReference w:type="first" r:id="rId169"/>
          <w:footerReference w:type="first" r:id="rId170"/>
          <w:type w:val="oddPage"/>
          <w:pgSz w:w="11906" w:h="16838" w:code="9"/>
          <w:pgMar w:top="2835" w:right="2098" w:bottom="2466" w:left="2098" w:header="1814" w:footer="1814" w:gutter="0"/>
          <w:cols w:space="708"/>
          <w:vAlign w:val="center"/>
          <w:titlePg/>
          <w:docGrid w:linePitch="360"/>
        </w:sectPr>
      </w:pPr>
    </w:p>
    <w:p w14:paraId="72B6FC98" w14:textId="17887EAB" w:rsidR="00E7366F" w:rsidRPr="00E36F77" w:rsidRDefault="00027980" w:rsidP="00E7366F">
      <w:pPr>
        <w:pStyle w:val="ContentsHeading"/>
      </w:pPr>
      <w:r w:rsidRPr="00027980">
        <w:lastRenderedPageBreak/>
        <w:t>Tourism Australia</w:t>
      </w:r>
    </w:p>
    <w:p w14:paraId="71054E8C" w14:textId="2A4B0318" w:rsidR="00E7366F" w:rsidRPr="001C6402" w:rsidRDefault="00E7366F" w:rsidP="00E7366F">
      <w:pPr>
        <w:pStyle w:val="TOC1"/>
        <w:rPr>
          <w:rFonts w:ascii="Book Antiqua" w:hAnsi="Book Antiqua"/>
          <w:b w:val="0"/>
          <w:caps/>
          <w:noProof/>
          <w:sz w:val="22"/>
          <w:szCs w:val="22"/>
        </w:rPr>
      </w:pPr>
      <w:r>
        <w:fldChar w:fldCharType="begin"/>
      </w:r>
      <w:r>
        <w:instrText xml:space="preserve"> TOC \h \z \t "Heading 2,1,Heading 3,2" </w:instrText>
      </w:r>
      <w:r>
        <w:fldChar w:fldCharType="separate"/>
      </w:r>
      <w:r w:rsidRPr="00A75284">
        <w:rPr>
          <w:noProof/>
        </w:rPr>
        <w:t>Section 1: Entity overview and resources</w:t>
      </w:r>
      <w:r>
        <w:rPr>
          <w:noProof/>
          <w:webHidden/>
        </w:rPr>
        <w:tab/>
      </w:r>
      <w:r w:rsidR="008A39F1">
        <w:rPr>
          <w:noProof/>
          <w:webHidden/>
        </w:rPr>
        <w:t>153</w:t>
      </w:r>
    </w:p>
    <w:p w14:paraId="73A35076" w14:textId="73E71BBA" w:rsidR="00E7366F" w:rsidRPr="001C6402" w:rsidRDefault="00E7366F" w:rsidP="00E7366F">
      <w:pPr>
        <w:pStyle w:val="TOC2"/>
        <w:tabs>
          <w:tab w:val="left" w:pos="800"/>
        </w:tabs>
        <w:rPr>
          <w:rFonts w:ascii="Book Antiqua" w:hAnsi="Book Antiqua"/>
          <w:noProof/>
          <w:sz w:val="22"/>
          <w:szCs w:val="22"/>
        </w:rPr>
      </w:pPr>
      <w:r w:rsidRPr="00A75284">
        <w:rPr>
          <w:noProof/>
        </w:rPr>
        <w:t>1.1</w:t>
      </w:r>
      <w:r w:rsidRPr="001C6402">
        <w:rPr>
          <w:rFonts w:ascii="Book Antiqua" w:hAnsi="Book Antiqua"/>
          <w:noProof/>
          <w:sz w:val="22"/>
          <w:szCs w:val="22"/>
        </w:rPr>
        <w:tab/>
      </w:r>
      <w:r w:rsidRPr="00A75284">
        <w:rPr>
          <w:noProof/>
        </w:rPr>
        <w:t>Strategic direction statement</w:t>
      </w:r>
      <w:r>
        <w:rPr>
          <w:noProof/>
          <w:webHidden/>
        </w:rPr>
        <w:tab/>
      </w:r>
      <w:r w:rsidR="008A39F1">
        <w:rPr>
          <w:noProof/>
          <w:webHidden/>
        </w:rPr>
        <w:t>153</w:t>
      </w:r>
    </w:p>
    <w:p w14:paraId="5B52A598" w14:textId="0365D187" w:rsidR="00E7366F" w:rsidRPr="001C6402" w:rsidRDefault="00E7366F" w:rsidP="00E7366F">
      <w:pPr>
        <w:pStyle w:val="TOC2"/>
        <w:tabs>
          <w:tab w:val="left" w:pos="800"/>
        </w:tabs>
        <w:rPr>
          <w:rFonts w:ascii="Book Antiqua" w:hAnsi="Book Antiqua"/>
          <w:noProof/>
          <w:sz w:val="22"/>
          <w:szCs w:val="22"/>
        </w:rPr>
      </w:pPr>
      <w:r w:rsidRPr="00A75284">
        <w:rPr>
          <w:noProof/>
        </w:rPr>
        <w:t>1.2</w:t>
      </w:r>
      <w:r w:rsidRPr="001C6402">
        <w:rPr>
          <w:rFonts w:ascii="Book Antiqua" w:hAnsi="Book Antiqua"/>
          <w:noProof/>
          <w:sz w:val="22"/>
          <w:szCs w:val="22"/>
        </w:rPr>
        <w:tab/>
      </w:r>
      <w:r w:rsidRPr="00A75284">
        <w:rPr>
          <w:noProof/>
        </w:rPr>
        <w:t>Entity resource statement</w:t>
      </w:r>
      <w:r>
        <w:rPr>
          <w:noProof/>
          <w:webHidden/>
        </w:rPr>
        <w:tab/>
      </w:r>
      <w:r w:rsidR="008A39F1">
        <w:rPr>
          <w:noProof/>
          <w:webHidden/>
        </w:rPr>
        <w:t>155</w:t>
      </w:r>
    </w:p>
    <w:p w14:paraId="0CA79343" w14:textId="62B34D8A" w:rsidR="00E7366F" w:rsidRPr="001C6402" w:rsidRDefault="00E7366F" w:rsidP="00E7366F">
      <w:pPr>
        <w:pStyle w:val="TOC2"/>
        <w:tabs>
          <w:tab w:val="left" w:pos="800"/>
        </w:tabs>
        <w:rPr>
          <w:rFonts w:ascii="Book Antiqua" w:hAnsi="Book Antiqua"/>
          <w:noProof/>
          <w:sz w:val="22"/>
          <w:szCs w:val="22"/>
        </w:rPr>
      </w:pPr>
      <w:r w:rsidRPr="00A75284">
        <w:rPr>
          <w:noProof/>
        </w:rPr>
        <w:t>1.3</w:t>
      </w:r>
      <w:r w:rsidRPr="001C6402">
        <w:rPr>
          <w:rFonts w:ascii="Book Antiqua" w:hAnsi="Book Antiqua"/>
          <w:noProof/>
          <w:sz w:val="22"/>
          <w:szCs w:val="22"/>
        </w:rPr>
        <w:tab/>
      </w:r>
      <w:r w:rsidRPr="00A75284">
        <w:rPr>
          <w:noProof/>
        </w:rPr>
        <w:t>Budget measures</w:t>
      </w:r>
      <w:r>
        <w:rPr>
          <w:noProof/>
          <w:webHidden/>
        </w:rPr>
        <w:tab/>
      </w:r>
      <w:r w:rsidR="008A39F1">
        <w:rPr>
          <w:noProof/>
          <w:webHidden/>
        </w:rPr>
        <w:t>157</w:t>
      </w:r>
    </w:p>
    <w:p w14:paraId="13C9190E" w14:textId="5680897D" w:rsidR="00E7366F" w:rsidRPr="001C6402" w:rsidRDefault="00E7366F" w:rsidP="00E7366F">
      <w:pPr>
        <w:pStyle w:val="TOC1"/>
        <w:rPr>
          <w:rFonts w:ascii="Book Antiqua" w:hAnsi="Book Antiqua"/>
          <w:b w:val="0"/>
          <w:caps/>
          <w:noProof/>
          <w:sz w:val="22"/>
          <w:szCs w:val="22"/>
        </w:rPr>
      </w:pPr>
      <w:r w:rsidRPr="00A75284">
        <w:rPr>
          <w:noProof/>
        </w:rPr>
        <w:t>Section 2: Outcomes and planned performance</w:t>
      </w:r>
      <w:r>
        <w:rPr>
          <w:noProof/>
          <w:webHidden/>
        </w:rPr>
        <w:tab/>
      </w:r>
      <w:r w:rsidR="008A39F1">
        <w:rPr>
          <w:noProof/>
          <w:webHidden/>
        </w:rPr>
        <w:t>158</w:t>
      </w:r>
    </w:p>
    <w:p w14:paraId="24D2EBE7" w14:textId="0077882F" w:rsidR="00E7366F" w:rsidRDefault="00E7366F" w:rsidP="00E7366F">
      <w:pPr>
        <w:pStyle w:val="TOC2"/>
        <w:tabs>
          <w:tab w:val="left" w:pos="800"/>
        </w:tabs>
        <w:rPr>
          <w:noProof/>
          <w:webHidden/>
        </w:rPr>
      </w:pPr>
      <w:r w:rsidRPr="00A75284">
        <w:rPr>
          <w:noProof/>
        </w:rPr>
        <w:t xml:space="preserve">2.1 </w:t>
      </w:r>
      <w:r w:rsidRPr="001C6402">
        <w:rPr>
          <w:rFonts w:ascii="Book Antiqua" w:hAnsi="Book Antiqua"/>
          <w:noProof/>
          <w:sz w:val="22"/>
          <w:szCs w:val="22"/>
        </w:rPr>
        <w:tab/>
      </w:r>
      <w:r w:rsidRPr="00A75284">
        <w:rPr>
          <w:noProof/>
        </w:rPr>
        <w:t xml:space="preserve">Budgeted expenses and performance for Outcome </w:t>
      </w:r>
      <w:r>
        <w:rPr>
          <w:noProof/>
        </w:rPr>
        <w:t>1</w:t>
      </w:r>
      <w:r>
        <w:rPr>
          <w:noProof/>
          <w:webHidden/>
        </w:rPr>
        <w:tab/>
      </w:r>
      <w:r w:rsidR="008A39F1">
        <w:rPr>
          <w:noProof/>
          <w:webHidden/>
        </w:rPr>
        <w:t>159</w:t>
      </w:r>
    </w:p>
    <w:p w14:paraId="3F575F65" w14:textId="17994690" w:rsidR="00E7366F" w:rsidRPr="001C6402" w:rsidRDefault="00E7366F" w:rsidP="00E7366F">
      <w:pPr>
        <w:pStyle w:val="TOC1"/>
        <w:rPr>
          <w:rFonts w:ascii="Book Antiqua" w:hAnsi="Book Antiqua"/>
          <w:b w:val="0"/>
          <w:caps/>
          <w:noProof/>
          <w:sz w:val="22"/>
          <w:szCs w:val="22"/>
        </w:rPr>
      </w:pPr>
      <w:r w:rsidRPr="00A75284">
        <w:rPr>
          <w:noProof/>
        </w:rPr>
        <w:t>Section 3: Budgeted financial statements</w:t>
      </w:r>
      <w:r>
        <w:rPr>
          <w:noProof/>
          <w:webHidden/>
        </w:rPr>
        <w:tab/>
      </w:r>
      <w:r w:rsidR="008A39F1">
        <w:rPr>
          <w:noProof/>
          <w:webHidden/>
        </w:rPr>
        <w:t>166</w:t>
      </w:r>
    </w:p>
    <w:p w14:paraId="15F37E56" w14:textId="4BC3E619" w:rsidR="00E7366F" w:rsidRPr="001C6402" w:rsidRDefault="00E7366F" w:rsidP="00E7366F">
      <w:pPr>
        <w:pStyle w:val="TOC2"/>
        <w:tabs>
          <w:tab w:val="left" w:pos="800"/>
        </w:tabs>
        <w:rPr>
          <w:rFonts w:ascii="Book Antiqua" w:hAnsi="Book Antiqua"/>
          <w:noProof/>
          <w:sz w:val="22"/>
          <w:szCs w:val="22"/>
        </w:rPr>
      </w:pPr>
      <w:r w:rsidRPr="00A75284">
        <w:rPr>
          <w:noProof/>
        </w:rPr>
        <w:t>3.1</w:t>
      </w:r>
      <w:r w:rsidRPr="001C6402">
        <w:rPr>
          <w:rFonts w:ascii="Book Antiqua" w:hAnsi="Book Antiqua"/>
          <w:noProof/>
          <w:sz w:val="22"/>
          <w:szCs w:val="22"/>
        </w:rPr>
        <w:tab/>
      </w:r>
      <w:r w:rsidRPr="00A75284">
        <w:rPr>
          <w:noProof/>
        </w:rPr>
        <w:t>Budgeted financial statements</w:t>
      </w:r>
      <w:r>
        <w:rPr>
          <w:noProof/>
          <w:webHidden/>
        </w:rPr>
        <w:tab/>
      </w:r>
      <w:r w:rsidR="008A39F1">
        <w:rPr>
          <w:noProof/>
          <w:webHidden/>
        </w:rPr>
        <w:t>166</w:t>
      </w:r>
    </w:p>
    <w:p w14:paraId="39425826" w14:textId="77777777" w:rsidR="00E7366F" w:rsidRDefault="00E7366F" w:rsidP="00E7366F">
      <w:r>
        <w:fldChar w:fldCharType="end"/>
      </w:r>
    </w:p>
    <w:p w14:paraId="413C7868" w14:textId="77777777" w:rsidR="00E7366F" w:rsidRDefault="00E7366F" w:rsidP="00E7366F">
      <w:pPr>
        <w:sectPr w:rsidR="00E7366F" w:rsidSect="00E7366F">
          <w:footerReference w:type="first" r:id="rId171"/>
          <w:type w:val="oddPage"/>
          <w:pgSz w:w="11906" w:h="16838" w:code="9"/>
          <w:pgMar w:top="2835" w:right="2098" w:bottom="2466" w:left="2098" w:header="1814" w:footer="1814" w:gutter="0"/>
          <w:cols w:space="708"/>
          <w:titlePg/>
          <w:docGrid w:linePitch="360"/>
        </w:sectPr>
      </w:pPr>
    </w:p>
    <w:p w14:paraId="47E3F603" w14:textId="46FA193D" w:rsidR="00E7366F" w:rsidRDefault="00027980" w:rsidP="00E7366F">
      <w:pPr>
        <w:pStyle w:val="Heading1"/>
      </w:pPr>
      <w:r w:rsidRPr="00027980">
        <w:lastRenderedPageBreak/>
        <w:t>Tourism Australia</w:t>
      </w:r>
    </w:p>
    <w:p w14:paraId="0F61AED4" w14:textId="77777777" w:rsidR="00E7366F" w:rsidRPr="002C4D41" w:rsidRDefault="00E7366F" w:rsidP="00E7366F">
      <w:pPr>
        <w:pStyle w:val="Heading2"/>
      </w:pPr>
      <w:r w:rsidRPr="002C4D41">
        <w:t xml:space="preserve">Section 1: Entity overview and </w:t>
      </w:r>
      <w:r>
        <w:t>reso</w:t>
      </w:r>
      <w:r w:rsidRPr="002C4D41">
        <w:t>urces</w:t>
      </w:r>
    </w:p>
    <w:p w14:paraId="317CB769" w14:textId="77777777" w:rsidR="00E7366F" w:rsidRDefault="00E7366F" w:rsidP="00E7366F">
      <w:pPr>
        <w:pStyle w:val="Heading3"/>
      </w:pPr>
      <w:r>
        <w:t>1.1</w:t>
      </w:r>
      <w:r>
        <w:tab/>
        <w:t>Strategic direction statement</w:t>
      </w:r>
    </w:p>
    <w:p w14:paraId="1894FA0F" w14:textId="765F09E8" w:rsidR="00E7366F" w:rsidRDefault="001B6F25" w:rsidP="00E7366F">
      <w:r w:rsidRPr="001B6F25">
        <w:t>Tourism Australia (TA) is Australia’s national tourism marketing organisation that promotes Australia as a compelling tourism destination for leisure and business events travel. TA’s purpose is to grow demand to enable a competitive and sustainable Australian tourism industry. Our goal in 2026</w:t>
      </w:r>
      <w:r w:rsidR="009A648E">
        <w:t>–</w:t>
      </w:r>
      <w:r w:rsidRPr="001B6F25">
        <w:t xml:space="preserve">27 </w:t>
      </w:r>
      <w:r w:rsidR="00E37880" w:rsidRPr="00E37880">
        <w:t>is to increase international leisure and business events expenditure to between $35.4 billion and $38.2 billion by 30 June 2027</w:t>
      </w:r>
      <w:r w:rsidRPr="001B6F25">
        <w:t>.</w:t>
      </w:r>
    </w:p>
    <w:p w14:paraId="7E8C9F68" w14:textId="6954B5D0" w:rsidR="001B6F25" w:rsidRDefault="001B6F25" w:rsidP="001B6F25">
      <w:pPr>
        <w:spacing w:after="0"/>
        <w:rPr>
          <w:b/>
          <w:bCs/>
        </w:rPr>
      </w:pPr>
      <w:r w:rsidRPr="001B6F25">
        <w:rPr>
          <w:b/>
          <w:bCs/>
        </w:rPr>
        <w:t>Operating environment</w:t>
      </w:r>
    </w:p>
    <w:p w14:paraId="1B13346D" w14:textId="65944898" w:rsidR="001B6F25" w:rsidRDefault="001B6F25" w:rsidP="001B6F25">
      <w:pPr>
        <w:spacing w:before="0" w:after="120"/>
      </w:pPr>
      <w:r>
        <w:t xml:space="preserve">The </w:t>
      </w:r>
      <w:r w:rsidRPr="001B6F25">
        <w:t xml:space="preserve">conflict in the Middle East in early 2026 is impacting the outlook for Australia’s visitor economy. While there have been significant impacts resulting from the conflict, the extent of its impact on Australian tourism is uncertain at this stage. Prior to this event, prospects were relatively positive, with both visitation and expenditure forecast to grow, supported by increased aviation capacity and Australia’s reputation as a safe, clean, friendly and aspirational travel destination.  </w:t>
      </w:r>
    </w:p>
    <w:p w14:paraId="234291BC" w14:textId="4CC215FA" w:rsidR="001B6F25" w:rsidRDefault="001B6F25" w:rsidP="001B6F25">
      <w:pPr>
        <w:spacing w:after="0"/>
        <w:rPr>
          <w:b/>
          <w:bCs/>
        </w:rPr>
      </w:pPr>
      <w:r w:rsidRPr="001B6F25">
        <w:rPr>
          <w:b/>
          <w:bCs/>
        </w:rPr>
        <w:t>Marketing focus</w:t>
      </w:r>
    </w:p>
    <w:p w14:paraId="4BDDA460" w14:textId="25B1E7E7" w:rsidR="001B6F25" w:rsidRDefault="001B6F25" w:rsidP="001B6F25">
      <w:pPr>
        <w:spacing w:before="0" w:after="120"/>
      </w:pPr>
      <w:r>
        <w:t xml:space="preserve">Tourism </w:t>
      </w:r>
      <w:r w:rsidRPr="001B6F25">
        <w:t>Australia launched its Tourism 2035 strategy in March 2026. Tourism 2035 outlines the operating context, global trends and opportunities over a ten-year timeframe, and is broken down into three periods which we refer to as ‘</w:t>
      </w:r>
      <w:proofErr w:type="gramStart"/>
      <w:r w:rsidRPr="001B6F25">
        <w:t>horizons’</w:t>
      </w:r>
      <w:proofErr w:type="gramEnd"/>
      <w:r w:rsidRPr="001B6F25">
        <w:t>. Our activities for the year ahead will be undertaken in Horizon One. In 202</w:t>
      </w:r>
      <w:r w:rsidR="00C1235C">
        <w:t>6–</w:t>
      </w:r>
      <w:r w:rsidRPr="001B6F25">
        <w:t xml:space="preserve">27 we will continue to target high yield travellers in best prospect target markets. Our leisure market prioritisation has been refined and will concentrate on ‘grow’, ‘protect’ and ‘activate’ markets, while our business events market prioritisation remains unchanged and will focus on incentive and association decision-makers in priority markets.  </w:t>
      </w:r>
    </w:p>
    <w:p w14:paraId="135486D3" w14:textId="49E3EBF2" w:rsidR="001B6F25" w:rsidRDefault="001B6F25" w:rsidP="001B6F25">
      <w:pPr>
        <w:spacing w:after="120"/>
      </w:pPr>
      <w:r>
        <w:t xml:space="preserve">In </w:t>
      </w:r>
      <w:r w:rsidRPr="001B6F25">
        <w:t xml:space="preserve">2025 we launched a new iteration of our Come and Say </w:t>
      </w:r>
      <w:proofErr w:type="spellStart"/>
      <w:r w:rsidRPr="001B6F25">
        <w:t>G’Day</w:t>
      </w:r>
      <w:proofErr w:type="spellEnd"/>
      <w:r w:rsidRPr="001B6F25">
        <w:t xml:space="preserve"> (CASG) global campaign which provides an invitation to target consumers to discover what an Aussie welcome means, while broadening the perception of Australia as a tourism destination. CASG will continue as our campaign platform in 2026</w:t>
      </w:r>
      <w:r w:rsidR="00C1235C">
        <w:t>–</w:t>
      </w:r>
      <w:r w:rsidRPr="001B6F25">
        <w:t xml:space="preserve">27. Marketing activity will include dedicated brand campaigns to inspire prospective visitors to book a trip to Australia; partnership marketing activities to extend the reach of our campaigns through bought media and our partners’ marketing channels; partnership and distribution development activities, including trade familiarisation programs to inspire distributors and frontline travel sellers to promote and sell Australian tourism experiences to their customers; connecting Australian industry with global distributors through trade event platforms such as </w:t>
      </w:r>
      <w:r w:rsidR="007A153F">
        <w:br/>
      </w:r>
      <w:r w:rsidRPr="001B6F25">
        <w:t>in-market marketplaces and events; and continuing to educate travel sellers through the Aussie Specialist Program</w:t>
      </w:r>
      <w:r>
        <w:t xml:space="preserve">. </w:t>
      </w:r>
    </w:p>
    <w:p w14:paraId="5D6FFF49" w14:textId="5DB23F5F" w:rsidR="001B6F25" w:rsidRDefault="001B6F25" w:rsidP="001B6F25">
      <w:pPr>
        <w:spacing w:after="0"/>
        <w:rPr>
          <w:b/>
          <w:bCs/>
        </w:rPr>
      </w:pPr>
      <w:r w:rsidRPr="001B6F25">
        <w:rPr>
          <w:b/>
          <w:bCs/>
        </w:rPr>
        <w:t>Target audiences and markets</w:t>
      </w:r>
    </w:p>
    <w:p w14:paraId="368EEE17" w14:textId="1A733B82" w:rsidR="001B6F25" w:rsidRDefault="001B6F25" w:rsidP="001B6F25">
      <w:pPr>
        <w:spacing w:before="0" w:after="120"/>
      </w:pPr>
      <w:r>
        <w:t xml:space="preserve">TA </w:t>
      </w:r>
      <w:r w:rsidRPr="001B6F25">
        <w:t>will target leisure and business events consumers in markets that offer the best</w:t>
      </w:r>
      <w:r>
        <w:t xml:space="preserve"> </w:t>
      </w:r>
      <w:r w:rsidRPr="001B6F25">
        <w:t>potential for growth, and where consumers are responsive to destination marketing.</w:t>
      </w:r>
      <w:r>
        <w:br w:type="page"/>
      </w:r>
    </w:p>
    <w:tbl>
      <w:tblPr>
        <w:tblStyle w:val="TableGrid1"/>
        <w:tblW w:w="4968"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96"/>
        <w:gridCol w:w="3120"/>
        <w:gridCol w:w="2835"/>
      </w:tblGrid>
      <w:tr w:rsidR="001B6F25" w:rsidRPr="000541BB" w14:paraId="06547578" w14:textId="77777777" w:rsidTr="00746CF9">
        <w:trPr>
          <w:trHeight w:val="211"/>
        </w:trPr>
        <w:tc>
          <w:tcPr>
            <w:tcW w:w="3147" w:type="pct"/>
            <w:gridSpan w:val="2"/>
            <w:shd w:val="clear" w:color="auto" w:fill="D9D9D9" w:themeFill="background1" w:themeFillShade="D9"/>
            <w:hideMark/>
          </w:tcPr>
          <w:p w14:paraId="4CEE4FAE" w14:textId="77777777" w:rsidR="001B6F25" w:rsidRPr="001B44EE" w:rsidRDefault="001B6F25" w:rsidP="00746CF9">
            <w:pPr>
              <w:pStyle w:val="Body"/>
              <w:spacing w:after="0" w:line="240" w:lineRule="auto"/>
              <w:ind w:left="7" w:hanging="7"/>
              <w:rPr>
                <w:rFonts w:ascii="Book Antiqua" w:eastAsia="TA Philausophy SemiBold" w:hAnsi="Book Antiqua" w:cs="Arial"/>
                <w:b/>
                <w:bCs/>
                <w:color w:val="000000" w:themeColor="text1"/>
                <w:sz w:val="18"/>
                <w:szCs w:val="18"/>
                <w:lang w:val="en-US"/>
              </w:rPr>
            </w:pPr>
            <w:r w:rsidRPr="00EF186C">
              <w:rPr>
                <w:i/>
                <w:iCs/>
                <w:color w:val="000000" w:themeColor="text1"/>
                <w:szCs w:val="19"/>
                <w:lang w:eastAsia="x-none"/>
              </w:rPr>
              <w:lastRenderedPageBreak/>
              <w:t> </w:t>
            </w:r>
            <w:r w:rsidRPr="001B44EE">
              <w:rPr>
                <w:rFonts w:ascii="Book Antiqua" w:eastAsia="TA Philausophy SemiBold" w:hAnsi="Book Antiqua" w:cs="Arial"/>
                <w:b/>
                <w:bCs/>
                <w:color w:val="000000" w:themeColor="text1"/>
                <w:sz w:val="18"/>
                <w:szCs w:val="18"/>
                <w:lang w:val="en-US"/>
              </w:rPr>
              <w:t>Leisure HYT</w:t>
            </w:r>
          </w:p>
        </w:tc>
        <w:tc>
          <w:tcPr>
            <w:tcW w:w="1853" w:type="pct"/>
            <w:shd w:val="clear" w:color="auto" w:fill="D9D9D9" w:themeFill="background1" w:themeFillShade="D9"/>
          </w:tcPr>
          <w:p w14:paraId="6D739628" w14:textId="77777777" w:rsidR="001B6F25" w:rsidRPr="001B44EE" w:rsidRDefault="001B6F25" w:rsidP="00746CF9">
            <w:pPr>
              <w:pStyle w:val="Body"/>
              <w:spacing w:after="0" w:line="240" w:lineRule="auto"/>
              <w:ind w:left="318"/>
              <w:rPr>
                <w:rFonts w:ascii="Book Antiqua" w:eastAsia="TA Philausophy SemiBold" w:hAnsi="Book Antiqua" w:cs="Arial"/>
                <w:b/>
                <w:bCs/>
                <w:color w:val="000000" w:themeColor="text1"/>
                <w:sz w:val="18"/>
                <w:szCs w:val="18"/>
                <w:lang w:val="en-US"/>
              </w:rPr>
            </w:pPr>
          </w:p>
        </w:tc>
      </w:tr>
      <w:tr w:rsidR="001B6F25" w:rsidRPr="000541BB" w14:paraId="62AA8D89" w14:textId="77777777" w:rsidTr="00746CF9">
        <w:trPr>
          <w:trHeight w:val="226"/>
        </w:trPr>
        <w:tc>
          <w:tcPr>
            <w:tcW w:w="1108" w:type="pct"/>
            <w:shd w:val="clear" w:color="auto" w:fill="F2F2F2" w:themeFill="background1" w:themeFillShade="F2"/>
            <w:hideMark/>
          </w:tcPr>
          <w:p w14:paraId="712B36A9" w14:textId="77777777" w:rsidR="001B6F25" w:rsidRPr="001B44EE" w:rsidRDefault="001B6F25" w:rsidP="00746CF9">
            <w:pPr>
              <w:pStyle w:val="Body"/>
              <w:spacing w:after="0" w:line="240" w:lineRule="auto"/>
              <w:ind w:left="22" w:hanging="22"/>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Audience</w:t>
            </w:r>
          </w:p>
        </w:tc>
        <w:tc>
          <w:tcPr>
            <w:tcW w:w="2039" w:type="pct"/>
            <w:shd w:val="clear" w:color="auto" w:fill="F2F2F2" w:themeFill="background1" w:themeFillShade="F2"/>
            <w:hideMark/>
          </w:tcPr>
          <w:p w14:paraId="21DCE8D5" w14:textId="77777777" w:rsidR="001B6F25" w:rsidRPr="001B44EE" w:rsidRDefault="001B6F25" w:rsidP="00746CF9">
            <w:pPr>
              <w:pStyle w:val="Body"/>
              <w:spacing w:after="0" w:line="240" w:lineRule="auto"/>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Definition</w:t>
            </w:r>
          </w:p>
        </w:tc>
        <w:tc>
          <w:tcPr>
            <w:tcW w:w="1853" w:type="pct"/>
            <w:shd w:val="clear" w:color="auto" w:fill="F2F2F2" w:themeFill="background1" w:themeFillShade="F2"/>
            <w:hideMark/>
          </w:tcPr>
          <w:p w14:paraId="32DCFB89" w14:textId="77777777" w:rsidR="001B6F25" w:rsidRPr="001B44EE" w:rsidRDefault="001B6F25" w:rsidP="00746CF9">
            <w:pPr>
              <w:pStyle w:val="Body"/>
              <w:spacing w:after="0" w:line="240" w:lineRule="auto"/>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Markets</w:t>
            </w:r>
          </w:p>
        </w:tc>
      </w:tr>
      <w:tr w:rsidR="001B6F25" w:rsidRPr="000541BB" w14:paraId="2496C80D" w14:textId="77777777" w:rsidTr="00746CF9">
        <w:trPr>
          <w:trHeight w:val="983"/>
        </w:trPr>
        <w:tc>
          <w:tcPr>
            <w:tcW w:w="1108" w:type="pct"/>
            <w:hideMark/>
          </w:tcPr>
          <w:p w14:paraId="4404A7A5" w14:textId="77777777" w:rsidR="001B6F25" w:rsidRPr="001B44EE" w:rsidRDefault="001B6F25" w:rsidP="00746CF9">
            <w:pPr>
              <w:pStyle w:val="Body"/>
              <w:spacing w:after="0" w:line="240" w:lineRule="auto"/>
              <w:ind w:left="22" w:hanging="22"/>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 xml:space="preserve">High Yield </w:t>
            </w:r>
            <w:proofErr w:type="spellStart"/>
            <w:r w:rsidRPr="001B44EE">
              <w:rPr>
                <w:rFonts w:ascii="Book Antiqua" w:eastAsia="TA Philausophy SemiBold" w:hAnsi="Book Antiqua" w:cs="Arial"/>
                <w:color w:val="000000" w:themeColor="text1"/>
                <w:sz w:val="18"/>
                <w:szCs w:val="18"/>
                <w:lang w:val="en-US"/>
              </w:rPr>
              <w:t>Travellers</w:t>
            </w:r>
            <w:proofErr w:type="spellEnd"/>
            <w:r w:rsidRPr="001B44EE">
              <w:rPr>
                <w:rFonts w:ascii="Book Antiqua" w:eastAsia="TA Philausophy SemiBold" w:hAnsi="Book Antiqua" w:cs="Arial"/>
                <w:color w:val="000000" w:themeColor="text1"/>
                <w:sz w:val="18"/>
                <w:szCs w:val="18"/>
                <w:lang w:val="en-US"/>
              </w:rPr>
              <w:t xml:space="preserve"> (HYT)</w:t>
            </w:r>
          </w:p>
        </w:tc>
        <w:tc>
          <w:tcPr>
            <w:tcW w:w="2039" w:type="pct"/>
            <w:hideMark/>
          </w:tcPr>
          <w:p w14:paraId="01A04DD8"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Purpose of trip: Holiday and visiting friends and relatives (VFR)</w:t>
            </w:r>
          </w:p>
          <w:p w14:paraId="7DD71655"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Spend per night: &gt;$240</w:t>
            </w:r>
          </w:p>
          <w:p w14:paraId="3F80A3EE"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 xml:space="preserve">Total </w:t>
            </w:r>
            <w:proofErr w:type="gramStart"/>
            <w:r w:rsidRPr="001B44EE">
              <w:rPr>
                <w:rFonts w:ascii="Book Antiqua" w:eastAsia="TA Philausophy SemiBold" w:hAnsi="Book Antiqua" w:cs="Arial"/>
                <w:color w:val="000000" w:themeColor="text1"/>
                <w:sz w:val="18"/>
                <w:szCs w:val="18"/>
                <w:lang w:val="en-US"/>
              </w:rPr>
              <w:t>trip</w:t>
            </w:r>
            <w:proofErr w:type="gramEnd"/>
            <w:r w:rsidRPr="001B44EE">
              <w:rPr>
                <w:rFonts w:ascii="Book Antiqua" w:eastAsia="TA Philausophy SemiBold" w:hAnsi="Book Antiqua" w:cs="Arial"/>
                <w:color w:val="000000" w:themeColor="text1"/>
                <w:sz w:val="18"/>
                <w:szCs w:val="18"/>
                <w:lang w:val="en-US"/>
              </w:rPr>
              <w:t xml:space="preserve"> spend: &gt;$2,400</w:t>
            </w:r>
          </w:p>
        </w:tc>
        <w:tc>
          <w:tcPr>
            <w:tcW w:w="1853" w:type="pct"/>
            <w:hideMark/>
          </w:tcPr>
          <w:p w14:paraId="451DB9CD"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Grow – China, Hong Kong, USA, Japan, South Korea, India</w:t>
            </w:r>
          </w:p>
          <w:p w14:paraId="206DCD3C"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Protect – UK, Germany</w:t>
            </w:r>
          </w:p>
          <w:p w14:paraId="2F672F85"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Activate – Indonesia, Singapore, Malaysia, Vietnam, Canada, France, Italy, New Zealand</w:t>
            </w:r>
          </w:p>
        </w:tc>
      </w:tr>
      <w:tr w:rsidR="001B6F25" w:rsidRPr="000541BB" w14:paraId="054993E6" w14:textId="77777777" w:rsidTr="00746CF9">
        <w:trPr>
          <w:trHeight w:val="487"/>
        </w:trPr>
        <w:tc>
          <w:tcPr>
            <w:tcW w:w="1108" w:type="pct"/>
            <w:hideMark/>
          </w:tcPr>
          <w:p w14:paraId="4785602E" w14:textId="77777777" w:rsidR="001B6F25" w:rsidRPr="001B44EE" w:rsidRDefault="001B6F25" w:rsidP="00746CF9">
            <w:pPr>
              <w:pStyle w:val="Body"/>
              <w:spacing w:after="0" w:line="240" w:lineRule="auto"/>
              <w:ind w:left="22" w:hanging="22"/>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HYT – Luxury</w:t>
            </w:r>
          </w:p>
        </w:tc>
        <w:tc>
          <w:tcPr>
            <w:tcW w:w="2039" w:type="pct"/>
            <w:hideMark/>
          </w:tcPr>
          <w:p w14:paraId="62C7AD29"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Purpose of trip: Holiday, VFR</w:t>
            </w:r>
          </w:p>
          <w:p w14:paraId="214ADFAE"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Spend per person per night: &gt;$1,200</w:t>
            </w:r>
          </w:p>
        </w:tc>
        <w:tc>
          <w:tcPr>
            <w:tcW w:w="1853" w:type="pct"/>
            <w:hideMark/>
          </w:tcPr>
          <w:p w14:paraId="5073CB42"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China, USA, UK</w:t>
            </w:r>
          </w:p>
        </w:tc>
      </w:tr>
    </w:tbl>
    <w:tbl>
      <w:tblPr>
        <w:tblStyle w:val="TableGrid11"/>
        <w:tblW w:w="4968" w:type="pct"/>
        <w:tblInd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96"/>
        <w:gridCol w:w="3120"/>
        <w:gridCol w:w="2835"/>
      </w:tblGrid>
      <w:tr w:rsidR="001B6F25" w:rsidRPr="000541BB" w14:paraId="7CE240B4" w14:textId="77777777" w:rsidTr="00746CF9">
        <w:trPr>
          <w:trHeight w:val="226"/>
        </w:trPr>
        <w:tc>
          <w:tcPr>
            <w:tcW w:w="3147" w:type="pct"/>
            <w:gridSpan w:val="2"/>
            <w:shd w:val="clear" w:color="auto" w:fill="D9D9D9" w:themeFill="background1" w:themeFillShade="D9"/>
            <w:hideMark/>
          </w:tcPr>
          <w:p w14:paraId="02F3D329" w14:textId="77777777" w:rsidR="001B6F25" w:rsidRPr="001B44EE" w:rsidRDefault="001B6F25" w:rsidP="00746CF9">
            <w:pPr>
              <w:pStyle w:val="Body"/>
              <w:spacing w:after="0" w:line="240" w:lineRule="auto"/>
              <w:ind w:left="301" w:hanging="283"/>
              <w:jc w:val="left"/>
              <w:rPr>
                <w:rFonts w:ascii="Book Antiqua" w:eastAsia="TA Philausophy SemiBold" w:hAnsi="Book Antiqua" w:cs="Arial"/>
                <w:b/>
                <w:bCs/>
                <w:color w:val="000000" w:themeColor="text1"/>
                <w:sz w:val="18"/>
                <w:szCs w:val="18"/>
                <w:lang w:val="en-US"/>
              </w:rPr>
            </w:pPr>
            <w:r w:rsidRPr="001B44EE">
              <w:rPr>
                <w:rFonts w:ascii="Book Antiqua" w:eastAsia="TA Philausophy SemiBold" w:hAnsi="Book Antiqua" w:cs="Arial"/>
                <w:b/>
                <w:bCs/>
                <w:color w:val="000000" w:themeColor="text1"/>
                <w:sz w:val="18"/>
                <w:szCs w:val="18"/>
                <w:lang w:val="en-US"/>
              </w:rPr>
              <w:t>Business Events (BE) HYT</w:t>
            </w:r>
          </w:p>
        </w:tc>
        <w:tc>
          <w:tcPr>
            <w:tcW w:w="1853" w:type="pct"/>
            <w:shd w:val="clear" w:color="auto" w:fill="D9D9D9" w:themeFill="background1" w:themeFillShade="D9"/>
          </w:tcPr>
          <w:p w14:paraId="5EF87661" w14:textId="77777777" w:rsidR="001B6F25" w:rsidRPr="001B44EE" w:rsidRDefault="001B6F25" w:rsidP="00746CF9">
            <w:pPr>
              <w:pStyle w:val="Body"/>
              <w:spacing w:after="0" w:line="240" w:lineRule="auto"/>
              <w:ind w:left="305" w:hanging="283"/>
              <w:jc w:val="left"/>
              <w:rPr>
                <w:rFonts w:ascii="Book Antiqua" w:eastAsia="TA Philausophy SemiBold" w:hAnsi="Book Antiqua" w:cs="Arial"/>
                <w:b/>
                <w:bCs/>
                <w:color w:val="000000" w:themeColor="text1"/>
                <w:sz w:val="18"/>
                <w:szCs w:val="18"/>
                <w:lang w:val="en-US"/>
              </w:rPr>
            </w:pPr>
          </w:p>
        </w:tc>
      </w:tr>
      <w:tr w:rsidR="001B6F25" w:rsidRPr="000541BB" w14:paraId="7D1A756D" w14:textId="77777777" w:rsidTr="00746CF9">
        <w:trPr>
          <w:trHeight w:val="211"/>
        </w:trPr>
        <w:tc>
          <w:tcPr>
            <w:tcW w:w="1108" w:type="pct"/>
            <w:shd w:val="clear" w:color="auto" w:fill="F2F2F2" w:themeFill="background1" w:themeFillShade="F2"/>
            <w:hideMark/>
          </w:tcPr>
          <w:p w14:paraId="0ED92597"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Audience</w:t>
            </w:r>
          </w:p>
        </w:tc>
        <w:tc>
          <w:tcPr>
            <w:tcW w:w="2039" w:type="pct"/>
            <w:shd w:val="clear" w:color="auto" w:fill="F2F2F2" w:themeFill="background1" w:themeFillShade="F2"/>
            <w:hideMark/>
          </w:tcPr>
          <w:p w14:paraId="3B83D06C" w14:textId="77777777" w:rsidR="001B6F25" w:rsidRPr="001B44EE" w:rsidRDefault="001B6F25" w:rsidP="00746CF9">
            <w:pPr>
              <w:pStyle w:val="Body"/>
              <w:spacing w:after="0" w:line="240" w:lineRule="auto"/>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Definition</w:t>
            </w:r>
          </w:p>
        </w:tc>
        <w:tc>
          <w:tcPr>
            <w:tcW w:w="1853" w:type="pct"/>
            <w:shd w:val="clear" w:color="auto" w:fill="F2F2F2" w:themeFill="background1" w:themeFillShade="F2"/>
            <w:hideMark/>
          </w:tcPr>
          <w:p w14:paraId="4ADF8C69" w14:textId="77777777" w:rsidR="001B6F25" w:rsidRPr="001B44EE" w:rsidRDefault="001B6F25" w:rsidP="00746CF9">
            <w:pPr>
              <w:pStyle w:val="Body"/>
              <w:spacing w:after="0" w:line="240" w:lineRule="auto"/>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Markets</w:t>
            </w:r>
          </w:p>
        </w:tc>
      </w:tr>
      <w:tr w:rsidR="001B6F25" w:rsidRPr="000541BB" w14:paraId="75315446" w14:textId="77777777" w:rsidTr="00746CF9">
        <w:trPr>
          <w:trHeight w:val="453"/>
        </w:trPr>
        <w:tc>
          <w:tcPr>
            <w:tcW w:w="1108" w:type="pct"/>
            <w:hideMark/>
          </w:tcPr>
          <w:p w14:paraId="7B17DC44"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HYT – BE Incentive</w:t>
            </w:r>
          </w:p>
        </w:tc>
        <w:tc>
          <w:tcPr>
            <w:tcW w:w="2039" w:type="pct"/>
            <w:hideMark/>
          </w:tcPr>
          <w:p w14:paraId="5D6A1EB4"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 xml:space="preserve">Incentive </w:t>
            </w:r>
            <w:r w:rsidRPr="001B44EE">
              <w:rPr>
                <w:rFonts w:ascii="Book Antiqua" w:hAnsi="Book Antiqua" w:cs="Arial"/>
                <w:color w:val="000000" w:themeColor="text1"/>
                <w:sz w:val="18"/>
                <w:szCs w:val="18"/>
              </w:rPr>
              <w:t>agents and corporate decision makers</w:t>
            </w:r>
          </w:p>
        </w:tc>
        <w:tc>
          <w:tcPr>
            <w:tcW w:w="1853" w:type="pct"/>
            <w:hideMark/>
          </w:tcPr>
          <w:p w14:paraId="4B28BEED"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New Zealand, China, North America, United Kingdom, South/Southeast Asia</w:t>
            </w:r>
          </w:p>
        </w:tc>
      </w:tr>
      <w:tr w:rsidR="001B6F25" w:rsidRPr="000541BB" w14:paraId="27D316E9" w14:textId="77777777" w:rsidTr="00746CF9">
        <w:trPr>
          <w:trHeight w:val="438"/>
        </w:trPr>
        <w:tc>
          <w:tcPr>
            <w:tcW w:w="1108" w:type="pct"/>
            <w:hideMark/>
          </w:tcPr>
          <w:p w14:paraId="007AFAE5"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HYT – BE Association</w:t>
            </w:r>
          </w:p>
        </w:tc>
        <w:tc>
          <w:tcPr>
            <w:tcW w:w="2039" w:type="pct"/>
            <w:hideMark/>
          </w:tcPr>
          <w:p w14:paraId="08F7C13E"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 xml:space="preserve">Association planners and decision-makers </w:t>
            </w:r>
          </w:p>
        </w:tc>
        <w:tc>
          <w:tcPr>
            <w:tcW w:w="1853" w:type="pct"/>
            <w:hideMark/>
          </w:tcPr>
          <w:p w14:paraId="23BD14C9" w14:textId="77777777" w:rsidR="001B6F25" w:rsidRPr="001B44EE" w:rsidRDefault="001B6F25" w:rsidP="00746CF9">
            <w:pPr>
              <w:pStyle w:val="Body"/>
              <w:spacing w:after="0" w:line="240" w:lineRule="auto"/>
              <w:jc w:val="left"/>
              <w:rPr>
                <w:rFonts w:ascii="Book Antiqua" w:eastAsia="TA Philausophy SemiBold" w:hAnsi="Book Antiqua" w:cs="Arial"/>
                <w:color w:val="000000" w:themeColor="text1"/>
                <w:sz w:val="18"/>
                <w:szCs w:val="18"/>
                <w:lang w:val="en-US"/>
              </w:rPr>
            </w:pPr>
            <w:r w:rsidRPr="001B44EE">
              <w:rPr>
                <w:rFonts w:ascii="Book Antiqua" w:eastAsia="TA Philausophy SemiBold" w:hAnsi="Book Antiqua" w:cs="Arial"/>
                <w:color w:val="000000" w:themeColor="text1"/>
                <w:sz w:val="18"/>
                <w:szCs w:val="18"/>
                <w:lang w:val="en-US"/>
              </w:rPr>
              <w:t>United Kingdom/Europe, North America</w:t>
            </w:r>
          </w:p>
        </w:tc>
      </w:tr>
    </w:tbl>
    <w:p w14:paraId="3DA197F6" w14:textId="77777777" w:rsidR="001B6F25" w:rsidRDefault="001B6F25" w:rsidP="001B6F25">
      <w:pPr>
        <w:spacing w:before="0" w:after="120"/>
      </w:pPr>
    </w:p>
    <w:p w14:paraId="279F1E7A" w14:textId="5B213025" w:rsidR="001B6F25" w:rsidRDefault="001B6F25" w:rsidP="001B6F25">
      <w:pPr>
        <w:spacing w:before="120" w:after="0"/>
        <w:rPr>
          <w:b/>
          <w:bCs/>
        </w:rPr>
      </w:pPr>
      <w:r w:rsidRPr="001B6F25">
        <w:rPr>
          <w:b/>
          <w:bCs/>
        </w:rPr>
        <w:t>Strategic priorities</w:t>
      </w:r>
    </w:p>
    <w:p w14:paraId="7E357488" w14:textId="0BA7E96E" w:rsidR="001B6F25" w:rsidRDefault="001B6F25" w:rsidP="001B6F25">
      <w:pPr>
        <w:spacing w:before="0" w:after="120"/>
      </w:pPr>
      <w:r w:rsidRPr="001B6F25">
        <w:t>Our Horizon One priorities will guide our activities to create demand, convert demand and support Australia’s tourism industry</w:t>
      </w:r>
      <w:r>
        <w:t>.</w:t>
      </w:r>
    </w:p>
    <w:p w14:paraId="1AF97F07" w14:textId="3C9DB23D" w:rsidR="001B6F25" w:rsidRDefault="001B6F25" w:rsidP="001B6F25">
      <w:pPr>
        <w:spacing w:after="120"/>
      </w:pPr>
      <w:r>
        <w:t xml:space="preserve">Our </w:t>
      </w:r>
      <w:r w:rsidRPr="001B6F25">
        <w:t xml:space="preserve">Horizon One strategic priorities are: 1. Marketing to humans and machines; 2. Capitalising on the major events runway; 3. Defining a distinctive luxury positioning for Australia; and </w:t>
      </w:r>
      <w:r w:rsidR="00BD4D4C">
        <w:t>4</w:t>
      </w:r>
      <w:r w:rsidRPr="001B6F25">
        <w:t>. Continuing to showcase Australia’s unrivalled breadth of experiences. Focusing on these priorities will enable us to build competitiveness around emerging audiences, technologies and growth sectors</w:t>
      </w:r>
      <w:r>
        <w:t>.</w:t>
      </w:r>
    </w:p>
    <w:p w14:paraId="112E0FF6" w14:textId="77777777" w:rsidR="001B6F25" w:rsidRDefault="001B6F25" w:rsidP="001B6F25">
      <w:pPr>
        <w:spacing w:after="120"/>
      </w:pPr>
      <w:r>
        <w:t>The following enabling factors will support the delivery of our strategic priorities:</w:t>
      </w:r>
    </w:p>
    <w:p w14:paraId="2F271694" w14:textId="77777777" w:rsidR="001B6F25" w:rsidRDefault="001B6F25" w:rsidP="001B6F25">
      <w:pPr>
        <w:spacing w:after="120"/>
        <w:ind w:left="340" w:firstLine="340"/>
      </w:pPr>
      <w:r>
        <w:t>•</w:t>
      </w:r>
      <w:r>
        <w:tab/>
        <w:t>Engaged and supportive stakeholders</w:t>
      </w:r>
    </w:p>
    <w:p w14:paraId="0999E6D0" w14:textId="77777777" w:rsidR="001B6F25" w:rsidRDefault="001B6F25" w:rsidP="001B6F25">
      <w:pPr>
        <w:spacing w:after="120"/>
        <w:ind w:left="340" w:firstLine="340"/>
      </w:pPr>
      <w:r>
        <w:t>•</w:t>
      </w:r>
      <w:r>
        <w:tab/>
        <w:t>Motivated staff</w:t>
      </w:r>
    </w:p>
    <w:p w14:paraId="70387221" w14:textId="77777777" w:rsidR="001B6F25" w:rsidRDefault="001B6F25" w:rsidP="001B6F25">
      <w:pPr>
        <w:spacing w:after="120"/>
        <w:ind w:left="340" w:firstLine="340"/>
      </w:pPr>
      <w:r>
        <w:t>•</w:t>
      </w:r>
      <w:r>
        <w:tab/>
        <w:t>Sound financial control, value for money and compliant procurement, and</w:t>
      </w:r>
    </w:p>
    <w:p w14:paraId="5955BB61" w14:textId="4C7B3EC6" w:rsidR="001B6F25" w:rsidRDefault="001B6F25" w:rsidP="001B6F25">
      <w:pPr>
        <w:spacing w:after="120"/>
        <w:ind w:left="340" w:firstLine="340"/>
      </w:pPr>
      <w:r>
        <w:t>•</w:t>
      </w:r>
      <w:r>
        <w:tab/>
        <w:t>Robust governance</w:t>
      </w:r>
      <w:r w:rsidR="00C86057">
        <w:t>.</w:t>
      </w:r>
    </w:p>
    <w:p w14:paraId="137AA8D5" w14:textId="0ABB9431" w:rsidR="001B6F25" w:rsidRPr="001B6F25" w:rsidRDefault="001B6F25" w:rsidP="001B6F25">
      <w:pPr>
        <w:spacing w:after="120"/>
      </w:pPr>
      <w:r>
        <w:t xml:space="preserve">Further </w:t>
      </w:r>
      <w:r w:rsidRPr="001B6F25">
        <w:t xml:space="preserve">detail is available in our </w:t>
      </w:r>
      <w:r w:rsidRPr="00596C12">
        <w:t>Corporate Plan 2026</w:t>
      </w:r>
      <w:r w:rsidR="00C1235C" w:rsidRPr="00596C12">
        <w:t>–</w:t>
      </w:r>
      <w:r w:rsidRPr="00596C12">
        <w:t>2030</w:t>
      </w:r>
      <w:r>
        <w:t xml:space="preserve">. </w:t>
      </w:r>
    </w:p>
    <w:p w14:paraId="2649CCCB" w14:textId="77777777" w:rsidR="00E7366F" w:rsidRDefault="00E7366F" w:rsidP="00E7366F">
      <w:pPr>
        <w:pStyle w:val="Heading3"/>
      </w:pPr>
      <w:r w:rsidRPr="0079797F">
        <w:br w:type="page"/>
      </w:r>
      <w:r>
        <w:lastRenderedPageBreak/>
        <w:t>1.2</w:t>
      </w:r>
      <w:r>
        <w:tab/>
        <w:t>Entity resource statement</w:t>
      </w:r>
    </w:p>
    <w:p w14:paraId="78425C30" w14:textId="77777777" w:rsidR="00E7366F" w:rsidRDefault="00E7366F" w:rsidP="00E7366F">
      <w:r>
        <w:t>Table 1.1 shows the total resourcing from all sources available to the entity for its operations and to deliver programs and services on behalf of the Government.</w:t>
      </w:r>
    </w:p>
    <w:p w14:paraId="24D7927A" w14:textId="77777777" w:rsidR="00E7366F" w:rsidRDefault="00E7366F" w:rsidP="00E7366F">
      <w:r>
        <w:t>The table summarises how resources will be applied by outcome (government strategic policy objectives) and by administered (on behalf of the Government or the public) and departmental (for the entity’s operations) classification.</w:t>
      </w:r>
    </w:p>
    <w:p w14:paraId="7D1B21AA" w14:textId="77777777" w:rsidR="00E7366F" w:rsidRDefault="00E7366F" w:rsidP="00E7366F">
      <w:r>
        <w:t xml:space="preserve">For more detailed information on special accounts and special appropriations, please refer to the </w:t>
      </w:r>
      <w:r w:rsidRPr="00412C0B">
        <w:rPr>
          <w:i/>
        </w:rPr>
        <w:t>Budget Paper No. 4 – Agency Resourcing</w:t>
      </w:r>
      <w:r>
        <w:t xml:space="preserve">. </w:t>
      </w:r>
    </w:p>
    <w:p w14:paraId="14E784AD" w14:textId="77777777" w:rsidR="00E7366F" w:rsidRDefault="00E7366F" w:rsidP="00E7366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10D99587" w14:textId="6058C212" w:rsidR="00E7366F" w:rsidRDefault="00E7366F" w:rsidP="00E7366F">
      <w:pPr>
        <w:pStyle w:val="TableHeading"/>
      </w:pPr>
      <w:r>
        <w:br w:type="page"/>
      </w:r>
      <w:r w:rsidRPr="00D44150">
        <w:lastRenderedPageBreak/>
        <w:t xml:space="preserve">Table 1.1: </w:t>
      </w:r>
      <w:r w:rsidR="00EC0A66" w:rsidRPr="00EC0A66">
        <w:t xml:space="preserve">Tourism Australia </w:t>
      </w:r>
      <w:r w:rsidRPr="00D44150">
        <w:t>resource statement</w:t>
      </w:r>
      <w:r>
        <w:t xml:space="preserve"> – Budget estimates for 2026–27 </w:t>
      </w:r>
      <w:r w:rsidRPr="00D44150">
        <w:t xml:space="preserve">as at Budget </w:t>
      </w:r>
      <w:r>
        <w:t>May 2026</w:t>
      </w:r>
    </w:p>
    <w:p w14:paraId="064A03C2" w14:textId="49EEA37A" w:rsidR="00E7366F" w:rsidRDefault="008F2D71" w:rsidP="00E7366F">
      <w:pPr>
        <w:spacing w:before="0" w:after="0" w:line="240" w:lineRule="auto"/>
      </w:pPr>
      <w:r w:rsidRPr="008F2D71">
        <w:rPr>
          <w:noProof/>
        </w:rPr>
        <w:drawing>
          <wp:inline distT="0" distB="0" distL="0" distR="0" wp14:anchorId="21D52C00" wp14:editId="6F4BCC6F">
            <wp:extent cx="4432300" cy="3200400"/>
            <wp:effectExtent l="0" t="0" r="6350" b="0"/>
            <wp:docPr id="3386556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432300" cy="3200400"/>
                    </a:xfrm>
                    <a:prstGeom prst="rect">
                      <a:avLst/>
                    </a:prstGeom>
                    <a:noFill/>
                    <a:ln>
                      <a:noFill/>
                    </a:ln>
                  </pic:spPr>
                </pic:pic>
              </a:graphicData>
            </a:graphic>
          </wp:inline>
        </w:drawing>
      </w:r>
    </w:p>
    <w:p w14:paraId="7E03D6B1" w14:textId="77777777" w:rsidR="00E7366F" w:rsidRDefault="00E7366F" w:rsidP="00E7366F">
      <w:pPr>
        <w:pStyle w:val="ChartandTableFootnote"/>
      </w:pPr>
      <w:r w:rsidRPr="00AF0A7A">
        <w:t>Prepared on a resourcing (that is, appropriations available) basis.</w:t>
      </w:r>
    </w:p>
    <w:p w14:paraId="42FCC1AB" w14:textId="77777777" w:rsidR="00E7366F" w:rsidRPr="00AF0A7A" w:rsidRDefault="00E7366F" w:rsidP="00E7366F">
      <w:pPr>
        <w:pStyle w:val="ChartandTableFootnote"/>
      </w:pPr>
      <w:r w:rsidRPr="00AF0A7A">
        <w:t>All figures shown above are GST exclusive – these may not match figures in the cash flow statement.</w:t>
      </w:r>
    </w:p>
    <w:p w14:paraId="759E881F" w14:textId="141B96FB" w:rsidR="00E7366F" w:rsidRPr="00AF0A7A" w:rsidRDefault="00E7366F" w:rsidP="00707A3D">
      <w:pPr>
        <w:pStyle w:val="ChartandTableFootnoteAlpha"/>
        <w:numPr>
          <w:ilvl w:val="0"/>
          <w:numId w:val="31"/>
        </w:numPr>
      </w:pPr>
      <w:r w:rsidRPr="00C1235C">
        <w:rPr>
          <w:i/>
          <w:iCs/>
        </w:rPr>
        <w:t>Appropriation Bill (No. 1) 2026–2027</w:t>
      </w:r>
      <w:r w:rsidRPr="00AF0A7A">
        <w:t>.</w:t>
      </w:r>
      <w:r w:rsidR="00030B20">
        <w:t xml:space="preserve"> </w:t>
      </w:r>
    </w:p>
    <w:p w14:paraId="5DD906A5" w14:textId="24911E38" w:rsidR="00E7366F" w:rsidRPr="00AF0A7A" w:rsidRDefault="00030B20" w:rsidP="00E7366F">
      <w:pPr>
        <w:pStyle w:val="ChartandTableFootnoteAlpha"/>
      </w:pPr>
      <w:r w:rsidRPr="00030B20">
        <w:t>Funding provided by the portfolio department (Asia Marketing Fund) as payment to Tourism Australia from portfolio department's administered programs</w:t>
      </w:r>
      <w:r w:rsidR="00E7366F" w:rsidRPr="00AF0A7A">
        <w:rPr>
          <w:iCs/>
        </w:rPr>
        <w:t>.</w:t>
      </w:r>
      <w:r>
        <w:rPr>
          <w:iCs/>
        </w:rPr>
        <w:t xml:space="preserve"> </w:t>
      </w:r>
    </w:p>
    <w:p w14:paraId="69E0CBAB" w14:textId="169DEEAC" w:rsidR="00E7366F" w:rsidRPr="00AF0A7A" w:rsidRDefault="00030B20" w:rsidP="00E7366F">
      <w:pPr>
        <w:pStyle w:val="ChartandTableFootnoteAlpha"/>
      </w:pPr>
      <w:r w:rsidRPr="00030B20">
        <w:t>Average Staffing Level (ASL) figures are estimates only</w:t>
      </w:r>
      <w:r>
        <w:t xml:space="preserve">. </w:t>
      </w:r>
    </w:p>
    <w:p w14:paraId="688883F4" w14:textId="77777777" w:rsidR="00030B20" w:rsidRDefault="00030B20" w:rsidP="00E7366F">
      <w:pPr>
        <w:spacing w:before="0" w:after="0" w:line="240" w:lineRule="auto"/>
      </w:pPr>
    </w:p>
    <w:p w14:paraId="2A0D2F9A" w14:textId="1694E100" w:rsidR="00E7366F" w:rsidRPr="00133BCE" w:rsidRDefault="00E7366F" w:rsidP="00E7366F">
      <w:pPr>
        <w:spacing w:before="0" w:after="0" w:line="240" w:lineRule="auto"/>
      </w:pPr>
      <w:r>
        <w:br w:type="page"/>
      </w:r>
    </w:p>
    <w:p w14:paraId="56E80115" w14:textId="77777777" w:rsidR="00E7366F" w:rsidRPr="005A7C0B" w:rsidRDefault="00E7366F" w:rsidP="00E7366F">
      <w:pPr>
        <w:pStyle w:val="Heading3"/>
      </w:pPr>
      <w:r w:rsidRPr="005A7C0B">
        <w:lastRenderedPageBreak/>
        <w:t>1.3</w:t>
      </w:r>
      <w:r w:rsidRPr="005A7C0B">
        <w:tab/>
        <w:t>Budget measures</w:t>
      </w:r>
    </w:p>
    <w:p w14:paraId="1D7E702D" w14:textId="552B1A7B" w:rsidR="00E7366F" w:rsidRDefault="00E7366F" w:rsidP="00E7366F">
      <w:r w:rsidRPr="00DC32EC">
        <w:t xml:space="preserve">Budget measures </w:t>
      </w:r>
      <w:r>
        <w:t xml:space="preserve">in Part 1 </w:t>
      </w:r>
      <w:r w:rsidRPr="00DC32EC">
        <w:t>relating to</w:t>
      </w:r>
      <w:r>
        <w:t xml:space="preserve"> </w:t>
      </w:r>
      <w:r w:rsidR="00EC0A66" w:rsidRPr="00EC0A66">
        <w:t xml:space="preserve">Tourism Australia </w:t>
      </w:r>
      <w:r w:rsidRPr="00DC32EC">
        <w:t>a</w:t>
      </w:r>
      <w:r>
        <w:t>re detailed in the Budget Paper No. </w:t>
      </w:r>
      <w:r w:rsidRPr="00DC32EC">
        <w:t>2</w:t>
      </w:r>
      <w:r>
        <w:t xml:space="preserve"> and are summarised below.</w:t>
      </w:r>
    </w:p>
    <w:p w14:paraId="16A23741" w14:textId="77777777" w:rsidR="00E7366F" w:rsidRPr="009A40DD" w:rsidRDefault="00E7366F" w:rsidP="00E7366F">
      <w:pPr>
        <w:pStyle w:val="TableHeading"/>
      </w:pPr>
      <w:r w:rsidRPr="009A40DD">
        <w:t>Table 1.2: Entity</w:t>
      </w:r>
      <w:r>
        <w:t xml:space="preserve"> 2026–27 </w:t>
      </w:r>
      <w:r w:rsidRPr="009A40DD">
        <w:t>Budget measures</w:t>
      </w:r>
    </w:p>
    <w:p w14:paraId="682E8856" w14:textId="3B9868E0" w:rsidR="00E7366F" w:rsidRPr="008A4A25" w:rsidRDefault="00E7366F" w:rsidP="00E7366F">
      <w:pPr>
        <w:pStyle w:val="TableHeading"/>
        <w:rPr>
          <w:rFonts w:ascii="Arial Bold" w:hAnsi="Arial Bold"/>
        </w:rPr>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2025–26 Mid-Year Economic and Fiscal Outlook (MYEFO)</w:t>
      </w:r>
      <w:r>
        <w:rPr>
          <w:rFonts w:ascii="Book Antiqua" w:hAnsi="Book Antiqua"/>
        </w:rPr>
        <w:fldChar w:fldCharType="begin" w:fldLock="1"/>
      </w:r>
      <w:r>
        <w:instrText xml:space="preserve"> LINK Excel.Sheet.12 "\\\\fs10\\csg_h$\\MCD\\Publishing\\Graphic Design Services Team\\Projects\\2025\\Budget 2025-26\\04 PBS 2025-26\\1. PBS 2025-26 TEMPLATES + SHELLS\\Supplied\\EM 2025-XX - Attachment B - 2025-26 PBS Excel Tables.xlsx" "Table 1.2!R3C1:R21C7" \a \f 4 \h  \* MERGEFORMAT </w:instrText>
      </w:r>
      <w:r>
        <w:rPr>
          <w:rFonts w:ascii="Book Antiqua" w:hAnsi="Book Antiqua"/>
        </w:rPr>
        <w:fldChar w:fldCharType="separate"/>
      </w:r>
      <w:r>
        <w:rPr>
          <w:rFonts w:ascii="Arial Bold" w:hAnsi="Arial Bold"/>
        </w:rPr>
        <w:fldChar w:fldCharType="end"/>
      </w:r>
    </w:p>
    <w:p w14:paraId="5C312F45" w14:textId="24859F51" w:rsidR="00E7366F" w:rsidRPr="008A4A25" w:rsidRDefault="0031538F" w:rsidP="00E7366F">
      <w:pPr>
        <w:pStyle w:val="TableGraphic"/>
        <w:rPr>
          <w:rFonts w:ascii="Arial Bold" w:hAnsi="Arial Bold"/>
          <w:bCs/>
        </w:rPr>
      </w:pPr>
      <w:r w:rsidRPr="0031538F">
        <w:rPr>
          <w:noProof/>
        </w:rPr>
        <w:drawing>
          <wp:inline distT="0" distB="0" distL="0" distR="0" wp14:anchorId="41A05D93" wp14:editId="2713252B">
            <wp:extent cx="4612005" cy="1725295"/>
            <wp:effectExtent l="0" t="0" r="0" b="8255"/>
            <wp:docPr id="17634923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12005" cy="1725295"/>
                    </a:xfrm>
                    <a:prstGeom prst="rect">
                      <a:avLst/>
                    </a:prstGeom>
                    <a:noFill/>
                    <a:ln>
                      <a:noFill/>
                    </a:ln>
                  </pic:spPr>
                </pic:pic>
              </a:graphicData>
            </a:graphic>
          </wp:inline>
        </w:drawing>
      </w:r>
    </w:p>
    <w:p w14:paraId="65EF56B6" w14:textId="77777777" w:rsidR="00E7366F" w:rsidRPr="00704BB6" w:rsidRDefault="00E7366F" w:rsidP="00E7366F">
      <w:pPr>
        <w:pStyle w:val="ChartandTableFootnote"/>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2C89CFD8" w14:textId="57134A0B" w:rsidR="0032215E" w:rsidRDefault="0032215E" w:rsidP="0032215E">
      <w:pPr>
        <w:pStyle w:val="ChartandTableFootnoteAlpha"/>
        <w:numPr>
          <w:ilvl w:val="0"/>
          <w:numId w:val="60"/>
        </w:numPr>
      </w:pPr>
      <w:r w:rsidRPr="0032215E">
        <w:t xml:space="preserve">The full measure description and package details appear in the Budget Paper No. 2 under Cross </w:t>
      </w:r>
      <w:r>
        <w:t>P</w:t>
      </w:r>
      <w:r w:rsidRPr="0032215E">
        <w:t>ortfolio.</w:t>
      </w:r>
    </w:p>
    <w:p w14:paraId="4DB040B9" w14:textId="77777777" w:rsidR="00E7366F" w:rsidRDefault="00E7366F" w:rsidP="00E7366F">
      <w:pPr>
        <w:spacing w:before="0" w:after="0" w:line="240" w:lineRule="auto"/>
      </w:pPr>
      <w:r>
        <w:br w:type="page"/>
      </w:r>
    </w:p>
    <w:p w14:paraId="7DAFCC4D" w14:textId="77777777" w:rsidR="00E7366F" w:rsidRPr="00810C6A" w:rsidRDefault="00E7366F" w:rsidP="00E7366F">
      <w:pPr>
        <w:pStyle w:val="Heading2"/>
      </w:pPr>
      <w:r w:rsidRPr="00810C6A">
        <w:lastRenderedPageBreak/>
        <w:t>Section 2: Outcomes and planned performance</w:t>
      </w:r>
    </w:p>
    <w:p w14:paraId="5C3D90AB" w14:textId="77777777" w:rsidR="00E7366F" w:rsidRPr="005E6F2B" w:rsidRDefault="00E7366F" w:rsidP="00E7366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0E3E323" w14:textId="0C5A9180" w:rsidR="00E7366F" w:rsidRPr="00EC0A66" w:rsidRDefault="00E7366F" w:rsidP="00E7366F">
      <w:pPr>
        <w:rPr>
          <w:i/>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7366F" w:rsidRPr="001C6402" w14:paraId="7BB3A27E" w14:textId="77777777" w:rsidTr="00FF7B23">
        <w:tc>
          <w:tcPr>
            <w:tcW w:w="7700" w:type="dxa"/>
          </w:tcPr>
          <w:p w14:paraId="018D8897" w14:textId="77777777" w:rsidR="00E7366F" w:rsidRPr="001C6402" w:rsidRDefault="00E7366F" w:rsidP="00FF7B23">
            <w:pPr>
              <w:spacing w:before="120" w:after="120" w:line="240" w:lineRule="auto"/>
              <w:jc w:val="both"/>
              <w:rPr>
                <w:b/>
              </w:rPr>
            </w:pPr>
            <w:r w:rsidRPr="001C6402">
              <w:rPr>
                <w:b/>
              </w:rPr>
              <w:t>Note:</w:t>
            </w:r>
          </w:p>
          <w:p w14:paraId="2DBDB849" w14:textId="77777777" w:rsidR="00E7366F" w:rsidRPr="001C6402" w:rsidRDefault="00E7366F" w:rsidP="00FF7B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6253A189" w14:textId="0879B8DA" w:rsidR="00E7366F" w:rsidRPr="001C6402" w:rsidRDefault="00E7366F" w:rsidP="00FF7B23">
            <w:r w:rsidRPr="001C6402">
              <w:t xml:space="preserve">The most recent corporate plan for </w:t>
            </w:r>
            <w:r w:rsidR="00EC0A66" w:rsidRPr="00EC0A66">
              <w:t xml:space="preserve">Tourism Australia </w:t>
            </w:r>
            <w:r w:rsidRPr="001C6402">
              <w:t xml:space="preserve">can be found at: </w:t>
            </w:r>
            <w:hyperlink r:id="rId174" w:history="1">
              <w:r w:rsidR="00EC0A66" w:rsidRPr="00EC0A66">
                <w:rPr>
                  <w:rStyle w:val="Hyperlink"/>
                </w:rPr>
                <w:t>https://www.tourism.australia.com/en/about/our-organisation/our-performance-and-reporting.html</w:t>
              </w:r>
            </w:hyperlink>
            <w:r w:rsidRPr="001C6402">
              <w:t>.</w:t>
            </w:r>
          </w:p>
          <w:p w14:paraId="3D68E205" w14:textId="772B2F8F" w:rsidR="00E7366F" w:rsidRPr="001C6402" w:rsidRDefault="00E7366F" w:rsidP="00FF7B23">
            <w:r w:rsidRPr="001C6402">
              <w:t xml:space="preserve">The most recent annual performance statement can be found at: </w:t>
            </w:r>
            <w:hyperlink r:id="rId175" w:history="1">
              <w:r w:rsidR="00EC0A66" w:rsidRPr="00EC0A66">
                <w:rPr>
                  <w:rStyle w:val="Hyperlink"/>
                </w:rPr>
                <w:t>https://www.tourism.australia.com/en/about/our-organisation/our-performance-and-reporting.html</w:t>
              </w:r>
            </w:hyperlink>
            <w:r w:rsidRPr="001C6402">
              <w:t>.</w:t>
            </w:r>
          </w:p>
        </w:tc>
      </w:tr>
    </w:tbl>
    <w:p w14:paraId="356DC352" w14:textId="77777777" w:rsidR="00E7366F" w:rsidRDefault="00E7366F" w:rsidP="00E7366F">
      <w:pPr>
        <w:spacing w:before="0" w:after="0" w:line="240" w:lineRule="auto"/>
        <w:rPr>
          <w:rFonts w:ascii="Arial Bold" w:hAnsi="Arial Bold"/>
          <w:b/>
          <w:sz w:val="22"/>
        </w:rPr>
      </w:pPr>
      <w:r>
        <w:br w:type="page"/>
      </w:r>
    </w:p>
    <w:p w14:paraId="4EEAEAE4" w14:textId="7854727B" w:rsidR="00E7366F" w:rsidRPr="00F743D8" w:rsidRDefault="00E7366F" w:rsidP="00E7366F">
      <w:pPr>
        <w:pStyle w:val="Heading3"/>
      </w:pPr>
      <w:r>
        <w:lastRenderedPageBreak/>
        <w:t>2.1</w:t>
      </w:r>
      <w:r w:rsidRPr="00F743D8">
        <w:t xml:space="preserve"> </w:t>
      </w:r>
      <w:r w:rsidRPr="00F743D8">
        <w:tab/>
        <w:t xml:space="preserve">Budgeted expenses and performance for Outcome </w:t>
      </w:r>
      <w:r w:rsidR="00EC0A66">
        <w:t>1</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7366F" w:rsidRPr="0069545F" w14:paraId="74B8553E" w14:textId="77777777" w:rsidTr="00FF7B23">
        <w:tc>
          <w:tcPr>
            <w:tcW w:w="7704" w:type="dxa"/>
            <w:shd w:val="clear" w:color="auto" w:fill="E6E6E6"/>
          </w:tcPr>
          <w:p w14:paraId="25421F52" w14:textId="5C0E6AFB" w:rsidR="00E7366F" w:rsidRPr="0069545F" w:rsidRDefault="00E7366F" w:rsidP="00FF7B23">
            <w:pPr>
              <w:pStyle w:val="TableColumnHeadingLeft"/>
            </w:pPr>
            <w:r w:rsidRPr="0069545F">
              <w:t xml:space="preserve">Outcome </w:t>
            </w:r>
            <w:r w:rsidR="00EC0A66">
              <w:t>1</w:t>
            </w:r>
            <w:r w:rsidRPr="0069545F">
              <w:t xml:space="preserve">: </w:t>
            </w:r>
            <w:r w:rsidR="00EC0A66" w:rsidRPr="00EC0A66">
              <w:t>Grow demand and foster a competitive and sustainable Australian tourism industry through partnership marketing to targeted global consumers in key markets</w:t>
            </w:r>
            <w:r w:rsidR="00EC0A66">
              <w:t xml:space="preserve">. </w:t>
            </w:r>
          </w:p>
        </w:tc>
      </w:tr>
    </w:tbl>
    <w:p w14:paraId="5EAB1E2A" w14:textId="77777777" w:rsidR="00E7366F" w:rsidRPr="0069545F" w:rsidRDefault="00E7366F" w:rsidP="00E7366F">
      <w:pPr>
        <w:pStyle w:val="SingleParagraph"/>
      </w:pPr>
    </w:p>
    <w:p w14:paraId="65B107CC" w14:textId="77777777" w:rsidR="00E7366F" w:rsidRPr="00133BCE" w:rsidRDefault="00E7366F" w:rsidP="00E7366F">
      <w:pPr>
        <w:pStyle w:val="Heading4"/>
      </w:pPr>
      <w:r w:rsidRPr="0069545F">
        <w:t xml:space="preserve">Linked programs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700"/>
      </w:tblGrid>
      <w:tr w:rsidR="00A73414" w:rsidRPr="00A76734" w14:paraId="3EBD4828" w14:textId="77777777" w:rsidTr="00970CCA">
        <w:trPr>
          <w:trHeight w:val="113"/>
          <w:tblHeader/>
        </w:trPr>
        <w:tc>
          <w:tcPr>
            <w:tcW w:w="7700" w:type="dxa"/>
            <w:tcBorders>
              <w:bottom w:val="dotted" w:sz="4" w:space="0" w:color="000000"/>
            </w:tcBorders>
          </w:tcPr>
          <w:p w14:paraId="0F0144E9" w14:textId="77777777" w:rsidR="00A73414" w:rsidRPr="00FC6D18" w:rsidRDefault="00A73414" w:rsidP="005B1BFD">
            <w:pPr>
              <w:pStyle w:val="BoxHeading"/>
              <w:spacing w:before="40" w:after="40"/>
              <w:rPr>
                <w:rFonts w:cs="Arial"/>
                <w:bCs/>
                <w:i/>
                <w:color w:val="000000" w:themeColor="text1"/>
                <w:sz w:val="16"/>
                <w:szCs w:val="16"/>
              </w:rPr>
            </w:pPr>
            <w:r w:rsidRPr="00FC6D18">
              <w:rPr>
                <w:rFonts w:ascii="Arial Bold" w:hAnsi="Arial Bold"/>
                <w:sz w:val="16"/>
                <w:szCs w:val="16"/>
              </w:rPr>
              <w:t>Department of Foreign Affairs and Trade</w:t>
            </w:r>
          </w:p>
        </w:tc>
      </w:tr>
      <w:tr w:rsidR="00A73414" w:rsidRPr="00A76734" w14:paraId="64EF633C" w14:textId="77777777" w:rsidTr="00970CCA">
        <w:trPr>
          <w:trHeight w:val="113"/>
          <w:tblHeader/>
        </w:trPr>
        <w:tc>
          <w:tcPr>
            <w:tcW w:w="7700" w:type="dxa"/>
            <w:tcBorders>
              <w:top w:val="dotted" w:sz="4" w:space="0" w:color="000000"/>
            </w:tcBorders>
          </w:tcPr>
          <w:p w14:paraId="7E85F221" w14:textId="77777777" w:rsidR="00A73414" w:rsidRPr="00FC6D18" w:rsidRDefault="00A73414" w:rsidP="005B1BFD">
            <w:pPr>
              <w:pStyle w:val="BoxHeading"/>
              <w:spacing w:before="40" w:after="40"/>
              <w:rPr>
                <w:rFonts w:cs="Arial"/>
                <w:bCs/>
                <w:color w:val="000000" w:themeColor="text1"/>
                <w:sz w:val="16"/>
                <w:szCs w:val="16"/>
              </w:rPr>
            </w:pPr>
            <w:r w:rsidRPr="00FC6D18">
              <w:rPr>
                <w:rFonts w:cs="Arial"/>
                <w:bCs/>
                <w:color w:val="000000" w:themeColor="text1"/>
                <w:sz w:val="16"/>
                <w:szCs w:val="16"/>
              </w:rPr>
              <w:t>Programs</w:t>
            </w:r>
          </w:p>
          <w:p w14:paraId="73A6E6C1" w14:textId="77777777" w:rsidR="00A73414" w:rsidRPr="00FC6D18" w:rsidRDefault="00A73414" w:rsidP="00707A3D">
            <w:pPr>
              <w:pStyle w:val="BoxHeading"/>
              <w:numPr>
                <w:ilvl w:val="0"/>
                <w:numId w:val="36"/>
              </w:numPr>
              <w:spacing w:before="40" w:after="40"/>
              <w:ind w:left="284" w:hanging="284"/>
              <w:rPr>
                <w:rFonts w:cs="Arial"/>
                <w:b w:val="0"/>
                <w:color w:val="000000" w:themeColor="text1"/>
                <w:sz w:val="16"/>
                <w:szCs w:val="16"/>
              </w:rPr>
            </w:pPr>
            <w:r w:rsidRPr="00FC6D18">
              <w:rPr>
                <w:rFonts w:cs="Arial"/>
                <w:b w:val="0"/>
                <w:color w:val="000000" w:themeColor="text1"/>
                <w:sz w:val="16"/>
                <w:szCs w:val="16"/>
              </w:rPr>
              <w:t>Program 1.7 – Programs to promote Australia’s international tourism interests</w:t>
            </w:r>
          </w:p>
        </w:tc>
      </w:tr>
      <w:tr w:rsidR="00A73414" w:rsidRPr="00A76734" w14:paraId="79A2D29E" w14:textId="77777777" w:rsidTr="00970CCA">
        <w:trPr>
          <w:trHeight w:val="113"/>
          <w:tblHeader/>
        </w:trPr>
        <w:tc>
          <w:tcPr>
            <w:tcW w:w="7700" w:type="dxa"/>
            <w:tcBorders>
              <w:bottom w:val="single" w:sz="4" w:space="0" w:color="000000"/>
            </w:tcBorders>
          </w:tcPr>
          <w:p w14:paraId="4EBEEF01" w14:textId="77777777" w:rsidR="00A73414" w:rsidRPr="00EC1748" w:rsidRDefault="00A73414" w:rsidP="00EC1748">
            <w:pPr>
              <w:spacing w:before="60" w:after="60" w:line="240" w:lineRule="auto"/>
              <w:rPr>
                <w:rStyle w:val="ExampletextCharChar"/>
                <w:rFonts w:ascii="Arial" w:hAnsi="Arial" w:cs="Arial"/>
                <w:b/>
                <w:i w:val="0"/>
                <w:iCs/>
                <w:color w:val="000000" w:themeColor="text1"/>
                <w:sz w:val="16"/>
                <w:szCs w:val="16"/>
              </w:rPr>
            </w:pPr>
            <w:r w:rsidRPr="00EC1748">
              <w:rPr>
                <w:rStyle w:val="ExampletextCharChar"/>
                <w:rFonts w:ascii="Arial" w:hAnsi="Arial" w:cs="Arial"/>
                <w:b/>
                <w:i w:val="0"/>
                <w:iCs/>
                <w:color w:val="000000" w:themeColor="text1"/>
                <w:sz w:val="16"/>
                <w:szCs w:val="16"/>
              </w:rPr>
              <w:t>Contribution to Outcome 1 made by linked programs</w:t>
            </w:r>
          </w:p>
          <w:p w14:paraId="0DE3DD05" w14:textId="77777777" w:rsidR="00A73414" w:rsidRPr="00EC1748" w:rsidRDefault="00A73414" w:rsidP="00EC1748">
            <w:pPr>
              <w:spacing w:before="60" w:after="60" w:line="240" w:lineRule="auto"/>
              <w:rPr>
                <w:rStyle w:val="ExampletextCharChar"/>
                <w:rFonts w:ascii="Arial" w:hAnsi="Arial" w:cs="Arial"/>
                <w:bCs/>
                <w:i w:val="0"/>
                <w:color w:val="000000" w:themeColor="text1"/>
                <w:sz w:val="16"/>
                <w:szCs w:val="16"/>
              </w:rPr>
            </w:pPr>
            <w:r w:rsidRPr="00EC1748">
              <w:rPr>
                <w:rStyle w:val="ExampletextCharChar"/>
                <w:rFonts w:ascii="Arial" w:hAnsi="Arial"/>
                <w:bCs/>
                <w:i w:val="0"/>
                <w:color w:val="000000" w:themeColor="text1"/>
                <w:sz w:val="16"/>
              </w:rPr>
              <w:t>The program provides funding to Tourism Australia to deliver Outcome 1.</w:t>
            </w:r>
          </w:p>
        </w:tc>
      </w:tr>
      <w:tr w:rsidR="00A73414" w:rsidRPr="00A76734" w14:paraId="4C8A062D" w14:textId="77777777" w:rsidTr="00970CCA">
        <w:trPr>
          <w:trHeight w:val="113"/>
          <w:tblHeader/>
        </w:trPr>
        <w:tc>
          <w:tcPr>
            <w:tcW w:w="7700" w:type="dxa"/>
            <w:tcBorders>
              <w:bottom w:val="dotted" w:sz="4" w:space="0" w:color="000000"/>
            </w:tcBorders>
          </w:tcPr>
          <w:p w14:paraId="7676F460" w14:textId="77777777" w:rsidR="00A73414" w:rsidRPr="005B1BFD" w:rsidRDefault="00A73414" w:rsidP="005B1BFD">
            <w:pPr>
              <w:pStyle w:val="BoxHeading"/>
              <w:spacing w:before="40" w:after="40"/>
              <w:rPr>
                <w:rFonts w:ascii="Arial Bold" w:hAnsi="Arial Bold"/>
                <w:sz w:val="16"/>
                <w:szCs w:val="16"/>
              </w:rPr>
            </w:pPr>
            <w:r w:rsidRPr="00FC6D18">
              <w:rPr>
                <w:rFonts w:ascii="Arial Bold" w:hAnsi="Arial Bold"/>
                <w:sz w:val="16"/>
                <w:szCs w:val="16"/>
              </w:rPr>
              <w:t>Australian Trade and Investment Commission</w:t>
            </w:r>
            <w:r w:rsidRPr="005B1BFD">
              <w:rPr>
                <w:rFonts w:ascii="Arial Bold" w:hAnsi="Arial Bold"/>
                <w:sz w:val="16"/>
                <w:szCs w:val="16"/>
              </w:rPr>
              <w:t xml:space="preserve"> </w:t>
            </w:r>
          </w:p>
        </w:tc>
      </w:tr>
      <w:tr w:rsidR="00A73414" w:rsidRPr="00A76734" w14:paraId="3695A673" w14:textId="77777777" w:rsidTr="00970CCA">
        <w:trPr>
          <w:trHeight w:val="113"/>
          <w:tblHeader/>
        </w:trPr>
        <w:tc>
          <w:tcPr>
            <w:tcW w:w="7700" w:type="dxa"/>
            <w:tcBorders>
              <w:top w:val="dotted" w:sz="4" w:space="0" w:color="000000"/>
            </w:tcBorders>
          </w:tcPr>
          <w:p w14:paraId="661BDD90" w14:textId="77777777" w:rsidR="00A73414" w:rsidRPr="00FC6D18" w:rsidRDefault="00A73414" w:rsidP="005B1BFD">
            <w:pPr>
              <w:pStyle w:val="BoxHeading"/>
              <w:spacing w:before="40" w:after="40"/>
              <w:rPr>
                <w:rStyle w:val="ExampletextCharChar"/>
                <w:rFonts w:ascii="Arial" w:hAnsi="Arial" w:cs="Arial"/>
                <w:bCs/>
                <w:i w:val="0"/>
                <w:iCs/>
                <w:color w:val="000000" w:themeColor="text1"/>
                <w:sz w:val="16"/>
                <w:szCs w:val="16"/>
              </w:rPr>
            </w:pPr>
            <w:r w:rsidRPr="00FC6D18">
              <w:rPr>
                <w:rStyle w:val="ExampletextCharChar"/>
                <w:rFonts w:ascii="Arial" w:hAnsi="Arial" w:cs="Arial"/>
                <w:bCs/>
                <w:i w:val="0"/>
                <w:iCs/>
                <w:color w:val="000000" w:themeColor="text1"/>
                <w:sz w:val="16"/>
                <w:szCs w:val="16"/>
              </w:rPr>
              <w:t>Programs</w:t>
            </w:r>
          </w:p>
          <w:p w14:paraId="560FC8C2" w14:textId="77777777" w:rsidR="00A73414" w:rsidRPr="00FC6D18" w:rsidRDefault="00A73414" w:rsidP="00707A3D">
            <w:pPr>
              <w:pStyle w:val="ListParagraph"/>
              <w:numPr>
                <w:ilvl w:val="0"/>
                <w:numId w:val="35"/>
              </w:numPr>
              <w:spacing w:before="40" w:after="40" w:line="240" w:lineRule="auto"/>
              <w:ind w:left="284" w:hanging="284"/>
              <w:rPr>
                <w:rStyle w:val="ExampletextCharChar"/>
                <w:rFonts w:ascii="Arial" w:hAnsi="Arial" w:cs="Arial"/>
                <w:i w:val="0"/>
                <w:color w:val="000000" w:themeColor="text1"/>
                <w:sz w:val="16"/>
                <w:szCs w:val="16"/>
              </w:rPr>
            </w:pPr>
            <w:r w:rsidRPr="00FC6D18">
              <w:rPr>
                <w:rStyle w:val="ExampletextCharChar"/>
                <w:rFonts w:ascii="Arial" w:hAnsi="Arial" w:cs="Arial"/>
                <w:i w:val="0"/>
                <w:iCs/>
                <w:color w:val="000000" w:themeColor="text1"/>
                <w:sz w:val="16"/>
                <w:szCs w:val="16"/>
              </w:rPr>
              <w:t>Program 1.</w:t>
            </w:r>
            <w:r w:rsidRPr="00FC6D18">
              <w:rPr>
                <w:rStyle w:val="ExampletextCharChar"/>
                <w:rFonts w:ascii="Arial" w:hAnsi="Arial" w:cs="Arial"/>
                <w:color w:val="000000" w:themeColor="text1"/>
                <w:sz w:val="16"/>
                <w:szCs w:val="16"/>
              </w:rPr>
              <w:t xml:space="preserve">2 – </w:t>
            </w:r>
            <w:r w:rsidRPr="00FC6D18">
              <w:rPr>
                <w:rFonts w:ascii="Arial" w:hAnsi="Arial" w:cs="Arial"/>
                <w:color w:val="000000" w:themeColor="text1"/>
                <w:sz w:val="16"/>
                <w:szCs w:val="16"/>
              </w:rPr>
              <w:t>Programs to support Australian exporters to expand internationally, attract productive international investment, and grow the visitor economy</w:t>
            </w:r>
          </w:p>
        </w:tc>
      </w:tr>
      <w:tr w:rsidR="00A73414" w:rsidRPr="00A76734" w14:paraId="6BDF3A40" w14:textId="77777777" w:rsidTr="00970CCA">
        <w:trPr>
          <w:trHeight w:val="113"/>
          <w:tblHeader/>
        </w:trPr>
        <w:tc>
          <w:tcPr>
            <w:tcW w:w="7700" w:type="dxa"/>
            <w:tcBorders>
              <w:bottom w:val="single" w:sz="4" w:space="0" w:color="000000"/>
            </w:tcBorders>
          </w:tcPr>
          <w:p w14:paraId="261F59CD" w14:textId="77777777" w:rsidR="00A73414" w:rsidRPr="00EC1748" w:rsidRDefault="00A73414" w:rsidP="00EC1748">
            <w:pPr>
              <w:spacing w:before="60" w:after="60" w:line="240" w:lineRule="auto"/>
              <w:rPr>
                <w:rStyle w:val="ExampletextCharChar"/>
                <w:rFonts w:ascii="Arial" w:hAnsi="Arial" w:cs="Arial"/>
                <w:b/>
                <w:i w:val="0"/>
                <w:iCs/>
                <w:color w:val="000000" w:themeColor="text1"/>
                <w:sz w:val="16"/>
                <w:szCs w:val="16"/>
              </w:rPr>
            </w:pPr>
            <w:r w:rsidRPr="00EC1748">
              <w:rPr>
                <w:rStyle w:val="ExampletextCharChar"/>
                <w:rFonts w:ascii="Arial" w:hAnsi="Arial" w:cs="Arial"/>
                <w:b/>
                <w:i w:val="0"/>
                <w:iCs/>
                <w:color w:val="000000" w:themeColor="text1"/>
                <w:sz w:val="16"/>
                <w:szCs w:val="16"/>
              </w:rPr>
              <w:t>Contribution to Outcome 1 made by linked programs</w:t>
            </w:r>
          </w:p>
          <w:p w14:paraId="1BC4E704" w14:textId="77777777" w:rsidR="00A73414" w:rsidRPr="00EC1748" w:rsidRDefault="00A73414" w:rsidP="00EC1748">
            <w:pPr>
              <w:spacing w:before="60" w:after="60" w:line="240" w:lineRule="auto"/>
              <w:rPr>
                <w:rStyle w:val="ExampletextCharChar"/>
                <w:rFonts w:ascii="Arial" w:hAnsi="Arial" w:cs="Arial"/>
                <w:bCs/>
                <w:i w:val="0"/>
                <w:color w:val="000000" w:themeColor="text1"/>
                <w:sz w:val="16"/>
                <w:szCs w:val="16"/>
              </w:rPr>
            </w:pPr>
            <w:r w:rsidRPr="00EC1748">
              <w:rPr>
                <w:rStyle w:val="ExampletextCharChar"/>
                <w:rFonts w:ascii="Arial" w:hAnsi="Arial"/>
                <w:bCs/>
                <w:i w:val="0"/>
                <w:color w:val="000000" w:themeColor="text1"/>
                <w:sz w:val="16"/>
              </w:rPr>
              <w:t>Austrade has Commonwealth responsibility for tourism policy and programs, as well as issuing official tourism statistics through Tourism Research Australia. Austrade provides information to Tourism Australia to promote the export of Australian tourism services, contributing to Australia’s prosperity.</w:t>
            </w:r>
          </w:p>
        </w:tc>
      </w:tr>
      <w:tr w:rsidR="00A73414" w:rsidRPr="00A76734" w14:paraId="0F7AFF6E" w14:textId="77777777" w:rsidTr="00970CCA">
        <w:trPr>
          <w:trHeight w:val="113"/>
          <w:tblHeader/>
        </w:trPr>
        <w:tc>
          <w:tcPr>
            <w:tcW w:w="7700" w:type="dxa"/>
            <w:tcBorders>
              <w:bottom w:val="dotted" w:sz="4" w:space="0" w:color="000000"/>
            </w:tcBorders>
          </w:tcPr>
          <w:p w14:paraId="6DCA931F" w14:textId="77777777" w:rsidR="00A73414" w:rsidRPr="005B1BFD" w:rsidRDefault="00A73414" w:rsidP="005B1BFD">
            <w:pPr>
              <w:pStyle w:val="BoxHeading"/>
              <w:spacing w:before="40" w:after="40"/>
              <w:rPr>
                <w:rFonts w:ascii="Arial Bold" w:hAnsi="Arial Bold"/>
                <w:sz w:val="16"/>
                <w:szCs w:val="16"/>
              </w:rPr>
            </w:pPr>
            <w:r w:rsidRPr="00FC6D18">
              <w:rPr>
                <w:rFonts w:ascii="Arial Bold" w:hAnsi="Arial Bold"/>
                <w:sz w:val="16"/>
                <w:szCs w:val="16"/>
              </w:rPr>
              <w:t>Department of Home Affairs</w:t>
            </w:r>
          </w:p>
        </w:tc>
      </w:tr>
      <w:tr w:rsidR="00A73414" w:rsidRPr="00A76734" w14:paraId="4FCE5888" w14:textId="77777777" w:rsidTr="00970CCA">
        <w:trPr>
          <w:trHeight w:val="113"/>
          <w:tblHeader/>
        </w:trPr>
        <w:tc>
          <w:tcPr>
            <w:tcW w:w="7700" w:type="dxa"/>
            <w:tcBorders>
              <w:top w:val="dotted" w:sz="4" w:space="0" w:color="000000"/>
            </w:tcBorders>
          </w:tcPr>
          <w:p w14:paraId="7CA5D97A" w14:textId="77777777" w:rsidR="00A73414" w:rsidRPr="00FC6D18" w:rsidRDefault="00A73414" w:rsidP="005B1BFD">
            <w:pPr>
              <w:pStyle w:val="BoxHeading"/>
              <w:spacing w:before="40" w:after="40"/>
              <w:rPr>
                <w:rFonts w:cs="Arial"/>
                <w:bCs/>
                <w:color w:val="000000" w:themeColor="text1"/>
                <w:sz w:val="16"/>
                <w:szCs w:val="16"/>
              </w:rPr>
            </w:pPr>
            <w:r w:rsidRPr="00FC6D18">
              <w:rPr>
                <w:rFonts w:cs="Arial"/>
                <w:bCs/>
                <w:color w:val="000000" w:themeColor="text1"/>
                <w:sz w:val="16"/>
                <w:szCs w:val="16"/>
              </w:rPr>
              <w:t>Programs</w:t>
            </w:r>
          </w:p>
          <w:p w14:paraId="01951835" w14:textId="77777777" w:rsidR="00A73414" w:rsidRPr="00FC6D18" w:rsidRDefault="00A73414" w:rsidP="00707A3D">
            <w:pPr>
              <w:pStyle w:val="ListParagraph"/>
              <w:numPr>
                <w:ilvl w:val="0"/>
                <w:numId w:val="35"/>
              </w:numPr>
              <w:spacing w:before="40" w:after="40" w:line="240" w:lineRule="auto"/>
              <w:ind w:left="284" w:hanging="284"/>
              <w:jc w:val="both"/>
              <w:rPr>
                <w:rStyle w:val="ExampletextCharChar"/>
                <w:rFonts w:ascii="Arial" w:hAnsi="Arial" w:cs="Arial"/>
                <w:i w:val="0"/>
                <w:color w:val="000000" w:themeColor="text1"/>
                <w:sz w:val="16"/>
                <w:szCs w:val="16"/>
              </w:rPr>
            </w:pPr>
            <w:r w:rsidRPr="00FC6D18">
              <w:rPr>
                <w:rFonts w:ascii="Arial" w:hAnsi="Arial" w:cs="Arial"/>
                <w:color w:val="000000" w:themeColor="text1"/>
                <w:sz w:val="16"/>
                <w:szCs w:val="16"/>
              </w:rPr>
              <w:t xml:space="preserve">Program 3.1 </w:t>
            </w:r>
            <w:r w:rsidRPr="00FC6D18">
              <w:rPr>
                <w:rStyle w:val="ExampletextCharChar"/>
                <w:rFonts w:ascii="Arial" w:hAnsi="Arial" w:cs="Arial"/>
                <w:color w:val="000000" w:themeColor="text1"/>
                <w:sz w:val="16"/>
                <w:szCs w:val="16"/>
              </w:rPr>
              <w:t>–</w:t>
            </w:r>
            <w:r w:rsidRPr="00FC6D18">
              <w:rPr>
                <w:rFonts w:ascii="Arial" w:hAnsi="Arial" w:cs="Arial"/>
                <w:color w:val="000000" w:themeColor="text1"/>
                <w:sz w:val="16"/>
                <w:szCs w:val="16"/>
              </w:rPr>
              <w:t xml:space="preserve"> Trade facilitation and industry engagement</w:t>
            </w:r>
          </w:p>
        </w:tc>
      </w:tr>
      <w:tr w:rsidR="00A73414" w:rsidRPr="00A76734" w14:paraId="18CE641D" w14:textId="77777777" w:rsidTr="00746CF9">
        <w:trPr>
          <w:trHeight w:val="113"/>
          <w:tblHeader/>
        </w:trPr>
        <w:tc>
          <w:tcPr>
            <w:tcW w:w="7700" w:type="dxa"/>
          </w:tcPr>
          <w:p w14:paraId="3A274AD9" w14:textId="77777777" w:rsidR="00A73414" w:rsidRPr="003919D9" w:rsidRDefault="00A73414" w:rsidP="003919D9">
            <w:pPr>
              <w:spacing w:before="60" w:after="60" w:line="240" w:lineRule="auto"/>
              <w:rPr>
                <w:rStyle w:val="ExampletextCharChar"/>
                <w:rFonts w:ascii="Arial" w:hAnsi="Arial" w:cs="Arial"/>
                <w:b/>
                <w:i w:val="0"/>
                <w:iCs/>
                <w:color w:val="000000" w:themeColor="text1"/>
                <w:sz w:val="16"/>
                <w:szCs w:val="16"/>
              </w:rPr>
            </w:pPr>
            <w:r w:rsidRPr="003919D9">
              <w:rPr>
                <w:rStyle w:val="ExampletextCharChar"/>
                <w:rFonts w:ascii="Arial" w:hAnsi="Arial" w:cs="Arial"/>
                <w:b/>
                <w:i w:val="0"/>
                <w:iCs/>
                <w:color w:val="000000" w:themeColor="text1"/>
                <w:sz w:val="16"/>
                <w:szCs w:val="16"/>
              </w:rPr>
              <w:t>Contribution to Outcome 1 made by linked programs</w:t>
            </w:r>
          </w:p>
          <w:p w14:paraId="106F4C4A" w14:textId="77777777" w:rsidR="00A73414" w:rsidRPr="003919D9" w:rsidRDefault="00A73414" w:rsidP="003919D9">
            <w:pPr>
              <w:spacing w:before="60" w:after="60" w:line="240" w:lineRule="auto"/>
              <w:rPr>
                <w:rStyle w:val="ExampletextCharChar"/>
                <w:rFonts w:ascii="Arial" w:hAnsi="Arial" w:cs="Arial"/>
                <w:bCs/>
                <w:i w:val="0"/>
                <w:color w:val="000000" w:themeColor="text1"/>
                <w:sz w:val="16"/>
                <w:szCs w:val="16"/>
              </w:rPr>
            </w:pPr>
            <w:r w:rsidRPr="003919D9">
              <w:rPr>
                <w:rStyle w:val="ExampletextCharChar"/>
                <w:rFonts w:ascii="Arial" w:hAnsi="Arial"/>
                <w:bCs/>
                <w:i w:val="0"/>
                <w:color w:val="000000" w:themeColor="text1"/>
                <w:sz w:val="16"/>
              </w:rPr>
              <w:t>Tourism Australia works with the Department of Home Affairs by providing advice on visa and traveller facilitation policy relevant to the Australian tourism industry.</w:t>
            </w:r>
          </w:p>
        </w:tc>
      </w:tr>
    </w:tbl>
    <w:p w14:paraId="78F9DCC4" w14:textId="041EB5A0" w:rsidR="00FC6D18" w:rsidRDefault="00EC0A66" w:rsidP="00EC0A66">
      <w:pPr>
        <w:pStyle w:val="ChartandTableFootnoteAlpha"/>
        <w:numPr>
          <w:ilvl w:val="0"/>
          <w:numId w:val="0"/>
        </w:numPr>
        <w:ind w:left="284" w:hanging="284"/>
      </w:pPr>
      <w:r w:rsidRPr="00EC0A66">
        <w:t xml:space="preserve">Table </w:t>
      </w:r>
      <w:proofErr w:type="gramStart"/>
      <w:r w:rsidRPr="00EC0A66">
        <w:t>continued on</w:t>
      </w:r>
      <w:proofErr w:type="gramEnd"/>
      <w:r w:rsidRPr="00EC0A66">
        <w:t xml:space="preserve"> the next page</w:t>
      </w:r>
      <w:r w:rsidR="00E7366F" w:rsidRPr="0069545F">
        <w:t>.</w:t>
      </w:r>
    </w:p>
    <w:p w14:paraId="292A63BD" w14:textId="77777777" w:rsidR="00FC6D18" w:rsidRDefault="00FC6D18">
      <w:pPr>
        <w:spacing w:before="0" w:after="0" w:line="240" w:lineRule="auto"/>
        <w:rPr>
          <w:rFonts w:ascii="Arial" w:hAnsi="Arial"/>
          <w:color w:val="000000"/>
          <w:sz w:val="16"/>
        </w:rPr>
      </w:pPr>
      <w:r>
        <w:br w:type="page"/>
      </w:r>
    </w:p>
    <w:p w14:paraId="234335B3" w14:textId="3DE4A8FB" w:rsidR="00FC6D18" w:rsidRPr="00133BCE" w:rsidRDefault="00FC6D18" w:rsidP="00FC6D18">
      <w:pPr>
        <w:pStyle w:val="Heading4"/>
      </w:pPr>
      <w:r w:rsidRPr="0069545F">
        <w:lastRenderedPageBreak/>
        <w:t xml:space="preserve">Linked programs </w:t>
      </w:r>
      <w:r w:rsidRPr="00FC6D18">
        <w:t>(continued)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FC6D18" w:rsidRPr="00A76734" w14:paraId="3DBC796D" w14:textId="77777777" w:rsidTr="1BE2087C">
        <w:trPr>
          <w:trHeight w:val="113"/>
        </w:trPr>
        <w:tc>
          <w:tcPr>
            <w:tcW w:w="7705" w:type="dxa"/>
            <w:tcBorders>
              <w:top w:val="single" w:sz="4" w:space="0" w:color="auto"/>
              <w:left w:val="single" w:sz="4" w:space="0" w:color="auto"/>
              <w:bottom w:val="dotted" w:sz="4" w:space="0" w:color="auto"/>
              <w:right w:val="single" w:sz="4" w:space="0" w:color="auto"/>
            </w:tcBorders>
            <w:hideMark/>
          </w:tcPr>
          <w:p w14:paraId="6A75A15E" w14:textId="77777777" w:rsidR="00FC6D18" w:rsidRPr="005B1BFD" w:rsidRDefault="00FC6D18" w:rsidP="005B1BFD">
            <w:pPr>
              <w:pStyle w:val="BoxHeading"/>
              <w:spacing w:before="40" w:after="40"/>
              <w:rPr>
                <w:rFonts w:ascii="Arial Bold" w:hAnsi="Arial Bold"/>
                <w:sz w:val="16"/>
                <w:szCs w:val="16"/>
              </w:rPr>
            </w:pPr>
            <w:r w:rsidRPr="005B1BFD">
              <w:rPr>
                <w:rFonts w:ascii="Arial Bold" w:hAnsi="Arial Bold"/>
                <w:sz w:val="16"/>
                <w:szCs w:val="16"/>
              </w:rPr>
              <w:t>Department of Infrastructure, Transport, Regional Development, Communications, Sports and the Arts</w:t>
            </w:r>
          </w:p>
        </w:tc>
      </w:tr>
      <w:tr w:rsidR="00FC6D18" w:rsidRPr="00A76734" w14:paraId="14040635" w14:textId="77777777" w:rsidTr="1BE2087C">
        <w:trPr>
          <w:trHeight w:val="113"/>
        </w:trPr>
        <w:tc>
          <w:tcPr>
            <w:tcW w:w="7705" w:type="dxa"/>
            <w:tcBorders>
              <w:top w:val="dotted" w:sz="4" w:space="0" w:color="auto"/>
              <w:left w:val="single" w:sz="4" w:space="0" w:color="auto"/>
              <w:bottom w:val="single" w:sz="4" w:space="0" w:color="auto"/>
              <w:right w:val="single" w:sz="4" w:space="0" w:color="auto"/>
            </w:tcBorders>
            <w:hideMark/>
          </w:tcPr>
          <w:p w14:paraId="028B221E" w14:textId="77777777" w:rsidR="00FC6D18" w:rsidRPr="00FC6D18" w:rsidRDefault="00FC6D18" w:rsidP="005B1BFD">
            <w:pPr>
              <w:pStyle w:val="TableTextLeft"/>
              <w:spacing w:before="40" w:after="40"/>
              <w:rPr>
                <w:b/>
                <w:bCs/>
              </w:rPr>
            </w:pPr>
            <w:r w:rsidRPr="00FC6D18">
              <w:rPr>
                <w:b/>
                <w:bCs/>
              </w:rPr>
              <w:t>Programs</w:t>
            </w:r>
          </w:p>
          <w:p w14:paraId="2EA8925F" w14:textId="77777777" w:rsidR="00FC6D18" w:rsidRPr="00FC6D18" w:rsidRDefault="00FC6D18" w:rsidP="00707A3D">
            <w:pPr>
              <w:pStyle w:val="TableTextLeft"/>
              <w:numPr>
                <w:ilvl w:val="0"/>
                <w:numId w:val="35"/>
              </w:numPr>
              <w:spacing w:before="40" w:after="40"/>
              <w:ind w:left="284" w:hanging="284"/>
              <w:rPr>
                <w:rStyle w:val="ExampletextCharChar"/>
                <w:i w:val="0"/>
                <w:color w:val="000000" w:themeColor="text1"/>
              </w:rPr>
            </w:pPr>
            <w:r w:rsidRPr="00FC6D18">
              <w:t xml:space="preserve">Program 2.3 </w:t>
            </w:r>
            <w:r w:rsidRPr="00FC6D18">
              <w:rPr>
                <w:i/>
              </w:rPr>
              <w:t>–</w:t>
            </w:r>
            <w:r w:rsidRPr="00FC6D18">
              <w:t xml:space="preserve"> Air transport</w:t>
            </w:r>
          </w:p>
        </w:tc>
      </w:tr>
      <w:tr w:rsidR="00FC6D18" w:rsidRPr="00A76734" w14:paraId="151DD31B" w14:textId="77777777" w:rsidTr="1BE2087C">
        <w:trPr>
          <w:trHeight w:val="113"/>
        </w:trPr>
        <w:tc>
          <w:tcPr>
            <w:tcW w:w="7705" w:type="dxa"/>
            <w:tcBorders>
              <w:top w:val="single" w:sz="4" w:space="0" w:color="auto"/>
              <w:left w:val="single" w:sz="4" w:space="0" w:color="auto"/>
              <w:bottom w:val="single" w:sz="4" w:space="0" w:color="auto"/>
              <w:right w:val="single" w:sz="4" w:space="0" w:color="auto"/>
            </w:tcBorders>
            <w:hideMark/>
          </w:tcPr>
          <w:p w14:paraId="796ED280" w14:textId="77777777" w:rsidR="00FC6D18" w:rsidRPr="003919D9" w:rsidRDefault="00FC6D18" w:rsidP="00746CF9">
            <w:pPr>
              <w:spacing w:before="60" w:after="60" w:line="240" w:lineRule="auto"/>
              <w:rPr>
                <w:rStyle w:val="ExampletextCharChar"/>
                <w:rFonts w:ascii="Arial" w:hAnsi="Arial" w:cs="Arial"/>
                <w:b/>
                <w:i w:val="0"/>
                <w:iCs/>
                <w:color w:val="000000" w:themeColor="text1"/>
                <w:sz w:val="16"/>
                <w:szCs w:val="16"/>
              </w:rPr>
            </w:pPr>
            <w:r w:rsidRPr="003919D9">
              <w:rPr>
                <w:rStyle w:val="ExampletextCharChar"/>
                <w:rFonts w:ascii="Arial" w:hAnsi="Arial" w:cs="Arial"/>
                <w:b/>
                <w:i w:val="0"/>
                <w:iCs/>
                <w:color w:val="000000" w:themeColor="text1"/>
                <w:sz w:val="16"/>
                <w:szCs w:val="16"/>
              </w:rPr>
              <w:t>Contribution to Outcome 1 made by linked programs</w:t>
            </w:r>
          </w:p>
          <w:p w14:paraId="2B8E81FF" w14:textId="77777777" w:rsidR="00FC6D18" w:rsidRPr="00FC6D18" w:rsidRDefault="00FC6D18" w:rsidP="003919D9">
            <w:pPr>
              <w:spacing w:before="60" w:after="60" w:line="240" w:lineRule="auto"/>
              <w:rPr>
                <w:rStyle w:val="ExampletextCharChar"/>
                <w:rFonts w:ascii="Arial" w:hAnsi="Arial" w:cs="Arial"/>
                <w:color w:val="000000" w:themeColor="text1"/>
                <w:sz w:val="16"/>
                <w:szCs w:val="16"/>
              </w:rPr>
            </w:pPr>
            <w:r w:rsidRPr="00FC6D18">
              <w:rPr>
                <w:rFonts w:ascii="Arial" w:hAnsi="Arial" w:cs="Arial"/>
                <w:color w:val="000000" w:themeColor="text1"/>
                <w:sz w:val="16"/>
                <w:szCs w:val="16"/>
              </w:rPr>
              <w:t>An efficient, sustainable, competitive, safe and secure air transport system contributes to increasing international visitor arrivals and expenditure, and growing demand for Australia as a destination for tourism and business events.</w:t>
            </w:r>
          </w:p>
        </w:tc>
      </w:tr>
      <w:tr w:rsidR="00FC6D18" w:rsidRPr="00A76734" w14:paraId="0BE9E79D" w14:textId="77777777" w:rsidTr="1BE2087C">
        <w:trPr>
          <w:trHeight w:val="113"/>
        </w:trPr>
        <w:tc>
          <w:tcPr>
            <w:tcW w:w="7705" w:type="dxa"/>
            <w:tcBorders>
              <w:top w:val="single" w:sz="4" w:space="0" w:color="auto"/>
              <w:left w:val="single" w:sz="4" w:space="0" w:color="auto"/>
              <w:bottom w:val="single" w:sz="4" w:space="0" w:color="auto"/>
              <w:right w:val="single" w:sz="4" w:space="0" w:color="auto"/>
            </w:tcBorders>
            <w:hideMark/>
          </w:tcPr>
          <w:p w14:paraId="34386084" w14:textId="77777777" w:rsidR="00FC6D18" w:rsidRPr="00FC6D18" w:rsidRDefault="00FC6D18" w:rsidP="005B1BFD">
            <w:pPr>
              <w:pStyle w:val="TableTextLeft"/>
              <w:spacing w:before="40" w:after="40"/>
              <w:rPr>
                <w:b/>
                <w:bCs/>
              </w:rPr>
            </w:pPr>
            <w:r w:rsidRPr="00FC6D18">
              <w:rPr>
                <w:b/>
                <w:bCs/>
              </w:rPr>
              <w:t>Programs</w:t>
            </w:r>
          </w:p>
          <w:p w14:paraId="71DB7A26" w14:textId="77777777" w:rsidR="00FC6D18" w:rsidRPr="00FC6D18" w:rsidRDefault="00FC6D18" w:rsidP="00707A3D">
            <w:pPr>
              <w:pStyle w:val="TableTextLeft"/>
              <w:numPr>
                <w:ilvl w:val="0"/>
                <w:numId w:val="35"/>
              </w:numPr>
              <w:spacing w:before="40" w:after="40"/>
              <w:ind w:left="284" w:hanging="284"/>
            </w:pPr>
            <w:r w:rsidRPr="00FC6D18">
              <w:t>Program 3.1 – Regional development</w:t>
            </w:r>
          </w:p>
        </w:tc>
      </w:tr>
      <w:tr w:rsidR="00FC6D18" w:rsidRPr="00A76734" w14:paraId="688C22CA" w14:textId="77777777" w:rsidTr="1BE2087C">
        <w:trPr>
          <w:trHeight w:val="113"/>
        </w:trPr>
        <w:tc>
          <w:tcPr>
            <w:tcW w:w="7705" w:type="dxa"/>
            <w:tcBorders>
              <w:top w:val="single" w:sz="4" w:space="0" w:color="auto"/>
              <w:left w:val="single" w:sz="4" w:space="0" w:color="auto"/>
              <w:bottom w:val="single" w:sz="4" w:space="0" w:color="auto"/>
              <w:right w:val="single" w:sz="4" w:space="0" w:color="auto"/>
            </w:tcBorders>
            <w:hideMark/>
          </w:tcPr>
          <w:p w14:paraId="2767236A" w14:textId="77777777" w:rsidR="00FC6D18" w:rsidRPr="003919D9" w:rsidRDefault="00FC6D18" w:rsidP="00746CF9">
            <w:pPr>
              <w:spacing w:before="60" w:after="60" w:line="240" w:lineRule="auto"/>
              <w:rPr>
                <w:rStyle w:val="ExampletextCharChar"/>
                <w:rFonts w:ascii="Arial" w:hAnsi="Arial" w:cs="Arial"/>
                <w:b/>
                <w:i w:val="0"/>
                <w:iCs/>
                <w:color w:val="000000" w:themeColor="text1"/>
                <w:sz w:val="16"/>
                <w:szCs w:val="16"/>
              </w:rPr>
            </w:pPr>
            <w:r w:rsidRPr="003919D9">
              <w:rPr>
                <w:rStyle w:val="ExampletextCharChar"/>
                <w:rFonts w:ascii="Arial" w:hAnsi="Arial" w:cs="Arial"/>
                <w:b/>
                <w:i w:val="0"/>
                <w:iCs/>
                <w:color w:val="000000" w:themeColor="text1"/>
                <w:sz w:val="16"/>
                <w:szCs w:val="16"/>
              </w:rPr>
              <w:t>Contribution to Outcome 1 made by linked programs</w:t>
            </w:r>
          </w:p>
          <w:p w14:paraId="3AC667E2" w14:textId="77777777" w:rsidR="00FC6D18" w:rsidRPr="003919D9" w:rsidRDefault="00FC6D18" w:rsidP="1BE2087C">
            <w:pPr>
              <w:spacing w:before="60" w:after="60" w:line="240" w:lineRule="auto"/>
              <w:rPr>
                <w:rStyle w:val="ExampletextCharChar"/>
                <w:rFonts w:ascii="Arial" w:hAnsi="Arial" w:cs="Arial"/>
                <w:i w:val="0"/>
                <w:color w:val="000000" w:themeColor="text1"/>
                <w:sz w:val="16"/>
                <w:szCs w:val="16"/>
                <w:lang w:val="en-AU"/>
              </w:rPr>
            </w:pPr>
            <w:r w:rsidRPr="1BE2087C">
              <w:rPr>
                <w:rStyle w:val="ExampletextCharChar"/>
                <w:rFonts w:ascii="Arial" w:hAnsi="Arial"/>
                <w:i w:val="0"/>
                <w:color w:val="000000" w:themeColor="text1"/>
                <w:sz w:val="16"/>
                <w:szCs w:val="16"/>
                <w:lang w:val="en-AU"/>
              </w:rPr>
              <w:t>Tourism Australia works in partnership with state and territory governments, industry and commercial partners to build demand and increase visitor arrivals and spend in Australia, including encouraging international visitors to disperse beyond gateway cities into regional areas.</w:t>
            </w:r>
          </w:p>
        </w:tc>
      </w:tr>
    </w:tbl>
    <w:p w14:paraId="09B51CCE" w14:textId="77777777" w:rsidR="00E7366F" w:rsidRPr="0069545F" w:rsidRDefault="00E7366F" w:rsidP="00EC0A66">
      <w:pPr>
        <w:pStyle w:val="ChartandTableFootnoteAlpha"/>
        <w:numPr>
          <w:ilvl w:val="0"/>
          <w:numId w:val="0"/>
        </w:numPr>
        <w:ind w:left="284" w:hanging="284"/>
      </w:pPr>
    </w:p>
    <w:p w14:paraId="4CF1F75E" w14:textId="77777777" w:rsidR="00E7366F" w:rsidRPr="0069545F" w:rsidRDefault="00E7366F" w:rsidP="00E7366F">
      <w:r w:rsidRPr="0069545F">
        <w:br w:type="page"/>
      </w:r>
    </w:p>
    <w:p w14:paraId="79ABBADE" w14:textId="77777777" w:rsidR="00E7366F" w:rsidRPr="00446612" w:rsidRDefault="00E7366F" w:rsidP="00E7366F">
      <w:pPr>
        <w:pStyle w:val="Heading4"/>
      </w:pPr>
      <w:r w:rsidRPr="00446612">
        <w:lastRenderedPageBreak/>
        <w:t xml:space="preserve">Budgeted expenses for Outcome </w:t>
      </w:r>
      <w:r>
        <w:t>1</w:t>
      </w:r>
    </w:p>
    <w:p w14:paraId="4C2CE22A" w14:textId="77777777" w:rsidR="00E7366F" w:rsidRDefault="00E7366F" w:rsidP="00E7366F">
      <w:r w:rsidRPr="00950281">
        <w:t>This table shows how much the entity intends to spend (on an accrual basis) on achieving the outcome, broken down by program, as well as by Administered an</w:t>
      </w:r>
      <w:r>
        <w:t>d Departmental funding sources.</w:t>
      </w:r>
    </w:p>
    <w:p w14:paraId="70ED477C" w14:textId="77777777" w:rsidR="00E7366F" w:rsidRDefault="00E7366F" w:rsidP="00E7366F">
      <w:pPr>
        <w:pStyle w:val="TableHeading"/>
      </w:pPr>
      <w:r w:rsidRPr="006E4DF1">
        <w:t>Table 2.</w:t>
      </w:r>
      <w:r>
        <w:t>1</w:t>
      </w:r>
      <w:r w:rsidRPr="006E4DF1">
        <w:t xml:space="preserve">.1: Budgeted expenses for Outcome </w:t>
      </w:r>
      <w:r>
        <w:t>1</w:t>
      </w:r>
    </w:p>
    <w:p w14:paraId="59DC6545" w14:textId="43538CC8" w:rsidR="00E7366F" w:rsidRPr="00E6464E" w:rsidRDefault="00A71F5E" w:rsidP="00E7366F">
      <w:pPr>
        <w:pStyle w:val="TableGraphic"/>
      </w:pPr>
      <w:r w:rsidRPr="00A71F5E">
        <w:rPr>
          <w:noProof/>
        </w:rPr>
        <w:drawing>
          <wp:inline distT="0" distB="0" distL="0" distR="0" wp14:anchorId="4F563B4A" wp14:editId="59B301A9">
            <wp:extent cx="4820920" cy="3021330"/>
            <wp:effectExtent l="0" t="0" r="0" b="7620"/>
            <wp:docPr id="20133666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20920" cy="3021330"/>
                    </a:xfrm>
                    <a:prstGeom prst="rect">
                      <a:avLst/>
                    </a:prstGeom>
                    <a:noFill/>
                    <a:ln>
                      <a:noFill/>
                    </a:ln>
                  </pic:spPr>
                </pic:pic>
              </a:graphicData>
            </a:graphic>
          </wp:inline>
        </w:drawing>
      </w:r>
    </w:p>
    <w:p w14:paraId="439966C7" w14:textId="62032F88" w:rsidR="00E7366F" w:rsidRPr="00446EE2" w:rsidRDefault="007D7027" w:rsidP="00707A3D">
      <w:pPr>
        <w:pStyle w:val="ChartandTableFootnoteAlpha"/>
        <w:numPr>
          <w:ilvl w:val="0"/>
          <w:numId w:val="33"/>
        </w:numPr>
      </w:pPr>
      <w:r>
        <w:t xml:space="preserve">Asia </w:t>
      </w:r>
      <w:r w:rsidRPr="007D7027">
        <w:t>Marketing Fund</w:t>
      </w:r>
      <w:r w:rsidR="00E7366F" w:rsidRPr="00446EE2">
        <w:t>.</w:t>
      </w:r>
    </w:p>
    <w:p w14:paraId="6F08C18C" w14:textId="78EC47BB" w:rsidR="00E7366F" w:rsidRDefault="007D7027" w:rsidP="005F2FDC">
      <w:pPr>
        <w:pStyle w:val="ChartandTableFootnoteAlpha"/>
        <w:numPr>
          <w:ilvl w:val="0"/>
          <w:numId w:val="13"/>
        </w:numPr>
      </w:pPr>
      <w:r>
        <w:t xml:space="preserve">Average </w:t>
      </w:r>
      <w:r w:rsidRPr="007D7027">
        <w:t>Staffing Level (ASL) figures are estimates only</w:t>
      </w:r>
      <w:r w:rsidR="00E7366F" w:rsidRPr="007379EF">
        <w:t>.</w:t>
      </w:r>
    </w:p>
    <w:p w14:paraId="23B2BED2" w14:textId="77777777" w:rsidR="00E7366F" w:rsidRPr="00446612" w:rsidRDefault="00E7366F" w:rsidP="00E7366F">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1B4F5236" w14:textId="77777777" w:rsidR="00E7366F" w:rsidRDefault="00E7366F" w:rsidP="00E7366F">
      <w:pPr>
        <w:spacing w:before="0" w:after="0" w:line="240" w:lineRule="auto"/>
        <w:rPr>
          <w:highlight w:val="green"/>
        </w:rPr>
      </w:pPr>
      <w:r>
        <w:rPr>
          <w:highlight w:val="green"/>
        </w:rPr>
        <w:br w:type="page"/>
      </w:r>
    </w:p>
    <w:p w14:paraId="4D11A5E0" w14:textId="77777777" w:rsidR="00E7366F" w:rsidRDefault="00E7366F" w:rsidP="00E7366F">
      <w:pPr>
        <w:spacing w:after="0"/>
      </w:pPr>
      <w:r w:rsidRPr="00B166C6">
        <w:rPr>
          <w:rStyle w:val="TableHeadingChar"/>
        </w:rPr>
        <w:lastRenderedPageBreak/>
        <w:t>Table 2.</w:t>
      </w:r>
      <w:r>
        <w:rPr>
          <w:rStyle w:val="TableHeadingChar"/>
        </w:rPr>
        <w:t>1</w:t>
      </w:r>
      <w:r w:rsidRPr="00B166C6">
        <w:rPr>
          <w:rStyle w:val="TableHeadingChar"/>
        </w:rPr>
        <w:t xml:space="preserve">.2: Program components of Outcome </w:t>
      </w:r>
      <w:r>
        <w:rPr>
          <w:rStyle w:val="TableHeadingChar"/>
        </w:rPr>
        <w:t>1 – Program 1.1</w:t>
      </w:r>
    </w:p>
    <w:p w14:paraId="798E127C" w14:textId="54B7EBD1" w:rsidR="00E7366F" w:rsidRPr="00C978F2" w:rsidRDefault="00DA1C87" w:rsidP="00E7366F">
      <w:pPr>
        <w:pStyle w:val="TableGraphic"/>
      </w:pPr>
      <w:r w:rsidRPr="00DA1C87">
        <w:rPr>
          <w:noProof/>
        </w:rPr>
        <w:drawing>
          <wp:inline distT="0" distB="0" distL="0" distR="0" wp14:anchorId="503862D2" wp14:editId="4926131C">
            <wp:extent cx="4818380" cy="1884680"/>
            <wp:effectExtent l="0" t="0" r="1270" b="1270"/>
            <wp:docPr id="19330129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18380" cy="1884680"/>
                    </a:xfrm>
                    <a:prstGeom prst="rect">
                      <a:avLst/>
                    </a:prstGeom>
                    <a:noFill/>
                    <a:ln>
                      <a:noFill/>
                    </a:ln>
                  </pic:spPr>
                </pic:pic>
              </a:graphicData>
            </a:graphic>
          </wp:inline>
        </w:drawing>
      </w:r>
    </w:p>
    <w:p w14:paraId="00914CD8" w14:textId="77777777" w:rsidR="0032215E" w:rsidRPr="00446612" w:rsidRDefault="0032215E" w:rsidP="0032215E">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5A6821F2" w14:textId="77777777" w:rsidR="00E7366F" w:rsidRDefault="00E7366F" w:rsidP="00E7366F">
      <w:pPr>
        <w:spacing w:before="0" w:after="0" w:line="240" w:lineRule="auto"/>
      </w:pPr>
      <w:r>
        <w:br w:type="page"/>
      </w:r>
    </w:p>
    <w:p w14:paraId="39362342" w14:textId="77777777" w:rsidR="00E7366F" w:rsidRPr="00F71634" w:rsidRDefault="00E7366F" w:rsidP="00E7366F">
      <w:pPr>
        <w:pStyle w:val="Heading4"/>
      </w:pPr>
      <w:r w:rsidRPr="00250122">
        <w:lastRenderedPageBreak/>
        <w:t>Performance</w:t>
      </w:r>
      <w:r w:rsidRPr="00F71634">
        <w:t xml:space="preserve"> </w:t>
      </w:r>
      <w:r>
        <w:t>measures</w:t>
      </w:r>
      <w:r w:rsidRPr="00F71634">
        <w:t xml:space="preserve"> for Outcome </w:t>
      </w:r>
      <w:r>
        <w:t>1</w:t>
      </w:r>
    </w:p>
    <w:p w14:paraId="6CF35DF6" w14:textId="77777777" w:rsidR="00E7366F" w:rsidRDefault="00E7366F" w:rsidP="00E7366F">
      <w:r w:rsidRPr="005D4B9C">
        <w:t>Table 2.</w:t>
      </w:r>
      <w:r>
        <w:t>1</w:t>
      </w:r>
      <w:r w:rsidRPr="005D4B9C">
        <w:t xml:space="preserve">.3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4F688F0B" w14:textId="361B5DC6" w:rsidR="00E7366F" w:rsidRDefault="00E7366F" w:rsidP="00E7366F">
      <w:pPr>
        <w:pStyle w:val="TableHeading"/>
      </w:pPr>
      <w:r w:rsidRPr="00E6464E">
        <w:t>Table 2.</w:t>
      </w:r>
      <w:r w:rsidR="00D93704">
        <w:t>1</w:t>
      </w:r>
      <w:r w:rsidRPr="00E6464E">
        <w:t xml:space="preserve">.3: Performance measures for Outcome </w:t>
      </w:r>
      <w:r w:rsidR="00D93704">
        <w:t>1</w:t>
      </w:r>
    </w:p>
    <w:tbl>
      <w:tblPr>
        <w:tblW w:w="77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8"/>
        <w:gridCol w:w="6023"/>
      </w:tblGrid>
      <w:tr w:rsidR="00493F5F" w:rsidRPr="000C51BE" w14:paraId="770206FD" w14:textId="77777777">
        <w:trPr>
          <w:trHeight w:val="542"/>
          <w:tblHeader/>
        </w:trPr>
        <w:tc>
          <w:tcPr>
            <w:tcW w:w="7797" w:type="dxa"/>
            <w:gridSpan w:val="2"/>
            <w:tcBorders>
              <w:top w:val="single" w:sz="4" w:space="0" w:color="auto"/>
              <w:left w:val="single" w:sz="4" w:space="0" w:color="auto"/>
              <w:bottom w:val="single" w:sz="4" w:space="0" w:color="auto"/>
              <w:right w:val="single" w:sz="4" w:space="0" w:color="auto"/>
            </w:tcBorders>
            <w:shd w:val="clear" w:color="auto" w:fill="F2F2F2"/>
            <w:hideMark/>
          </w:tcPr>
          <w:p w14:paraId="5AEAA67E" w14:textId="77777777" w:rsidR="00493F5F" w:rsidRPr="000C51BE" w:rsidRDefault="00493F5F" w:rsidP="00746CF9">
            <w:pPr>
              <w:spacing w:before="60" w:after="60" w:line="240" w:lineRule="auto"/>
              <w:textAlignment w:val="baseline"/>
              <w:rPr>
                <w:rFonts w:ascii="Arial" w:hAnsi="Arial" w:cs="Arial"/>
                <w:color w:val="000000" w:themeColor="text1"/>
                <w:sz w:val="16"/>
                <w:szCs w:val="18"/>
                <w:lang w:eastAsia="zh-CN"/>
              </w:rPr>
            </w:pPr>
            <w:r w:rsidRPr="000C51BE">
              <w:rPr>
                <w:rFonts w:ascii="Arial" w:hAnsi="Arial" w:cs="Arial"/>
                <w:b/>
                <w:bCs/>
                <w:color w:val="000000" w:themeColor="text1"/>
                <w:sz w:val="16"/>
                <w:szCs w:val="18"/>
                <w:lang w:eastAsia="zh-CN"/>
              </w:rPr>
              <w:t>Outcome 1 – Grow demand and foster a competitive and sustainable Australian tourism industry through partnership marketing to targeted global consumers in key markets.</w:t>
            </w:r>
          </w:p>
        </w:tc>
      </w:tr>
      <w:tr w:rsidR="00493F5F" w:rsidRPr="000C51BE" w14:paraId="5B454AFF" w14:textId="77777777">
        <w:trPr>
          <w:trHeight w:val="680"/>
          <w:tblHeader/>
        </w:trPr>
        <w:tc>
          <w:tcPr>
            <w:tcW w:w="7797" w:type="dxa"/>
            <w:gridSpan w:val="2"/>
            <w:shd w:val="clear" w:color="auto" w:fill="F2F2F2"/>
            <w:hideMark/>
          </w:tcPr>
          <w:p w14:paraId="23D3023C" w14:textId="77777777" w:rsidR="00493F5F" w:rsidRPr="000C51BE" w:rsidRDefault="00493F5F" w:rsidP="00746CF9">
            <w:pPr>
              <w:tabs>
                <w:tab w:val="left" w:pos="709"/>
              </w:tabs>
              <w:spacing w:before="60" w:after="60" w:line="240" w:lineRule="auto"/>
              <w:rPr>
                <w:rFonts w:ascii="Arial" w:hAnsi="Arial" w:cs="Arial"/>
                <w:b/>
                <w:color w:val="000000" w:themeColor="text1"/>
                <w:sz w:val="16"/>
                <w:szCs w:val="18"/>
              </w:rPr>
            </w:pPr>
            <w:bookmarkStart w:id="56" w:name="_Hlk97623508"/>
            <w:r w:rsidRPr="000C51BE">
              <w:rPr>
                <w:rFonts w:ascii="Arial" w:hAnsi="Arial" w:cs="Arial"/>
                <w:b/>
                <w:color w:val="000000" w:themeColor="text1"/>
                <w:sz w:val="16"/>
                <w:szCs w:val="18"/>
              </w:rPr>
              <w:t>Program 1.1: Supporting Outcome 1</w:t>
            </w:r>
          </w:p>
          <w:p w14:paraId="7109880B" w14:textId="77777777" w:rsidR="00493F5F" w:rsidRPr="000C51BE" w:rsidRDefault="00493F5F" w:rsidP="00746CF9">
            <w:pPr>
              <w:tabs>
                <w:tab w:val="left" w:pos="709"/>
              </w:tabs>
              <w:spacing w:before="60" w:after="60" w:line="240" w:lineRule="auto"/>
              <w:rPr>
                <w:rFonts w:ascii="Arial" w:hAnsi="Arial" w:cs="Arial"/>
                <w:b/>
                <w:bCs/>
                <w:color w:val="000000" w:themeColor="text1"/>
                <w:sz w:val="16"/>
                <w:szCs w:val="18"/>
              </w:rPr>
            </w:pPr>
            <w:r w:rsidRPr="000C51BE">
              <w:rPr>
                <w:rFonts w:ascii="Arial" w:hAnsi="Arial" w:cs="Arial"/>
                <w:b/>
                <w:bCs/>
                <w:color w:val="000000" w:themeColor="text1"/>
                <w:sz w:val="16"/>
                <w:szCs w:val="18"/>
              </w:rPr>
              <w:t>Component 1.1.1: Grow Demand</w:t>
            </w:r>
          </w:p>
          <w:p w14:paraId="15B4FC71" w14:textId="77777777" w:rsidR="00493F5F" w:rsidRPr="000C51BE" w:rsidRDefault="00493F5F" w:rsidP="00746CF9">
            <w:pPr>
              <w:tabs>
                <w:tab w:val="left" w:pos="709"/>
              </w:tabs>
              <w:spacing w:before="60" w:after="60" w:line="240" w:lineRule="auto"/>
              <w:rPr>
                <w:rFonts w:ascii="Arial" w:hAnsi="Arial" w:cs="Arial"/>
                <w:color w:val="000000" w:themeColor="text1"/>
                <w:sz w:val="16"/>
                <w:szCs w:val="18"/>
              </w:rPr>
            </w:pPr>
            <w:r w:rsidRPr="000C51BE">
              <w:rPr>
                <w:rFonts w:ascii="Arial" w:hAnsi="Arial" w:cs="Arial"/>
                <w:color w:val="000000" w:themeColor="text1"/>
                <w:sz w:val="16"/>
                <w:szCs w:val="18"/>
              </w:rPr>
              <w:t>Objective: Identify and target best prospect consumers in our target markets, inspire them to travel to and throughout Australia.</w:t>
            </w:r>
          </w:p>
        </w:tc>
      </w:tr>
      <w:bookmarkEnd w:id="56"/>
      <w:tr w:rsidR="00493F5F" w:rsidRPr="000C51BE" w14:paraId="1CC63B52" w14:textId="77777777">
        <w:trPr>
          <w:trHeight w:val="4161"/>
        </w:trPr>
        <w:tc>
          <w:tcPr>
            <w:tcW w:w="1701" w:type="dxa"/>
            <w:tcBorders>
              <w:top w:val="single" w:sz="4" w:space="0" w:color="auto"/>
              <w:left w:val="single" w:sz="4" w:space="0" w:color="auto"/>
              <w:bottom w:val="double" w:sz="4" w:space="0" w:color="auto"/>
              <w:right w:val="single" w:sz="4" w:space="0" w:color="auto"/>
            </w:tcBorders>
            <w:hideMark/>
          </w:tcPr>
          <w:p w14:paraId="0C5B1193" w14:textId="77777777" w:rsidR="00493F5F" w:rsidRPr="000C51BE" w:rsidRDefault="00493F5F" w:rsidP="00746CF9">
            <w:pPr>
              <w:tabs>
                <w:tab w:val="left" w:pos="709"/>
              </w:tabs>
              <w:spacing w:before="60" w:after="60" w:line="240" w:lineRule="auto"/>
              <w:rPr>
                <w:rFonts w:ascii="Arial" w:hAnsi="Arial" w:cs="Arial"/>
                <w:b/>
                <w:color w:val="000000" w:themeColor="text1"/>
                <w:sz w:val="16"/>
                <w:szCs w:val="18"/>
              </w:rPr>
            </w:pPr>
            <w:r w:rsidRPr="000C51BE">
              <w:rPr>
                <w:rFonts w:ascii="Arial" w:hAnsi="Arial" w:cs="Arial"/>
                <w:b/>
                <w:color w:val="000000" w:themeColor="text1"/>
                <w:sz w:val="16"/>
                <w:szCs w:val="18"/>
              </w:rPr>
              <w:t>Key Activities</w:t>
            </w:r>
          </w:p>
        </w:tc>
        <w:tc>
          <w:tcPr>
            <w:tcW w:w="6096" w:type="dxa"/>
            <w:tcBorders>
              <w:top w:val="single" w:sz="4" w:space="0" w:color="auto"/>
              <w:left w:val="single" w:sz="4" w:space="0" w:color="auto"/>
              <w:bottom w:val="double" w:sz="4" w:space="0" w:color="auto"/>
              <w:right w:val="single" w:sz="4" w:space="0" w:color="auto"/>
            </w:tcBorders>
            <w:hideMark/>
          </w:tcPr>
          <w:p w14:paraId="1CBDEE53" w14:textId="77777777" w:rsidR="00493F5F" w:rsidRPr="000C51BE" w:rsidRDefault="00493F5F" w:rsidP="00746CF9">
            <w:pPr>
              <w:spacing w:before="60" w:after="60" w:line="240" w:lineRule="auto"/>
              <w:textAlignment w:val="baseline"/>
              <w:rPr>
                <w:rFonts w:ascii="Arial" w:hAnsi="Arial" w:cs="Arial"/>
                <w:color w:val="000000" w:themeColor="text1"/>
                <w:sz w:val="16"/>
                <w:szCs w:val="18"/>
              </w:rPr>
            </w:pPr>
            <w:r w:rsidRPr="000C51BE">
              <w:rPr>
                <w:rFonts w:ascii="Arial" w:hAnsi="Arial" w:cs="Arial"/>
                <w:color w:val="000000" w:themeColor="text1"/>
                <w:sz w:val="16"/>
                <w:szCs w:val="18"/>
              </w:rPr>
              <w:t>Target audiences: Leisure travellers in key international markets (High Yield Travellers (HYT), Luxury HYT)</w:t>
            </w:r>
          </w:p>
          <w:p w14:paraId="3D6CA94A" w14:textId="77777777" w:rsidR="00493F5F" w:rsidRPr="000C51BE" w:rsidRDefault="00493F5F" w:rsidP="00746CF9">
            <w:pPr>
              <w:spacing w:before="60" w:after="60" w:line="240" w:lineRule="auto"/>
              <w:textAlignment w:val="baseline"/>
              <w:rPr>
                <w:rFonts w:ascii="Arial" w:hAnsi="Arial" w:cs="Arial"/>
                <w:color w:val="000000" w:themeColor="text1"/>
                <w:sz w:val="16"/>
                <w:szCs w:val="18"/>
              </w:rPr>
            </w:pPr>
            <w:r w:rsidRPr="000C51BE">
              <w:rPr>
                <w:rFonts w:ascii="Arial" w:hAnsi="Arial" w:cs="Arial"/>
                <w:color w:val="000000" w:themeColor="text1"/>
                <w:sz w:val="16"/>
                <w:szCs w:val="18"/>
              </w:rPr>
              <w:t>Key activities:</w:t>
            </w:r>
          </w:p>
          <w:p w14:paraId="0CA74C22" w14:textId="77777777" w:rsidR="00493F5F" w:rsidRPr="000C51BE" w:rsidRDefault="00493F5F" w:rsidP="00707A3D">
            <w:pPr>
              <w:numPr>
                <w:ilvl w:val="0"/>
                <w:numId w:val="37"/>
              </w:numPr>
              <w:spacing w:before="60" w:after="60" w:line="240" w:lineRule="auto"/>
              <w:ind w:left="171" w:hanging="171"/>
              <w:textAlignment w:val="baseline"/>
              <w:rPr>
                <w:rFonts w:ascii="Arial" w:hAnsi="Arial" w:cs="Arial"/>
                <w:color w:val="000000" w:themeColor="text1"/>
                <w:sz w:val="16"/>
                <w:szCs w:val="18"/>
              </w:rPr>
            </w:pPr>
            <w:r w:rsidRPr="000C51BE">
              <w:rPr>
                <w:rFonts w:ascii="Arial" w:hAnsi="Arial" w:cs="Arial"/>
                <w:color w:val="000000" w:themeColor="text1"/>
                <w:sz w:val="16"/>
                <w:szCs w:val="18"/>
                <w:lang w:val="en-US"/>
              </w:rPr>
              <w:t>Consumer research to build knowledge about what motivates target audiences when choosing a travel destination.</w:t>
            </w:r>
          </w:p>
          <w:p w14:paraId="09207C70" w14:textId="64F69FFC" w:rsidR="00493F5F" w:rsidRPr="000C51BE" w:rsidRDefault="00493F5F" w:rsidP="00707A3D">
            <w:pPr>
              <w:numPr>
                <w:ilvl w:val="0"/>
                <w:numId w:val="37"/>
              </w:numPr>
              <w:spacing w:before="60" w:after="60" w:line="240" w:lineRule="auto"/>
              <w:ind w:left="171" w:hanging="171"/>
              <w:textAlignment w:val="baseline"/>
              <w:rPr>
                <w:rFonts w:ascii="Arial" w:hAnsi="Arial" w:cs="Arial"/>
                <w:color w:val="000000" w:themeColor="text1"/>
                <w:sz w:val="16"/>
                <w:szCs w:val="18"/>
              </w:rPr>
            </w:pPr>
            <w:r w:rsidRPr="000C51BE">
              <w:rPr>
                <w:rFonts w:ascii="Arial" w:hAnsi="Arial" w:cs="Arial"/>
                <w:color w:val="000000" w:themeColor="text1"/>
                <w:sz w:val="16"/>
                <w:szCs w:val="18"/>
                <w:lang w:val="en-US"/>
              </w:rPr>
              <w:t>Marketing activities to stimulate target audiences (brand advertising and promotions, broadcasts, public relations, international media hosting, social media, and content development</w:t>
            </w:r>
            <w:r w:rsidR="00BD4D4C">
              <w:rPr>
                <w:rFonts w:ascii="Arial" w:hAnsi="Arial" w:cs="Arial"/>
                <w:color w:val="000000" w:themeColor="text1"/>
                <w:sz w:val="16"/>
                <w:szCs w:val="18"/>
                <w:lang w:val="en-US"/>
              </w:rPr>
              <w:t>)</w:t>
            </w:r>
            <w:r w:rsidRPr="000C51BE">
              <w:rPr>
                <w:rFonts w:ascii="Arial" w:hAnsi="Arial" w:cs="Arial"/>
                <w:color w:val="000000" w:themeColor="text1"/>
                <w:sz w:val="16"/>
                <w:szCs w:val="18"/>
                <w:lang w:val="en-US"/>
              </w:rPr>
              <w:t xml:space="preserve">. Our digital marketing will focus on continued refinements to Generative Engine </w:t>
            </w:r>
            <w:proofErr w:type="spellStart"/>
            <w:r w:rsidRPr="000C51BE">
              <w:rPr>
                <w:rFonts w:ascii="Arial" w:hAnsi="Arial" w:cs="Arial"/>
                <w:color w:val="000000" w:themeColor="text1"/>
                <w:sz w:val="16"/>
                <w:szCs w:val="18"/>
                <w:lang w:val="en-US"/>
              </w:rPr>
              <w:t>Optimisation</w:t>
            </w:r>
            <w:proofErr w:type="spellEnd"/>
            <w:r w:rsidRPr="000C51BE">
              <w:rPr>
                <w:rFonts w:ascii="Arial" w:hAnsi="Arial" w:cs="Arial"/>
                <w:color w:val="000000" w:themeColor="text1"/>
                <w:sz w:val="16"/>
                <w:szCs w:val="18"/>
                <w:lang w:val="en-US"/>
              </w:rPr>
              <w:t xml:space="preserve"> and Answer Engine </w:t>
            </w:r>
            <w:proofErr w:type="spellStart"/>
            <w:r w:rsidRPr="000C51BE">
              <w:rPr>
                <w:rFonts w:ascii="Arial" w:hAnsi="Arial" w:cs="Arial"/>
                <w:color w:val="000000" w:themeColor="text1"/>
                <w:sz w:val="16"/>
                <w:szCs w:val="18"/>
                <w:lang w:val="en-US"/>
              </w:rPr>
              <w:t>Optimisation</w:t>
            </w:r>
            <w:proofErr w:type="spellEnd"/>
            <w:r w:rsidRPr="000C51BE">
              <w:rPr>
                <w:rFonts w:ascii="Arial" w:hAnsi="Arial" w:cs="Arial"/>
                <w:color w:val="000000" w:themeColor="text1"/>
                <w:sz w:val="16"/>
                <w:szCs w:val="18"/>
                <w:lang w:val="en-US"/>
              </w:rPr>
              <w:t xml:space="preserve"> to heighten discoverability by consumers and large language models.</w:t>
            </w:r>
          </w:p>
          <w:p w14:paraId="3E527E20" w14:textId="77777777" w:rsidR="00493F5F" w:rsidRPr="000C51BE" w:rsidRDefault="00493F5F" w:rsidP="00707A3D">
            <w:pPr>
              <w:numPr>
                <w:ilvl w:val="0"/>
                <w:numId w:val="37"/>
              </w:numPr>
              <w:spacing w:before="60" w:after="60" w:line="240" w:lineRule="auto"/>
              <w:ind w:left="171" w:hanging="171"/>
              <w:textAlignment w:val="baseline"/>
              <w:rPr>
                <w:rFonts w:ascii="Arial" w:hAnsi="Arial" w:cs="Arial"/>
                <w:color w:val="000000" w:themeColor="text1"/>
                <w:sz w:val="16"/>
                <w:szCs w:val="18"/>
              </w:rPr>
            </w:pPr>
            <w:r w:rsidRPr="000C51BE">
              <w:rPr>
                <w:rFonts w:ascii="Arial" w:hAnsi="Arial" w:cs="Arial"/>
                <w:color w:val="000000" w:themeColor="text1"/>
                <w:sz w:val="16"/>
                <w:szCs w:val="18"/>
                <w:lang w:val="en-US"/>
              </w:rPr>
              <w:t xml:space="preserve">Campaigns, supported by state and territory tourism </w:t>
            </w:r>
            <w:proofErr w:type="spellStart"/>
            <w:r w:rsidRPr="000C51BE">
              <w:rPr>
                <w:rFonts w:ascii="Arial" w:hAnsi="Arial" w:cs="Arial"/>
                <w:color w:val="000000" w:themeColor="text1"/>
                <w:sz w:val="16"/>
                <w:szCs w:val="18"/>
                <w:lang w:val="en-US"/>
              </w:rPr>
              <w:t>organisations</w:t>
            </w:r>
            <w:proofErr w:type="spellEnd"/>
            <w:r w:rsidRPr="000C51BE">
              <w:rPr>
                <w:rFonts w:ascii="Arial" w:hAnsi="Arial" w:cs="Arial"/>
                <w:color w:val="000000" w:themeColor="text1"/>
                <w:sz w:val="16"/>
                <w:szCs w:val="18"/>
                <w:lang w:val="en-US"/>
              </w:rPr>
              <w:t xml:space="preserve"> and commercial partners.</w:t>
            </w:r>
          </w:p>
          <w:p w14:paraId="7DBD5642" w14:textId="77777777" w:rsidR="00493F5F" w:rsidRPr="000C51BE" w:rsidRDefault="00493F5F" w:rsidP="00707A3D">
            <w:pPr>
              <w:numPr>
                <w:ilvl w:val="0"/>
                <w:numId w:val="37"/>
              </w:numPr>
              <w:spacing w:before="60" w:after="60" w:line="240" w:lineRule="auto"/>
              <w:ind w:left="170" w:hanging="170"/>
              <w:textAlignment w:val="baseline"/>
              <w:rPr>
                <w:rFonts w:ascii="Arial" w:hAnsi="Arial" w:cs="Arial"/>
                <w:color w:val="000000" w:themeColor="text1"/>
                <w:sz w:val="16"/>
                <w:szCs w:val="18"/>
              </w:rPr>
            </w:pPr>
            <w:r w:rsidRPr="000C51BE">
              <w:rPr>
                <w:rFonts w:ascii="Arial" w:hAnsi="Arial" w:cs="Arial"/>
                <w:color w:val="000000" w:themeColor="text1"/>
                <w:sz w:val="16"/>
                <w:szCs w:val="18"/>
                <w:lang w:val="en-US"/>
              </w:rPr>
              <w:t>Work in partnership with government and industry to align efforts and activities, increasing Australia’s collective share of voice to achieve efficiency and effectiveness.</w:t>
            </w:r>
            <w:r w:rsidRPr="000C51BE">
              <w:rPr>
                <w:rFonts w:ascii="Arial" w:hAnsi="Arial" w:cs="Arial"/>
                <w:color w:val="000000" w:themeColor="text1"/>
                <w:sz w:val="16"/>
                <w:szCs w:val="18"/>
              </w:rPr>
              <w:t> </w:t>
            </w:r>
          </w:p>
          <w:p w14:paraId="63A30A80" w14:textId="77777777" w:rsidR="00493F5F" w:rsidRPr="000C51BE" w:rsidRDefault="00493F5F" w:rsidP="00746CF9">
            <w:pPr>
              <w:spacing w:before="60" w:after="60" w:line="240" w:lineRule="auto"/>
              <w:textAlignment w:val="baseline"/>
              <w:rPr>
                <w:rFonts w:ascii="Arial" w:hAnsi="Arial" w:cs="Arial"/>
                <w:color w:val="000000" w:themeColor="text1"/>
                <w:sz w:val="16"/>
                <w:szCs w:val="18"/>
              </w:rPr>
            </w:pPr>
            <w:r w:rsidRPr="000C51BE">
              <w:rPr>
                <w:rFonts w:ascii="Arial" w:hAnsi="Arial" w:cs="Arial"/>
                <w:color w:val="000000" w:themeColor="text1"/>
                <w:sz w:val="16"/>
                <w:szCs w:val="18"/>
              </w:rPr>
              <w:t>Target audiences: Business Events decision-makers in key international markets.</w:t>
            </w:r>
          </w:p>
          <w:p w14:paraId="00D6B954" w14:textId="77777777" w:rsidR="00493F5F" w:rsidRPr="000C51BE" w:rsidRDefault="00493F5F" w:rsidP="00746CF9">
            <w:pPr>
              <w:spacing w:before="60" w:after="60" w:line="240" w:lineRule="auto"/>
              <w:textAlignment w:val="baseline"/>
              <w:rPr>
                <w:rFonts w:ascii="Arial" w:hAnsi="Arial" w:cs="Arial"/>
                <w:color w:val="000000" w:themeColor="text1"/>
                <w:sz w:val="16"/>
                <w:szCs w:val="18"/>
              </w:rPr>
            </w:pPr>
            <w:r w:rsidRPr="000C51BE">
              <w:rPr>
                <w:rFonts w:ascii="Arial" w:hAnsi="Arial" w:cs="Arial"/>
                <w:color w:val="000000" w:themeColor="text1"/>
                <w:sz w:val="16"/>
                <w:szCs w:val="18"/>
              </w:rPr>
              <w:t xml:space="preserve">Key activities: </w:t>
            </w:r>
          </w:p>
          <w:p w14:paraId="48908369" w14:textId="77777777" w:rsidR="00493F5F" w:rsidRPr="000C51BE" w:rsidRDefault="00493F5F" w:rsidP="00707A3D">
            <w:pPr>
              <w:numPr>
                <w:ilvl w:val="0"/>
                <w:numId w:val="38"/>
              </w:numPr>
              <w:spacing w:before="60" w:after="60" w:line="240" w:lineRule="auto"/>
              <w:ind w:left="171" w:hanging="140"/>
              <w:textAlignment w:val="baseline"/>
              <w:rPr>
                <w:rFonts w:ascii="Arial" w:hAnsi="Arial" w:cs="Arial"/>
                <w:color w:val="000000" w:themeColor="text1"/>
                <w:sz w:val="16"/>
                <w:szCs w:val="18"/>
              </w:rPr>
            </w:pPr>
            <w:r w:rsidRPr="000C51BE">
              <w:rPr>
                <w:rFonts w:ascii="Arial" w:hAnsi="Arial" w:cs="Arial"/>
                <w:color w:val="000000" w:themeColor="text1"/>
                <w:sz w:val="16"/>
                <w:szCs w:val="18"/>
                <w:lang w:val="en-US"/>
              </w:rPr>
              <w:t>Consumer research to build knowledge of the needs of incentive and association decision-makers when choosing destinations for corporate and association meetings.</w:t>
            </w:r>
          </w:p>
          <w:p w14:paraId="6B0E4050" w14:textId="77777777" w:rsidR="00493F5F" w:rsidRPr="000C51BE" w:rsidRDefault="00493F5F" w:rsidP="00707A3D">
            <w:pPr>
              <w:numPr>
                <w:ilvl w:val="0"/>
                <w:numId w:val="38"/>
              </w:numPr>
              <w:spacing w:before="60" w:after="60" w:line="240" w:lineRule="auto"/>
              <w:ind w:left="171" w:hanging="140"/>
              <w:textAlignment w:val="baseline"/>
              <w:rPr>
                <w:rFonts w:ascii="Arial" w:hAnsi="Arial" w:cs="Arial"/>
                <w:color w:val="000000" w:themeColor="text1"/>
                <w:sz w:val="16"/>
                <w:szCs w:val="18"/>
              </w:rPr>
            </w:pPr>
            <w:r w:rsidRPr="000C51BE">
              <w:rPr>
                <w:rFonts w:ascii="Arial" w:hAnsi="Arial" w:cs="Arial"/>
                <w:color w:val="000000" w:themeColor="text1"/>
                <w:sz w:val="16"/>
                <w:szCs w:val="18"/>
                <w:lang w:val="en-US"/>
              </w:rPr>
              <w:t>Marketing activities to promote Australia as a business events destination, including brand advertising, content and public relations, trade events and buyer and agent </w:t>
            </w:r>
            <w:proofErr w:type="spellStart"/>
            <w:r w:rsidRPr="000C51BE">
              <w:rPr>
                <w:rFonts w:ascii="Arial" w:hAnsi="Arial" w:cs="Arial"/>
                <w:color w:val="000000" w:themeColor="text1"/>
                <w:sz w:val="16"/>
                <w:szCs w:val="18"/>
                <w:lang w:val="en-US"/>
              </w:rPr>
              <w:t>familiarisations</w:t>
            </w:r>
            <w:proofErr w:type="spellEnd"/>
            <w:r w:rsidRPr="000C51BE">
              <w:rPr>
                <w:rFonts w:ascii="Arial" w:hAnsi="Arial" w:cs="Arial"/>
                <w:color w:val="000000" w:themeColor="text1"/>
                <w:sz w:val="16"/>
                <w:szCs w:val="18"/>
                <w:lang w:val="en-US"/>
              </w:rPr>
              <w:t>.</w:t>
            </w:r>
          </w:p>
        </w:tc>
      </w:tr>
    </w:tbl>
    <w:p w14:paraId="627A828B" w14:textId="61BB5A7E" w:rsidR="00493F5F" w:rsidRDefault="00493F5F" w:rsidP="00493F5F">
      <w:pPr>
        <w:pStyle w:val="TableGraphic"/>
      </w:pPr>
      <w:r w:rsidRPr="00493F5F">
        <w:rPr>
          <w:rFonts w:ascii="Arial" w:hAnsi="Arial" w:cs="Arial"/>
          <w:sz w:val="16"/>
          <w:szCs w:val="16"/>
        </w:rPr>
        <w:t xml:space="preserve">Table </w:t>
      </w:r>
      <w:proofErr w:type="gramStart"/>
      <w:r w:rsidRPr="00493F5F">
        <w:rPr>
          <w:rFonts w:ascii="Arial" w:hAnsi="Arial" w:cs="Arial"/>
          <w:sz w:val="16"/>
          <w:szCs w:val="16"/>
        </w:rPr>
        <w:t>continued on</w:t>
      </w:r>
      <w:proofErr w:type="gramEnd"/>
      <w:r w:rsidRPr="00493F5F">
        <w:rPr>
          <w:rFonts w:ascii="Arial" w:hAnsi="Arial" w:cs="Arial"/>
          <w:sz w:val="16"/>
          <w:szCs w:val="16"/>
        </w:rPr>
        <w:t xml:space="preserve"> the next page</w:t>
      </w:r>
      <w:r>
        <w:t xml:space="preserve">. </w:t>
      </w:r>
    </w:p>
    <w:p w14:paraId="11BD85C0" w14:textId="7FC88AF5" w:rsidR="00493F5F" w:rsidRDefault="00493F5F">
      <w:pPr>
        <w:spacing w:before="0" w:after="0" w:line="240" w:lineRule="auto"/>
      </w:pPr>
      <w:r>
        <w:br w:type="page"/>
      </w:r>
    </w:p>
    <w:p w14:paraId="12F0D8B9" w14:textId="77777777" w:rsidR="00493F5F" w:rsidRDefault="00493F5F" w:rsidP="00493F5F">
      <w:pPr>
        <w:pStyle w:val="Heading5"/>
        <w:rPr>
          <w:b/>
          <w:bCs w:val="0"/>
          <w:i w:val="0"/>
          <w:iCs w:val="0"/>
        </w:rPr>
      </w:pPr>
      <w:r w:rsidRPr="00D02970">
        <w:rPr>
          <w:b/>
          <w:bCs w:val="0"/>
          <w:i w:val="0"/>
          <w:iCs w:val="0"/>
        </w:rPr>
        <w:lastRenderedPageBreak/>
        <w:t>Table 2.1.3: Performance measures for Outcome 1</w:t>
      </w:r>
      <w:r>
        <w:rPr>
          <w:b/>
          <w:bCs w:val="0"/>
          <w:i w:val="0"/>
          <w:iCs w:val="0"/>
        </w:rPr>
        <w:t xml:space="preserve"> (continued)</w:t>
      </w:r>
    </w:p>
    <w:tbl>
      <w:tblPr>
        <w:tblW w:w="77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3264"/>
        <w:gridCol w:w="2945"/>
      </w:tblGrid>
      <w:tr w:rsidR="00493F5F" w:rsidRPr="002A5634" w14:paraId="510DCC9F" w14:textId="77777777">
        <w:trPr>
          <w:trHeight w:val="542"/>
          <w:tblHeader/>
        </w:trPr>
        <w:tc>
          <w:tcPr>
            <w:tcW w:w="9214"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3CB6EF79" w14:textId="77777777" w:rsidR="00493F5F" w:rsidRPr="002A5634" w:rsidRDefault="00493F5F" w:rsidP="00746CF9">
            <w:pPr>
              <w:spacing w:before="60" w:after="60" w:line="240" w:lineRule="auto"/>
              <w:textAlignment w:val="baseline"/>
              <w:rPr>
                <w:rFonts w:ascii="Arial" w:hAnsi="Arial" w:cs="Arial"/>
                <w:color w:val="000000" w:themeColor="text1"/>
                <w:sz w:val="16"/>
                <w:szCs w:val="16"/>
                <w:lang w:eastAsia="zh-CN"/>
              </w:rPr>
            </w:pPr>
            <w:r w:rsidRPr="002A5634">
              <w:rPr>
                <w:rFonts w:ascii="Arial" w:hAnsi="Arial" w:cs="Arial"/>
                <w:b/>
                <w:bCs/>
                <w:color w:val="000000" w:themeColor="text1"/>
                <w:sz w:val="16"/>
                <w:szCs w:val="16"/>
                <w:lang w:eastAsia="zh-CN"/>
              </w:rPr>
              <w:t>Outcome 1 – Grow demand and foster a competitive and sustainable Australian tourism industry through partnership marketing to targeted global consumers in key markets.</w:t>
            </w:r>
          </w:p>
        </w:tc>
      </w:tr>
      <w:tr w:rsidR="00493F5F" w:rsidRPr="002A5634" w14:paraId="7A15D19E" w14:textId="77777777">
        <w:trPr>
          <w:trHeight w:val="680"/>
          <w:tblHeader/>
        </w:trPr>
        <w:tc>
          <w:tcPr>
            <w:tcW w:w="9214" w:type="dxa"/>
            <w:gridSpan w:val="3"/>
            <w:shd w:val="clear" w:color="auto" w:fill="F2F2F2"/>
            <w:hideMark/>
          </w:tcPr>
          <w:p w14:paraId="196FDD89" w14:textId="77777777" w:rsidR="00493F5F" w:rsidRPr="002A5634" w:rsidRDefault="00493F5F" w:rsidP="00746CF9">
            <w:pPr>
              <w:tabs>
                <w:tab w:val="left" w:pos="709"/>
              </w:tabs>
              <w:spacing w:before="60" w:after="60" w:line="240" w:lineRule="auto"/>
              <w:rPr>
                <w:rFonts w:ascii="Arial" w:hAnsi="Arial" w:cs="Arial"/>
                <w:b/>
                <w:color w:val="000000" w:themeColor="text1"/>
                <w:sz w:val="16"/>
                <w:szCs w:val="16"/>
              </w:rPr>
            </w:pPr>
            <w:r w:rsidRPr="002A5634">
              <w:rPr>
                <w:rFonts w:ascii="Arial" w:hAnsi="Arial" w:cs="Arial"/>
                <w:b/>
                <w:color w:val="000000" w:themeColor="text1"/>
                <w:sz w:val="16"/>
                <w:szCs w:val="16"/>
              </w:rPr>
              <w:t>Program 1.1: Supporting Outcome 1</w:t>
            </w:r>
          </w:p>
          <w:p w14:paraId="73928837" w14:textId="77777777" w:rsidR="00493F5F" w:rsidRPr="002A5634" w:rsidRDefault="00493F5F" w:rsidP="00746CF9">
            <w:pPr>
              <w:tabs>
                <w:tab w:val="left" w:pos="709"/>
              </w:tabs>
              <w:spacing w:before="60" w:after="60" w:line="240" w:lineRule="auto"/>
              <w:rPr>
                <w:rFonts w:ascii="Arial" w:hAnsi="Arial" w:cs="Arial"/>
                <w:b/>
                <w:bCs/>
                <w:color w:val="000000" w:themeColor="text1"/>
                <w:sz w:val="16"/>
                <w:szCs w:val="16"/>
              </w:rPr>
            </w:pPr>
            <w:r w:rsidRPr="002A5634">
              <w:rPr>
                <w:rFonts w:ascii="Arial" w:hAnsi="Arial" w:cs="Arial"/>
                <w:b/>
                <w:bCs/>
                <w:color w:val="000000" w:themeColor="text1"/>
                <w:sz w:val="16"/>
                <w:szCs w:val="16"/>
              </w:rPr>
              <w:t>Component 1.1.1: Grow Demand</w:t>
            </w:r>
          </w:p>
          <w:p w14:paraId="57808FB4" w14:textId="77777777" w:rsidR="00493F5F" w:rsidRPr="002A5634" w:rsidRDefault="00493F5F" w:rsidP="00746CF9">
            <w:pPr>
              <w:tabs>
                <w:tab w:val="left" w:pos="709"/>
              </w:tabs>
              <w:spacing w:before="60" w:after="60" w:line="240" w:lineRule="auto"/>
              <w:rPr>
                <w:rFonts w:ascii="Arial" w:hAnsi="Arial" w:cs="Arial"/>
                <w:color w:val="000000" w:themeColor="text1"/>
                <w:sz w:val="16"/>
                <w:szCs w:val="16"/>
              </w:rPr>
            </w:pPr>
            <w:r w:rsidRPr="002A5634">
              <w:rPr>
                <w:rFonts w:ascii="Arial" w:hAnsi="Arial" w:cs="Arial"/>
                <w:color w:val="000000" w:themeColor="text1"/>
                <w:sz w:val="16"/>
                <w:szCs w:val="16"/>
              </w:rPr>
              <w:t>Objective: Identify and target best prospect consumers in our target markets, inspire them to travel to and throughout Australia.</w:t>
            </w:r>
          </w:p>
        </w:tc>
      </w:tr>
      <w:tr w:rsidR="00493F5F" w:rsidRPr="002A5634" w14:paraId="47C995BC" w14:textId="77777777">
        <w:trPr>
          <w:trHeight w:val="300"/>
        </w:trPr>
        <w:tc>
          <w:tcPr>
            <w:tcW w:w="1701" w:type="dxa"/>
            <w:tcBorders>
              <w:top w:val="double" w:sz="4" w:space="0" w:color="auto"/>
              <w:left w:val="single" w:sz="4" w:space="0" w:color="auto"/>
              <w:bottom w:val="single" w:sz="4" w:space="0" w:color="auto"/>
              <w:right w:val="single" w:sz="4" w:space="0" w:color="auto"/>
            </w:tcBorders>
            <w:hideMark/>
          </w:tcPr>
          <w:p w14:paraId="32178373" w14:textId="77777777" w:rsidR="00493F5F" w:rsidRPr="002A5634" w:rsidRDefault="00493F5F" w:rsidP="00746CF9">
            <w:pPr>
              <w:tabs>
                <w:tab w:val="left" w:pos="709"/>
              </w:tabs>
              <w:spacing w:before="60" w:after="60" w:line="240" w:lineRule="auto"/>
              <w:rPr>
                <w:rFonts w:ascii="Arial" w:hAnsi="Arial" w:cs="Arial"/>
                <w:b/>
                <w:color w:val="000000" w:themeColor="text1"/>
                <w:sz w:val="16"/>
                <w:szCs w:val="16"/>
              </w:rPr>
            </w:pPr>
            <w:r w:rsidRPr="002A5634">
              <w:rPr>
                <w:rFonts w:ascii="Arial" w:hAnsi="Arial" w:cs="Arial"/>
                <w:b/>
                <w:color w:val="000000" w:themeColor="text1"/>
                <w:sz w:val="16"/>
                <w:szCs w:val="16"/>
              </w:rPr>
              <w:t>Year</w:t>
            </w:r>
          </w:p>
        </w:tc>
        <w:tc>
          <w:tcPr>
            <w:tcW w:w="3969" w:type="dxa"/>
            <w:tcBorders>
              <w:top w:val="double" w:sz="4" w:space="0" w:color="auto"/>
              <w:left w:val="single" w:sz="4" w:space="0" w:color="auto"/>
              <w:bottom w:val="single" w:sz="4" w:space="0" w:color="auto"/>
              <w:right w:val="single" w:sz="4" w:space="0" w:color="auto"/>
            </w:tcBorders>
            <w:hideMark/>
          </w:tcPr>
          <w:p w14:paraId="4B1A9FBA" w14:textId="77777777" w:rsidR="00493F5F" w:rsidRPr="002A5634" w:rsidRDefault="00493F5F" w:rsidP="00746CF9">
            <w:pPr>
              <w:tabs>
                <w:tab w:val="left" w:pos="709"/>
              </w:tabs>
              <w:spacing w:before="60" w:after="60" w:line="240" w:lineRule="auto"/>
              <w:rPr>
                <w:rFonts w:ascii="Arial" w:hAnsi="Arial" w:cs="Arial"/>
                <w:b/>
                <w:color w:val="000000" w:themeColor="text1"/>
                <w:sz w:val="16"/>
                <w:szCs w:val="16"/>
              </w:rPr>
            </w:pPr>
            <w:r w:rsidRPr="002A5634">
              <w:rPr>
                <w:rFonts w:ascii="Arial" w:hAnsi="Arial" w:cs="Arial"/>
                <w:b/>
                <w:color w:val="000000" w:themeColor="text1"/>
                <w:sz w:val="16"/>
                <w:szCs w:val="16"/>
              </w:rPr>
              <w:t xml:space="preserve">Performance measures </w:t>
            </w:r>
          </w:p>
        </w:tc>
        <w:tc>
          <w:tcPr>
            <w:tcW w:w="3544" w:type="dxa"/>
            <w:tcBorders>
              <w:top w:val="double" w:sz="4" w:space="0" w:color="auto"/>
              <w:left w:val="single" w:sz="4" w:space="0" w:color="auto"/>
              <w:bottom w:val="single" w:sz="4" w:space="0" w:color="auto"/>
              <w:right w:val="single" w:sz="4" w:space="0" w:color="auto"/>
            </w:tcBorders>
            <w:hideMark/>
          </w:tcPr>
          <w:p w14:paraId="576E9150" w14:textId="77777777" w:rsidR="00493F5F" w:rsidRPr="002A5634" w:rsidRDefault="00493F5F" w:rsidP="00746CF9">
            <w:pPr>
              <w:tabs>
                <w:tab w:val="left" w:pos="709"/>
              </w:tabs>
              <w:spacing w:before="60" w:after="60" w:line="240" w:lineRule="auto"/>
              <w:rPr>
                <w:rFonts w:ascii="Arial" w:hAnsi="Arial" w:cs="Arial"/>
                <w:b/>
                <w:color w:val="000000" w:themeColor="text1"/>
                <w:sz w:val="16"/>
                <w:szCs w:val="16"/>
              </w:rPr>
            </w:pPr>
            <w:r w:rsidRPr="002A5634">
              <w:rPr>
                <w:rFonts w:ascii="Arial" w:hAnsi="Arial" w:cs="Arial"/>
                <w:b/>
                <w:color w:val="000000" w:themeColor="text1"/>
                <w:sz w:val="16"/>
                <w:szCs w:val="16"/>
              </w:rPr>
              <w:t>Expected performance results</w:t>
            </w:r>
          </w:p>
        </w:tc>
      </w:tr>
      <w:tr w:rsidR="00493F5F" w:rsidRPr="002A5634" w14:paraId="1C8C2549" w14:textId="77777777">
        <w:trPr>
          <w:trHeight w:val="689"/>
        </w:trPr>
        <w:tc>
          <w:tcPr>
            <w:tcW w:w="1701" w:type="dxa"/>
            <w:tcBorders>
              <w:top w:val="single" w:sz="4" w:space="0" w:color="auto"/>
              <w:left w:val="single" w:sz="4" w:space="0" w:color="auto"/>
              <w:bottom w:val="single" w:sz="4" w:space="0" w:color="auto"/>
              <w:right w:val="single" w:sz="4" w:space="0" w:color="auto"/>
            </w:tcBorders>
            <w:hideMark/>
          </w:tcPr>
          <w:p w14:paraId="1B8227D0" w14:textId="77777777" w:rsidR="00493F5F" w:rsidRPr="002A5634" w:rsidRDefault="00493F5F" w:rsidP="00746CF9">
            <w:pPr>
              <w:tabs>
                <w:tab w:val="left" w:pos="709"/>
              </w:tabs>
              <w:spacing w:before="60" w:after="60" w:line="240" w:lineRule="auto"/>
              <w:rPr>
                <w:rFonts w:ascii="Arial" w:hAnsi="Arial" w:cs="Arial"/>
                <w:color w:val="000000" w:themeColor="text1"/>
                <w:sz w:val="16"/>
                <w:szCs w:val="16"/>
              </w:rPr>
            </w:pPr>
            <w:r w:rsidRPr="002A5634">
              <w:rPr>
                <w:rFonts w:ascii="Arial" w:hAnsi="Arial" w:cs="Arial"/>
                <w:color w:val="000000" w:themeColor="text1"/>
                <w:sz w:val="16"/>
                <w:szCs w:val="16"/>
              </w:rPr>
              <w:t>Current year</w:t>
            </w:r>
          </w:p>
          <w:p w14:paraId="6B3E1A38" w14:textId="787C02B0" w:rsidR="00493F5F" w:rsidRPr="002A5634" w:rsidRDefault="00493F5F" w:rsidP="00746CF9">
            <w:pPr>
              <w:tabs>
                <w:tab w:val="left" w:pos="709"/>
              </w:tabs>
              <w:spacing w:before="60" w:after="60" w:line="240" w:lineRule="auto"/>
              <w:rPr>
                <w:rFonts w:ascii="Arial" w:hAnsi="Arial" w:cs="Arial"/>
                <w:color w:val="000000" w:themeColor="text1"/>
                <w:sz w:val="16"/>
                <w:szCs w:val="16"/>
              </w:rPr>
            </w:pPr>
            <w:r w:rsidRPr="002A5634">
              <w:rPr>
                <w:rFonts w:ascii="Arial" w:hAnsi="Arial" w:cs="Arial"/>
                <w:color w:val="000000" w:themeColor="text1"/>
                <w:sz w:val="16"/>
                <w:szCs w:val="16"/>
              </w:rPr>
              <w:t>2025</w:t>
            </w:r>
            <w:r w:rsidR="005420BC" w:rsidRPr="005420BC">
              <w:rPr>
                <w:rFonts w:ascii="Arial" w:hAnsi="Arial" w:cs="Arial"/>
                <w:color w:val="000000" w:themeColor="text1"/>
                <w:sz w:val="16"/>
                <w:szCs w:val="16"/>
              </w:rPr>
              <w:t>–</w:t>
            </w:r>
            <w:r w:rsidRPr="002A5634">
              <w:rPr>
                <w:rFonts w:ascii="Arial" w:hAnsi="Arial" w:cs="Arial"/>
                <w:color w:val="000000" w:themeColor="text1"/>
                <w:sz w:val="16"/>
                <w:szCs w:val="16"/>
              </w:rPr>
              <w:t>26</w:t>
            </w:r>
          </w:p>
        </w:tc>
        <w:tc>
          <w:tcPr>
            <w:tcW w:w="3969" w:type="dxa"/>
            <w:tcBorders>
              <w:top w:val="single" w:sz="4" w:space="0" w:color="auto"/>
              <w:left w:val="single" w:sz="4" w:space="0" w:color="auto"/>
              <w:bottom w:val="single" w:sz="4" w:space="0" w:color="auto"/>
              <w:right w:val="single" w:sz="4" w:space="0" w:color="auto"/>
            </w:tcBorders>
            <w:hideMark/>
          </w:tcPr>
          <w:p w14:paraId="4880D75F"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Key metric</w:t>
            </w:r>
            <w:r w:rsidRPr="00493F5F">
              <w:rPr>
                <w:rFonts w:ascii="Arial" w:hAnsi="Arial" w:cs="Arial"/>
                <w:color w:val="000000" w:themeColor="text1"/>
                <w:sz w:val="16"/>
                <w:szCs w:val="16"/>
              </w:rPr>
              <w:t> </w:t>
            </w:r>
          </w:p>
          <w:p w14:paraId="0EEA2EAB" w14:textId="77777777" w:rsidR="00AB39DF" w:rsidRPr="00AB39DF" w:rsidRDefault="00AB39DF" w:rsidP="00AB39DF">
            <w:pPr>
              <w:spacing w:before="60" w:after="60" w:line="240" w:lineRule="auto"/>
              <w:textAlignment w:val="baseline"/>
              <w:rPr>
                <w:rFonts w:ascii="Arial" w:hAnsi="Arial" w:cs="Arial"/>
                <w:color w:val="000000" w:themeColor="text1"/>
                <w:sz w:val="16"/>
                <w:szCs w:val="16"/>
              </w:rPr>
            </w:pPr>
            <w:r w:rsidRPr="00AB39DF">
              <w:rPr>
                <w:rFonts w:ascii="Arial" w:hAnsi="Arial" w:cs="Arial"/>
                <w:color w:val="000000" w:themeColor="text1"/>
                <w:sz w:val="16"/>
                <w:szCs w:val="16"/>
              </w:rPr>
              <w:t>Total tourism visitor expenditure (domestic and international)</w:t>
            </w:r>
          </w:p>
          <w:p w14:paraId="5037DF66" w14:textId="490D07F3" w:rsidR="00AB39DF" w:rsidRDefault="00AB39DF" w:rsidP="00AB39DF">
            <w:pPr>
              <w:spacing w:before="60" w:after="60" w:line="240" w:lineRule="auto"/>
              <w:textAlignment w:val="baseline"/>
              <w:rPr>
                <w:rFonts w:ascii="Arial" w:hAnsi="Arial" w:cs="Arial"/>
                <w:color w:val="000000" w:themeColor="text1"/>
                <w:sz w:val="16"/>
                <w:szCs w:val="16"/>
              </w:rPr>
            </w:pPr>
            <w:r w:rsidRPr="00AB39DF">
              <w:rPr>
                <w:rFonts w:ascii="Arial" w:hAnsi="Arial" w:cs="Arial"/>
                <w:color w:val="000000" w:themeColor="text1"/>
                <w:sz w:val="16"/>
                <w:szCs w:val="16"/>
              </w:rPr>
              <w:t>Total international expenditure</w:t>
            </w:r>
          </w:p>
          <w:p w14:paraId="6CE2A955"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International leisure expenditure</w:t>
            </w:r>
          </w:p>
          <w:p w14:paraId="4E871259"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Business events expenditure</w:t>
            </w:r>
          </w:p>
          <w:p w14:paraId="2ED7AC89"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Destination brand – awareness</w:t>
            </w:r>
          </w:p>
          <w:p w14:paraId="2302D332"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Destination brand – consideration</w:t>
            </w:r>
          </w:p>
          <w:p w14:paraId="3E6CED52" w14:textId="77777777" w:rsidR="00493F5F" w:rsidRPr="00493F5F" w:rsidRDefault="00493F5F" w:rsidP="00746CF9">
            <w:pPr>
              <w:tabs>
                <w:tab w:val="left" w:pos="709"/>
              </w:tabs>
              <w:spacing w:before="60" w:after="60" w:line="240" w:lineRule="auto"/>
              <w:rPr>
                <w:rFonts w:ascii="Arial" w:hAnsi="Arial" w:cs="Arial"/>
                <w:color w:val="000000" w:themeColor="text1"/>
                <w:sz w:val="16"/>
                <w:szCs w:val="16"/>
              </w:rPr>
            </w:pPr>
          </w:p>
        </w:tc>
        <w:tc>
          <w:tcPr>
            <w:tcW w:w="3544" w:type="dxa"/>
            <w:tcBorders>
              <w:top w:val="single" w:sz="4" w:space="0" w:color="auto"/>
              <w:left w:val="single" w:sz="4" w:space="0" w:color="auto"/>
              <w:bottom w:val="single" w:sz="4" w:space="0" w:color="auto"/>
            </w:tcBorders>
          </w:tcPr>
          <w:p w14:paraId="73D9398E"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 xml:space="preserve">Est. performance </w:t>
            </w:r>
            <w:proofErr w:type="gramStart"/>
            <w:r w:rsidRPr="00493F5F">
              <w:rPr>
                <w:rFonts w:ascii="Arial" w:hAnsi="Arial" w:cs="Arial"/>
                <w:color w:val="000000" w:themeColor="text1"/>
                <w:sz w:val="16"/>
                <w:szCs w:val="16"/>
                <w:u w:val="single"/>
              </w:rPr>
              <w:t>at</w:t>
            </w:r>
            <w:proofErr w:type="gramEnd"/>
            <w:r w:rsidRPr="00493F5F">
              <w:rPr>
                <w:rFonts w:ascii="Arial" w:hAnsi="Arial" w:cs="Arial"/>
                <w:color w:val="000000" w:themeColor="text1"/>
                <w:sz w:val="16"/>
                <w:szCs w:val="16"/>
                <w:u w:val="single"/>
              </w:rPr>
              <w:t xml:space="preserve"> 30 June 2026</w:t>
            </w:r>
          </w:p>
          <w:p w14:paraId="6F81E376" w14:textId="30DB0BFB" w:rsid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$172</w:t>
            </w:r>
            <w:r w:rsidR="00AB39DF">
              <w:rPr>
                <w:rFonts w:ascii="Arial" w:hAnsi="Arial" w:cs="Arial"/>
                <w:color w:val="000000" w:themeColor="text1"/>
                <w:sz w:val="16"/>
                <w:szCs w:val="16"/>
              </w:rPr>
              <w:t>.0</w:t>
            </w:r>
            <w:r w:rsidRPr="00493F5F">
              <w:rPr>
                <w:rFonts w:ascii="Arial" w:hAnsi="Arial" w:cs="Arial"/>
                <w:color w:val="000000" w:themeColor="text1"/>
                <w:sz w:val="16"/>
                <w:szCs w:val="16"/>
              </w:rPr>
              <w:t xml:space="preserve"> billion</w:t>
            </w:r>
          </w:p>
          <w:p w14:paraId="5433D3F1" w14:textId="77777777" w:rsidR="00AB39DF" w:rsidRPr="0011141D" w:rsidRDefault="00AB39DF" w:rsidP="00746CF9">
            <w:pPr>
              <w:spacing w:before="60" w:after="60" w:line="240" w:lineRule="auto"/>
              <w:textAlignment w:val="baseline"/>
              <w:rPr>
                <w:rFonts w:ascii="Arial" w:hAnsi="Arial" w:cs="Arial"/>
                <w:color w:val="000000" w:themeColor="text1"/>
                <w:sz w:val="8"/>
                <w:szCs w:val="8"/>
              </w:rPr>
            </w:pPr>
          </w:p>
          <w:p w14:paraId="0EB647ED" w14:textId="6C580A8A" w:rsidR="00AB39DF" w:rsidRPr="00493F5F" w:rsidRDefault="00AB39DF" w:rsidP="00746CF9">
            <w:pPr>
              <w:spacing w:before="60" w:after="6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$57.0 billion</w:t>
            </w:r>
          </w:p>
          <w:p w14:paraId="65000ED7" w14:textId="79983B5E"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$34</w:t>
            </w:r>
            <w:r w:rsidR="00AB39DF">
              <w:rPr>
                <w:rFonts w:ascii="Arial" w:hAnsi="Arial" w:cs="Arial"/>
                <w:color w:val="000000" w:themeColor="text1"/>
                <w:sz w:val="16"/>
                <w:szCs w:val="16"/>
              </w:rPr>
              <w:t>.0</w:t>
            </w:r>
            <w:r w:rsidRPr="00493F5F">
              <w:rPr>
                <w:rFonts w:ascii="Arial" w:hAnsi="Arial" w:cs="Arial"/>
                <w:color w:val="000000" w:themeColor="text1"/>
                <w:sz w:val="16"/>
                <w:szCs w:val="16"/>
              </w:rPr>
              <w:t xml:space="preserve"> billion</w:t>
            </w:r>
          </w:p>
          <w:p w14:paraId="4E463A60"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$4.7 billion</w:t>
            </w:r>
          </w:p>
          <w:p w14:paraId="773A60C5"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 xml:space="preserve">55.3 per cent </w:t>
            </w:r>
          </w:p>
          <w:p w14:paraId="159F54FD"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40.5 per cent</w:t>
            </w:r>
          </w:p>
        </w:tc>
      </w:tr>
      <w:tr w:rsidR="00493F5F" w:rsidRPr="002A5634" w14:paraId="16A869A2" w14:textId="77777777">
        <w:trPr>
          <w:trHeight w:val="1079"/>
        </w:trPr>
        <w:tc>
          <w:tcPr>
            <w:tcW w:w="1701" w:type="dxa"/>
            <w:tcBorders>
              <w:top w:val="single" w:sz="4" w:space="0" w:color="auto"/>
              <w:bottom w:val="dotted" w:sz="4" w:space="0" w:color="auto"/>
              <w:right w:val="single" w:sz="4" w:space="0" w:color="auto"/>
            </w:tcBorders>
            <w:hideMark/>
          </w:tcPr>
          <w:p w14:paraId="477F1DE9" w14:textId="77777777" w:rsidR="00493F5F" w:rsidRPr="002A5634" w:rsidRDefault="00493F5F" w:rsidP="00746CF9">
            <w:pPr>
              <w:tabs>
                <w:tab w:val="left" w:pos="709"/>
              </w:tabs>
              <w:spacing w:before="60" w:after="60" w:line="240" w:lineRule="auto"/>
              <w:rPr>
                <w:rFonts w:ascii="Arial" w:hAnsi="Arial" w:cs="Arial"/>
                <w:color w:val="000000" w:themeColor="text1"/>
                <w:sz w:val="16"/>
                <w:szCs w:val="16"/>
              </w:rPr>
            </w:pPr>
            <w:r w:rsidRPr="002A5634">
              <w:rPr>
                <w:rFonts w:ascii="Arial" w:hAnsi="Arial" w:cs="Arial"/>
                <w:color w:val="000000" w:themeColor="text1"/>
                <w:sz w:val="16"/>
                <w:szCs w:val="16"/>
              </w:rPr>
              <w:t xml:space="preserve">Budget Year </w:t>
            </w:r>
          </w:p>
          <w:p w14:paraId="72AB5CEA" w14:textId="5C44F82F" w:rsidR="00493F5F" w:rsidRPr="002A5634" w:rsidRDefault="00493F5F" w:rsidP="00746CF9">
            <w:pPr>
              <w:tabs>
                <w:tab w:val="left" w:pos="709"/>
              </w:tabs>
              <w:spacing w:before="60" w:after="60" w:line="240" w:lineRule="auto"/>
              <w:rPr>
                <w:rFonts w:ascii="Arial" w:hAnsi="Arial" w:cs="Arial"/>
                <w:color w:val="000000" w:themeColor="text1"/>
                <w:sz w:val="16"/>
                <w:szCs w:val="16"/>
              </w:rPr>
            </w:pPr>
            <w:r w:rsidRPr="002A5634">
              <w:rPr>
                <w:rFonts w:ascii="Arial" w:hAnsi="Arial" w:cs="Arial"/>
                <w:color w:val="000000" w:themeColor="text1"/>
                <w:sz w:val="16"/>
                <w:szCs w:val="16"/>
              </w:rPr>
              <w:t>2026</w:t>
            </w:r>
            <w:r w:rsidR="005420BC" w:rsidRPr="005420BC">
              <w:rPr>
                <w:rFonts w:ascii="Arial" w:hAnsi="Arial" w:cs="Arial"/>
                <w:color w:val="000000" w:themeColor="text1"/>
                <w:sz w:val="16"/>
                <w:szCs w:val="16"/>
              </w:rPr>
              <w:t>–</w:t>
            </w:r>
            <w:r w:rsidRPr="002A5634">
              <w:rPr>
                <w:rFonts w:ascii="Arial" w:hAnsi="Arial" w:cs="Arial"/>
                <w:color w:val="000000" w:themeColor="text1"/>
                <w:sz w:val="16"/>
                <w:szCs w:val="16"/>
              </w:rPr>
              <w:t>27</w:t>
            </w:r>
          </w:p>
        </w:tc>
        <w:tc>
          <w:tcPr>
            <w:tcW w:w="3969" w:type="dxa"/>
            <w:tcBorders>
              <w:top w:val="single" w:sz="4" w:space="0" w:color="auto"/>
              <w:left w:val="single" w:sz="4" w:space="0" w:color="auto"/>
              <w:bottom w:val="dotted" w:sz="4" w:space="0" w:color="auto"/>
              <w:right w:val="single" w:sz="4" w:space="0" w:color="auto"/>
            </w:tcBorders>
            <w:hideMark/>
          </w:tcPr>
          <w:p w14:paraId="33188514"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Key metric</w:t>
            </w:r>
            <w:r w:rsidRPr="00493F5F">
              <w:rPr>
                <w:rFonts w:ascii="Arial" w:hAnsi="Arial" w:cs="Arial"/>
                <w:color w:val="000000" w:themeColor="text1"/>
                <w:sz w:val="16"/>
                <w:szCs w:val="16"/>
              </w:rPr>
              <w:t> </w:t>
            </w:r>
          </w:p>
          <w:p w14:paraId="6DC946F9" w14:textId="77777777" w:rsidR="0087382F" w:rsidRPr="0087382F" w:rsidRDefault="0087382F" w:rsidP="0087382F">
            <w:pPr>
              <w:spacing w:before="60" w:after="60" w:line="240" w:lineRule="auto"/>
              <w:textAlignment w:val="baseline"/>
              <w:rPr>
                <w:rFonts w:ascii="Arial" w:hAnsi="Arial" w:cs="Arial"/>
                <w:color w:val="000000" w:themeColor="text1"/>
                <w:sz w:val="16"/>
                <w:szCs w:val="16"/>
              </w:rPr>
            </w:pPr>
            <w:r w:rsidRPr="0087382F">
              <w:rPr>
                <w:rFonts w:ascii="Arial" w:hAnsi="Arial" w:cs="Arial"/>
                <w:color w:val="000000" w:themeColor="text1"/>
                <w:sz w:val="16"/>
                <w:szCs w:val="16"/>
              </w:rPr>
              <w:t>Total tourism visitor expenditure (domestic and international)</w:t>
            </w:r>
          </w:p>
          <w:p w14:paraId="188C3468" w14:textId="5DB4B97D" w:rsidR="0087382F" w:rsidRDefault="0087382F" w:rsidP="0087382F">
            <w:pPr>
              <w:spacing w:before="60" w:after="60" w:line="240" w:lineRule="auto"/>
              <w:textAlignment w:val="baseline"/>
              <w:rPr>
                <w:rFonts w:ascii="Arial" w:hAnsi="Arial" w:cs="Arial"/>
                <w:color w:val="000000" w:themeColor="text1"/>
                <w:sz w:val="16"/>
                <w:szCs w:val="16"/>
              </w:rPr>
            </w:pPr>
            <w:r w:rsidRPr="0087382F">
              <w:rPr>
                <w:rFonts w:ascii="Arial" w:hAnsi="Arial" w:cs="Arial"/>
                <w:color w:val="000000" w:themeColor="text1"/>
                <w:sz w:val="16"/>
                <w:szCs w:val="16"/>
              </w:rPr>
              <w:t>Total international expenditure</w:t>
            </w:r>
          </w:p>
          <w:p w14:paraId="3CAB28CB" w14:textId="7CDFDA02"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International leisure expenditure </w:t>
            </w:r>
          </w:p>
          <w:p w14:paraId="0D48C2F3" w14:textId="4D74DE23"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Business events expenditure</w:t>
            </w:r>
          </w:p>
          <w:p w14:paraId="3B6B9787" w14:textId="586DCB69" w:rsidR="00493F5F" w:rsidRPr="00493F5F" w:rsidRDefault="00493F5F" w:rsidP="00746CF9">
            <w:pPr>
              <w:spacing w:before="60" w:after="60" w:line="240" w:lineRule="auto"/>
              <w:textAlignment w:val="baseline"/>
              <w:rPr>
                <w:rFonts w:ascii="Arial" w:hAnsi="Arial" w:cs="Arial"/>
                <w:color w:val="000000" w:themeColor="text1"/>
                <w:sz w:val="16"/>
                <w:szCs w:val="16"/>
                <w:lang w:eastAsia="zh-CN"/>
              </w:rPr>
            </w:pPr>
            <w:r w:rsidRPr="00493F5F">
              <w:rPr>
                <w:rFonts w:ascii="Arial" w:hAnsi="Arial" w:cs="Arial"/>
                <w:color w:val="000000" w:themeColor="text1"/>
                <w:sz w:val="16"/>
                <w:szCs w:val="16"/>
              </w:rPr>
              <w:t>Other metrics as outlined in Tourism Australia’s 2026</w:t>
            </w:r>
            <w:r w:rsidR="00206740">
              <w:rPr>
                <w:rFonts w:ascii="Arial" w:hAnsi="Arial" w:cs="Arial"/>
                <w:color w:val="000000" w:themeColor="text1"/>
                <w:sz w:val="16"/>
                <w:szCs w:val="16"/>
              </w:rPr>
              <w:t>–</w:t>
            </w:r>
            <w:r w:rsidRPr="00493F5F">
              <w:rPr>
                <w:rFonts w:ascii="Arial" w:hAnsi="Arial" w:cs="Arial"/>
                <w:color w:val="000000" w:themeColor="text1"/>
                <w:sz w:val="16"/>
                <w:szCs w:val="16"/>
              </w:rPr>
              <w:t>30 Corporate Plan </w:t>
            </w:r>
          </w:p>
        </w:tc>
        <w:tc>
          <w:tcPr>
            <w:tcW w:w="3544" w:type="dxa"/>
            <w:tcBorders>
              <w:top w:val="single" w:sz="4" w:space="0" w:color="auto"/>
              <w:left w:val="single" w:sz="4" w:space="0" w:color="auto"/>
              <w:bottom w:val="dotted" w:sz="4" w:space="0" w:color="auto"/>
              <w:right w:val="single" w:sz="4" w:space="0" w:color="auto"/>
            </w:tcBorders>
          </w:tcPr>
          <w:p w14:paraId="29A0F92D"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Target</w:t>
            </w:r>
          </w:p>
          <w:p w14:paraId="1F83F2BD" w14:textId="5313668D" w:rsid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$1</w:t>
            </w:r>
            <w:r w:rsidR="0087382F">
              <w:rPr>
                <w:rFonts w:ascii="Arial" w:hAnsi="Arial" w:cs="Arial"/>
                <w:color w:val="000000" w:themeColor="text1"/>
                <w:sz w:val="16"/>
                <w:szCs w:val="16"/>
              </w:rPr>
              <w:t>65.1</w:t>
            </w:r>
            <w:r w:rsidRPr="00493F5F">
              <w:rPr>
                <w:rFonts w:ascii="Arial" w:hAnsi="Arial" w:cs="Arial"/>
                <w:color w:val="000000" w:themeColor="text1"/>
                <w:sz w:val="16"/>
                <w:szCs w:val="16"/>
              </w:rPr>
              <w:t xml:space="preserve"> billion</w:t>
            </w:r>
            <w:r w:rsidR="0087382F">
              <w:rPr>
                <w:rFonts w:ascii="Arial" w:hAnsi="Arial" w:cs="Arial"/>
                <w:color w:val="000000" w:themeColor="text1"/>
                <w:sz w:val="16"/>
                <w:szCs w:val="16"/>
              </w:rPr>
              <w:t xml:space="preserve"> to $172.5 billion</w:t>
            </w:r>
          </w:p>
          <w:p w14:paraId="335173F4" w14:textId="77777777" w:rsidR="0087382F" w:rsidRPr="009F4321" w:rsidRDefault="0087382F" w:rsidP="00746CF9">
            <w:pPr>
              <w:spacing w:before="60" w:after="60" w:line="240" w:lineRule="auto"/>
              <w:textAlignment w:val="baseline"/>
              <w:rPr>
                <w:rFonts w:ascii="Arial" w:hAnsi="Arial" w:cs="Arial"/>
                <w:color w:val="000000" w:themeColor="text1"/>
                <w:sz w:val="8"/>
                <w:szCs w:val="8"/>
              </w:rPr>
            </w:pPr>
          </w:p>
          <w:p w14:paraId="4FCBD54E" w14:textId="01CD60E5" w:rsidR="0087382F" w:rsidRPr="00493F5F" w:rsidRDefault="0087382F" w:rsidP="00746CF9">
            <w:pPr>
              <w:spacing w:before="60" w:after="6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$57.3 billion to $61.8 billion</w:t>
            </w:r>
          </w:p>
          <w:p w14:paraId="240409C3" w14:textId="6884A1D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w:t>
            </w:r>
            <w:r w:rsidR="0087382F">
              <w:rPr>
                <w:rFonts w:ascii="Arial" w:hAnsi="Arial" w:cs="Arial"/>
                <w:color w:val="000000" w:themeColor="text1"/>
                <w:sz w:val="16"/>
                <w:szCs w:val="16"/>
              </w:rPr>
              <w:t>31.5</w:t>
            </w:r>
            <w:r w:rsidRPr="00493F5F">
              <w:rPr>
                <w:rFonts w:ascii="Arial" w:hAnsi="Arial" w:cs="Arial"/>
                <w:color w:val="000000" w:themeColor="text1"/>
                <w:sz w:val="16"/>
                <w:szCs w:val="16"/>
              </w:rPr>
              <w:t xml:space="preserve"> billion</w:t>
            </w:r>
            <w:r w:rsidR="0087382F">
              <w:rPr>
                <w:rFonts w:ascii="Arial" w:hAnsi="Arial" w:cs="Arial"/>
                <w:color w:val="000000" w:themeColor="text1"/>
                <w:sz w:val="16"/>
                <w:szCs w:val="16"/>
              </w:rPr>
              <w:t xml:space="preserve"> to $34.0 billion</w:t>
            </w:r>
          </w:p>
          <w:p w14:paraId="49F75428" w14:textId="7E8F1A02"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w:t>
            </w:r>
            <w:r w:rsidR="0087382F">
              <w:rPr>
                <w:rFonts w:ascii="Arial" w:hAnsi="Arial" w:cs="Arial"/>
                <w:color w:val="000000" w:themeColor="text1"/>
                <w:sz w:val="16"/>
                <w:szCs w:val="16"/>
              </w:rPr>
              <w:t>3.9</w:t>
            </w:r>
            <w:r w:rsidRPr="00493F5F">
              <w:rPr>
                <w:rFonts w:ascii="Arial" w:hAnsi="Arial" w:cs="Arial"/>
                <w:color w:val="000000" w:themeColor="text1"/>
                <w:sz w:val="16"/>
                <w:szCs w:val="16"/>
              </w:rPr>
              <w:t xml:space="preserve"> billion</w:t>
            </w:r>
            <w:r w:rsidR="0087382F">
              <w:rPr>
                <w:rFonts w:ascii="Arial" w:hAnsi="Arial" w:cs="Arial"/>
                <w:color w:val="000000" w:themeColor="text1"/>
                <w:sz w:val="16"/>
                <w:szCs w:val="16"/>
              </w:rPr>
              <w:t xml:space="preserve"> to $4.2 billion</w:t>
            </w:r>
          </w:p>
          <w:p w14:paraId="306465F6" w14:textId="77777777" w:rsidR="00493F5F" w:rsidRPr="00493F5F" w:rsidRDefault="00493F5F" w:rsidP="00746CF9">
            <w:pPr>
              <w:tabs>
                <w:tab w:val="left" w:pos="709"/>
              </w:tabs>
              <w:spacing w:before="60" w:after="60" w:line="240" w:lineRule="auto"/>
              <w:rPr>
                <w:rFonts w:ascii="Arial" w:hAnsi="Arial" w:cs="Arial"/>
                <w:color w:val="000000" w:themeColor="text1"/>
                <w:sz w:val="16"/>
                <w:szCs w:val="16"/>
                <w:lang w:eastAsia="zh-CN"/>
              </w:rPr>
            </w:pPr>
          </w:p>
        </w:tc>
      </w:tr>
      <w:tr w:rsidR="00493F5F" w:rsidRPr="002A5634" w14:paraId="060AEA3A" w14:textId="77777777">
        <w:trPr>
          <w:trHeight w:val="1115"/>
        </w:trPr>
        <w:tc>
          <w:tcPr>
            <w:tcW w:w="1701" w:type="dxa"/>
            <w:tcBorders>
              <w:top w:val="dotted" w:sz="4" w:space="0" w:color="auto"/>
              <w:bottom w:val="single" w:sz="4" w:space="0" w:color="auto"/>
              <w:right w:val="single" w:sz="4" w:space="0" w:color="auto"/>
            </w:tcBorders>
            <w:hideMark/>
          </w:tcPr>
          <w:p w14:paraId="55E92878" w14:textId="77777777" w:rsidR="00493F5F" w:rsidRPr="002A5634" w:rsidRDefault="00493F5F" w:rsidP="00746CF9">
            <w:pPr>
              <w:tabs>
                <w:tab w:val="left" w:pos="709"/>
              </w:tabs>
              <w:spacing w:before="60" w:after="60" w:line="240" w:lineRule="auto"/>
              <w:rPr>
                <w:rFonts w:ascii="Arial" w:hAnsi="Arial" w:cs="Arial"/>
                <w:color w:val="000000" w:themeColor="text1"/>
                <w:sz w:val="16"/>
                <w:szCs w:val="16"/>
              </w:rPr>
            </w:pPr>
            <w:r w:rsidRPr="002A5634">
              <w:rPr>
                <w:rFonts w:ascii="Arial" w:hAnsi="Arial" w:cs="Arial"/>
                <w:color w:val="000000" w:themeColor="text1"/>
                <w:sz w:val="16"/>
                <w:szCs w:val="16"/>
              </w:rPr>
              <w:t>Forward Estimates</w:t>
            </w:r>
          </w:p>
          <w:p w14:paraId="6CC25B68" w14:textId="7DD47A4B" w:rsidR="00493F5F" w:rsidRPr="002A5634" w:rsidRDefault="00493F5F" w:rsidP="00746CF9">
            <w:pPr>
              <w:tabs>
                <w:tab w:val="left" w:pos="709"/>
              </w:tabs>
              <w:spacing w:before="60" w:after="60" w:line="240" w:lineRule="auto"/>
              <w:rPr>
                <w:rFonts w:ascii="Arial" w:hAnsi="Arial" w:cs="Arial"/>
                <w:color w:val="000000" w:themeColor="text1"/>
                <w:sz w:val="16"/>
                <w:szCs w:val="16"/>
              </w:rPr>
            </w:pPr>
            <w:r w:rsidRPr="002A5634">
              <w:rPr>
                <w:rFonts w:ascii="Arial" w:hAnsi="Arial" w:cs="Arial"/>
                <w:color w:val="000000" w:themeColor="text1"/>
                <w:sz w:val="16"/>
                <w:szCs w:val="16"/>
              </w:rPr>
              <w:t>2027</w:t>
            </w:r>
            <w:r w:rsidR="005420BC" w:rsidRPr="005420BC">
              <w:rPr>
                <w:rFonts w:ascii="Arial" w:hAnsi="Arial" w:cs="Arial"/>
                <w:color w:val="000000" w:themeColor="text1"/>
                <w:sz w:val="16"/>
                <w:szCs w:val="16"/>
              </w:rPr>
              <w:t>–</w:t>
            </w:r>
            <w:r w:rsidRPr="002A5634">
              <w:rPr>
                <w:rFonts w:ascii="Arial" w:hAnsi="Arial" w:cs="Arial"/>
                <w:color w:val="000000" w:themeColor="text1"/>
                <w:sz w:val="16"/>
                <w:szCs w:val="16"/>
              </w:rPr>
              <w:t>30</w:t>
            </w:r>
          </w:p>
        </w:tc>
        <w:tc>
          <w:tcPr>
            <w:tcW w:w="3969" w:type="dxa"/>
            <w:tcBorders>
              <w:top w:val="dotted" w:sz="4" w:space="0" w:color="auto"/>
              <w:left w:val="single" w:sz="4" w:space="0" w:color="auto"/>
              <w:bottom w:val="single" w:sz="4" w:space="0" w:color="auto"/>
              <w:right w:val="single" w:sz="4" w:space="0" w:color="auto"/>
            </w:tcBorders>
            <w:hideMark/>
          </w:tcPr>
          <w:p w14:paraId="7739A07C"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Key metric</w:t>
            </w:r>
            <w:r w:rsidRPr="00493F5F">
              <w:rPr>
                <w:rFonts w:ascii="Arial" w:hAnsi="Arial" w:cs="Arial"/>
                <w:color w:val="000000" w:themeColor="text1"/>
                <w:sz w:val="16"/>
                <w:szCs w:val="16"/>
              </w:rPr>
              <w:t> </w:t>
            </w:r>
          </w:p>
          <w:p w14:paraId="3F7D03E2" w14:textId="77777777" w:rsidR="00267F4D" w:rsidRPr="00267F4D" w:rsidRDefault="00267F4D" w:rsidP="00267F4D">
            <w:pPr>
              <w:spacing w:before="60" w:after="60" w:line="240" w:lineRule="auto"/>
              <w:textAlignment w:val="baseline"/>
              <w:rPr>
                <w:rFonts w:ascii="Arial" w:hAnsi="Arial" w:cs="Arial"/>
                <w:color w:val="000000" w:themeColor="text1"/>
                <w:sz w:val="16"/>
                <w:szCs w:val="16"/>
              </w:rPr>
            </w:pPr>
            <w:r w:rsidRPr="00267F4D">
              <w:rPr>
                <w:rFonts w:ascii="Arial" w:hAnsi="Arial" w:cs="Arial"/>
                <w:color w:val="000000" w:themeColor="text1"/>
                <w:sz w:val="16"/>
                <w:szCs w:val="16"/>
              </w:rPr>
              <w:t>Total tourism visitor expenditure (domestic and international)</w:t>
            </w:r>
          </w:p>
          <w:p w14:paraId="1F3642C7" w14:textId="3A0AD011" w:rsidR="00001BF6" w:rsidRDefault="00267F4D" w:rsidP="00267F4D">
            <w:pPr>
              <w:spacing w:before="60" w:after="60" w:line="240" w:lineRule="auto"/>
              <w:textAlignment w:val="baseline"/>
              <w:rPr>
                <w:rFonts w:ascii="Arial" w:hAnsi="Arial" w:cs="Arial"/>
                <w:color w:val="000000" w:themeColor="text1"/>
                <w:sz w:val="16"/>
                <w:szCs w:val="16"/>
              </w:rPr>
            </w:pPr>
            <w:r w:rsidRPr="00267F4D">
              <w:rPr>
                <w:rFonts w:ascii="Arial" w:hAnsi="Arial" w:cs="Arial"/>
                <w:color w:val="000000" w:themeColor="text1"/>
                <w:sz w:val="16"/>
                <w:szCs w:val="16"/>
              </w:rPr>
              <w:t>Total international expenditure</w:t>
            </w:r>
          </w:p>
          <w:p w14:paraId="49288442" w14:textId="7837A8D9"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Other metrics as outlined in Tourism Australia’s 2026</w:t>
            </w:r>
            <w:r w:rsidR="00206740">
              <w:rPr>
                <w:rFonts w:ascii="Arial" w:hAnsi="Arial" w:cs="Arial"/>
                <w:color w:val="000000" w:themeColor="text1"/>
                <w:sz w:val="16"/>
                <w:szCs w:val="16"/>
              </w:rPr>
              <w:t>–</w:t>
            </w:r>
            <w:r w:rsidRPr="00493F5F">
              <w:rPr>
                <w:rFonts w:ascii="Arial" w:hAnsi="Arial" w:cs="Arial"/>
                <w:color w:val="000000" w:themeColor="text1"/>
                <w:sz w:val="16"/>
                <w:szCs w:val="16"/>
              </w:rPr>
              <w:t>30 Corporate Plan </w:t>
            </w:r>
          </w:p>
        </w:tc>
        <w:tc>
          <w:tcPr>
            <w:tcW w:w="3544" w:type="dxa"/>
            <w:tcBorders>
              <w:top w:val="dotted" w:sz="4" w:space="0" w:color="auto"/>
              <w:left w:val="single" w:sz="4" w:space="0" w:color="auto"/>
              <w:bottom w:val="single" w:sz="4" w:space="0" w:color="auto"/>
            </w:tcBorders>
          </w:tcPr>
          <w:p w14:paraId="3266A561"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Target</w:t>
            </w:r>
          </w:p>
          <w:p w14:paraId="26E34611"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$194.9 billion</w:t>
            </w:r>
          </w:p>
          <w:p w14:paraId="011B617A" w14:textId="77777777" w:rsidR="00267F4D" w:rsidRPr="009F4321" w:rsidRDefault="00267F4D" w:rsidP="00746CF9">
            <w:pPr>
              <w:tabs>
                <w:tab w:val="left" w:pos="709"/>
              </w:tabs>
              <w:spacing w:before="60" w:after="60" w:line="240" w:lineRule="auto"/>
              <w:rPr>
                <w:rFonts w:ascii="Arial" w:hAnsi="Arial" w:cs="Arial"/>
                <w:color w:val="000000" w:themeColor="text1"/>
                <w:sz w:val="6"/>
                <w:szCs w:val="6"/>
                <w:lang w:eastAsia="zh-CN"/>
              </w:rPr>
            </w:pPr>
          </w:p>
          <w:p w14:paraId="44E0FB06" w14:textId="7997368D" w:rsidR="00493F5F" w:rsidRPr="00493F5F" w:rsidRDefault="00493F5F" w:rsidP="00746CF9">
            <w:pPr>
              <w:tabs>
                <w:tab w:val="left" w:pos="709"/>
              </w:tabs>
              <w:spacing w:before="60" w:after="60" w:line="240" w:lineRule="auto"/>
              <w:rPr>
                <w:rFonts w:ascii="Arial" w:hAnsi="Arial" w:cs="Arial"/>
                <w:color w:val="000000" w:themeColor="text1"/>
                <w:sz w:val="16"/>
                <w:szCs w:val="16"/>
                <w:lang w:eastAsia="zh-CN"/>
              </w:rPr>
            </w:pPr>
            <w:r w:rsidRPr="00493F5F">
              <w:rPr>
                <w:rFonts w:ascii="Arial" w:hAnsi="Arial" w:cs="Arial"/>
                <w:color w:val="000000" w:themeColor="text1"/>
                <w:sz w:val="16"/>
                <w:szCs w:val="16"/>
                <w:lang w:eastAsia="zh-CN"/>
              </w:rPr>
              <w:t>$</w:t>
            </w:r>
            <w:r w:rsidR="00267F4D">
              <w:rPr>
                <w:rFonts w:ascii="Arial" w:hAnsi="Arial" w:cs="Arial"/>
                <w:color w:val="000000" w:themeColor="text1"/>
                <w:sz w:val="16"/>
                <w:szCs w:val="16"/>
                <w:lang w:eastAsia="zh-CN"/>
              </w:rPr>
              <w:t>75.6</w:t>
            </w:r>
            <w:r w:rsidRPr="00493F5F">
              <w:rPr>
                <w:rFonts w:ascii="Arial" w:hAnsi="Arial" w:cs="Arial"/>
                <w:color w:val="000000" w:themeColor="text1"/>
                <w:sz w:val="16"/>
                <w:szCs w:val="16"/>
                <w:lang w:eastAsia="zh-CN"/>
              </w:rPr>
              <w:t xml:space="preserve"> </w:t>
            </w:r>
            <w:r w:rsidR="00267F4D">
              <w:rPr>
                <w:rFonts w:ascii="Arial" w:hAnsi="Arial" w:cs="Arial"/>
                <w:color w:val="000000" w:themeColor="text1"/>
                <w:sz w:val="16"/>
                <w:szCs w:val="16"/>
                <w:lang w:eastAsia="zh-CN"/>
              </w:rPr>
              <w:t>billion</w:t>
            </w:r>
          </w:p>
        </w:tc>
      </w:tr>
    </w:tbl>
    <w:p w14:paraId="6BC86CC3" w14:textId="77777777" w:rsidR="00493F5F" w:rsidRDefault="00493F5F" w:rsidP="00493F5F">
      <w:pPr>
        <w:pStyle w:val="TableGraphic"/>
        <w:rPr>
          <w:rFonts w:ascii="Arial" w:hAnsi="Arial" w:cs="Arial"/>
          <w:sz w:val="16"/>
          <w:szCs w:val="16"/>
        </w:rPr>
      </w:pPr>
      <w:r w:rsidRPr="00AD6A6F">
        <w:rPr>
          <w:rFonts w:ascii="Arial" w:hAnsi="Arial" w:cs="Arial"/>
          <w:sz w:val="16"/>
          <w:szCs w:val="16"/>
        </w:rPr>
        <w:t xml:space="preserve">Table </w:t>
      </w:r>
      <w:proofErr w:type="gramStart"/>
      <w:r w:rsidRPr="00AD6A6F">
        <w:rPr>
          <w:rFonts w:ascii="Arial" w:hAnsi="Arial" w:cs="Arial"/>
          <w:sz w:val="16"/>
          <w:szCs w:val="16"/>
        </w:rPr>
        <w:t>continued on</w:t>
      </w:r>
      <w:proofErr w:type="gramEnd"/>
      <w:r w:rsidRPr="00AD6A6F">
        <w:rPr>
          <w:rFonts w:ascii="Arial" w:hAnsi="Arial" w:cs="Arial"/>
          <w:sz w:val="16"/>
          <w:szCs w:val="16"/>
        </w:rPr>
        <w:t xml:space="preserve"> the next page.</w:t>
      </w:r>
    </w:p>
    <w:p w14:paraId="6BA639C5" w14:textId="77777777" w:rsidR="00493F5F" w:rsidRDefault="00493F5F">
      <w:pPr>
        <w:spacing w:before="0" w:after="0" w:line="240" w:lineRule="auto"/>
      </w:pPr>
    </w:p>
    <w:p w14:paraId="0D6075C6" w14:textId="1B851387" w:rsidR="00493F5F" w:rsidRDefault="00493F5F">
      <w:pPr>
        <w:spacing w:before="0" w:after="0" w:line="240" w:lineRule="auto"/>
      </w:pPr>
      <w:r>
        <w:br w:type="page"/>
      </w:r>
    </w:p>
    <w:p w14:paraId="32528D59" w14:textId="77777777" w:rsidR="00493F5F" w:rsidRPr="00D02970" w:rsidRDefault="00493F5F" w:rsidP="00493F5F">
      <w:pPr>
        <w:pStyle w:val="Heading5"/>
        <w:rPr>
          <w:b/>
          <w:bCs w:val="0"/>
          <w:i w:val="0"/>
          <w:iCs w:val="0"/>
        </w:rPr>
      </w:pPr>
      <w:r w:rsidRPr="00D02970">
        <w:rPr>
          <w:b/>
          <w:bCs w:val="0"/>
          <w:i w:val="0"/>
          <w:iCs w:val="0"/>
        </w:rPr>
        <w:lastRenderedPageBreak/>
        <w:t>Table 2.1.3: Performance measures for Outcome 1</w:t>
      </w:r>
      <w:r>
        <w:rPr>
          <w:b/>
          <w:bCs w:val="0"/>
          <w:i w:val="0"/>
          <w:iCs w:val="0"/>
        </w:rPr>
        <w:t xml:space="preserve"> (continued)</w:t>
      </w:r>
    </w:p>
    <w:tbl>
      <w:tblPr>
        <w:tblW w:w="77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390"/>
        <w:gridCol w:w="2762"/>
      </w:tblGrid>
      <w:tr w:rsidR="00493F5F" w:rsidRPr="000541BB" w14:paraId="7A34019B" w14:textId="77777777">
        <w:trPr>
          <w:trHeight w:val="680"/>
          <w:tblHeader/>
        </w:trPr>
        <w:tc>
          <w:tcPr>
            <w:tcW w:w="9072"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24054BA7" w14:textId="77777777" w:rsidR="00493F5F" w:rsidRPr="00986072" w:rsidRDefault="00493F5F" w:rsidP="00746CF9">
            <w:pPr>
              <w:spacing w:before="60" w:after="60" w:line="240" w:lineRule="auto"/>
              <w:textAlignment w:val="baseline"/>
              <w:rPr>
                <w:rFonts w:ascii="Arial" w:hAnsi="Arial" w:cs="Arial"/>
                <w:b/>
                <w:color w:val="000000" w:themeColor="text1"/>
                <w:sz w:val="16"/>
                <w:szCs w:val="16"/>
              </w:rPr>
            </w:pPr>
            <w:r w:rsidRPr="00986072">
              <w:rPr>
                <w:rFonts w:ascii="Arial" w:hAnsi="Arial" w:cs="Arial"/>
                <w:b/>
                <w:bCs/>
                <w:color w:val="000000" w:themeColor="text1"/>
                <w:sz w:val="16"/>
                <w:szCs w:val="16"/>
                <w:lang w:eastAsia="zh-CN"/>
              </w:rPr>
              <w:t>Outcome 1 – Grow demand and foster a competitive and sustainable Australian tourism industry through partnership marketing to targeted global consumers in key markets</w:t>
            </w:r>
            <w:r>
              <w:rPr>
                <w:rFonts w:ascii="Arial" w:hAnsi="Arial" w:cs="Arial"/>
                <w:b/>
                <w:bCs/>
                <w:color w:val="000000" w:themeColor="text1"/>
                <w:sz w:val="16"/>
                <w:szCs w:val="16"/>
                <w:lang w:eastAsia="zh-CN"/>
              </w:rPr>
              <w:t>.</w:t>
            </w:r>
          </w:p>
        </w:tc>
      </w:tr>
      <w:tr w:rsidR="00493F5F" w:rsidRPr="000541BB" w14:paraId="586613A4" w14:textId="77777777">
        <w:trPr>
          <w:trHeight w:val="680"/>
          <w:tblHeader/>
        </w:trPr>
        <w:tc>
          <w:tcPr>
            <w:tcW w:w="9072"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382EA380" w14:textId="77777777" w:rsidR="00493F5F" w:rsidRPr="00986072" w:rsidRDefault="00493F5F" w:rsidP="00746CF9">
            <w:pPr>
              <w:tabs>
                <w:tab w:val="left" w:pos="709"/>
              </w:tabs>
              <w:spacing w:before="60" w:after="60"/>
              <w:rPr>
                <w:rFonts w:ascii="Arial" w:hAnsi="Arial" w:cs="Arial"/>
                <w:b/>
                <w:color w:val="000000" w:themeColor="text1"/>
                <w:sz w:val="16"/>
                <w:szCs w:val="16"/>
              </w:rPr>
            </w:pPr>
            <w:r w:rsidRPr="00986072">
              <w:rPr>
                <w:rFonts w:ascii="Arial" w:hAnsi="Arial" w:cs="Arial"/>
                <w:b/>
                <w:color w:val="000000" w:themeColor="text1"/>
                <w:sz w:val="16"/>
                <w:szCs w:val="16"/>
              </w:rPr>
              <w:t>Program 1.1: Supporting Outcome 1</w:t>
            </w:r>
          </w:p>
          <w:p w14:paraId="704339A4" w14:textId="6092BC6B" w:rsidR="00493F5F" w:rsidRPr="00986072" w:rsidRDefault="00493F5F" w:rsidP="00746CF9">
            <w:pPr>
              <w:tabs>
                <w:tab w:val="left" w:pos="709"/>
              </w:tabs>
              <w:spacing w:before="60" w:after="60"/>
              <w:rPr>
                <w:rFonts w:ascii="Arial" w:hAnsi="Arial" w:cs="Arial"/>
                <w:b/>
                <w:color w:val="000000" w:themeColor="text1"/>
                <w:sz w:val="16"/>
                <w:szCs w:val="16"/>
              </w:rPr>
            </w:pPr>
            <w:r w:rsidRPr="00986072">
              <w:rPr>
                <w:rFonts w:ascii="Arial" w:hAnsi="Arial" w:cs="Arial"/>
                <w:b/>
                <w:color w:val="000000" w:themeColor="text1"/>
                <w:sz w:val="16"/>
                <w:szCs w:val="16"/>
              </w:rPr>
              <w:t xml:space="preserve">Component 1.1.2: Industry </w:t>
            </w:r>
            <w:r w:rsidR="00C85D0D">
              <w:rPr>
                <w:rFonts w:ascii="Arial" w:hAnsi="Arial" w:cs="Arial"/>
                <w:b/>
                <w:color w:val="000000" w:themeColor="text1"/>
                <w:sz w:val="16"/>
                <w:szCs w:val="16"/>
              </w:rPr>
              <w:t>D</w:t>
            </w:r>
            <w:r w:rsidRPr="00986072">
              <w:rPr>
                <w:rFonts w:ascii="Arial" w:hAnsi="Arial" w:cs="Arial"/>
                <w:b/>
                <w:color w:val="000000" w:themeColor="text1"/>
                <w:sz w:val="16"/>
                <w:szCs w:val="16"/>
              </w:rPr>
              <w:t>evelopment</w:t>
            </w:r>
          </w:p>
          <w:p w14:paraId="5E07481B" w14:textId="77777777" w:rsidR="00493F5F" w:rsidRPr="00986072" w:rsidRDefault="00493F5F" w:rsidP="00746CF9">
            <w:pPr>
              <w:tabs>
                <w:tab w:val="left" w:pos="709"/>
              </w:tabs>
              <w:spacing w:before="60" w:after="60"/>
              <w:rPr>
                <w:rFonts w:ascii="Arial" w:hAnsi="Arial" w:cs="Arial"/>
                <w:bCs/>
                <w:color w:val="000000" w:themeColor="text1"/>
                <w:sz w:val="16"/>
                <w:szCs w:val="16"/>
              </w:rPr>
            </w:pPr>
            <w:r w:rsidRPr="00986072">
              <w:rPr>
                <w:rFonts w:ascii="Arial" w:hAnsi="Arial" w:cs="Arial"/>
                <w:bCs/>
                <w:color w:val="000000" w:themeColor="text1"/>
                <w:sz w:val="16"/>
                <w:szCs w:val="16"/>
              </w:rPr>
              <w:t>Objective: An Australian tourism industry that is competitive and sustainable and delivers on the needs of the target customer.</w:t>
            </w:r>
          </w:p>
        </w:tc>
      </w:tr>
      <w:tr w:rsidR="00493F5F" w:rsidRPr="000541BB" w14:paraId="766B8FDE" w14:textId="77777777">
        <w:trPr>
          <w:trHeight w:val="1666"/>
        </w:trPr>
        <w:tc>
          <w:tcPr>
            <w:tcW w:w="1761" w:type="dxa"/>
            <w:tcBorders>
              <w:top w:val="single" w:sz="4" w:space="0" w:color="auto"/>
              <w:left w:val="single" w:sz="4" w:space="0" w:color="auto"/>
              <w:bottom w:val="double" w:sz="4" w:space="0" w:color="auto"/>
              <w:right w:val="single" w:sz="4" w:space="0" w:color="auto"/>
            </w:tcBorders>
            <w:hideMark/>
          </w:tcPr>
          <w:p w14:paraId="5F0C60A1" w14:textId="77777777" w:rsidR="00493F5F" w:rsidRPr="00986072" w:rsidRDefault="00493F5F" w:rsidP="00746CF9">
            <w:pPr>
              <w:tabs>
                <w:tab w:val="left" w:pos="709"/>
              </w:tabs>
              <w:spacing w:before="60" w:after="60" w:line="240" w:lineRule="auto"/>
              <w:rPr>
                <w:rFonts w:ascii="Arial" w:hAnsi="Arial" w:cs="Arial"/>
                <w:b/>
                <w:color w:val="000000" w:themeColor="text1"/>
                <w:sz w:val="16"/>
                <w:szCs w:val="16"/>
              </w:rPr>
            </w:pPr>
            <w:r w:rsidRPr="00986072">
              <w:rPr>
                <w:rFonts w:ascii="Arial" w:hAnsi="Arial" w:cs="Arial"/>
                <w:b/>
                <w:color w:val="000000" w:themeColor="text1"/>
                <w:sz w:val="16"/>
                <w:szCs w:val="16"/>
              </w:rPr>
              <w:t>Key Activities</w:t>
            </w:r>
          </w:p>
        </w:tc>
        <w:tc>
          <w:tcPr>
            <w:tcW w:w="7311" w:type="dxa"/>
            <w:gridSpan w:val="2"/>
            <w:tcBorders>
              <w:bottom w:val="double" w:sz="4" w:space="0" w:color="auto"/>
            </w:tcBorders>
            <w:hideMark/>
          </w:tcPr>
          <w:p w14:paraId="78E3E976" w14:textId="77777777" w:rsidR="00493F5F" w:rsidRPr="00986072" w:rsidRDefault="00493F5F" w:rsidP="00746CF9">
            <w:pPr>
              <w:spacing w:before="60" w:after="60" w:line="240" w:lineRule="auto"/>
              <w:textAlignment w:val="baseline"/>
              <w:rPr>
                <w:rFonts w:ascii="Arial" w:hAnsi="Arial" w:cs="Arial"/>
                <w:color w:val="000000" w:themeColor="text1"/>
                <w:sz w:val="16"/>
                <w:szCs w:val="16"/>
              </w:rPr>
            </w:pPr>
            <w:r w:rsidRPr="00986072">
              <w:rPr>
                <w:rFonts w:ascii="Arial" w:hAnsi="Arial" w:cs="Arial"/>
                <w:color w:val="000000" w:themeColor="text1"/>
                <w:sz w:val="16"/>
                <w:szCs w:val="16"/>
              </w:rPr>
              <w:t>Target audiences: The Australian tourism industry and trade and distribution partners in key international markets </w:t>
            </w:r>
          </w:p>
          <w:p w14:paraId="5A804010" w14:textId="77777777" w:rsidR="00493F5F" w:rsidRPr="00986072" w:rsidRDefault="00493F5F" w:rsidP="00746CF9">
            <w:pPr>
              <w:spacing w:before="60" w:after="60" w:line="240" w:lineRule="auto"/>
              <w:textAlignment w:val="baseline"/>
              <w:rPr>
                <w:rFonts w:ascii="Arial" w:hAnsi="Arial" w:cs="Arial"/>
                <w:color w:val="000000" w:themeColor="text1"/>
                <w:sz w:val="16"/>
                <w:szCs w:val="16"/>
              </w:rPr>
            </w:pPr>
            <w:r w:rsidRPr="00986072">
              <w:rPr>
                <w:rFonts w:ascii="Arial" w:hAnsi="Arial" w:cs="Arial"/>
                <w:color w:val="000000" w:themeColor="text1"/>
                <w:sz w:val="16"/>
                <w:szCs w:val="16"/>
              </w:rPr>
              <w:t>Key activities: </w:t>
            </w:r>
          </w:p>
          <w:p w14:paraId="05268ABF" w14:textId="77777777" w:rsidR="00493F5F" w:rsidRPr="00986072" w:rsidRDefault="00493F5F" w:rsidP="00707A3D">
            <w:pPr>
              <w:numPr>
                <w:ilvl w:val="0"/>
                <w:numId w:val="39"/>
              </w:numPr>
              <w:tabs>
                <w:tab w:val="clear" w:pos="1058"/>
                <w:tab w:val="num" w:pos="360"/>
              </w:tabs>
              <w:spacing w:before="60" w:after="60" w:line="240" w:lineRule="auto"/>
              <w:ind w:left="360"/>
              <w:textAlignment w:val="baseline"/>
              <w:rPr>
                <w:rFonts w:ascii="Arial" w:hAnsi="Arial" w:cs="Arial"/>
                <w:color w:val="000000" w:themeColor="text1"/>
                <w:sz w:val="16"/>
                <w:szCs w:val="16"/>
              </w:rPr>
            </w:pPr>
            <w:r w:rsidRPr="00986072">
              <w:rPr>
                <w:rFonts w:ascii="Arial" w:hAnsi="Arial" w:cs="Arial"/>
                <w:color w:val="000000" w:themeColor="text1"/>
                <w:sz w:val="16"/>
                <w:szCs w:val="16"/>
                <w:lang w:val="en-US"/>
              </w:rPr>
              <w:t>Driving growth through programs and platforms for the distribution system</w:t>
            </w:r>
            <w:r w:rsidRPr="00986072">
              <w:rPr>
                <w:rFonts w:ascii="Arial" w:hAnsi="Arial" w:cs="Arial"/>
                <w:color w:val="000000" w:themeColor="text1"/>
                <w:sz w:val="16"/>
                <w:szCs w:val="16"/>
              </w:rPr>
              <w:t> to do business.</w:t>
            </w:r>
          </w:p>
          <w:p w14:paraId="32A56833" w14:textId="77777777" w:rsidR="00493F5F" w:rsidRPr="00986072" w:rsidRDefault="00493F5F" w:rsidP="00707A3D">
            <w:pPr>
              <w:numPr>
                <w:ilvl w:val="0"/>
                <w:numId w:val="39"/>
              </w:numPr>
              <w:tabs>
                <w:tab w:val="clear" w:pos="1058"/>
                <w:tab w:val="num" w:pos="360"/>
              </w:tabs>
              <w:spacing w:before="60" w:after="60" w:line="240" w:lineRule="auto"/>
              <w:ind w:left="360"/>
              <w:textAlignment w:val="baseline"/>
              <w:rPr>
                <w:rFonts w:ascii="Arial" w:hAnsi="Arial" w:cs="Arial"/>
                <w:color w:val="000000" w:themeColor="text1"/>
                <w:sz w:val="16"/>
                <w:szCs w:val="16"/>
              </w:rPr>
            </w:pPr>
            <w:r w:rsidRPr="00986072">
              <w:rPr>
                <w:rFonts w:ascii="Arial" w:hAnsi="Arial" w:cs="Arial"/>
                <w:color w:val="000000" w:themeColor="text1"/>
                <w:sz w:val="16"/>
                <w:szCs w:val="16"/>
                <w:lang w:val="en-US"/>
              </w:rPr>
              <w:t>Supporting supply-side industry goals</w:t>
            </w:r>
            <w:r w:rsidRPr="00986072">
              <w:rPr>
                <w:rFonts w:ascii="Arial" w:hAnsi="Arial" w:cs="Arial"/>
                <w:color w:val="000000" w:themeColor="text1"/>
                <w:sz w:val="16"/>
                <w:szCs w:val="16"/>
              </w:rPr>
              <w:t> </w:t>
            </w:r>
          </w:p>
          <w:p w14:paraId="0E9B49D1" w14:textId="77777777" w:rsidR="00493F5F" w:rsidRPr="00986072" w:rsidRDefault="00493F5F" w:rsidP="00707A3D">
            <w:pPr>
              <w:numPr>
                <w:ilvl w:val="0"/>
                <w:numId w:val="39"/>
              </w:numPr>
              <w:tabs>
                <w:tab w:val="clear" w:pos="1058"/>
                <w:tab w:val="num" w:pos="360"/>
              </w:tabs>
              <w:spacing w:before="60" w:after="60" w:line="240" w:lineRule="auto"/>
              <w:ind w:left="360"/>
              <w:textAlignment w:val="baseline"/>
              <w:rPr>
                <w:rFonts w:ascii="Arial" w:hAnsi="Arial" w:cs="Arial"/>
                <w:color w:val="000000" w:themeColor="text1"/>
                <w:sz w:val="16"/>
                <w:szCs w:val="16"/>
              </w:rPr>
            </w:pPr>
            <w:r w:rsidRPr="00986072">
              <w:rPr>
                <w:rFonts w:ascii="Arial" w:hAnsi="Arial" w:cs="Arial"/>
                <w:color w:val="000000" w:themeColor="text1"/>
                <w:sz w:val="16"/>
                <w:szCs w:val="16"/>
              </w:rPr>
              <w:t xml:space="preserve">Dissemination </w:t>
            </w:r>
            <w:r w:rsidRPr="00986072">
              <w:rPr>
                <w:rFonts w:ascii="Arial" w:hAnsi="Arial" w:cs="Arial"/>
                <w:color w:val="000000" w:themeColor="text1"/>
                <w:sz w:val="16"/>
                <w:szCs w:val="16"/>
                <w:lang w:val="en-US"/>
              </w:rPr>
              <w:t>of insights and engagement of industry stakeholders.</w:t>
            </w:r>
            <w:r w:rsidRPr="00986072">
              <w:rPr>
                <w:rFonts w:ascii="Arial" w:hAnsi="Arial" w:cs="Arial"/>
                <w:color w:val="000000" w:themeColor="text1"/>
                <w:sz w:val="16"/>
                <w:szCs w:val="16"/>
              </w:rPr>
              <w:t> </w:t>
            </w:r>
          </w:p>
        </w:tc>
      </w:tr>
      <w:tr w:rsidR="00493F5F" w:rsidRPr="000541BB" w14:paraId="0D5391C5" w14:textId="77777777">
        <w:trPr>
          <w:trHeight w:val="300"/>
        </w:trPr>
        <w:tc>
          <w:tcPr>
            <w:tcW w:w="1761" w:type="dxa"/>
            <w:tcBorders>
              <w:top w:val="double" w:sz="4" w:space="0" w:color="auto"/>
              <w:left w:val="single" w:sz="4" w:space="0" w:color="auto"/>
              <w:bottom w:val="single" w:sz="4" w:space="0" w:color="auto"/>
              <w:right w:val="single" w:sz="4" w:space="0" w:color="auto"/>
            </w:tcBorders>
            <w:hideMark/>
          </w:tcPr>
          <w:p w14:paraId="177B39A7" w14:textId="77777777" w:rsidR="00493F5F" w:rsidRPr="00986072" w:rsidRDefault="00493F5F" w:rsidP="00746CF9">
            <w:pPr>
              <w:tabs>
                <w:tab w:val="left" w:pos="709"/>
              </w:tabs>
              <w:spacing w:before="60" w:after="60" w:line="240" w:lineRule="auto"/>
              <w:rPr>
                <w:rFonts w:ascii="Arial" w:hAnsi="Arial" w:cs="Arial"/>
                <w:b/>
                <w:color w:val="000000" w:themeColor="text1"/>
                <w:sz w:val="16"/>
                <w:szCs w:val="16"/>
              </w:rPr>
            </w:pPr>
            <w:r w:rsidRPr="00986072">
              <w:rPr>
                <w:rFonts w:ascii="Arial" w:hAnsi="Arial" w:cs="Arial"/>
                <w:b/>
                <w:color w:val="000000" w:themeColor="text1"/>
                <w:sz w:val="16"/>
                <w:szCs w:val="16"/>
              </w:rPr>
              <w:t>Year</w:t>
            </w:r>
          </w:p>
        </w:tc>
        <w:tc>
          <w:tcPr>
            <w:tcW w:w="4051" w:type="dxa"/>
            <w:tcBorders>
              <w:top w:val="double" w:sz="4" w:space="0" w:color="auto"/>
              <w:left w:val="single" w:sz="4" w:space="0" w:color="auto"/>
              <w:bottom w:val="single" w:sz="4" w:space="0" w:color="auto"/>
              <w:right w:val="single" w:sz="4" w:space="0" w:color="auto"/>
            </w:tcBorders>
            <w:hideMark/>
          </w:tcPr>
          <w:p w14:paraId="6D5F74D6" w14:textId="77777777" w:rsidR="00493F5F" w:rsidRPr="00986072" w:rsidRDefault="00493F5F" w:rsidP="00746CF9">
            <w:pPr>
              <w:tabs>
                <w:tab w:val="left" w:pos="709"/>
              </w:tabs>
              <w:spacing w:before="60" w:after="60" w:line="240" w:lineRule="auto"/>
              <w:rPr>
                <w:rFonts w:ascii="Arial" w:hAnsi="Arial" w:cs="Arial"/>
                <w:b/>
                <w:color w:val="000000" w:themeColor="text1"/>
                <w:sz w:val="16"/>
                <w:szCs w:val="16"/>
              </w:rPr>
            </w:pPr>
            <w:r w:rsidRPr="00986072">
              <w:rPr>
                <w:rFonts w:ascii="Arial" w:hAnsi="Arial" w:cs="Arial"/>
                <w:b/>
                <w:color w:val="000000" w:themeColor="text1"/>
                <w:sz w:val="16"/>
                <w:szCs w:val="16"/>
              </w:rPr>
              <w:t xml:space="preserve">Performance measures </w:t>
            </w:r>
          </w:p>
        </w:tc>
        <w:tc>
          <w:tcPr>
            <w:tcW w:w="3260" w:type="dxa"/>
            <w:tcBorders>
              <w:top w:val="double" w:sz="4" w:space="0" w:color="auto"/>
              <w:left w:val="single" w:sz="4" w:space="0" w:color="auto"/>
              <w:bottom w:val="single" w:sz="4" w:space="0" w:color="auto"/>
              <w:right w:val="single" w:sz="4" w:space="0" w:color="auto"/>
            </w:tcBorders>
            <w:hideMark/>
          </w:tcPr>
          <w:p w14:paraId="0212264A" w14:textId="77777777" w:rsidR="00493F5F" w:rsidRPr="00986072" w:rsidRDefault="00493F5F" w:rsidP="00746CF9">
            <w:pPr>
              <w:tabs>
                <w:tab w:val="left" w:pos="709"/>
              </w:tabs>
              <w:spacing w:before="60" w:after="60" w:line="240" w:lineRule="auto"/>
              <w:rPr>
                <w:rFonts w:ascii="Arial" w:hAnsi="Arial" w:cs="Arial"/>
                <w:b/>
                <w:color w:val="000000" w:themeColor="text1"/>
                <w:sz w:val="16"/>
                <w:szCs w:val="16"/>
              </w:rPr>
            </w:pPr>
            <w:r w:rsidRPr="00986072">
              <w:rPr>
                <w:rFonts w:ascii="Arial" w:hAnsi="Arial" w:cs="Arial"/>
                <w:b/>
                <w:color w:val="000000" w:themeColor="text1"/>
                <w:sz w:val="16"/>
                <w:szCs w:val="16"/>
              </w:rPr>
              <w:t>Performance Results</w:t>
            </w:r>
          </w:p>
        </w:tc>
      </w:tr>
      <w:tr w:rsidR="00493F5F" w:rsidRPr="000541BB" w14:paraId="361EDEF2" w14:textId="77777777">
        <w:trPr>
          <w:trHeight w:val="321"/>
        </w:trPr>
        <w:tc>
          <w:tcPr>
            <w:tcW w:w="1761" w:type="dxa"/>
            <w:tcBorders>
              <w:top w:val="single" w:sz="4" w:space="0" w:color="auto"/>
              <w:left w:val="single" w:sz="4" w:space="0" w:color="auto"/>
              <w:bottom w:val="single" w:sz="4" w:space="0" w:color="auto"/>
              <w:right w:val="single" w:sz="4" w:space="0" w:color="auto"/>
            </w:tcBorders>
            <w:hideMark/>
          </w:tcPr>
          <w:p w14:paraId="5A0BDE7A" w14:textId="77777777" w:rsidR="00493F5F" w:rsidRPr="00986072" w:rsidRDefault="00493F5F" w:rsidP="00746CF9">
            <w:pPr>
              <w:tabs>
                <w:tab w:val="left" w:pos="709"/>
              </w:tabs>
              <w:spacing w:before="60" w:after="60" w:line="240" w:lineRule="auto"/>
              <w:rPr>
                <w:rFonts w:ascii="Arial" w:hAnsi="Arial" w:cs="Arial"/>
                <w:color w:val="000000" w:themeColor="text1"/>
                <w:sz w:val="16"/>
                <w:szCs w:val="16"/>
              </w:rPr>
            </w:pPr>
            <w:r w:rsidRPr="00986072">
              <w:rPr>
                <w:rFonts w:ascii="Arial" w:hAnsi="Arial" w:cs="Arial"/>
                <w:color w:val="000000" w:themeColor="text1"/>
                <w:sz w:val="16"/>
                <w:szCs w:val="16"/>
              </w:rPr>
              <w:t>Current year</w:t>
            </w:r>
          </w:p>
          <w:p w14:paraId="1462C9BA" w14:textId="7F787917" w:rsidR="00493F5F" w:rsidRPr="00986072" w:rsidRDefault="00493F5F" w:rsidP="00746CF9">
            <w:pPr>
              <w:tabs>
                <w:tab w:val="left" w:pos="709"/>
              </w:tabs>
              <w:spacing w:before="60" w:after="60" w:line="240" w:lineRule="auto"/>
              <w:rPr>
                <w:rFonts w:ascii="Arial" w:hAnsi="Arial" w:cs="Arial"/>
                <w:color w:val="000000" w:themeColor="text1"/>
                <w:sz w:val="16"/>
                <w:szCs w:val="16"/>
              </w:rPr>
            </w:pPr>
            <w:r w:rsidRPr="00986072">
              <w:rPr>
                <w:rFonts w:ascii="Arial" w:hAnsi="Arial" w:cs="Arial"/>
                <w:color w:val="000000" w:themeColor="text1"/>
                <w:sz w:val="16"/>
                <w:szCs w:val="16"/>
              </w:rPr>
              <w:t>2025</w:t>
            </w:r>
            <w:r w:rsidR="001F539C" w:rsidRPr="005420BC">
              <w:rPr>
                <w:rFonts w:ascii="Arial" w:hAnsi="Arial" w:cs="Arial"/>
                <w:color w:val="000000" w:themeColor="text1"/>
                <w:sz w:val="16"/>
                <w:szCs w:val="16"/>
              </w:rPr>
              <w:t>–</w:t>
            </w:r>
            <w:r w:rsidRPr="00986072">
              <w:rPr>
                <w:rFonts w:ascii="Arial" w:hAnsi="Arial" w:cs="Arial"/>
                <w:color w:val="000000" w:themeColor="text1"/>
                <w:sz w:val="16"/>
                <w:szCs w:val="16"/>
              </w:rPr>
              <w:t>26</w:t>
            </w:r>
          </w:p>
        </w:tc>
        <w:tc>
          <w:tcPr>
            <w:tcW w:w="4051" w:type="dxa"/>
            <w:tcBorders>
              <w:top w:val="single" w:sz="4" w:space="0" w:color="auto"/>
              <w:left w:val="single" w:sz="4" w:space="0" w:color="auto"/>
              <w:bottom w:val="single" w:sz="4" w:space="0" w:color="auto"/>
              <w:right w:val="single" w:sz="4" w:space="0" w:color="auto"/>
            </w:tcBorders>
            <w:hideMark/>
          </w:tcPr>
          <w:p w14:paraId="2CE19FD7"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Key metric</w:t>
            </w:r>
            <w:r w:rsidRPr="00493F5F">
              <w:rPr>
                <w:rFonts w:ascii="Arial" w:hAnsi="Arial" w:cs="Arial"/>
                <w:color w:val="000000" w:themeColor="text1"/>
                <w:sz w:val="16"/>
                <w:szCs w:val="16"/>
              </w:rPr>
              <w:t> </w:t>
            </w:r>
          </w:p>
          <w:p w14:paraId="66BDC894"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Industry stakeholder net promoter score (NPS)</w:t>
            </w:r>
          </w:p>
          <w:p w14:paraId="19C4CEED"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Event satisfaction of participants</w:t>
            </w:r>
          </w:p>
          <w:p w14:paraId="2E4328EC" w14:textId="77777777" w:rsidR="00493F5F" w:rsidRPr="00493F5F" w:rsidRDefault="00493F5F" w:rsidP="00746CF9">
            <w:pPr>
              <w:pStyle w:val="paragraph"/>
              <w:spacing w:before="60" w:after="60"/>
              <w:textAlignment w:val="baseline"/>
              <w:rPr>
                <w:rFonts w:ascii="Arial" w:hAnsi="Arial" w:cs="Arial"/>
                <w:color w:val="000000" w:themeColor="text1"/>
                <w:sz w:val="16"/>
                <w:szCs w:val="16"/>
              </w:rPr>
            </w:pPr>
            <w:r w:rsidRPr="00493F5F">
              <w:rPr>
                <w:rFonts w:ascii="Arial" w:hAnsi="Arial" w:cs="Arial"/>
                <w:color w:val="000000" w:themeColor="text1"/>
                <w:sz w:val="16"/>
                <w:szCs w:val="16"/>
              </w:rPr>
              <w:t>BE Bid Fund Program, total ROI</w:t>
            </w:r>
          </w:p>
        </w:tc>
        <w:tc>
          <w:tcPr>
            <w:tcW w:w="3260" w:type="dxa"/>
            <w:tcBorders>
              <w:top w:val="single" w:sz="4" w:space="0" w:color="auto"/>
              <w:left w:val="single" w:sz="4" w:space="0" w:color="auto"/>
              <w:bottom w:val="single" w:sz="4" w:space="0" w:color="auto"/>
            </w:tcBorders>
          </w:tcPr>
          <w:p w14:paraId="6185C2DE"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 xml:space="preserve">Est. performance </w:t>
            </w:r>
            <w:proofErr w:type="gramStart"/>
            <w:r w:rsidRPr="00493F5F">
              <w:rPr>
                <w:rFonts w:ascii="Arial" w:hAnsi="Arial" w:cs="Arial"/>
                <w:color w:val="000000" w:themeColor="text1"/>
                <w:sz w:val="16"/>
                <w:szCs w:val="16"/>
                <w:u w:val="single"/>
              </w:rPr>
              <w:t>at</w:t>
            </w:r>
            <w:proofErr w:type="gramEnd"/>
            <w:r w:rsidRPr="00493F5F">
              <w:rPr>
                <w:rFonts w:ascii="Arial" w:hAnsi="Arial" w:cs="Arial"/>
                <w:color w:val="000000" w:themeColor="text1"/>
                <w:sz w:val="16"/>
                <w:szCs w:val="16"/>
                <w:u w:val="single"/>
              </w:rPr>
              <w:t xml:space="preserve"> 30 June 2026</w:t>
            </w:r>
          </w:p>
          <w:p w14:paraId="6391B662"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49</w:t>
            </w:r>
          </w:p>
          <w:p w14:paraId="680EB17B"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 xml:space="preserve">98 per cent </w:t>
            </w:r>
          </w:p>
          <w:p w14:paraId="16BB9A65"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$50:1</w:t>
            </w:r>
          </w:p>
        </w:tc>
      </w:tr>
      <w:tr w:rsidR="00493F5F" w:rsidRPr="000541BB" w14:paraId="33DEC6FB" w14:textId="77777777">
        <w:trPr>
          <w:trHeight w:val="300"/>
        </w:trPr>
        <w:tc>
          <w:tcPr>
            <w:tcW w:w="1761" w:type="dxa"/>
            <w:tcBorders>
              <w:top w:val="single" w:sz="4" w:space="0" w:color="auto"/>
              <w:left w:val="single" w:sz="4" w:space="0" w:color="auto"/>
              <w:bottom w:val="single" w:sz="4" w:space="0" w:color="auto"/>
              <w:right w:val="single" w:sz="4" w:space="0" w:color="auto"/>
            </w:tcBorders>
            <w:hideMark/>
          </w:tcPr>
          <w:p w14:paraId="595BC3FA" w14:textId="77777777" w:rsidR="00493F5F" w:rsidRPr="00986072" w:rsidRDefault="00493F5F" w:rsidP="00746CF9">
            <w:pPr>
              <w:tabs>
                <w:tab w:val="left" w:pos="709"/>
              </w:tabs>
              <w:spacing w:before="60" w:after="60" w:line="240" w:lineRule="auto"/>
              <w:rPr>
                <w:rFonts w:ascii="Arial" w:hAnsi="Arial" w:cs="Arial"/>
                <w:b/>
                <w:color w:val="000000" w:themeColor="text1"/>
                <w:sz w:val="16"/>
                <w:szCs w:val="16"/>
              </w:rPr>
            </w:pPr>
            <w:r w:rsidRPr="00986072">
              <w:rPr>
                <w:rFonts w:ascii="Arial" w:hAnsi="Arial" w:cs="Arial"/>
                <w:b/>
                <w:color w:val="000000" w:themeColor="text1"/>
                <w:sz w:val="16"/>
                <w:szCs w:val="16"/>
              </w:rPr>
              <w:t>Year</w:t>
            </w:r>
          </w:p>
        </w:tc>
        <w:tc>
          <w:tcPr>
            <w:tcW w:w="4051" w:type="dxa"/>
            <w:tcBorders>
              <w:top w:val="single" w:sz="4" w:space="0" w:color="auto"/>
              <w:left w:val="single" w:sz="4" w:space="0" w:color="auto"/>
              <w:bottom w:val="single" w:sz="4" w:space="0" w:color="auto"/>
              <w:right w:val="single" w:sz="4" w:space="0" w:color="auto"/>
            </w:tcBorders>
            <w:hideMark/>
          </w:tcPr>
          <w:p w14:paraId="307A3466" w14:textId="77777777" w:rsidR="00493F5F" w:rsidRPr="00493F5F" w:rsidRDefault="00493F5F" w:rsidP="00746CF9">
            <w:pPr>
              <w:tabs>
                <w:tab w:val="left" w:pos="709"/>
              </w:tabs>
              <w:spacing w:before="60" w:after="60" w:line="240" w:lineRule="auto"/>
              <w:rPr>
                <w:rFonts w:ascii="Arial" w:hAnsi="Arial" w:cs="Arial"/>
                <w:b/>
                <w:color w:val="000000" w:themeColor="text1"/>
                <w:sz w:val="16"/>
                <w:szCs w:val="16"/>
              </w:rPr>
            </w:pPr>
            <w:r w:rsidRPr="00493F5F">
              <w:rPr>
                <w:rFonts w:ascii="Arial" w:hAnsi="Arial" w:cs="Arial"/>
                <w:b/>
                <w:color w:val="000000" w:themeColor="text1"/>
                <w:sz w:val="16"/>
                <w:szCs w:val="16"/>
              </w:rPr>
              <w:t xml:space="preserve">Performance measures </w:t>
            </w:r>
          </w:p>
        </w:tc>
        <w:tc>
          <w:tcPr>
            <w:tcW w:w="3260" w:type="dxa"/>
            <w:tcBorders>
              <w:top w:val="single" w:sz="4" w:space="0" w:color="auto"/>
              <w:left w:val="single" w:sz="4" w:space="0" w:color="auto"/>
              <w:bottom w:val="single" w:sz="4" w:space="0" w:color="auto"/>
              <w:right w:val="single" w:sz="4" w:space="0" w:color="auto"/>
            </w:tcBorders>
            <w:hideMark/>
          </w:tcPr>
          <w:p w14:paraId="5B38FA14" w14:textId="77777777" w:rsidR="00493F5F" w:rsidRPr="00493F5F" w:rsidRDefault="00493F5F" w:rsidP="00746CF9">
            <w:pPr>
              <w:tabs>
                <w:tab w:val="left" w:pos="709"/>
              </w:tabs>
              <w:spacing w:before="60" w:after="60" w:line="240" w:lineRule="auto"/>
              <w:rPr>
                <w:rFonts w:ascii="Arial" w:hAnsi="Arial" w:cs="Arial"/>
                <w:b/>
                <w:color w:val="000000" w:themeColor="text1"/>
                <w:sz w:val="16"/>
                <w:szCs w:val="16"/>
              </w:rPr>
            </w:pPr>
            <w:r w:rsidRPr="00493F5F">
              <w:rPr>
                <w:rFonts w:ascii="Arial" w:hAnsi="Arial" w:cs="Arial"/>
                <w:b/>
                <w:color w:val="000000" w:themeColor="text1"/>
                <w:sz w:val="16"/>
                <w:szCs w:val="16"/>
              </w:rPr>
              <w:t>Planned Performance Results</w:t>
            </w:r>
          </w:p>
        </w:tc>
      </w:tr>
      <w:tr w:rsidR="00493F5F" w:rsidRPr="000541BB" w14:paraId="15D41533" w14:textId="77777777">
        <w:trPr>
          <w:trHeight w:val="1089"/>
        </w:trPr>
        <w:tc>
          <w:tcPr>
            <w:tcW w:w="1761" w:type="dxa"/>
            <w:tcBorders>
              <w:top w:val="dotted" w:sz="4" w:space="0" w:color="auto"/>
              <w:bottom w:val="dotted" w:sz="4" w:space="0" w:color="auto"/>
              <w:right w:val="single" w:sz="4" w:space="0" w:color="auto"/>
            </w:tcBorders>
            <w:hideMark/>
          </w:tcPr>
          <w:p w14:paraId="04844C60" w14:textId="77777777" w:rsidR="00493F5F" w:rsidRPr="00986072" w:rsidRDefault="00493F5F" w:rsidP="00746CF9">
            <w:pPr>
              <w:tabs>
                <w:tab w:val="left" w:pos="709"/>
              </w:tabs>
              <w:spacing w:before="60" w:after="60" w:line="240" w:lineRule="auto"/>
              <w:rPr>
                <w:rFonts w:ascii="Arial" w:hAnsi="Arial" w:cs="Arial"/>
                <w:color w:val="000000" w:themeColor="text1"/>
                <w:sz w:val="16"/>
                <w:szCs w:val="16"/>
              </w:rPr>
            </w:pPr>
            <w:r w:rsidRPr="00986072">
              <w:rPr>
                <w:rFonts w:ascii="Arial" w:hAnsi="Arial" w:cs="Arial"/>
                <w:color w:val="000000" w:themeColor="text1"/>
                <w:sz w:val="16"/>
                <w:szCs w:val="16"/>
              </w:rPr>
              <w:t xml:space="preserve">Budget Year </w:t>
            </w:r>
          </w:p>
          <w:p w14:paraId="6272B366" w14:textId="7C361B3D" w:rsidR="00493F5F" w:rsidRPr="00986072" w:rsidRDefault="00493F5F" w:rsidP="00746CF9">
            <w:pPr>
              <w:tabs>
                <w:tab w:val="left" w:pos="709"/>
              </w:tabs>
              <w:spacing w:before="60" w:after="60" w:line="240" w:lineRule="auto"/>
              <w:rPr>
                <w:rFonts w:ascii="Arial" w:hAnsi="Arial" w:cs="Arial"/>
                <w:color w:val="000000" w:themeColor="text1"/>
                <w:sz w:val="16"/>
                <w:szCs w:val="16"/>
              </w:rPr>
            </w:pPr>
            <w:r w:rsidRPr="00986072">
              <w:rPr>
                <w:rFonts w:ascii="Arial" w:hAnsi="Arial" w:cs="Arial"/>
                <w:color w:val="000000" w:themeColor="text1"/>
                <w:sz w:val="16"/>
                <w:szCs w:val="16"/>
              </w:rPr>
              <w:t>2026</w:t>
            </w:r>
            <w:r w:rsidR="001F539C" w:rsidRPr="005420BC">
              <w:rPr>
                <w:rFonts w:ascii="Arial" w:hAnsi="Arial" w:cs="Arial"/>
                <w:color w:val="000000" w:themeColor="text1"/>
                <w:sz w:val="16"/>
                <w:szCs w:val="16"/>
              </w:rPr>
              <w:t>–</w:t>
            </w:r>
            <w:r w:rsidRPr="00986072">
              <w:rPr>
                <w:rFonts w:ascii="Arial" w:hAnsi="Arial" w:cs="Arial"/>
                <w:color w:val="000000" w:themeColor="text1"/>
                <w:sz w:val="16"/>
                <w:szCs w:val="16"/>
              </w:rPr>
              <w:t>27</w:t>
            </w:r>
          </w:p>
        </w:tc>
        <w:tc>
          <w:tcPr>
            <w:tcW w:w="4051" w:type="dxa"/>
            <w:tcBorders>
              <w:top w:val="single" w:sz="4" w:space="0" w:color="auto"/>
              <w:left w:val="single" w:sz="4" w:space="0" w:color="auto"/>
              <w:bottom w:val="dotted" w:sz="4" w:space="0" w:color="auto"/>
              <w:right w:val="single" w:sz="4" w:space="0" w:color="auto"/>
            </w:tcBorders>
            <w:hideMark/>
          </w:tcPr>
          <w:p w14:paraId="6559368E"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Key metric</w:t>
            </w:r>
            <w:r w:rsidRPr="00493F5F">
              <w:rPr>
                <w:rFonts w:ascii="Arial" w:hAnsi="Arial" w:cs="Arial"/>
                <w:color w:val="000000" w:themeColor="text1"/>
                <w:sz w:val="16"/>
                <w:szCs w:val="16"/>
              </w:rPr>
              <w:t> </w:t>
            </w:r>
          </w:p>
          <w:p w14:paraId="2A8ED202"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Industry stakeholder NPS</w:t>
            </w:r>
          </w:p>
          <w:p w14:paraId="441B6A32" w14:textId="5C2BACF2" w:rsidR="00493F5F" w:rsidRPr="00493F5F" w:rsidRDefault="00493F5F" w:rsidP="00746CF9">
            <w:pPr>
              <w:spacing w:before="60" w:after="60" w:line="240" w:lineRule="auto"/>
              <w:textAlignment w:val="baseline"/>
              <w:rPr>
                <w:rFonts w:ascii="Arial" w:hAnsi="Arial" w:cs="Arial"/>
                <w:color w:val="000000" w:themeColor="text1"/>
                <w:sz w:val="16"/>
                <w:szCs w:val="16"/>
                <w:lang w:eastAsia="zh-CN"/>
              </w:rPr>
            </w:pPr>
            <w:r w:rsidRPr="00493F5F">
              <w:rPr>
                <w:rFonts w:ascii="Arial" w:hAnsi="Arial" w:cs="Arial"/>
                <w:color w:val="000000" w:themeColor="text1"/>
                <w:sz w:val="16"/>
                <w:szCs w:val="16"/>
              </w:rPr>
              <w:t>Other metrics as outlined in Tourism Australia’s 2026</w:t>
            </w:r>
            <w:r w:rsidR="007C2C8E">
              <w:rPr>
                <w:rFonts w:ascii="Arial" w:hAnsi="Arial" w:cs="Arial"/>
                <w:color w:val="000000" w:themeColor="text1"/>
                <w:sz w:val="16"/>
                <w:szCs w:val="16"/>
              </w:rPr>
              <w:t>–</w:t>
            </w:r>
            <w:r w:rsidRPr="00493F5F">
              <w:rPr>
                <w:rFonts w:ascii="Arial" w:hAnsi="Arial" w:cs="Arial"/>
                <w:color w:val="000000" w:themeColor="text1"/>
                <w:sz w:val="16"/>
                <w:szCs w:val="16"/>
              </w:rPr>
              <w:t>30 Corporate Plan </w:t>
            </w:r>
          </w:p>
        </w:tc>
        <w:tc>
          <w:tcPr>
            <w:tcW w:w="3260" w:type="dxa"/>
            <w:tcBorders>
              <w:top w:val="single" w:sz="4" w:space="0" w:color="auto"/>
              <w:left w:val="single" w:sz="4" w:space="0" w:color="auto"/>
              <w:bottom w:val="dotted" w:sz="4" w:space="0" w:color="auto"/>
              <w:right w:val="single" w:sz="4" w:space="0" w:color="auto"/>
            </w:tcBorders>
          </w:tcPr>
          <w:p w14:paraId="6AC5E757"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Target</w:t>
            </w:r>
            <w:r w:rsidRPr="00493F5F">
              <w:rPr>
                <w:rFonts w:ascii="Arial" w:hAnsi="Arial" w:cs="Arial"/>
                <w:color w:val="000000" w:themeColor="text1"/>
                <w:sz w:val="16"/>
                <w:szCs w:val="16"/>
              </w:rPr>
              <w:t> </w:t>
            </w:r>
          </w:p>
          <w:p w14:paraId="4548D304" w14:textId="77777777" w:rsidR="00493F5F" w:rsidRPr="00493F5F" w:rsidRDefault="00493F5F" w:rsidP="00746CF9">
            <w:pPr>
              <w:tabs>
                <w:tab w:val="left" w:pos="709"/>
              </w:tabs>
              <w:spacing w:before="60" w:after="60" w:line="240" w:lineRule="auto"/>
              <w:rPr>
                <w:rFonts w:ascii="Arial" w:hAnsi="Arial" w:cs="Arial"/>
                <w:color w:val="000000" w:themeColor="text1"/>
                <w:sz w:val="16"/>
                <w:szCs w:val="16"/>
                <w:lang w:eastAsia="zh-CN"/>
              </w:rPr>
            </w:pPr>
            <w:r w:rsidRPr="00493F5F">
              <w:rPr>
                <w:rFonts w:ascii="Arial" w:hAnsi="Arial" w:cs="Arial"/>
                <w:color w:val="000000" w:themeColor="text1"/>
                <w:sz w:val="16"/>
                <w:szCs w:val="16"/>
                <w:lang w:eastAsia="zh-CN"/>
              </w:rPr>
              <w:t>45</w:t>
            </w:r>
          </w:p>
        </w:tc>
      </w:tr>
      <w:tr w:rsidR="00493F5F" w:rsidRPr="000541BB" w14:paraId="3B915F1F" w14:textId="77777777">
        <w:trPr>
          <w:trHeight w:val="1115"/>
        </w:trPr>
        <w:tc>
          <w:tcPr>
            <w:tcW w:w="1761" w:type="dxa"/>
            <w:tcBorders>
              <w:top w:val="dotted" w:sz="4" w:space="0" w:color="auto"/>
              <w:bottom w:val="single" w:sz="4" w:space="0" w:color="auto"/>
              <w:right w:val="single" w:sz="4" w:space="0" w:color="auto"/>
            </w:tcBorders>
            <w:hideMark/>
          </w:tcPr>
          <w:p w14:paraId="043E09B7" w14:textId="77777777" w:rsidR="00493F5F" w:rsidRPr="00986072" w:rsidRDefault="00493F5F" w:rsidP="00746CF9">
            <w:pPr>
              <w:tabs>
                <w:tab w:val="left" w:pos="709"/>
              </w:tabs>
              <w:spacing w:before="60" w:after="60" w:line="240" w:lineRule="auto"/>
              <w:rPr>
                <w:rFonts w:ascii="Arial" w:hAnsi="Arial" w:cs="Arial"/>
                <w:color w:val="000000" w:themeColor="text1"/>
                <w:sz w:val="16"/>
                <w:szCs w:val="16"/>
              </w:rPr>
            </w:pPr>
            <w:r w:rsidRPr="00986072">
              <w:rPr>
                <w:rFonts w:ascii="Arial" w:hAnsi="Arial" w:cs="Arial"/>
                <w:color w:val="000000" w:themeColor="text1"/>
                <w:sz w:val="16"/>
                <w:szCs w:val="16"/>
              </w:rPr>
              <w:t>Forward Estimates</w:t>
            </w:r>
          </w:p>
          <w:p w14:paraId="5B077032" w14:textId="4B76F1D3" w:rsidR="00493F5F" w:rsidRPr="00986072" w:rsidRDefault="00493F5F" w:rsidP="00746CF9">
            <w:pPr>
              <w:tabs>
                <w:tab w:val="left" w:pos="709"/>
              </w:tabs>
              <w:spacing w:before="60" w:after="60" w:line="240" w:lineRule="auto"/>
              <w:rPr>
                <w:rFonts w:ascii="Arial" w:hAnsi="Arial" w:cs="Arial"/>
                <w:color w:val="000000" w:themeColor="text1"/>
                <w:sz w:val="16"/>
                <w:szCs w:val="16"/>
              </w:rPr>
            </w:pPr>
            <w:r w:rsidRPr="00986072">
              <w:rPr>
                <w:rFonts w:ascii="Arial" w:hAnsi="Arial" w:cs="Arial"/>
                <w:color w:val="000000" w:themeColor="text1"/>
                <w:sz w:val="16"/>
                <w:szCs w:val="16"/>
              </w:rPr>
              <w:t>2027</w:t>
            </w:r>
            <w:r w:rsidR="001F539C" w:rsidRPr="005420BC">
              <w:rPr>
                <w:rFonts w:ascii="Arial" w:hAnsi="Arial" w:cs="Arial"/>
                <w:color w:val="000000" w:themeColor="text1"/>
                <w:sz w:val="16"/>
                <w:szCs w:val="16"/>
              </w:rPr>
              <w:t>–</w:t>
            </w:r>
            <w:r w:rsidRPr="00986072">
              <w:rPr>
                <w:rFonts w:ascii="Arial" w:hAnsi="Arial" w:cs="Arial"/>
                <w:color w:val="000000" w:themeColor="text1"/>
                <w:sz w:val="16"/>
                <w:szCs w:val="16"/>
              </w:rPr>
              <w:t>30</w:t>
            </w:r>
          </w:p>
        </w:tc>
        <w:tc>
          <w:tcPr>
            <w:tcW w:w="4051" w:type="dxa"/>
            <w:tcBorders>
              <w:top w:val="dotted" w:sz="4" w:space="0" w:color="auto"/>
              <w:left w:val="single" w:sz="4" w:space="0" w:color="auto"/>
              <w:bottom w:val="single" w:sz="4" w:space="0" w:color="auto"/>
              <w:right w:val="single" w:sz="4" w:space="0" w:color="auto"/>
            </w:tcBorders>
            <w:hideMark/>
          </w:tcPr>
          <w:p w14:paraId="47680947"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Key metric</w:t>
            </w:r>
            <w:r w:rsidRPr="00493F5F">
              <w:rPr>
                <w:rFonts w:ascii="Arial" w:hAnsi="Arial" w:cs="Arial"/>
                <w:color w:val="000000" w:themeColor="text1"/>
                <w:sz w:val="16"/>
                <w:szCs w:val="16"/>
              </w:rPr>
              <w:t> </w:t>
            </w:r>
          </w:p>
          <w:p w14:paraId="7D38BDD5" w14:textId="77777777" w:rsidR="00493F5F" w:rsidRPr="00493F5F" w:rsidRDefault="00493F5F" w:rsidP="00746CF9">
            <w:pPr>
              <w:spacing w:before="60" w:after="60" w:line="240" w:lineRule="auto"/>
              <w:textAlignment w:val="baseline"/>
              <w:rPr>
                <w:rFonts w:ascii="Arial" w:hAnsi="Arial" w:cs="Arial"/>
                <w:color w:val="000000" w:themeColor="text1"/>
                <w:sz w:val="16"/>
                <w:szCs w:val="16"/>
              </w:rPr>
            </w:pPr>
            <w:r w:rsidRPr="00493F5F">
              <w:rPr>
                <w:rFonts w:ascii="Arial" w:hAnsi="Arial" w:cs="Arial"/>
                <w:color w:val="000000" w:themeColor="text1"/>
                <w:sz w:val="16"/>
                <w:szCs w:val="16"/>
              </w:rPr>
              <w:t>Industry stakeholder NPS</w:t>
            </w:r>
          </w:p>
          <w:p w14:paraId="04D79ACE" w14:textId="777860D4" w:rsidR="00493F5F" w:rsidRPr="00493F5F" w:rsidRDefault="00493F5F" w:rsidP="00746CF9">
            <w:pPr>
              <w:tabs>
                <w:tab w:val="left" w:pos="709"/>
              </w:tabs>
              <w:spacing w:before="60" w:after="60" w:line="240" w:lineRule="auto"/>
              <w:rPr>
                <w:rFonts w:ascii="Arial" w:hAnsi="Arial" w:cs="Arial"/>
                <w:color w:val="000000" w:themeColor="text1"/>
                <w:sz w:val="16"/>
                <w:szCs w:val="16"/>
              </w:rPr>
            </w:pPr>
            <w:r w:rsidRPr="00493F5F">
              <w:rPr>
                <w:rFonts w:ascii="Arial" w:hAnsi="Arial" w:cs="Arial"/>
                <w:color w:val="000000" w:themeColor="text1"/>
                <w:sz w:val="16"/>
                <w:szCs w:val="16"/>
              </w:rPr>
              <w:t>Other metrics as outlined in Tourism Australia’s 2026</w:t>
            </w:r>
            <w:r w:rsidR="007C2C8E">
              <w:rPr>
                <w:rFonts w:ascii="Arial" w:hAnsi="Arial" w:cs="Arial"/>
                <w:color w:val="000000" w:themeColor="text1"/>
                <w:sz w:val="16"/>
                <w:szCs w:val="16"/>
              </w:rPr>
              <w:t>–</w:t>
            </w:r>
            <w:r w:rsidRPr="00493F5F">
              <w:rPr>
                <w:rFonts w:ascii="Arial" w:hAnsi="Arial" w:cs="Arial"/>
                <w:color w:val="000000" w:themeColor="text1"/>
                <w:sz w:val="16"/>
                <w:szCs w:val="16"/>
              </w:rPr>
              <w:t>30 Corporate Plan </w:t>
            </w:r>
          </w:p>
        </w:tc>
        <w:tc>
          <w:tcPr>
            <w:tcW w:w="3260" w:type="dxa"/>
            <w:tcBorders>
              <w:top w:val="dotted" w:sz="4" w:space="0" w:color="auto"/>
              <w:left w:val="single" w:sz="4" w:space="0" w:color="auto"/>
              <w:bottom w:val="single" w:sz="4" w:space="0" w:color="auto"/>
              <w:right w:val="single" w:sz="4" w:space="0" w:color="auto"/>
            </w:tcBorders>
          </w:tcPr>
          <w:p w14:paraId="5E5A7F37" w14:textId="77777777" w:rsidR="00493F5F" w:rsidRPr="00493F5F" w:rsidRDefault="00493F5F" w:rsidP="00746CF9">
            <w:pPr>
              <w:spacing w:before="60" w:after="60" w:line="240" w:lineRule="auto"/>
              <w:textAlignment w:val="baseline"/>
              <w:rPr>
                <w:rFonts w:ascii="Arial" w:hAnsi="Arial" w:cs="Arial"/>
                <w:color w:val="000000" w:themeColor="text1"/>
                <w:sz w:val="16"/>
                <w:szCs w:val="16"/>
                <w:u w:val="single"/>
              </w:rPr>
            </w:pPr>
            <w:r w:rsidRPr="00493F5F">
              <w:rPr>
                <w:rFonts w:ascii="Arial" w:hAnsi="Arial" w:cs="Arial"/>
                <w:color w:val="000000" w:themeColor="text1"/>
                <w:sz w:val="16"/>
                <w:szCs w:val="16"/>
                <w:u w:val="single"/>
              </w:rPr>
              <w:t>Target</w:t>
            </w:r>
            <w:r w:rsidRPr="00493F5F">
              <w:rPr>
                <w:rFonts w:ascii="Arial" w:hAnsi="Arial" w:cs="Arial"/>
                <w:color w:val="000000" w:themeColor="text1"/>
                <w:sz w:val="16"/>
                <w:szCs w:val="16"/>
              </w:rPr>
              <w:t> </w:t>
            </w:r>
          </w:p>
          <w:p w14:paraId="50CF4B87" w14:textId="77777777" w:rsidR="00493F5F" w:rsidRPr="00493F5F" w:rsidRDefault="00493F5F" w:rsidP="00746CF9">
            <w:pPr>
              <w:tabs>
                <w:tab w:val="left" w:pos="709"/>
              </w:tabs>
              <w:spacing w:before="60" w:after="60" w:line="240" w:lineRule="auto"/>
              <w:rPr>
                <w:rFonts w:ascii="Arial" w:hAnsi="Arial" w:cs="Arial"/>
                <w:color w:val="000000" w:themeColor="text1"/>
                <w:sz w:val="16"/>
                <w:szCs w:val="16"/>
                <w:lang w:eastAsia="zh-CN"/>
              </w:rPr>
            </w:pPr>
            <w:r w:rsidRPr="00493F5F">
              <w:rPr>
                <w:rFonts w:ascii="Arial" w:hAnsi="Arial" w:cs="Arial"/>
                <w:color w:val="000000" w:themeColor="text1"/>
                <w:sz w:val="16"/>
                <w:szCs w:val="16"/>
                <w:lang w:eastAsia="zh-CN"/>
              </w:rPr>
              <w:t>45</w:t>
            </w:r>
          </w:p>
        </w:tc>
      </w:tr>
    </w:tbl>
    <w:p w14:paraId="5B4ADAFD" w14:textId="77777777" w:rsidR="00493F5F" w:rsidRDefault="00493F5F">
      <w:pPr>
        <w:spacing w:before="0" w:after="0" w:line="240" w:lineRule="auto"/>
      </w:pPr>
    </w:p>
    <w:p w14:paraId="4B87DF6D" w14:textId="530BF91B" w:rsidR="00493F5F" w:rsidRDefault="00493F5F">
      <w:pPr>
        <w:spacing w:before="0" w:after="0" w:line="240" w:lineRule="auto"/>
      </w:pPr>
      <w:r>
        <w:br w:type="page"/>
      </w:r>
    </w:p>
    <w:p w14:paraId="5D725E96" w14:textId="77777777" w:rsidR="00E7366F" w:rsidRPr="006913EB" w:rsidRDefault="00E7366F" w:rsidP="00E7366F">
      <w:pPr>
        <w:pStyle w:val="Heading2"/>
      </w:pPr>
      <w:r w:rsidRPr="006913EB">
        <w:lastRenderedPageBreak/>
        <w:t>Section 3: Budgeted financial statements</w:t>
      </w:r>
    </w:p>
    <w:p w14:paraId="07A37E15" w14:textId="77777777" w:rsidR="00E7366F" w:rsidRDefault="00E7366F" w:rsidP="00E7366F">
      <w:r>
        <w:t>Section 3 presents budgeted financial statements which provide a comprehensive snapshot of entity finances for the 2026–27</w:t>
      </w:r>
      <w:r>
        <w:rPr>
          <w:color w:val="00B050"/>
        </w:rPr>
        <w:t xml:space="preserve"> </w:t>
      </w:r>
      <w:r>
        <w:t>budget year, including the impact of budget measures and resourcing on financial statements.</w:t>
      </w:r>
    </w:p>
    <w:p w14:paraId="26289A16" w14:textId="77777777" w:rsidR="00E7366F" w:rsidRPr="005328A9" w:rsidRDefault="00E7366F" w:rsidP="00E7366F">
      <w:pPr>
        <w:pStyle w:val="Heading3"/>
      </w:pPr>
      <w:r w:rsidRPr="005328A9">
        <w:t>3.1</w:t>
      </w:r>
      <w:r w:rsidRPr="005328A9">
        <w:tab/>
        <w:t>Budgeted financial statements</w:t>
      </w:r>
    </w:p>
    <w:p w14:paraId="7EAC0924" w14:textId="77777777" w:rsidR="00E7366F" w:rsidRDefault="00E7366F" w:rsidP="00E7366F">
      <w:pPr>
        <w:pStyle w:val="Heading4"/>
      </w:pPr>
      <w:r>
        <w:t>3.1.1</w:t>
      </w:r>
      <w:r>
        <w:tab/>
        <w:t>Differences between entity resourcing and financial statements</w:t>
      </w:r>
    </w:p>
    <w:p w14:paraId="28E7B166" w14:textId="71A6F1A2" w:rsidR="00E7366F" w:rsidRPr="00C72F1B" w:rsidRDefault="00C72F1B" w:rsidP="00E7366F">
      <w:pPr>
        <w:pStyle w:val="ExampleText0"/>
        <w:spacing w:after="160"/>
        <w:rPr>
          <w:i w:val="0"/>
          <w:iCs/>
          <w:color w:val="auto"/>
        </w:rPr>
      </w:pPr>
      <w:r>
        <w:rPr>
          <w:i w:val="0"/>
          <w:iCs/>
          <w:color w:val="auto"/>
        </w:rPr>
        <w:t xml:space="preserve">Tourism </w:t>
      </w:r>
      <w:r w:rsidRPr="00C72F1B">
        <w:rPr>
          <w:i w:val="0"/>
          <w:iCs/>
          <w:color w:val="auto"/>
        </w:rPr>
        <w:t xml:space="preserve">Australia has no significant differences between the resource information presented in the Budget Papers and in the Portfolio Budget Statements </w:t>
      </w:r>
      <w:proofErr w:type="gramStart"/>
      <w:r w:rsidRPr="00C72F1B">
        <w:rPr>
          <w:i w:val="0"/>
          <w:iCs/>
          <w:color w:val="auto"/>
        </w:rPr>
        <w:t>as a result of</w:t>
      </w:r>
      <w:proofErr w:type="gramEnd"/>
      <w:r w:rsidRPr="00C72F1B">
        <w:rPr>
          <w:i w:val="0"/>
          <w:iCs/>
          <w:color w:val="auto"/>
        </w:rPr>
        <w:t xml:space="preserve"> differences between whole-of-government level reporting (under Australian Accounting Standard 1049) and entity level financial reporting</w:t>
      </w:r>
      <w:r w:rsidR="00E7366F" w:rsidRPr="00C72F1B">
        <w:rPr>
          <w:i w:val="0"/>
          <w:iCs/>
          <w:color w:val="auto"/>
        </w:rPr>
        <w:t>.</w:t>
      </w:r>
    </w:p>
    <w:p w14:paraId="6EF2660C" w14:textId="77777777" w:rsidR="00E7366F" w:rsidRDefault="00E7366F" w:rsidP="00E7366F">
      <w:pPr>
        <w:pStyle w:val="Heading4"/>
      </w:pPr>
      <w:r>
        <w:t>3.1.2</w:t>
      </w:r>
      <w:r>
        <w:tab/>
        <w:t>Explanatory notes and analysis of budgeted financial statements</w:t>
      </w:r>
    </w:p>
    <w:p w14:paraId="495A58D4" w14:textId="77777777" w:rsidR="00851E02" w:rsidRPr="00851E02" w:rsidRDefault="00851E02" w:rsidP="00851E02">
      <w:pPr>
        <w:pStyle w:val="ExampleText0"/>
        <w:spacing w:after="160"/>
        <w:rPr>
          <w:i w:val="0"/>
          <w:iCs/>
          <w:color w:val="auto"/>
        </w:rPr>
      </w:pPr>
      <w:r w:rsidRPr="00851E02">
        <w:rPr>
          <w:i w:val="0"/>
          <w:iCs/>
          <w:color w:val="auto"/>
        </w:rPr>
        <w:t>The departmental financial statements represent the assets, liabilities, revenues and expenses controlled by Tourism Australia. Departmental expenses include employee and supplier costs, as well as other administrative expenses incurred by Tourism Australia in undertaking marketing operations.  </w:t>
      </w:r>
    </w:p>
    <w:p w14:paraId="2A0E9642" w14:textId="5D7DE2C3" w:rsidR="00851E02" w:rsidRPr="00851E02" w:rsidRDefault="00851E02" w:rsidP="00851E02">
      <w:pPr>
        <w:pStyle w:val="ExampleText0"/>
        <w:spacing w:after="160"/>
        <w:rPr>
          <w:i w:val="0"/>
          <w:iCs/>
          <w:color w:val="auto"/>
        </w:rPr>
      </w:pPr>
      <w:r w:rsidRPr="00851E02">
        <w:rPr>
          <w:i w:val="0"/>
          <w:iCs/>
          <w:color w:val="auto"/>
        </w:rPr>
        <w:t>Total operating revenue for 2026</w:t>
      </w:r>
      <w:r w:rsidR="00686196">
        <w:rPr>
          <w:i w:val="0"/>
          <w:iCs/>
          <w:color w:val="auto"/>
        </w:rPr>
        <w:t>–</w:t>
      </w:r>
      <w:r w:rsidRPr="00851E02">
        <w:rPr>
          <w:i w:val="0"/>
          <w:iCs/>
          <w:color w:val="auto"/>
        </w:rPr>
        <w:t>27 is estimated at $182.1 million, comprising Government funding of $161.1 million and revenue from other sources of $21.0 million. Government funding includes (1) appropriations of $140.8 million and (2) $20.3 million for the Asia Marketing Fund.  </w:t>
      </w:r>
    </w:p>
    <w:p w14:paraId="0CA72245" w14:textId="32ACF51F" w:rsidR="00851E02" w:rsidRPr="00851E02" w:rsidRDefault="00851E02" w:rsidP="00851E02">
      <w:pPr>
        <w:pStyle w:val="ExampleText0"/>
        <w:spacing w:after="160"/>
        <w:rPr>
          <w:i w:val="0"/>
          <w:iCs/>
          <w:color w:val="auto"/>
        </w:rPr>
      </w:pPr>
      <w:r w:rsidRPr="00851E02">
        <w:rPr>
          <w:i w:val="0"/>
          <w:iCs/>
          <w:color w:val="auto"/>
        </w:rPr>
        <w:t>The change from 2025</w:t>
      </w:r>
      <w:r w:rsidR="00686196">
        <w:rPr>
          <w:i w:val="0"/>
          <w:iCs/>
          <w:color w:val="auto"/>
        </w:rPr>
        <w:t>–</w:t>
      </w:r>
      <w:r w:rsidRPr="00851E02">
        <w:rPr>
          <w:i w:val="0"/>
          <w:iCs/>
          <w:color w:val="auto"/>
        </w:rPr>
        <w:t>26 includes:  </w:t>
      </w:r>
    </w:p>
    <w:p w14:paraId="02DA5EB4" w14:textId="4F85BBAD" w:rsidR="00851E02" w:rsidRPr="00851E02" w:rsidRDefault="00851E02" w:rsidP="00851E02">
      <w:pPr>
        <w:pStyle w:val="ExampleText0"/>
        <w:spacing w:after="160"/>
        <w:rPr>
          <w:i w:val="0"/>
          <w:iCs/>
          <w:color w:val="auto"/>
        </w:rPr>
      </w:pPr>
      <w:r w:rsidRPr="00851E02">
        <w:rPr>
          <w:i w:val="0"/>
          <w:iCs/>
          <w:color w:val="auto"/>
        </w:rPr>
        <w:t>• A reduction in appropriation for 2026</w:t>
      </w:r>
      <w:r w:rsidR="00686196">
        <w:rPr>
          <w:i w:val="0"/>
          <w:iCs/>
          <w:color w:val="auto"/>
        </w:rPr>
        <w:t>–</w:t>
      </w:r>
      <w:r w:rsidRPr="00851E02">
        <w:rPr>
          <w:i w:val="0"/>
          <w:iCs/>
          <w:color w:val="auto"/>
        </w:rPr>
        <w:t>27, reflecting a </w:t>
      </w:r>
      <w:proofErr w:type="gramStart"/>
      <w:r w:rsidRPr="00851E02">
        <w:rPr>
          <w:i w:val="0"/>
          <w:iCs/>
          <w:color w:val="auto"/>
        </w:rPr>
        <w:t>Government</w:t>
      </w:r>
      <w:proofErr w:type="gramEnd"/>
      <w:r w:rsidRPr="00851E02">
        <w:rPr>
          <w:i w:val="0"/>
          <w:iCs/>
          <w:color w:val="auto"/>
        </w:rPr>
        <w:t> decision to introduce further savings through reduced spending on external labour and non-wage expenses, adjusted for foreign exchange movements and domestic inflation. </w:t>
      </w:r>
    </w:p>
    <w:p w14:paraId="0E6FC442" w14:textId="079A87F1" w:rsidR="00851E02" w:rsidRPr="00851E02" w:rsidRDefault="00851E02" w:rsidP="00851E02">
      <w:pPr>
        <w:pStyle w:val="ExampleText0"/>
        <w:spacing w:after="160"/>
        <w:rPr>
          <w:i w:val="0"/>
          <w:iCs/>
          <w:color w:val="auto"/>
        </w:rPr>
      </w:pPr>
      <w:r w:rsidRPr="00851E02">
        <w:rPr>
          <w:i w:val="0"/>
          <w:iCs/>
          <w:color w:val="auto"/>
        </w:rPr>
        <w:t>• Budget measures: the Asia Marketing Fund.  </w:t>
      </w:r>
    </w:p>
    <w:p w14:paraId="70C8D98A" w14:textId="77777777" w:rsidR="00851E02" w:rsidRPr="00851E02" w:rsidRDefault="00851E02" w:rsidP="00851E02">
      <w:pPr>
        <w:pStyle w:val="ExampleText0"/>
        <w:spacing w:after="160"/>
        <w:rPr>
          <w:i w:val="0"/>
          <w:iCs/>
          <w:color w:val="auto"/>
        </w:rPr>
      </w:pPr>
      <w:r w:rsidRPr="00851E02">
        <w:rPr>
          <w:i w:val="0"/>
          <w:iCs/>
          <w:color w:val="auto"/>
        </w:rPr>
        <w:t>Corresponding total expenses are estimated to be $182.1 million. </w:t>
      </w:r>
    </w:p>
    <w:p w14:paraId="2A2016F6" w14:textId="77777777" w:rsidR="00906165" w:rsidRPr="007079B5" w:rsidRDefault="00906165" w:rsidP="00906165">
      <w:pPr>
        <w:pStyle w:val="ExampleText0"/>
        <w:spacing w:after="160"/>
        <w:rPr>
          <w:rFonts w:ascii="Arial" w:hAnsi="Arial" w:cs="Arial"/>
          <w:b/>
          <w:bCs/>
          <w:i w:val="0"/>
          <w:iCs/>
          <w:color w:val="auto"/>
          <w:sz w:val="20"/>
          <w:szCs w:val="22"/>
        </w:rPr>
      </w:pPr>
      <w:r w:rsidRPr="007079B5">
        <w:rPr>
          <w:rFonts w:ascii="Arial" w:hAnsi="Arial" w:cs="Arial"/>
          <w:b/>
          <w:bCs/>
          <w:i w:val="0"/>
          <w:iCs/>
          <w:color w:val="auto"/>
          <w:sz w:val="20"/>
          <w:szCs w:val="22"/>
        </w:rPr>
        <w:t>Budgeted departmental balance sheet</w:t>
      </w:r>
    </w:p>
    <w:p w14:paraId="6450B108" w14:textId="37D3824C" w:rsidR="00906165" w:rsidRDefault="00906165" w:rsidP="00C72F1B">
      <w:pPr>
        <w:pStyle w:val="ExampleText0"/>
        <w:spacing w:after="160"/>
        <w:rPr>
          <w:i w:val="0"/>
          <w:iCs/>
          <w:color w:val="auto"/>
        </w:rPr>
      </w:pPr>
      <w:r w:rsidRPr="00906165">
        <w:rPr>
          <w:i w:val="0"/>
          <w:iCs/>
          <w:color w:val="auto"/>
        </w:rPr>
        <w:t>Tourism Australia is budgeting a net asset position of $20.0 million in 2026–27. Net assets are projected to remain materially unchanged beyond 2026–27</w:t>
      </w:r>
      <w:r>
        <w:rPr>
          <w:i w:val="0"/>
          <w:iCs/>
          <w:color w:val="auto"/>
        </w:rPr>
        <w:t>.</w:t>
      </w:r>
    </w:p>
    <w:p w14:paraId="213C6812" w14:textId="77777777" w:rsidR="00906165" w:rsidRPr="00C72F1B" w:rsidRDefault="00906165" w:rsidP="00C72F1B">
      <w:pPr>
        <w:pStyle w:val="ExampleText0"/>
        <w:spacing w:after="160"/>
        <w:rPr>
          <w:i w:val="0"/>
          <w:iCs/>
          <w:color w:val="auto"/>
        </w:rPr>
      </w:pPr>
    </w:p>
    <w:p w14:paraId="2F780951" w14:textId="77777777" w:rsidR="00E7366F" w:rsidRPr="00E36F77" w:rsidRDefault="00E7366F" w:rsidP="00E7366F">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2B0A3C6C" w14:textId="77777777" w:rsidR="00E7366F" w:rsidRPr="00960553" w:rsidRDefault="00E7366F" w:rsidP="00E7366F">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5F1684CB" w14:textId="66846C85" w:rsidR="00E7366F" w:rsidRDefault="002E6894" w:rsidP="00E7366F">
      <w:pPr>
        <w:pStyle w:val="TableGraphic"/>
        <w:rPr>
          <w:noProof/>
        </w:rPr>
      </w:pPr>
      <w:r w:rsidRPr="002E6894">
        <w:rPr>
          <w:noProof/>
        </w:rPr>
        <w:drawing>
          <wp:inline distT="0" distB="0" distL="0" distR="0" wp14:anchorId="03FE5A2C" wp14:editId="0B556806">
            <wp:extent cx="4820920" cy="4162425"/>
            <wp:effectExtent l="0" t="0" r="0" b="9525"/>
            <wp:docPr id="5269863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20920" cy="4162425"/>
                    </a:xfrm>
                    <a:prstGeom prst="rect">
                      <a:avLst/>
                    </a:prstGeom>
                    <a:noFill/>
                    <a:ln>
                      <a:noFill/>
                    </a:ln>
                  </pic:spPr>
                </pic:pic>
              </a:graphicData>
            </a:graphic>
          </wp:inline>
        </w:drawing>
      </w:r>
    </w:p>
    <w:p w14:paraId="7DF1371C" w14:textId="4EA268F1" w:rsidR="00E7366F" w:rsidRDefault="00E7366F" w:rsidP="00E7366F">
      <w:pPr>
        <w:spacing w:before="0" w:after="0" w:line="240" w:lineRule="auto"/>
      </w:pPr>
    </w:p>
    <w:p w14:paraId="52AF14B5" w14:textId="77777777" w:rsidR="00E7366F" w:rsidRDefault="00E7366F" w:rsidP="00E7366F">
      <w:pPr>
        <w:pStyle w:val="TableHeading"/>
      </w:pPr>
      <w:r w:rsidRPr="003819E1">
        <w:t>Note: Impact of net cash appropriation arrangements</w:t>
      </w:r>
    </w:p>
    <w:p w14:paraId="21BA52E0" w14:textId="3E466A77" w:rsidR="00E7366F" w:rsidRDefault="002E6894" w:rsidP="00E7366F">
      <w:pPr>
        <w:pStyle w:val="TableGraphic"/>
      </w:pPr>
      <w:r w:rsidRPr="002E6894">
        <w:rPr>
          <w:noProof/>
        </w:rPr>
        <w:drawing>
          <wp:inline distT="0" distB="0" distL="0" distR="0" wp14:anchorId="06697617" wp14:editId="2F0DC4DF">
            <wp:extent cx="4820920" cy="1579880"/>
            <wp:effectExtent l="0" t="0" r="0" b="1270"/>
            <wp:docPr id="17614651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20920" cy="1579880"/>
                    </a:xfrm>
                    <a:prstGeom prst="rect">
                      <a:avLst/>
                    </a:prstGeom>
                    <a:noFill/>
                    <a:ln>
                      <a:noFill/>
                    </a:ln>
                  </pic:spPr>
                </pic:pic>
              </a:graphicData>
            </a:graphic>
          </wp:inline>
        </w:drawing>
      </w:r>
    </w:p>
    <w:p w14:paraId="040A1D2B" w14:textId="77777777" w:rsidR="00E7366F" w:rsidRPr="009D54F3" w:rsidRDefault="00E7366F" w:rsidP="00E7366F">
      <w:pPr>
        <w:pStyle w:val="ChartandTableFootnote"/>
        <w:rPr>
          <w:rFonts w:cs="Arial"/>
        </w:rPr>
      </w:pPr>
      <w:r>
        <w:t>Prepared on Australian Accounting Standards basis.</w:t>
      </w:r>
    </w:p>
    <w:p w14:paraId="0BE02928" w14:textId="77777777" w:rsidR="00E7366F" w:rsidRDefault="00E7366F" w:rsidP="00707A3D">
      <w:pPr>
        <w:pStyle w:val="ChartandTableFootnoteAlpha"/>
        <w:numPr>
          <w:ilvl w:val="0"/>
          <w:numId w:val="40"/>
        </w:numPr>
      </w:pPr>
      <w:r>
        <w:t>Applies leases under AASB 16 Leases.</w:t>
      </w:r>
    </w:p>
    <w:p w14:paraId="3197AC96" w14:textId="77777777" w:rsidR="00E7366F" w:rsidRDefault="00E7366F" w:rsidP="00E7366F">
      <w:pPr>
        <w:spacing w:before="0" w:after="0" w:line="240" w:lineRule="auto"/>
        <w:rPr>
          <w:highlight w:val="cyan"/>
        </w:rPr>
      </w:pPr>
      <w:r>
        <w:rPr>
          <w:highlight w:val="cyan"/>
        </w:rPr>
        <w:br w:type="page"/>
      </w:r>
    </w:p>
    <w:p w14:paraId="22C4D428" w14:textId="77777777" w:rsidR="00E7366F" w:rsidRPr="00960553" w:rsidRDefault="00E7366F" w:rsidP="00E7366F">
      <w:pPr>
        <w:pStyle w:val="TableHeading"/>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740BB7F4" w14:textId="46B0752A" w:rsidR="00E7366F" w:rsidRDefault="009A4CB6" w:rsidP="00E7366F">
      <w:pPr>
        <w:pStyle w:val="TableGraphic"/>
      </w:pPr>
      <w:r w:rsidRPr="009A4CB6">
        <w:rPr>
          <w:noProof/>
        </w:rPr>
        <w:drawing>
          <wp:inline distT="0" distB="0" distL="0" distR="0" wp14:anchorId="1312C6A8" wp14:editId="3534D3DC">
            <wp:extent cx="4820920" cy="5434965"/>
            <wp:effectExtent l="0" t="0" r="0" b="0"/>
            <wp:docPr id="4859436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20920" cy="5434965"/>
                    </a:xfrm>
                    <a:prstGeom prst="rect">
                      <a:avLst/>
                    </a:prstGeom>
                    <a:noFill/>
                    <a:ln>
                      <a:noFill/>
                    </a:ln>
                  </pic:spPr>
                </pic:pic>
              </a:graphicData>
            </a:graphic>
          </wp:inline>
        </w:drawing>
      </w:r>
    </w:p>
    <w:p w14:paraId="009CF90A" w14:textId="77777777" w:rsidR="00E7366F" w:rsidRPr="00132F9E" w:rsidRDefault="00E7366F" w:rsidP="00E7366F">
      <w:pPr>
        <w:pStyle w:val="ChartandTableFootnote"/>
      </w:pPr>
      <w:r w:rsidRPr="00132F9E">
        <w:t xml:space="preserve">Prepared on </w:t>
      </w:r>
      <w:r w:rsidRPr="00446EE2">
        <w:rPr>
          <w:rStyle w:val="ChartandTableFootnoteChar"/>
        </w:rPr>
        <w:t>Australian</w:t>
      </w:r>
      <w:r w:rsidRPr="00132F9E">
        <w:t xml:space="preserve"> Accounting Standards basis.</w:t>
      </w:r>
    </w:p>
    <w:p w14:paraId="210AAF9B" w14:textId="77777777" w:rsidR="00E7366F" w:rsidRPr="0082593D" w:rsidRDefault="00E7366F" w:rsidP="00E7366F">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31FF7EEA" w14:textId="77777777" w:rsidR="00E7366F" w:rsidRDefault="00E7366F" w:rsidP="00E7366F">
      <w:pPr>
        <w:spacing w:before="0" w:after="0" w:line="240" w:lineRule="auto"/>
        <w:rPr>
          <w:highlight w:val="green"/>
        </w:rPr>
      </w:pPr>
      <w:r>
        <w:rPr>
          <w:highlight w:val="green"/>
        </w:rPr>
        <w:br w:type="page"/>
      </w:r>
    </w:p>
    <w:p w14:paraId="31B49F6D" w14:textId="77777777" w:rsidR="00E7366F" w:rsidRPr="00960553" w:rsidRDefault="00E7366F" w:rsidP="00E7366F">
      <w:pPr>
        <w:pStyle w:val="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7954F492" w14:textId="7E752BD4" w:rsidR="00E7366F" w:rsidRPr="00D606C2" w:rsidRDefault="00EB2254" w:rsidP="00E7366F">
      <w:pPr>
        <w:pStyle w:val="TableGraphic"/>
      </w:pPr>
      <w:r w:rsidRPr="00EB2254">
        <w:rPr>
          <w:noProof/>
        </w:rPr>
        <w:drawing>
          <wp:inline distT="0" distB="0" distL="0" distR="0" wp14:anchorId="7E5F1323" wp14:editId="4E35BBDF">
            <wp:extent cx="4725670" cy="2582545"/>
            <wp:effectExtent l="0" t="0" r="0" b="8255"/>
            <wp:docPr id="17851875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25670" cy="2582545"/>
                    </a:xfrm>
                    <a:prstGeom prst="rect">
                      <a:avLst/>
                    </a:prstGeom>
                    <a:noFill/>
                    <a:ln>
                      <a:noFill/>
                    </a:ln>
                  </pic:spPr>
                </pic:pic>
              </a:graphicData>
            </a:graphic>
          </wp:inline>
        </w:drawing>
      </w:r>
    </w:p>
    <w:p w14:paraId="4B3770AC" w14:textId="2385669D" w:rsidR="00E7366F" w:rsidRPr="00132F9E" w:rsidRDefault="00E7366F" w:rsidP="00E7366F">
      <w:pPr>
        <w:pStyle w:val="ChartandTableFootnote"/>
        <w:rPr>
          <w:szCs w:val="16"/>
        </w:rPr>
      </w:pPr>
      <w:r w:rsidRPr="00D606C2">
        <w:t>Prepared on Australian Accounting Standards basis</w:t>
      </w:r>
      <w:r w:rsidR="00EE190C">
        <w:t xml:space="preserve">. </w:t>
      </w:r>
    </w:p>
    <w:p w14:paraId="4290B55F" w14:textId="77777777" w:rsidR="00E7366F" w:rsidRDefault="00E7366F" w:rsidP="00E7366F">
      <w:r w:rsidRPr="001D3237">
        <w:br w:type="page"/>
      </w:r>
    </w:p>
    <w:p w14:paraId="448AE4FD" w14:textId="77777777" w:rsidR="00E7366F" w:rsidRPr="00960553" w:rsidRDefault="00E7366F" w:rsidP="00E7366F">
      <w:pPr>
        <w:pStyle w:val="TableHeading"/>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7C0A5CA3" w14:textId="4ABF1EE9" w:rsidR="00E7366F" w:rsidRPr="00A00283" w:rsidRDefault="00B867F1" w:rsidP="00E7366F">
      <w:pPr>
        <w:pStyle w:val="TableGraphic"/>
      </w:pPr>
      <w:r w:rsidRPr="00B867F1">
        <w:rPr>
          <w:noProof/>
        </w:rPr>
        <w:drawing>
          <wp:inline distT="0" distB="0" distL="0" distR="0" wp14:anchorId="69C66F6E" wp14:editId="0EA428D5">
            <wp:extent cx="4817745" cy="6298565"/>
            <wp:effectExtent l="0" t="0" r="1905" b="6985"/>
            <wp:docPr id="16352267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17745" cy="6298565"/>
                    </a:xfrm>
                    <a:prstGeom prst="rect">
                      <a:avLst/>
                    </a:prstGeom>
                    <a:noFill/>
                    <a:ln>
                      <a:noFill/>
                    </a:ln>
                  </pic:spPr>
                </pic:pic>
              </a:graphicData>
            </a:graphic>
          </wp:inline>
        </w:drawing>
      </w:r>
    </w:p>
    <w:p w14:paraId="3490C543" w14:textId="77777777" w:rsidR="00E7366F" w:rsidRDefault="00E7366F" w:rsidP="00E7366F">
      <w:pPr>
        <w:pStyle w:val="ChartandTableFootnote"/>
      </w:pPr>
      <w:r w:rsidRPr="00132F9E">
        <w:t>Prepared on Australian Accounting Standards basis.</w:t>
      </w:r>
    </w:p>
    <w:p w14:paraId="30EC727C" w14:textId="77777777" w:rsidR="00E7366F" w:rsidRDefault="00E7366F" w:rsidP="00E7366F">
      <w:r w:rsidRPr="00A9767E">
        <w:br w:type="page"/>
      </w:r>
    </w:p>
    <w:p w14:paraId="79F0BC09" w14:textId="77777777" w:rsidR="00E7366F" w:rsidRPr="00960553" w:rsidRDefault="00E7366F" w:rsidP="00E7366F">
      <w:pPr>
        <w:pStyle w:val="TableHeading"/>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236A9FEE" w14:textId="5DF7A746" w:rsidR="00E7366F" w:rsidRPr="0043795A" w:rsidRDefault="00FF769A" w:rsidP="00E7366F">
      <w:pPr>
        <w:pStyle w:val="TableGraphic"/>
      </w:pPr>
      <w:r w:rsidRPr="00FF769A">
        <w:rPr>
          <w:noProof/>
        </w:rPr>
        <w:drawing>
          <wp:inline distT="0" distB="0" distL="0" distR="0" wp14:anchorId="3CC975BE" wp14:editId="7BE010F6">
            <wp:extent cx="4817745" cy="2040255"/>
            <wp:effectExtent l="0" t="0" r="1905" b="0"/>
            <wp:docPr id="18470311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17745" cy="2040255"/>
                    </a:xfrm>
                    <a:prstGeom prst="rect">
                      <a:avLst/>
                    </a:prstGeom>
                    <a:noFill/>
                    <a:ln>
                      <a:noFill/>
                    </a:ln>
                  </pic:spPr>
                </pic:pic>
              </a:graphicData>
            </a:graphic>
          </wp:inline>
        </w:drawing>
      </w:r>
    </w:p>
    <w:p w14:paraId="4C862E46" w14:textId="77777777" w:rsidR="00E7366F" w:rsidRDefault="00E7366F" w:rsidP="00E7366F">
      <w:pPr>
        <w:pStyle w:val="ChartandTableFootnote"/>
      </w:pPr>
      <w:r>
        <w:t>P</w:t>
      </w:r>
      <w:r w:rsidRPr="00132F9E">
        <w:t>repared on Australian Accounting Standards basis.</w:t>
      </w:r>
    </w:p>
    <w:p w14:paraId="617B39D9" w14:textId="5F033D27" w:rsidR="00E7366F" w:rsidRPr="00D93704" w:rsidRDefault="00E7366F" w:rsidP="00707A3D">
      <w:pPr>
        <w:pStyle w:val="ChartandTableFootnoteAlpha"/>
        <w:numPr>
          <w:ilvl w:val="0"/>
          <w:numId w:val="34"/>
        </w:numPr>
        <w:rPr>
          <w:rFonts w:cs="Arial"/>
        </w:rPr>
      </w:pPr>
      <w:r w:rsidRPr="00D93704">
        <w:rPr>
          <w:rFonts w:cs="Arial"/>
        </w:rPr>
        <w:t xml:space="preserve">Includes </w:t>
      </w:r>
      <w:r w:rsidR="006278F7" w:rsidRPr="006278F7">
        <w:rPr>
          <w:rFonts w:cs="Arial"/>
        </w:rPr>
        <w:t>the following sources of funding: current Appropriation Bill (No. 1) and internally developed assets</w:t>
      </w:r>
      <w:r w:rsidRPr="00D93704">
        <w:rPr>
          <w:rFonts w:cs="Arial"/>
        </w:rPr>
        <w:t>.</w:t>
      </w:r>
    </w:p>
    <w:p w14:paraId="2E37C360" w14:textId="77777777" w:rsidR="00E7366F" w:rsidRDefault="00E7366F" w:rsidP="00E7366F">
      <w:pPr>
        <w:pStyle w:val="ChartandTableFootnote-Dash"/>
        <w:ind w:left="0" w:firstLine="0"/>
      </w:pPr>
    </w:p>
    <w:p w14:paraId="2C4F167D" w14:textId="77777777" w:rsidR="00E7366F" w:rsidRDefault="00E7366F" w:rsidP="00E7366F">
      <w:pPr>
        <w:spacing w:before="0" w:after="0" w:line="240" w:lineRule="auto"/>
        <w:rPr>
          <w:rFonts w:ascii="Arial" w:hAnsi="Arial"/>
          <w:sz w:val="16"/>
        </w:rPr>
      </w:pPr>
      <w:r>
        <w:br w:type="page"/>
      </w:r>
    </w:p>
    <w:p w14:paraId="711E805D" w14:textId="77777777" w:rsidR="00E7366F" w:rsidRPr="00960553" w:rsidRDefault="00E7366F" w:rsidP="00E7366F">
      <w:pPr>
        <w:pStyle w:val="TableHeadingcontinued"/>
      </w:pPr>
      <w:r w:rsidRPr="00D30CBA">
        <w:lastRenderedPageBreak/>
        <w:t>Table</w:t>
      </w:r>
      <w:r>
        <w:t xml:space="preserve"> 3.6</w:t>
      </w:r>
      <w:r w:rsidRPr="00D30CBA">
        <w:t xml:space="preserve">: </w:t>
      </w:r>
      <w:r>
        <w:t xml:space="preserve">Statement of departmental asset movements (Budget year 2026–27) </w:t>
      </w:r>
    </w:p>
    <w:p w14:paraId="3A2F7083" w14:textId="6927C44D" w:rsidR="00E7366F" w:rsidRDefault="00D6233C" w:rsidP="00E7366F">
      <w:pPr>
        <w:pStyle w:val="ChartandTableFootnote"/>
      </w:pPr>
      <w:r w:rsidRPr="00D6233C">
        <w:rPr>
          <w:noProof/>
        </w:rPr>
        <w:drawing>
          <wp:inline distT="0" distB="0" distL="0" distR="0" wp14:anchorId="13A8B96C" wp14:editId="26781E1B">
            <wp:extent cx="4599305" cy="4865370"/>
            <wp:effectExtent l="0" t="0" r="0" b="0"/>
            <wp:docPr id="15487646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99305" cy="4865370"/>
                    </a:xfrm>
                    <a:prstGeom prst="rect">
                      <a:avLst/>
                    </a:prstGeom>
                    <a:noFill/>
                    <a:ln>
                      <a:noFill/>
                    </a:ln>
                  </pic:spPr>
                </pic:pic>
              </a:graphicData>
            </a:graphic>
          </wp:inline>
        </w:drawing>
      </w:r>
    </w:p>
    <w:p w14:paraId="48FC2DD4" w14:textId="77777777" w:rsidR="00E7366F" w:rsidRDefault="00E7366F" w:rsidP="00E7366F">
      <w:pPr>
        <w:pStyle w:val="ChartandTableFootnote"/>
      </w:pPr>
      <w:r w:rsidRPr="00132F9E">
        <w:t>Prepared on Australian Accounting Standards basis.</w:t>
      </w:r>
    </w:p>
    <w:p w14:paraId="223C0B3D" w14:textId="6662B74C" w:rsidR="00E7366F" w:rsidRPr="006278F7" w:rsidRDefault="00E7366F" w:rsidP="00707A3D">
      <w:pPr>
        <w:pStyle w:val="ChartandTableFootnoteAlpha"/>
        <w:numPr>
          <w:ilvl w:val="0"/>
          <w:numId w:val="41"/>
        </w:numPr>
        <w:spacing w:line="259" w:lineRule="auto"/>
        <w:rPr>
          <w:rFonts w:cs="Arial"/>
          <w:color w:val="000000" w:themeColor="text1"/>
        </w:rPr>
      </w:pPr>
      <w:r w:rsidRPr="006278F7">
        <w:rPr>
          <w:rFonts w:cs="Arial"/>
        </w:rPr>
        <w:t xml:space="preserve">‘Appropriation ordinary annual services’ </w:t>
      </w:r>
      <w:r w:rsidR="006278F7" w:rsidRPr="006278F7">
        <w:rPr>
          <w:rFonts w:cs="Arial"/>
        </w:rPr>
        <w:t xml:space="preserve">refers to funding provided through </w:t>
      </w:r>
      <w:r w:rsidR="006278F7" w:rsidRPr="008C2546">
        <w:rPr>
          <w:rFonts w:cs="Arial"/>
          <w:i/>
          <w:iCs/>
        </w:rPr>
        <w:t>Appropriation Bill (No. 1) 2026–2027</w:t>
      </w:r>
      <w:r w:rsidR="006278F7" w:rsidRPr="006278F7">
        <w:rPr>
          <w:rFonts w:cs="Arial"/>
        </w:rPr>
        <w:t xml:space="preserve"> for depreciation/amortisation expenses, DCBs or other operational expenses</w:t>
      </w:r>
      <w:r w:rsidRPr="006278F7">
        <w:rPr>
          <w:rFonts w:cs="Arial"/>
        </w:rPr>
        <w:t>.</w:t>
      </w:r>
    </w:p>
    <w:p w14:paraId="1E414ED9" w14:textId="77777777" w:rsidR="00E7366F" w:rsidRDefault="00E7366F" w:rsidP="00E7366F">
      <w:pPr>
        <w:pStyle w:val="ChartandTableFootnote-Dash"/>
        <w:ind w:left="0" w:firstLine="0"/>
      </w:pPr>
    </w:p>
    <w:p w14:paraId="4A7AAB14" w14:textId="77777777" w:rsidR="00E7366F" w:rsidRDefault="00E7366F" w:rsidP="00E7366F">
      <w:pPr>
        <w:pStyle w:val="ChartandTableFootnote-Dash"/>
        <w:ind w:left="0" w:firstLine="0"/>
      </w:pPr>
    </w:p>
    <w:p w14:paraId="5F020CB5" w14:textId="77777777" w:rsidR="00E7366F" w:rsidRPr="005E7F97" w:rsidRDefault="00E7366F" w:rsidP="00E7366F">
      <w:pPr>
        <w:pStyle w:val="ChartandTableFootnote-Dash"/>
        <w:ind w:left="0" w:firstLine="0"/>
      </w:pPr>
    </w:p>
    <w:p w14:paraId="6CAE71EA" w14:textId="77777777" w:rsidR="00E7366F" w:rsidRPr="00A9767E" w:rsidRDefault="00E7366F" w:rsidP="00E7366F">
      <w:pPr>
        <w:sectPr w:rsidR="00E7366F" w:rsidRPr="00A9767E" w:rsidSect="00E7366F">
          <w:headerReference w:type="even" r:id="rId185"/>
          <w:headerReference w:type="default" r:id="rId186"/>
          <w:footerReference w:type="default" r:id="rId187"/>
          <w:headerReference w:type="first" r:id="rId188"/>
          <w:footerReference w:type="first" r:id="rId189"/>
          <w:type w:val="oddPage"/>
          <w:pgSz w:w="11906" w:h="16838" w:code="9"/>
          <w:pgMar w:top="2835" w:right="2098" w:bottom="2466" w:left="2098" w:header="1814" w:footer="1814" w:gutter="0"/>
          <w:cols w:space="708"/>
          <w:titlePg/>
          <w:docGrid w:linePitch="360"/>
        </w:sectPr>
      </w:pPr>
    </w:p>
    <w:p w14:paraId="22CF6F1A" w14:textId="0348A46A" w:rsidR="000C3B86" w:rsidRDefault="007B2FAD" w:rsidP="007B2FAD">
      <w:pPr>
        <w:pStyle w:val="Heading1"/>
      </w:pPr>
      <w:bookmarkStart w:id="57" w:name="_Toc190766151"/>
      <w:bookmarkStart w:id="58" w:name="_Toc444523519"/>
      <w:bookmarkStart w:id="59" w:name="_Toc221878504"/>
      <w:r w:rsidRPr="00834F9A">
        <w:lastRenderedPageBreak/>
        <w:t>Portfolio glossary</w:t>
      </w:r>
      <w:bookmarkEnd w:id="57"/>
      <w:bookmarkEnd w:id="58"/>
      <w:bookmarkEnd w:id="59"/>
    </w:p>
    <w:tbl>
      <w:tblPr>
        <w:tblW w:w="0" w:type="auto"/>
        <w:tblLook w:val="01E0" w:firstRow="1" w:lastRow="1" w:firstColumn="1" w:lastColumn="1" w:noHBand="0" w:noVBand="0"/>
      </w:tblPr>
      <w:tblGrid>
        <w:gridCol w:w="2869"/>
        <w:gridCol w:w="4841"/>
      </w:tblGrid>
      <w:tr w:rsidR="00267DEB" w:rsidRPr="00A76734" w14:paraId="1E82CD78" w14:textId="77777777" w:rsidTr="00FF7B23">
        <w:trPr>
          <w:tblHeader/>
        </w:trPr>
        <w:tc>
          <w:tcPr>
            <w:tcW w:w="2869" w:type="dxa"/>
          </w:tcPr>
          <w:p w14:paraId="53753C99" w14:textId="77777777" w:rsidR="00267DEB" w:rsidRPr="00A76734" w:rsidRDefault="00267DEB" w:rsidP="00FF7B23">
            <w:pPr>
              <w:pStyle w:val="TableColumnHeadingLeft"/>
              <w:rPr>
                <w:color w:val="000000" w:themeColor="text1"/>
              </w:rPr>
            </w:pPr>
            <w:r w:rsidRPr="00A76734">
              <w:rPr>
                <w:color w:val="000000" w:themeColor="text1"/>
              </w:rPr>
              <w:t>Term</w:t>
            </w:r>
          </w:p>
        </w:tc>
        <w:tc>
          <w:tcPr>
            <w:tcW w:w="4841" w:type="dxa"/>
          </w:tcPr>
          <w:p w14:paraId="53A29033" w14:textId="77777777" w:rsidR="00267DEB" w:rsidRPr="00A76734" w:rsidRDefault="00267DEB" w:rsidP="00FF7B23">
            <w:pPr>
              <w:pStyle w:val="TableColumnHeadingLeft"/>
              <w:rPr>
                <w:color w:val="000000" w:themeColor="text1"/>
              </w:rPr>
            </w:pPr>
            <w:r w:rsidRPr="00A76734">
              <w:rPr>
                <w:color w:val="000000" w:themeColor="text1"/>
              </w:rPr>
              <w:t>Meaning</w:t>
            </w:r>
          </w:p>
        </w:tc>
      </w:tr>
      <w:tr w:rsidR="00267DEB" w:rsidRPr="00A76734" w14:paraId="77DAF100"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1B113F60"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Accrual accounting</w:t>
            </w:r>
          </w:p>
        </w:tc>
        <w:tc>
          <w:tcPr>
            <w:tcW w:w="4841" w:type="dxa"/>
            <w:tcBorders>
              <w:top w:val="nil"/>
              <w:left w:val="nil"/>
              <w:bottom w:val="nil"/>
              <w:right w:val="nil"/>
            </w:tcBorders>
            <w:hideMark/>
          </w:tcPr>
          <w:p w14:paraId="7FB903FD"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System of accounting where items are brought to account and included in the financial statements as they are earned or incurred, rather than as they are received or paid. </w:t>
            </w:r>
          </w:p>
        </w:tc>
      </w:tr>
      <w:tr w:rsidR="00267DEB" w:rsidRPr="00A76734" w14:paraId="48256D71"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255C8304"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Accumulated depreciation</w:t>
            </w:r>
          </w:p>
        </w:tc>
        <w:tc>
          <w:tcPr>
            <w:tcW w:w="4841" w:type="dxa"/>
            <w:tcBorders>
              <w:top w:val="nil"/>
              <w:left w:val="nil"/>
              <w:bottom w:val="nil"/>
              <w:right w:val="nil"/>
            </w:tcBorders>
            <w:hideMark/>
          </w:tcPr>
          <w:p w14:paraId="691AE739"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aggregate depreciation recorded for a particular depreciating asset.</w:t>
            </w:r>
          </w:p>
        </w:tc>
      </w:tr>
      <w:tr w:rsidR="00267DEB" w:rsidRPr="00A76734" w14:paraId="29622A3D"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5EE46BEE"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Additional Estimates </w:t>
            </w:r>
          </w:p>
        </w:tc>
        <w:tc>
          <w:tcPr>
            <w:tcW w:w="4841" w:type="dxa"/>
            <w:tcBorders>
              <w:top w:val="nil"/>
              <w:left w:val="nil"/>
              <w:bottom w:val="nil"/>
              <w:right w:val="nil"/>
            </w:tcBorders>
            <w:hideMark/>
          </w:tcPr>
          <w:p w14:paraId="7C0D682B"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Where amounts appropriated at Budget time are insufficient, Parliament may appropriate more funds to portfolios through the Additional Estimates Acts. </w:t>
            </w:r>
          </w:p>
        </w:tc>
      </w:tr>
      <w:tr w:rsidR="00267DEB" w:rsidRPr="00A76734" w14:paraId="2F737470"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35FB404D"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Administered</w:t>
            </w:r>
          </w:p>
        </w:tc>
        <w:tc>
          <w:tcPr>
            <w:tcW w:w="4841" w:type="dxa"/>
            <w:tcBorders>
              <w:top w:val="nil"/>
              <w:left w:val="nil"/>
              <w:bottom w:val="nil"/>
              <w:right w:val="nil"/>
            </w:tcBorders>
            <w:hideMark/>
          </w:tcPr>
          <w:p w14:paraId="02DE9129" w14:textId="1011CD1C"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Revenues, expenses, assets, or liabilities managed by agencies on behalf of the Commonwealth. Agencies do not control administered items. Administered expenses include grants, subsidies, and benefits. In many cases, administered expenses fund the delivery of third-party outputs.</w:t>
            </w:r>
          </w:p>
        </w:tc>
      </w:tr>
      <w:tr w:rsidR="00267DEB" w:rsidRPr="00A76734" w14:paraId="7F01B913"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7B46BC69"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Annual appropriation</w:t>
            </w:r>
          </w:p>
        </w:tc>
        <w:tc>
          <w:tcPr>
            <w:tcW w:w="4841" w:type="dxa"/>
            <w:tcBorders>
              <w:top w:val="nil"/>
              <w:left w:val="nil"/>
              <w:bottom w:val="nil"/>
              <w:right w:val="nil"/>
            </w:tcBorders>
            <w:hideMark/>
          </w:tcPr>
          <w:p w14:paraId="63B7032D" w14:textId="4ACF3C56"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Two Appropriation Bills are introduced into Parliament in May and comprise the Budget for the financial year beginning 1 July. Further Bills are introduced later in the financial year as part of the additional estimates.  Parliamentary departments have their own appropriations.</w:t>
            </w:r>
          </w:p>
        </w:tc>
      </w:tr>
      <w:tr w:rsidR="00267DEB" w:rsidRPr="00A76734" w14:paraId="7A02420B"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0026050B"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Appropriation</w:t>
            </w:r>
          </w:p>
        </w:tc>
        <w:tc>
          <w:tcPr>
            <w:tcW w:w="4841" w:type="dxa"/>
            <w:tcBorders>
              <w:top w:val="nil"/>
              <w:left w:val="nil"/>
              <w:bottom w:val="nil"/>
              <w:right w:val="nil"/>
            </w:tcBorders>
            <w:hideMark/>
          </w:tcPr>
          <w:p w14:paraId="4D9C2347"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authorisation by Parliament to spend monies from the Consolidated Revenue Fund for a particular purpose.</w:t>
            </w:r>
          </w:p>
        </w:tc>
      </w:tr>
      <w:tr w:rsidR="00267DEB" w:rsidRPr="00A76734" w14:paraId="6E0B31EF"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43AC93C3"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Capital expenditure</w:t>
            </w:r>
          </w:p>
        </w:tc>
        <w:tc>
          <w:tcPr>
            <w:tcW w:w="4841" w:type="dxa"/>
            <w:tcBorders>
              <w:top w:val="nil"/>
              <w:left w:val="nil"/>
              <w:bottom w:val="nil"/>
              <w:right w:val="nil"/>
            </w:tcBorders>
            <w:hideMark/>
          </w:tcPr>
          <w:p w14:paraId="4EAD6BBE"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Expenditure by an agency on capital projects, for example purchasing a building.</w:t>
            </w:r>
          </w:p>
        </w:tc>
      </w:tr>
      <w:tr w:rsidR="00267DEB" w:rsidRPr="00A76734" w14:paraId="33D00CFE"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3E879CD4"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Consolidated Revenue Fund</w:t>
            </w:r>
          </w:p>
        </w:tc>
        <w:tc>
          <w:tcPr>
            <w:tcW w:w="4841" w:type="dxa"/>
            <w:tcBorders>
              <w:top w:val="nil"/>
              <w:left w:val="nil"/>
              <w:bottom w:val="nil"/>
              <w:right w:val="nil"/>
            </w:tcBorders>
            <w:hideMark/>
          </w:tcPr>
          <w:p w14:paraId="7398465B" w14:textId="13EA0BCA"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Section 81 of the Constitution stipulates that all revenue raised, or money received by the Commonwealth forms the one </w:t>
            </w:r>
            <w:r w:rsidR="00A333BE">
              <w:rPr>
                <w:rFonts w:ascii="Arial" w:hAnsi="Arial" w:cs="Arial"/>
                <w:bCs/>
                <w:color w:val="000000" w:themeColor="text1"/>
                <w:sz w:val="18"/>
                <w:szCs w:val="18"/>
              </w:rPr>
              <w:t>C</w:t>
            </w:r>
            <w:r w:rsidRPr="00A76734">
              <w:rPr>
                <w:rFonts w:ascii="Arial" w:hAnsi="Arial" w:cs="Arial"/>
                <w:bCs/>
                <w:color w:val="000000" w:themeColor="text1"/>
                <w:sz w:val="18"/>
                <w:szCs w:val="18"/>
              </w:rPr>
              <w:t xml:space="preserve">onsolidated </w:t>
            </w:r>
            <w:r w:rsidR="00A333BE">
              <w:rPr>
                <w:rFonts w:ascii="Arial" w:hAnsi="Arial" w:cs="Arial"/>
                <w:bCs/>
                <w:color w:val="000000" w:themeColor="text1"/>
                <w:sz w:val="18"/>
                <w:szCs w:val="18"/>
              </w:rPr>
              <w:t>R</w:t>
            </w:r>
            <w:r w:rsidRPr="00A76734">
              <w:rPr>
                <w:rFonts w:ascii="Arial" w:hAnsi="Arial" w:cs="Arial"/>
                <w:bCs/>
                <w:color w:val="000000" w:themeColor="text1"/>
                <w:sz w:val="18"/>
                <w:szCs w:val="18"/>
              </w:rPr>
              <w:t xml:space="preserve">evenue </w:t>
            </w:r>
            <w:r w:rsidR="00A333BE">
              <w:rPr>
                <w:rFonts w:ascii="Arial" w:hAnsi="Arial" w:cs="Arial"/>
                <w:bCs/>
                <w:color w:val="000000" w:themeColor="text1"/>
                <w:sz w:val="18"/>
                <w:szCs w:val="18"/>
              </w:rPr>
              <w:t>F</w:t>
            </w:r>
            <w:r w:rsidRPr="00A76734">
              <w:rPr>
                <w:rFonts w:ascii="Arial" w:hAnsi="Arial" w:cs="Arial"/>
                <w:bCs/>
                <w:color w:val="000000" w:themeColor="text1"/>
                <w:sz w:val="18"/>
                <w:szCs w:val="18"/>
              </w:rPr>
              <w:t xml:space="preserve">und (CRF).  </w:t>
            </w:r>
          </w:p>
        </w:tc>
      </w:tr>
      <w:tr w:rsidR="00267DEB" w:rsidRPr="00A76734" w14:paraId="6581E221"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4F8F3088"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Departmental</w:t>
            </w:r>
          </w:p>
        </w:tc>
        <w:tc>
          <w:tcPr>
            <w:tcW w:w="4841" w:type="dxa"/>
            <w:tcBorders>
              <w:top w:val="nil"/>
              <w:left w:val="nil"/>
              <w:bottom w:val="nil"/>
              <w:right w:val="nil"/>
            </w:tcBorders>
            <w:hideMark/>
          </w:tcPr>
          <w:p w14:paraId="4345BD74"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Revenue, expenses, assets, and liabilities that are controlled by the agency in providing its outputs. Departmental items would generally include computers, plant and equipment assets used by agencies in providing goods and services and most employee expenses, supplier costs and other administrative expenses incurred. </w:t>
            </w:r>
          </w:p>
        </w:tc>
      </w:tr>
      <w:tr w:rsidR="00267DEB" w:rsidRPr="00A76734" w14:paraId="4E27E4CC" w14:textId="77777777" w:rsidTr="00FF7B2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42CD07C5"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Depreciation</w:t>
            </w:r>
          </w:p>
        </w:tc>
        <w:tc>
          <w:tcPr>
            <w:tcW w:w="4841" w:type="dxa"/>
            <w:tcBorders>
              <w:top w:val="nil"/>
              <w:left w:val="nil"/>
              <w:bottom w:val="nil"/>
              <w:right w:val="nil"/>
            </w:tcBorders>
            <w:hideMark/>
          </w:tcPr>
          <w:p w14:paraId="4EAFED1A"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Apportionment of an asset’s capital value as an expense over its estimated useful life to take account of normal usage, obsolescence, or the passage of time.</w:t>
            </w:r>
          </w:p>
        </w:tc>
      </w:tr>
    </w:tbl>
    <w:p w14:paraId="1DEC138D" w14:textId="77777777" w:rsidR="00267DEB" w:rsidRDefault="00267DEB">
      <w:pPr>
        <w:spacing w:before="0" w:after="0" w:line="240" w:lineRule="auto"/>
      </w:pPr>
      <w: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267DEB" w:rsidRPr="00A76734" w14:paraId="3145C45E" w14:textId="77777777" w:rsidTr="00FF7B23">
        <w:tc>
          <w:tcPr>
            <w:tcW w:w="2869" w:type="dxa"/>
            <w:tcBorders>
              <w:top w:val="nil"/>
              <w:left w:val="nil"/>
              <w:bottom w:val="nil"/>
              <w:right w:val="nil"/>
            </w:tcBorders>
            <w:hideMark/>
          </w:tcPr>
          <w:p w14:paraId="15934563" w14:textId="77777777" w:rsidR="00267DEB" w:rsidRPr="00A76734" w:rsidRDefault="00267DEB" w:rsidP="00FF7B23">
            <w:pPr>
              <w:pStyle w:val="TableColumnHeadingLeft"/>
              <w:rPr>
                <w:color w:val="000000" w:themeColor="text1"/>
              </w:rPr>
            </w:pPr>
            <w:r w:rsidRPr="00A76734">
              <w:rPr>
                <w:color w:val="000000" w:themeColor="text1"/>
              </w:rPr>
              <w:lastRenderedPageBreak/>
              <w:t>Term</w:t>
            </w:r>
          </w:p>
        </w:tc>
        <w:tc>
          <w:tcPr>
            <w:tcW w:w="4841" w:type="dxa"/>
            <w:tcBorders>
              <w:top w:val="nil"/>
              <w:left w:val="nil"/>
              <w:bottom w:val="nil"/>
              <w:right w:val="nil"/>
            </w:tcBorders>
            <w:hideMark/>
          </w:tcPr>
          <w:p w14:paraId="4DD9A2C2" w14:textId="77777777" w:rsidR="00267DEB" w:rsidRPr="00A76734" w:rsidRDefault="00267DEB" w:rsidP="00FF7B23">
            <w:pPr>
              <w:pStyle w:val="TableColumnHeadingLeft"/>
              <w:rPr>
                <w:color w:val="000000" w:themeColor="text1"/>
              </w:rPr>
            </w:pPr>
            <w:r w:rsidRPr="00A76734">
              <w:rPr>
                <w:color w:val="000000" w:themeColor="text1"/>
              </w:rPr>
              <w:t>Meaning</w:t>
            </w:r>
          </w:p>
        </w:tc>
      </w:tr>
      <w:tr w:rsidR="00267DEB" w:rsidRPr="00A76734" w14:paraId="3A7C3DE9" w14:textId="77777777" w:rsidTr="00FF7B23">
        <w:tc>
          <w:tcPr>
            <w:tcW w:w="2869" w:type="dxa"/>
            <w:tcBorders>
              <w:top w:val="nil"/>
              <w:left w:val="nil"/>
              <w:bottom w:val="nil"/>
              <w:right w:val="nil"/>
            </w:tcBorders>
            <w:hideMark/>
          </w:tcPr>
          <w:p w14:paraId="5C8B2675"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Effectiveness indicators</w:t>
            </w:r>
          </w:p>
        </w:tc>
        <w:tc>
          <w:tcPr>
            <w:tcW w:w="4841" w:type="dxa"/>
            <w:tcBorders>
              <w:top w:val="nil"/>
              <w:left w:val="nil"/>
              <w:bottom w:val="nil"/>
              <w:right w:val="nil"/>
            </w:tcBorders>
            <w:hideMark/>
          </w:tcPr>
          <w:p w14:paraId="614F4E50"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joint or independent contribution of programs to the achievement of their specified outcome.</w:t>
            </w:r>
          </w:p>
        </w:tc>
      </w:tr>
      <w:tr w:rsidR="00267DEB" w:rsidRPr="00A76734" w14:paraId="40BEB224" w14:textId="77777777" w:rsidTr="00FF7B23">
        <w:tc>
          <w:tcPr>
            <w:tcW w:w="2869" w:type="dxa"/>
            <w:tcBorders>
              <w:top w:val="nil"/>
              <w:left w:val="nil"/>
              <w:bottom w:val="nil"/>
              <w:right w:val="nil"/>
            </w:tcBorders>
            <w:hideMark/>
          </w:tcPr>
          <w:p w14:paraId="4B5FEE3C"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Efficiency indicators</w:t>
            </w:r>
          </w:p>
        </w:tc>
        <w:tc>
          <w:tcPr>
            <w:tcW w:w="4841" w:type="dxa"/>
            <w:tcBorders>
              <w:top w:val="nil"/>
              <w:left w:val="nil"/>
              <w:bottom w:val="nil"/>
              <w:right w:val="nil"/>
            </w:tcBorders>
            <w:hideMark/>
          </w:tcPr>
          <w:p w14:paraId="3A433E6D"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adequacy of an agency’s management of its programs. Includes price, quality, and quantity indicators. The interrelationship between the three efficiency indicators of any one program should be considered when judging efficiency.</w:t>
            </w:r>
          </w:p>
        </w:tc>
      </w:tr>
      <w:tr w:rsidR="00267DEB" w:rsidRPr="00A76734" w14:paraId="51D87DF1" w14:textId="77777777" w:rsidTr="00FF7B23">
        <w:tc>
          <w:tcPr>
            <w:tcW w:w="2869" w:type="dxa"/>
            <w:tcBorders>
              <w:top w:val="nil"/>
              <w:left w:val="nil"/>
              <w:bottom w:val="nil"/>
              <w:right w:val="nil"/>
            </w:tcBorders>
            <w:hideMark/>
          </w:tcPr>
          <w:p w14:paraId="6EC4E10C"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Equity or net assets</w:t>
            </w:r>
          </w:p>
        </w:tc>
        <w:tc>
          <w:tcPr>
            <w:tcW w:w="4841" w:type="dxa"/>
            <w:tcBorders>
              <w:top w:val="nil"/>
              <w:left w:val="nil"/>
              <w:bottom w:val="nil"/>
              <w:right w:val="nil"/>
            </w:tcBorders>
            <w:hideMark/>
          </w:tcPr>
          <w:p w14:paraId="11FA7EA0"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Residual interest in the assets of an entity after deduction of its liabilities.</w:t>
            </w:r>
          </w:p>
        </w:tc>
      </w:tr>
      <w:tr w:rsidR="00267DEB" w:rsidRPr="00A76734" w14:paraId="50C909AA" w14:textId="77777777" w:rsidTr="00FF7B23">
        <w:tc>
          <w:tcPr>
            <w:tcW w:w="2869" w:type="dxa"/>
            <w:tcBorders>
              <w:top w:val="nil"/>
              <w:left w:val="nil"/>
              <w:bottom w:val="nil"/>
              <w:right w:val="nil"/>
            </w:tcBorders>
            <w:hideMark/>
          </w:tcPr>
          <w:p w14:paraId="79645AC4"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Expense </w:t>
            </w:r>
          </w:p>
        </w:tc>
        <w:tc>
          <w:tcPr>
            <w:tcW w:w="4841" w:type="dxa"/>
            <w:tcBorders>
              <w:top w:val="nil"/>
              <w:left w:val="nil"/>
              <w:bottom w:val="nil"/>
              <w:right w:val="nil"/>
            </w:tcBorders>
            <w:hideMark/>
          </w:tcPr>
          <w:p w14:paraId="19FB17B4"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all the resources consumed in producing goods and services or the loss of future economic benefits in the form of reductions in assets or increases in liabilities of an entity.</w:t>
            </w:r>
          </w:p>
        </w:tc>
      </w:tr>
      <w:tr w:rsidR="00267DEB" w:rsidRPr="00A76734" w14:paraId="2B6157CE" w14:textId="77777777" w:rsidTr="00FF7B23">
        <w:tc>
          <w:tcPr>
            <w:tcW w:w="2869" w:type="dxa"/>
            <w:tcBorders>
              <w:top w:val="nil"/>
              <w:left w:val="nil"/>
              <w:bottom w:val="nil"/>
              <w:right w:val="nil"/>
            </w:tcBorders>
            <w:hideMark/>
          </w:tcPr>
          <w:p w14:paraId="4B849E37"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Fair value</w:t>
            </w:r>
          </w:p>
        </w:tc>
        <w:tc>
          <w:tcPr>
            <w:tcW w:w="4841" w:type="dxa"/>
            <w:tcBorders>
              <w:top w:val="nil"/>
              <w:left w:val="nil"/>
              <w:bottom w:val="nil"/>
              <w:right w:val="nil"/>
            </w:tcBorders>
            <w:hideMark/>
          </w:tcPr>
          <w:p w14:paraId="39B68D8E" w14:textId="682545E2"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Valuation methodology: the amount for which an asset could be exchanged, or a liability settled, between knowledgeable and willing parties in an arm’s length transaction. The fair value can be affected by the conditions of the sale, market conditions and the intentions of the asset holder.</w:t>
            </w:r>
          </w:p>
        </w:tc>
      </w:tr>
      <w:tr w:rsidR="00267DEB" w:rsidRPr="00A76734" w14:paraId="6E2130A1" w14:textId="77777777" w:rsidTr="00FF7B23">
        <w:tc>
          <w:tcPr>
            <w:tcW w:w="2869" w:type="dxa"/>
            <w:tcBorders>
              <w:top w:val="nil"/>
              <w:left w:val="nil"/>
              <w:bottom w:val="nil"/>
              <w:right w:val="nil"/>
            </w:tcBorders>
            <w:hideMark/>
          </w:tcPr>
          <w:p w14:paraId="50723DCC"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Operating result</w:t>
            </w:r>
          </w:p>
        </w:tc>
        <w:tc>
          <w:tcPr>
            <w:tcW w:w="4841" w:type="dxa"/>
            <w:tcBorders>
              <w:top w:val="nil"/>
              <w:left w:val="nil"/>
              <w:bottom w:val="nil"/>
              <w:right w:val="nil"/>
            </w:tcBorders>
            <w:hideMark/>
          </w:tcPr>
          <w:p w14:paraId="49B98B48"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Equals revenue less expense.</w:t>
            </w:r>
          </w:p>
        </w:tc>
      </w:tr>
      <w:tr w:rsidR="00267DEB" w:rsidRPr="00A76734" w14:paraId="0498277D" w14:textId="77777777" w:rsidTr="00FF7B23">
        <w:tc>
          <w:tcPr>
            <w:tcW w:w="2869" w:type="dxa"/>
            <w:tcBorders>
              <w:top w:val="nil"/>
              <w:left w:val="nil"/>
              <w:bottom w:val="nil"/>
              <w:right w:val="nil"/>
            </w:tcBorders>
            <w:hideMark/>
          </w:tcPr>
          <w:p w14:paraId="0A538AC6"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Outcomes</w:t>
            </w:r>
          </w:p>
        </w:tc>
        <w:tc>
          <w:tcPr>
            <w:tcW w:w="4841" w:type="dxa"/>
            <w:tcBorders>
              <w:top w:val="nil"/>
              <w:left w:val="nil"/>
              <w:bottom w:val="nil"/>
              <w:right w:val="nil"/>
            </w:tcBorders>
            <w:hideMark/>
          </w:tcPr>
          <w:p w14:paraId="41FF9231" w14:textId="0FF37EBA"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Government’s objectives in each portfolio area.  Outcomes are desired results, impacts or consequences for the Australian community as influenced by the actions of the Australian Government. Actual outcomes are assessments of the end results or impacts achieved.</w:t>
            </w:r>
          </w:p>
        </w:tc>
      </w:tr>
      <w:tr w:rsidR="00267DEB" w:rsidRPr="00A76734" w14:paraId="3CBA3F42" w14:textId="77777777" w:rsidTr="00FF7B23">
        <w:tc>
          <w:tcPr>
            <w:tcW w:w="2869" w:type="dxa"/>
            <w:tcBorders>
              <w:top w:val="nil"/>
              <w:left w:val="nil"/>
              <w:bottom w:val="nil"/>
              <w:right w:val="nil"/>
            </w:tcBorders>
            <w:hideMark/>
          </w:tcPr>
          <w:p w14:paraId="5C2F970A"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Price</w:t>
            </w:r>
          </w:p>
        </w:tc>
        <w:tc>
          <w:tcPr>
            <w:tcW w:w="4841" w:type="dxa"/>
            <w:tcBorders>
              <w:top w:val="nil"/>
              <w:left w:val="nil"/>
              <w:bottom w:val="nil"/>
              <w:right w:val="nil"/>
            </w:tcBorders>
            <w:hideMark/>
          </w:tcPr>
          <w:p w14:paraId="28C2300E" w14:textId="1D21A755"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The amount the Government or the community pays for the delivery of programs.</w:t>
            </w:r>
          </w:p>
        </w:tc>
      </w:tr>
      <w:tr w:rsidR="00267DEB" w:rsidRPr="00A76734" w14:paraId="268C31B7" w14:textId="77777777" w:rsidTr="00FF7B23">
        <w:tc>
          <w:tcPr>
            <w:tcW w:w="2869" w:type="dxa"/>
            <w:tcBorders>
              <w:top w:val="nil"/>
              <w:left w:val="nil"/>
              <w:bottom w:val="nil"/>
              <w:right w:val="nil"/>
            </w:tcBorders>
            <w:hideMark/>
          </w:tcPr>
          <w:p w14:paraId="5019AD54"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Program</w:t>
            </w:r>
          </w:p>
        </w:tc>
        <w:tc>
          <w:tcPr>
            <w:tcW w:w="4841" w:type="dxa"/>
            <w:tcBorders>
              <w:top w:val="nil"/>
              <w:left w:val="nil"/>
              <w:bottom w:val="nil"/>
              <w:right w:val="nil"/>
            </w:tcBorders>
            <w:hideMark/>
          </w:tcPr>
          <w:p w14:paraId="041B4E01"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Activity that delivers benefits, services or transfer payments to individuals, industry and/or the community, with the aim of achieving the intended result specified in an outcome statement.</w:t>
            </w:r>
          </w:p>
        </w:tc>
      </w:tr>
      <w:tr w:rsidR="00267DEB" w:rsidRPr="00A76734" w14:paraId="70F2F804" w14:textId="77777777" w:rsidTr="00FF7B23">
        <w:tc>
          <w:tcPr>
            <w:tcW w:w="2869" w:type="dxa"/>
            <w:tcBorders>
              <w:top w:val="nil"/>
              <w:left w:val="nil"/>
              <w:bottom w:val="nil"/>
              <w:right w:val="nil"/>
            </w:tcBorders>
            <w:hideMark/>
          </w:tcPr>
          <w:p w14:paraId="6B5BF98B"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Quality</w:t>
            </w:r>
          </w:p>
        </w:tc>
        <w:tc>
          <w:tcPr>
            <w:tcW w:w="4841" w:type="dxa"/>
            <w:tcBorders>
              <w:top w:val="nil"/>
              <w:left w:val="nil"/>
              <w:bottom w:val="nil"/>
              <w:right w:val="nil"/>
            </w:tcBorders>
            <w:hideMark/>
          </w:tcPr>
          <w:p w14:paraId="42812EF3" w14:textId="18B6E312"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Relates to the characteristics by which customers or stakeholders judge an organisation, product or service. Assessment of quality involves use of information gathered from interested parties to identify differences between the user’s expectations and experiences.</w:t>
            </w:r>
          </w:p>
        </w:tc>
      </w:tr>
    </w:tbl>
    <w:p w14:paraId="0A9F2353" w14:textId="3E928A00" w:rsidR="00267DEB" w:rsidRDefault="00267DEB" w:rsidP="00267DEB"/>
    <w:p w14:paraId="16C4E942" w14:textId="77777777" w:rsidR="00267DEB" w:rsidRDefault="00267DEB">
      <w:pPr>
        <w:spacing w:before="0" w:after="0" w:line="240" w:lineRule="auto"/>
      </w:pPr>
      <w: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267DEB" w:rsidRPr="00A76734" w14:paraId="7FAA8DB1" w14:textId="77777777" w:rsidTr="00FF7B23">
        <w:tc>
          <w:tcPr>
            <w:tcW w:w="2869" w:type="dxa"/>
            <w:tcBorders>
              <w:top w:val="nil"/>
              <w:left w:val="nil"/>
              <w:bottom w:val="nil"/>
              <w:right w:val="nil"/>
            </w:tcBorders>
            <w:hideMark/>
          </w:tcPr>
          <w:p w14:paraId="14AD212D" w14:textId="77777777" w:rsidR="00267DEB" w:rsidRPr="00A76734" w:rsidRDefault="00267DEB" w:rsidP="00FF7B23">
            <w:pPr>
              <w:pStyle w:val="TableColumnHeadingLeft"/>
              <w:rPr>
                <w:color w:val="000000" w:themeColor="text1"/>
              </w:rPr>
            </w:pPr>
            <w:r w:rsidRPr="00A76734">
              <w:rPr>
                <w:color w:val="000000" w:themeColor="text1"/>
              </w:rPr>
              <w:lastRenderedPageBreak/>
              <w:t>Term</w:t>
            </w:r>
          </w:p>
        </w:tc>
        <w:tc>
          <w:tcPr>
            <w:tcW w:w="4841" w:type="dxa"/>
            <w:tcBorders>
              <w:top w:val="nil"/>
              <w:left w:val="nil"/>
              <w:bottom w:val="nil"/>
              <w:right w:val="nil"/>
            </w:tcBorders>
            <w:hideMark/>
          </w:tcPr>
          <w:p w14:paraId="50DE6A8D" w14:textId="77777777" w:rsidR="00267DEB" w:rsidRPr="00A76734" w:rsidRDefault="00267DEB" w:rsidP="00FF7B23">
            <w:pPr>
              <w:pStyle w:val="TableColumnHeadingLeft"/>
              <w:rPr>
                <w:color w:val="000000" w:themeColor="text1"/>
              </w:rPr>
            </w:pPr>
            <w:r w:rsidRPr="00A76734">
              <w:rPr>
                <w:color w:val="000000" w:themeColor="text1"/>
              </w:rPr>
              <w:t>Meaning</w:t>
            </w:r>
          </w:p>
        </w:tc>
      </w:tr>
      <w:tr w:rsidR="00267DEB" w:rsidRPr="00A76734" w14:paraId="3693B9ED" w14:textId="77777777" w:rsidTr="00FF7B23">
        <w:tc>
          <w:tcPr>
            <w:tcW w:w="2869" w:type="dxa"/>
            <w:tcBorders>
              <w:top w:val="nil"/>
              <w:left w:val="nil"/>
              <w:bottom w:val="nil"/>
              <w:right w:val="nil"/>
            </w:tcBorders>
            <w:hideMark/>
          </w:tcPr>
          <w:p w14:paraId="4D0AC3C6"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Quantity</w:t>
            </w:r>
          </w:p>
        </w:tc>
        <w:tc>
          <w:tcPr>
            <w:tcW w:w="4841" w:type="dxa"/>
            <w:tcBorders>
              <w:top w:val="nil"/>
              <w:left w:val="nil"/>
              <w:bottom w:val="nil"/>
              <w:right w:val="nil"/>
            </w:tcBorders>
            <w:hideMark/>
          </w:tcPr>
          <w:p w14:paraId="3105622A" w14:textId="5FA9A7C4"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Examples include: the size of a program; count or volume measures; how many or how much.</w:t>
            </w:r>
          </w:p>
        </w:tc>
      </w:tr>
      <w:tr w:rsidR="00267DEB" w:rsidRPr="00A76734" w14:paraId="1E64E11A" w14:textId="77777777" w:rsidTr="00FF7B23">
        <w:tc>
          <w:tcPr>
            <w:tcW w:w="2869" w:type="dxa"/>
            <w:tcBorders>
              <w:top w:val="nil"/>
              <w:left w:val="nil"/>
              <w:bottom w:val="nil"/>
              <w:right w:val="nil"/>
            </w:tcBorders>
            <w:hideMark/>
          </w:tcPr>
          <w:p w14:paraId="5C509CAD"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w:t>
            </w:r>
          </w:p>
        </w:tc>
        <w:tc>
          <w:tcPr>
            <w:tcW w:w="4841" w:type="dxa"/>
            <w:tcBorders>
              <w:top w:val="nil"/>
              <w:left w:val="nil"/>
              <w:bottom w:val="nil"/>
              <w:right w:val="nil"/>
            </w:tcBorders>
            <w:hideMark/>
          </w:tcPr>
          <w:p w14:paraId="1B97820D"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resources earned or received to cover the production of goods and services.</w:t>
            </w:r>
          </w:p>
        </w:tc>
      </w:tr>
      <w:tr w:rsidR="00267DEB" w:rsidRPr="00A76734" w14:paraId="12EA3708" w14:textId="77777777" w:rsidTr="00FF7B23">
        <w:tc>
          <w:tcPr>
            <w:tcW w:w="2869" w:type="dxa"/>
            <w:tcBorders>
              <w:top w:val="nil"/>
              <w:left w:val="nil"/>
              <w:bottom w:val="nil"/>
              <w:right w:val="nil"/>
            </w:tcBorders>
            <w:hideMark/>
          </w:tcPr>
          <w:p w14:paraId="1F1C54A6"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Account</w:t>
            </w:r>
          </w:p>
        </w:tc>
        <w:tc>
          <w:tcPr>
            <w:tcW w:w="4841" w:type="dxa"/>
            <w:tcBorders>
              <w:top w:val="nil"/>
              <w:left w:val="nil"/>
              <w:bottom w:val="nil"/>
              <w:right w:val="nil"/>
            </w:tcBorders>
            <w:hideMark/>
          </w:tcPr>
          <w:p w14:paraId="1CE8329B" w14:textId="21269460"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Special Accounts allow money in the </w:t>
            </w:r>
            <w:r w:rsidR="00A333BE">
              <w:rPr>
                <w:rFonts w:ascii="Arial" w:hAnsi="Arial" w:cs="Arial"/>
                <w:bCs/>
                <w:color w:val="000000" w:themeColor="text1"/>
                <w:sz w:val="18"/>
                <w:szCs w:val="18"/>
              </w:rPr>
              <w:t xml:space="preserve">CRF </w:t>
            </w:r>
            <w:r w:rsidRPr="00A76734">
              <w:rPr>
                <w:rFonts w:ascii="Arial" w:hAnsi="Arial" w:cs="Arial"/>
                <w:bCs/>
                <w:color w:val="000000" w:themeColor="text1"/>
                <w:sz w:val="18"/>
                <w:szCs w:val="18"/>
              </w:rPr>
              <w:t>to be acknowledged as set</w:t>
            </w:r>
            <w:r w:rsidRPr="00A76734">
              <w:rPr>
                <w:rFonts w:ascii="Arial" w:hAnsi="Arial" w:cs="Arial"/>
                <w:bCs/>
                <w:color w:val="000000" w:themeColor="text1"/>
                <w:sz w:val="18"/>
                <w:szCs w:val="18"/>
              </w:rPr>
              <w:noBreakHyphen/>
              <w:t xml:space="preserve">aside (hypothecated) for a particular purpose. Amounts credited to a Special Account may only be spent for the purposes of the Special Account. Special Accounts can only be established by a written determination of the </w:t>
            </w:r>
            <w:proofErr w:type="gramStart"/>
            <w:r w:rsidRPr="00A76734">
              <w:rPr>
                <w:rFonts w:ascii="Arial" w:hAnsi="Arial" w:cs="Arial"/>
                <w:bCs/>
                <w:color w:val="000000" w:themeColor="text1"/>
                <w:sz w:val="18"/>
                <w:szCs w:val="18"/>
              </w:rPr>
              <w:t>Finance Minister</w:t>
            </w:r>
            <w:proofErr w:type="gramEnd"/>
            <w:r w:rsidRPr="00A76734">
              <w:rPr>
                <w:rFonts w:ascii="Arial" w:hAnsi="Arial" w:cs="Arial"/>
                <w:bCs/>
                <w:color w:val="000000" w:themeColor="text1"/>
                <w:sz w:val="18"/>
                <w:szCs w:val="18"/>
              </w:rPr>
              <w:t xml:space="preserve"> (section 78 of the </w:t>
            </w:r>
            <w:r w:rsidRPr="00A76734">
              <w:rPr>
                <w:rFonts w:ascii="Arial" w:hAnsi="Arial" w:cs="Arial"/>
                <w:bCs/>
                <w:i/>
                <w:iCs/>
                <w:color w:val="000000" w:themeColor="text1"/>
                <w:sz w:val="18"/>
                <w:szCs w:val="18"/>
              </w:rPr>
              <w:t xml:space="preserve">Public Governance, Performance and Accountability Act 2013 </w:t>
            </w:r>
            <w:r w:rsidRPr="00A76734">
              <w:rPr>
                <w:rFonts w:ascii="Arial" w:hAnsi="Arial" w:cs="Arial"/>
                <w:bCs/>
                <w:color w:val="000000" w:themeColor="text1"/>
                <w:sz w:val="18"/>
                <w:szCs w:val="18"/>
              </w:rPr>
              <w:t>(PGPA Act 2013)) or through an Act of Parliament (section 80 of the PGPA Act 2013).</w:t>
            </w:r>
          </w:p>
        </w:tc>
      </w:tr>
      <w:tr w:rsidR="00267DEB" w:rsidRPr="00A76734" w14:paraId="7D4E5F13" w14:textId="77777777" w:rsidTr="00FF7B23">
        <w:tc>
          <w:tcPr>
            <w:tcW w:w="2869" w:type="dxa"/>
            <w:tcBorders>
              <w:top w:val="nil"/>
              <w:left w:val="nil"/>
              <w:bottom w:val="nil"/>
              <w:right w:val="nil"/>
            </w:tcBorders>
            <w:hideMark/>
          </w:tcPr>
          <w:p w14:paraId="3E4DF5C3" w14:textId="77777777"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Appropriations (including Standing Appropriations)</w:t>
            </w:r>
          </w:p>
        </w:tc>
        <w:tc>
          <w:tcPr>
            <w:tcW w:w="4841" w:type="dxa"/>
            <w:tcBorders>
              <w:top w:val="nil"/>
              <w:left w:val="nil"/>
              <w:bottom w:val="nil"/>
              <w:right w:val="nil"/>
            </w:tcBorders>
            <w:hideMark/>
          </w:tcPr>
          <w:p w14:paraId="4FDA1B19" w14:textId="2C68D340" w:rsidR="00267DEB" w:rsidRPr="00A76734" w:rsidRDefault="00267DEB" w:rsidP="00FF7B23">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amount of money appropriated by a particular Act of Parliament for a specific purpose and number of years.  For Special Appropriations the authority to withdraw funds from the Consolidated Revenue Fund does not generally cease at the end of the financial year. Standing Appropriations are a sub</w:t>
            </w:r>
            <w:r w:rsidRPr="00A76734">
              <w:rPr>
                <w:rFonts w:ascii="Arial" w:hAnsi="Arial" w:cs="Arial"/>
                <w:bCs/>
                <w:color w:val="000000" w:themeColor="text1"/>
                <w:sz w:val="18"/>
                <w:szCs w:val="18"/>
              </w:rPr>
              <w:noBreakHyphen/>
              <w:t>category consisting of ongoing Special Appropriations – the amount appropriated will depend on circumstances specified in the legislation.</w:t>
            </w:r>
          </w:p>
        </w:tc>
      </w:tr>
    </w:tbl>
    <w:p w14:paraId="7F8C25C9" w14:textId="77777777" w:rsidR="00267DEB" w:rsidRPr="00267DEB" w:rsidRDefault="00267DEB" w:rsidP="00267DEB"/>
    <w:sectPr w:rsidR="00267DEB" w:rsidRPr="00267DEB" w:rsidSect="00472007">
      <w:footerReference w:type="even" r:id="rId190"/>
      <w:footerReference w:type="default" r:id="rId191"/>
      <w:footerReference w:type="first" r:id="rId192"/>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52B5D1" w14:textId="77777777" w:rsidR="007B162F" w:rsidRDefault="007B162F" w:rsidP="00C07DEC">
      <w:r>
        <w:separator/>
      </w:r>
    </w:p>
  </w:endnote>
  <w:endnote w:type="continuationSeparator" w:id="0">
    <w:p w14:paraId="49538868" w14:textId="77777777" w:rsidR="007B162F" w:rsidRDefault="007B162F" w:rsidP="00C07DEC">
      <w:r>
        <w:continuationSeparator/>
      </w:r>
    </w:p>
  </w:endnote>
  <w:endnote w:type="continuationNotice" w:id="1">
    <w:p w14:paraId="6130549B" w14:textId="77777777" w:rsidR="007B162F" w:rsidRDefault="007B162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1BCEDD85-5745-43B0-A2BE-7D5347703379}"/>
  </w:font>
  <w:font w:name="Times New Roman">
    <w:panose1 w:val="02020603050405020304"/>
    <w:charset w:val="00"/>
    <w:family w:val="roman"/>
    <w:pitch w:val="variable"/>
    <w:sig w:usb0="E0002EFF" w:usb1="C000785B" w:usb2="00000009" w:usb3="00000000" w:csb0="000001FF" w:csb1="00000000"/>
    <w:embedRegular r:id="rId2" w:fontKey="{AEC1D8D5-87FF-4070-9279-F3FD671B0CF9}"/>
    <w:embedBold r:id="rId3" w:fontKey="{1D7146FF-BCCF-4DF3-8238-472927FAD8CE}"/>
    <w:embedItalic r:id="rId4" w:fontKey="{F286D7BF-EF8E-4216-B41B-E3A12EB06AB9}"/>
    <w:embedBoldItalic r:id="rId5" w:fontKey="{37699151-A31A-469F-BF96-688D5834368B}"/>
  </w:font>
  <w:font w:name="Courier New">
    <w:panose1 w:val="02070309020205020404"/>
    <w:charset w:val="00"/>
    <w:family w:val="modern"/>
    <w:pitch w:val="fixed"/>
    <w:sig w:usb0="E0002EFF" w:usb1="C0007843" w:usb2="00000009" w:usb3="00000000" w:csb0="000001FF" w:csb1="00000000"/>
    <w:embedRegular r:id="rId6" w:fontKey="{58A09C3C-7582-4E8F-82FE-5D7A61FC5894}"/>
  </w:font>
  <w:font w:name="Wingdings">
    <w:panose1 w:val="05000000000000000000"/>
    <w:charset w:val="02"/>
    <w:family w:val="auto"/>
    <w:pitch w:val="variable"/>
    <w:sig w:usb0="00000000" w:usb1="10000000" w:usb2="00000000" w:usb3="00000000" w:csb0="80000000" w:csb1="00000000"/>
    <w:embedRegular r:id="rId7" w:fontKey="{CB203760-0F4F-4AFA-8FB6-E39A240997E0}"/>
  </w:font>
  <w:font w:name="Book Antiqua">
    <w:panose1 w:val="02040602050305030304"/>
    <w:charset w:val="00"/>
    <w:family w:val="roman"/>
    <w:pitch w:val="variable"/>
    <w:sig w:usb0="00000287" w:usb1="00000000" w:usb2="00000000" w:usb3="00000000" w:csb0="0000009F" w:csb1="00000000"/>
    <w:embedRegular r:id="rId8" w:fontKey="{8E85C791-EE1D-42CD-A88C-BA6393EC12F5}"/>
    <w:embedBold r:id="rId9" w:fontKey="{7D142D13-D425-43ED-B43F-C38F7B360B7A}"/>
    <w:embedItalic r:id="rId10" w:fontKey="{467BE2F2-5966-455E-96D6-D9BD38A4650E}"/>
  </w:font>
  <w:font w:name="Arial">
    <w:panose1 w:val="020B0604020202020204"/>
    <w:charset w:val="00"/>
    <w:family w:val="swiss"/>
    <w:pitch w:val="variable"/>
    <w:sig w:usb0="E0002EFF" w:usb1="C000785B" w:usb2="00000009" w:usb3="00000000" w:csb0="000001FF" w:csb1="00000000"/>
    <w:embedRegular r:id="rId11" w:fontKey="{50635F78-497B-4278-AC3B-7229BF741A89}"/>
    <w:embedBold r:id="rId12" w:fontKey="{1C75A74C-CA38-471D-BBCA-E2A3FF19EFC5}"/>
    <w:embedItalic r:id="rId13" w:fontKey="{860837CD-94BE-4830-A4D3-8F70E66E7C6F}"/>
    <w:embedBoldItalic r:id="rId14" w:fontKey="{68DF18FD-EDEF-4721-AF1D-88D772ABEC47}"/>
  </w:font>
  <w:font w:name="9999999">
    <w:altName w:val="Cambria"/>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9CBF2A41-F7D6-457F-8F72-24039D2BB438}"/>
  </w:font>
  <w:font w:name="Tahoma">
    <w:panose1 w:val="020B0604030504040204"/>
    <w:charset w:val="00"/>
    <w:family w:val="swiss"/>
    <w:pitch w:val="variable"/>
    <w:sig w:usb0="E1002EFF" w:usb1="C000605B" w:usb2="00000029" w:usb3="00000000" w:csb0="000101FF" w:csb1="00000000"/>
    <w:embedRegular r:id="rId16" w:fontKey="{850C101B-C81A-4E9E-9426-AB21D81B523F}"/>
  </w:font>
  <w:font w:name="Calibri Light">
    <w:panose1 w:val="020F0302020204030204"/>
    <w:charset w:val="00"/>
    <w:family w:val="swiss"/>
    <w:pitch w:val="variable"/>
    <w:sig w:usb0="E4002EFF" w:usb1="C200247B" w:usb2="00000009" w:usb3="00000000" w:csb0="000001FF" w:csb1="00000000"/>
    <w:embedRegular r:id="rId17" w:fontKey="{49E18B59-E29A-46A4-98E0-04040C32F6C3}"/>
    <w:embedItalic r:id="rId18" w:fontKey="{11648FAD-0339-41CA-9BEE-9A9D3740C1D1}"/>
  </w:font>
  <w:font w:name="Calibri">
    <w:panose1 w:val="020F0502020204030204"/>
    <w:charset w:val="00"/>
    <w:family w:val="swiss"/>
    <w:pitch w:val="variable"/>
    <w:sig w:usb0="E4002EFF" w:usb1="C200247B" w:usb2="00000009" w:usb3="00000000" w:csb0="000001FF" w:csb1="00000000"/>
    <w:embedRegular r:id="rId19" w:fontKey="{8B6CF8A1-3DFA-4FC2-9E5B-EE4D2E13E3E3}"/>
    <w:embedItalic r:id="rId20" w:fontKey="{1B3A7328-B91F-4643-9C49-A5DB1A6D4FFE}"/>
  </w:font>
  <w:font w:name="Swiss 721 BT">
    <w:altName w:val="Calibri"/>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21" w:fontKey="{2AAF5558-B408-497D-BB57-CD28110944AB}"/>
  </w:font>
  <w:font w:name="TA Philausophy SemiBold">
    <w:panose1 w:val="00000000000000000000"/>
    <w:charset w:val="00"/>
    <w:family w:val="modern"/>
    <w:notTrueType/>
    <w:pitch w:val="variable"/>
    <w:sig w:usb0="00000007" w:usb1="00000001" w:usb2="00000000" w:usb3="00000000" w:csb0="00000013"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12639" w14:textId="6C1CC05B" w:rsidR="00B03653" w:rsidRPr="00213592" w:rsidRDefault="00B03653" w:rsidP="001512C6">
    <w:pPr>
      <w:pStyle w:val="GhostLin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C9C45" w14:textId="300663E7" w:rsidR="00B03653" w:rsidRPr="003F0C8B" w:rsidRDefault="00CD706E" w:rsidP="003F0C8B">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004C1439">
      <w:rPr>
        <w:rStyle w:val="PageNumber"/>
      </w:rPr>
      <w:fldChar w:fldCharType="begin"/>
    </w:r>
    <w:r w:rsidR="004C1439">
      <w:rPr>
        <w:rStyle w:val="PageNumber"/>
      </w:rPr>
      <w:instrText xml:space="preserve"> STYLEREF  "Part Heading"  \* MERGEFORMAT </w:instrText>
    </w:r>
    <w:r w:rsidR="004C1439">
      <w:rPr>
        <w:rStyle w:val="PageNumber"/>
      </w:rPr>
      <w:fldChar w:fldCharType="separate"/>
    </w:r>
    <w:r w:rsidR="00920755">
      <w:rPr>
        <w:rStyle w:val="PageNumber"/>
        <w:noProof/>
      </w:rPr>
      <w:t>User guide</w:t>
    </w:r>
    <w:r w:rsidR="004C1439">
      <w:rPr>
        <w:rStyle w:val="PageNumber"/>
      </w:rPr>
      <w:fldChar w:fldCharType="end"/>
    </w:r>
    <w:r w:rsidRPr="0066112F">
      <w:rPr>
        <w:rStyle w:val="PageNumber"/>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7D3DC" w14:textId="4BC4D445" w:rsidR="00B03653" w:rsidRPr="008731ED" w:rsidRDefault="00B229D9" w:rsidP="005003B8">
    <w:pPr>
      <w:pStyle w:val="FooterOdd"/>
      <w:rPr>
        <w:rStyle w:val="PageNumber"/>
        <w:rFonts w:cs="Times New Roman"/>
        <w:color w:val="000000"/>
      </w:rPr>
    </w:pPr>
    <w:fldSimple w:instr="STYLEREF  &quot;Part Heading&quot;  \* MERGEFORMAT">
      <w:r w:rsidR="00C70E33">
        <w:rPr>
          <w:noProof/>
        </w:rPr>
        <w:t>Portfolio overview</w:t>
      </w:r>
    </w:fldSimple>
    <w:r w:rsidR="005003B8" w:rsidRPr="0066112F">
      <w:t> | </w:t>
    </w:r>
    <w:r w:rsidR="005003B8" w:rsidRPr="0066112F">
      <w:rPr>
        <w:rStyle w:val="PageNumber"/>
        <w:b/>
        <w:bCs/>
      </w:rPr>
      <w:t xml:space="preserve">Page </w:t>
    </w:r>
    <w:r w:rsidR="005003B8" w:rsidRPr="0066112F">
      <w:rPr>
        <w:rStyle w:val="PageNumber"/>
        <w:b/>
        <w:bCs/>
      </w:rPr>
      <w:fldChar w:fldCharType="begin"/>
    </w:r>
    <w:r w:rsidR="005003B8" w:rsidRPr="0066112F">
      <w:rPr>
        <w:rStyle w:val="PageNumber"/>
        <w:b/>
        <w:bCs/>
      </w:rPr>
      <w:instrText xml:space="preserve"> PAGE  \* Arabic </w:instrText>
    </w:r>
    <w:r w:rsidR="005003B8" w:rsidRPr="0066112F">
      <w:rPr>
        <w:rStyle w:val="PageNumber"/>
        <w:b/>
        <w:bCs/>
      </w:rPr>
      <w:fldChar w:fldCharType="separate"/>
    </w:r>
    <w:r w:rsidR="005003B8" w:rsidRPr="0066112F">
      <w:rPr>
        <w:rStyle w:val="PageNumber"/>
        <w:b/>
        <w:bCs/>
      </w:rPr>
      <w:t>1</w:t>
    </w:r>
    <w:r w:rsidR="005003B8" w:rsidRPr="0066112F">
      <w:rPr>
        <w:rStyle w:val="PageNumber"/>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45496" w14:textId="47E37568" w:rsidR="00B03653" w:rsidRPr="00CD706E" w:rsidRDefault="00CD706E" w:rsidP="00CD706E">
    <w:pPr>
      <w:pStyle w:val="FooterOdd"/>
    </w:pPr>
    <w:r w:rsidRPr="0066112F">
      <w:rPr>
        <w:rStyle w:val="PageNumber"/>
        <w:b/>
        <w:bCs/>
      </w:rPr>
      <w:t xml:space="preserve">Page </w:t>
    </w:r>
    <w:r w:rsidR="0045344D">
      <w:rPr>
        <w:rStyle w:val="PageNumber"/>
        <w:b/>
        <w:bCs/>
      </w:rPr>
      <w:fldChar w:fldCharType="begin"/>
    </w:r>
    <w:r w:rsidR="0045344D">
      <w:rPr>
        <w:rStyle w:val="PageNumber"/>
        <w:b/>
        <w:bCs/>
      </w:rPr>
      <w:instrText xml:space="preserve"> PAGE  \* roman </w:instrText>
    </w:r>
    <w:r w:rsidR="0045344D">
      <w:rPr>
        <w:rStyle w:val="PageNumber"/>
        <w:b/>
        <w:bCs/>
      </w:rPr>
      <w:fldChar w:fldCharType="separate"/>
    </w:r>
    <w:r w:rsidR="0045344D">
      <w:rPr>
        <w:rStyle w:val="PageNumber"/>
        <w:b/>
        <w:bCs/>
        <w:noProof/>
      </w:rPr>
      <w:t>xiii</w:t>
    </w:r>
    <w:r w:rsidR="0045344D">
      <w:rPr>
        <w:rStyle w:val="PageNumber"/>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ECDD3" w14:textId="77777777" w:rsidR="00B03653" w:rsidRPr="0049200C" w:rsidRDefault="00B03653" w:rsidP="0049200C">
    <w:pPr>
      <w:pStyle w:val="FooterBase"/>
      <w:rPr>
        <w:rStyle w:val="PageNumber"/>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CEA6E" w14:textId="1C600B6A" w:rsidR="00B03653" w:rsidRPr="00EC33E6" w:rsidRDefault="004B23F6" w:rsidP="00321DEB">
    <w:pPr>
      <w:pStyle w:val="FooterEven"/>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001512C6">
      <w:rPr>
        <w:rStyle w:val="PageNumber"/>
      </w:rPr>
      <w:fldChar w:fldCharType="begin"/>
    </w:r>
    <w:r w:rsidR="001512C6">
      <w:rPr>
        <w:rStyle w:val="PageNumber"/>
      </w:rPr>
      <w:instrText xml:space="preserve"> STYLEREF  "Part Heading"  \* MERGEFORMAT </w:instrText>
    </w:r>
    <w:r w:rsidR="001512C6">
      <w:rPr>
        <w:rStyle w:val="PageNumber"/>
      </w:rPr>
      <w:fldChar w:fldCharType="separate"/>
    </w:r>
    <w:r w:rsidR="006F1473">
      <w:rPr>
        <w:rStyle w:val="PageNumber"/>
        <w:noProof/>
      </w:rPr>
      <w:t>Department of Foreign Affairs and Trade</w:t>
    </w:r>
    <w:r w:rsidR="001512C6">
      <w:rPr>
        <w:rStyle w:val="PageNumber"/>
      </w:rPr>
      <w:fldChar w:fldCharType="end"/>
    </w:r>
    <w:r w:rsidRPr="0066112F">
      <w:rPr>
        <w:rStyle w:val="PageNumber"/>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F954C" w14:textId="5520E0A3" w:rsidR="00B03653" w:rsidRPr="005003B8" w:rsidRDefault="00B229D9" w:rsidP="005003B8">
    <w:pPr>
      <w:pStyle w:val="FooterOdd"/>
    </w:pPr>
    <w:fldSimple w:instr="STYLEREF  &quot;Part Heading&quot;  \* MERGEFORMAT">
      <w:r w:rsidR="00C70E33">
        <w:rPr>
          <w:noProof/>
        </w:rPr>
        <w:t>Portfolio overview</w:t>
      </w:r>
    </w:fldSimple>
    <w:r w:rsidR="005003B8" w:rsidRPr="0066112F">
      <w:t> | </w:t>
    </w:r>
    <w:r w:rsidR="005003B8" w:rsidRPr="0066112F">
      <w:rPr>
        <w:rStyle w:val="PageNumber"/>
        <w:b/>
        <w:bCs/>
      </w:rPr>
      <w:t xml:space="preserve">Page </w:t>
    </w:r>
    <w:r w:rsidR="005003B8" w:rsidRPr="0066112F">
      <w:rPr>
        <w:rStyle w:val="PageNumber"/>
        <w:b/>
        <w:bCs/>
      </w:rPr>
      <w:fldChar w:fldCharType="begin"/>
    </w:r>
    <w:r w:rsidR="005003B8" w:rsidRPr="0066112F">
      <w:rPr>
        <w:rStyle w:val="PageNumber"/>
        <w:b/>
        <w:bCs/>
      </w:rPr>
      <w:instrText xml:space="preserve"> PAGE  \* Arbic </w:instrText>
    </w:r>
    <w:r w:rsidR="005003B8" w:rsidRPr="0066112F">
      <w:rPr>
        <w:rStyle w:val="PageNumber"/>
        <w:b/>
        <w:bCs/>
      </w:rPr>
      <w:fldChar w:fldCharType="separate"/>
    </w:r>
    <w:r w:rsidR="005003B8" w:rsidRPr="0066112F">
      <w:rPr>
        <w:rStyle w:val="PageNumber"/>
        <w:b/>
        <w:bCs/>
      </w:rPr>
      <w:t>1</w:t>
    </w:r>
    <w:r w:rsidR="005003B8" w:rsidRPr="0066112F">
      <w:rPr>
        <w:rStyle w:val="PageNumber"/>
        <w:b/>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78B6D" w14:textId="77777777" w:rsidR="00B03653" w:rsidRPr="001808A4" w:rsidRDefault="00B03653" w:rsidP="0049200C">
    <w:pPr>
      <w:pStyle w:val="FooterBas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986F3" w14:textId="63D95518" w:rsidR="004C1439" w:rsidRPr="001808A4" w:rsidRDefault="00B229D9" w:rsidP="004C1439">
    <w:pPr>
      <w:pStyle w:val="FooterOdd"/>
    </w:pPr>
    <w:fldSimple w:instr="STYLEREF  &quot;Part Heading&quot;  \* MERGEFORMAT">
      <w:r w:rsidR="00C70E33">
        <w:rPr>
          <w:noProof/>
        </w:rPr>
        <w:t>Department of Foreign Affairs and Trade</w:t>
      </w:r>
    </w:fldSimple>
    <w:r w:rsidR="004C1439" w:rsidRPr="0066112F">
      <w:t> | </w:t>
    </w:r>
    <w:r w:rsidR="004C1439" w:rsidRPr="0066112F">
      <w:rPr>
        <w:rStyle w:val="PageNumber"/>
        <w:b/>
        <w:bCs/>
      </w:rPr>
      <w:t xml:space="preserve">Page </w:t>
    </w:r>
    <w:r w:rsidR="004C1439" w:rsidRPr="0066112F">
      <w:rPr>
        <w:rStyle w:val="PageNumber"/>
        <w:b/>
        <w:bCs/>
      </w:rPr>
      <w:fldChar w:fldCharType="begin"/>
    </w:r>
    <w:r w:rsidR="004C1439" w:rsidRPr="0066112F">
      <w:rPr>
        <w:rStyle w:val="PageNumber"/>
        <w:b/>
        <w:bCs/>
      </w:rPr>
      <w:instrText xml:space="preserve"> PAGE  \* Arabic </w:instrText>
    </w:r>
    <w:r w:rsidR="004C1439" w:rsidRPr="0066112F">
      <w:rPr>
        <w:rStyle w:val="PageNumber"/>
        <w:b/>
        <w:bCs/>
      </w:rPr>
      <w:fldChar w:fldCharType="separate"/>
    </w:r>
    <w:r w:rsidR="004C1439" w:rsidRPr="0066112F">
      <w:rPr>
        <w:rStyle w:val="PageNumber"/>
        <w:b/>
        <w:bCs/>
      </w:rPr>
      <w:t>1</w:t>
    </w:r>
    <w:r w:rsidR="004C1439" w:rsidRPr="0066112F">
      <w:rPr>
        <w:rStyle w:val="PageNumber"/>
        <w:b/>
        <w:bCs/>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AB5D8" w14:textId="16E41D1A" w:rsidR="00B03653" w:rsidRPr="004B23F6" w:rsidRDefault="00095230" w:rsidP="004B23F6">
    <w:pPr>
      <w:pStyle w:val="FooterOdd"/>
      <w:rPr>
        <w:rStyle w:val="PageNumber"/>
        <w:rFonts w:cs="Times New Roman"/>
        <w:color w:val="000000" w:themeColor="text1"/>
      </w:rPr>
    </w:pPr>
    <w:fldSimple w:instr="STYLEREF  &quot;Part Heading&quot;  \* MERGEFORMAT">
      <w:r w:rsidR="006F1473">
        <w:rPr>
          <w:noProof/>
        </w:rPr>
        <w:t>Department of Foreign Affairs and Trade</w:t>
      </w:r>
    </w:fldSimple>
    <w:r w:rsidR="004B23F6" w:rsidRPr="0066112F">
      <w:t> | </w:t>
    </w:r>
    <w:r w:rsidR="004B23F6" w:rsidRPr="0066112F">
      <w:rPr>
        <w:rStyle w:val="PageNumber"/>
        <w:b/>
        <w:bCs/>
      </w:rPr>
      <w:t xml:space="preserve">Page </w:t>
    </w:r>
    <w:r w:rsidR="004B23F6" w:rsidRPr="0066112F">
      <w:rPr>
        <w:rStyle w:val="PageNumber"/>
        <w:b/>
        <w:bCs/>
      </w:rPr>
      <w:fldChar w:fldCharType="begin"/>
    </w:r>
    <w:r w:rsidR="004B23F6" w:rsidRPr="0066112F">
      <w:rPr>
        <w:rStyle w:val="PageNumber"/>
        <w:b/>
        <w:bCs/>
      </w:rPr>
      <w:instrText xml:space="preserve"> PAGE  \* Arabic </w:instrText>
    </w:r>
    <w:r w:rsidR="004B23F6" w:rsidRPr="0066112F">
      <w:rPr>
        <w:rStyle w:val="PageNumber"/>
        <w:b/>
        <w:bCs/>
      </w:rPr>
      <w:fldChar w:fldCharType="separate"/>
    </w:r>
    <w:r w:rsidR="004B23F6" w:rsidRPr="0066112F">
      <w:rPr>
        <w:rStyle w:val="PageNumber"/>
        <w:b/>
        <w:bCs/>
      </w:rPr>
      <w:t>1</w:t>
    </w:r>
    <w:r w:rsidR="004B23F6" w:rsidRPr="0066112F">
      <w:rPr>
        <w:rStyle w:val="PageNumber"/>
        <w:b/>
        <w:bCs/>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3B422" w14:textId="3F085697" w:rsidR="00583B88" w:rsidRPr="00CD706E" w:rsidRDefault="00B229D9" w:rsidP="00E407B5">
    <w:pPr>
      <w:pStyle w:val="FooterOdd"/>
    </w:pPr>
    <w:fldSimple w:instr="STYLEREF  &quot;Part Heading&quot;  \* MERGEFORMAT">
      <w:r w:rsidR="00C70E33">
        <w:rPr>
          <w:noProof/>
        </w:rPr>
        <w:t>Department of Foreign Affairs and Trade</w:t>
      </w:r>
    </w:fldSimple>
    <w:r w:rsidR="00E407B5" w:rsidRPr="0066112F">
      <w:t> | </w:t>
    </w:r>
    <w:r w:rsidR="00E407B5" w:rsidRPr="00D05BB2">
      <w:rPr>
        <w:rStyle w:val="PageNumber"/>
        <w:b/>
        <w:bCs/>
        <w:color w:val="000000"/>
      </w:rPr>
      <w:t xml:space="preserve">Page </w:t>
    </w:r>
    <w:r w:rsidR="00E407B5" w:rsidRPr="00D05BB2">
      <w:rPr>
        <w:rStyle w:val="PageNumber"/>
        <w:b/>
        <w:bCs/>
        <w:color w:val="000000"/>
      </w:rPr>
      <w:fldChar w:fldCharType="begin"/>
    </w:r>
    <w:r w:rsidR="00E407B5" w:rsidRPr="00D05BB2">
      <w:rPr>
        <w:rStyle w:val="PageNumber"/>
        <w:b/>
        <w:bCs/>
        <w:color w:val="000000"/>
      </w:rPr>
      <w:instrText xml:space="preserve"> PAGE  \* Arabic </w:instrText>
    </w:r>
    <w:r w:rsidR="00E407B5" w:rsidRPr="00D05BB2">
      <w:rPr>
        <w:rStyle w:val="PageNumber"/>
        <w:b/>
        <w:bCs/>
        <w:color w:val="000000"/>
      </w:rPr>
      <w:fldChar w:fldCharType="separate"/>
    </w:r>
    <w:r w:rsidR="00E407B5" w:rsidRPr="00D05BB2">
      <w:rPr>
        <w:rStyle w:val="PageNumber"/>
        <w:b/>
        <w:bCs/>
        <w:color w:val="000000"/>
      </w:rPr>
      <w:t>1</w:t>
    </w:r>
    <w:r w:rsidR="00E407B5" w:rsidRPr="00D05BB2">
      <w:rPr>
        <w:rStyle w:val="PageNumber"/>
        <w:b/>
        <w:bCs/>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6CAB9" w14:textId="3CF20940" w:rsidR="00234809" w:rsidRPr="00234809" w:rsidRDefault="00234809" w:rsidP="002F54BA">
    <w:pPr>
      <w:pStyle w:val="GhostLine"/>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EA7CE" w14:textId="4E0F0869" w:rsidR="00B03653" w:rsidRPr="003F0C8B" w:rsidRDefault="004B23F6" w:rsidP="009E69CA">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001512C6">
      <w:rPr>
        <w:rStyle w:val="PageNumber"/>
      </w:rPr>
      <w:fldChar w:fldCharType="begin"/>
    </w:r>
    <w:r w:rsidR="001512C6">
      <w:rPr>
        <w:rStyle w:val="PageNumber"/>
      </w:rPr>
      <w:instrText xml:space="preserve"> STYLEREF  "Part Heading"  \* MERGEFORMAT </w:instrText>
    </w:r>
    <w:r w:rsidR="001512C6">
      <w:rPr>
        <w:rStyle w:val="PageNumber"/>
      </w:rPr>
      <w:fldChar w:fldCharType="separate"/>
    </w:r>
    <w:r w:rsidR="006F1473">
      <w:rPr>
        <w:rStyle w:val="PageNumber"/>
        <w:noProof/>
      </w:rPr>
      <w:t>Department of Foreign Affairs and Trade</w:t>
    </w:r>
    <w:r w:rsidR="001512C6">
      <w:rPr>
        <w:rStyle w:val="PageNumber"/>
      </w:rPr>
      <w:fldChar w:fldCharType="end"/>
    </w:r>
    <w:r w:rsidRPr="0066112F">
      <w:rPr>
        <w:rStyle w:val="PageNumber"/>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281DE" w14:textId="0BA4B287" w:rsidR="00B03653" w:rsidRPr="004B23F6" w:rsidRDefault="00095230" w:rsidP="004B23F6">
    <w:pPr>
      <w:pStyle w:val="FooterOdd"/>
      <w:rPr>
        <w:rStyle w:val="PageNumber"/>
        <w:rFonts w:cs="Times New Roman"/>
        <w:color w:val="000000" w:themeColor="text1"/>
      </w:rPr>
    </w:pPr>
    <w:fldSimple w:instr="STYLEREF  &quot;Part Heading&quot;  \* MERGEFORMAT">
      <w:r w:rsidR="006F1473">
        <w:rPr>
          <w:noProof/>
        </w:rPr>
        <w:t>Department of Foreign Affairs and Trade</w:t>
      </w:r>
    </w:fldSimple>
    <w:r w:rsidR="004B23F6" w:rsidRPr="0066112F">
      <w:t> | </w:t>
    </w:r>
    <w:r w:rsidR="004B23F6" w:rsidRPr="0066112F">
      <w:rPr>
        <w:rStyle w:val="PageNumber"/>
        <w:b/>
        <w:bCs/>
      </w:rPr>
      <w:t xml:space="preserve">Page </w:t>
    </w:r>
    <w:r w:rsidR="004B23F6" w:rsidRPr="0066112F">
      <w:rPr>
        <w:rStyle w:val="PageNumber"/>
        <w:b/>
        <w:bCs/>
      </w:rPr>
      <w:fldChar w:fldCharType="begin"/>
    </w:r>
    <w:r w:rsidR="004B23F6" w:rsidRPr="0066112F">
      <w:rPr>
        <w:rStyle w:val="PageNumber"/>
        <w:b/>
        <w:bCs/>
      </w:rPr>
      <w:instrText xml:space="preserve"> PAGE  \* Arabic </w:instrText>
    </w:r>
    <w:r w:rsidR="004B23F6" w:rsidRPr="0066112F">
      <w:rPr>
        <w:rStyle w:val="PageNumber"/>
        <w:b/>
        <w:bCs/>
      </w:rPr>
      <w:fldChar w:fldCharType="separate"/>
    </w:r>
    <w:r w:rsidR="004B23F6" w:rsidRPr="0066112F">
      <w:rPr>
        <w:rStyle w:val="PageNumber"/>
        <w:b/>
        <w:bCs/>
      </w:rPr>
      <w:t>1</w:t>
    </w:r>
    <w:r w:rsidR="004B23F6" w:rsidRPr="0066112F">
      <w:rPr>
        <w:rStyle w:val="PageNumber"/>
        <w:b/>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72848" w14:textId="3F52FA18" w:rsidR="00B03653" w:rsidRPr="0023065B" w:rsidRDefault="00B03653" w:rsidP="004B23F6">
    <w:pPr>
      <w:pStyle w:val="GhostLine"/>
      <w:rPr>
        <w:rStyle w:val="PageNumber"/>
        <w:color w:val="00000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5A32F" w14:textId="7A5E8586" w:rsidR="00474FFA" w:rsidRPr="00474FFA" w:rsidRDefault="00474FFA" w:rsidP="00474FFA">
    <w:pPr>
      <w:pStyle w:val="Footer"/>
      <w:rPr>
        <w:rStyle w:val="PageNumber"/>
        <w:rFonts w:cs="Times New Roman"/>
        <w:color w:val="000000" w:themeColor="text1"/>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0B58F" w14:textId="77777777" w:rsidR="00E7366F" w:rsidRPr="001808A4" w:rsidRDefault="00E7366F" w:rsidP="0049200C">
    <w:pPr>
      <w:pStyle w:val="FooterBase"/>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A880F" w14:textId="624D61B0" w:rsidR="00E7366F" w:rsidRPr="001808A4" w:rsidRDefault="00095230" w:rsidP="004C1439">
    <w:pPr>
      <w:pStyle w:val="FooterOdd"/>
    </w:pPr>
    <w:fldSimple w:instr="STYLEREF  &quot;Part Heading&quot;  \* MERGEFORMAT">
      <w:r w:rsidR="006F1473">
        <w:rPr>
          <w:noProof/>
        </w:rPr>
        <w:t>Australian Trade and Investment Commission</w:t>
      </w:r>
    </w:fldSimple>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D5154" w14:textId="2B06B554" w:rsidR="00474FFA" w:rsidRPr="003F0C8B" w:rsidRDefault="00474FFA" w:rsidP="009E69CA">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Pr>
        <w:rStyle w:val="PageNumber"/>
      </w:rPr>
      <w:fldChar w:fldCharType="begin"/>
    </w:r>
    <w:r>
      <w:rPr>
        <w:rStyle w:val="PageNumber"/>
      </w:rPr>
      <w:instrText xml:space="preserve"> STYLEREF  "Part Heading"  \* MERGEFORMAT </w:instrText>
    </w:r>
    <w:r>
      <w:rPr>
        <w:rStyle w:val="PageNumber"/>
      </w:rPr>
      <w:fldChar w:fldCharType="separate"/>
    </w:r>
    <w:r w:rsidR="00206740">
      <w:rPr>
        <w:rStyle w:val="PageNumber"/>
        <w:noProof/>
      </w:rPr>
      <w:t>Tourism Australia</w:t>
    </w:r>
    <w:r>
      <w:rPr>
        <w:rStyle w:val="PageNumber"/>
      </w:rPr>
      <w:fldChar w:fldCharType="end"/>
    </w:r>
    <w:r w:rsidRPr="0066112F">
      <w:rPr>
        <w:rStyle w:val="PageNumber"/>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87A2E" w14:textId="5B83E753" w:rsidR="00E7366F" w:rsidRPr="004B23F6" w:rsidRDefault="00A333BE" w:rsidP="004B23F6">
    <w:pPr>
      <w:pStyle w:val="FooterOdd"/>
      <w:rPr>
        <w:rStyle w:val="PageNumber"/>
        <w:rFonts w:cs="Times New Roman"/>
        <w:color w:val="000000" w:themeColor="text1"/>
      </w:rPr>
    </w:pPr>
    <w:fldSimple w:instr="STYLEREF  &quot;Part Heading&quot;  \* MERGEFORMAT">
      <w:r w:rsidR="006F1473">
        <w:rPr>
          <w:noProof/>
        </w:rPr>
        <w:t>Australian Trade and Investment Commission</w:t>
      </w:r>
    </w:fldSimple>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6FBEA" w14:textId="79809EFD" w:rsidR="00E7366F" w:rsidRPr="00CD706E" w:rsidRDefault="00095230" w:rsidP="00E407B5">
    <w:pPr>
      <w:pStyle w:val="FooterOdd"/>
    </w:pPr>
    <w:fldSimple w:instr="STYLEREF  &quot;Part Heading&quot;  \* MERGEFORMAT">
      <w:r w:rsidR="006F1473">
        <w:rPr>
          <w:noProof/>
        </w:rPr>
        <w:t>Australian Trade and Investment Commission</w:t>
      </w:r>
    </w:fldSimple>
    <w:r w:rsidR="00E7366F" w:rsidRPr="0066112F">
      <w:t> | </w:t>
    </w:r>
    <w:r w:rsidR="00E7366F" w:rsidRPr="00D05BB2">
      <w:rPr>
        <w:rStyle w:val="PageNumber"/>
        <w:b/>
        <w:bCs/>
        <w:color w:val="000000"/>
      </w:rPr>
      <w:t xml:space="preserve">Page </w:t>
    </w:r>
    <w:r w:rsidR="00E7366F" w:rsidRPr="00D05BB2">
      <w:rPr>
        <w:rStyle w:val="PageNumber"/>
        <w:b/>
        <w:bCs/>
        <w:color w:val="000000"/>
      </w:rPr>
      <w:fldChar w:fldCharType="begin"/>
    </w:r>
    <w:r w:rsidR="00E7366F" w:rsidRPr="00D05BB2">
      <w:rPr>
        <w:rStyle w:val="PageNumber"/>
        <w:b/>
        <w:bCs/>
        <w:color w:val="000000"/>
      </w:rPr>
      <w:instrText xml:space="preserve"> PAGE  \* Arabic </w:instrText>
    </w:r>
    <w:r w:rsidR="00E7366F" w:rsidRPr="00D05BB2">
      <w:rPr>
        <w:rStyle w:val="PageNumber"/>
        <w:b/>
        <w:bCs/>
        <w:color w:val="000000"/>
      </w:rPr>
      <w:fldChar w:fldCharType="separate"/>
    </w:r>
    <w:r w:rsidR="00E7366F" w:rsidRPr="00D05BB2">
      <w:rPr>
        <w:rStyle w:val="PageNumber"/>
        <w:b/>
        <w:bCs/>
        <w:color w:val="000000"/>
      </w:rPr>
      <w:t>1</w:t>
    </w:r>
    <w:r w:rsidR="00E7366F" w:rsidRPr="00D05BB2">
      <w:rPr>
        <w:rStyle w:val="PageNumber"/>
        <w:b/>
        <w:bCs/>
        <w:color w:val="000000"/>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F2ADE" w14:textId="77777777" w:rsidR="00E7366F" w:rsidRPr="001808A4" w:rsidRDefault="00E7366F" w:rsidP="0049200C">
    <w:pPr>
      <w:pStyle w:val="FooterBas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8323C" w14:textId="7EA73A86" w:rsidR="00B85CDF" w:rsidRDefault="00B85CDF" w:rsidP="001512C6">
    <w:pPr>
      <w:pStyle w:val="GhostLine"/>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AB3BC" w14:textId="2B3444BF" w:rsidR="00E7366F" w:rsidRPr="001808A4" w:rsidRDefault="007C2C8E" w:rsidP="004C1439">
    <w:pPr>
      <w:pStyle w:val="FooterOdd"/>
    </w:pPr>
    <w:fldSimple w:instr="STYLEREF  &quot;Part Heading&quot;  \* MERGEFORMAT">
      <w:r w:rsidR="006F1473">
        <w:rPr>
          <w:noProof/>
        </w:rPr>
        <w:t>Australian Centre for International Agricultural Research</w:t>
      </w:r>
    </w:fldSimple>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74B23" w14:textId="1AC89C0E" w:rsidR="00E7366F" w:rsidRPr="004B23F6" w:rsidRDefault="007C2C8E" w:rsidP="004B23F6">
    <w:pPr>
      <w:pStyle w:val="FooterOdd"/>
      <w:rPr>
        <w:rStyle w:val="PageNumber"/>
        <w:rFonts w:cs="Times New Roman"/>
        <w:color w:val="000000" w:themeColor="text1"/>
      </w:rPr>
    </w:pPr>
    <w:fldSimple w:instr="STYLEREF  &quot;Part Heading&quot;  \* MERGEFORMAT">
      <w:r w:rsidR="006F1473">
        <w:rPr>
          <w:noProof/>
        </w:rPr>
        <w:t>Australian Centre for International Agricultural Research</w:t>
      </w:r>
    </w:fldSimple>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39F83" w14:textId="5E292973" w:rsidR="00E7366F" w:rsidRPr="00CD706E" w:rsidRDefault="007C2C8E" w:rsidP="00E407B5">
    <w:pPr>
      <w:pStyle w:val="FooterOdd"/>
    </w:pPr>
    <w:fldSimple w:instr="STYLEREF  &quot;Part Heading&quot;  \* MERGEFORMAT">
      <w:r w:rsidR="006F1473">
        <w:rPr>
          <w:noProof/>
        </w:rPr>
        <w:t>Australian Centre for International Agricultural Research</w:t>
      </w:r>
    </w:fldSimple>
    <w:r w:rsidR="00E7366F" w:rsidRPr="0066112F">
      <w:t> | </w:t>
    </w:r>
    <w:r w:rsidR="00E7366F" w:rsidRPr="00D05BB2">
      <w:rPr>
        <w:rStyle w:val="PageNumber"/>
        <w:b/>
        <w:bCs/>
        <w:color w:val="000000"/>
      </w:rPr>
      <w:t xml:space="preserve">Page </w:t>
    </w:r>
    <w:r w:rsidR="00E7366F" w:rsidRPr="00D05BB2">
      <w:rPr>
        <w:rStyle w:val="PageNumber"/>
        <w:b/>
        <w:bCs/>
        <w:color w:val="000000"/>
      </w:rPr>
      <w:fldChar w:fldCharType="begin"/>
    </w:r>
    <w:r w:rsidR="00E7366F" w:rsidRPr="00D05BB2">
      <w:rPr>
        <w:rStyle w:val="PageNumber"/>
        <w:b/>
        <w:bCs/>
        <w:color w:val="000000"/>
      </w:rPr>
      <w:instrText xml:space="preserve"> PAGE  \* Arabic </w:instrText>
    </w:r>
    <w:r w:rsidR="00E7366F" w:rsidRPr="00D05BB2">
      <w:rPr>
        <w:rStyle w:val="PageNumber"/>
        <w:b/>
        <w:bCs/>
        <w:color w:val="000000"/>
      </w:rPr>
      <w:fldChar w:fldCharType="separate"/>
    </w:r>
    <w:r w:rsidR="00E7366F" w:rsidRPr="00D05BB2">
      <w:rPr>
        <w:rStyle w:val="PageNumber"/>
        <w:b/>
        <w:bCs/>
        <w:color w:val="000000"/>
      </w:rPr>
      <w:t>1</w:t>
    </w:r>
    <w:r w:rsidR="00E7366F" w:rsidRPr="00D05BB2">
      <w:rPr>
        <w:rStyle w:val="PageNumber"/>
        <w:b/>
        <w:bCs/>
        <w:color w:val="000000"/>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AD8E2" w14:textId="77777777" w:rsidR="00E7366F" w:rsidRPr="001808A4" w:rsidRDefault="00E7366F" w:rsidP="0049200C">
    <w:pPr>
      <w:pStyle w:val="FooterBase"/>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72135" w14:textId="7A3199C0" w:rsidR="00E7366F" w:rsidRPr="001808A4" w:rsidRDefault="007C2C8E" w:rsidP="004C1439">
    <w:pPr>
      <w:pStyle w:val="FooterOdd"/>
    </w:pPr>
    <w:fldSimple w:instr="STYLEREF  &quot;Part Heading&quot;  \* MERGEFORMAT">
      <w:r w:rsidR="006F1473">
        <w:rPr>
          <w:noProof/>
        </w:rPr>
        <w:t>Australian Secret Intelligence Service</w:t>
      </w:r>
    </w:fldSimple>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306560" w14:textId="6BC8C69E" w:rsidR="00E7366F" w:rsidRPr="004B23F6" w:rsidRDefault="007C2C8E" w:rsidP="004B23F6">
    <w:pPr>
      <w:pStyle w:val="FooterOdd"/>
      <w:rPr>
        <w:rStyle w:val="PageNumber"/>
        <w:rFonts w:cs="Times New Roman"/>
        <w:color w:val="000000" w:themeColor="text1"/>
      </w:rPr>
    </w:pPr>
    <w:fldSimple w:instr="STYLEREF  &quot;Part Heading&quot;  \* MERGEFORMAT">
      <w:r w:rsidR="00206740">
        <w:rPr>
          <w:noProof/>
        </w:rPr>
        <w:t>Australian Secret Intelligence Service</w:t>
      </w:r>
    </w:fldSimple>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68A25" w14:textId="627974B3" w:rsidR="00E7366F" w:rsidRPr="00CD706E" w:rsidRDefault="007C2C8E" w:rsidP="00E407B5">
    <w:pPr>
      <w:pStyle w:val="FooterOdd"/>
    </w:pPr>
    <w:fldSimple w:instr="STYLEREF  &quot;Part Heading&quot;  \* MERGEFORMAT">
      <w:r w:rsidR="006F1473">
        <w:rPr>
          <w:noProof/>
        </w:rPr>
        <w:t>Australian Secret Intelligence Service</w:t>
      </w:r>
    </w:fldSimple>
    <w:r w:rsidR="00E7366F" w:rsidRPr="0066112F">
      <w:t> | </w:t>
    </w:r>
    <w:r w:rsidR="00E7366F" w:rsidRPr="00D05BB2">
      <w:rPr>
        <w:rStyle w:val="PageNumber"/>
        <w:b/>
        <w:bCs/>
        <w:color w:val="000000"/>
      </w:rPr>
      <w:t xml:space="preserve">Page </w:t>
    </w:r>
    <w:r w:rsidR="00E7366F" w:rsidRPr="00D05BB2">
      <w:rPr>
        <w:rStyle w:val="PageNumber"/>
        <w:b/>
        <w:bCs/>
        <w:color w:val="000000"/>
      </w:rPr>
      <w:fldChar w:fldCharType="begin"/>
    </w:r>
    <w:r w:rsidR="00E7366F" w:rsidRPr="00D05BB2">
      <w:rPr>
        <w:rStyle w:val="PageNumber"/>
        <w:b/>
        <w:bCs/>
        <w:color w:val="000000"/>
      </w:rPr>
      <w:instrText xml:space="preserve"> PAGE  \* Arabic </w:instrText>
    </w:r>
    <w:r w:rsidR="00E7366F" w:rsidRPr="00D05BB2">
      <w:rPr>
        <w:rStyle w:val="PageNumber"/>
        <w:b/>
        <w:bCs/>
        <w:color w:val="000000"/>
      </w:rPr>
      <w:fldChar w:fldCharType="separate"/>
    </w:r>
    <w:r w:rsidR="00E7366F" w:rsidRPr="00D05BB2">
      <w:rPr>
        <w:rStyle w:val="PageNumber"/>
        <w:b/>
        <w:bCs/>
        <w:color w:val="000000"/>
      </w:rPr>
      <w:t>1</w:t>
    </w:r>
    <w:r w:rsidR="00E7366F" w:rsidRPr="00D05BB2">
      <w:rPr>
        <w:rStyle w:val="PageNumber"/>
        <w:b/>
        <w:bCs/>
        <w:color w:val="000000"/>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9E9D4" w14:textId="77777777" w:rsidR="00E7366F" w:rsidRPr="001808A4" w:rsidRDefault="00E7366F" w:rsidP="0049200C">
    <w:pPr>
      <w:pStyle w:val="FooterBase"/>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55468" w14:textId="7D5DDB9E" w:rsidR="00E7366F" w:rsidRPr="001808A4" w:rsidRDefault="007C2C8E" w:rsidP="004C1439">
    <w:pPr>
      <w:pStyle w:val="FooterOdd"/>
    </w:pPr>
    <w:fldSimple w:instr="STYLEREF  &quot;Part Heading&quot;  \* MERGEFORMAT">
      <w:r w:rsidR="00206740">
        <w:rPr>
          <w:noProof/>
        </w:rPr>
        <w:t>Tourism Australia</w:t>
      </w:r>
    </w:fldSimple>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4FC89" w14:textId="3E584C2D" w:rsidR="00E7366F" w:rsidRPr="004B23F6" w:rsidRDefault="007A6176" w:rsidP="004B23F6">
    <w:pPr>
      <w:pStyle w:val="FooterOdd"/>
      <w:rPr>
        <w:rStyle w:val="PageNumber"/>
        <w:rFonts w:cs="Times New Roman"/>
        <w:color w:val="000000" w:themeColor="text1"/>
      </w:rPr>
    </w:pPr>
    <w:r w:rsidRPr="007A6176">
      <w:t>Tourism Australia</w:t>
    </w:r>
    <w:r w:rsidR="00E7366F" w:rsidRPr="0066112F">
      <w:t> | </w:t>
    </w:r>
    <w:r w:rsidR="00E7366F" w:rsidRPr="0066112F">
      <w:rPr>
        <w:rStyle w:val="PageNumber"/>
        <w:b/>
        <w:bCs/>
      </w:rPr>
      <w:t xml:space="preserve">Page </w:t>
    </w:r>
    <w:r w:rsidR="00E7366F" w:rsidRPr="0066112F">
      <w:rPr>
        <w:rStyle w:val="PageNumber"/>
        <w:b/>
        <w:bCs/>
      </w:rPr>
      <w:fldChar w:fldCharType="begin"/>
    </w:r>
    <w:r w:rsidR="00E7366F" w:rsidRPr="0066112F">
      <w:rPr>
        <w:rStyle w:val="PageNumber"/>
        <w:b/>
        <w:bCs/>
      </w:rPr>
      <w:instrText xml:space="preserve"> PAGE  \* Arabic </w:instrText>
    </w:r>
    <w:r w:rsidR="00E7366F" w:rsidRPr="0066112F">
      <w:rPr>
        <w:rStyle w:val="PageNumber"/>
        <w:b/>
        <w:bCs/>
      </w:rPr>
      <w:fldChar w:fldCharType="separate"/>
    </w:r>
    <w:r w:rsidR="00E7366F" w:rsidRPr="0066112F">
      <w:rPr>
        <w:rStyle w:val="PageNumber"/>
        <w:b/>
        <w:bCs/>
      </w:rPr>
      <w:t>1</w:t>
    </w:r>
    <w:r w:rsidR="00E7366F" w:rsidRPr="0066112F">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54D0F" w14:textId="77777777" w:rsidR="00B03653" w:rsidRDefault="00B03653" w:rsidP="00CD706E">
    <w:pPr>
      <w:pStyle w:val="GhostLine"/>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F5296" w14:textId="317F385A" w:rsidR="00E7366F" w:rsidRPr="00CD706E" w:rsidRDefault="007C2C8E" w:rsidP="00E407B5">
    <w:pPr>
      <w:pStyle w:val="FooterOdd"/>
    </w:pPr>
    <w:fldSimple w:instr="STYLEREF  &quot;Part Heading&quot;  \* MERGEFORMAT">
      <w:r w:rsidR="00206740">
        <w:rPr>
          <w:noProof/>
        </w:rPr>
        <w:t>Tourism Australia</w:t>
      </w:r>
    </w:fldSimple>
    <w:r w:rsidR="00E7366F" w:rsidRPr="0066112F">
      <w:t> | </w:t>
    </w:r>
    <w:r w:rsidR="00E7366F" w:rsidRPr="00D05BB2">
      <w:rPr>
        <w:rStyle w:val="PageNumber"/>
        <w:b/>
        <w:bCs/>
        <w:color w:val="000000"/>
      </w:rPr>
      <w:t xml:space="preserve">Page </w:t>
    </w:r>
    <w:r w:rsidR="00E7366F" w:rsidRPr="00D05BB2">
      <w:rPr>
        <w:rStyle w:val="PageNumber"/>
        <w:b/>
        <w:bCs/>
        <w:color w:val="000000"/>
      </w:rPr>
      <w:fldChar w:fldCharType="begin"/>
    </w:r>
    <w:r w:rsidR="00E7366F" w:rsidRPr="00D05BB2">
      <w:rPr>
        <w:rStyle w:val="PageNumber"/>
        <w:b/>
        <w:bCs/>
        <w:color w:val="000000"/>
      </w:rPr>
      <w:instrText xml:space="preserve"> PAGE  \* Arabic </w:instrText>
    </w:r>
    <w:r w:rsidR="00E7366F" w:rsidRPr="00D05BB2">
      <w:rPr>
        <w:rStyle w:val="PageNumber"/>
        <w:b/>
        <w:bCs/>
        <w:color w:val="000000"/>
      </w:rPr>
      <w:fldChar w:fldCharType="separate"/>
    </w:r>
    <w:r w:rsidR="00E7366F" w:rsidRPr="00D05BB2">
      <w:rPr>
        <w:rStyle w:val="PageNumber"/>
        <w:b/>
        <w:bCs/>
        <w:color w:val="000000"/>
      </w:rPr>
      <w:t>1</w:t>
    </w:r>
    <w:r w:rsidR="00E7366F" w:rsidRPr="00D05BB2">
      <w:rPr>
        <w:rStyle w:val="PageNumber"/>
        <w:b/>
        <w:bCs/>
        <w:color w:val="000000"/>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A9A5F" w14:textId="18CA353C" w:rsidR="00E86B95" w:rsidRPr="003F0C8B" w:rsidRDefault="00E86B95" w:rsidP="009E69CA">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Pr="00E86B95">
      <w:rPr>
        <w:rStyle w:val="PageNumber"/>
      </w:rPr>
      <w:t>Portfolio glossary</w:t>
    </w:r>
    <w:r w:rsidRPr="0066112F">
      <w:rPr>
        <w:rStyle w:val="PageNumber"/>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3F7B7" w14:textId="77777777" w:rsidR="007A6176" w:rsidRPr="004B23F6" w:rsidRDefault="007A6176" w:rsidP="004B23F6">
    <w:pPr>
      <w:pStyle w:val="FooterOdd"/>
      <w:rPr>
        <w:rStyle w:val="PageNumber"/>
        <w:rFonts w:cs="Times New Roman"/>
        <w:color w:val="000000" w:themeColor="text1"/>
      </w:rPr>
    </w:pPr>
    <w:r w:rsidRPr="007A6176">
      <w:t>Portfolio glossary</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sidRPr="0066112F">
      <w:rPr>
        <w:rStyle w:val="PageNumber"/>
        <w:b/>
        <w:bCs/>
      </w:rPr>
      <w:t>1</w:t>
    </w:r>
    <w:r w:rsidRPr="0066112F">
      <w:rPr>
        <w:rStyle w:val="PageNumber"/>
        <w:b/>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1DE95" w14:textId="1F99A7AE" w:rsidR="00E86B95" w:rsidRPr="00CD706E" w:rsidRDefault="00E86B95" w:rsidP="00E407B5">
    <w:pPr>
      <w:pStyle w:val="FooterOdd"/>
    </w:pPr>
    <w:r>
      <w:t>Portfolio glossary</w:t>
    </w:r>
    <w:r w:rsidRPr="0066112F">
      <w:t> | </w:t>
    </w:r>
    <w:r w:rsidRPr="00D05BB2">
      <w:rPr>
        <w:rStyle w:val="PageNumber"/>
        <w:b/>
        <w:bCs/>
        <w:color w:val="000000"/>
      </w:rPr>
      <w:t xml:space="preserve">Page </w:t>
    </w:r>
    <w:r w:rsidRPr="00D05BB2">
      <w:rPr>
        <w:rStyle w:val="PageNumber"/>
        <w:b/>
        <w:bCs/>
        <w:color w:val="000000"/>
      </w:rPr>
      <w:fldChar w:fldCharType="begin"/>
    </w:r>
    <w:r w:rsidRPr="00D05BB2">
      <w:rPr>
        <w:rStyle w:val="PageNumber"/>
        <w:b/>
        <w:bCs/>
        <w:color w:val="000000"/>
      </w:rPr>
      <w:instrText xml:space="preserve"> PAGE  \* Arabic </w:instrText>
    </w:r>
    <w:r w:rsidRPr="00D05BB2">
      <w:rPr>
        <w:rStyle w:val="PageNumber"/>
        <w:b/>
        <w:bCs/>
        <w:color w:val="000000"/>
      </w:rPr>
      <w:fldChar w:fldCharType="separate"/>
    </w:r>
    <w:r w:rsidRPr="00D05BB2">
      <w:rPr>
        <w:rStyle w:val="PageNumber"/>
        <w:b/>
        <w:bCs/>
        <w:color w:val="000000"/>
      </w:rPr>
      <w:t>1</w:t>
    </w:r>
    <w:r w:rsidRPr="00D05BB2">
      <w:rPr>
        <w:rStyle w:val="PageNumber"/>
        <w:b/>
        <w:bCs/>
        <w:color w:val="00000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6E304" w14:textId="13D17493" w:rsidR="001512C6" w:rsidRPr="00213592" w:rsidRDefault="001512C6" w:rsidP="00CD706E">
    <w:pPr>
      <w:pStyle w:val="FooterEven"/>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00000FF2" w:rsidRPr="00213592">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EF855" w14:textId="77777777" w:rsidR="00B03653" w:rsidRPr="004F1212" w:rsidRDefault="00B03653" w:rsidP="004342F8">
    <w:pPr>
      <w:pStyle w:val="Footer"/>
      <w:rPr>
        <w:rStyle w:val="PageNumbe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18D6B" w14:textId="35E44AAF" w:rsidR="008731ED" w:rsidRPr="0066112F" w:rsidRDefault="008731ED" w:rsidP="001415B2">
    <w:pPr>
      <w:pStyle w:val="FooterEven"/>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Pr="005F59D0">
      <w:rPr>
        <w:rStyle w:val="PageNumber"/>
      </w:rPr>
      <w:fldChar w:fldCharType="begin"/>
    </w:r>
    <w:r w:rsidRPr="005F59D0">
      <w:rPr>
        <w:rStyle w:val="PageNumber"/>
      </w:rPr>
      <w:instrText xml:space="preserve"> STYLEREF  "Part Heading"  \* MERGEFORMAT </w:instrText>
    </w:r>
    <w:r w:rsidRPr="005F59D0">
      <w:rPr>
        <w:rStyle w:val="PageNumber"/>
      </w:rPr>
      <w:fldChar w:fldCharType="separate"/>
    </w:r>
    <w:r w:rsidR="00EA5DFB" w:rsidRPr="00EA5DFB">
      <w:rPr>
        <w:rStyle w:val="PageNumber"/>
        <w:noProof/>
        <w:lang w:val="en-US"/>
      </w:rPr>
      <w:t>User guide</w:t>
    </w:r>
    <w:r w:rsidRPr="005F59D0">
      <w:rPr>
        <w:rStyle w:val="PageNumber"/>
      </w:rPr>
      <w:fldChar w:fldCharType="end"/>
    </w:r>
    <w:r w:rsidRPr="0066112F">
      <w:rPr>
        <w:rStyle w:val="PageNumber"/>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253B5" w14:textId="318042B6" w:rsidR="008731ED" w:rsidRPr="0066112F" w:rsidRDefault="00B229D9" w:rsidP="009F3F75">
    <w:pPr>
      <w:pStyle w:val="FooterOdd"/>
    </w:pPr>
    <w:fldSimple w:instr="STYLEREF  &quot;Part Heading&quot;  \* MERGEFORMAT">
      <w:r w:rsidR="00EA5DFB" w:rsidRPr="00EA5DFB">
        <w:rPr>
          <w:noProof/>
          <w:lang w:val="en-US"/>
        </w:rPr>
        <w:t>User guide</w:t>
      </w:r>
    </w:fldSimple>
    <w:r w:rsidR="008731ED" w:rsidRPr="0066112F">
      <w:t> | </w:t>
    </w:r>
    <w:r w:rsidR="008731ED" w:rsidRPr="0066112F">
      <w:rPr>
        <w:rStyle w:val="PageNumber"/>
        <w:b/>
        <w:bCs/>
      </w:rPr>
      <w:t xml:space="preserve">Page </w:t>
    </w:r>
    <w:r w:rsidR="007C78A9">
      <w:rPr>
        <w:rStyle w:val="PageNumber"/>
        <w:b/>
        <w:bCs/>
      </w:rPr>
      <w:fldChar w:fldCharType="begin"/>
    </w:r>
    <w:r w:rsidR="007C78A9">
      <w:rPr>
        <w:rStyle w:val="PageNumber"/>
        <w:b/>
        <w:bCs/>
      </w:rPr>
      <w:instrText xml:space="preserve"> PAGE  \* roman </w:instrText>
    </w:r>
    <w:r w:rsidR="007C78A9">
      <w:rPr>
        <w:rStyle w:val="PageNumber"/>
        <w:b/>
        <w:bCs/>
      </w:rPr>
      <w:fldChar w:fldCharType="separate"/>
    </w:r>
    <w:r w:rsidR="007C78A9">
      <w:rPr>
        <w:rStyle w:val="PageNumber"/>
        <w:b/>
        <w:bCs/>
        <w:noProof/>
      </w:rPr>
      <w:t>xii</w:t>
    </w:r>
    <w:r w:rsidR="007C78A9">
      <w:rPr>
        <w:rStyle w:val="PageNumbe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8EB397" w14:textId="77777777" w:rsidR="007B162F" w:rsidRDefault="007B162F" w:rsidP="00C07DEC">
      <w:r>
        <w:separator/>
      </w:r>
    </w:p>
  </w:footnote>
  <w:footnote w:type="continuationSeparator" w:id="0">
    <w:p w14:paraId="736151F7" w14:textId="77777777" w:rsidR="007B162F" w:rsidRDefault="007B162F" w:rsidP="00C07DEC">
      <w:r>
        <w:continuationSeparator/>
      </w:r>
    </w:p>
  </w:footnote>
  <w:footnote w:type="continuationNotice" w:id="1">
    <w:p w14:paraId="46CA00BE" w14:textId="77777777" w:rsidR="007B162F" w:rsidRDefault="007B162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AE8EE" w14:textId="78CF9D83" w:rsidR="00B03653" w:rsidRPr="003A12AA" w:rsidRDefault="00B03653" w:rsidP="00B448F0">
    <w:pPr>
      <w:pStyle w:val="GhostLin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CD706E" w:rsidRPr="00561D85" w14:paraId="07108F4D" w14:textId="77777777" w:rsidTr="00816AB2">
      <w:trPr>
        <w:trHeight w:hRule="exact" w:val="340"/>
      </w:trPr>
      <w:tc>
        <w:tcPr>
          <w:tcW w:w="7797" w:type="dxa"/>
        </w:tcPr>
        <w:p w14:paraId="6FA77A6D" w14:textId="676993C9" w:rsidR="00CD706E" w:rsidRPr="00561D85" w:rsidRDefault="00CD706E" w:rsidP="00561D85">
          <w:pPr>
            <w:pStyle w:val="HeaderEven"/>
          </w:pPr>
          <w:r w:rsidRPr="00561D85">
            <w:rPr>
              <w:noProof/>
              <w:position w:val="-8"/>
            </w:rPr>
            <w:drawing>
              <wp:inline distT="0" distB="0" distL="0" distR="0" wp14:anchorId="04CC6397" wp14:editId="3015384D">
                <wp:extent cx="859038" cy="197999"/>
                <wp:effectExtent l="0" t="0" r="0" b="0"/>
                <wp:docPr id="108720016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5FDB4438" w14:textId="77777777" w:rsidR="00B03653" w:rsidRPr="00CD706E" w:rsidRDefault="00B03653" w:rsidP="00CD706E">
    <w:pPr>
      <w:pStyle w:val="GhostLin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14:paraId="20915E4A" w14:textId="77777777" w:rsidTr="002F0CB4">
      <w:trPr>
        <w:trHeight w:hRule="exact" w:val="340"/>
      </w:trPr>
      <w:tc>
        <w:tcPr>
          <w:tcW w:w="7797" w:type="dxa"/>
          <w:tcMar>
            <w:left w:w="108" w:type="dxa"/>
            <w:right w:w="108" w:type="dxa"/>
          </w:tcMar>
        </w:tcPr>
        <w:bookmarkStart w:id="10" w:name="_Hlk221874026"/>
        <w:p w14:paraId="1E40372C" w14:textId="2BB79B94" w:rsidR="005003B8" w:rsidRPr="00D13BF9" w:rsidRDefault="005003B8" w:rsidP="006F7660">
          <w:pPr>
            <w:pStyle w:val="HeaderOdd"/>
          </w:pPr>
          <w:r>
            <w:fldChar w:fldCharType="begin"/>
          </w:r>
          <w:r>
            <w:instrText xml:space="preserve"> TITLE   \* MERGEFORMAT </w:instrText>
          </w:r>
          <w:r>
            <w:fldChar w:fldCharType="separate"/>
          </w:r>
          <w:r w:rsidR="00920755">
            <w:t>Portfolio Budget Statements</w:t>
          </w:r>
          <w:r>
            <w:fldChar w:fldCharType="end"/>
          </w:r>
          <w:bookmarkEnd w:id="10"/>
          <w:r w:rsidRPr="00081542">
            <w:t> | </w:t>
          </w:r>
          <w:r w:rsidRPr="002709D2">
            <w:rPr>
              <w:noProof/>
              <w:position w:val="-8"/>
              <w:vertAlign w:val="subscript"/>
            </w:rPr>
            <w:drawing>
              <wp:inline distT="0" distB="0" distL="0" distR="0" wp14:anchorId="046B86C2" wp14:editId="2C1D6C63">
                <wp:extent cx="859038" cy="197999"/>
                <wp:effectExtent l="0" t="0" r="0" b="0"/>
                <wp:docPr id="802564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03DB056B" w14:textId="77777777" w:rsidR="005003B8" w:rsidRPr="006F7660" w:rsidRDefault="005003B8" w:rsidP="006F7660">
    <w:pPr>
      <w:pStyle w:val="GhostLine"/>
    </w:pPr>
  </w:p>
  <w:p w14:paraId="7B0253BB" w14:textId="31BB0174" w:rsidR="00B03653" w:rsidRDefault="00B03653" w:rsidP="005003B8">
    <w:pPr>
      <w:pStyle w:val="GhostLin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BF23C" w14:textId="77777777" w:rsidR="00B03653" w:rsidRDefault="00B03653" w:rsidP="000C4F54">
    <w:pPr>
      <w:pStyle w:val="HeaderEven"/>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6F0D41" w14:paraId="3154AC29" w14:textId="77777777" w:rsidTr="00FF7B23">
      <w:trPr>
        <w:trHeight w:hRule="exact" w:val="340"/>
      </w:trPr>
      <w:tc>
        <w:tcPr>
          <w:tcW w:w="7797" w:type="dxa"/>
          <w:tcMar>
            <w:left w:w="108" w:type="dxa"/>
            <w:right w:w="108" w:type="dxa"/>
          </w:tcMar>
        </w:tcPr>
        <w:p w14:paraId="47B62275" w14:textId="47B8E085" w:rsidR="006F0D41" w:rsidRPr="00D13BF9" w:rsidRDefault="006F0D41" w:rsidP="006F0D41">
          <w:pPr>
            <w:pStyle w:val="HeaderOdd"/>
          </w:pPr>
        </w:p>
      </w:tc>
    </w:tr>
  </w:tbl>
  <w:p w14:paraId="185D6994" w14:textId="77777777" w:rsidR="006F0D41" w:rsidRPr="006F7660" w:rsidRDefault="006F0D41" w:rsidP="006F0D41">
    <w:pPr>
      <w:pStyle w:val="GhostLine"/>
    </w:pPr>
  </w:p>
  <w:p w14:paraId="52A80D95" w14:textId="77777777" w:rsidR="006F0D41" w:rsidRPr="00CD706E" w:rsidRDefault="006F0D41" w:rsidP="006F0D41">
    <w:pPr>
      <w:pStyle w:val="GhostLine"/>
    </w:pPr>
  </w:p>
  <w:p w14:paraId="68F418E8" w14:textId="77777777" w:rsidR="00B03653" w:rsidRPr="0049200C" w:rsidRDefault="00B03653" w:rsidP="00FD522D">
    <w:pPr>
      <w:pStyle w:val="HeaderOdd"/>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rsidRPr="00561D85" w14:paraId="2F9C01A7" w14:textId="77777777" w:rsidTr="00816AB2">
      <w:trPr>
        <w:trHeight w:hRule="exact" w:val="340"/>
      </w:trPr>
      <w:tc>
        <w:tcPr>
          <w:tcW w:w="7797" w:type="dxa"/>
        </w:tcPr>
        <w:p w14:paraId="7DD6AC46" w14:textId="015E4D7E" w:rsidR="005003B8" w:rsidRPr="00561D85" w:rsidRDefault="005003B8" w:rsidP="00561D85">
          <w:pPr>
            <w:pStyle w:val="HeaderEven"/>
          </w:pPr>
          <w:r w:rsidRPr="00561D85">
            <w:rPr>
              <w:noProof/>
              <w:position w:val="-8"/>
            </w:rPr>
            <w:drawing>
              <wp:inline distT="0" distB="0" distL="0" distR="0" wp14:anchorId="5FEA291C" wp14:editId="3538053E">
                <wp:extent cx="859038" cy="197999"/>
                <wp:effectExtent l="0" t="0" r="0" b="0"/>
                <wp:docPr id="187928488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0EF81FD7" w14:textId="77777777" w:rsidR="005003B8" w:rsidRPr="00561D85" w:rsidRDefault="005003B8" w:rsidP="00561D85">
    <w:pPr>
      <w:pStyle w:val="GhostLine"/>
    </w:pPr>
  </w:p>
  <w:p w14:paraId="753D23D5" w14:textId="6B1DE0DE" w:rsidR="00B03653" w:rsidRPr="005003B8" w:rsidRDefault="00B03653" w:rsidP="005003B8">
    <w:pPr>
      <w:pStyle w:val="GhostLin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14:paraId="22909DE3" w14:textId="77777777" w:rsidTr="002F0CB4">
      <w:trPr>
        <w:trHeight w:hRule="exact" w:val="340"/>
      </w:trPr>
      <w:tc>
        <w:tcPr>
          <w:tcW w:w="7797" w:type="dxa"/>
          <w:tcMar>
            <w:left w:w="108" w:type="dxa"/>
            <w:right w:w="108" w:type="dxa"/>
          </w:tcMar>
        </w:tcPr>
        <w:p w14:paraId="556F1BF6" w14:textId="4C994784" w:rsidR="005003B8" w:rsidRPr="00D13BF9" w:rsidRDefault="00920755" w:rsidP="006F7660">
          <w:pPr>
            <w:pStyle w:val="HeaderOdd"/>
          </w:pPr>
          <w:fldSimple w:instr="TITLE   \* MERGEFORMAT">
            <w:r>
              <w:t>Portfolio Budget Statements</w:t>
            </w:r>
          </w:fldSimple>
          <w:r w:rsidR="005003B8" w:rsidRPr="00081542">
            <w:t> | </w:t>
          </w:r>
          <w:r w:rsidR="005003B8" w:rsidRPr="002709D2">
            <w:rPr>
              <w:noProof/>
              <w:position w:val="-8"/>
              <w:vertAlign w:val="subscript"/>
            </w:rPr>
            <w:drawing>
              <wp:inline distT="0" distB="0" distL="0" distR="0" wp14:anchorId="75D8C2EF" wp14:editId="17BB42B6">
                <wp:extent cx="859038" cy="197999"/>
                <wp:effectExtent l="0" t="0" r="0" b="0"/>
                <wp:docPr id="527082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2105C810" w14:textId="77777777" w:rsidR="005003B8" w:rsidRPr="006F7660" w:rsidRDefault="005003B8" w:rsidP="006F7660">
    <w:pPr>
      <w:pStyle w:val="GhostLine"/>
    </w:pPr>
  </w:p>
  <w:p w14:paraId="6532102E" w14:textId="08AA8FA4" w:rsidR="00B03653" w:rsidRPr="005003B8" w:rsidRDefault="00B03653" w:rsidP="005003B8">
    <w:pPr>
      <w:pStyle w:val="GhostLin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8B24C4" w14:paraId="7A0552BC" w14:textId="77777777" w:rsidTr="00FF7B23">
      <w:trPr>
        <w:trHeight w:hRule="exact" w:val="340"/>
      </w:trPr>
      <w:tc>
        <w:tcPr>
          <w:tcW w:w="7797" w:type="dxa"/>
          <w:tcMar>
            <w:left w:w="108" w:type="dxa"/>
            <w:right w:w="108" w:type="dxa"/>
          </w:tcMar>
        </w:tcPr>
        <w:p w14:paraId="66984113" w14:textId="51E5D680" w:rsidR="008B24C4" w:rsidRPr="00D13BF9" w:rsidRDefault="00920755" w:rsidP="006F0D41">
          <w:pPr>
            <w:pStyle w:val="HeaderOdd"/>
          </w:pPr>
          <w:fldSimple w:instr="TITLE   \* MERGEFORMAT">
            <w:r>
              <w:t>Portfolio Budget Statements</w:t>
            </w:r>
          </w:fldSimple>
          <w:r w:rsidR="008B24C4" w:rsidRPr="00081542">
            <w:t> | </w:t>
          </w:r>
          <w:r w:rsidR="008B24C4" w:rsidRPr="002709D2">
            <w:rPr>
              <w:noProof/>
              <w:position w:val="-8"/>
              <w:vertAlign w:val="subscript"/>
            </w:rPr>
            <w:drawing>
              <wp:inline distT="0" distB="0" distL="0" distR="0" wp14:anchorId="6E2E5581" wp14:editId="02932450">
                <wp:extent cx="859038" cy="197999"/>
                <wp:effectExtent l="0" t="0" r="0" b="0"/>
                <wp:docPr id="50454875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3943F886" w14:textId="77777777" w:rsidR="008B24C4" w:rsidRPr="006F7660" w:rsidRDefault="008B24C4" w:rsidP="006F0D41">
    <w:pPr>
      <w:pStyle w:val="GhostLine"/>
    </w:pPr>
  </w:p>
  <w:p w14:paraId="7FA1FAD4" w14:textId="77777777" w:rsidR="008B24C4" w:rsidRPr="00CD706E" w:rsidRDefault="008B24C4" w:rsidP="006F0D41">
    <w:pPr>
      <w:pStyle w:val="GhostLine"/>
    </w:pPr>
  </w:p>
  <w:p w14:paraId="0420822B" w14:textId="77777777" w:rsidR="008B24C4" w:rsidRPr="0049200C" w:rsidRDefault="008B24C4" w:rsidP="00FD522D">
    <w:pPr>
      <w:pStyle w:val="HeaderOdd"/>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2C0F0" w14:textId="77777777" w:rsidR="008B24C4" w:rsidRPr="006F7660" w:rsidRDefault="008B24C4" w:rsidP="006F0D41">
    <w:pPr>
      <w:pStyle w:val="GhostLine"/>
    </w:pPr>
  </w:p>
  <w:p w14:paraId="53E0948C" w14:textId="77777777" w:rsidR="008B24C4" w:rsidRPr="00CD706E" w:rsidRDefault="008B24C4" w:rsidP="006F0D41">
    <w:pPr>
      <w:pStyle w:val="GhostLine"/>
    </w:pPr>
  </w:p>
  <w:p w14:paraId="69AFA522" w14:textId="77777777" w:rsidR="008B24C4" w:rsidRPr="0049200C" w:rsidRDefault="008B24C4" w:rsidP="00FD522D">
    <w:pPr>
      <w:pStyle w:val="HeaderOdd"/>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4350C0" w:rsidRPr="00561D85" w14:paraId="3BF0900E" w14:textId="77777777" w:rsidTr="00DA54C8">
      <w:trPr>
        <w:trHeight w:hRule="exact" w:val="340"/>
      </w:trPr>
      <w:tc>
        <w:tcPr>
          <w:tcW w:w="7797" w:type="dxa"/>
        </w:tcPr>
        <w:p w14:paraId="59EEDF12" w14:textId="05CEAF66" w:rsidR="004350C0" w:rsidRPr="00561D85" w:rsidRDefault="004350C0" w:rsidP="004350C0">
          <w:pPr>
            <w:pStyle w:val="HeaderEven"/>
          </w:pPr>
          <w:r w:rsidRPr="00561D85">
            <w:rPr>
              <w:noProof/>
              <w:position w:val="-8"/>
            </w:rPr>
            <w:drawing>
              <wp:inline distT="0" distB="0" distL="0" distR="0" wp14:anchorId="3E68760D" wp14:editId="4885A252">
                <wp:extent cx="859038" cy="197999"/>
                <wp:effectExtent l="0" t="0" r="0" b="0"/>
                <wp:docPr id="214217565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4D7C2C2C" w14:textId="77777777" w:rsidR="00B03653" w:rsidRPr="004350C0" w:rsidRDefault="00B03653" w:rsidP="004350C0">
    <w:pPr>
      <w:pStyle w:val="GhostLin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4350C0" w14:paraId="2C5994BD" w14:textId="77777777" w:rsidTr="00DA54C8">
      <w:trPr>
        <w:trHeight w:hRule="exact" w:val="340"/>
      </w:trPr>
      <w:tc>
        <w:tcPr>
          <w:tcW w:w="7797" w:type="dxa"/>
          <w:tcMar>
            <w:left w:w="108" w:type="dxa"/>
            <w:right w:w="108" w:type="dxa"/>
          </w:tcMar>
        </w:tcPr>
        <w:p w14:paraId="7928C6A5" w14:textId="559DEA03" w:rsidR="004350C0" w:rsidRPr="00D13BF9" w:rsidRDefault="00920755" w:rsidP="004350C0">
          <w:pPr>
            <w:pStyle w:val="HeaderOdd"/>
          </w:pPr>
          <w:fldSimple w:instr="TITLE   \* MERGEFORMAT">
            <w:r>
              <w:t>Portfolio Budget Statements</w:t>
            </w:r>
          </w:fldSimple>
          <w:r w:rsidR="004350C0" w:rsidRPr="00081542">
            <w:t> | </w:t>
          </w:r>
          <w:r w:rsidR="004350C0" w:rsidRPr="002709D2">
            <w:rPr>
              <w:noProof/>
              <w:position w:val="-8"/>
              <w:vertAlign w:val="subscript"/>
            </w:rPr>
            <w:drawing>
              <wp:inline distT="0" distB="0" distL="0" distR="0" wp14:anchorId="3B9447CF" wp14:editId="5DEAF33B">
                <wp:extent cx="859038" cy="197999"/>
                <wp:effectExtent l="0" t="0" r="0" b="0"/>
                <wp:docPr id="149383845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03ABE69D" w14:textId="77777777" w:rsidR="004350C0" w:rsidRPr="006F7660" w:rsidRDefault="004350C0" w:rsidP="004350C0">
    <w:pPr>
      <w:pStyle w:val="GhostLine"/>
    </w:pPr>
  </w:p>
  <w:p w14:paraId="74BAC13D" w14:textId="77777777" w:rsidR="004350C0" w:rsidRPr="00CD706E" w:rsidRDefault="004350C0" w:rsidP="004350C0">
    <w:pPr>
      <w:pStyle w:val="GhostLine"/>
    </w:pPr>
  </w:p>
  <w:p w14:paraId="12B9A2CF" w14:textId="77777777" w:rsidR="00B03653" w:rsidRPr="004350C0" w:rsidRDefault="00B03653" w:rsidP="004350C0">
    <w:pPr>
      <w:pStyle w:val="GhostLi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98808" w14:textId="5CD1C094" w:rsidR="00B448F0" w:rsidRPr="00B85CDF" w:rsidRDefault="00B448F0" w:rsidP="00B85CDF">
    <w:pPr>
      <w:pStyle w:val="GhostLin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E1922" w14:textId="77777777" w:rsidR="00001C31" w:rsidRPr="006F7660" w:rsidRDefault="00001C31" w:rsidP="006F0D41">
    <w:pPr>
      <w:pStyle w:val="GhostLine"/>
    </w:pPr>
  </w:p>
  <w:p w14:paraId="0286DDD6" w14:textId="77777777" w:rsidR="00001C31" w:rsidRPr="00CD706E" w:rsidRDefault="00001C31" w:rsidP="006F0D41">
    <w:pPr>
      <w:pStyle w:val="GhostLine"/>
    </w:pPr>
  </w:p>
  <w:p w14:paraId="0AF8FBDD" w14:textId="79366C9B" w:rsidR="00001C31" w:rsidRPr="0049200C" w:rsidRDefault="00920755" w:rsidP="00001C31">
    <w:pPr>
      <w:pStyle w:val="HeaderOdd"/>
    </w:pPr>
    <w:fldSimple w:instr="TITLE   \* MERGEFORMAT">
      <w:r>
        <w:t>Portfolio Budget Statements</w:t>
      </w:r>
    </w:fldSimple>
    <w:r w:rsidR="00001C31" w:rsidRPr="00081542">
      <w:t> | </w:t>
    </w:r>
    <w:r w:rsidR="00001C31" w:rsidRPr="002709D2">
      <w:rPr>
        <w:noProof/>
        <w:position w:val="-8"/>
        <w:vertAlign w:val="subscript"/>
      </w:rPr>
      <w:drawing>
        <wp:inline distT="0" distB="0" distL="0" distR="0" wp14:anchorId="1EC526D1" wp14:editId="0C6EDF3E">
          <wp:extent cx="859038" cy="197999"/>
          <wp:effectExtent l="0" t="0" r="0" b="0"/>
          <wp:docPr id="147290038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4B23F6" w:rsidRPr="00561D85" w14:paraId="67BA0FD0" w14:textId="77777777" w:rsidTr="00816AB2">
      <w:trPr>
        <w:trHeight w:hRule="exact" w:val="340"/>
      </w:trPr>
      <w:tc>
        <w:tcPr>
          <w:tcW w:w="7797" w:type="dxa"/>
        </w:tcPr>
        <w:p w14:paraId="4C11F392" w14:textId="4C515107" w:rsidR="004B23F6" w:rsidRPr="00561D85" w:rsidRDefault="004B23F6" w:rsidP="00561D85">
          <w:pPr>
            <w:pStyle w:val="HeaderEven"/>
          </w:pPr>
          <w:r w:rsidRPr="00561D85">
            <w:rPr>
              <w:noProof/>
              <w:position w:val="-8"/>
            </w:rPr>
            <w:drawing>
              <wp:inline distT="0" distB="0" distL="0" distR="0" wp14:anchorId="054B1334" wp14:editId="2C2C52B6">
                <wp:extent cx="859038" cy="197999"/>
                <wp:effectExtent l="0" t="0" r="0" b="0"/>
                <wp:docPr id="109532932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67FD8E5A" w14:textId="77777777" w:rsidR="004B23F6" w:rsidRPr="00561D85" w:rsidRDefault="004B23F6" w:rsidP="00561D85">
    <w:pPr>
      <w:pStyle w:val="GhostLine"/>
    </w:pPr>
  </w:p>
  <w:p w14:paraId="7227CB82" w14:textId="77777777" w:rsidR="00B03653" w:rsidRPr="004B23F6" w:rsidRDefault="00B03653" w:rsidP="004B23F6">
    <w:pPr>
      <w:pStyle w:val="GhostLin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4B23F6" w14:paraId="1424674A" w14:textId="77777777" w:rsidTr="002F0CB4">
      <w:trPr>
        <w:trHeight w:hRule="exact" w:val="340"/>
      </w:trPr>
      <w:tc>
        <w:tcPr>
          <w:tcW w:w="7797" w:type="dxa"/>
          <w:tcMar>
            <w:left w:w="108" w:type="dxa"/>
            <w:right w:w="108" w:type="dxa"/>
          </w:tcMar>
        </w:tcPr>
        <w:p w14:paraId="4E364C92" w14:textId="63170697" w:rsidR="004B23F6" w:rsidRPr="00D13BF9" w:rsidRDefault="00920755" w:rsidP="006F7660">
          <w:pPr>
            <w:pStyle w:val="HeaderOdd"/>
          </w:pPr>
          <w:fldSimple w:instr="TITLE   \* MERGEFORMAT">
            <w:r>
              <w:t>Portfolio Budget Statements</w:t>
            </w:r>
          </w:fldSimple>
          <w:r w:rsidR="004B23F6" w:rsidRPr="00081542">
            <w:t> | </w:t>
          </w:r>
          <w:r w:rsidR="004B23F6" w:rsidRPr="002709D2">
            <w:rPr>
              <w:noProof/>
              <w:position w:val="-8"/>
              <w:vertAlign w:val="subscript"/>
            </w:rPr>
            <w:drawing>
              <wp:inline distT="0" distB="0" distL="0" distR="0" wp14:anchorId="079C7698" wp14:editId="40D17E2A">
                <wp:extent cx="859038" cy="197999"/>
                <wp:effectExtent l="0" t="0" r="0" b="0"/>
                <wp:docPr id="170183024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10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2942B6E7" w14:textId="77777777" w:rsidR="00B03653" w:rsidRPr="004B23F6" w:rsidRDefault="00B03653" w:rsidP="004B23F6">
    <w:pPr>
      <w:pStyle w:val="GhostLine"/>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4D4D5" w14:textId="77777777" w:rsidR="00B03653" w:rsidRPr="004B23F6" w:rsidRDefault="00B03653" w:rsidP="004B23F6">
    <w:pPr>
      <w:pStyle w:val="GhostLin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474FFA" w:rsidRPr="00561D85" w14:paraId="057BA051" w14:textId="77777777" w:rsidTr="00816AB2">
      <w:trPr>
        <w:trHeight w:hRule="exact" w:val="340"/>
      </w:trPr>
      <w:tc>
        <w:tcPr>
          <w:tcW w:w="7797" w:type="dxa"/>
        </w:tcPr>
        <w:p w14:paraId="7D21670F" w14:textId="3E61FF6D" w:rsidR="00474FFA" w:rsidRPr="00561D85" w:rsidRDefault="00474FFA" w:rsidP="00561D85">
          <w:pPr>
            <w:pStyle w:val="HeaderEven"/>
          </w:pPr>
        </w:p>
      </w:tc>
    </w:tr>
  </w:tbl>
  <w:p w14:paraId="72C1EC42" w14:textId="77777777" w:rsidR="00474FFA" w:rsidRPr="00561D85" w:rsidRDefault="00474FFA" w:rsidP="00561D85">
    <w:pPr>
      <w:pStyle w:val="GhostLine"/>
    </w:pPr>
  </w:p>
  <w:p w14:paraId="14919FF5" w14:textId="77777777" w:rsidR="00474FFA" w:rsidRPr="004B23F6" w:rsidRDefault="00474FFA" w:rsidP="004B23F6">
    <w:pPr>
      <w:pStyle w:val="GhostLin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rsidRPr="00561D85" w14:paraId="738606B4" w14:textId="77777777" w:rsidTr="00DA54C8">
      <w:trPr>
        <w:trHeight w:hRule="exact" w:val="340"/>
      </w:trPr>
      <w:tc>
        <w:tcPr>
          <w:tcW w:w="7797" w:type="dxa"/>
        </w:tcPr>
        <w:p w14:paraId="6EEC1F9F" w14:textId="0DD17D95" w:rsidR="00E7366F" w:rsidRPr="00561D85" w:rsidRDefault="00E7366F" w:rsidP="004350C0">
          <w:pPr>
            <w:pStyle w:val="HeaderEven"/>
          </w:pPr>
          <w:r w:rsidRPr="00561D85">
            <w:rPr>
              <w:noProof/>
              <w:position w:val="-8"/>
            </w:rPr>
            <w:drawing>
              <wp:inline distT="0" distB="0" distL="0" distR="0" wp14:anchorId="6C315E26" wp14:editId="3CF5CA72">
                <wp:extent cx="859038" cy="197999"/>
                <wp:effectExtent l="0" t="0" r="0" b="0"/>
                <wp:docPr id="8188683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77BC0F9D" w14:textId="77777777" w:rsidR="00E7366F" w:rsidRPr="004350C0" w:rsidRDefault="00E7366F" w:rsidP="004350C0">
    <w:pPr>
      <w:pStyle w:val="GhostLin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14:paraId="6F0F81F9" w14:textId="77777777" w:rsidTr="00DA54C8">
      <w:trPr>
        <w:trHeight w:hRule="exact" w:val="340"/>
      </w:trPr>
      <w:tc>
        <w:tcPr>
          <w:tcW w:w="7797" w:type="dxa"/>
          <w:tcMar>
            <w:left w:w="108" w:type="dxa"/>
            <w:right w:w="108" w:type="dxa"/>
          </w:tcMar>
        </w:tcPr>
        <w:p w14:paraId="3C644DF5" w14:textId="7007B7D7" w:rsidR="00E7366F" w:rsidRPr="00D13BF9" w:rsidRDefault="00920755" w:rsidP="004350C0">
          <w:pPr>
            <w:pStyle w:val="HeaderOdd"/>
          </w:pPr>
          <w:fldSimple w:instr="TITLE   \* MERGEFORMAT">
            <w:r>
              <w:t>Portfolio Budget Statements</w:t>
            </w:r>
          </w:fldSimple>
          <w:r w:rsidR="00E7366F" w:rsidRPr="00081542">
            <w:t> | </w:t>
          </w:r>
          <w:r w:rsidR="00E7366F" w:rsidRPr="002709D2">
            <w:rPr>
              <w:noProof/>
              <w:position w:val="-8"/>
              <w:vertAlign w:val="subscript"/>
            </w:rPr>
            <w:drawing>
              <wp:inline distT="0" distB="0" distL="0" distR="0" wp14:anchorId="722410FF" wp14:editId="6CAD057D">
                <wp:extent cx="859038" cy="197999"/>
                <wp:effectExtent l="0" t="0" r="0" b="0"/>
                <wp:docPr id="43138272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40FA22B8" w14:textId="77777777" w:rsidR="00E7366F" w:rsidRPr="006F7660" w:rsidRDefault="00E7366F" w:rsidP="004350C0">
    <w:pPr>
      <w:pStyle w:val="GhostLine"/>
    </w:pPr>
  </w:p>
  <w:p w14:paraId="5712D106" w14:textId="77777777" w:rsidR="00E7366F" w:rsidRPr="00CD706E" w:rsidRDefault="00E7366F" w:rsidP="004350C0">
    <w:pPr>
      <w:pStyle w:val="GhostLine"/>
    </w:pPr>
  </w:p>
  <w:p w14:paraId="07E9A767" w14:textId="77777777" w:rsidR="00E7366F" w:rsidRPr="004350C0" w:rsidRDefault="00E7366F" w:rsidP="004350C0">
    <w:pPr>
      <w:pStyle w:val="GhostLin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D5E0EF" w14:textId="56C3043B" w:rsidR="00030540" w:rsidRPr="00D13BF9" w:rsidRDefault="00920755" w:rsidP="00030540">
    <w:pPr>
      <w:pStyle w:val="HeaderOdd"/>
    </w:pPr>
    <w:fldSimple w:instr="TITLE   \* MERGEFORMAT">
      <w:r>
        <w:t>Portfolio Budget Statements</w:t>
      </w:r>
    </w:fldSimple>
    <w:r w:rsidR="00030540" w:rsidRPr="00081542">
      <w:t> | </w:t>
    </w:r>
    <w:r w:rsidR="00030540" w:rsidRPr="002709D2">
      <w:rPr>
        <w:noProof/>
        <w:position w:val="-8"/>
        <w:vertAlign w:val="subscript"/>
      </w:rPr>
      <w:drawing>
        <wp:inline distT="0" distB="0" distL="0" distR="0" wp14:anchorId="22230A37" wp14:editId="354BAE35">
          <wp:extent cx="859038" cy="197999"/>
          <wp:effectExtent l="0" t="0" r="0" b="0"/>
          <wp:docPr id="119762400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p w14:paraId="3ECDF0B4" w14:textId="77777777" w:rsidR="00030540" w:rsidRPr="004B23F6" w:rsidRDefault="00030540" w:rsidP="00030540">
    <w:pPr>
      <w:pStyle w:val="GhostLin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7632F" w14:textId="77777777" w:rsidR="00B96BB1" w:rsidRPr="004B23F6" w:rsidRDefault="00B96BB1" w:rsidP="00030540">
    <w:pPr>
      <w:pStyle w:val="GhostLin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rsidRPr="00561D85" w14:paraId="3369A1AD" w14:textId="77777777" w:rsidTr="00DA54C8">
      <w:trPr>
        <w:trHeight w:hRule="exact" w:val="340"/>
      </w:trPr>
      <w:tc>
        <w:tcPr>
          <w:tcW w:w="7797" w:type="dxa"/>
        </w:tcPr>
        <w:p w14:paraId="08F829D6" w14:textId="14CF4148" w:rsidR="00E7366F" w:rsidRPr="00561D85" w:rsidRDefault="00E7366F" w:rsidP="004350C0">
          <w:pPr>
            <w:pStyle w:val="HeaderEven"/>
          </w:pPr>
          <w:r w:rsidRPr="00561D85">
            <w:rPr>
              <w:noProof/>
              <w:position w:val="-8"/>
            </w:rPr>
            <w:drawing>
              <wp:inline distT="0" distB="0" distL="0" distR="0" wp14:anchorId="586597A7" wp14:editId="4C77C639">
                <wp:extent cx="859038" cy="197999"/>
                <wp:effectExtent l="0" t="0" r="0" b="0"/>
                <wp:docPr id="142221339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766C46C1" w14:textId="77777777" w:rsidR="00E7366F" w:rsidRPr="004350C0" w:rsidRDefault="00E7366F" w:rsidP="004350C0">
    <w:pPr>
      <w:pStyle w:val="GhostLi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9AB53" w14:textId="77777777" w:rsidR="003C4CA2" w:rsidRPr="003A12AA" w:rsidRDefault="003C4CA2" w:rsidP="00824D30">
    <w:pPr>
      <w:pStyle w:val="Header"/>
      <w:jc w:val="center"/>
    </w:pPr>
    <w:r w:rsidRPr="003A12AA">
      <w:rPr>
        <w:noProof/>
      </w:rPr>
      <w:drawing>
        <wp:inline distT="0" distB="0" distL="0" distR="0" wp14:anchorId="759E6C49" wp14:editId="59AD2441">
          <wp:extent cx="877570" cy="691515"/>
          <wp:effectExtent l="0" t="0" r="0" b="0"/>
          <wp:docPr id="514492511" name="Picture 514492511" descr="Commonwealth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06464" name="Picture 1206706464" descr="Commonwealth Coat of Arm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7570" cy="691515"/>
                  </a:xfrm>
                  <a:prstGeom prst="rect">
                    <a:avLst/>
                  </a:prstGeom>
                  <a:noFill/>
                  <a:ln>
                    <a:noFill/>
                  </a:ln>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14:paraId="4E98E64F" w14:textId="77777777" w:rsidTr="00DA54C8">
      <w:trPr>
        <w:trHeight w:hRule="exact" w:val="340"/>
      </w:trPr>
      <w:tc>
        <w:tcPr>
          <w:tcW w:w="7797" w:type="dxa"/>
          <w:tcMar>
            <w:left w:w="108" w:type="dxa"/>
            <w:right w:w="108" w:type="dxa"/>
          </w:tcMar>
        </w:tcPr>
        <w:p w14:paraId="29FC4968" w14:textId="499BF762" w:rsidR="00E7366F" w:rsidRPr="00D13BF9" w:rsidRDefault="00920755" w:rsidP="004350C0">
          <w:pPr>
            <w:pStyle w:val="HeaderOdd"/>
          </w:pPr>
          <w:fldSimple w:instr="TITLE   \* MERGEFORMAT">
            <w:r>
              <w:t>Portfolio Budget Statements</w:t>
            </w:r>
          </w:fldSimple>
          <w:r w:rsidR="00E7366F" w:rsidRPr="00081542">
            <w:t> | </w:t>
          </w:r>
          <w:r w:rsidR="00E7366F" w:rsidRPr="002709D2">
            <w:rPr>
              <w:noProof/>
              <w:position w:val="-8"/>
              <w:vertAlign w:val="subscript"/>
            </w:rPr>
            <w:drawing>
              <wp:inline distT="0" distB="0" distL="0" distR="0" wp14:anchorId="13614514" wp14:editId="15A3BE46">
                <wp:extent cx="859038" cy="197999"/>
                <wp:effectExtent l="0" t="0" r="0" b="0"/>
                <wp:docPr id="50657620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5AC84222" w14:textId="77777777" w:rsidR="00E7366F" w:rsidRPr="006F7660" w:rsidRDefault="00E7366F" w:rsidP="004350C0">
    <w:pPr>
      <w:pStyle w:val="GhostLine"/>
    </w:pPr>
  </w:p>
  <w:p w14:paraId="4F9DFF99" w14:textId="77777777" w:rsidR="00E7366F" w:rsidRPr="00CD706E" w:rsidRDefault="00E7366F" w:rsidP="004350C0">
    <w:pPr>
      <w:pStyle w:val="GhostLine"/>
    </w:pPr>
  </w:p>
  <w:p w14:paraId="7B6363F9" w14:textId="77777777" w:rsidR="00E7366F" w:rsidRPr="004350C0" w:rsidRDefault="00E7366F" w:rsidP="004350C0">
    <w:pPr>
      <w:pStyle w:val="GhostLin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053D0" w14:textId="4C44A348" w:rsidR="00B96BB1" w:rsidRPr="00D13BF9" w:rsidRDefault="00920755" w:rsidP="00030540">
    <w:pPr>
      <w:pStyle w:val="HeaderOdd"/>
    </w:pPr>
    <w:fldSimple w:instr="TITLE   \* MERGEFORMAT">
      <w:r>
        <w:t>Portfolio Budget Statements</w:t>
      </w:r>
    </w:fldSimple>
    <w:r w:rsidR="00B96BB1" w:rsidRPr="00081542">
      <w:t> | </w:t>
    </w:r>
    <w:r w:rsidR="00B96BB1" w:rsidRPr="002709D2">
      <w:rPr>
        <w:noProof/>
        <w:position w:val="-8"/>
        <w:vertAlign w:val="subscript"/>
      </w:rPr>
      <w:drawing>
        <wp:inline distT="0" distB="0" distL="0" distR="0" wp14:anchorId="6010A8EA" wp14:editId="7A2CFBAF">
          <wp:extent cx="859038" cy="197999"/>
          <wp:effectExtent l="0" t="0" r="0" b="0"/>
          <wp:docPr id="133396169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p w14:paraId="2D4C3818" w14:textId="77777777" w:rsidR="00B96BB1" w:rsidRPr="004B23F6" w:rsidRDefault="00B96BB1" w:rsidP="00030540">
    <w:pPr>
      <w:pStyle w:val="GhostLin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5AB89" w14:textId="77777777" w:rsidR="009D7FF3" w:rsidRPr="004B23F6" w:rsidRDefault="009D7FF3" w:rsidP="00030540">
    <w:pPr>
      <w:pStyle w:val="GhostLin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rsidRPr="00561D85" w14:paraId="089AB4C1" w14:textId="77777777" w:rsidTr="00DA54C8">
      <w:trPr>
        <w:trHeight w:hRule="exact" w:val="340"/>
      </w:trPr>
      <w:tc>
        <w:tcPr>
          <w:tcW w:w="7797" w:type="dxa"/>
        </w:tcPr>
        <w:p w14:paraId="0F13E090" w14:textId="525EB344" w:rsidR="00E7366F" w:rsidRPr="00561D85" w:rsidRDefault="00E7366F" w:rsidP="004350C0">
          <w:pPr>
            <w:pStyle w:val="HeaderEven"/>
          </w:pPr>
          <w:r w:rsidRPr="00561D85">
            <w:rPr>
              <w:noProof/>
              <w:position w:val="-8"/>
            </w:rPr>
            <w:drawing>
              <wp:inline distT="0" distB="0" distL="0" distR="0" wp14:anchorId="525885A0" wp14:editId="290B1B86">
                <wp:extent cx="859038" cy="197999"/>
                <wp:effectExtent l="0" t="0" r="0" b="0"/>
                <wp:docPr id="1955182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32150BAF" w14:textId="77777777" w:rsidR="00E7366F" w:rsidRPr="004350C0" w:rsidRDefault="00E7366F" w:rsidP="004350C0">
    <w:pPr>
      <w:pStyle w:val="GhostLin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14:paraId="6A7FCF95" w14:textId="77777777" w:rsidTr="00DA54C8">
      <w:trPr>
        <w:trHeight w:hRule="exact" w:val="340"/>
      </w:trPr>
      <w:tc>
        <w:tcPr>
          <w:tcW w:w="7797" w:type="dxa"/>
          <w:tcMar>
            <w:left w:w="108" w:type="dxa"/>
            <w:right w:w="108" w:type="dxa"/>
          </w:tcMar>
        </w:tcPr>
        <w:p w14:paraId="2A2BB9B3" w14:textId="02470A1F" w:rsidR="00E7366F" w:rsidRPr="00D13BF9" w:rsidRDefault="00920755" w:rsidP="004350C0">
          <w:pPr>
            <w:pStyle w:val="HeaderOdd"/>
          </w:pPr>
          <w:fldSimple w:instr="TITLE   \* MERGEFORMAT">
            <w:r>
              <w:t>Portfolio Budget Statements</w:t>
            </w:r>
          </w:fldSimple>
          <w:r w:rsidR="00E7366F" w:rsidRPr="00081542">
            <w:t> | </w:t>
          </w:r>
          <w:r w:rsidR="00E7366F" w:rsidRPr="002709D2">
            <w:rPr>
              <w:noProof/>
              <w:position w:val="-8"/>
              <w:vertAlign w:val="subscript"/>
            </w:rPr>
            <w:drawing>
              <wp:inline distT="0" distB="0" distL="0" distR="0" wp14:anchorId="410B525B" wp14:editId="6A63513C">
                <wp:extent cx="859038" cy="197999"/>
                <wp:effectExtent l="0" t="0" r="0" b="0"/>
                <wp:docPr id="109482957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444B72E0" w14:textId="77777777" w:rsidR="00E7366F" w:rsidRPr="006F7660" w:rsidRDefault="00E7366F" w:rsidP="004350C0">
    <w:pPr>
      <w:pStyle w:val="GhostLine"/>
    </w:pPr>
  </w:p>
  <w:p w14:paraId="1D82DCDC" w14:textId="77777777" w:rsidR="00E7366F" w:rsidRPr="00CD706E" w:rsidRDefault="00E7366F" w:rsidP="004350C0">
    <w:pPr>
      <w:pStyle w:val="GhostLine"/>
    </w:pPr>
  </w:p>
  <w:p w14:paraId="405FA376" w14:textId="77777777" w:rsidR="00E7366F" w:rsidRPr="004350C0" w:rsidRDefault="00E7366F" w:rsidP="004350C0">
    <w:pPr>
      <w:pStyle w:val="GhostLine"/>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DB9CF" w14:textId="1E03EA4F" w:rsidR="009D7FF3" w:rsidRPr="00D13BF9" w:rsidRDefault="00920755" w:rsidP="00030540">
    <w:pPr>
      <w:pStyle w:val="HeaderOdd"/>
    </w:pPr>
    <w:fldSimple w:instr="TITLE   \* MERGEFORMAT">
      <w:r>
        <w:t>Portfolio Budget Statements</w:t>
      </w:r>
    </w:fldSimple>
    <w:r w:rsidR="009D7FF3" w:rsidRPr="00081542">
      <w:t> | </w:t>
    </w:r>
    <w:r w:rsidR="009D7FF3" w:rsidRPr="002709D2">
      <w:rPr>
        <w:noProof/>
        <w:position w:val="-8"/>
        <w:vertAlign w:val="subscript"/>
      </w:rPr>
      <w:drawing>
        <wp:inline distT="0" distB="0" distL="0" distR="0" wp14:anchorId="2F41637A" wp14:editId="7A91FFC1">
          <wp:extent cx="859038" cy="197999"/>
          <wp:effectExtent l="0" t="0" r="0" b="0"/>
          <wp:docPr id="93797908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p w14:paraId="6AADF949" w14:textId="77777777" w:rsidR="009D7FF3" w:rsidRPr="004B23F6" w:rsidRDefault="009D7FF3" w:rsidP="00030540">
    <w:pPr>
      <w:pStyle w:val="GhostLin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E810F" w14:textId="77777777" w:rsidR="00506EE5" w:rsidRPr="004B23F6" w:rsidRDefault="00506EE5" w:rsidP="00030540">
    <w:pPr>
      <w:pStyle w:val="GhostLine"/>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rsidRPr="00561D85" w14:paraId="41F06CE9" w14:textId="77777777" w:rsidTr="00DA54C8">
      <w:trPr>
        <w:trHeight w:hRule="exact" w:val="340"/>
      </w:trPr>
      <w:tc>
        <w:tcPr>
          <w:tcW w:w="7797" w:type="dxa"/>
        </w:tcPr>
        <w:p w14:paraId="60F8C026" w14:textId="2819C5F8" w:rsidR="00E7366F" w:rsidRPr="00561D85" w:rsidRDefault="00E7366F" w:rsidP="004350C0">
          <w:pPr>
            <w:pStyle w:val="HeaderEven"/>
          </w:pPr>
          <w:r w:rsidRPr="00561D85">
            <w:rPr>
              <w:noProof/>
              <w:position w:val="-8"/>
            </w:rPr>
            <w:drawing>
              <wp:inline distT="0" distB="0" distL="0" distR="0" wp14:anchorId="2851B7DA" wp14:editId="6206FB3D">
                <wp:extent cx="859038" cy="197999"/>
                <wp:effectExtent l="0" t="0" r="0" b="0"/>
                <wp:docPr id="32564566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3F8F1131" w14:textId="77777777" w:rsidR="00E7366F" w:rsidRPr="004350C0" w:rsidRDefault="00E7366F" w:rsidP="004350C0">
    <w:pPr>
      <w:pStyle w:val="GhostLine"/>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E7366F" w14:paraId="1A76BFF1" w14:textId="77777777" w:rsidTr="00DA54C8">
      <w:trPr>
        <w:trHeight w:hRule="exact" w:val="340"/>
      </w:trPr>
      <w:tc>
        <w:tcPr>
          <w:tcW w:w="7797" w:type="dxa"/>
          <w:tcMar>
            <w:left w:w="108" w:type="dxa"/>
            <w:right w:w="108" w:type="dxa"/>
          </w:tcMar>
        </w:tcPr>
        <w:p w14:paraId="40E13338" w14:textId="6127E3CB" w:rsidR="00E7366F" w:rsidRPr="00D13BF9" w:rsidRDefault="00920755" w:rsidP="004350C0">
          <w:pPr>
            <w:pStyle w:val="HeaderOdd"/>
          </w:pPr>
          <w:fldSimple w:instr="TITLE   \* MERGEFORMAT">
            <w:r>
              <w:t>Portfolio Budget Statements</w:t>
            </w:r>
          </w:fldSimple>
          <w:r w:rsidR="00E7366F" w:rsidRPr="00081542">
            <w:t> | </w:t>
          </w:r>
          <w:r w:rsidR="00E7366F" w:rsidRPr="002709D2">
            <w:rPr>
              <w:noProof/>
              <w:position w:val="-8"/>
              <w:vertAlign w:val="subscript"/>
            </w:rPr>
            <w:drawing>
              <wp:inline distT="0" distB="0" distL="0" distR="0" wp14:anchorId="3F1ABA24" wp14:editId="7F63CEE4">
                <wp:extent cx="859038" cy="197999"/>
                <wp:effectExtent l="0" t="0" r="0" b="0"/>
                <wp:docPr id="83512593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58AE36CC" w14:textId="77777777" w:rsidR="00E7366F" w:rsidRPr="006F7660" w:rsidRDefault="00E7366F" w:rsidP="004350C0">
    <w:pPr>
      <w:pStyle w:val="GhostLine"/>
    </w:pPr>
  </w:p>
  <w:p w14:paraId="2E791D6E" w14:textId="77777777" w:rsidR="00E7366F" w:rsidRPr="00CD706E" w:rsidRDefault="00E7366F" w:rsidP="004350C0">
    <w:pPr>
      <w:pStyle w:val="GhostLine"/>
    </w:pPr>
  </w:p>
  <w:p w14:paraId="776ADF52" w14:textId="77777777" w:rsidR="00E7366F" w:rsidRPr="004350C0" w:rsidRDefault="00E7366F" w:rsidP="004350C0">
    <w:pPr>
      <w:pStyle w:val="GhostLine"/>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8607F" w14:textId="03375C29" w:rsidR="00506EE5" w:rsidRPr="00D13BF9" w:rsidRDefault="00920755" w:rsidP="00030540">
    <w:pPr>
      <w:pStyle w:val="HeaderOdd"/>
    </w:pPr>
    <w:fldSimple w:instr="TITLE   \* MERGEFORMAT">
      <w:r>
        <w:t>Portfolio Budget Statements</w:t>
      </w:r>
    </w:fldSimple>
    <w:r w:rsidR="00506EE5" w:rsidRPr="00081542">
      <w:t> | </w:t>
    </w:r>
    <w:r w:rsidR="00506EE5" w:rsidRPr="002709D2">
      <w:rPr>
        <w:noProof/>
        <w:position w:val="-8"/>
        <w:vertAlign w:val="subscript"/>
      </w:rPr>
      <w:drawing>
        <wp:inline distT="0" distB="0" distL="0" distR="0" wp14:anchorId="7C02273E" wp14:editId="79A876B2">
          <wp:extent cx="859038" cy="197999"/>
          <wp:effectExtent l="0" t="0" r="0" b="0"/>
          <wp:docPr id="137634634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p w14:paraId="10FAAE6C" w14:textId="77777777" w:rsidR="00506EE5" w:rsidRPr="004B23F6" w:rsidRDefault="00506EE5" w:rsidP="00030540">
    <w:pPr>
      <w:pStyle w:val="GhostLi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8A12B" w14:textId="1B57067C" w:rsidR="00B03653" w:rsidRDefault="00B03653" w:rsidP="00B85CDF">
    <w:pPr>
      <w:pStyle w:val="GhostLi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0B97B" w14:textId="5CE92C96" w:rsidR="00B03653" w:rsidRDefault="00B03653" w:rsidP="00CD706E">
    <w:pPr>
      <w:pStyle w:val="GhostLi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1D173" w14:textId="77777777" w:rsidR="00B03653" w:rsidRPr="00B448F0" w:rsidRDefault="00B03653" w:rsidP="00B448F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B418D" w14:textId="77777777" w:rsidR="00B03653" w:rsidRPr="0049200C" w:rsidRDefault="00B03653" w:rsidP="000C4F54">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8731ED" w:rsidRPr="00561D85" w14:paraId="0A738801" w14:textId="77777777" w:rsidTr="00816AB2">
      <w:trPr>
        <w:trHeight w:hRule="exact" w:val="340"/>
      </w:trPr>
      <w:tc>
        <w:tcPr>
          <w:tcW w:w="7797" w:type="dxa"/>
        </w:tcPr>
        <w:p w14:paraId="2CC130A2" w14:textId="01C2DB48" w:rsidR="008731ED" w:rsidRPr="00561D85" w:rsidRDefault="008731ED" w:rsidP="00561D85">
          <w:pPr>
            <w:pStyle w:val="HeaderEven"/>
          </w:pPr>
          <w:r w:rsidRPr="00561D85">
            <w:rPr>
              <w:noProof/>
              <w:position w:val="-8"/>
            </w:rPr>
            <w:drawing>
              <wp:inline distT="0" distB="0" distL="0" distR="0" wp14:anchorId="2DA30F66" wp14:editId="639293B8">
                <wp:extent cx="859038" cy="197999"/>
                <wp:effectExtent l="0" t="0" r="0" b="0"/>
                <wp:docPr id="206792153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TITLE   \* MERGEFORMAT">
            <w:r w:rsidR="00920755">
              <w:t>Portfolio Budget Statements</w:t>
            </w:r>
          </w:fldSimple>
        </w:p>
      </w:tc>
    </w:tr>
  </w:tbl>
  <w:p w14:paraId="0D3536FA" w14:textId="77777777" w:rsidR="008731ED" w:rsidRPr="00561D85" w:rsidRDefault="008731ED" w:rsidP="00561D85">
    <w:pPr>
      <w:pStyle w:val="GhostLine"/>
    </w:pPr>
  </w:p>
  <w:p w14:paraId="4D8AD987" w14:textId="77777777" w:rsidR="008731ED" w:rsidRPr="0066112F" w:rsidRDefault="008731ED" w:rsidP="009F3F75">
    <w:pPr>
      <w:pStyle w:val="GhostLin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8731ED" w14:paraId="0D774FD9" w14:textId="77777777" w:rsidTr="002F0CB4">
      <w:trPr>
        <w:trHeight w:hRule="exact" w:val="340"/>
      </w:trPr>
      <w:tc>
        <w:tcPr>
          <w:tcW w:w="7797" w:type="dxa"/>
          <w:tcMar>
            <w:left w:w="108" w:type="dxa"/>
            <w:right w:w="108" w:type="dxa"/>
          </w:tcMar>
        </w:tcPr>
        <w:p w14:paraId="0939E79E" w14:textId="0FDA6C32" w:rsidR="008731ED" w:rsidRPr="00D13BF9" w:rsidRDefault="00920755" w:rsidP="006F7660">
          <w:pPr>
            <w:pStyle w:val="HeaderOdd"/>
          </w:pPr>
          <w:fldSimple w:instr="TITLE   \* MERGEFORMAT">
            <w:r>
              <w:t>Portfolio Budget Statements</w:t>
            </w:r>
          </w:fldSimple>
          <w:r w:rsidR="008731ED" w:rsidRPr="00081542">
            <w:t> | </w:t>
          </w:r>
          <w:r w:rsidR="008731ED" w:rsidRPr="002709D2">
            <w:rPr>
              <w:noProof/>
              <w:position w:val="-8"/>
              <w:vertAlign w:val="subscript"/>
            </w:rPr>
            <w:drawing>
              <wp:inline distT="0" distB="0" distL="0" distR="0" wp14:anchorId="053551BA" wp14:editId="698CF721">
                <wp:extent cx="859038" cy="197999"/>
                <wp:effectExtent l="0" t="0" r="0" b="0"/>
                <wp:docPr id="1307552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353EFB32" w14:textId="77777777" w:rsidR="008731ED" w:rsidRPr="006F7660" w:rsidRDefault="008731ED" w:rsidP="006F7660">
    <w:pPr>
      <w:pStyle w:val="Ghost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00658"/>
    <w:multiLevelType w:val="multilevel"/>
    <w:tmpl w:val="3DDEE1B8"/>
    <w:lvl w:ilvl="0">
      <w:start w:val="1"/>
      <w:numFmt w:val="bullet"/>
      <w:lvlText w:val=""/>
      <w:lvlJc w:val="left"/>
      <w:pPr>
        <w:tabs>
          <w:tab w:val="num" w:pos="1058"/>
        </w:tabs>
        <w:ind w:left="1058" w:hanging="360"/>
      </w:pPr>
      <w:rPr>
        <w:rFonts w:ascii="Symbol" w:hAnsi="Symbol" w:hint="default"/>
        <w:color w:val="auto"/>
        <w:sz w:val="20"/>
      </w:rPr>
    </w:lvl>
    <w:lvl w:ilvl="1">
      <w:start w:val="1"/>
      <w:numFmt w:val="bullet"/>
      <w:lvlText w:val=""/>
      <w:lvlJc w:val="left"/>
      <w:pPr>
        <w:tabs>
          <w:tab w:val="num" w:pos="1778"/>
        </w:tabs>
        <w:ind w:left="1778" w:hanging="360"/>
      </w:pPr>
      <w:rPr>
        <w:rFonts w:ascii="Symbol" w:hAnsi="Symbol" w:hint="default"/>
        <w:sz w:val="20"/>
      </w:rPr>
    </w:lvl>
    <w:lvl w:ilvl="2">
      <w:start w:val="1"/>
      <w:numFmt w:val="bullet"/>
      <w:lvlText w:val=""/>
      <w:lvlJc w:val="left"/>
      <w:pPr>
        <w:tabs>
          <w:tab w:val="num" w:pos="2498"/>
        </w:tabs>
        <w:ind w:left="2498" w:hanging="360"/>
      </w:pPr>
      <w:rPr>
        <w:rFonts w:ascii="Symbol" w:hAnsi="Symbol" w:hint="default"/>
        <w:sz w:val="20"/>
      </w:rPr>
    </w:lvl>
    <w:lvl w:ilvl="3">
      <w:start w:val="1"/>
      <w:numFmt w:val="bullet"/>
      <w:lvlText w:val=""/>
      <w:lvlJc w:val="left"/>
      <w:pPr>
        <w:tabs>
          <w:tab w:val="num" w:pos="3218"/>
        </w:tabs>
        <w:ind w:left="3218" w:hanging="360"/>
      </w:pPr>
      <w:rPr>
        <w:rFonts w:ascii="Symbol" w:hAnsi="Symbol" w:hint="default"/>
        <w:sz w:val="20"/>
      </w:rPr>
    </w:lvl>
    <w:lvl w:ilvl="4">
      <w:start w:val="1"/>
      <w:numFmt w:val="bullet"/>
      <w:lvlText w:val=""/>
      <w:lvlJc w:val="left"/>
      <w:pPr>
        <w:tabs>
          <w:tab w:val="num" w:pos="3938"/>
        </w:tabs>
        <w:ind w:left="3938" w:hanging="360"/>
      </w:pPr>
      <w:rPr>
        <w:rFonts w:ascii="Symbol" w:hAnsi="Symbol" w:hint="default"/>
        <w:sz w:val="20"/>
      </w:rPr>
    </w:lvl>
    <w:lvl w:ilvl="5">
      <w:start w:val="1"/>
      <w:numFmt w:val="bullet"/>
      <w:lvlText w:val=""/>
      <w:lvlJc w:val="left"/>
      <w:pPr>
        <w:tabs>
          <w:tab w:val="num" w:pos="4658"/>
        </w:tabs>
        <w:ind w:left="4658" w:hanging="360"/>
      </w:pPr>
      <w:rPr>
        <w:rFonts w:ascii="Symbol" w:hAnsi="Symbol" w:hint="default"/>
        <w:sz w:val="20"/>
      </w:rPr>
    </w:lvl>
    <w:lvl w:ilvl="6">
      <w:start w:val="1"/>
      <w:numFmt w:val="bullet"/>
      <w:lvlText w:val=""/>
      <w:lvlJc w:val="left"/>
      <w:pPr>
        <w:tabs>
          <w:tab w:val="num" w:pos="5378"/>
        </w:tabs>
        <w:ind w:left="5378" w:hanging="360"/>
      </w:pPr>
      <w:rPr>
        <w:rFonts w:ascii="Symbol" w:hAnsi="Symbol" w:hint="default"/>
        <w:sz w:val="20"/>
      </w:rPr>
    </w:lvl>
    <w:lvl w:ilvl="7">
      <w:start w:val="1"/>
      <w:numFmt w:val="bullet"/>
      <w:lvlText w:val=""/>
      <w:lvlJc w:val="left"/>
      <w:pPr>
        <w:tabs>
          <w:tab w:val="num" w:pos="6098"/>
        </w:tabs>
        <w:ind w:left="6098" w:hanging="360"/>
      </w:pPr>
      <w:rPr>
        <w:rFonts w:ascii="Symbol" w:hAnsi="Symbol" w:hint="default"/>
        <w:sz w:val="20"/>
      </w:rPr>
    </w:lvl>
    <w:lvl w:ilvl="8">
      <w:start w:val="1"/>
      <w:numFmt w:val="bullet"/>
      <w:lvlText w:val=""/>
      <w:lvlJc w:val="left"/>
      <w:pPr>
        <w:tabs>
          <w:tab w:val="num" w:pos="6818"/>
        </w:tabs>
        <w:ind w:left="6818" w:hanging="360"/>
      </w:pPr>
      <w:rPr>
        <w:rFonts w:ascii="Symbol" w:hAnsi="Symbol" w:hint="default"/>
        <w:sz w:val="20"/>
      </w:rPr>
    </w:lvl>
  </w:abstractNum>
  <w:abstractNum w:abstractNumId="1"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 w15:restartNumberingAfterBreak="0">
    <w:nsid w:val="0F607D3B"/>
    <w:multiLevelType w:val="hybridMultilevel"/>
    <w:tmpl w:val="6F660E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4" w15:restartNumberingAfterBreak="0">
    <w:nsid w:val="13FB339D"/>
    <w:multiLevelType w:val="hybridMultilevel"/>
    <w:tmpl w:val="02107070"/>
    <w:lvl w:ilvl="0" w:tplc="EFBCA0A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185843"/>
    <w:multiLevelType w:val="multilevel"/>
    <w:tmpl w:val="9F449486"/>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7C27E5E"/>
    <w:multiLevelType w:val="hybridMultilevel"/>
    <w:tmpl w:val="6D68D15C"/>
    <w:lvl w:ilvl="0" w:tplc="460CC8FC">
      <w:start w:val="1"/>
      <w:numFmt w:val="decimal"/>
      <w:lvlText w:val="%1."/>
      <w:lvlJc w:val="left"/>
      <w:pPr>
        <w:ind w:left="566"/>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1" w:tplc="F36E5A80">
      <w:start w:val="1"/>
      <w:numFmt w:val="lowerLetter"/>
      <w:lvlText w:val="%2"/>
      <w:lvlJc w:val="left"/>
      <w:pPr>
        <w:ind w:left="108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2" w:tplc="6938F09E">
      <w:start w:val="1"/>
      <w:numFmt w:val="lowerRoman"/>
      <w:lvlText w:val="%3"/>
      <w:lvlJc w:val="left"/>
      <w:pPr>
        <w:ind w:left="180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3" w:tplc="685C0DAA">
      <w:start w:val="1"/>
      <w:numFmt w:val="decimal"/>
      <w:lvlText w:val="%4"/>
      <w:lvlJc w:val="left"/>
      <w:pPr>
        <w:ind w:left="252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4" w:tplc="B76C3574">
      <w:start w:val="1"/>
      <w:numFmt w:val="lowerLetter"/>
      <w:lvlText w:val="%5"/>
      <w:lvlJc w:val="left"/>
      <w:pPr>
        <w:ind w:left="324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5" w:tplc="2336165C">
      <w:start w:val="1"/>
      <w:numFmt w:val="lowerRoman"/>
      <w:lvlText w:val="%6"/>
      <w:lvlJc w:val="left"/>
      <w:pPr>
        <w:ind w:left="396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6" w:tplc="0686BAFA">
      <w:start w:val="1"/>
      <w:numFmt w:val="decimal"/>
      <w:lvlText w:val="%7"/>
      <w:lvlJc w:val="left"/>
      <w:pPr>
        <w:ind w:left="468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7" w:tplc="974EFC38">
      <w:start w:val="1"/>
      <w:numFmt w:val="lowerLetter"/>
      <w:lvlText w:val="%8"/>
      <w:lvlJc w:val="left"/>
      <w:pPr>
        <w:ind w:left="540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lvl w:ilvl="8" w:tplc="8BBC2058">
      <w:start w:val="1"/>
      <w:numFmt w:val="lowerRoman"/>
      <w:lvlText w:val="%9"/>
      <w:lvlJc w:val="left"/>
      <w:pPr>
        <w:ind w:left="6120"/>
      </w:pPr>
      <w:rPr>
        <w:rFonts w:ascii="Book Antiqua" w:eastAsia="Book Antiqua" w:hAnsi="Book Antiqua" w:cs="Book Antiqua"/>
        <w:b w:val="0"/>
        <w:i w:val="0"/>
        <w:strike w:val="0"/>
        <w:dstrike w:val="0"/>
        <w:color w:val="000000"/>
        <w:sz w:val="19"/>
        <w:szCs w:val="19"/>
        <w:u w:val="none" w:color="000000"/>
        <w:bdr w:val="none" w:sz="0" w:space="0" w:color="auto"/>
        <w:shd w:val="clear" w:color="auto" w:fill="auto"/>
        <w:vertAlign w:val="baseline"/>
      </w:rPr>
    </w:lvl>
  </w:abstractNum>
  <w:abstractNum w:abstractNumId="7" w15:restartNumberingAfterBreak="0">
    <w:nsid w:val="2A45623F"/>
    <w:multiLevelType w:val="hybridMultilevel"/>
    <w:tmpl w:val="D160E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2FC138D7"/>
    <w:multiLevelType w:val="hybridMultilevel"/>
    <w:tmpl w:val="AA5E43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3127646"/>
    <w:multiLevelType w:val="hybridMultilevel"/>
    <w:tmpl w:val="38A8E3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C8E626B"/>
    <w:multiLevelType w:val="hybridMultilevel"/>
    <w:tmpl w:val="EC704B36"/>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424C2586"/>
    <w:multiLevelType w:val="multilevel"/>
    <w:tmpl w:val="5D6EAF0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5" w15:restartNumberingAfterBreak="0">
    <w:nsid w:val="53022F3B"/>
    <w:multiLevelType w:val="hybridMultilevel"/>
    <w:tmpl w:val="5D5CE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3D54B32"/>
    <w:multiLevelType w:val="multilevel"/>
    <w:tmpl w:val="17EC30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59865DA"/>
    <w:multiLevelType w:val="hybridMultilevel"/>
    <w:tmpl w:val="5630E2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0" w15:restartNumberingAfterBreak="0">
    <w:nsid w:val="6ED073C0"/>
    <w:multiLevelType w:val="hybridMultilevel"/>
    <w:tmpl w:val="EC704B3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2" w15:restartNumberingAfterBreak="0">
    <w:nsid w:val="77053C67"/>
    <w:multiLevelType w:val="hybridMultilevel"/>
    <w:tmpl w:val="6F660E9E"/>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7C1347A1"/>
    <w:multiLevelType w:val="hybridMultilevel"/>
    <w:tmpl w:val="806E7D40"/>
    <w:lvl w:ilvl="0" w:tplc="963032DE">
      <w:numFmt w:val="bullet"/>
      <w:lvlText w:val="•"/>
      <w:lvlJc w:val="left"/>
      <w:pPr>
        <w:ind w:left="36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7DEA610A"/>
    <w:multiLevelType w:val="hybridMultilevel"/>
    <w:tmpl w:val="D1FA14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7DF324EE"/>
    <w:multiLevelType w:val="hybridMultilevel"/>
    <w:tmpl w:val="E0FCAF4E"/>
    <w:lvl w:ilvl="0" w:tplc="963032DE">
      <w:numFmt w:val="bullet"/>
      <w:lvlText w:val="•"/>
      <w:lvlJc w:val="left"/>
      <w:pPr>
        <w:ind w:left="72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21135100">
    <w:abstractNumId w:val="14"/>
  </w:num>
  <w:num w:numId="2" w16cid:durableId="501941600">
    <w:abstractNumId w:val="1"/>
  </w:num>
  <w:num w:numId="3" w16cid:durableId="1584414087">
    <w:abstractNumId w:val="5"/>
  </w:num>
  <w:num w:numId="4" w16cid:durableId="696123860">
    <w:abstractNumId w:val="21"/>
  </w:num>
  <w:num w:numId="5" w16cid:durableId="1487671259">
    <w:abstractNumId w:val="8"/>
  </w:num>
  <w:num w:numId="6" w16cid:durableId="2125268740">
    <w:abstractNumId w:val="18"/>
  </w:num>
  <w:num w:numId="7" w16cid:durableId="1597788870">
    <w:abstractNumId w:val="5"/>
    <w:lvlOverride w:ilvl="0">
      <w:startOverride w:val="1"/>
    </w:lvlOverride>
  </w:num>
  <w:num w:numId="8" w16cid:durableId="1013149554">
    <w:abstractNumId w:val="5"/>
    <w:lvlOverride w:ilvl="0">
      <w:startOverride w:val="1"/>
    </w:lvlOverride>
  </w:num>
  <w:num w:numId="9" w16cid:durableId="755709822">
    <w:abstractNumId w:val="5"/>
    <w:lvlOverride w:ilvl="0">
      <w:startOverride w:val="1"/>
    </w:lvlOverride>
  </w:num>
  <w:num w:numId="10" w16cid:durableId="213080142">
    <w:abstractNumId w:val="5"/>
    <w:lvlOverride w:ilvl="0">
      <w:startOverride w:val="1"/>
    </w:lvlOverride>
  </w:num>
  <w:num w:numId="11" w16cid:durableId="548541650">
    <w:abstractNumId w:val="5"/>
    <w:lvlOverride w:ilvl="0">
      <w:startOverride w:val="1"/>
    </w:lvlOverride>
  </w:num>
  <w:num w:numId="12" w16cid:durableId="1866017885">
    <w:abstractNumId w:val="5"/>
    <w:lvlOverride w:ilvl="0">
      <w:startOverride w:val="1"/>
    </w:lvlOverride>
  </w:num>
  <w:num w:numId="13" w16cid:durableId="811142526">
    <w:abstractNumId w:val="5"/>
    <w:lvlOverride w:ilvl="0">
      <w:startOverride w:val="1"/>
    </w:lvlOverride>
  </w:num>
  <w:num w:numId="14" w16cid:durableId="1585072013">
    <w:abstractNumId w:val="3"/>
  </w:num>
  <w:num w:numId="15" w16cid:durableId="1264394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16081104">
    <w:abstractNumId w:val="5"/>
  </w:num>
  <w:num w:numId="17" w16cid:durableId="358047425">
    <w:abstractNumId w:val="7"/>
  </w:num>
  <w:num w:numId="18" w16cid:durableId="21094978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987288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529407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69446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7705068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414071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390211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569419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685003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758040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1367147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612820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121663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705548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0060596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0912227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496259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09654499">
    <w:abstractNumId w:val="24"/>
  </w:num>
  <w:num w:numId="36" w16cid:durableId="2001230921">
    <w:abstractNumId w:val="10"/>
  </w:num>
  <w:num w:numId="37" w16cid:durableId="1210650863">
    <w:abstractNumId w:val="16"/>
  </w:num>
  <w:num w:numId="38" w16cid:durableId="1116218438">
    <w:abstractNumId w:val="13"/>
  </w:num>
  <w:num w:numId="39" w16cid:durableId="1280650426">
    <w:abstractNumId w:val="0"/>
  </w:num>
  <w:num w:numId="40" w16cid:durableId="17341552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8084727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669091952">
    <w:abstractNumId w:val="17"/>
  </w:num>
  <w:num w:numId="43" w16cid:durableId="1099595687">
    <w:abstractNumId w:val="25"/>
  </w:num>
  <w:num w:numId="44" w16cid:durableId="17680399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5404479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098534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3585056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80848906">
    <w:abstractNumId w:val="4"/>
  </w:num>
  <w:num w:numId="49" w16cid:durableId="1814102490">
    <w:abstractNumId w:val="9"/>
  </w:num>
  <w:num w:numId="50" w16cid:durableId="20590521">
    <w:abstractNumId w:val="12"/>
  </w:num>
  <w:num w:numId="51" w16cid:durableId="1365054069">
    <w:abstractNumId w:val="20"/>
  </w:num>
  <w:num w:numId="52" w16cid:durableId="1227298808">
    <w:abstractNumId w:val="22"/>
  </w:num>
  <w:num w:numId="53" w16cid:durableId="325978850">
    <w:abstractNumId w:val="2"/>
  </w:num>
  <w:num w:numId="54" w16cid:durableId="400178043">
    <w:abstractNumId w:val="6"/>
  </w:num>
  <w:num w:numId="55" w16cid:durableId="96607078">
    <w:abstractNumId w:val="15"/>
  </w:num>
  <w:num w:numId="56" w16cid:durableId="2833185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3853729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4620708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89417378">
    <w:abstractNumId w:val="5"/>
  </w:num>
  <w:num w:numId="60" w16cid:durableId="3174162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978262634">
    <w:abstractNumId w:val="11"/>
  </w:num>
  <w:num w:numId="62" w16cid:durableId="14224105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43731772">
    <w:abstractNumId w:val="23"/>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embedSystem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FF2"/>
    <w:rsid w:val="00001BF6"/>
    <w:rsid w:val="00001C31"/>
    <w:rsid w:val="00001E3B"/>
    <w:rsid w:val="00001F03"/>
    <w:rsid w:val="0000358C"/>
    <w:rsid w:val="00003AC4"/>
    <w:rsid w:val="00003CA0"/>
    <w:rsid w:val="00003FFA"/>
    <w:rsid w:val="0000422D"/>
    <w:rsid w:val="00004BFD"/>
    <w:rsid w:val="000053CF"/>
    <w:rsid w:val="00006AE4"/>
    <w:rsid w:val="00006B50"/>
    <w:rsid w:val="0000711B"/>
    <w:rsid w:val="000074BA"/>
    <w:rsid w:val="000074C2"/>
    <w:rsid w:val="0000785A"/>
    <w:rsid w:val="0001026D"/>
    <w:rsid w:val="0001031D"/>
    <w:rsid w:val="000106EB"/>
    <w:rsid w:val="00011C50"/>
    <w:rsid w:val="0001254A"/>
    <w:rsid w:val="0001294C"/>
    <w:rsid w:val="00012BB0"/>
    <w:rsid w:val="00013D25"/>
    <w:rsid w:val="00013D54"/>
    <w:rsid w:val="0001438C"/>
    <w:rsid w:val="0001615A"/>
    <w:rsid w:val="00016404"/>
    <w:rsid w:val="00016673"/>
    <w:rsid w:val="00016A99"/>
    <w:rsid w:val="00016D95"/>
    <w:rsid w:val="00017619"/>
    <w:rsid w:val="00017638"/>
    <w:rsid w:val="00017840"/>
    <w:rsid w:val="00020073"/>
    <w:rsid w:val="00020329"/>
    <w:rsid w:val="0002037B"/>
    <w:rsid w:val="00020573"/>
    <w:rsid w:val="00020FB0"/>
    <w:rsid w:val="000216BF"/>
    <w:rsid w:val="00021DA6"/>
    <w:rsid w:val="00021EDB"/>
    <w:rsid w:val="000220B0"/>
    <w:rsid w:val="00022838"/>
    <w:rsid w:val="00022DBC"/>
    <w:rsid w:val="00023312"/>
    <w:rsid w:val="00023CAA"/>
    <w:rsid w:val="00023CED"/>
    <w:rsid w:val="00025CB2"/>
    <w:rsid w:val="0002752E"/>
    <w:rsid w:val="000278A5"/>
    <w:rsid w:val="00027980"/>
    <w:rsid w:val="00027AA6"/>
    <w:rsid w:val="000300D7"/>
    <w:rsid w:val="000304FC"/>
    <w:rsid w:val="00030540"/>
    <w:rsid w:val="00030B20"/>
    <w:rsid w:val="00030FDA"/>
    <w:rsid w:val="000316CE"/>
    <w:rsid w:val="000323CC"/>
    <w:rsid w:val="0003304D"/>
    <w:rsid w:val="0003384E"/>
    <w:rsid w:val="00033F08"/>
    <w:rsid w:val="00034C41"/>
    <w:rsid w:val="0003503B"/>
    <w:rsid w:val="00035CDD"/>
    <w:rsid w:val="00036095"/>
    <w:rsid w:val="000364F3"/>
    <w:rsid w:val="000366AE"/>
    <w:rsid w:val="000366F2"/>
    <w:rsid w:val="000369AC"/>
    <w:rsid w:val="00036E2F"/>
    <w:rsid w:val="0003724F"/>
    <w:rsid w:val="000374C4"/>
    <w:rsid w:val="00037BA1"/>
    <w:rsid w:val="00037F3A"/>
    <w:rsid w:val="00040678"/>
    <w:rsid w:val="000413A8"/>
    <w:rsid w:val="000413D4"/>
    <w:rsid w:val="00041AC4"/>
    <w:rsid w:val="00042FDD"/>
    <w:rsid w:val="0004302F"/>
    <w:rsid w:val="00043785"/>
    <w:rsid w:val="00043AF1"/>
    <w:rsid w:val="00043DA6"/>
    <w:rsid w:val="00044634"/>
    <w:rsid w:val="0004484D"/>
    <w:rsid w:val="00044868"/>
    <w:rsid w:val="00044CF1"/>
    <w:rsid w:val="0004509D"/>
    <w:rsid w:val="00045667"/>
    <w:rsid w:val="0004592F"/>
    <w:rsid w:val="00046709"/>
    <w:rsid w:val="000476D8"/>
    <w:rsid w:val="0005030D"/>
    <w:rsid w:val="0005050D"/>
    <w:rsid w:val="00050A1A"/>
    <w:rsid w:val="00050A97"/>
    <w:rsid w:val="0005138B"/>
    <w:rsid w:val="000518A5"/>
    <w:rsid w:val="00051C9E"/>
    <w:rsid w:val="00054A04"/>
    <w:rsid w:val="00054CC3"/>
    <w:rsid w:val="00055AF2"/>
    <w:rsid w:val="0005600E"/>
    <w:rsid w:val="00056260"/>
    <w:rsid w:val="000565D6"/>
    <w:rsid w:val="00056EFE"/>
    <w:rsid w:val="0005722F"/>
    <w:rsid w:val="000577DF"/>
    <w:rsid w:val="0006011A"/>
    <w:rsid w:val="000606CB"/>
    <w:rsid w:val="00060890"/>
    <w:rsid w:val="00060D8E"/>
    <w:rsid w:val="00061415"/>
    <w:rsid w:val="0006199A"/>
    <w:rsid w:val="00061C65"/>
    <w:rsid w:val="00061F62"/>
    <w:rsid w:val="00061FD8"/>
    <w:rsid w:val="00062650"/>
    <w:rsid w:val="00063049"/>
    <w:rsid w:val="00063A72"/>
    <w:rsid w:val="00063C44"/>
    <w:rsid w:val="00063CE1"/>
    <w:rsid w:val="00063E90"/>
    <w:rsid w:val="000641DA"/>
    <w:rsid w:val="00064612"/>
    <w:rsid w:val="00065053"/>
    <w:rsid w:val="000655E4"/>
    <w:rsid w:val="000656AD"/>
    <w:rsid w:val="00065C71"/>
    <w:rsid w:val="00066BBA"/>
    <w:rsid w:val="000671B7"/>
    <w:rsid w:val="00067B6F"/>
    <w:rsid w:val="00067E1D"/>
    <w:rsid w:val="0007026D"/>
    <w:rsid w:val="0007064C"/>
    <w:rsid w:val="000712EE"/>
    <w:rsid w:val="00071794"/>
    <w:rsid w:val="00071B4E"/>
    <w:rsid w:val="000725C0"/>
    <w:rsid w:val="00072B81"/>
    <w:rsid w:val="0007391F"/>
    <w:rsid w:val="00073B0F"/>
    <w:rsid w:val="000742A2"/>
    <w:rsid w:val="00074CE6"/>
    <w:rsid w:val="00075BE5"/>
    <w:rsid w:val="000768A5"/>
    <w:rsid w:val="00077277"/>
    <w:rsid w:val="000773F6"/>
    <w:rsid w:val="0007743A"/>
    <w:rsid w:val="000776FF"/>
    <w:rsid w:val="00080069"/>
    <w:rsid w:val="00080125"/>
    <w:rsid w:val="0008056F"/>
    <w:rsid w:val="0008082C"/>
    <w:rsid w:val="00080EAA"/>
    <w:rsid w:val="00080F4F"/>
    <w:rsid w:val="00081BD2"/>
    <w:rsid w:val="00081CBC"/>
    <w:rsid w:val="00082159"/>
    <w:rsid w:val="000822BF"/>
    <w:rsid w:val="00082A6C"/>
    <w:rsid w:val="00083708"/>
    <w:rsid w:val="00083F2E"/>
    <w:rsid w:val="0008449F"/>
    <w:rsid w:val="000844CD"/>
    <w:rsid w:val="000846ED"/>
    <w:rsid w:val="0008499D"/>
    <w:rsid w:val="00084C6B"/>
    <w:rsid w:val="00087659"/>
    <w:rsid w:val="0009013D"/>
    <w:rsid w:val="00090516"/>
    <w:rsid w:val="00090681"/>
    <w:rsid w:val="0009068F"/>
    <w:rsid w:val="000911C5"/>
    <w:rsid w:val="000916E5"/>
    <w:rsid w:val="000924A7"/>
    <w:rsid w:val="00093090"/>
    <w:rsid w:val="00093452"/>
    <w:rsid w:val="000935CE"/>
    <w:rsid w:val="00093D79"/>
    <w:rsid w:val="00094529"/>
    <w:rsid w:val="00094B28"/>
    <w:rsid w:val="00094B9A"/>
    <w:rsid w:val="00095230"/>
    <w:rsid w:val="00096568"/>
    <w:rsid w:val="00096DEE"/>
    <w:rsid w:val="00097063"/>
    <w:rsid w:val="00097336"/>
    <w:rsid w:val="000975DA"/>
    <w:rsid w:val="00097FCA"/>
    <w:rsid w:val="000A051A"/>
    <w:rsid w:val="000A0782"/>
    <w:rsid w:val="000A1920"/>
    <w:rsid w:val="000A1A89"/>
    <w:rsid w:val="000A1C91"/>
    <w:rsid w:val="000A24C4"/>
    <w:rsid w:val="000A345B"/>
    <w:rsid w:val="000A372A"/>
    <w:rsid w:val="000A395D"/>
    <w:rsid w:val="000A4B2F"/>
    <w:rsid w:val="000A4EE7"/>
    <w:rsid w:val="000A532C"/>
    <w:rsid w:val="000A554D"/>
    <w:rsid w:val="000A56A5"/>
    <w:rsid w:val="000A5781"/>
    <w:rsid w:val="000A5C86"/>
    <w:rsid w:val="000A6897"/>
    <w:rsid w:val="000A6976"/>
    <w:rsid w:val="000A6C08"/>
    <w:rsid w:val="000A6DBE"/>
    <w:rsid w:val="000A7442"/>
    <w:rsid w:val="000A7B26"/>
    <w:rsid w:val="000A7C6F"/>
    <w:rsid w:val="000A7E1F"/>
    <w:rsid w:val="000B0B8B"/>
    <w:rsid w:val="000B15E4"/>
    <w:rsid w:val="000B1FC4"/>
    <w:rsid w:val="000B21D6"/>
    <w:rsid w:val="000B2404"/>
    <w:rsid w:val="000B28B5"/>
    <w:rsid w:val="000B2E3D"/>
    <w:rsid w:val="000B3435"/>
    <w:rsid w:val="000B36D8"/>
    <w:rsid w:val="000B3B7D"/>
    <w:rsid w:val="000B3E5C"/>
    <w:rsid w:val="000B3EBB"/>
    <w:rsid w:val="000B400B"/>
    <w:rsid w:val="000B6E38"/>
    <w:rsid w:val="000C056F"/>
    <w:rsid w:val="000C0FE9"/>
    <w:rsid w:val="000C1442"/>
    <w:rsid w:val="000C1928"/>
    <w:rsid w:val="000C192C"/>
    <w:rsid w:val="000C19B3"/>
    <w:rsid w:val="000C19EF"/>
    <w:rsid w:val="000C1E44"/>
    <w:rsid w:val="000C2416"/>
    <w:rsid w:val="000C2D7D"/>
    <w:rsid w:val="000C3B86"/>
    <w:rsid w:val="000C3C75"/>
    <w:rsid w:val="000C4A46"/>
    <w:rsid w:val="000C4F54"/>
    <w:rsid w:val="000C55A6"/>
    <w:rsid w:val="000C6A39"/>
    <w:rsid w:val="000C6FB8"/>
    <w:rsid w:val="000C73F4"/>
    <w:rsid w:val="000C79F1"/>
    <w:rsid w:val="000D0547"/>
    <w:rsid w:val="000D0893"/>
    <w:rsid w:val="000D13E5"/>
    <w:rsid w:val="000D28EB"/>
    <w:rsid w:val="000D308C"/>
    <w:rsid w:val="000D346E"/>
    <w:rsid w:val="000D4262"/>
    <w:rsid w:val="000D43DE"/>
    <w:rsid w:val="000D520C"/>
    <w:rsid w:val="000D5503"/>
    <w:rsid w:val="000D55B5"/>
    <w:rsid w:val="000D58A1"/>
    <w:rsid w:val="000D67A8"/>
    <w:rsid w:val="000D7E54"/>
    <w:rsid w:val="000E04C6"/>
    <w:rsid w:val="000E0A5A"/>
    <w:rsid w:val="000E0A85"/>
    <w:rsid w:val="000E1057"/>
    <w:rsid w:val="000E194C"/>
    <w:rsid w:val="000E1A30"/>
    <w:rsid w:val="000E2022"/>
    <w:rsid w:val="000E2416"/>
    <w:rsid w:val="000E2BFC"/>
    <w:rsid w:val="000E2F5F"/>
    <w:rsid w:val="000E58E7"/>
    <w:rsid w:val="000E5C2E"/>
    <w:rsid w:val="000E68E3"/>
    <w:rsid w:val="000E6DDB"/>
    <w:rsid w:val="000E6E76"/>
    <w:rsid w:val="000E6FF3"/>
    <w:rsid w:val="000E72AB"/>
    <w:rsid w:val="000E74A6"/>
    <w:rsid w:val="000F03B1"/>
    <w:rsid w:val="000F08AE"/>
    <w:rsid w:val="000F0A99"/>
    <w:rsid w:val="000F0DA6"/>
    <w:rsid w:val="000F1AAB"/>
    <w:rsid w:val="000F2D33"/>
    <w:rsid w:val="000F3B69"/>
    <w:rsid w:val="000F43F4"/>
    <w:rsid w:val="000F440E"/>
    <w:rsid w:val="000F4838"/>
    <w:rsid w:val="000F4986"/>
    <w:rsid w:val="000F4EB3"/>
    <w:rsid w:val="000F4FFC"/>
    <w:rsid w:val="000F54F4"/>
    <w:rsid w:val="000F6647"/>
    <w:rsid w:val="000F68BD"/>
    <w:rsid w:val="000F6E4A"/>
    <w:rsid w:val="000F73B7"/>
    <w:rsid w:val="000F76D9"/>
    <w:rsid w:val="000F794F"/>
    <w:rsid w:val="000F7E7B"/>
    <w:rsid w:val="0010013F"/>
    <w:rsid w:val="001002F8"/>
    <w:rsid w:val="001009E6"/>
    <w:rsid w:val="00100BC2"/>
    <w:rsid w:val="00100D97"/>
    <w:rsid w:val="00101A74"/>
    <w:rsid w:val="00101C7E"/>
    <w:rsid w:val="00102654"/>
    <w:rsid w:val="001028CC"/>
    <w:rsid w:val="00102C70"/>
    <w:rsid w:val="00102D1D"/>
    <w:rsid w:val="001045F9"/>
    <w:rsid w:val="0010472B"/>
    <w:rsid w:val="00104770"/>
    <w:rsid w:val="00104E19"/>
    <w:rsid w:val="00104F95"/>
    <w:rsid w:val="00105B03"/>
    <w:rsid w:val="00105C4F"/>
    <w:rsid w:val="0010657F"/>
    <w:rsid w:val="00106705"/>
    <w:rsid w:val="001078E6"/>
    <w:rsid w:val="00107B0A"/>
    <w:rsid w:val="00111014"/>
    <w:rsid w:val="00111159"/>
    <w:rsid w:val="0011141D"/>
    <w:rsid w:val="00111875"/>
    <w:rsid w:val="0011221E"/>
    <w:rsid w:val="00112317"/>
    <w:rsid w:val="00112D0F"/>
    <w:rsid w:val="001133E0"/>
    <w:rsid w:val="00114803"/>
    <w:rsid w:val="00115DE5"/>
    <w:rsid w:val="001162B4"/>
    <w:rsid w:val="001163D6"/>
    <w:rsid w:val="00116769"/>
    <w:rsid w:val="00116985"/>
    <w:rsid w:val="00116C76"/>
    <w:rsid w:val="001171FF"/>
    <w:rsid w:val="0011726A"/>
    <w:rsid w:val="0011741C"/>
    <w:rsid w:val="0012022D"/>
    <w:rsid w:val="0012060B"/>
    <w:rsid w:val="001207E2"/>
    <w:rsid w:val="00120B5E"/>
    <w:rsid w:val="0012108F"/>
    <w:rsid w:val="00121EB0"/>
    <w:rsid w:val="00121F6A"/>
    <w:rsid w:val="0012228D"/>
    <w:rsid w:val="001225E0"/>
    <w:rsid w:val="00122FFA"/>
    <w:rsid w:val="00123218"/>
    <w:rsid w:val="001237BA"/>
    <w:rsid w:val="00123925"/>
    <w:rsid w:val="00125988"/>
    <w:rsid w:val="00126641"/>
    <w:rsid w:val="00126954"/>
    <w:rsid w:val="00127B8E"/>
    <w:rsid w:val="001300CF"/>
    <w:rsid w:val="0013120D"/>
    <w:rsid w:val="00131851"/>
    <w:rsid w:val="001323CA"/>
    <w:rsid w:val="00132F9E"/>
    <w:rsid w:val="00133014"/>
    <w:rsid w:val="00133AF6"/>
    <w:rsid w:val="00133BCE"/>
    <w:rsid w:val="00133D3A"/>
    <w:rsid w:val="00133E88"/>
    <w:rsid w:val="00134CF0"/>
    <w:rsid w:val="001352EE"/>
    <w:rsid w:val="00135505"/>
    <w:rsid w:val="001364A7"/>
    <w:rsid w:val="00136827"/>
    <w:rsid w:val="001375D4"/>
    <w:rsid w:val="00137D4B"/>
    <w:rsid w:val="0014020E"/>
    <w:rsid w:val="0014059C"/>
    <w:rsid w:val="00140636"/>
    <w:rsid w:val="00140A23"/>
    <w:rsid w:val="00140AA4"/>
    <w:rsid w:val="00140C7F"/>
    <w:rsid w:val="00140D1A"/>
    <w:rsid w:val="00141ECD"/>
    <w:rsid w:val="00142BE8"/>
    <w:rsid w:val="00143750"/>
    <w:rsid w:val="00143E88"/>
    <w:rsid w:val="001441F0"/>
    <w:rsid w:val="00144B92"/>
    <w:rsid w:val="001455D8"/>
    <w:rsid w:val="0014563E"/>
    <w:rsid w:val="001461CF"/>
    <w:rsid w:val="0014626B"/>
    <w:rsid w:val="001463A6"/>
    <w:rsid w:val="00146B5E"/>
    <w:rsid w:val="00146E28"/>
    <w:rsid w:val="0014790A"/>
    <w:rsid w:val="00150E70"/>
    <w:rsid w:val="001512C6"/>
    <w:rsid w:val="00151609"/>
    <w:rsid w:val="00151975"/>
    <w:rsid w:val="00151ABB"/>
    <w:rsid w:val="00152B2B"/>
    <w:rsid w:val="00154447"/>
    <w:rsid w:val="001549BE"/>
    <w:rsid w:val="00154CDE"/>
    <w:rsid w:val="00154F5B"/>
    <w:rsid w:val="0015505E"/>
    <w:rsid w:val="0016058D"/>
    <w:rsid w:val="001608CD"/>
    <w:rsid w:val="00160C23"/>
    <w:rsid w:val="00160D12"/>
    <w:rsid w:val="00161B11"/>
    <w:rsid w:val="00161DAC"/>
    <w:rsid w:val="00162B55"/>
    <w:rsid w:val="00162D8B"/>
    <w:rsid w:val="00163101"/>
    <w:rsid w:val="001638E9"/>
    <w:rsid w:val="00163F64"/>
    <w:rsid w:val="0016472E"/>
    <w:rsid w:val="00165824"/>
    <w:rsid w:val="00165FCD"/>
    <w:rsid w:val="001666EA"/>
    <w:rsid w:val="0016734E"/>
    <w:rsid w:val="00167406"/>
    <w:rsid w:val="00170069"/>
    <w:rsid w:val="00170FF3"/>
    <w:rsid w:val="0017111A"/>
    <w:rsid w:val="00171612"/>
    <w:rsid w:val="00171A85"/>
    <w:rsid w:val="0017205C"/>
    <w:rsid w:val="00172EB5"/>
    <w:rsid w:val="00173A8B"/>
    <w:rsid w:val="00173F5C"/>
    <w:rsid w:val="00174186"/>
    <w:rsid w:val="00174565"/>
    <w:rsid w:val="00174EC9"/>
    <w:rsid w:val="00175BB3"/>
    <w:rsid w:val="00176739"/>
    <w:rsid w:val="00177A9A"/>
    <w:rsid w:val="001808A4"/>
    <w:rsid w:val="00180E98"/>
    <w:rsid w:val="00180FF3"/>
    <w:rsid w:val="001815A5"/>
    <w:rsid w:val="00181F30"/>
    <w:rsid w:val="00182740"/>
    <w:rsid w:val="00182947"/>
    <w:rsid w:val="00182E48"/>
    <w:rsid w:val="0018300D"/>
    <w:rsid w:val="00183901"/>
    <w:rsid w:val="00184071"/>
    <w:rsid w:val="00184646"/>
    <w:rsid w:val="001848DF"/>
    <w:rsid w:val="001852C5"/>
    <w:rsid w:val="00185A3B"/>
    <w:rsid w:val="00185B18"/>
    <w:rsid w:val="00186007"/>
    <w:rsid w:val="00186834"/>
    <w:rsid w:val="00186850"/>
    <w:rsid w:val="00187350"/>
    <w:rsid w:val="001900FF"/>
    <w:rsid w:val="001902CF"/>
    <w:rsid w:val="001904A5"/>
    <w:rsid w:val="00191003"/>
    <w:rsid w:val="001917B6"/>
    <w:rsid w:val="001923C8"/>
    <w:rsid w:val="0019327F"/>
    <w:rsid w:val="001939FF"/>
    <w:rsid w:val="00193A95"/>
    <w:rsid w:val="00193CA6"/>
    <w:rsid w:val="00193CD3"/>
    <w:rsid w:val="00194DE8"/>
    <w:rsid w:val="00197763"/>
    <w:rsid w:val="0019785E"/>
    <w:rsid w:val="00197990"/>
    <w:rsid w:val="001A0106"/>
    <w:rsid w:val="001A0285"/>
    <w:rsid w:val="001A02CB"/>
    <w:rsid w:val="001A02FD"/>
    <w:rsid w:val="001A11DB"/>
    <w:rsid w:val="001A1496"/>
    <w:rsid w:val="001A263E"/>
    <w:rsid w:val="001A33F4"/>
    <w:rsid w:val="001A3FDA"/>
    <w:rsid w:val="001A50D2"/>
    <w:rsid w:val="001A50DE"/>
    <w:rsid w:val="001A53AE"/>
    <w:rsid w:val="001A610D"/>
    <w:rsid w:val="001A6256"/>
    <w:rsid w:val="001A67BE"/>
    <w:rsid w:val="001A6983"/>
    <w:rsid w:val="001A6A68"/>
    <w:rsid w:val="001A6F29"/>
    <w:rsid w:val="001A777C"/>
    <w:rsid w:val="001A789B"/>
    <w:rsid w:val="001B03CC"/>
    <w:rsid w:val="001B0984"/>
    <w:rsid w:val="001B0A46"/>
    <w:rsid w:val="001B0AFF"/>
    <w:rsid w:val="001B0C75"/>
    <w:rsid w:val="001B1580"/>
    <w:rsid w:val="001B1AA3"/>
    <w:rsid w:val="001B1D9E"/>
    <w:rsid w:val="001B2010"/>
    <w:rsid w:val="001B25D8"/>
    <w:rsid w:val="001B2A29"/>
    <w:rsid w:val="001B2DEE"/>
    <w:rsid w:val="001B368E"/>
    <w:rsid w:val="001B44C2"/>
    <w:rsid w:val="001B4EC1"/>
    <w:rsid w:val="001B659F"/>
    <w:rsid w:val="001B6F25"/>
    <w:rsid w:val="001B6FCF"/>
    <w:rsid w:val="001B7399"/>
    <w:rsid w:val="001B7655"/>
    <w:rsid w:val="001B7BAD"/>
    <w:rsid w:val="001B7F09"/>
    <w:rsid w:val="001C0097"/>
    <w:rsid w:val="001C0F14"/>
    <w:rsid w:val="001C1166"/>
    <w:rsid w:val="001C174A"/>
    <w:rsid w:val="001C261E"/>
    <w:rsid w:val="001C28C1"/>
    <w:rsid w:val="001C3AC7"/>
    <w:rsid w:val="001C42D0"/>
    <w:rsid w:val="001C6402"/>
    <w:rsid w:val="001C6B05"/>
    <w:rsid w:val="001C7B78"/>
    <w:rsid w:val="001C7FB4"/>
    <w:rsid w:val="001D08AF"/>
    <w:rsid w:val="001D0A25"/>
    <w:rsid w:val="001D0BA6"/>
    <w:rsid w:val="001D1354"/>
    <w:rsid w:val="001D1903"/>
    <w:rsid w:val="001D1942"/>
    <w:rsid w:val="001D1D2A"/>
    <w:rsid w:val="001D1DDB"/>
    <w:rsid w:val="001D2021"/>
    <w:rsid w:val="001D3237"/>
    <w:rsid w:val="001D3D94"/>
    <w:rsid w:val="001D4B14"/>
    <w:rsid w:val="001D53EA"/>
    <w:rsid w:val="001D5BD9"/>
    <w:rsid w:val="001D61FC"/>
    <w:rsid w:val="001D66EF"/>
    <w:rsid w:val="001D6F7C"/>
    <w:rsid w:val="001D73BA"/>
    <w:rsid w:val="001E0156"/>
    <w:rsid w:val="001E10D7"/>
    <w:rsid w:val="001E12A5"/>
    <w:rsid w:val="001E1966"/>
    <w:rsid w:val="001E1BF9"/>
    <w:rsid w:val="001E1EDB"/>
    <w:rsid w:val="001E3623"/>
    <w:rsid w:val="001E3A18"/>
    <w:rsid w:val="001E3B06"/>
    <w:rsid w:val="001E6B9F"/>
    <w:rsid w:val="001E7093"/>
    <w:rsid w:val="001E717D"/>
    <w:rsid w:val="001E71F5"/>
    <w:rsid w:val="001E79C2"/>
    <w:rsid w:val="001E7D86"/>
    <w:rsid w:val="001F3624"/>
    <w:rsid w:val="001F377B"/>
    <w:rsid w:val="001F3CF9"/>
    <w:rsid w:val="001F42F5"/>
    <w:rsid w:val="001F4A59"/>
    <w:rsid w:val="001F539C"/>
    <w:rsid w:val="001F54CB"/>
    <w:rsid w:val="001F55E5"/>
    <w:rsid w:val="001F5CB9"/>
    <w:rsid w:val="001F5FF6"/>
    <w:rsid w:val="001F62E9"/>
    <w:rsid w:val="001F6397"/>
    <w:rsid w:val="001F79FC"/>
    <w:rsid w:val="002003A1"/>
    <w:rsid w:val="0020084E"/>
    <w:rsid w:val="00200DC3"/>
    <w:rsid w:val="002011E2"/>
    <w:rsid w:val="00201214"/>
    <w:rsid w:val="00201BB9"/>
    <w:rsid w:val="00201FF5"/>
    <w:rsid w:val="002021A5"/>
    <w:rsid w:val="002023BA"/>
    <w:rsid w:val="0020261C"/>
    <w:rsid w:val="00202925"/>
    <w:rsid w:val="00202C70"/>
    <w:rsid w:val="00202EFA"/>
    <w:rsid w:val="0020323F"/>
    <w:rsid w:val="002050B0"/>
    <w:rsid w:val="002051DB"/>
    <w:rsid w:val="0020522A"/>
    <w:rsid w:val="00205D80"/>
    <w:rsid w:val="00206401"/>
    <w:rsid w:val="00206740"/>
    <w:rsid w:val="00207222"/>
    <w:rsid w:val="00207964"/>
    <w:rsid w:val="00207E69"/>
    <w:rsid w:val="00210294"/>
    <w:rsid w:val="002102CE"/>
    <w:rsid w:val="002107DA"/>
    <w:rsid w:val="00210874"/>
    <w:rsid w:val="0021093F"/>
    <w:rsid w:val="00210F31"/>
    <w:rsid w:val="00211DB5"/>
    <w:rsid w:val="00211FED"/>
    <w:rsid w:val="00213143"/>
    <w:rsid w:val="002133CA"/>
    <w:rsid w:val="00213592"/>
    <w:rsid w:val="00214623"/>
    <w:rsid w:val="002146B5"/>
    <w:rsid w:val="00214FA2"/>
    <w:rsid w:val="0021527C"/>
    <w:rsid w:val="00215783"/>
    <w:rsid w:val="002158E8"/>
    <w:rsid w:val="0021644B"/>
    <w:rsid w:val="00216489"/>
    <w:rsid w:val="002167C9"/>
    <w:rsid w:val="00216DC9"/>
    <w:rsid w:val="0021711C"/>
    <w:rsid w:val="00217643"/>
    <w:rsid w:val="00217CA0"/>
    <w:rsid w:val="00217E06"/>
    <w:rsid w:val="002202EB"/>
    <w:rsid w:val="002207AE"/>
    <w:rsid w:val="00220FCF"/>
    <w:rsid w:val="002213BB"/>
    <w:rsid w:val="00221705"/>
    <w:rsid w:val="00221972"/>
    <w:rsid w:val="00221B83"/>
    <w:rsid w:val="00221EF8"/>
    <w:rsid w:val="0022206F"/>
    <w:rsid w:val="002220CB"/>
    <w:rsid w:val="0022230C"/>
    <w:rsid w:val="002229A2"/>
    <w:rsid w:val="00222F47"/>
    <w:rsid w:val="002231C8"/>
    <w:rsid w:val="0022331C"/>
    <w:rsid w:val="002237FA"/>
    <w:rsid w:val="00223C79"/>
    <w:rsid w:val="00224154"/>
    <w:rsid w:val="00224375"/>
    <w:rsid w:val="00224CCD"/>
    <w:rsid w:val="00225B74"/>
    <w:rsid w:val="00226077"/>
    <w:rsid w:val="00226EA1"/>
    <w:rsid w:val="00230194"/>
    <w:rsid w:val="002302C4"/>
    <w:rsid w:val="0023065B"/>
    <w:rsid w:val="0023071E"/>
    <w:rsid w:val="002307B0"/>
    <w:rsid w:val="00231557"/>
    <w:rsid w:val="00231923"/>
    <w:rsid w:val="002329C3"/>
    <w:rsid w:val="00232EA3"/>
    <w:rsid w:val="002332AE"/>
    <w:rsid w:val="002333C2"/>
    <w:rsid w:val="002339F7"/>
    <w:rsid w:val="00233F2D"/>
    <w:rsid w:val="00234040"/>
    <w:rsid w:val="00234809"/>
    <w:rsid w:val="00234B42"/>
    <w:rsid w:val="0023514A"/>
    <w:rsid w:val="00235969"/>
    <w:rsid w:val="00235D2C"/>
    <w:rsid w:val="00235D67"/>
    <w:rsid w:val="00236167"/>
    <w:rsid w:val="0023626B"/>
    <w:rsid w:val="00236A6F"/>
    <w:rsid w:val="00236D0A"/>
    <w:rsid w:val="002376AD"/>
    <w:rsid w:val="00237A17"/>
    <w:rsid w:val="0024114B"/>
    <w:rsid w:val="002423D2"/>
    <w:rsid w:val="00242F07"/>
    <w:rsid w:val="00243020"/>
    <w:rsid w:val="0024420B"/>
    <w:rsid w:val="00244D22"/>
    <w:rsid w:val="00245877"/>
    <w:rsid w:val="00246C09"/>
    <w:rsid w:val="002470E4"/>
    <w:rsid w:val="00247262"/>
    <w:rsid w:val="00250122"/>
    <w:rsid w:val="00251242"/>
    <w:rsid w:val="0025144C"/>
    <w:rsid w:val="00251FDA"/>
    <w:rsid w:val="0025365D"/>
    <w:rsid w:val="0025468D"/>
    <w:rsid w:val="002552F5"/>
    <w:rsid w:val="00255344"/>
    <w:rsid w:val="0025616B"/>
    <w:rsid w:val="002571A5"/>
    <w:rsid w:val="00257285"/>
    <w:rsid w:val="00257B80"/>
    <w:rsid w:val="00257BF6"/>
    <w:rsid w:val="00257FF4"/>
    <w:rsid w:val="002608CE"/>
    <w:rsid w:val="00261660"/>
    <w:rsid w:val="002617D4"/>
    <w:rsid w:val="00261CBD"/>
    <w:rsid w:val="0026279C"/>
    <w:rsid w:val="00262CD3"/>
    <w:rsid w:val="00262EB9"/>
    <w:rsid w:val="002634D6"/>
    <w:rsid w:val="002638D2"/>
    <w:rsid w:val="00263BB1"/>
    <w:rsid w:val="00263DD8"/>
    <w:rsid w:val="00264181"/>
    <w:rsid w:val="00264730"/>
    <w:rsid w:val="00264ADA"/>
    <w:rsid w:val="00264BB2"/>
    <w:rsid w:val="002650C3"/>
    <w:rsid w:val="00265289"/>
    <w:rsid w:val="00265567"/>
    <w:rsid w:val="00266613"/>
    <w:rsid w:val="00266A24"/>
    <w:rsid w:val="00266FE9"/>
    <w:rsid w:val="00267DEB"/>
    <w:rsid w:val="00267F4D"/>
    <w:rsid w:val="00271ACA"/>
    <w:rsid w:val="00272396"/>
    <w:rsid w:val="002729E8"/>
    <w:rsid w:val="00272AFA"/>
    <w:rsid w:val="00272D57"/>
    <w:rsid w:val="00273D98"/>
    <w:rsid w:val="00274578"/>
    <w:rsid w:val="0027466D"/>
    <w:rsid w:val="0027550F"/>
    <w:rsid w:val="00275A4E"/>
    <w:rsid w:val="00275C43"/>
    <w:rsid w:val="0027614D"/>
    <w:rsid w:val="0027651A"/>
    <w:rsid w:val="00276979"/>
    <w:rsid w:val="00276B58"/>
    <w:rsid w:val="00277074"/>
    <w:rsid w:val="002770A1"/>
    <w:rsid w:val="0028001E"/>
    <w:rsid w:val="00280D53"/>
    <w:rsid w:val="00281CF6"/>
    <w:rsid w:val="002829AA"/>
    <w:rsid w:val="0028359B"/>
    <w:rsid w:val="00283EC4"/>
    <w:rsid w:val="00284441"/>
    <w:rsid w:val="0028557B"/>
    <w:rsid w:val="002857BD"/>
    <w:rsid w:val="002857FE"/>
    <w:rsid w:val="00285EC7"/>
    <w:rsid w:val="00287388"/>
    <w:rsid w:val="00290933"/>
    <w:rsid w:val="00290B5E"/>
    <w:rsid w:val="00290F09"/>
    <w:rsid w:val="0029106B"/>
    <w:rsid w:val="00291E57"/>
    <w:rsid w:val="00292D6A"/>
    <w:rsid w:val="0029312A"/>
    <w:rsid w:val="0029325C"/>
    <w:rsid w:val="00293B2D"/>
    <w:rsid w:val="00293B46"/>
    <w:rsid w:val="00293E5B"/>
    <w:rsid w:val="00294E5F"/>
    <w:rsid w:val="0029542C"/>
    <w:rsid w:val="00296064"/>
    <w:rsid w:val="002960B7"/>
    <w:rsid w:val="002974E0"/>
    <w:rsid w:val="00297643"/>
    <w:rsid w:val="00297824"/>
    <w:rsid w:val="00297942"/>
    <w:rsid w:val="00297950"/>
    <w:rsid w:val="002A05DE"/>
    <w:rsid w:val="002A0740"/>
    <w:rsid w:val="002A0F2E"/>
    <w:rsid w:val="002A153F"/>
    <w:rsid w:val="002A1CC2"/>
    <w:rsid w:val="002A312A"/>
    <w:rsid w:val="002A32FD"/>
    <w:rsid w:val="002A38C0"/>
    <w:rsid w:val="002A40DC"/>
    <w:rsid w:val="002A4534"/>
    <w:rsid w:val="002A464A"/>
    <w:rsid w:val="002A5191"/>
    <w:rsid w:val="002A5227"/>
    <w:rsid w:val="002A5329"/>
    <w:rsid w:val="002A538A"/>
    <w:rsid w:val="002A5532"/>
    <w:rsid w:val="002A5C2D"/>
    <w:rsid w:val="002A5CB3"/>
    <w:rsid w:val="002A5E9B"/>
    <w:rsid w:val="002A61E5"/>
    <w:rsid w:val="002A74DD"/>
    <w:rsid w:val="002A7FC8"/>
    <w:rsid w:val="002B08FF"/>
    <w:rsid w:val="002B0A81"/>
    <w:rsid w:val="002B1CE7"/>
    <w:rsid w:val="002B2F0F"/>
    <w:rsid w:val="002B3017"/>
    <w:rsid w:val="002B33DA"/>
    <w:rsid w:val="002B377E"/>
    <w:rsid w:val="002B45C7"/>
    <w:rsid w:val="002B4682"/>
    <w:rsid w:val="002B569D"/>
    <w:rsid w:val="002B595D"/>
    <w:rsid w:val="002B5F6A"/>
    <w:rsid w:val="002B6059"/>
    <w:rsid w:val="002B69A1"/>
    <w:rsid w:val="002B779E"/>
    <w:rsid w:val="002B7BFF"/>
    <w:rsid w:val="002B7D6F"/>
    <w:rsid w:val="002B7D78"/>
    <w:rsid w:val="002C0552"/>
    <w:rsid w:val="002C0961"/>
    <w:rsid w:val="002C1CF7"/>
    <w:rsid w:val="002C1D11"/>
    <w:rsid w:val="002C25D0"/>
    <w:rsid w:val="002C280B"/>
    <w:rsid w:val="002C2DB0"/>
    <w:rsid w:val="002C2F29"/>
    <w:rsid w:val="002C482F"/>
    <w:rsid w:val="002C4D41"/>
    <w:rsid w:val="002C504D"/>
    <w:rsid w:val="002C606D"/>
    <w:rsid w:val="002C6A4E"/>
    <w:rsid w:val="002C75B0"/>
    <w:rsid w:val="002C7703"/>
    <w:rsid w:val="002C7A63"/>
    <w:rsid w:val="002C7E40"/>
    <w:rsid w:val="002D0036"/>
    <w:rsid w:val="002D0153"/>
    <w:rsid w:val="002D0985"/>
    <w:rsid w:val="002D1375"/>
    <w:rsid w:val="002D2FE1"/>
    <w:rsid w:val="002D31B1"/>
    <w:rsid w:val="002D384A"/>
    <w:rsid w:val="002D403A"/>
    <w:rsid w:val="002D4262"/>
    <w:rsid w:val="002D46B7"/>
    <w:rsid w:val="002D5110"/>
    <w:rsid w:val="002D6163"/>
    <w:rsid w:val="002D7047"/>
    <w:rsid w:val="002D7256"/>
    <w:rsid w:val="002D7BEE"/>
    <w:rsid w:val="002D7E64"/>
    <w:rsid w:val="002D7F2E"/>
    <w:rsid w:val="002E0847"/>
    <w:rsid w:val="002E0D4C"/>
    <w:rsid w:val="002E1064"/>
    <w:rsid w:val="002E13C5"/>
    <w:rsid w:val="002E1906"/>
    <w:rsid w:val="002E196B"/>
    <w:rsid w:val="002E2551"/>
    <w:rsid w:val="002E323F"/>
    <w:rsid w:val="002E3403"/>
    <w:rsid w:val="002E3714"/>
    <w:rsid w:val="002E3C91"/>
    <w:rsid w:val="002E4AAE"/>
    <w:rsid w:val="002E5554"/>
    <w:rsid w:val="002E59C4"/>
    <w:rsid w:val="002E5D24"/>
    <w:rsid w:val="002E6894"/>
    <w:rsid w:val="002E6DB1"/>
    <w:rsid w:val="002E78A0"/>
    <w:rsid w:val="002E7AD7"/>
    <w:rsid w:val="002F0AD3"/>
    <w:rsid w:val="002F0B81"/>
    <w:rsid w:val="002F1B12"/>
    <w:rsid w:val="002F2256"/>
    <w:rsid w:val="002F32AF"/>
    <w:rsid w:val="002F3B41"/>
    <w:rsid w:val="002F530C"/>
    <w:rsid w:val="002F5358"/>
    <w:rsid w:val="002F54BA"/>
    <w:rsid w:val="002F591B"/>
    <w:rsid w:val="002F5C70"/>
    <w:rsid w:val="002F7B47"/>
    <w:rsid w:val="002F7C97"/>
    <w:rsid w:val="002F7F95"/>
    <w:rsid w:val="00300013"/>
    <w:rsid w:val="0030032D"/>
    <w:rsid w:val="003006F8"/>
    <w:rsid w:val="00300BF2"/>
    <w:rsid w:val="00302257"/>
    <w:rsid w:val="003026DD"/>
    <w:rsid w:val="003027C1"/>
    <w:rsid w:val="00302A25"/>
    <w:rsid w:val="00302C82"/>
    <w:rsid w:val="00302FD3"/>
    <w:rsid w:val="00303037"/>
    <w:rsid w:val="003032BD"/>
    <w:rsid w:val="00303D29"/>
    <w:rsid w:val="00304900"/>
    <w:rsid w:val="00304C13"/>
    <w:rsid w:val="00304D62"/>
    <w:rsid w:val="003051CE"/>
    <w:rsid w:val="00305718"/>
    <w:rsid w:val="00305EC5"/>
    <w:rsid w:val="00305EFF"/>
    <w:rsid w:val="00306107"/>
    <w:rsid w:val="0030705D"/>
    <w:rsid w:val="00307132"/>
    <w:rsid w:val="00307537"/>
    <w:rsid w:val="003077B8"/>
    <w:rsid w:val="0031059C"/>
    <w:rsid w:val="00310E28"/>
    <w:rsid w:val="003111F8"/>
    <w:rsid w:val="00311B64"/>
    <w:rsid w:val="00311DE2"/>
    <w:rsid w:val="0031204A"/>
    <w:rsid w:val="0031272B"/>
    <w:rsid w:val="00312A1F"/>
    <w:rsid w:val="00312DE9"/>
    <w:rsid w:val="00313787"/>
    <w:rsid w:val="00313B3F"/>
    <w:rsid w:val="00314A6B"/>
    <w:rsid w:val="0031538F"/>
    <w:rsid w:val="00315435"/>
    <w:rsid w:val="0031598B"/>
    <w:rsid w:val="00316399"/>
    <w:rsid w:val="00316759"/>
    <w:rsid w:val="003169C2"/>
    <w:rsid w:val="00317BF9"/>
    <w:rsid w:val="0032038C"/>
    <w:rsid w:val="00320546"/>
    <w:rsid w:val="00320C16"/>
    <w:rsid w:val="00320E10"/>
    <w:rsid w:val="00321889"/>
    <w:rsid w:val="00321DDD"/>
    <w:rsid w:val="00321DEB"/>
    <w:rsid w:val="0032215E"/>
    <w:rsid w:val="0032395F"/>
    <w:rsid w:val="00325C5E"/>
    <w:rsid w:val="0032738E"/>
    <w:rsid w:val="003277B5"/>
    <w:rsid w:val="003303BF"/>
    <w:rsid w:val="00330616"/>
    <w:rsid w:val="00330D6C"/>
    <w:rsid w:val="00331666"/>
    <w:rsid w:val="00331B40"/>
    <w:rsid w:val="00331C5F"/>
    <w:rsid w:val="00331FB6"/>
    <w:rsid w:val="003325B9"/>
    <w:rsid w:val="00332742"/>
    <w:rsid w:val="00332E95"/>
    <w:rsid w:val="00333074"/>
    <w:rsid w:val="00333223"/>
    <w:rsid w:val="003338BA"/>
    <w:rsid w:val="00333A43"/>
    <w:rsid w:val="003349B2"/>
    <w:rsid w:val="00334F7E"/>
    <w:rsid w:val="00335109"/>
    <w:rsid w:val="003359F4"/>
    <w:rsid w:val="00336451"/>
    <w:rsid w:val="003364C1"/>
    <w:rsid w:val="003367CA"/>
    <w:rsid w:val="00336DEC"/>
    <w:rsid w:val="003370F5"/>
    <w:rsid w:val="003377DF"/>
    <w:rsid w:val="0033789D"/>
    <w:rsid w:val="00337BD2"/>
    <w:rsid w:val="00337F82"/>
    <w:rsid w:val="00340251"/>
    <w:rsid w:val="00340640"/>
    <w:rsid w:val="003406B8"/>
    <w:rsid w:val="00340810"/>
    <w:rsid w:val="00340C36"/>
    <w:rsid w:val="003435D6"/>
    <w:rsid w:val="003436A9"/>
    <w:rsid w:val="003449B8"/>
    <w:rsid w:val="003451D7"/>
    <w:rsid w:val="003454BE"/>
    <w:rsid w:val="003458E0"/>
    <w:rsid w:val="00345CCD"/>
    <w:rsid w:val="00346785"/>
    <w:rsid w:val="00346916"/>
    <w:rsid w:val="00346A46"/>
    <w:rsid w:val="003511CE"/>
    <w:rsid w:val="00351909"/>
    <w:rsid w:val="0035208E"/>
    <w:rsid w:val="00352BE0"/>
    <w:rsid w:val="00352C37"/>
    <w:rsid w:val="003531A4"/>
    <w:rsid w:val="0035333E"/>
    <w:rsid w:val="003538F0"/>
    <w:rsid w:val="0035414D"/>
    <w:rsid w:val="003543B0"/>
    <w:rsid w:val="003546D9"/>
    <w:rsid w:val="00356F7B"/>
    <w:rsid w:val="0035791F"/>
    <w:rsid w:val="00357DAE"/>
    <w:rsid w:val="003602A5"/>
    <w:rsid w:val="003603B8"/>
    <w:rsid w:val="003603D6"/>
    <w:rsid w:val="00360CE8"/>
    <w:rsid w:val="00361259"/>
    <w:rsid w:val="00361429"/>
    <w:rsid w:val="00361DA0"/>
    <w:rsid w:val="00362AA7"/>
    <w:rsid w:val="00363B11"/>
    <w:rsid w:val="0036400A"/>
    <w:rsid w:val="00365201"/>
    <w:rsid w:val="00365466"/>
    <w:rsid w:val="003656A6"/>
    <w:rsid w:val="00365948"/>
    <w:rsid w:val="00365D20"/>
    <w:rsid w:val="00366385"/>
    <w:rsid w:val="0036647E"/>
    <w:rsid w:val="003672D6"/>
    <w:rsid w:val="00367D28"/>
    <w:rsid w:val="003704E8"/>
    <w:rsid w:val="003705BF"/>
    <w:rsid w:val="00370935"/>
    <w:rsid w:val="00370E45"/>
    <w:rsid w:val="00371AEA"/>
    <w:rsid w:val="00371C1A"/>
    <w:rsid w:val="00371C8C"/>
    <w:rsid w:val="00372975"/>
    <w:rsid w:val="003744B7"/>
    <w:rsid w:val="00375E52"/>
    <w:rsid w:val="003774CF"/>
    <w:rsid w:val="00377C28"/>
    <w:rsid w:val="0038065D"/>
    <w:rsid w:val="00380888"/>
    <w:rsid w:val="00380D9F"/>
    <w:rsid w:val="003812F5"/>
    <w:rsid w:val="003819E1"/>
    <w:rsid w:val="00381E2D"/>
    <w:rsid w:val="00382234"/>
    <w:rsid w:val="00382776"/>
    <w:rsid w:val="003829F6"/>
    <w:rsid w:val="00382C54"/>
    <w:rsid w:val="003842E5"/>
    <w:rsid w:val="00385030"/>
    <w:rsid w:val="003852C0"/>
    <w:rsid w:val="003852E9"/>
    <w:rsid w:val="0038592B"/>
    <w:rsid w:val="00385A6A"/>
    <w:rsid w:val="0038672F"/>
    <w:rsid w:val="00386BC9"/>
    <w:rsid w:val="00386E54"/>
    <w:rsid w:val="00386F24"/>
    <w:rsid w:val="003876AB"/>
    <w:rsid w:val="00387957"/>
    <w:rsid w:val="0039053D"/>
    <w:rsid w:val="00390C8F"/>
    <w:rsid w:val="00390E6D"/>
    <w:rsid w:val="00390E80"/>
    <w:rsid w:val="003914D6"/>
    <w:rsid w:val="003919D9"/>
    <w:rsid w:val="00392B8A"/>
    <w:rsid w:val="00392DD1"/>
    <w:rsid w:val="00393F17"/>
    <w:rsid w:val="00394218"/>
    <w:rsid w:val="0039449C"/>
    <w:rsid w:val="00395583"/>
    <w:rsid w:val="00395945"/>
    <w:rsid w:val="00395BA4"/>
    <w:rsid w:val="00395C20"/>
    <w:rsid w:val="00395D29"/>
    <w:rsid w:val="00395E02"/>
    <w:rsid w:val="0039684C"/>
    <w:rsid w:val="0039709B"/>
    <w:rsid w:val="003A0290"/>
    <w:rsid w:val="003A12AA"/>
    <w:rsid w:val="003A25BB"/>
    <w:rsid w:val="003A2EBF"/>
    <w:rsid w:val="003A300D"/>
    <w:rsid w:val="003A325B"/>
    <w:rsid w:val="003A3E7B"/>
    <w:rsid w:val="003A422E"/>
    <w:rsid w:val="003A4566"/>
    <w:rsid w:val="003A5C1B"/>
    <w:rsid w:val="003A6EB0"/>
    <w:rsid w:val="003A6EC7"/>
    <w:rsid w:val="003A7067"/>
    <w:rsid w:val="003B07C9"/>
    <w:rsid w:val="003B09F6"/>
    <w:rsid w:val="003B0D03"/>
    <w:rsid w:val="003B1F0A"/>
    <w:rsid w:val="003B2C1F"/>
    <w:rsid w:val="003B329D"/>
    <w:rsid w:val="003B3684"/>
    <w:rsid w:val="003B3ECB"/>
    <w:rsid w:val="003B508E"/>
    <w:rsid w:val="003B5533"/>
    <w:rsid w:val="003B5880"/>
    <w:rsid w:val="003B5A85"/>
    <w:rsid w:val="003B5E41"/>
    <w:rsid w:val="003B5E7A"/>
    <w:rsid w:val="003B683F"/>
    <w:rsid w:val="003B71EE"/>
    <w:rsid w:val="003B7621"/>
    <w:rsid w:val="003B7C64"/>
    <w:rsid w:val="003B7F5F"/>
    <w:rsid w:val="003C0593"/>
    <w:rsid w:val="003C13A6"/>
    <w:rsid w:val="003C1615"/>
    <w:rsid w:val="003C1EB4"/>
    <w:rsid w:val="003C2164"/>
    <w:rsid w:val="003C2623"/>
    <w:rsid w:val="003C2A44"/>
    <w:rsid w:val="003C3939"/>
    <w:rsid w:val="003C4CA2"/>
    <w:rsid w:val="003C4E3A"/>
    <w:rsid w:val="003C7522"/>
    <w:rsid w:val="003C7865"/>
    <w:rsid w:val="003D0E1C"/>
    <w:rsid w:val="003D138F"/>
    <w:rsid w:val="003D1E47"/>
    <w:rsid w:val="003D211D"/>
    <w:rsid w:val="003D3098"/>
    <w:rsid w:val="003D3662"/>
    <w:rsid w:val="003D3C14"/>
    <w:rsid w:val="003D3D8B"/>
    <w:rsid w:val="003D4188"/>
    <w:rsid w:val="003D4557"/>
    <w:rsid w:val="003D4D68"/>
    <w:rsid w:val="003D543D"/>
    <w:rsid w:val="003D59FD"/>
    <w:rsid w:val="003D78B7"/>
    <w:rsid w:val="003E10B8"/>
    <w:rsid w:val="003E122D"/>
    <w:rsid w:val="003E13F5"/>
    <w:rsid w:val="003E1978"/>
    <w:rsid w:val="003E258A"/>
    <w:rsid w:val="003E2B5E"/>
    <w:rsid w:val="003E36F3"/>
    <w:rsid w:val="003E3FF4"/>
    <w:rsid w:val="003E4B49"/>
    <w:rsid w:val="003E4E15"/>
    <w:rsid w:val="003E531F"/>
    <w:rsid w:val="003E5354"/>
    <w:rsid w:val="003E53E8"/>
    <w:rsid w:val="003E5912"/>
    <w:rsid w:val="003E5AE8"/>
    <w:rsid w:val="003E6257"/>
    <w:rsid w:val="003E6284"/>
    <w:rsid w:val="003E68C4"/>
    <w:rsid w:val="003E7DC0"/>
    <w:rsid w:val="003F0126"/>
    <w:rsid w:val="003F07EE"/>
    <w:rsid w:val="003F0A2E"/>
    <w:rsid w:val="003F0C8B"/>
    <w:rsid w:val="003F1607"/>
    <w:rsid w:val="003F2049"/>
    <w:rsid w:val="003F29F2"/>
    <w:rsid w:val="003F3561"/>
    <w:rsid w:val="003F3C77"/>
    <w:rsid w:val="003F428C"/>
    <w:rsid w:val="003F458D"/>
    <w:rsid w:val="003F46E3"/>
    <w:rsid w:val="003F47DF"/>
    <w:rsid w:val="003F4BDF"/>
    <w:rsid w:val="003F4F40"/>
    <w:rsid w:val="003F6209"/>
    <w:rsid w:val="003F7237"/>
    <w:rsid w:val="003F7C66"/>
    <w:rsid w:val="0040019E"/>
    <w:rsid w:val="00400A8B"/>
    <w:rsid w:val="00400FA8"/>
    <w:rsid w:val="004010D4"/>
    <w:rsid w:val="00401831"/>
    <w:rsid w:val="00402494"/>
    <w:rsid w:val="0040314A"/>
    <w:rsid w:val="00405DAB"/>
    <w:rsid w:val="00405E90"/>
    <w:rsid w:val="0040629D"/>
    <w:rsid w:val="004065CE"/>
    <w:rsid w:val="00406802"/>
    <w:rsid w:val="0040682D"/>
    <w:rsid w:val="004073F4"/>
    <w:rsid w:val="004075A6"/>
    <w:rsid w:val="00407782"/>
    <w:rsid w:val="00407A61"/>
    <w:rsid w:val="004105DD"/>
    <w:rsid w:val="00410DCE"/>
    <w:rsid w:val="00412C0B"/>
    <w:rsid w:val="0041304F"/>
    <w:rsid w:val="0041404E"/>
    <w:rsid w:val="0041429D"/>
    <w:rsid w:val="0041464D"/>
    <w:rsid w:val="004147D0"/>
    <w:rsid w:val="00414E1F"/>
    <w:rsid w:val="0041581E"/>
    <w:rsid w:val="00415B62"/>
    <w:rsid w:val="00415F8D"/>
    <w:rsid w:val="004161E5"/>
    <w:rsid w:val="00416E05"/>
    <w:rsid w:val="0041765C"/>
    <w:rsid w:val="0041789E"/>
    <w:rsid w:val="00417E27"/>
    <w:rsid w:val="00420837"/>
    <w:rsid w:val="0042091B"/>
    <w:rsid w:val="004216A5"/>
    <w:rsid w:val="00421EEC"/>
    <w:rsid w:val="00422933"/>
    <w:rsid w:val="00422BCE"/>
    <w:rsid w:val="00422C59"/>
    <w:rsid w:val="00422CB4"/>
    <w:rsid w:val="00422F4B"/>
    <w:rsid w:val="00423003"/>
    <w:rsid w:val="00423558"/>
    <w:rsid w:val="004248B4"/>
    <w:rsid w:val="00424C66"/>
    <w:rsid w:val="00424D1D"/>
    <w:rsid w:val="0042516F"/>
    <w:rsid w:val="0042526D"/>
    <w:rsid w:val="004254A2"/>
    <w:rsid w:val="004260FC"/>
    <w:rsid w:val="00426CAB"/>
    <w:rsid w:val="00426D71"/>
    <w:rsid w:val="00430256"/>
    <w:rsid w:val="004309C5"/>
    <w:rsid w:val="00430A15"/>
    <w:rsid w:val="00430E3D"/>
    <w:rsid w:val="00431754"/>
    <w:rsid w:val="004318AF"/>
    <w:rsid w:val="0043194D"/>
    <w:rsid w:val="00431BF1"/>
    <w:rsid w:val="00431E56"/>
    <w:rsid w:val="00432F7D"/>
    <w:rsid w:val="004335DF"/>
    <w:rsid w:val="004339F8"/>
    <w:rsid w:val="00433B5B"/>
    <w:rsid w:val="00433D22"/>
    <w:rsid w:val="00434130"/>
    <w:rsid w:val="004342F8"/>
    <w:rsid w:val="00434803"/>
    <w:rsid w:val="00434A2F"/>
    <w:rsid w:val="00434B63"/>
    <w:rsid w:val="004350C0"/>
    <w:rsid w:val="0043795A"/>
    <w:rsid w:val="004402A3"/>
    <w:rsid w:val="004404D6"/>
    <w:rsid w:val="0044083A"/>
    <w:rsid w:val="004408FA"/>
    <w:rsid w:val="00441119"/>
    <w:rsid w:val="004417C2"/>
    <w:rsid w:val="00441C65"/>
    <w:rsid w:val="00441D4E"/>
    <w:rsid w:val="00442DAE"/>
    <w:rsid w:val="00442E38"/>
    <w:rsid w:val="004437AA"/>
    <w:rsid w:val="00443C48"/>
    <w:rsid w:val="0044409B"/>
    <w:rsid w:val="00444245"/>
    <w:rsid w:val="00444263"/>
    <w:rsid w:val="00444AEC"/>
    <w:rsid w:val="0044552A"/>
    <w:rsid w:val="00445663"/>
    <w:rsid w:val="00445A66"/>
    <w:rsid w:val="004461A4"/>
    <w:rsid w:val="00446612"/>
    <w:rsid w:val="00446EE2"/>
    <w:rsid w:val="00446F36"/>
    <w:rsid w:val="00447D85"/>
    <w:rsid w:val="00447F06"/>
    <w:rsid w:val="004500FF"/>
    <w:rsid w:val="00450DF6"/>
    <w:rsid w:val="00450E44"/>
    <w:rsid w:val="00451501"/>
    <w:rsid w:val="004521E9"/>
    <w:rsid w:val="00452501"/>
    <w:rsid w:val="004525C3"/>
    <w:rsid w:val="004526D7"/>
    <w:rsid w:val="004528D0"/>
    <w:rsid w:val="0045344D"/>
    <w:rsid w:val="00453716"/>
    <w:rsid w:val="00453C86"/>
    <w:rsid w:val="004542D2"/>
    <w:rsid w:val="004544A0"/>
    <w:rsid w:val="00454564"/>
    <w:rsid w:val="00454D7E"/>
    <w:rsid w:val="004562E5"/>
    <w:rsid w:val="00457BAA"/>
    <w:rsid w:val="00457BC3"/>
    <w:rsid w:val="00457BCD"/>
    <w:rsid w:val="00457D7B"/>
    <w:rsid w:val="0046034D"/>
    <w:rsid w:val="00460556"/>
    <w:rsid w:val="00461801"/>
    <w:rsid w:val="00461EBE"/>
    <w:rsid w:val="00462272"/>
    <w:rsid w:val="0046390C"/>
    <w:rsid w:val="00463BEB"/>
    <w:rsid w:val="00464569"/>
    <w:rsid w:val="004650FD"/>
    <w:rsid w:val="0046552D"/>
    <w:rsid w:val="0046553D"/>
    <w:rsid w:val="00465D4E"/>
    <w:rsid w:val="00466381"/>
    <w:rsid w:val="004667C8"/>
    <w:rsid w:val="00466EDC"/>
    <w:rsid w:val="00467393"/>
    <w:rsid w:val="00467B6F"/>
    <w:rsid w:val="00467BDD"/>
    <w:rsid w:val="00470446"/>
    <w:rsid w:val="004717F6"/>
    <w:rsid w:val="00471AC0"/>
    <w:rsid w:val="00472007"/>
    <w:rsid w:val="0047364D"/>
    <w:rsid w:val="004737C4"/>
    <w:rsid w:val="0047481E"/>
    <w:rsid w:val="0047481F"/>
    <w:rsid w:val="00474918"/>
    <w:rsid w:val="00474FFA"/>
    <w:rsid w:val="00475EAF"/>
    <w:rsid w:val="0047681C"/>
    <w:rsid w:val="004770E7"/>
    <w:rsid w:val="004802AB"/>
    <w:rsid w:val="004815F8"/>
    <w:rsid w:val="00481E32"/>
    <w:rsid w:val="004831ED"/>
    <w:rsid w:val="004831FC"/>
    <w:rsid w:val="004836A7"/>
    <w:rsid w:val="00483E79"/>
    <w:rsid w:val="004847B4"/>
    <w:rsid w:val="00484921"/>
    <w:rsid w:val="00486614"/>
    <w:rsid w:val="00486CFE"/>
    <w:rsid w:val="00486E2C"/>
    <w:rsid w:val="00487288"/>
    <w:rsid w:val="00487955"/>
    <w:rsid w:val="00487DE2"/>
    <w:rsid w:val="00487E11"/>
    <w:rsid w:val="00487FB8"/>
    <w:rsid w:val="004900FE"/>
    <w:rsid w:val="00490A42"/>
    <w:rsid w:val="004919D4"/>
    <w:rsid w:val="00491D62"/>
    <w:rsid w:val="00491FB2"/>
    <w:rsid w:val="0049200C"/>
    <w:rsid w:val="00492046"/>
    <w:rsid w:val="0049212C"/>
    <w:rsid w:val="00492ABE"/>
    <w:rsid w:val="0049373C"/>
    <w:rsid w:val="00493F5F"/>
    <w:rsid w:val="004952C9"/>
    <w:rsid w:val="00495453"/>
    <w:rsid w:val="00495959"/>
    <w:rsid w:val="00495C39"/>
    <w:rsid w:val="004975DB"/>
    <w:rsid w:val="004975EC"/>
    <w:rsid w:val="00497A21"/>
    <w:rsid w:val="00497EEA"/>
    <w:rsid w:val="00497F82"/>
    <w:rsid w:val="004A0560"/>
    <w:rsid w:val="004A1104"/>
    <w:rsid w:val="004A1224"/>
    <w:rsid w:val="004A1ABD"/>
    <w:rsid w:val="004A247B"/>
    <w:rsid w:val="004A28C5"/>
    <w:rsid w:val="004A2AD1"/>
    <w:rsid w:val="004A2F59"/>
    <w:rsid w:val="004A3865"/>
    <w:rsid w:val="004A3933"/>
    <w:rsid w:val="004A3B41"/>
    <w:rsid w:val="004A3EB6"/>
    <w:rsid w:val="004A4DEE"/>
    <w:rsid w:val="004A539C"/>
    <w:rsid w:val="004A5E53"/>
    <w:rsid w:val="004A64B4"/>
    <w:rsid w:val="004A660C"/>
    <w:rsid w:val="004A6B44"/>
    <w:rsid w:val="004A6E0E"/>
    <w:rsid w:val="004A6E18"/>
    <w:rsid w:val="004A723C"/>
    <w:rsid w:val="004A7CB5"/>
    <w:rsid w:val="004A7D43"/>
    <w:rsid w:val="004B00D0"/>
    <w:rsid w:val="004B0527"/>
    <w:rsid w:val="004B0B19"/>
    <w:rsid w:val="004B0B6E"/>
    <w:rsid w:val="004B0F83"/>
    <w:rsid w:val="004B1081"/>
    <w:rsid w:val="004B1403"/>
    <w:rsid w:val="004B1E81"/>
    <w:rsid w:val="004B23F6"/>
    <w:rsid w:val="004B35F0"/>
    <w:rsid w:val="004B37A7"/>
    <w:rsid w:val="004B4426"/>
    <w:rsid w:val="004B44E1"/>
    <w:rsid w:val="004B4966"/>
    <w:rsid w:val="004B57AF"/>
    <w:rsid w:val="004B5F2A"/>
    <w:rsid w:val="004B6D8D"/>
    <w:rsid w:val="004B74B2"/>
    <w:rsid w:val="004C103D"/>
    <w:rsid w:val="004C1303"/>
    <w:rsid w:val="004C1399"/>
    <w:rsid w:val="004C1439"/>
    <w:rsid w:val="004C17D6"/>
    <w:rsid w:val="004C1C09"/>
    <w:rsid w:val="004C2A17"/>
    <w:rsid w:val="004C2B0E"/>
    <w:rsid w:val="004C3BEA"/>
    <w:rsid w:val="004C3DB1"/>
    <w:rsid w:val="004C41C7"/>
    <w:rsid w:val="004C45F5"/>
    <w:rsid w:val="004C4FE2"/>
    <w:rsid w:val="004C502D"/>
    <w:rsid w:val="004C53D4"/>
    <w:rsid w:val="004C5507"/>
    <w:rsid w:val="004C7665"/>
    <w:rsid w:val="004D00EB"/>
    <w:rsid w:val="004D0D6B"/>
    <w:rsid w:val="004D0DDD"/>
    <w:rsid w:val="004D18BE"/>
    <w:rsid w:val="004D1E1A"/>
    <w:rsid w:val="004D1EFF"/>
    <w:rsid w:val="004D2335"/>
    <w:rsid w:val="004D23A9"/>
    <w:rsid w:val="004D252E"/>
    <w:rsid w:val="004D2683"/>
    <w:rsid w:val="004D2934"/>
    <w:rsid w:val="004D29F5"/>
    <w:rsid w:val="004D2F90"/>
    <w:rsid w:val="004D38BD"/>
    <w:rsid w:val="004D3F65"/>
    <w:rsid w:val="004D538B"/>
    <w:rsid w:val="004D5A5A"/>
    <w:rsid w:val="004D5ACD"/>
    <w:rsid w:val="004D660D"/>
    <w:rsid w:val="004D6D08"/>
    <w:rsid w:val="004D7804"/>
    <w:rsid w:val="004E0308"/>
    <w:rsid w:val="004E040E"/>
    <w:rsid w:val="004E077D"/>
    <w:rsid w:val="004E0CA0"/>
    <w:rsid w:val="004E2825"/>
    <w:rsid w:val="004E3079"/>
    <w:rsid w:val="004E3276"/>
    <w:rsid w:val="004E3836"/>
    <w:rsid w:val="004E3B3F"/>
    <w:rsid w:val="004E4065"/>
    <w:rsid w:val="004E5AAB"/>
    <w:rsid w:val="004E62E4"/>
    <w:rsid w:val="004E67B6"/>
    <w:rsid w:val="004E7C41"/>
    <w:rsid w:val="004F0E90"/>
    <w:rsid w:val="004F0F5B"/>
    <w:rsid w:val="004F113F"/>
    <w:rsid w:val="004F1212"/>
    <w:rsid w:val="004F12CE"/>
    <w:rsid w:val="004F22B8"/>
    <w:rsid w:val="004F2437"/>
    <w:rsid w:val="004F2A84"/>
    <w:rsid w:val="004F38E1"/>
    <w:rsid w:val="004F4624"/>
    <w:rsid w:val="004F4B06"/>
    <w:rsid w:val="004F4C7B"/>
    <w:rsid w:val="004F52BB"/>
    <w:rsid w:val="004F5573"/>
    <w:rsid w:val="004F5D8B"/>
    <w:rsid w:val="004F634F"/>
    <w:rsid w:val="004F7556"/>
    <w:rsid w:val="004F78BF"/>
    <w:rsid w:val="005003B8"/>
    <w:rsid w:val="005006F3"/>
    <w:rsid w:val="00500700"/>
    <w:rsid w:val="00500ED4"/>
    <w:rsid w:val="00501302"/>
    <w:rsid w:val="0050141B"/>
    <w:rsid w:val="00501D6F"/>
    <w:rsid w:val="00502638"/>
    <w:rsid w:val="005029BC"/>
    <w:rsid w:val="00502B62"/>
    <w:rsid w:val="00502B87"/>
    <w:rsid w:val="0050346A"/>
    <w:rsid w:val="00503FD8"/>
    <w:rsid w:val="00504450"/>
    <w:rsid w:val="00504472"/>
    <w:rsid w:val="005048E3"/>
    <w:rsid w:val="00504A49"/>
    <w:rsid w:val="00505000"/>
    <w:rsid w:val="00505A77"/>
    <w:rsid w:val="00505CB3"/>
    <w:rsid w:val="00505E16"/>
    <w:rsid w:val="005062CF"/>
    <w:rsid w:val="005067C7"/>
    <w:rsid w:val="00506EB0"/>
    <w:rsid w:val="00506EE5"/>
    <w:rsid w:val="0050798C"/>
    <w:rsid w:val="0051067B"/>
    <w:rsid w:val="0051112F"/>
    <w:rsid w:val="0051207B"/>
    <w:rsid w:val="005136CD"/>
    <w:rsid w:val="00513CCB"/>
    <w:rsid w:val="00513F14"/>
    <w:rsid w:val="00514457"/>
    <w:rsid w:val="0051498D"/>
    <w:rsid w:val="00514B1A"/>
    <w:rsid w:val="00514E2B"/>
    <w:rsid w:val="005150C5"/>
    <w:rsid w:val="00515132"/>
    <w:rsid w:val="00515A34"/>
    <w:rsid w:val="00516415"/>
    <w:rsid w:val="00516D2C"/>
    <w:rsid w:val="00517351"/>
    <w:rsid w:val="005176A0"/>
    <w:rsid w:val="00517A55"/>
    <w:rsid w:val="005201FC"/>
    <w:rsid w:val="00521860"/>
    <w:rsid w:val="00521D74"/>
    <w:rsid w:val="005222CC"/>
    <w:rsid w:val="00522622"/>
    <w:rsid w:val="00523B5E"/>
    <w:rsid w:val="00524275"/>
    <w:rsid w:val="005250EE"/>
    <w:rsid w:val="00525AB1"/>
    <w:rsid w:val="005260F2"/>
    <w:rsid w:val="00526333"/>
    <w:rsid w:val="00526B01"/>
    <w:rsid w:val="00526BAA"/>
    <w:rsid w:val="00526C61"/>
    <w:rsid w:val="00527492"/>
    <w:rsid w:val="005277F5"/>
    <w:rsid w:val="0053093B"/>
    <w:rsid w:val="005310C1"/>
    <w:rsid w:val="0053190D"/>
    <w:rsid w:val="00531934"/>
    <w:rsid w:val="00531D8F"/>
    <w:rsid w:val="00532195"/>
    <w:rsid w:val="005328A9"/>
    <w:rsid w:val="00532994"/>
    <w:rsid w:val="005329BE"/>
    <w:rsid w:val="00532F42"/>
    <w:rsid w:val="00533515"/>
    <w:rsid w:val="00534105"/>
    <w:rsid w:val="005342DE"/>
    <w:rsid w:val="00534AC0"/>
    <w:rsid w:val="00535557"/>
    <w:rsid w:val="0053595A"/>
    <w:rsid w:val="00535C4E"/>
    <w:rsid w:val="00535CF2"/>
    <w:rsid w:val="00535D94"/>
    <w:rsid w:val="0053606A"/>
    <w:rsid w:val="005369C0"/>
    <w:rsid w:val="00536B92"/>
    <w:rsid w:val="00537151"/>
    <w:rsid w:val="00537ADF"/>
    <w:rsid w:val="00540811"/>
    <w:rsid w:val="00540B25"/>
    <w:rsid w:val="00540D82"/>
    <w:rsid w:val="00541254"/>
    <w:rsid w:val="005420BC"/>
    <w:rsid w:val="005421CC"/>
    <w:rsid w:val="00542BA5"/>
    <w:rsid w:val="00542F3C"/>
    <w:rsid w:val="00544841"/>
    <w:rsid w:val="00544869"/>
    <w:rsid w:val="00544FFF"/>
    <w:rsid w:val="005451D6"/>
    <w:rsid w:val="005458CC"/>
    <w:rsid w:val="00547058"/>
    <w:rsid w:val="005472C0"/>
    <w:rsid w:val="00547CD4"/>
    <w:rsid w:val="00547E34"/>
    <w:rsid w:val="00547EB8"/>
    <w:rsid w:val="0055065D"/>
    <w:rsid w:val="00551CE1"/>
    <w:rsid w:val="00552FC2"/>
    <w:rsid w:val="00553DA2"/>
    <w:rsid w:val="005543FB"/>
    <w:rsid w:val="00554D69"/>
    <w:rsid w:val="00555623"/>
    <w:rsid w:val="005562DC"/>
    <w:rsid w:val="005563EF"/>
    <w:rsid w:val="00556725"/>
    <w:rsid w:val="00557A85"/>
    <w:rsid w:val="005601F9"/>
    <w:rsid w:val="005606B5"/>
    <w:rsid w:val="0056098D"/>
    <w:rsid w:val="00560E2D"/>
    <w:rsid w:val="00561498"/>
    <w:rsid w:val="00562BAD"/>
    <w:rsid w:val="00562D1D"/>
    <w:rsid w:val="00562FEE"/>
    <w:rsid w:val="00563654"/>
    <w:rsid w:val="0056365E"/>
    <w:rsid w:val="00564891"/>
    <w:rsid w:val="00565A95"/>
    <w:rsid w:val="00565C77"/>
    <w:rsid w:val="00565C96"/>
    <w:rsid w:val="00566152"/>
    <w:rsid w:val="00566181"/>
    <w:rsid w:val="005663E8"/>
    <w:rsid w:val="00566B94"/>
    <w:rsid w:val="00566D6F"/>
    <w:rsid w:val="00567843"/>
    <w:rsid w:val="0057018C"/>
    <w:rsid w:val="005703CD"/>
    <w:rsid w:val="005708BD"/>
    <w:rsid w:val="005723F9"/>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2A81"/>
    <w:rsid w:val="00583362"/>
    <w:rsid w:val="00583B88"/>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14D5"/>
    <w:rsid w:val="0059205C"/>
    <w:rsid w:val="005922AE"/>
    <w:rsid w:val="00592349"/>
    <w:rsid w:val="00592D49"/>
    <w:rsid w:val="005939BA"/>
    <w:rsid w:val="00593EAD"/>
    <w:rsid w:val="00593FFC"/>
    <w:rsid w:val="0059453A"/>
    <w:rsid w:val="005955BA"/>
    <w:rsid w:val="005956C2"/>
    <w:rsid w:val="00596C12"/>
    <w:rsid w:val="00596F3F"/>
    <w:rsid w:val="00596F9B"/>
    <w:rsid w:val="00597A29"/>
    <w:rsid w:val="00597EEF"/>
    <w:rsid w:val="005A02CB"/>
    <w:rsid w:val="005A09CE"/>
    <w:rsid w:val="005A0A03"/>
    <w:rsid w:val="005A1C4E"/>
    <w:rsid w:val="005A2879"/>
    <w:rsid w:val="005A29D9"/>
    <w:rsid w:val="005A2E0C"/>
    <w:rsid w:val="005A3678"/>
    <w:rsid w:val="005A39E0"/>
    <w:rsid w:val="005A3DAF"/>
    <w:rsid w:val="005A4166"/>
    <w:rsid w:val="005A4251"/>
    <w:rsid w:val="005A467A"/>
    <w:rsid w:val="005A4A1A"/>
    <w:rsid w:val="005A5647"/>
    <w:rsid w:val="005A5C08"/>
    <w:rsid w:val="005A5C0F"/>
    <w:rsid w:val="005A61D3"/>
    <w:rsid w:val="005A6D23"/>
    <w:rsid w:val="005A75E7"/>
    <w:rsid w:val="005A7C0B"/>
    <w:rsid w:val="005A7E70"/>
    <w:rsid w:val="005B1A53"/>
    <w:rsid w:val="005B1BFD"/>
    <w:rsid w:val="005B2073"/>
    <w:rsid w:val="005B2165"/>
    <w:rsid w:val="005B2416"/>
    <w:rsid w:val="005B2AF7"/>
    <w:rsid w:val="005B3010"/>
    <w:rsid w:val="005B4096"/>
    <w:rsid w:val="005B40E8"/>
    <w:rsid w:val="005B589D"/>
    <w:rsid w:val="005B5D2A"/>
    <w:rsid w:val="005B6A94"/>
    <w:rsid w:val="005B6DAA"/>
    <w:rsid w:val="005B72F6"/>
    <w:rsid w:val="005B7314"/>
    <w:rsid w:val="005B7C27"/>
    <w:rsid w:val="005B7D8B"/>
    <w:rsid w:val="005C03F6"/>
    <w:rsid w:val="005C0475"/>
    <w:rsid w:val="005C057D"/>
    <w:rsid w:val="005C0600"/>
    <w:rsid w:val="005C0CD9"/>
    <w:rsid w:val="005C1500"/>
    <w:rsid w:val="005C1569"/>
    <w:rsid w:val="005C224F"/>
    <w:rsid w:val="005C348A"/>
    <w:rsid w:val="005C3C1A"/>
    <w:rsid w:val="005C45F7"/>
    <w:rsid w:val="005C4604"/>
    <w:rsid w:val="005C460E"/>
    <w:rsid w:val="005C46D8"/>
    <w:rsid w:val="005C4BEE"/>
    <w:rsid w:val="005C679A"/>
    <w:rsid w:val="005C67D4"/>
    <w:rsid w:val="005C6E74"/>
    <w:rsid w:val="005C71D4"/>
    <w:rsid w:val="005C732E"/>
    <w:rsid w:val="005C781C"/>
    <w:rsid w:val="005D04B7"/>
    <w:rsid w:val="005D13ED"/>
    <w:rsid w:val="005D181E"/>
    <w:rsid w:val="005D1E16"/>
    <w:rsid w:val="005D1F42"/>
    <w:rsid w:val="005D330E"/>
    <w:rsid w:val="005D4B9C"/>
    <w:rsid w:val="005D520F"/>
    <w:rsid w:val="005D5532"/>
    <w:rsid w:val="005D645A"/>
    <w:rsid w:val="005D6E07"/>
    <w:rsid w:val="005D73D4"/>
    <w:rsid w:val="005D7A35"/>
    <w:rsid w:val="005D7E20"/>
    <w:rsid w:val="005E034F"/>
    <w:rsid w:val="005E0803"/>
    <w:rsid w:val="005E097B"/>
    <w:rsid w:val="005E09A7"/>
    <w:rsid w:val="005E198B"/>
    <w:rsid w:val="005E19D9"/>
    <w:rsid w:val="005E1D35"/>
    <w:rsid w:val="005E2846"/>
    <w:rsid w:val="005E2A31"/>
    <w:rsid w:val="005E3371"/>
    <w:rsid w:val="005E38AC"/>
    <w:rsid w:val="005E3D2F"/>
    <w:rsid w:val="005E442F"/>
    <w:rsid w:val="005E488E"/>
    <w:rsid w:val="005E4AED"/>
    <w:rsid w:val="005E54A3"/>
    <w:rsid w:val="005E5625"/>
    <w:rsid w:val="005E5E0E"/>
    <w:rsid w:val="005E61D8"/>
    <w:rsid w:val="005E6E81"/>
    <w:rsid w:val="005E6F2B"/>
    <w:rsid w:val="005E7E2C"/>
    <w:rsid w:val="005E7F97"/>
    <w:rsid w:val="005F05A0"/>
    <w:rsid w:val="005F0625"/>
    <w:rsid w:val="005F08BD"/>
    <w:rsid w:val="005F1ADE"/>
    <w:rsid w:val="005F29CD"/>
    <w:rsid w:val="005F2FDC"/>
    <w:rsid w:val="005F3175"/>
    <w:rsid w:val="005F3436"/>
    <w:rsid w:val="005F3506"/>
    <w:rsid w:val="005F3AB2"/>
    <w:rsid w:val="005F3B4C"/>
    <w:rsid w:val="005F41D8"/>
    <w:rsid w:val="005F4739"/>
    <w:rsid w:val="005F4D05"/>
    <w:rsid w:val="005F580A"/>
    <w:rsid w:val="005F5884"/>
    <w:rsid w:val="005F59D0"/>
    <w:rsid w:val="005F6228"/>
    <w:rsid w:val="005F642B"/>
    <w:rsid w:val="005F67FC"/>
    <w:rsid w:val="005F6E70"/>
    <w:rsid w:val="005F7AB7"/>
    <w:rsid w:val="006006CD"/>
    <w:rsid w:val="00601630"/>
    <w:rsid w:val="006019D1"/>
    <w:rsid w:val="00601A28"/>
    <w:rsid w:val="0060237C"/>
    <w:rsid w:val="006026E1"/>
    <w:rsid w:val="00603A90"/>
    <w:rsid w:val="00605163"/>
    <w:rsid w:val="006065BF"/>
    <w:rsid w:val="00606F5E"/>
    <w:rsid w:val="006070EA"/>
    <w:rsid w:val="00607516"/>
    <w:rsid w:val="00607ABE"/>
    <w:rsid w:val="00607F53"/>
    <w:rsid w:val="00610162"/>
    <w:rsid w:val="006103D0"/>
    <w:rsid w:val="006104F7"/>
    <w:rsid w:val="0061103A"/>
    <w:rsid w:val="006118E8"/>
    <w:rsid w:val="00611EAE"/>
    <w:rsid w:val="006123AD"/>
    <w:rsid w:val="0061344A"/>
    <w:rsid w:val="0061364A"/>
    <w:rsid w:val="00613BEA"/>
    <w:rsid w:val="0061402C"/>
    <w:rsid w:val="00614AA3"/>
    <w:rsid w:val="006156CB"/>
    <w:rsid w:val="0061595F"/>
    <w:rsid w:val="00615A79"/>
    <w:rsid w:val="00616179"/>
    <w:rsid w:val="0061675B"/>
    <w:rsid w:val="006169C5"/>
    <w:rsid w:val="00617BAF"/>
    <w:rsid w:val="0062052B"/>
    <w:rsid w:val="00620797"/>
    <w:rsid w:val="00620F8F"/>
    <w:rsid w:val="00621A86"/>
    <w:rsid w:val="00623401"/>
    <w:rsid w:val="00623E35"/>
    <w:rsid w:val="00625865"/>
    <w:rsid w:val="006258B8"/>
    <w:rsid w:val="00625C40"/>
    <w:rsid w:val="00625DB3"/>
    <w:rsid w:val="006267C3"/>
    <w:rsid w:val="0062706E"/>
    <w:rsid w:val="0062751A"/>
    <w:rsid w:val="006278F7"/>
    <w:rsid w:val="00627E7C"/>
    <w:rsid w:val="006302E8"/>
    <w:rsid w:val="00630CFF"/>
    <w:rsid w:val="00630E8B"/>
    <w:rsid w:val="00630FC8"/>
    <w:rsid w:val="00631369"/>
    <w:rsid w:val="00631968"/>
    <w:rsid w:val="006323EA"/>
    <w:rsid w:val="00632481"/>
    <w:rsid w:val="0063262D"/>
    <w:rsid w:val="0063268B"/>
    <w:rsid w:val="00632B4A"/>
    <w:rsid w:val="0063390E"/>
    <w:rsid w:val="00634673"/>
    <w:rsid w:val="0063603B"/>
    <w:rsid w:val="00636A7E"/>
    <w:rsid w:val="00636E1E"/>
    <w:rsid w:val="0063746C"/>
    <w:rsid w:val="00637BBD"/>
    <w:rsid w:val="00640D17"/>
    <w:rsid w:val="006416A4"/>
    <w:rsid w:val="00641A99"/>
    <w:rsid w:val="00641CCA"/>
    <w:rsid w:val="006421A3"/>
    <w:rsid w:val="00642768"/>
    <w:rsid w:val="00642832"/>
    <w:rsid w:val="00642A84"/>
    <w:rsid w:val="00643EC8"/>
    <w:rsid w:val="0064411F"/>
    <w:rsid w:val="006447BF"/>
    <w:rsid w:val="00645E69"/>
    <w:rsid w:val="00646130"/>
    <w:rsid w:val="006463E6"/>
    <w:rsid w:val="0064674F"/>
    <w:rsid w:val="00646A1E"/>
    <w:rsid w:val="00646ACE"/>
    <w:rsid w:val="00646ADD"/>
    <w:rsid w:val="00647301"/>
    <w:rsid w:val="006474C0"/>
    <w:rsid w:val="00647892"/>
    <w:rsid w:val="00647927"/>
    <w:rsid w:val="00647E29"/>
    <w:rsid w:val="00650B2D"/>
    <w:rsid w:val="0065164B"/>
    <w:rsid w:val="00651F77"/>
    <w:rsid w:val="00652B9B"/>
    <w:rsid w:val="00652EDE"/>
    <w:rsid w:val="00652F78"/>
    <w:rsid w:val="006536DC"/>
    <w:rsid w:val="00653743"/>
    <w:rsid w:val="00653DD9"/>
    <w:rsid w:val="00654119"/>
    <w:rsid w:val="006547F8"/>
    <w:rsid w:val="006548FD"/>
    <w:rsid w:val="00654943"/>
    <w:rsid w:val="00654E6A"/>
    <w:rsid w:val="00654EC2"/>
    <w:rsid w:val="006551FC"/>
    <w:rsid w:val="00656403"/>
    <w:rsid w:val="006575F3"/>
    <w:rsid w:val="00657924"/>
    <w:rsid w:val="00660871"/>
    <w:rsid w:val="00661248"/>
    <w:rsid w:val="0066176D"/>
    <w:rsid w:val="00662809"/>
    <w:rsid w:val="00663823"/>
    <w:rsid w:val="00664E08"/>
    <w:rsid w:val="006650D0"/>
    <w:rsid w:val="0066589B"/>
    <w:rsid w:val="00665A8F"/>
    <w:rsid w:val="0066702D"/>
    <w:rsid w:val="006675D2"/>
    <w:rsid w:val="0066774D"/>
    <w:rsid w:val="00667F30"/>
    <w:rsid w:val="00667F42"/>
    <w:rsid w:val="006702BE"/>
    <w:rsid w:val="006706D7"/>
    <w:rsid w:val="00671284"/>
    <w:rsid w:val="00671514"/>
    <w:rsid w:val="006724BF"/>
    <w:rsid w:val="006727FC"/>
    <w:rsid w:val="00673906"/>
    <w:rsid w:val="0067391F"/>
    <w:rsid w:val="006750DE"/>
    <w:rsid w:val="006756CD"/>
    <w:rsid w:val="00675F49"/>
    <w:rsid w:val="00676105"/>
    <w:rsid w:val="006761AC"/>
    <w:rsid w:val="00676613"/>
    <w:rsid w:val="00676E5B"/>
    <w:rsid w:val="0067727B"/>
    <w:rsid w:val="00677D6B"/>
    <w:rsid w:val="00680380"/>
    <w:rsid w:val="00680795"/>
    <w:rsid w:val="00680AA6"/>
    <w:rsid w:val="00680B42"/>
    <w:rsid w:val="00681523"/>
    <w:rsid w:val="00682713"/>
    <w:rsid w:val="00683451"/>
    <w:rsid w:val="00683579"/>
    <w:rsid w:val="00683608"/>
    <w:rsid w:val="0068433C"/>
    <w:rsid w:val="006843F4"/>
    <w:rsid w:val="00684598"/>
    <w:rsid w:val="006854CE"/>
    <w:rsid w:val="00686196"/>
    <w:rsid w:val="00686B47"/>
    <w:rsid w:val="0068790B"/>
    <w:rsid w:val="006906E4"/>
    <w:rsid w:val="00690C13"/>
    <w:rsid w:val="006913EB"/>
    <w:rsid w:val="00691C54"/>
    <w:rsid w:val="00691E49"/>
    <w:rsid w:val="006921E7"/>
    <w:rsid w:val="006922DC"/>
    <w:rsid w:val="006928E4"/>
    <w:rsid w:val="00692A79"/>
    <w:rsid w:val="006933C9"/>
    <w:rsid w:val="0069352A"/>
    <w:rsid w:val="006941DD"/>
    <w:rsid w:val="006942A3"/>
    <w:rsid w:val="006943D1"/>
    <w:rsid w:val="0069466B"/>
    <w:rsid w:val="00694795"/>
    <w:rsid w:val="00695014"/>
    <w:rsid w:val="0069541D"/>
    <w:rsid w:val="0069545F"/>
    <w:rsid w:val="00696358"/>
    <w:rsid w:val="00696AA8"/>
    <w:rsid w:val="00696AC0"/>
    <w:rsid w:val="006A15A8"/>
    <w:rsid w:val="006A1838"/>
    <w:rsid w:val="006A213E"/>
    <w:rsid w:val="006A257C"/>
    <w:rsid w:val="006A2615"/>
    <w:rsid w:val="006A335E"/>
    <w:rsid w:val="006A3366"/>
    <w:rsid w:val="006A4158"/>
    <w:rsid w:val="006A447C"/>
    <w:rsid w:val="006A4AA7"/>
    <w:rsid w:val="006A4E15"/>
    <w:rsid w:val="006A568A"/>
    <w:rsid w:val="006A5866"/>
    <w:rsid w:val="006A5D75"/>
    <w:rsid w:val="006A5E4F"/>
    <w:rsid w:val="006A6131"/>
    <w:rsid w:val="006A643C"/>
    <w:rsid w:val="006A665F"/>
    <w:rsid w:val="006A6FB7"/>
    <w:rsid w:val="006A76A9"/>
    <w:rsid w:val="006A78B0"/>
    <w:rsid w:val="006B0F54"/>
    <w:rsid w:val="006B12C6"/>
    <w:rsid w:val="006B3004"/>
    <w:rsid w:val="006B415B"/>
    <w:rsid w:val="006B441F"/>
    <w:rsid w:val="006B4C95"/>
    <w:rsid w:val="006B4CBA"/>
    <w:rsid w:val="006B59AD"/>
    <w:rsid w:val="006B61E2"/>
    <w:rsid w:val="006B695F"/>
    <w:rsid w:val="006B6FEB"/>
    <w:rsid w:val="006B7542"/>
    <w:rsid w:val="006C0A59"/>
    <w:rsid w:val="006C16B6"/>
    <w:rsid w:val="006C16FB"/>
    <w:rsid w:val="006C19EE"/>
    <w:rsid w:val="006C1A59"/>
    <w:rsid w:val="006C207A"/>
    <w:rsid w:val="006C2E46"/>
    <w:rsid w:val="006C3986"/>
    <w:rsid w:val="006C3B05"/>
    <w:rsid w:val="006C44A3"/>
    <w:rsid w:val="006C47CE"/>
    <w:rsid w:val="006C48BE"/>
    <w:rsid w:val="006C4BB6"/>
    <w:rsid w:val="006C4E45"/>
    <w:rsid w:val="006C5678"/>
    <w:rsid w:val="006C5722"/>
    <w:rsid w:val="006C573D"/>
    <w:rsid w:val="006C5D86"/>
    <w:rsid w:val="006C5EE1"/>
    <w:rsid w:val="006C61B1"/>
    <w:rsid w:val="006C6DB8"/>
    <w:rsid w:val="006D059A"/>
    <w:rsid w:val="006D0669"/>
    <w:rsid w:val="006D0845"/>
    <w:rsid w:val="006D1BE6"/>
    <w:rsid w:val="006D1D4E"/>
    <w:rsid w:val="006D2993"/>
    <w:rsid w:val="006D3771"/>
    <w:rsid w:val="006D39DC"/>
    <w:rsid w:val="006D3B72"/>
    <w:rsid w:val="006D440A"/>
    <w:rsid w:val="006D4881"/>
    <w:rsid w:val="006D4A6A"/>
    <w:rsid w:val="006D50B2"/>
    <w:rsid w:val="006D5599"/>
    <w:rsid w:val="006D592F"/>
    <w:rsid w:val="006D5A11"/>
    <w:rsid w:val="006D62BE"/>
    <w:rsid w:val="006D6683"/>
    <w:rsid w:val="006D7B71"/>
    <w:rsid w:val="006D7FBA"/>
    <w:rsid w:val="006E0006"/>
    <w:rsid w:val="006E01BB"/>
    <w:rsid w:val="006E063E"/>
    <w:rsid w:val="006E0DF6"/>
    <w:rsid w:val="006E0FB2"/>
    <w:rsid w:val="006E1456"/>
    <w:rsid w:val="006E16CF"/>
    <w:rsid w:val="006E1BA9"/>
    <w:rsid w:val="006E1BDE"/>
    <w:rsid w:val="006E1DD7"/>
    <w:rsid w:val="006E1E98"/>
    <w:rsid w:val="006E25F2"/>
    <w:rsid w:val="006E2B7A"/>
    <w:rsid w:val="006E336C"/>
    <w:rsid w:val="006E35A9"/>
    <w:rsid w:val="006E3B9E"/>
    <w:rsid w:val="006E4A27"/>
    <w:rsid w:val="006E4AFB"/>
    <w:rsid w:val="006E4DF1"/>
    <w:rsid w:val="006E4FF2"/>
    <w:rsid w:val="006E5828"/>
    <w:rsid w:val="006E5B71"/>
    <w:rsid w:val="006E6BB9"/>
    <w:rsid w:val="006E6DD6"/>
    <w:rsid w:val="006E6FCC"/>
    <w:rsid w:val="006E784F"/>
    <w:rsid w:val="006F0373"/>
    <w:rsid w:val="006F04AA"/>
    <w:rsid w:val="006F0B4F"/>
    <w:rsid w:val="006F0D41"/>
    <w:rsid w:val="006F0E97"/>
    <w:rsid w:val="006F1473"/>
    <w:rsid w:val="006F1592"/>
    <w:rsid w:val="006F205D"/>
    <w:rsid w:val="006F2A8C"/>
    <w:rsid w:val="006F2DF3"/>
    <w:rsid w:val="006F2DF9"/>
    <w:rsid w:val="006F3339"/>
    <w:rsid w:val="006F35D1"/>
    <w:rsid w:val="006F3B83"/>
    <w:rsid w:val="006F3C6F"/>
    <w:rsid w:val="006F41C6"/>
    <w:rsid w:val="006F457E"/>
    <w:rsid w:val="006F5DD9"/>
    <w:rsid w:val="006F61D2"/>
    <w:rsid w:val="006F6FA2"/>
    <w:rsid w:val="007001D0"/>
    <w:rsid w:val="007009DD"/>
    <w:rsid w:val="00700CE3"/>
    <w:rsid w:val="00701498"/>
    <w:rsid w:val="00701E70"/>
    <w:rsid w:val="00702E26"/>
    <w:rsid w:val="00703183"/>
    <w:rsid w:val="00704BB6"/>
    <w:rsid w:val="00704F47"/>
    <w:rsid w:val="00705001"/>
    <w:rsid w:val="00705177"/>
    <w:rsid w:val="0070574B"/>
    <w:rsid w:val="00705BC0"/>
    <w:rsid w:val="007072C2"/>
    <w:rsid w:val="0070746B"/>
    <w:rsid w:val="007075CA"/>
    <w:rsid w:val="00707A3D"/>
    <w:rsid w:val="00710C02"/>
    <w:rsid w:val="00711259"/>
    <w:rsid w:val="007114A1"/>
    <w:rsid w:val="0071151E"/>
    <w:rsid w:val="007117F8"/>
    <w:rsid w:val="007118AC"/>
    <w:rsid w:val="00711FC7"/>
    <w:rsid w:val="007128F4"/>
    <w:rsid w:val="00712F61"/>
    <w:rsid w:val="0071482B"/>
    <w:rsid w:val="0071482C"/>
    <w:rsid w:val="00714C8F"/>
    <w:rsid w:val="00715A32"/>
    <w:rsid w:val="00715B8B"/>
    <w:rsid w:val="00715E4C"/>
    <w:rsid w:val="00716CCB"/>
    <w:rsid w:val="00716F57"/>
    <w:rsid w:val="0071772B"/>
    <w:rsid w:val="00717A74"/>
    <w:rsid w:val="00720493"/>
    <w:rsid w:val="00720B35"/>
    <w:rsid w:val="00720EA2"/>
    <w:rsid w:val="00721019"/>
    <w:rsid w:val="00721409"/>
    <w:rsid w:val="00721CE0"/>
    <w:rsid w:val="007221A2"/>
    <w:rsid w:val="00722935"/>
    <w:rsid w:val="00722ABE"/>
    <w:rsid w:val="00723BA8"/>
    <w:rsid w:val="0072420C"/>
    <w:rsid w:val="00724257"/>
    <w:rsid w:val="0072431B"/>
    <w:rsid w:val="0072568C"/>
    <w:rsid w:val="00725A0A"/>
    <w:rsid w:val="00725ADA"/>
    <w:rsid w:val="00726FDE"/>
    <w:rsid w:val="00727815"/>
    <w:rsid w:val="007301A7"/>
    <w:rsid w:val="00730E31"/>
    <w:rsid w:val="007313A4"/>
    <w:rsid w:val="00732565"/>
    <w:rsid w:val="00732FD4"/>
    <w:rsid w:val="007346F8"/>
    <w:rsid w:val="00734D66"/>
    <w:rsid w:val="00734E06"/>
    <w:rsid w:val="007355C7"/>
    <w:rsid w:val="00736B4A"/>
    <w:rsid w:val="00736E9D"/>
    <w:rsid w:val="007373FA"/>
    <w:rsid w:val="007376CD"/>
    <w:rsid w:val="007379EF"/>
    <w:rsid w:val="00737E7D"/>
    <w:rsid w:val="00737EEA"/>
    <w:rsid w:val="007403EB"/>
    <w:rsid w:val="0074049F"/>
    <w:rsid w:val="0074063F"/>
    <w:rsid w:val="007406DA"/>
    <w:rsid w:val="00740EF1"/>
    <w:rsid w:val="00741BF8"/>
    <w:rsid w:val="0074250E"/>
    <w:rsid w:val="007430EC"/>
    <w:rsid w:val="007432CE"/>
    <w:rsid w:val="007437BA"/>
    <w:rsid w:val="007444E7"/>
    <w:rsid w:val="00744DBD"/>
    <w:rsid w:val="00745398"/>
    <w:rsid w:val="0074547D"/>
    <w:rsid w:val="00745A05"/>
    <w:rsid w:val="00746681"/>
    <w:rsid w:val="00746997"/>
    <w:rsid w:val="00746FC3"/>
    <w:rsid w:val="007476BA"/>
    <w:rsid w:val="007477E3"/>
    <w:rsid w:val="00747B90"/>
    <w:rsid w:val="007502B4"/>
    <w:rsid w:val="00754870"/>
    <w:rsid w:val="007549BF"/>
    <w:rsid w:val="00754DCA"/>
    <w:rsid w:val="00754FBA"/>
    <w:rsid w:val="007561F0"/>
    <w:rsid w:val="00756632"/>
    <w:rsid w:val="0075754A"/>
    <w:rsid w:val="00760554"/>
    <w:rsid w:val="0076083D"/>
    <w:rsid w:val="00761885"/>
    <w:rsid w:val="00761DC2"/>
    <w:rsid w:val="0076204C"/>
    <w:rsid w:val="007629F2"/>
    <w:rsid w:val="00762B1E"/>
    <w:rsid w:val="00763797"/>
    <w:rsid w:val="00764B94"/>
    <w:rsid w:val="007652E2"/>
    <w:rsid w:val="007659A5"/>
    <w:rsid w:val="00765A82"/>
    <w:rsid w:val="00766434"/>
    <w:rsid w:val="0076653E"/>
    <w:rsid w:val="00766B96"/>
    <w:rsid w:val="00766CC1"/>
    <w:rsid w:val="00770E10"/>
    <w:rsid w:val="00770EFB"/>
    <w:rsid w:val="00771E5C"/>
    <w:rsid w:val="00772107"/>
    <w:rsid w:val="00772A9B"/>
    <w:rsid w:val="00772BA7"/>
    <w:rsid w:val="0077395D"/>
    <w:rsid w:val="00773E30"/>
    <w:rsid w:val="007742FF"/>
    <w:rsid w:val="0077496E"/>
    <w:rsid w:val="00774A83"/>
    <w:rsid w:val="00775146"/>
    <w:rsid w:val="0077566D"/>
    <w:rsid w:val="00776097"/>
    <w:rsid w:val="007766A5"/>
    <w:rsid w:val="00776E39"/>
    <w:rsid w:val="00777907"/>
    <w:rsid w:val="00777B77"/>
    <w:rsid w:val="0078016D"/>
    <w:rsid w:val="007807BE"/>
    <w:rsid w:val="00780C62"/>
    <w:rsid w:val="00781638"/>
    <w:rsid w:val="00781778"/>
    <w:rsid w:val="00781F61"/>
    <w:rsid w:val="00782098"/>
    <w:rsid w:val="00782467"/>
    <w:rsid w:val="00783D75"/>
    <w:rsid w:val="00784601"/>
    <w:rsid w:val="00784AB7"/>
    <w:rsid w:val="00784DA7"/>
    <w:rsid w:val="007857E3"/>
    <w:rsid w:val="007860F4"/>
    <w:rsid w:val="00786231"/>
    <w:rsid w:val="00786F53"/>
    <w:rsid w:val="0079000B"/>
    <w:rsid w:val="007900AF"/>
    <w:rsid w:val="007900CB"/>
    <w:rsid w:val="007905B2"/>
    <w:rsid w:val="00790E9B"/>
    <w:rsid w:val="007917E7"/>
    <w:rsid w:val="00791EDE"/>
    <w:rsid w:val="0079267A"/>
    <w:rsid w:val="007927C6"/>
    <w:rsid w:val="007933FE"/>
    <w:rsid w:val="0079348E"/>
    <w:rsid w:val="00793E4D"/>
    <w:rsid w:val="00793EEB"/>
    <w:rsid w:val="0079405B"/>
    <w:rsid w:val="0079532F"/>
    <w:rsid w:val="00795679"/>
    <w:rsid w:val="007962E2"/>
    <w:rsid w:val="0079797F"/>
    <w:rsid w:val="007A05F4"/>
    <w:rsid w:val="007A0BB9"/>
    <w:rsid w:val="007A14E8"/>
    <w:rsid w:val="007A153F"/>
    <w:rsid w:val="007A1B73"/>
    <w:rsid w:val="007A1D73"/>
    <w:rsid w:val="007A2A50"/>
    <w:rsid w:val="007A3FD7"/>
    <w:rsid w:val="007A4023"/>
    <w:rsid w:val="007A4C91"/>
    <w:rsid w:val="007A5445"/>
    <w:rsid w:val="007A5A94"/>
    <w:rsid w:val="007A5E11"/>
    <w:rsid w:val="007A6176"/>
    <w:rsid w:val="007A6910"/>
    <w:rsid w:val="007A6A47"/>
    <w:rsid w:val="007A6C47"/>
    <w:rsid w:val="007A6E37"/>
    <w:rsid w:val="007B080E"/>
    <w:rsid w:val="007B0D0D"/>
    <w:rsid w:val="007B1395"/>
    <w:rsid w:val="007B13F7"/>
    <w:rsid w:val="007B162F"/>
    <w:rsid w:val="007B1D8A"/>
    <w:rsid w:val="007B2FAD"/>
    <w:rsid w:val="007B31F7"/>
    <w:rsid w:val="007B347F"/>
    <w:rsid w:val="007B39F6"/>
    <w:rsid w:val="007B41B1"/>
    <w:rsid w:val="007B42BE"/>
    <w:rsid w:val="007B4481"/>
    <w:rsid w:val="007B4EFE"/>
    <w:rsid w:val="007B5656"/>
    <w:rsid w:val="007B58A3"/>
    <w:rsid w:val="007B5A98"/>
    <w:rsid w:val="007B5E30"/>
    <w:rsid w:val="007B5E45"/>
    <w:rsid w:val="007B7265"/>
    <w:rsid w:val="007B726E"/>
    <w:rsid w:val="007C0821"/>
    <w:rsid w:val="007C08A3"/>
    <w:rsid w:val="007C1DB0"/>
    <w:rsid w:val="007C2270"/>
    <w:rsid w:val="007C27D4"/>
    <w:rsid w:val="007C2C8E"/>
    <w:rsid w:val="007C2CC4"/>
    <w:rsid w:val="007C3E74"/>
    <w:rsid w:val="007C468F"/>
    <w:rsid w:val="007C4720"/>
    <w:rsid w:val="007C4CCE"/>
    <w:rsid w:val="007C570A"/>
    <w:rsid w:val="007C5873"/>
    <w:rsid w:val="007C5994"/>
    <w:rsid w:val="007C6185"/>
    <w:rsid w:val="007C635E"/>
    <w:rsid w:val="007C7357"/>
    <w:rsid w:val="007C78A9"/>
    <w:rsid w:val="007C7D49"/>
    <w:rsid w:val="007C7DE5"/>
    <w:rsid w:val="007C7E41"/>
    <w:rsid w:val="007D01DF"/>
    <w:rsid w:val="007D0204"/>
    <w:rsid w:val="007D0ADA"/>
    <w:rsid w:val="007D0EEB"/>
    <w:rsid w:val="007D1D99"/>
    <w:rsid w:val="007D1D9F"/>
    <w:rsid w:val="007D34F7"/>
    <w:rsid w:val="007D3510"/>
    <w:rsid w:val="007D3A7A"/>
    <w:rsid w:val="007D3FCA"/>
    <w:rsid w:val="007D4D2A"/>
    <w:rsid w:val="007D51BA"/>
    <w:rsid w:val="007D57E0"/>
    <w:rsid w:val="007D5B26"/>
    <w:rsid w:val="007D5D2B"/>
    <w:rsid w:val="007D5E52"/>
    <w:rsid w:val="007D7027"/>
    <w:rsid w:val="007D763D"/>
    <w:rsid w:val="007D77A3"/>
    <w:rsid w:val="007D7D18"/>
    <w:rsid w:val="007E00B1"/>
    <w:rsid w:val="007E0749"/>
    <w:rsid w:val="007E0E33"/>
    <w:rsid w:val="007E104E"/>
    <w:rsid w:val="007E2F87"/>
    <w:rsid w:val="007E334F"/>
    <w:rsid w:val="007E3AC7"/>
    <w:rsid w:val="007E3CC7"/>
    <w:rsid w:val="007E4155"/>
    <w:rsid w:val="007E57B5"/>
    <w:rsid w:val="007E5D39"/>
    <w:rsid w:val="007E5D73"/>
    <w:rsid w:val="007E66C8"/>
    <w:rsid w:val="007E67BD"/>
    <w:rsid w:val="007E6BBD"/>
    <w:rsid w:val="007E7910"/>
    <w:rsid w:val="007E7B05"/>
    <w:rsid w:val="007F06E1"/>
    <w:rsid w:val="007F0C09"/>
    <w:rsid w:val="007F0FFF"/>
    <w:rsid w:val="007F33D1"/>
    <w:rsid w:val="007F3E75"/>
    <w:rsid w:val="007F47A2"/>
    <w:rsid w:val="007F4DD4"/>
    <w:rsid w:val="007F4E35"/>
    <w:rsid w:val="007F5179"/>
    <w:rsid w:val="007F517F"/>
    <w:rsid w:val="007F5D35"/>
    <w:rsid w:val="007F6074"/>
    <w:rsid w:val="007F6391"/>
    <w:rsid w:val="007F6A51"/>
    <w:rsid w:val="007F6CAD"/>
    <w:rsid w:val="007F6F40"/>
    <w:rsid w:val="007F6FB8"/>
    <w:rsid w:val="007F7051"/>
    <w:rsid w:val="007F7481"/>
    <w:rsid w:val="007F76FF"/>
    <w:rsid w:val="007F7E83"/>
    <w:rsid w:val="0080128B"/>
    <w:rsid w:val="00801491"/>
    <w:rsid w:val="008015A7"/>
    <w:rsid w:val="00801B8F"/>
    <w:rsid w:val="00801EF6"/>
    <w:rsid w:val="00802AEC"/>
    <w:rsid w:val="00803099"/>
    <w:rsid w:val="0080406C"/>
    <w:rsid w:val="00804C61"/>
    <w:rsid w:val="0080562C"/>
    <w:rsid w:val="0080564B"/>
    <w:rsid w:val="00805AAD"/>
    <w:rsid w:val="00806012"/>
    <w:rsid w:val="008060EF"/>
    <w:rsid w:val="008071D0"/>
    <w:rsid w:val="0081004B"/>
    <w:rsid w:val="0081037F"/>
    <w:rsid w:val="0081057B"/>
    <w:rsid w:val="0081066B"/>
    <w:rsid w:val="00810809"/>
    <w:rsid w:val="00810C6A"/>
    <w:rsid w:val="00810C86"/>
    <w:rsid w:val="0081131A"/>
    <w:rsid w:val="00811FF4"/>
    <w:rsid w:val="00812350"/>
    <w:rsid w:val="00812369"/>
    <w:rsid w:val="00812741"/>
    <w:rsid w:val="008128E3"/>
    <w:rsid w:val="00812B12"/>
    <w:rsid w:val="008130F8"/>
    <w:rsid w:val="008146F2"/>
    <w:rsid w:val="00815871"/>
    <w:rsid w:val="00815CAB"/>
    <w:rsid w:val="00815CE0"/>
    <w:rsid w:val="008177B8"/>
    <w:rsid w:val="00817F2E"/>
    <w:rsid w:val="00821319"/>
    <w:rsid w:val="00821789"/>
    <w:rsid w:val="0082180B"/>
    <w:rsid w:val="00821BC9"/>
    <w:rsid w:val="00822A99"/>
    <w:rsid w:val="008242CF"/>
    <w:rsid w:val="00824D30"/>
    <w:rsid w:val="00825147"/>
    <w:rsid w:val="0082593D"/>
    <w:rsid w:val="00825D4F"/>
    <w:rsid w:val="00826BB5"/>
    <w:rsid w:val="00827182"/>
    <w:rsid w:val="00830017"/>
    <w:rsid w:val="008300D1"/>
    <w:rsid w:val="00830787"/>
    <w:rsid w:val="00830C08"/>
    <w:rsid w:val="00830DC9"/>
    <w:rsid w:val="00831489"/>
    <w:rsid w:val="0083234D"/>
    <w:rsid w:val="00833A6A"/>
    <w:rsid w:val="00833B29"/>
    <w:rsid w:val="00833E2F"/>
    <w:rsid w:val="0083423B"/>
    <w:rsid w:val="00834240"/>
    <w:rsid w:val="008345A1"/>
    <w:rsid w:val="00834F68"/>
    <w:rsid w:val="00834F9A"/>
    <w:rsid w:val="00835F46"/>
    <w:rsid w:val="008368F3"/>
    <w:rsid w:val="00837278"/>
    <w:rsid w:val="0083744B"/>
    <w:rsid w:val="00837523"/>
    <w:rsid w:val="008400A8"/>
    <w:rsid w:val="0084156A"/>
    <w:rsid w:val="008417CB"/>
    <w:rsid w:val="00841810"/>
    <w:rsid w:val="008425BD"/>
    <w:rsid w:val="008427B1"/>
    <w:rsid w:val="00843529"/>
    <w:rsid w:val="00843543"/>
    <w:rsid w:val="0084408C"/>
    <w:rsid w:val="00844165"/>
    <w:rsid w:val="0084434B"/>
    <w:rsid w:val="008449FF"/>
    <w:rsid w:val="00844C9D"/>
    <w:rsid w:val="00845AD3"/>
    <w:rsid w:val="00845E77"/>
    <w:rsid w:val="0084601D"/>
    <w:rsid w:val="008462FB"/>
    <w:rsid w:val="00846C73"/>
    <w:rsid w:val="00847640"/>
    <w:rsid w:val="008500CD"/>
    <w:rsid w:val="00850462"/>
    <w:rsid w:val="00850525"/>
    <w:rsid w:val="0085161D"/>
    <w:rsid w:val="00851E02"/>
    <w:rsid w:val="00851F5F"/>
    <w:rsid w:val="00852036"/>
    <w:rsid w:val="00852EEF"/>
    <w:rsid w:val="00853A87"/>
    <w:rsid w:val="008549AE"/>
    <w:rsid w:val="00855597"/>
    <w:rsid w:val="00855767"/>
    <w:rsid w:val="00855780"/>
    <w:rsid w:val="008557AA"/>
    <w:rsid w:val="00856178"/>
    <w:rsid w:val="008567C0"/>
    <w:rsid w:val="00856B56"/>
    <w:rsid w:val="00856C69"/>
    <w:rsid w:val="008570AB"/>
    <w:rsid w:val="00857E2C"/>
    <w:rsid w:val="00862222"/>
    <w:rsid w:val="008624E1"/>
    <w:rsid w:val="00862545"/>
    <w:rsid w:val="00862D41"/>
    <w:rsid w:val="00862D62"/>
    <w:rsid w:val="00863353"/>
    <w:rsid w:val="00863356"/>
    <w:rsid w:val="0086428A"/>
    <w:rsid w:val="00864544"/>
    <w:rsid w:val="00864847"/>
    <w:rsid w:val="008653B5"/>
    <w:rsid w:val="008653E6"/>
    <w:rsid w:val="00865A76"/>
    <w:rsid w:val="008663D7"/>
    <w:rsid w:val="00866EF3"/>
    <w:rsid w:val="0086730B"/>
    <w:rsid w:val="00867331"/>
    <w:rsid w:val="008674DC"/>
    <w:rsid w:val="008679D3"/>
    <w:rsid w:val="008679E6"/>
    <w:rsid w:val="00867A0F"/>
    <w:rsid w:val="00870C04"/>
    <w:rsid w:val="00871811"/>
    <w:rsid w:val="00872BDC"/>
    <w:rsid w:val="00872E1F"/>
    <w:rsid w:val="008731ED"/>
    <w:rsid w:val="008735BC"/>
    <w:rsid w:val="008736C5"/>
    <w:rsid w:val="0087382F"/>
    <w:rsid w:val="00873942"/>
    <w:rsid w:val="00873E39"/>
    <w:rsid w:val="0087400E"/>
    <w:rsid w:val="0087426F"/>
    <w:rsid w:val="008745A0"/>
    <w:rsid w:val="00875D1E"/>
    <w:rsid w:val="0087640C"/>
    <w:rsid w:val="00876C45"/>
    <w:rsid w:val="00880558"/>
    <w:rsid w:val="00881DD6"/>
    <w:rsid w:val="00882ED0"/>
    <w:rsid w:val="00883894"/>
    <w:rsid w:val="00885D86"/>
    <w:rsid w:val="00885D98"/>
    <w:rsid w:val="00885DA2"/>
    <w:rsid w:val="00885E17"/>
    <w:rsid w:val="00886342"/>
    <w:rsid w:val="0088683E"/>
    <w:rsid w:val="0088685B"/>
    <w:rsid w:val="0088738B"/>
    <w:rsid w:val="008873A5"/>
    <w:rsid w:val="008875DE"/>
    <w:rsid w:val="00887F72"/>
    <w:rsid w:val="0089074D"/>
    <w:rsid w:val="0089092F"/>
    <w:rsid w:val="0089136A"/>
    <w:rsid w:val="00893594"/>
    <w:rsid w:val="008936FA"/>
    <w:rsid w:val="008947EA"/>
    <w:rsid w:val="00894ABF"/>
    <w:rsid w:val="00895FFF"/>
    <w:rsid w:val="008962E2"/>
    <w:rsid w:val="00896FF4"/>
    <w:rsid w:val="0089725A"/>
    <w:rsid w:val="008A07DC"/>
    <w:rsid w:val="008A084D"/>
    <w:rsid w:val="008A0E33"/>
    <w:rsid w:val="008A0E85"/>
    <w:rsid w:val="008A15CB"/>
    <w:rsid w:val="008A19B5"/>
    <w:rsid w:val="008A1C2C"/>
    <w:rsid w:val="008A1DDE"/>
    <w:rsid w:val="008A2544"/>
    <w:rsid w:val="008A34CE"/>
    <w:rsid w:val="008A371D"/>
    <w:rsid w:val="008A39F1"/>
    <w:rsid w:val="008A40A7"/>
    <w:rsid w:val="008A4A25"/>
    <w:rsid w:val="008A5443"/>
    <w:rsid w:val="008A55A8"/>
    <w:rsid w:val="008A5B0A"/>
    <w:rsid w:val="008A5F01"/>
    <w:rsid w:val="008A5FE3"/>
    <w:rsid w:val="008A6126"/>
    <w:rsid w:val="008A619A"/>
    <w:rsid w:val="008A64A8"/>
    <w:rsid w:val="008A6B66"/>
    <w:rsid w:val="008A7078"/>
    <w:rsid w:val="008A7545"/>
    <w:rsid w:val="008A76FE"/>
    <w:rsid w:val="008B01D9"/>
    <w:rsid w:val="008B0468"/>
    <w:rsid w:val="008B0969"/>
    <w:rsid w:val="008B11D0"/>
    <w:rsid w:val="008B1435"/>
    <w:rsid w:val="008B1575"/>
    <w:rsid w:val="008B22A0"/>
    <w:rsid w:val="008B24C4"/>
    <w:rsid w:val="008B2CFD"/>
    <w:rsid w:val="008B32B6"/>
    <w:rsid w:val="008B4464"/>
    <w:rsid w:val="008B470A"/>
    <w:rsid w:val="008B4B86"/>
    <w:rsid w:val="008B4BF2"/>
    <w:rsid w:val="008B540E"/>
    <w:rsid w:val="008B56E5"/>
    <w:rsid w:val="008B576A"/>
    <w:rsid w:val="008B57A7"/>
    <w:rsid w:val="008B5AFD"/>
    <w:rsid w:val="008B6650"/>
    <w:rsid w:val="008B6774"/>
    <w:rsid w:val="008B685B"/>
    <w:rsid w:val="008B729C"/>
    <w:rsid w:val="008B75CB"/>
    <w:rsid w:val="008B7A4E"/>
    <w:rsid w:val="008B7C64"/>
    <w:rsid w:val="008C02EA"/>
    <w:rsid w:val="008C1506"/>
    <w:rsid w:val="008C1850"/>
    <w:rsid w:val="008C247A"/>
    <w:rsid w:val="008C2546"/>
    <w:rsid w:val="008C2B4C"/>
    <w:rsid w:val="008C2D30"/>
    <w:rsid w:val="008C33F2"/>
    <w:rsid w:val="008C4129"/>
    <w:rsid w:val="008C444D"/>
    <w:rsid w:val="008C4E93"/>
    <w:rsid w:val="008C63F3"/>
    <w:rsid w:val="008C6C92"/>
    <w:rsid w:val="008C71CE"/>
    <w:rsid w:val="008C77F7"/>
    <w:rsid w:val="008D0262"/>
    <w:rsid w:val="008D0AE4"/>
    <w:rsid w:val="008D1B0D"/>
    <w:rsid w:val="008D20E6"/>
    <w:rsid w:val="008D290F"/>
    <w:rsid w:val="008D2F52"/>
    <w:rsid w:val="008D2F5B"/>
    <w:rsid w:val="008D30D3"/>
    <w:rsid w:val="008D3E19"/>
    <w:rsid w:val="008D3FD2"/>
    <w:rsid w:val="008D4B94"/>
    <w:rsid w:val="008D5462"/>
    <w:rsid w:val="008D57A4"/>
    <w:rsid w:val="008D5F06"/>
    <w:rsid w:val="008D6B57"/>
    <w:rsid w:val="008D74C3"/>
    <w:rsid w:val="008D7DFC"/>
    <w:rsid w:val="008D7F82"/>
    <w:rsid w:val="008E00E7"/>
    <w:rsid w:val="008E00FD"/>
    <w:rsid w:val="008E07C6"/>
    <w:rsid w:val="008E152D"/>
    <w:rsid w:val="008E189A"/>
    <w:rsid w:val="008E3214"/>
    <w:rsid w:val="008E33EA"/>
    <w:rsid w:val="008E4180"/>
    <w:rsid w:val="008E442F"/>
    <w:rsid w:val="008E4ECE"/>
    <w:rsid w:val="008E5BB7"/>
    <w:rsid w:val="008E5F84"/>
    <w:rsid w:val="008E6A1B"/>
    <w:rsid w:val="008E6B2D"/>
    <w:rsid w:val="008E6FAD"/>
    <w:rsid w:val="008E6FF6"/>
    <w:rsid w:val="008E72E5"/>
    <w:rsid w:val="008E79F9"/>
    <w:rsid w:val="008E7CC5"/>
    <w:rsid w:val="008E7DCC"/>
    <w:rsid w:val="008E7E2E"/>
    <w:rsid w:val="008F0423"/>
    <w:rsid w:val="008F0EA9"/>
    <w:rsid w:val="008F1267"/>
    <w:rsid w:val="008F156A"/>
    <w:rsid w:val="008F19EB"/>
    <w:rsid w:val="008F1B1E"/>
    <w:rsid w:val="008F1B51"/>
    <w:rsid w:val="008F1B6B"/>
    <w:rsid w:val="008F2B7E"/>
    <w:rsid w:val="008F2D71"/>
    <w:rsid w:val="008F31DF"/>
    <w:rsid w:val="008F38F6"/>
    <w:rsid w:val="008F3A01"/>
    <w:rsid w:val="008F411D"/>
    <w:rsid w:val="008F4D31"/>
    <w:rsid w:val="008F53F5"/>
    <w:rsid w:val="008F56A2"/>
    <w:rsid w:val="008F56D1"/>
    <w:rsid w:val="008F5DFA"/>
    <w:rsid w:val="008F5FF0"/>
    <w:rsid w:val="008F61A7"/>
    <w:rsid w:val="008F61F2"/>
    <w:rsid w:val="008F63BC"/>
    <w:rsid w:val="008F6485"/>
    <w:rsid w:val="008F710C"/>
    <w:rsid w:val="008F743D"/>
    <w:rsid w:val="008F7957"/>
    <w:rsid w:val="008F7B17"/>
    <w:rsid w:val="008F7C08"/>
    <w:rsid w:val="008F7F78"/>
    <w:rsid w:val="00900316"/>
    <w:rsid w:val="009010D0"/>
    <w:rsid w:val="0090122A"/>
    <w:rsid w:val="00901DFB"/>
    <w:rsid w:val="00901F73"/>
    <w:rsid w:val="009023F7"/>
    <w:rsid w:val="0090394F"/>
    <w:rsid w:val="0090405D"/>
    <w:rsid w:val="009048DE"/>
    <w:rsid w:val="00904D98"/>
    <w:rsid w:val="00904E7F"/>
    <w:rsid w:val="009054D3"/>
    <w:rsid w:val="00905587"/>
    <w:rsid w:val="009057D3"/>
    <w:rsid w:val="00906165"/>
    <w:rsid w:val="00907B9D"/>
    <w:rsid w:val="0091026F"/>
    <w:rsid w:val="00910C23"/>
    <w:rsid w:val="00910CFA"/>
    <w:rsid w:val="00912091"/>
    <w:rsid w:val="009125D2"/>
    <w:rsid w:val="00913783"/>
    <w:rsid w:val="00913DFB"/>
    <w:rsid w:val="00914007"/>
    <w:rsid w:val="00914D84"/>
    <w:rsid w:val="00914EB5"/>
    <w:rsid w:val="009158A3"/>
    <w:rsid w:val="00915E3F"/>
    <w:rsid w:val="00915F49"/>
    <w:rsid w:val="00915F97"/>
    <w:rsid w:val="00917300"/>
    <w:rsid w:val="009179EB"/>
    <w:rsid w:val="00917F55"/>
    <w:rsid w:val="0092017C"/>
    <w:rsid w:val="00920207"/>
    <w:rsid w:val="0092033C"/>
    <w:rsid w:val="00920755"/>
    <w:rsid w:val="009208E9"/>
    <w:rsid w:val="00920DDF"/>
    <w:rsid w:val="009210F5"/>
    <w:rsid w:val="0092273F"/>
    <w:rsid w:val="0092296A"/>
    <w:rsid w:val="00923008"/>
    <w:rsid w:val="009235B5"/>
    <w:rsid w:val="009238F1"/>
    <w:rsid w:val="009249B4"/>
    <w:rsid w:val="00924C19"/>
    <w:rsid w:val="00925A29"/>
    <w:rsid w:val="00926716"/>
    <w:rsid w:val="00926B2A"/>
    <w:rsid w:val="00926B2B"/>
    <w:rsid w:val="009270DB"/>
    <w:rsid w:val="00927541"/>
    <w:rsid w:val="009278E6"/>
    <w:rsid w:val="00927C32"/>
    <w:rsid w:val="00930BEB"/>
    <w:rsid w:val="00930CC7"/>
    <w:rsid w:val="009323DF"/>
    <w:rsid w:val="00932AFC"/>
    <w:rsid w:val="00932E4E"/>
    <w:rsid w:val="0093389C"/>
    <w:rsid w:val="009338C0"/>
    <w:rsid w:val="00933A7D"/>
    <w:rsid w:val="00933DA9"/>
    <w:rsid w:val="0093452F"/>
    <w:rsid w:val="00934891"/>
    <w:rsid w:val="0093491F"/>
    <w:rsid w:val="00934C36"/>
    <w:rsid w:val="00935E14"/>
    <w:rsid w:val="00935EE7"/>
    <w:rsid w:val="0093615C"/>
    <w:rsid w:val="009361A1"/>
    <w:rsid w:val="00936378"/>
    <w:rsid w:val="0093726E"/>
    <w:rsid w:val="00937703"/>
    <w:rsid w:val="0093784F"/>
    <w:rsid w:val="00941B73"/>
    <w:rsid w:val="00941E4F"/>
    <w:rsid w:val="009420B7"/>
    <w:rsid w:val="00942454"/>
    <w:rsid w:val="009431BB"/>
    <w:rsid w:val="00943316"/>
    <w:rsid w:val="0094480E"/>
    <w:rsid w:val="00945539"/>
    <w:rsid w:val="0094644C"/>
    <w:rsid w:val="0094791E"/>
    <w:rsid w:val="00947B5B"/>
    <w:rsid w:val="00947C6D"/>
    <w:rsid w:val="00950281"/>
    <w:rsid w:val="00950B15"/>
    <w:rsid w:val="00950D1F"/>
    <w:rsid w:val="009512DE"/>
    <w:rsid w:val="00951B4A"/>
    <w:rsid w:val="00951BD3"/>
    <w:rsid w:val="0095265C"/>
    <w:rsid w:val="009529FD"/>
    <w:rsid w:val="00952B8F"/>
    <w:rsid w:val="00953675"/>
    <w:rsid w:val="00953DBC"/>
    <w:rsid w:val="00954600"/>
    <w:rsid w:val="0095496C"/>
    <w:rsid w:val="00954E2D"/>
    <w:rsid w:val="00955568"/>
    <w:rsid w:val="0095569B"/>
    <w:rsid w:val="009559F2"/>
    <w:rsid w:val="009562CC"/>
    <w:rsid w:val="0095695E"/>
    <w:rsid w:val="00957310"/>
    <w:rsid w:val="0095750D"/>
    <w:rsid w:val="00957724"/>
    <w:rsid w:val="00957DF1"/>
    <w:rsid w:val="00960553"/>
    <w:rsid w:val="00960B83"/>
    <w:rsid w:val="00961BC7"/>
    <w:rsid w:val="00961F4B"/>
    <w:rsid w:val="00962282"/>
    <w:rsid w:val="00962B8F"/>
    <w:rsid w:val="00963209"/>
    <w:rsid w:val="00963606"/>
    <w:rsid w:val="009637E4"/>
    <w:rsid w:val="00963C2B"/>
    <w:rsid w:val="00964464"/>
    <w:rsid w:val="00964951"/>
    <w:rsid w:val="00965665"/>
    <w:rsid w:val="00965F1E"/>
    <w:rsid w:val="0096632E"/>
    <w:rsid w:val="00966388"/>
    <w:rsid w:val="009666B2"/>
    <w:rsid w:val="00966813"/>
    <w:rsid w:val="00966857"/>
    <w:rsid w:val="00966D4F"/>
    <w:rsid w:val="00966E83"/>
    <w:rsid w:val="0096743C"/>
    <w:rsid w:val="00967866"/>
    <w:rsid w:val="009709FF"/>
    <w:rsid w:val="00970CCA"/>
    <w:rsid w:val="00970E65"/>
    <w:rsid w:val="0097102C"/>
    <w:rsid w:val="009711F2"/>
    <w:rsid w:val="0097133A"/>
    <w:rsid w:val="00971355"/>
    <w:rsid w:val="00971CBF"/>
    <w:rsid w:val="00971F52"/>
    <w:rsid w:val="0097202E"/>
    <w:rsid w:val="00972067"/>
    <w:rsid w:val="009726F5"/>
    <w:rsid w:val="00972AC6"/>
    <w:rsid w:val="00972E0B"/>
    <w:rsid w:val="00972F58"/>
    <w:rsid w:val="009742E0"/>
    <w:rsid w:val="0097462D"/>
    <w:rsid w:val="009748F0"/>
    <w:rsid w:val="00974A7C"/>
    <w:rsid w:val="0097587B"/>
    <w:rsid w:val="009759EE"/>
    <w:rsid w:val="009763C1"/>
    <w:rsid w:val="009765E1"/>
    <w:rsid w:val="009766FE"/>
    <w:rsid w:val="00977715"/>
    <w:rsid w:val="00980439"/>
    <w:rsid w:val="009817AB"/>
    <w:rsid w:val="0098230C"/>
    <w:rsid w:val="00982444"/>
    <w:rsid w:val="00982A84"/>
    <w:rsid w:val="00982BA7"/>
    <w:rsid w:val="00982D92"/>
    <w:rsid w:val="00982F10"/>
    <w:rsid w:val="009834A0"/>
    <w:rsid w:val="00983974"/>
    <w:rsid w:val="00983AF5"/>
    <w:rsid w:val="00984255"/>
    <w:rsid w:val="009843A8"/>
    <w:rsid w:val="009845DE"/>
    <w:rsid w:val="00984993"/>
    <w:rsid w:val="00984CA2"/>
    <w:rsid w:val="009854F1"/>
    <w:rsid w:val="00985E65"/>
    <w:rsid w:val="009862ED"/>
    <w:rsid w:val="009867E6"/>
    <w:rsid w:val="00986856"/>
    <w:rsid w:val="0098714A"/>
    <w:rsid w:val="0098772D"/>
    <w:rsid w:val="00987B05"/>
    <w:rsid w:val="00990428"/>
    <w:rsid w:val="00990BC8"/>
    <w:rsid w:val="00993B1D"/>
    <w:rsid w:val="00993EA1"/>
    <w:rsid w:val="00993F6C"/>
    <w:rsid w:val="0099496C"/>
    <w:rsid w:val="00994DDD"/>
    <w:rsid w:val="00995416"/>
    <w:rsid w:val="00995432"/>
    <w:rsid w:val="00995582"/>
    <w:rsid w:val="009960D0"/>
    <w:rsid w:val="009961E8"/>
    <w:rsid w:val="0099620A"/>
    <w:rsid w:val="00996569"/>
    <w:rsid w:val="009966A5"/>
    <w:rsid w:val="0099721B"/>
    <w:rsid w:val="009A057B"/>
    <w:rsid w:val="009A06F0"/>
    <w:rsid w:val="009A088E"/>
    <w:rsid w:val="009A14DE"/>
    <w:rsid w:val="009A2294"/>
    <w:rsid w:val="009A2D82"/>
    <w:rsid w:val="009A40DD"/>
    <w:rsid w:val="009A4288"/>
    <w:rsid w:val="009A4CB6"/>
    <w:rsid w:val="009A5F36"/>
    <w:rsid w:val="009A648E"/>
    <w:rsid w:val="009A66B2"/>
    <w:rsid w:val="009A6C6E"/>
    <w:rsid w:val="009A6DED"/>
    <w:rsid w:val="009A72B5"/>
    <w:rsid w:val="009A75E8"/>
    <w:rsid w:val="009A7BC2"/>
    <w:rsid w:val="009B011E"/>
    <w:rsid w:val="009B0D4D"/>
    <w:rsid w:val="009B180F"/>
    <w:rsid w:val="009B1897"/>
    <w:rsid w:val="009B1BB7"/>
    <w:rsid w:val="009B1C51"/>
    <w:rsid w:val="009B1C80"/>
    <w:rsid w:val="009B21B8"/>
    <w:rsid w:val="009B28A0"/>
    <w:rsid w:val="009B300F"/>
    <w:rsid w:val="009B3683"/>
    <w:rsid w:val="009B40CF"/>
    <w:rsid w:val="009B48D4"/>
    <w:rsid w:val="009B4B42"/>
    <w:rsid w:val="009B53AC"/>
    <w:rsid w:val="009B751B"/>
    <w:rsid w:val="009C0616"/>
    <w:rsid w:val="009C0992"/>
    <w:rsid w:val="009C0C48"/>
    <w:rsid w:val="009C1830"/>
    <w:rsid w:val="009C23DA"/>
    <w:rsid w:val="009C24B3"/>
    <w:rsid w:val="009C2C09"/>
    <w:rsid w:val="009C2E5A"/>
    <w:rsid w:val="009C2ED0"/>
    <w:rsid w:val="009C2FA2"/>
    <w:rsid w:val="009C4329"/>
    <w:rsid w:val="009C55C9"/>
    <w:rsid w:val="009C6214"/>
    <w:rsid w:val="009C63D7"/>
    <w:rsid w:val="009C645A"/>
    <w:rsid w:val="009C672A"/>
    <w:rsid w:val="009C703A"/>
    <w:rsid w:val="009C7B18"/>
    <w:rsid w:val="009C7C46"/>
    <w:rsid w:val="009C7D55"/>
    <w:rsid w:val="009C7F52"/>
    <w:rsid w:val="009D02F8"/>
    <w:rsid w:val="009D07F2"/>
    <w:rsid w:val="009D0A25"/>
    <w:rsid w:val="009D0F51"/>
    <w:rsid w:val="009D162B"/>
    <w:rsid w:val="009D1884"/>
    <w:rsid w:val="009D24A3"/>
    <w:rsid w:val="009D2FD6"/>
    <w:rsid w:val="009D3295"/>
    <w:rsid w:val="009D3665"/>
    <w:rsid w:val="009D3C84"/>
    <w:rsid w:val="009D40A1"/>
    <w:rsid w:val="009D40C6"/>
    <w:rsid w:val="009D54F3"/>
    <w:rsid w:val="009D5DA3"/>
    <w:rsid w:val="009D6065"/>
    <w:rsid w:val="009D6969"/>
    <w:rsid w:val="009D6EF4"/>
    <w:rsid w:val="009D7470"/>
    <w:rsid w:val="009D7A58"/>
    <w:rsid w:val="009D7FF3"/>
    <w:rsid w:val="009E0638"/>
    <w:rsid w:val="009E0828"/>
    <w:rsid w:val="009E0CED"/>
    <w:rsid w:val="009E17A2"/>
    <w:rsid w:val="009E1EE0"/>
    <w:rsid w:val="009E214E"/>
    <w:rsid w:val="009E2D23"/>
    <w:rsid w:val="009E3D2D"/>
    <w:rsid w:val="009E4043"/>
    <w:rsid w:val="009E43C1"/>
    <w:rsid w:val="009E4F11"/>
    <w:rsid w:val="009E4F72"/>
    <w:rsid w:val="009E54AE"/>
    <w:rsid w:val="009E5FC3"/>
    <w:rsid w:val="009E69CA"/>
    <w:rsid w:val="009E6DF1"/>
    <w:rsid w:val="009E785A"/>
    <w:rsid w:val="009F0564"/>
    <w:rsid w:val="009F1A16"/>
    <w:rsid w:val="009F3ABF"/>
    <w:rsid w:val="009F3AE2"/>
    <w:rsid w:val="009F3BA0"/>
    <w:rsid w:val="009F3EDD"/>
    <w:rsid w:val="009F3F5D"/>
    <w:rsid w:val="009F4321"/>
    <w:rsid w:val="009F43CB"/>
    <w:rsid w:val="009F4CB9"/>
    <w:rsid w:val="009F522C"/>
    <w:rsid w:val="009F5BA7"/>
    <w:rsid w:val="009F6781"/>
    <w:rsid w:val="00A00283"/>
    <w:rsid w:val="00A01A92"/>
    <w:rsid w:val="00A01C02"/>
    <w:rsid w:val="00A02D24"/>
    <w:rsid w:val="00A02E16"/>
    <w:rsid w:val="00A02FB0"/>
    <w:rsid w:val="00A03518"/>
    <w:rsid w:val="00A04C07"/>
    <w:rsid w:val="00A05113"/>
    <w:rsid w:val="00A054DC"/>
    <w:rsid w:val="00A069AE"/>
    <w:rsid w:val="00A06A2C"/>
    <w:rsid w:val="00A06A75"/>
    <w:rsid w:val="00A06E69"/>
    <w:rsid w:val="00A0748E"/>
    <w:rsid w:val="00A07E52"/>
    <w:rsid w:val="00A10389"/>
    <w:rsid w:val="00A10AE1"/>
    <w:rsid w:val="00A1133E"/>
    <w:rsid w:val="00A11888"/>
    <w:rsid w:val="00A11B5A"/>
    <w:rsid w:val="00A11E62"/>
    <w:rsid w:val="00A11E8F"/>
    <w:rsid w:val="00A122D5"/>
    <w:rsid w:val="00A12369"/>
    <w:rsid w:val="00A13522"/>
    <w:rsid w:val="00A13B82"/>
    <w:rsid w:val="00A14357"/>
    <w:rsid w:val="00A146CC"/>
    <w:rsid w:val="00A149C1"/>
    <w:rsid w:val="00A14FBB"/>
    <w:rsid w:val="00A1524F"/>
    <w:rsid w:val="00A15BF1"/>
    <w:rsid w:val="00A15E63"/>
    <w:rsid w:val="00A167D9"/>
    <w:rsid w:val="00A16DB9"/>
    <w:rsid w:val="00A17672"/>
    <w:rsid w:val="00A20A6B"/>
    <w:rsid w:val="00A20C5D"/>
    <w:rsid w:val="00A222CA"/>
    <w:rsid w:val="00A225E3"/>
    <w:rsid w:val="00A22E08"/>
    <w:rsid w:val="00A23396"/>
    <w:rsid w:val="00A238FC"/>
    <w:rsid w:val="00A239CC"/>
    <w:rsid w:val="00A23BC2"/>
    <w:rsid w:val="00A248C9"/>
    <w:rsid w:val="00A24D3B"/>
    <w:rsid w:val="00A2591E"/>
    <w:rsid w:val="00A26F01"/>
    <w:rsid w:val="00A275C0"/>
    <w:rsid w:val="00A278D6"/>
    <w:rsid w:val="00A279AC"/>
    <w:rsid w:val="00A27A30"/>
    <w:rsid w:val="00A30C5D"/>
    <w:rsid w:val="00A310F1"/>
    <w:rsid w:val="00A31B0F"/>
    <w:rsid w:val="00A31C68"/>
    <w:rsid w:val="00A31FFF"/>
    <w:rsid w:val="00A320BE"/>
    <w:rsid w:val="00A325AE"/>
    <w:rsid w:val="00A326A6"/>
    <w:rsid w:val="00A333BE"/>
    <w:rsid w:val="00A342B0"/>
    <w:rsid w:val="00A342D9"/>
    <w:rsid w:val="00A353C9"/>
    <w:rsid w:val="00A35E30"/>
    <w:rsid w:val="00A35FAA"/>
    <w:rsid w:val="00A360B5"/>
    <w:rsid w:val="00A40163"/>
    <w:rsid w:val="00A409BC"/>
    <w:rsid w:val="00A40FC3"/>
    <w:rsid w:val="00A41D7C"/>
    <w:rsid w:val="00A42F6D"/>
    <w:rsid w:val="00A43C9A"/>
    <w:rsid w:val="00A44199"/>
    <w:rsid w:val="00A44612"/>
    <w:rsid w:val="00A44720"/>
    <w:rsid w:val="00A449D0"/>
    <w:rsid w:val="00A4575C"/>
    <w:rsid w:val="00A45C1F"/>
    <w:rsid w:val="00A45D11"/>
    <w:rsid w:val="00A46164"/>
    <w:rsid w:val="00A46A8E"/>
    <w:rsid w:val="00A47D45"/>
    <w:rsid w:val="00A50B27"/>
    <w:rsid w:val="00A51337"/>
    <w:rsid w:val="00A5208C"/>
    <w:rsid w:val="00A52203"/>
    <w:rsid w:val="00A522F4"/>
    <w:rsid w:val="00A537E5"/>
    <w:rsid w:val="00A53D69"/>
    <w:rsid w:val="00A540A5"/>
    <w:rsid w:val="00A54248"/>
    <w:rsid w:val="00A55664"/>
    <w:rsid w:val="00A55B6F"/>
    <w:rsid w:val="00A56923"/>
    <w:rsid w:val="00A569DF"/>
    <w:rsid w:val="00A575BB"/>
    <w:rsid w:val="00A61BD0"/>
    <w:rsid w:val="00A61F84"/>
    <w:rsid w:val="00A62449"/>
    <w:rsid w:val="00A6283D"/>
    <w:rsid w:val="00A62C66"/>
    <w:rsid w:val="00A6365A"/>
    <w:rsid w:val="00A6388E"/>
    <w:rsid w:val="00A643AD"/>
    <w:rsid w:val="00A645B3"/>
    <w:rsid w:val="00A64661"/>
    <w:rsid w:val="00A64BC6"/>
    <w:rsid w:val="00A64FD7"/>
    <w:rsid w:val="00A651E1"/>
    <w:rsid w:val="00A6542F"/>
    <w:rsid w:val="00A6545D"/>
    <w:rsid w:val="00A659CB"/>
    <w:rsid w:val="00A66EFC"/>
    <w:rsid w:val="00A67C5B"/>
    <w:rsid w:val="00A70398"/>
    <w:rsid w:val="00A709AD"/>
    <w:rsid w:val="00A70D03"/>
    <w:rsid w:val="00A71243"/>
    <w:rsid w:val="00A71441"/>
    <w:rsid w:val="00A71F5E"/>
    <w:rsid w:val="00A721F1"/>
    <w:rsid w:val="00A7227A"/>
    <w:rsid w:val="00A7264B"/>
    <w:rsid w:val="00A72DA9"/>
    <w:rsid w:val="00A72ED8"/>
    <w:rsid w:val="00A733CB"/>
    <w:rsid w:val="00A73414"/>
    <w:rsid w:val="00A73465"/>
    <w:rsid w:val="00A739DF"/>
    <w:rsid w:val="00A740A0"/>
    <w:rsid w:val="00A745EF"/>
    <w:rsid w:val="00A751AD"/>
    <w:rsid w:val="00A75284"/>
    <w:rsid w:val="00A756E4"/>
    <w:rsid w:val="00A76045"/>
    <w:rsid w:val="00A76259"/>
    <w:rsid w:val="00A76715"/>
    <w:rsid w:val="00A7675B"/>
    <w:rsid w:val="00A76CC8"/>
    <w:rsid w:val="00A773CD"/>
    <w:rsid w:val="00A775CF"/>
    <w:rsid w:val="00A77853"/>
    <w:rsid w:val="00A77FAF"/>
    <w:rsid w:val="00A805AD"/>
    <w:rsid w:val="00A805EB"/>
    <w:rsid w:val="00A807BD"/>
    <w:rsid w:val="00A80C87"/>
    <w:rsid w:val="00A813E1"/>
    <w:rsid w:val="00A81AFE"/>
    <w:rsid w:val="00A81EED"/>
    <w:rsid w:val="00A828FA"/>
    <w:rsid w:val="00A84503"/>
    <w:rsid w:val="00A851D0"/>
    <w:rsid w:val="00A85B5B"/>
    <w:rsid w:val="00A860CC"/>
    <w:rsid w:val="00A86218"/>
    <w:rsid w:val="00A867DA"/>
    <w:rsid w:val="00A8782F"/>
    <w:rsid w:val="00A90C99"/>
    <w:rsid w:val="00A9167D"/>
    <w:rsid w:val="00A91895"/>
    <w:rsid w:val="00A92911"/>
    <w:rsid w:val="00A92D25"/>
    <w:rsid w:val="00A93B0D"/>
    <w:rsid w:val="00A9401F"/>
    <w:rsid w:val="00A94689"/>
    <w:rsid w:val="00A94801"/>
    <w:rsid w:val="00A94DDB"/>
    <w:rsid w:val="00A94F82"/>
    <w:rsid w:val="00A950A1"/>
    <w:rsid w:val="00A962FA"/>
    <w:rsid w:val="00A965CD"/>
    <w:rsid w:val="00A96970"/>
    <w:rsid w:val="00A9767E"/>
    <w:rsid w:val="00AA1BEC"/>
    <w:rsid w:val="00AA24D8"/>
    <w:rsid w:val="00AA25E9"/>
    <w:rsid w:val="00AA27AA"/>
    <w:rsid w:val="00AA2DF3"/>
    <w:rsid w:val="00AA2F94"/>
    <w:rsid w:val="00AA3062"/>
    <w:rsid w:val="00AA3EBF"/>
    <w:rsid w:val="00AA427A"/>
    <w:rsid w:val="00AA4761"/>
    <w:rsid w:val="00AA50BC"/>
    <w:rsid w:val="00AA54F2"/>
    <w:rsid w:val="00AA6A77"/>
    <w:rsid w:val="00AA6AA8"/>
    <w:rsid w:val="00AA6AE4"/>
    <w:rsid w:val="00AA753A"/>
    <w:rsid w:val="00AA78AD"/>
    <w:rsid w:val="00AA7F8D"/>
    <w:rsid w:val="00AB1F63"/>
    <w:rsid w:val="00AB22B4"/>
    <w:rsid w:val="00AB24E7"/>
    <w:rsid w:val="00AB3237"/>
    <w:rsid w:val="00AB3917"/>
    <w:rsid w:val="00AB3961"/>
    <w:rsid w:val="00AB39DF"/>
    <w:rsid w:val="00AB3A2D"/>
    <w:rsid w:val="00AB4AC8"/>
    <w:rsid w:val="00AB4CF9"/>
    <w:rsid w:val="00AB4DE2"/>
    <w:rsid w:val="00AB4FBC"/>
    <w:rsid w:val="00AB5E21"/>
    <w:rsid w:val="00AB6AD4"/>
    <w:rsid w:val="00AB75AE"/>
    <w:rsid w:val="00AB76EC"/>
    <w:rsid w:val="00AB7781"/>
    <w:rsid w:val="00AB7933"/>
    <w:rsid w:val="00AB7947"/>
    <w:rsid w:val="00AC13C9"/>
    <w:rsid w:val="00AC19E2"/>
    <w:rsid w:val="00AC21EE"/>
    <w:rsid w:val="00AC29EA"/>
    <w:rsid w:val="00AC3071"/>
    <w:rsid w:val="00AC3A08"/>
    <w:rsid w:val="00AC3D18"/>
    <w:rsid w:val="00AC5598"/>
    <w:rsid w:val="00AC583A"/>
    <w:rsid w:val="00AC5945"/>
    <w:rsid w:val="00AC6213"/>
    <w:rsid w:val="00AC6332"/>
    <w:rsid w:val="00AC7E52"/>
    <w:rsid w:val="00AD0C2E"/>
    <w:rsid w:val="00AD10CF"/>
    <w:rsid w:val="00AD1701"/>
    <w:rsid w:val="00AD245C"/>
    <w:rsid w:val="00AD2FC0"/>
    <w:rsid w:val="00AD3581"/>
    <w:rsid w:val="00AD35EA"/>
    <w:rsid w:val="00AD3BC7"/>
    <w:rsid w:val="00AD42E2"/>
    <w:rsid w:val="00AD4967"/>
    <w:rsid w:val="00AD562E"/>
    <w:rsid w:val="00AD5B1B"/>
    <w:rsid w:val="00AD66BE"/>
    <w:rsid w:val="00AD6DB9"/>
    <w:rsid w:val="00AE00C3"/>
    <w:rsid w:val="00AE12A9"/>
    <w:rsid w:val="00AE1A2A"/>
    <w:rsid w:val="00AE2459"/>
    <w:rsid w:val="00AE29C2"/>
    <w:rsid w:val="00AE35AC"/>
    <w:rsid w:val="00AE3D23"/>
    <w:rsid w:val="00AE42F1"/>
    <w:rsid w:val="00AE472E"/>
    <w:rsid w:val="00AE4CEC"/>
    <w:rsid w:val="00AE4EC8"/>
    <w:rsid w:val="00AE517C"/>
    <w:rsid w:val="00AE520F"/>
    <w:rsid w:val="00AE599E"/>
    <w:rsid w:val="00AE59F5"/>
    <w:rsid w:val="00AE5C25"/>
    <w:rsid w:val="00AE5C3E"/>
    <w:rsid w:val="00AE5D9F"/>
    <w:rsid w:val="00AE5DB9"/>
    <w:rsid w:val="00AE5F15"/>
    <w:rsid w:val="00AE61C0"/>
    <w:rsid w:val="00AE6E39"/>
    <w:rsid w:val="00AE6E7E"/>
    <w:rsid w:val="00AE72C2"/>
    <w:rsid w:val="00AE76C9"/>
    <w:rsid w:val="00AE7704"/>
    <w:rsid w:val="00AF00B2"/>
    <w:rsid w:val="00AF06B4"/>
    <w:rsid w:val="00AF0A7A"/>
    <w:rsid w:val="00AF0C7E"/>
    <w:rsid w:val="00AF0E41"/>
    <w:rsid w:val="00AF0EB2"/>
    <w:rsid w:val="00AF213C"/>
    <w:rsid w:val="00AF2791"/>
    <w:rsid w:val="00AF2EF5"/>
    <w:rsid w:val="00AF3117"/>
    <w:rsid w:val="00AF326B"/>
    <w:rsid w:val="00AF32F0"/>
    <w:rsid w:val="00AF3811"/>
    <w:rsid w:val="00AF39C1"/>
    <w:rsid w:val="00AF418D"/>
    <w:rsid w:val="00AF4723"/>
    <w:rsid w:val="00AF560E"/>
    <w:rsid w:val="00AF60DC"/>
    <w:rsid w:val="00AF6220"/>
    <w:rsid w:val="00AF70EE"/>
    <w:rsid w:val="00AF7618"/>
    <w:rsid w:val="00B003A1"/>
    <w:rsid w:val="00B00449"/>
    <w:rsid w:val="00B004B5"/>
    <w:rsid w:val="00B00B01"/>
    <w:rsid w:val="00B01538"/>
    <w:rsid w:val="00B02024"/>
    <w:rsid w:val="00B024C2"/>
    <w:rsid w:val="00B03653"/>
    <w:rsid w:val="00B03CDE"/>
    <w:rsid w:val="00B04550"/>
    <w:rsid w:val="00B045DE"/>
    <w:rsid w:val="00B04964"/>
    <w:rsid w:val="00B04CBD"/>
    <w:rsid w:val="00B05C96"/>
    <w:rsid w:val="00B061B9"/>
    <w:rsid w:val="00B067C0"/>
    <w:rsid w:val="00B06D88"/>
    <w:rsid w:val="00B07840"/>
    <w:rsid w:val="00B1013C"/>
    <w:rsid w:val="00B10605"/>
    <w:rsid w:val="00B10835"/>
    <w:rsid w:val="00B10F95"/>
    <w:rsid w:val="00B11B0A"/>
    <w:rsid w:val="00B11D09"/>
    <w:rsid w:val="00B12331"/>
    <w:rsid w:val="00B124AD"/>
    <w:rsid w:val="00B129DA"/>
    <w:rsid w:val="00B12BEE"/>
    <w:rsid w:val="00B137BD"/>
    <w:rsid w:val="00B15022"/>
    <w:rsid w:val="00B154B3"/>
    <w:rsid w:val="00B15870"/>
    <w:rsid w:val="00B15B71"/>
    <w:rsid w:val="00B16085"/>
    <w:rsid w:val="00B166C6"/>
    <w:rsid w:val="00B16C33"/>
    <w:rsid w:val="00B1713D"/>
    <w:rsid w:val="00B173B0"/>
    <w:rsid w:val="00B20411"/>
    <w:rsid w:val="00B2117E"/>
    <w:rsid w:val="00B21941"/>
    <w:rsid w:val="00B21CD4"/>
    <w:rsid w:val="00B21EB4"/>
    <w:rsid w:val="00B229D9"/>
    <w:rsid w:val="00B22A5B"/>
    <w:rsid w:val="00B23684"/>
    <w:rsid w:val="00B23804"/>
    <w:rsid w:val="00B24C6E"/>
    <w:rsid w:val="00B254F0"/>
    <w:rsid w:val="00B26286"/>
    <w:rsid w:val="00B2691D"/>
    <w:rsid w:val="00B26C44"/>
    <w:rsid w:val="00B27820"/>
    <w:rsid w:val="00B27BD3"/>
    <w:rsid w:val="00B27E1F"/>
    <w:rsid w:val="00B306EA"/>
    <w:rsid w:val="00B30944"/>
    <w:rsid w:val="00B3104B"/>
    <w:rsid w:val="00B325CF"/>
    <w:rsid w:val="00B329BE"/>
    <w:rsid w:val="00B32AAC"/>
    <w:rsid w:val="00B33E2E"/>
    <w:rsid w:val="00B33F4D"/>
    <w:rsid w:val="00B3492F"/>
    <w:rsid w:val="00B36CA1"/>
    <w:rsid w:val="00B36CFC"/>
    <w:rsid w:val="00B37148"/>
    <w:rsid w:val="00B37AFC"/>
    <w:rsid w:val="00B4059E"/>
    <w:rsid w:val="00B4084B"/>
    <w:rsid w:val="00B40945"/>
    <w:rsid w:val="00B40BEA"/>
    <w:rsid w:val="00B41232"/>
    <w:rsid w:val="00B4124C"/>
    <w:rsid w:val="00B41B5B"/>
    <w:rsid w:val="00B41E57"/>
    <w:rsid w:val="00B42227"/>
    <w:rsid w:val="00B422E3"/>
    <w:rsid w:val="00B4294A"/>
    <w:rsid w:val="00B42B56"/>
    <w:rsid w:val="00B441CC"/>
    <w:rsid w:val="00B448F0"/>
    <w:rsid w:val="00B45069"/>
    <w:rsid w:val="00B45864"/>
    <w:rsid w:val="00B45DCA"/>
    <w:rsid w:val="00B460B5"/>
    <w:rsid w:val="00B4727E"/>
    <w:rsid w:val="00B47998"/>
    <w:rsid w:val="00B47D82"/>
    <w:rsid w:val="00B47F08"/>
    <w:rsid w:val="00B47F4C"/>
    <w:rsid w:val="00B50032"/>
    <w:rsid w:val="00B500EB"/>
    <w:rsid w:val="00B50958"/>
    <w:rsid w:val="00B51526"/>
    <w:rsid w:val="00B5156C"/>
    <w:rsid w:val="00B51934"/>
    <w:rsid w:val="00B519D3"/>
    <w:rsid w:val="00B52464"/>
    <w:rsid w:val="00B53F29"/>
    <w:rsid w:val="00B55843"/>
    <w:rsid w:val="00B55E3D"/>
    <w:rsid w:val="00B567D8"/>
    <w:rsid w:val="00B56EBE"/>
    <w:rsid w:val="00B57D40"/>
    <w:rsid w:val="00B60708"/>
    <w:rsid w:val="00B6098C"/>
    <w:rsid w:val="00B60F6F"/>
    <w:rsid w:val="00B61A52"/>
    <w:rsid w:val="00B61B20"/>
    <w:rsid w:val="00B6230B"/>
    <w:rsid w:val="00B628E8"/>
    <w:rsid w:val="00B634D8"/>
    <w:rsid w:val="00B63906"/>
    <w:rsid w:val="00B63C3C"/>
    <w:rsid w:val="00B63F3F"/>
    <w:rsid w:val="00B64448"/>
    <w:rsid w:val="00B64DE4"/>
    <w:rsid w:val="00B652B5"/>
    <w:rsid w:val="00B65561"/>
    <w:rsid w:val="00B658B4"/>
    <w:rsid w:val="00B66CF8"/>
    <w:rsid w:val="00B676B8"/>
    <w:rsid w:val="00B679DE"/>
    <w:rsid w:val="00B70250"/>
    <w:rsid w:val="00B7050C"/>
    <w:rsid w:val="00B70C9E"/>
    <w:rsid w:val="00B70F85"/>
    <w:rsid w:val="00B71222"/>
    <w:rsid w:val="00B7174A"/>
    <w:rsid w:val="00B717DE"/>
    <w:rsid w:val="00B72DC7"/>
    <w:rsid w:val="00B7358B"/>
    <w:rsid w:val="00B7388C"/>
    <w:rsid w:val="00B73E0D"/>
    <w:rsid w:val="00B7401F"/>
    <w:rsid w:val="00B74A6B"/>
    <w:rsid w:val="00B7521F"/>
    <w:rsid w:val="00B80A36"/>
    <w:rsid w:val="00B830A1"/>
    <w:rsid w:val="00B83160"/>
    <w:rsid w:val="00B8365B"/>
    <w:rsid w:val="00B83705"/>
    <w:rsid w:val="00B83B20"/>
    <w:rsid w:val="00B83CA0"/>
    <w:rsid w:val="00B84243"/>
    <w:rsid w:val="00B85144"/>
    <w:rsid w:val="00B85C34"/>
    <w:rsid w:val="00B85CDF"/>
    <w:rsid w:val="00B85FB6"/>
    <w:rsid w:val="00B8638D"/>
    <w:rsid w:val="00B867F1"/>
    <w:rsid w:val="00B86CCD"/>
    <w:rsid w:val="00B86FC8"/>
    <w:rsid w:val="00B8731D"/>
    <w:rsid w:val="00B876C0"/>
    <w:rsid w:val="00B87806"/>
    <w:rsid w:val="00B87AA1"/>
    <w:rsid w:val="00B87FF5"/>
    <w:rsid w:val="00B918C1"/>
    <w:rsid w:val="00B9214C"/>
    <w:rsid w:val="00B922EE"/>
    <w:rsid w:val="00B92407"/>
    <w:rsid w:val="00B92557"/>
    <w:rsid w:val="00B92B09"/>
    <w:rsid w:val="00B930BA"/>
    <w:rsid w:val="00B93884"/>
    <w:rsid w:val="00B93D53"/>
    <w:rsid w:val="00B94302"/>
    <w:rsid w:val="00B94405"/>
    <w:rsid w:val="00B948F1"/>
    <w:rsid w:val="00B94A65"/>
    <w:rsid w:val="00B94ADF"/>
    <w:rsid w:val="00B94C2F"/>
    <w:rsid w:val="00B94D1A"/>
    <w:rsid w:val="00B94FB4"/>
    <w:rsid w:val="00B954B2"/>
    <w:rsid w:val="00B95D2D"/>
    <w:rsid w:val="00B9607C"/>
    <w:rsid w:val="00B9631B"/>
    <w:rsid w:val="00B9676C"/>
    <w:rsid w:val="00B96B29"/>
    <w:rsid w:val="00B96BB1"/>
    <w:rsid w:val="00B97755"/>
    <w:rsid w:val="00BA0510"/>
    <w:rsid w:val="00BA0966"/>
    <w:rsid w:val="00BA0F2F"/>
    <w:rsid w:val="00BA28F3"/>
    <w:rsid w:val="00BA3532"/>
    <w:rsid w:val="00BA379F"/>
    <w:rsid w:val="00BA511D"/>
    <w:rsid w:val="00BA5353"/>
    <w:rsid w:val="00BA5625"/>
    <w:rsid w:val="00BA6777"/>
    <w:rsid w:val="00BA67C1"/>
    <w:rsid w:val="00BB029D"/>
    <w:rsid w:val="00BB224B"/>
    <w:rsid w:val="00BB2338"/>
    <w:rsid w:val="00BB285A"/>
    <w:rsid w:val="00BB2A98"/>
    <w:rsid w:val="00BB31EA"/>
    <w:rsid w:val="00BB3AB5"/>
    <w:rsid w:val="00BB3D07"/>
    <w:rsid w:val="00BB3DA8"/>
    <w:rsid w:val="00BB498B"/>
    <w:rsid w:val="00BB5A84"/>
    <w:rsid w:val="00BB60CB"/>
    <w:rsid w:val="00BB6978"/>
    <w:rsid w:val="00BB69E4"/>
    <w:rsid w:val="00BB6D23"/>
    <w:rsid w:val="00BB6D55"/>
    <w:rsid w:val="00BB721D"/>
    <w:rsid w:val="00BB72B1"/>
    <w:rsid w:val="00BB7455"/>
    <w:rsid w:val="00BC1185"/>
    <w:rsid w:val="00BC12C2"/>
    <w:rsid w:val="00BC1E22"/>
    <w:rsid w:val="00BC2C65"/>
    <w:rsid w:val="00BC3402"/>
    <w:rsid w:val="00BC3472"/>
    <w:rsid w:val="00BC3CAB"/>
    <w:rsid w:val="00BC3F11"/>
    <w:rsid w:val="00BC42CE"/>
    <w:rsid w:val="00BC55CF"/>
    <w:rsid w:val="00BC5D82"/>
    <w:rsid w:val="00BC6702"/>
    <w:rsid w:val="00BC76B4"/>
    <w:rsid w:val="00BD010B"/>
    <w:rsid w:val="00BD0761"/>
    <w:rsid w:val="00BD157F"/>
    <w:rsid w:val="00BD210E"/>
    <w:rsid w:val="00BD252D"/>
    <w:rsid w:val="00BD269D"/>
    <w:rsid w:val="00BD2CB2"/>
    <w:rsid w:val="00BD34C3"/>
    <w:rsid w:val="00BD40CB"/>
    <w:rsid w:val="00BD46BB"/>
    <w:rsid w:val="00BD4954"/>
    <w:rsid w:val="00BD4D4C"/>
    <w:rsid w:val="00BD5072"/>
    <w:rsid w:val="00BD6B01"/>
    <w:rsid w:val="00BD78D5"/>
    <w:rsid w:val="00BE00FB"/>
    <w:rsid w:val="00BE0659"/>
    <w:rsid w:val="00BE0A68"/>
    <w:rsid w:val="00BE1843"/>
    <w:rsid w:val="00BE20D9"/>
    <w:rsid w:val="00BE246B"/>
    <w:rsid w:val="00BE34DD"/>
    <w:rsid w:val="00BE537C"/>
    <w:rsid w:val="00BE65D0"/>
    <w:rsid w:val="00BE6D85"/>
    <w:rsid w:val="00BE6EB6"/>
    <w:rsid w:val="00BE70B3"/>
    <w:rsid w:val="00BE7D58"/>
    <w:rsid w:val="00BF0270"/>
    <w:rsid w:val="00BF03C4"/>
    <w:rsid w:val="00BF0E14"/>
    <w:rsid w:val="00BF164E"/>
    <w:rsid w:val="00BF1A33"/>
    <w:rsid w:val="00BF23C3"/>
    <w:rsid w:val="00BF2716"/>
    <w:rsid w:val="00BF29E0"/>
    <w:rsid w:val="00BF2B69"/>
    <w:rsid w:val="00BF2D94"/>
    <w:rsid w:val="00BF31F2"/>
    <w:rsid w:val="00BF3D35"/>
    <w:rsid w:val="00BF4171"/>
    <w:rsid w:val="00BF48DF"/>
    <w:rsid w:val="00BF4954"/>
    <w:rsid w:val="00BF49EE"/>
    <w:rsid w:val="00BF6D42"/>
    <w:rsid w:val="00BF7128"/>
    <w:rsid w:val="00BF7ED9"/>
    <w:rsid w:val="00C00AA5"/>
    <w:rsid w:val="00C00B3B"/>
    <w:rsid w:val="00C012C6"/>
    <w:rsid w:val="00C0201A"/>
    <w:rsid w:val="00C02450"/>
    <w:rsid w:val="00C03070"/>
    <w:rsid w:val="00C035F5"/>
    <w:rsid w:val="00C038D0"/>
    <w:rsid w:val="00C04258"/>
    <w:rsid w:val="00C044A9"/>
    <w:rsid w:val="00C04D63"/>
    <w:rsid w:val="00C066AF"/>
    <w:rsid w:val="00C06CE4"/>
    <w:rsid w:val="00C07DEC"/>
    <w:rsid w:val="00C07F1C"/>
    <w:rsid w:val="00C07F5C"/>
    <w:rsid w:val="00C1005F"/>
    <w:rsid w:val="00C104C1"/>
    <w:rsid w:val="00C107D2"/>
    <w:rsid w:val="00C11653"/>
    <w:rsid w:val="00C11CE3"/>
    <w:rsid w:val="00C11D68"/>
    <w:rsid w:val="00C11F05"/>
    <w:rsid w:val="00C11F2F"/>
    <w:rsid w:val="00C1235C"/>
    <w:rsid w:val="00C12C6D"/>
    <w:rsid w:val="00C12D0A"/>
    <w:rsid w:val="00C13681"/>
    <w:rsid w:val="00C13BD0"/>
    <w:rsid w:val="00C13D80"/>
    <w:rsid w:val="00C13DA0"/>
    <w:rsid w:val="00C14BB6"/>
    <w:rsid w:val="00C15DEF"/>
    <w:rsid w:val="00C163B7"/>
    <w:rsid w:val="00C17B32"/>
    <w:rsid w:val="00C20E76"/>
    <w:rsid w:val="00C21D66"/>
    <w:rsid w:val="00C21E9B"/>
    <w:rsid w:val="00C22A06"/>
    <w:rsid w:val="00C23647"/>
    <w:rsid w:val="00C241DD"/>
    <w:rsid w:val="00C2476F"/>
    <w:rsid w:val="00C24BB1"/>
    <w:rsid w:val="00C2641F"/>
    <w:rsid w:val="00C264A8"/>
    <w:rsid w:val="00C26814"/>
    <w:rsid w:val="00C2755D"/>
    <w:rsid w:val="00C276B1"/>
    <w:rsid w:val="00C3009E"/>
    <w:rsid w:val="00C3040D"/>
    <w:rsid w:val="00C30E3D"/>
    <w:rsid w:val="00C31E81"/>
    <w:rsid w:val="00C3239B"/>
    <w:rsid w:val="00C3249E"/>
    <w:rsid w:val="00C32AEB"/>
    <w:rsid w:val="00C3303C"/>
    <w:rsid w:val="00C3324A"/>
    <w:rsid w:val="00C342CD"/>
    <w:rsid w:val="00C34390"/>
    <w:rsid w:val="00C34755"/>
    <w:rsid w:val="00C34C59"/>
    <w:rsid w:val="00C35204"/>
    <w:rsid w:val="00C359BA"/>
    <w:rsid w:val="00C35A22"/>
    <w:rsid w:val="00C36775"/>
    <w:rsid w:val="00C368C3"/>
    <w:rsid w:val="00C36B6E"/>
    <w:rsid w:val="00C3754B"/>
    <w:rsid w:val="00C37BFF"/>
    <w:rsid w:val="00C40689"/>
    <w:rsid w:val="00C41058"/>
    <w:rsid w:val="00C415CC"/>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1F2C"/>
    <w:rsid w:val="00C5268B"/>
    <w:rsid w:val="00C5274F"/>
    <w:rsid w:val="00C5338C"/>
    <w:rsid w:val="00C53DB9"/>
    <w:rsid w:val="00C53EF2"/>
    <w:rsid w:val="00C54259"/>
    <w:rsid w:val="00C54683"/>
    <w:rsid w:val="00C54900"/>
    <w:rsid w:val="00C54E27"/>
    <w:rsid w:val="00C557C1"/>
    <w:rsid w:val="00C55846"/>
    <w:rsid w:val="00C56F42"/>
    <w:rsid w:val="00C57FF3"/>
    <w:rsid w:val="00C60E6B"/>
    <w:rsid w:val="00C61294"/>
    <w:rsid w:val="00C61EA2"/>
    <w:rsid w:val="00C6305B"/>
    <w:rsid w:val="00C6308F"/>
    <w:rsid w:val="00C63109"/>
    <w:rsid w:val="00C63C1F"/>
    <w:rsid w:val="00C63ED7"/>
    <w:rsid w:val="00C6430C"/>
    <w:rsid w:val="00C64D15"/>
    <w:rsid w:val="00C651E4"/>
    <w:rsid w:val="00C65397"/>
    <w:rsid w:val="00C65ADC"/>
    <w:rsid w:val="00C65D28"/>
    <w:rsid w:val="00C66319"/>
    <w:rsid w:val="00C6716A"/>
    <w:rsid w:val="00C679D0"/>
    <w:rsid w:val="00C67DA1"/>
    <w:rsid w:val="00C705DA"/>
    <w:rsid w:val="00C70E33"/>
    <w:rsid w:val="00C7114D"/>
    <w:rsid w:val="00C715F0"/>
    <w:rsid w:val="00C7243B"/>
    <w:rsid w:val="00C72F1B"/>
    <w:rsid w:val="00C7356F"/>
    <w:rsid w:val="00C74126"/>
    <w:rsid w:val="00C74C39"/>
    <w:rsid w:val="00C74DA9"/>
    <w:rsid w:val="00C74E8D"/>
    <w:rsid w:val="00C75249"/>
    <w:rsid w:val="00C753BA"/>
    <w:rsid w:val="00C75B76"/>
    <w:rsid w:val="00C7638D"/>
    <w:rsid w:val="00C763EA"/>
    <w:rsid w:val="00C771A6"/>
    <w:rsid w:val="00C77417"/>
    <w:rsid w:val="00C8049D"/>
    <w:rsid w:val="00C81FF6"/>
    <w:rsid w:val="00C82572"/>
    <w:rsid w:val="00C8301A"/>
    <w:rsid w:val="00C830A9"/>
    <w:rsid w:val="00C833D0"/>
    <w:rsid w:val="00C837AC"/>
    <w:rsid w:val="00C8458A"/>
    <w:rsid w:val="00C854F5"/>
    <w:rsid w:val="00C85D0D"/>
    <w:rsid w:val="00C85E77"/>
    <w:rsid w:val="00C86057"/>
    <w:rsid w:val="00C862C9"/>
    <w:rsid w:val="00C8668E"/>
    <w:rsid w:val="00C86988"/>
    <w:rsid w:val="00C86D90"/>
    <w:rsid w:val="00C870BA"/>
    <w:rsid w:val="00C872C5"/>
    <w:rsid w:val="00C8748F"/>
    <w:rsid w:val="00C8755F"/>
    <w:rsid w:val="00C87FB8"/>
    <w:rsid w:val="00C91139"/>
    <w:rsid w:val="00C91347"/>
    <w:rsid w:val="00C919D6"/>
    <w:rsid w:val="00C91CF4"/>
    <w:rsid w:val="00C92123"/>
    <w:rsid w:val="00C946DC"/>
    <w:rsid w:val="00C94F5B"/>
    <w:rsid w:val="00C95596"/>
    <w:rsid w:val="00C95850"/>
    <w:rsid w:val="00C95B85"/>
    <w:rsid w:val="00C97093"/>
    <w:rsid w:val="00C97258"/>
    <w:rsid w:val="00C97362"/>
    <w:rsid w:val="00C978F2"/>
    <w:rsid w:val="00C97F24"/>
    <w:rsid w:val="00C97F3F"/>
    <w:rsid w:val="00CA07F9"/>
    <w:rsid w:val="00CA0977"/>
    <w:rsid w:val="00CA0B5E"/>
    <w:rsid w:val="00CA0F4F"/>
    <w:rsid w:val="00CA15D7"/>
    <w:rsid w:val="00CA1C07"/>
    <w:rsid w:val="00CA2F21"/>
    <w:rsid w:val="00CA30B1"/>
    <w:rsid w:val="00CA3214"/>
    <w:rsid w:val="00CA332A"/>
    <w:rsid w:val="00CA450E"/>
    <w:rsid w:val="00CA475B"/>
    <w:rsid w:val="00CA47FB"/>
    <w:rsid w:val="00CA4819"/>
    <w:rsid w:val="00CA49A3"/>
    <w:rsid w:val="00CA5E91"/>
    <w:rsid w:val="00CA600B"/>
    <w:rsid w:val="00CA6FFF"/>
    <w:rsid w:val="00CA7096"/>
    <w:rsid w:val="00CA709C"/>
    <w:rsid w:val="00CB1F59"/>
    <w:rsid w:val="00CB20E7"/>
    <w:rsid w:val="00CB24E8"/>
    <w:rsid w:val="00CB2844"/>
    <w:rsid w:val="00CB2882"/>
    <w:rsid w:val="00CB292C"/>
    <w:rsid w:val="00CB2B77"/>
    <w:rsid w:val="00CB4589"/>
    <w:rsid w:val="00CB54F0"/>
    <w:rsid w:val="00CB60C9"/>
    <w:rsid w:val="00CB62C0"/>
    <w:rsid w:val="00CB6D24"/>
    <w:rsid w:val="00CB6DC8"/>
    <w:rsid w:val="00CB7282"/>
    <w:rsid w:val="00CB795F"/>
    <w:rsid w:val="00CC009C"/>
    <w:rsid w:val="00CC0486"/>
    <w:rsid w:val="00CC0ABD"/>
    <w:rsid w:val="00CC0B67"/>
    <w:rsid w:val="00CC0D15"/>
    <w:rsid w:val="00CC12AE"/>
    <w:rsid w:val="00CC1BBB"/>
    <w:rsid w:val="00CC2A06"/>
    <w:rsid w:val="00CC36A5"/>
    <w:rsid w:val="00CC39CD"/>
    <w:rsid w:val="00CC47E4"/>
    <w:rsid w:val="00CC4867"/>
    <w:rsid w:val="00CC5346"/>
    <w:rsid w:val="00CC5AB0"/>
    <w:rsid w:val="00CC6371"/>
    <w:rsid w:val="00CC645A"/>
    <w:rsid w:val="00CC6AFF"/>
    <w:rsid w:val="00CC6F4E"/>
    <w:rsid w:val="00CC7A96"/>
    <w:rsid w:val="00CC7D83"/>
    <w:rsid w:val="00CC7ED8"/>
    <w:rsid w:val="00CC7F08"/>
    <w:rsid w:val="00CC7F87"/>
    <w:rsid w:val="00CD10E1"/>
    <w:rsid w:val="00CD11A3"/>
    <w:rsid w:val="00CD12CE"/>
    <w:rsid w:val="00CD12FA"/>
    <w:rsid w:val="00CD1BF3"/>
    <w:rsid w:val="00CD1EE5"/>
    <w:rsid w:val="00CD235B"/>
    <w:rsid w:val="00CD2835"/>
    <w:rsid w:val="00CD3382"/>
    <w:rsid w:val="00CD5D94"/>
    <w:rsid w:val="00CD64FA"/>
    <w:rsid w:val="00CD6D33"/>
    <w:rsid w:val="00CD706E"/>
    <w:rsid w:val="00CD73E4"/>
    <w:rsid w:val="00CD73EB"/>
    <w:rsid w:val="00CD7667"/>
    <w:rsid w:val="00CE0085"/>
    <w:rsid w:val="00CE0472"/>
    <w:rsid w:val="00CE072C"/>
    <w:rsid w:val="00CE098C"/>
    <w:rsid w:val="00CE179F"/>
    <w:rsid w:val="00CE222C"/>
    <w:rsid w:val="00CE2B6C"/>
    <w:rsid w:val="00CE2C1A"/>
    <w:rsid w:val="00CE3F53"/>
    <w:rsid w:val="00CE4134"/>
    <w:rsid w:val="00CE4D05"/>
    <w:rsid w:val="00CE558E"/>
    <w:rsid w:val="00CE5774"/>
    <w:rsid w:val="00CE5AB0"/>
    <w:rsid w:val="00CE7933"/>
    <w:rsid w:val="00CF0DD8"/>
    <w:rsid w:val="00CF0F6D"/>
    <w:rsid w:val="00CF1103"/>
    <w:rsid w:val="00CF164C"/>
    <w:rsid w:val="00CF1A99"/>
    <w:rsid w:val="00CF1D3D"/>
    <w:rsid w:val="00CF20F6"/>
    <w:rsid w:val="00CF2C6F"/>
    <w:rsid w:val="00CF2CF1"/>
    <w:rsid w:val="00CF31DA"/>
    <w:rsid w:val="00CF32F9"/>
    <w:rsid w:val="00CF3FBC"/>
    <w:rsid w:val="00CF4099"/>
    <w:rsid w:val="00CF4131"/>
    <w:rsid w:val="00CF484F"/>
    <w:rsid w:val="00CF5085"/>
    <w:rsid w:val="00CF58DB"/>
    <w:rsid w:val="00CF5BC2"/>
    <w:rsid w:val="00CF5FDC"/>
    <w:rsid w:val="00CF67C1"/>
    <w:rsid w:val="00CF6AF2"/>
    <w:rsid w:val="00D00382"/>
    <w:rsid w:val="00D0086A"/>
    <w:rsid w:val="00D02C8E"/>
    <w:rsid w:val="00D02CB4"/>
    <w:rsid w:val="00D02EF1"/>
    <w:rsid w:val="00D031CC"/>
    <w:rsid w:val="00D03E6D"/>
    <w:rsid w:val="00D03EFB"/>
    <w:rsid w:val="00D03FC2"/>
    <w:rsid w:val="00D05130"/>
    <w:rsid w:val="00D05719"/>
    <w:rsid w:val="00D058A2"/>
    <w:rsid w:val="00D06CAE"/>
    <w:rsid w:val="00D0735A"/>
    <w:rsid w:val="00D0743E"/>
    <w:rsid w:val="00D07A8D"/>
    <w:rsid w:val="00D07F00"/>
    <w:rsid w:val="00D1024D"/>
    <w:rsid w:val="00D112E0"/>
    <w:rsid w:val="00D11F5B"/>
    <w:rsid w:val="00D120BF"/>
    <w:rsid w:val="00D12853"/>
    <w:rsid w:val="00D13977"/>
    <w:rsid w:val="00D13FC0"/>
    <w:rsid w:val="00D13FF9"/>
    <w:rsid w:val="00D14131"/>
    <w:rsid w:val="00D143EC"/>
    <w:rsid w:val="00D14468"/>
    <w:rsid w:val="00D1469B"/>
    <w:rsid w:val="00D156C7"/>
    <w:rsid w:val="00D15792"/>
    <w:rsid w:val="00D16036"/>
    <w:rsid w:val="00D163E3"/>
    <w:rsid w:val="00D16547"/>
    <w:rsid w:val="00D1741D"/>
    <w:rsid w:val="00D174C3"/>
    <w:rsid w:val="00D17D15"/>
    <w:rsid w:val="00D17E55"/>
    <w:rsid w:val="00D20CE3"/>
    <w:rsid w:val="00D2179B"/>
    <w:rsid w:val="00D21F46"/>
    <w:rsid w:val="00D21FAD"/>
    <w:rsid w:val="00D2245E"/>
    <w:rsid w:val="00D22699"/>
    <w:rsid w:val="00D22726"/>
    <w:rsid w:val="00D2316C"/>
    <w:rsid w:val="00D232B7"/>
    <w:rsid w:val="00D23531"/>
    <w:rsid w:val="00D237EF"/>
    <w:rsid w:val="00D24D0C"/>
    <w:rsid w:val="00D24FF4"/>
    <w:rsid w:val="00D25AB4"/>
    <w:rsid w:val="00D25F3E"/>
    <w:rsid w:val="00D27849"/>
    <w:rsid w:val="00D30A84"/>
    <w:rsid w:val="00D30CBA"/>
    <w:rsid w:val="00D3103C"/>
    <w:rsid w:val="00D323B5"/>
    <w:rsid w:val="00D327B7"/>
    <w:rsid w:val="00D32EC8"/>
    <w:rsid w:val="00D34371"/>
    <w:rsid w:val="00D3454B"/>
    <w:rsid w:val="00D345A3"/>
    <w:rsid w:val="00D34F70"/>
    <w:rsid w:val="00D35025"/>
    <w:rsid w:val="00D35369"/>
    <w:rsid w:val="00D3564F"/>
    <w:rsid w:val="00D36333"/>
    <w:rsid w:val="00D371A5"/>
    <w:rsid w:val="00D37A7B"/>
    <w:rsid w:val="00D37C36"/>
    <w:rsid w:val="00D40868"/>
    <w:rsid w:val="00D415E7"/>
    <w:rsid w:val="00D4187B"/>
    <w:rsid w:val="00D422A8"/>
    <w:rsid w:val="00D4263C"/>
    <w:rsid w:val="00D428B3"/>
    <w:rsid w:val="00D42A7C"/>
    <w:rsid w:val="00D43E58"/>
    <w:rsid w:val="00D44150"/>
    <w:rsid w:val="00D44D21"/>
    <w:rsid w:val="00D456C4"/>
    <w:rsid w:val="00D459CF"/>
    <w:rsid w:val="00D45F14"/>
    <w:rsid w:val="00D46A7B"/>
    <w:rsid w:val="00D46D74"/>
    <w:rsid w:val="00D4769B"/>
    <w:rsid w:val="00D477EA"/>
    <w:rsid w:val="00D5073A"/>
    <w:rsid w:val="00D50C9B"/>
    <w:rsid w:val="00D52088"/>
    <w:rsid w:val="00D52A8E"/>
    <w:rsid w:val="00D53CDD"/>
    <w:rsid w:val="00D549BF"/>
    <w:rsid w:val="00D551E1"/>
    <w:rsid w:val="00D55763"/>
    <w:rsid w:val="00D55AD4"/>
    <w:rsid w:val="00D5708A"/>
    <w:rsid w:val="00D576B5"/>
    <w:rsid w:val="00D57849"/>
    <w:rsid w:val="00D579C5"/>
    <w:rsid w:val="00D57EC4"/>
    <w:rsid w:val="00D60439"/>
    <w:rsid w:val="00D6057C"/>
    <w:rsid w:val="00D606C2"/>
    <w:rsid w:val="00D61654"/>
    <w:rsid w:val="00D6199A"/>
    <w:rsid w:val="00D6233C"/>
    <w:rsid w:val="00D62AB4"/>
    <w:rsid w:val="00D634BA"/>
    <w:rsid w:val="00D6661E"/>
    <w:rsid w:val="00D66774"/>
    <w:rsid w:val="00D6714F"/>
    <w:rsid w:val="00D70BF5"/>
    <w:rsid w:val="00D70EB2"/>
    <w:rsid w:val="00D71430"/>
    <w:rsid w:val="00D715EF"/>
    <w:rsid w:val="00D717B1"/>
    <w:rsid w:val="00D720BB"/>
    <w:rsid w:val="00D729FE"/>
    <w:rsid w:val="00D72FF1"/>
    <w:rsid w:val="00D7436A"/>
    <w:rsid w:val="00D75924"/>
    <w:rsid w:val="00D75BBC"/>
    <w:rsid w:val="00D75DD0"/>
    <w:rsid w:val="00D7602E"/>
    <w:rsid w:val="00D76990"/>
    <w:rsid w:val="00D76996"/>
    <w:rsid w:val="00D77C45"/>
    <w:rsid w:val="00D77D99"/>
    <w:rsid w:val="00D81071"/>
    <w:rsid w:val="00D821E0"/>
    <w:rsid w:val="00D82879"/>
    <w:rsid w:val="00D835A8"/>
    <w:rsid w:val="00D83B82"/>
    <w:rsid w:val="00D8492B"/>
    <w:rsid w:val="00D84CD5"/>
    <w:rsid w:val="00D85D3F"/>
    <w:rsid w:val="00D86F21"/>
    <w:rsid w:val="00D86FFD"/>
    <w:rsid w:val="00D87479"/>
    <w:rsid w:val="00D903D6"/>
    <w:rsid w:val="00D9150D"/>
    <w:rsid w:val="00D9266F"/>
    <w:rsid w:val="00D92B42"/>
    <w:rsid w:val="00D93254"/>
    <w:rsid w:val="00D93704"/>
    <w:rsid w:val="00D93ED9"/>
    <w:rsid w:val="00D952A8"/>
    <w:rsid w:val="00D95707"/>
    <w:rsid w:val="00D961F2"/>
    <w:rsid w:val="00D962DB"/>
    <w:rsid w:val="00D97607"/>
    <w:rsid w:val="00D97687"/>
    <w:rsid w:val="00D9775E"/>
    <w:rsid w:val="00DA023C"/>
    <w:rsid w:val="00DA07A5"/>
    <w:rsid w:val="00DA1531"/>
    <w:rsid w:val="00DA1610"/>
    <w:rsid w:val="00DA1A11"/>
    <w:rsid w:val="00DA1A4F"/>
    <w:rsid w:val="00DA1BEF"/>
    <w:rsid w:val="00DA1C87"/>
    <w:rsid w:val="00DA28A8"/>
    <w:rsid w:val="00DA2B6E"/>
    <w:rsid w:val="00DA3143"/>
    <w:rsid w:val="00DA478E"/>
    <w:rsid w:val="00DA4EAE"/>
    <w:rsid w:val="00DA55D4"/>
    <w:rsid w:val="00DA6178"/>
    <w:rsid w:val="00DA6854"/>
    <w:rsid w:val="00DA6BE8"/>
    <w:rsid w:val="00DA6D4F"/>
    <w:rsid w:val="00DA6FB4"/>
    <w:rsid w:val="00DA7AC3"/>
    <w:rsid w:val="00DA7B65"/>
    <w:rsid w:val="00DB0171"/>
    <w:rsid w:val="00DB0E0C"/>
    <w:rsid w:val="00DB10A8"/>
    <w:rsid w:val="00DB22B0"/>
    <w:rsid w:val="00DB25A7"/>
    <w:rsid w:val="00DB2D76"/>
    <w:rsid w:val="00DB4007"/>
    <w:rsid w:val="00DB457A"/>
    <w:rsid w:val="00DB4C98"/>
    <w:rsid w:val="00DB5301"/>
    <w:rsid w:val="00DB558D"/>
    <w:rsid w:val="00DB584E"/>
    <w:rsid w:val="00DB5D8C"/>
    <w:rsid w:val="00DB6511"/>
    <w:rsid w:val="00DB6695"/>
    <w:rsid w:val="00DB66CC"/>
    <w:rsid w:val="00DB69D9"/>
    <w:rsid w:val="00DB6A8D"/>
    <w:rsid w:val="00DB7C3E"/>
    <w:rsid w:val="00DC0612"/>
    <w:rsid w:val="00DC09B0"/>
    <w:rsid w:val="00DC16AF"/>
    <w:rsid w:val="00DC1ADC"/>
    <w:rsid w:val="00DC2022"/>
    <w:rsid w:val="00DC2A05"/>
    <w:rsid w:val="00DC32EC"/>
    <w:rsid w:val="00DC3740"/>
    <w:rsid w:val="00DC4099"/>
    <w:rsid w:val="00DC4790"/>
    <w:rsid w:val="00DC47F5"/>
    <w:rsid w:val="00DC499F"/>
    <w:rsid w:val="00DC5069"/>
    <w:rsid w:val="00DC5752"/>
    <w:rsid w:val="00DC6737"/>
    <w:rsid w:val="00DC676C"/>
    <w:rsid w:val="00DC7000"/>
    <w:rsid w:val="00DD051E"/>
    <w:rsid w:val="00DD05B3"/>
    <w:rsid w:val="00DD0BA0"/>
    <w:rsid w:val="00DD1046"/>
    <w:rsid w:val="00DD53A9"/>
    <w:rsid w:val="00DD5856"/>
    <w:rsid w:val="00DD5C5E"/>
    <w:rsid w:val="00DD7B40"/>
    <w:rsid w:val="00DE03FF"/>
    <w:rsid w:val="00DE117E"/>
    <w:rsid w:val="00DE11A6"/>
    <w:rsid w:val="00DE1278"/>
    <w:rsid w:val="00DE1987"/>
    <w:rsid w:val="00DE1EF9"/>
    <w:rsid w:val="00DE248E"/>
    <w:rsid w:val="00DE2A71"/>
    <w:rsid w:val="00DE2AC1"/>
    <w:rsid w:val="00DE36CF"/>
    <w:rsid w:val="00DE42BA"/>
    <w:rsid w:val="00DE43C5"/>
    <w:rsid w:val="00DE48CC"/>
    <w:rsid w:val="00DE50C2"/>
    <w:rsid w:val="00DE566F"/>
    <w:rsid w:val="00DE5DF9"/>
    <w:rsid w:val="00DE5E0C"/>
    <w:rsid w:val="00DE623A"/>
    <w:rsid w:val="00DE711B"/>
    <w:rsid w:val="00DF0728"/>
    <w:rsid w:val="00DF1ADC"/>
    <w:rsid w:val="00DF2249"/>
    <w:rsid w:val="00DF2347"/>
    <w:rsid w:val="00DF2C5D"/>
    <w:rsid w:val="00DF2E14"/>
    <w:rsid w:val="00DF30D5"/>
    <w:rsid w:val="00DF363A"/>
    <w:rsid w:val="00DF408C"/>
    <w:rsid w:val="00DF4099"/>
    <w:rsid w:val="00DF4173"/>
    <w:rsid w:val="00DF4488"/>
    <w:rsid w:val="00DF53AC"/>
    <w:rsid w:val="00DF53E8"/>
    <w:rsid w:val="00DF5C38"/>
    <w:rsid w:val="00DF61C8"/>
    <w:rsid w:val="00DF6323"/>
    <w:rsid w:val="00DF6B26"/>
    <w:rsid w:val="00DF744E"/>
    <w:rsid w:val="00DF7DD1"/>
    <w:rsid w:val="00DF7FF0"/>
    <w:rsid w:val="00E00167"/>
    <w:rsid w:val="00E00258"/>
    <w:rsid w:val="00E0068F"/>
    <w:rsid w:val="00E01AB3"/>
    <w:rsid w:val="00E01B7C"/>
    <w:rsid w:val="00E02BF1"/>
    <w:rsid w:val="00E02E74"/>
    <w:rsid w:val="00E03CFF"/>
    <w:rsid w:val="00E054BA"/>
    <w:rsid w:val="00E05967"/>
    <w:rsid w:val="00E05DE2"/>
    <w:rsid w:val="00E06F9F"/>
    <w:rsid w:val="00E074F9"/>
    <w:rsid w:val="00E1099E"/>
    <w:rsid w:val="00E10AAA"/>
    <w:rsid w:val="00E10D3F"/>
    <w:rsid w:val="00E11279"/>
    <w:rsid w:val="00E1129E"/>
    <w:rsid w:val="00E11DCA"/>
    <w:rsid w:val="00E1209D"/>
    <w:rsid w:val="00E120DB"/>
    <w:rsid w:val="00E121DD"/>
    <w:rsid w:val="00E12264"/>
    <w:rsid w:val="00E15A7E"/>
    <w:rsid w:val="00E15E9D"/>
    <w:rsid w:val="00E160CA"/>
    <w:rsid w:val="00E161F0"/>
    <w:rsid w:val="00E1675C"/>
    <w:rsid w:val="00E16977"/>
    <w:rsid w:val="00E16BE1"/>
    <w:rsid w:val="00E17DAB"/>
    <w:rsid w:val="00E20209"/>
    <w:rsid w:val="00E2037F"/>
    <w:rsid w:val="00E20628"/>
    <w:rsid w:val="00E2103B"/>
    <w:rsid w:val="00E213DA"/>
    <w:rsid w:val="00E21852"/>
    <w:rsid w:val="00E223BE"/>
    <w:rsid w:val="00E22A07"/>
    <w:rsid w:val="00E22AB5"/>
    <w:rsid w:val="00E22FA5"/>
    <w:rsid w:val="00E235C3"/>
    <w:rsid w:val="00E239F6"/>
    <w:rsid w:val="00E24796"/>
    <w:rsid w:val="00E253F7"/>
    <w:rsid w:val="00E26003"/>
    <w:rsid w:val="00E268C9"/>
    <w:rsid w:val="00E26CD9"/>
    <w:rsid w:val="00E273FF"/>
    <w:rsid w:val="00E27B91"/>
    <w:rsid w:val="00E306E7"/>
    <w:rsid w:val="00E30868"/>
    <w:rsid w:val="00E3087C"/>
    <w:rsid w:val="00E30E1D"/>
    <w:rsid w:val="00E30FE2"/>
    <w:rsid w:val="00E317CD"/>
    <w:rsid w:val="00E335C8"/>
    <w:rsid w:val="00E34B15"/>
    <w:rsid w:val="00E359A2"/>
    <w:rsid w:val="00E3664F"/>
    <w:rsid w:val="00E36E1A"/>
    <w:rsid w:val="00E36F77"/>
    <w:rsid w:val="00E37880"/>
    <w:rsid w:val="00E37BA9"/>
    <w:rsid w:val="00E37C7C"/>
    <w:rsid w:val="00E37F9B"/>
    <w:rsid w:val="00E407B5"/>
    <w:rsid w:val="00E418E4"/>
    <w:rsid w:val="00E41ABA"/>
    <w:rsid w:val="00E42411"/>
    <w:rsid w:val="00E42C8A"/>
    <w:rsid w:val="00E42CD9"/>
    <w:rsid w:val="00E42F9E"/>
    <w:rsid w:val="00E436F2"/>
    <w:rsid w:val="00E43965"/>
    <w:rsid w:val="00E43E3B"/>
    <w:rsid w:val="00E440D0"/>
    <w:rsid w:val="00E4452C"/>
    <w:rsid w:val="00E44FE2"/>
    <w:rsid w:val="00E4565B"/>
    <w:rsid w:val="00E4582E"/>
    <w:rsid w:val="00E46611"/>
    <w:rsid w:val="00E4680A"/>
    <w:rsid w:val="00E46AB8"/>
    <w:rsid w:val="00E46C76"/>
    <w:rsid w:val="00E473B3"/>
    <w:rsid w:val="00E479CE"/>
    <w:rsid w:val="00E50E8D"/>
    <w:rsid w:val="00E51F1C"/>
    <w:rsid w:val="00E53F1A"/>
    <w:rsid w:val="00E54185"/>
    <w:rsid w:val="00E5444F"/>
    <w:rsid w:val="00E54B32"/>
    <w:rsid w:val="00E54E5B"/>
    <w:rsid w:val="00E558F2"/>
    <w:rsid w:val="00E55ABA"/>
    <w:rsid w:val="00E55E56"/>
    <w:rsid w:val="00E5632A"/>
    <w:rsid w:val="00E5653C"/>
    <w:rsid w:val="00E5746C"/>
    <w:rsid w:val="00E57CA7"/>
    <w:rsid w:val="00E57FB4"/>
    <w:rsid w:val="00E61C5E"/>
    <w:rsid w:val="00E61EB3"/>
    <w:rsid w:val="00E61EC0"/>
    <w:rsid w:val="00E62415"/>
    <w:rsid w:val="00E62873"/>
    <w:rsid w:val="00E62B36"/>
    <w:rsid w:val="00E62DF5"/>
    <w:rsid w:val="00E632A2"/>
    <w:rsid w:val="00E63485"/>
    <w:rsid w:val="00E63BDC"/>
    <w:rsid w:val="00E63EED"/>
    <w:rsid w:val="00E6464E"/>
    <w:rsid w:val="00E647C8"/>
    <w:rsid w:val="00E64A4E"/>
    <w:rsid w:val="00E64EFB"/>
    <w:rsid w:val="00E65CF9"/>
    <w:rsid w:val="00E65EEB"/>
    <w:rsid w:val="00E6630C"/>
    <w:rsid w:val="00E67C82"/>
    <w:rsid w:val="00E702CE"/>
    <w:rsid w:val="00E70F0A"/>
    <w:rsid w:val="00E7124E"/>
    <w:rsid w:val="00E71844"/>
    <w:rsid w:val="00E731D7"/>
    <w:rsid w:val="00E7366F"/>
    <w:rsid w:val="00E7371B"/>
    <w:rsid w:val="00E73765"/>
    <w:rsid w:val="00E74128"/>
    <w:rsid w:val="00E745BF"/>
    <w:rsid w:val="00E74ACE"/>
    <w:rsid w:val="00E75866"/>
    <w:rsid w:val="00E75A0F"/>
    <w:rsid w:val="00E769BD"/>
    <w:rsid w:val="00E76EA7"/>
    <w:rsid w:val="00E77628"/>
    <w:rsid w:val="00E77C06"/>
    <w:rsid w:val="00E808F8"/>
    <w:rsid w:val="00E809B5"/>
    <w:rsid w:val="00E81FF9"/>
    <w:rsid w:val="00E8228A"/>
    <w:rsid w:val="00E831F7"/>
    <w:rsid w:val="00E835D7"/>
    <w:rsid w:val="00E84FEA"/>
    <w:rsid w:val="00E851EB"/>
    <w:rsid w:val="00E855E0"/>
    <w:rsid w:val="00E858D0"/>
    <w:rsid w:val="00E860B7"/>
    <w:rsid w:val="00E8612F"/>
    <w:rsid w:val="00E8660F"/>
    <w:rsid w:val="00E86717"/>
    <w:rsid w:val="00E86B95"/>
    <w:rsid w:val="00E86BBE"/>
    <w:rsid w:val="00E87222"/>
    <w:rsid w:val="00E8750F"/>
    <w:rsid w:val="00E8780D"/>
    <w:rsid w:val="00E87DCB"/>
    <w:rsid w:val="00E903CB"/>
    <w:rsid w:val="00E907EF"/>
    <w:rsid w:val="00E90D61"/>
    <w:rsid w:val="00E91D20"/>
    <w:rsid w:val="00E9221F"/>
    <w:rsid w:val="00E92644"/>
    <w:rsid w:val="00E927A5"/>
    <w:rsid w:val="00E93A2D"/>
    <w:rsid w:val="00E93C24"/>
    <w:rsid w:val="00E943BB"/>
    <w:rsid w:val="00E94499"/>
    <w:rsid w:val="00E94F4B"/>
    <w:rsid w:val="00E95DB8"/>
    <w:rsid w:val="00E95E3B"/>
    <w:rsid w:val="00E97527"/>
    <w:rsid w:val="00EA02D8"/>
    <w:rsid w:val="00EA186C"/>
    <w:rsid w:val="00EA1E91"/>
    <w:rsid w:val="00EA2168"/>
    <w:rsid w:val="00EA229D"/>
    <w:rsid w:val="00EA38ED"/>
    <w:rsid w:val="00EA3D6E"/>
    <w:rsid w:val="00EA43FA"/>
    <w:rsid w:val="00EA46A8"/>
    <w:rsid w:val="00EA4773"/>
    <w:rsid w:val="00EA5A9E"/>
    <w:rsid w:val="00EA5DFB"/>
    <w:rsid w:val="00EA6556"/>
    <w:rsid w:val="00EA6842"/>
    <w:rsid w:val="00EA6ABF"/>
    <w:rsid w:val="00EA6D25"/>
    <w:rsid w:val="00EA7290"/>
    <w:rsid w:val="00EB1AA9"/>
    <w:rsid w:val="00EB1B80"/>
    <w:rsid w:val="00EB2057"/>
    <w:rsid w:val="00EB2254"/>
    <w:rsid w:val="00EB2FCD"/>
    <w:rsid w:val="00EB4C26"/>
    <w:rsid w:val="00EB5127"/>
    <w:rsid w:val="00EB53F2"/>
    <w:rsid w:val="00EB548C"/>
    <w:rsid w:val="00EB55F6"/>
    <w:rsid w:val="00EB5B11"/>
    <w:rsid w:val="00EB5C85"/>
    <w:rsid w:val="00EB7803"/>
    <w:rsid w:val="00EC0295"/>
    <w:rsid w:val="00EC0454"/>
    <w:rsid w:val="00EC06CD"/>
    <w:rsid w:val="00EC0801"/>
    <w:rsid w:val="00EC0A66"/>
    <w:rsid w:val="00EC0F4A"/>
    <w:rsid w:val="00EC113D"/>
    <w:rsid w:val="00EC1748"/>
    <w:rsid w:val="00EC19FA"/>
    <w:rsid w:val="00EC1C59"/>
    <w:rsid w:val="00EC1F39"/>
    <w:rsid w:val="00EC26F3"/>
    <w:rsid w:val="00EC2948"/>
    <w:rsid w:val="00EC339E"/>
    <w:rsid w:val="00EC33E6"/>
    <w:rsid w:val="00EC4074"/>
    <w:rsid w:val="00EC48E2"/>
    <w:rsid w:val="00EC574B"/>
    <w:rsid w:val="00EC5F86"/>
    <w:rsid w:val="00ED0940"/>
    <w:rsid w:val="00ED1C65"/>
    <w:rsid w:val="00ED1E93"/>
    <w:rsid w:val="00ED20D7"/>
    <w:rsid w:val="00ED25CE"/>
    <w:rsid w:val="00ED29A8"/>
    <w:rsid w:val="00ED2A50"/>
    <w:rsid w:val="00ED305C"/>
    <w:rsid w:val="00ED3A55"/>
    <w:rsid w:val="00ED3B06"/>
    <w:rsid w:val="00ED402C"/>
    <w:rsid w:val="00ED4736"/>
    <w:rsid w:val="00ED4C5F"/>
    <w:rsid w:val="00ED511B"/>
    <w:rsid w:val="00ED7DD7"/>
    <w:rsid w:val="00EE05E2"/>
    <w:rsid w:val="00EE0ACF"/>
    <w:rsid w:val="00EE15D2"/>
    <w:rsid w:val="00EE1849"/>
    <w:rsid w:val="00EE18F6"/>
    <w:rsid w:val="00EE190C"/>
    <w:rsid w:val="00EE2199"/>
    <w:rsid w:val="00EE2246"/>
    <w:rsid w:val="00EE22E3"/>
    <w:rsid w:val="00EE2C12"/>
    <w:rsid w:val="00EE2C8B"/>
    <w:rsid w:val="00EE2ED0"/>
    <w:rsid w:val="00EE32E6"/>
    <w:rsid w:val="00EE37DE"/>
    <w:rsid w:val="00EE3E63"/>
    <w:rsid w:val="00EE40D5"/>
    <w:rsid w:val="00EE50A7"/>
    <w:rsid w:val="00EE5C1F"/>
    <w:rsid w:val="00EE5C42"/>
    <w:rsid w:val="00EE5E13"/>
    <w:rsid w:val="00EE67C5"/>
    <w:rsid w:val="00EE6A1B"/>
    <w:rsid w:val="00EE6B95"/>
    <w:rsid w:val="00EF059F"/>
    <w:rsid w:val="00EF18EF"/>
    <w:rsid w:val="00EF1D41"/>
    <w:rsid w:val="00EF1ED2"/>
    <w:rsid w:val="00EF3EB5"/>
    <w:rsid w:val="00EF4031"/>
    <w:rsid w:val="00EF45CE"/>
    <w:rsid w:val="00EF4C71"/>
    <w:rsid w:val="00EF4D45"/>
    <w:rsid w:val="00EF535B"/>
    <w:rsid w:val="00EF5A2E"/>
    <w:rsid w:val="00EF695C"/>
    <w:rsid w:val="00EF6EE5"/>
    <w:rsid w:val="00F00984"/>
    <w:rsid w:val="00F01307"/>
    <w:rsid w:val="00F01FF7"/>
    <w:rsid w:val="00F023D5"/>
    <w:rsid w:val="00F02FC1"/>
    <w:rsid w:val="00F03570"/>
    <w:rsid w:val="00F05784"/>
    <w:rsid w:val="00F05908"/>
    <w:rsid w:val="00F059CC"/>
    <w:rsid w:val="00F07C66"/>
    <w:rsid w:val="00F07E92"/>
    <w:rsid w:val="00F07FB9"/>
    <w:rsid w:val="00F10305"/>
    <w:rsid w:val="00F1076B"/>
    <w:rsid w:val="00F10D71"/>
    <w:rsid w:val="00F11B9B"/>
    <w:rsid w:val="00F11D20"/>
    <w:rsid w:val="00F120D0"/>
    <w:rsid w:val="00F121A8"/>
    <w:rsid w:val="00F1363A"/>
    <w:rsid w:val="00F13DBF"/>
    <w:rsid w:val="00F13E0D"/>
    <w:rsid w:val="00F14682"/>
    <w:rsid w:val="00F15DFF"/>
    <w:rsid w:val="00F15F6A"/>
    <w:rsid w:val="00F16794"/>
    <w:rsid w:val="00F16FDB"/>
    <w:rsid w:val="00F175CA"/>
    <w:rsid w:val="00F208B0"/>
    <w:rsid w:val="00F20B6E"/>
    <w:rsid w:val="00F20FF5"/>
    <w:rsid w:val="00F2440F"/>
    <w:rsid w:val="00F248EC"/>
    <w:rsid w:val="00F24ACD"/>
    <w:rsid w:val="00F24BCF"/>
    <w:rsid w:val="00F24C64"/>
    <w:rsid w:val="00F24C99"/>
    <w:rsid w:val="00F24D07"/>
    <w:rsid w:val="00F24FEC"/>
    <w:rsid w:val="00F25D22"/>
    <w:rsid w:val="00F25EC8"/>
    <w:rsid w:val="00F2639B"/>
    <w:rsid w:val="00F271F4"/>
    <w:rsid w:val="00F276EE"/>
    <w:rsid w:val="00F30159"/>
    <w:rsid w:val="00F3087C"/>
    <w:rsid w:val="00F3117C"/>
    <w:rsid w:val="00F31A3E"/>
    <w:rsid w:val="00F3255F"/>
    <w:rsid w:val="00F33271"/>
    <w:rsid w:val="00F33713"/>
    <w:rsid w:val="00F33F70"/>
    <w:rsid w:val="00F34182"/>
    <w:rsid w:val="00F34A67"/>
    <w:rsid w:val="00F3510E"/>
    <w:rsid w:val="00F35B8D"/>
    <w:rsid w:val="00F365D1"/>
    <w:rsid w:val="00F373DC"/>
    <w:rsid w:val="00F37714"/>
    <w:rsid w:val="00F37EF3"/>
    <w:rsid w:val="00F403D6"/>
    <w:rsid w:val="00F40782"/>
    <w:rsid w:val="00F422EF"/>
    <w:rsid w:val="00F42894"/>
    <w:rsid w:val="00F43E26"/>
    <w:rsid w:val="00F4532B"/>
    <w:rsid w:val="00F45CF2"/>
    <w:rsid w:val="00F4661A"/>
    <w:rsid w:val="00F470EA"/>
    <w:rsid w:val="00F4731E"/>
    <w:rsid w:val="00F47559"/>
    <w:rsid w:val="00F47B25"/>
    <w:rsid w:val="00F47E97"/>
    <w:rsid w:val="00F47F9B"/>
    <w:rsid w:val="00F5038E"/>
    <w:rsid w:val="00F506AE"/>
    <w:rsid w:val="00F50914"/>
    <w:rsid w:val="00F5118C"/>
    <w:rsid w:val="00F51346"/>
    <w:rsid w:val="00F5174A"/>
    <w:rsid w:val="00F52229"/>
    <w:rsid w:val="00F5235B"/>
    <w:rsid w:val="00F53577"/>
    <w:rsid w:val="00F53DAA"/>
    <w:rsid w:val="00F54947"/>
    <w:rsid w:val="00F54F7B"/>
    <w:rsid w:val="00F5556B"/>
    <w:rsid w:val="00F55CD7"/>
    <w:rsid w:val="00F55E8E"/>
    <w:rsid w:val="00F55EF3"/>
    <w:rsid w:val="00F560DC"/>
    <w:rsid w:val="00F56137"/>
    <w:rsid w:val="00F56484"/>
    <w:rsid w:val="00F56916"/>
    <w:rsid w:val="00F56AD0"/>
    <w:rsid w:val="00F56CB1"/>
    <w:rsid w:val="00F573FB"/>
    <w:rsid w:val="00F61E69"/>
    <w:rsid w:val="00F626C2"/>
    <w:rsid w:val="00F627CB"/>
    <w:rsid w:val="00F62884"/>
    <w:rsid w:val="00F63023"/>
    <w:rsid w:val="00F630EF"/>
    <w:rsid w:val="00F6319E"/>
    <w:rsid w:val="00F63F85"/>
    <w:rsid w:val="00F65156"/>
    <w:rsid w:val="00F65819"/>
    <w:rsid w:val="00F65DC5"/>
    <w:rsid w:val="00F664CB"/>
    <w:rsid w:val="00F66865"/>
    <w:rsid w:val="00F67A6B"/>
    <w:rsid w:val="00F70B5B"/>
    <w:rsid w:val="00F70C52"/>
    <w:rsid w:val="00F7142B"/>
    <w:rsid w:val="00F71634"/>
    <w:rsid w:val="00F71B3E"/>
    <w:rsid w:val="00F7244F"/>
    <w:rsid w:val="00F72962"/>
    <w:rsid w:val="00F72BD1"/>
    <w:rsid w:val="00F72D23"/>
    <w:rsid w:val="00F739D2"/>
    <w:rsid w:val="00F73AD0"/>
    <w:rsid w:val="00F743D8"/>
    <w:rsid w:val="00F74CB0"/>
    <w:rsid w:val="00F75495"/>
    <w:rsid w:val="00F7639C"/>
    <w:rsid w:val="00F765EB"/>
    <w:rsid w:val="00F773A0"/>
    <w:rsid w:val="00F77DC0"/>
    <w:rsid w:val="00F807F1"/>
    <w:rsid w:val="00F80800"/>
    <w:rsid w:val="00F81CE4"/>
    <w:rsid w:val="00F822BA"/>
    <w:rsid w:val="00F836EA"/>
    <w:rsid w:val="00F83EBC"/>
    <w:rsid w:val="00F8540A"/>
    <w:rsid w:val="00F854BA"/>
    <w:rsid w:val="00F8555A"/>
    <w:rsid w:val="00F85BC9"/>
    <w:rsid w:val="00F86160"/>
    <w:rsid w:val="00F861EE"/>
    <w:rsid w:val="00F86308"/>
    <w:rsid w:val="00F86720"/>
    <w:rsid w:val="00F8673B"/>
    <w:rsid w:val="00F86E31"/>
    <w:rsid w:val="00F86FA4"/>
    <w:rsid w:val="00F87522"/>
    <w:rsid w:val="00F908F8"/>
    <w:rsid w:val="00F91018"/>
    <w:rsid w:val="00F92442"/>
    <w:rsid w:val="00F924C9"/>
    <w:rsid w:val="00F926C8"/>
    <w:rsid w:val="00F92A8B"/>
    <w:rsid w:val="00F936E6"/>
    <w:rsid w:val="00F93749"/>
    <w:rsid w:val="00F939DB"/>
    <w:rsid w:val="00F94161"/>
    <w:rsid w:val="00F94E8C"/>
    <w:rsid w:val="00F95B89"/>
    <w:rsid w:val="00F964B0"/>
    <w:rsid w:val="00F973F0"/>
    <w:rsid w:val="00F97B52"/>
    <w:rsid w:val="00F97D2D"/>
    <w:rsid w:val="00FA05A4"/>
    <w:rsid w:val="00FA2089"/>
    <w:rsid w:val="00FA24ED"/>
    <w:rsid w:val="00FA2F44"/>
    <w:rsid w:val="00FA2F87"/>
    <w:rsid w:val="00FA30C2"/>
    <w:rsid w:val="00FA31D8"/>
    <w:rsid w:val="00FA3809"/>
    <w:rsid w:val="00FA3E95"/>
    <w:rsid w:val="00FA45B0"/>
    <w:rsid w:val="00FA47FD"/>
    <w:rsid w:val="00FA63B6"/>
    <w:rsid w:val="00FA6958"/>
    <w:rsid w:val="00FA703A"/>
    <w:rsid w:val="00FA7135"/>
    <w:rsid w:val="00FA784C"/>
    <w:rsid w:val="00FA7F93"/>
    <w:rsid w:val="00FB06E1"/>
    <w:rsid w:val="00FB0BD9"/>
    <w:rsid w:val="00FB0CA2"/>
    <w:rsid w:val="00FB1A25"/>
    <w:rsid w:val="00FB1E5B"/>
    <w:rsid w:val="00FB3FDA"/>
    <w:rsid w:val="00FB4A9E"/>
    <w:rsid w:val="00FB4B25"/>
    <w:rsid w:val="00FB5B9C"/>
    <w:rsid w:val="00FB5FAB"/>
    <w:rsid w:val="00FB6141"/>
    <w:rsid w:val="00FB66AB"/>
    <w:rsid w:val="00FB6912"/>
    <w:rsid w:val="00FB6A8B"/>
    <w:rsid w:val="00FB7898"/>
    <w:rsid w:val="00FB79BE"/>
    <w:rsid w:val="00FB7CBB"/>
    <w:rsid w:val="00FC00DD"/>
    <w:rsid w:val="00FC0A72"/>
    <w:rsid w:val="00FC118B"/>
    <w:rsid w:val="00FC1247"/>
    <w:rsid w:val="00FC13E2"/>
    <w:rsid w:val="00FC14D9"/>
    <w:rsid w:val="00FC1C66"/>
    <w:rsid w:val="00FC24E3"/>
    <w:rsid w:val="00FC27D4"/>
    <w:rsid w:val="00FC34A8"/>
    <w:rsid w:val="00FC3C90"/>
    <w:rsid w:val="00FC3CD4"/>
    <w:rsid w:val="00FC4603"/>
    <w:rsid w:val="00FC4E2A"/>
    <w:rsid w:val="00FC53FB"/>
    <w:rsid w:val="00FC54F0"/>
    <w:rsid w:val="00FC56C6"/>
    <w:rsid w:val="00FC5FA2"/>
    <w:rsid w:val="00FC690F"/>
    <w:rsid w:val="00FC6CF3"/>
    <w:rsid w:val="00FC6D18"/>
    <w:rsid w:val="00FC6F4F"/>
    <w:rsid w:val="00FD06EA"/>
    <w:rsid w:val="00FD075A"/>
    <w:rsid w:val="00FD0C1E"/>
    <w:rsid w:val="00FD1B30"/>
    <w:rsid w:val="00FD33E6"/>
    <w:rsid w:val="00FD3D3E"/>
    <w:rsid w:val="00FD4653"/>
    <w:rsid w:val="00FD4975"/>
    <w:rsid w:val="00FD4BA1"/>
    <w:rsid w:val="00FD4DCB"/>
    <w:rsid w:val="00FD5051"/>
    <w:rsid w:val="00FD522D"/>
    <w:rsid w:val="00FD5958"/>
    <w:rsid w:val="00FD5A01"/>
    <w:rsid w:val="00FD5A0F"/>
    <w:rsid w:val="00FD5AC4"/>
    <w:rsid w:val="00FD693E"/>
    <w:rsid w:val="00FD70D1"/>
    <w:rsid w:val="00FD756D"/>
    <w:rsid w:val="00FD7972"/>
    <w:rsid w:val="00FD79EA"/>
    <w:rsid w:val="00FE059A"/>
    <w:rsid w:val="00FE0767"/>
    <w:rsid w:val="00FE0781"/>
    <w:rsid w:val="00FE1091"/>
    <w:rsid w:val="00FE14F4"/>
    <w:rsid w:val="00FE2022"/>
    <w:rsid w:val="00FE29AF"/>
    <w:rsid w:val="00FE2A30"/>
    <w:rsid w:val="00FE3287"/>
    <w:rsid w:val="00FE33D6"/>
    <w:rsid w:val="00FE395C"/>
    <w:rsid w:val="00FE3996"/>
    <w:rsid w:val="00FE3BF2"/>
    <w:rsid w:val="00FE3CF5"/>
    <w:rsid w:val="00FE3DE9"/>
    <w:rsid w:val="00FE3E5B"/>
    <w:rsid w:val="00FE3FDC"/>
    <w:rsid w:val="00FE54AE"/>
    <w:rsid w:val="00FE5B0C"/>
    <w:rsid w:val="00FE6137"/>
    <w:rsid w:val="00FE6900"/>
    <w:rsid w:val="00FE7CFC"/>
    <w:rsid w:val="00FF046D"/>
    <w:rsid w:val="00FF1E56"/>
    <w:rsid w:val="00FF2122"/>
    <w:rsid w:val="00FF2339"/>
    <w:rsid w:val="00FF23FA"/>
    <w:rsid w:val="00FF2430"/>
    <w:rsid w:val="00FF26B9"/>
    <w:rsid w:val="00FF2A35"/>
    <w:rsid w:val="00FF33AA"/>
    <w:rsid w:val="00FF371D"/>
    <w:rsid w:val="00FF4216"/>
    <w:rsid w:val="00FF4244"/>
    <w:rsid w:val="00FF4B33"/>
    <w:rsid w:val="00FF4E3A"/>
    <w:rsid w:val="00FF581C"/>
    <w:rsid w:val="00FF5C58"/>
    <w:rsid w:val="00FF637D"/>
    <w:rsid w:val="00FF64CF"/>
    <w:rsid w:val="00FF6702"/>
    <w:rsid w:val="00FF6B5D"/>
    <w:rsid w:val="00FF75BA"/>
    <w:rsid w:val="00FF769A"/>
    <w:rsid w:val="00FF7FFD"/>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BE2087C"/>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BA2896A"/>
  <w14:defaultImageDpi w14:val="32767"/>
  <w15:docId w15:val="{8F611EB7-ACEF-4913-8397-E7FE5B5CA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2" w:unhideWhenUsed="1"/>
    <w:lsdException w:name="toc 2" w:semiHidden="1" w:uiPriority="2"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6997"/>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824D30"/>
    <w:pPr>
      <w:spacing w:after="240"/>
      <w:outlineLvl w:val="0"/>
    </w:pPr>
    <w:rPr>
      <w:rFonts w:ascii="Arial Bold" w:hAnsi="Arial Bold"/>
      <w:b/>
      <w:kern w:val="34"/>
      <w:sz w:val="36"/>
    </w:rPr>
  </w:style>
  <w:style w:type="paragraph" w:styleId="Heading2">
    <w:name w:val="heading 2"/>
    <w:basedOn w:val="HeadingBase"/>
    <w:next w:val="Normal"/>
    <w:link w:val="Heading2Char"/>
    <w:qFormat/>
    <w:rsid w:val="00824D30"/>
    <w:pPr>
      <w:spacing w:before="240" w:after="240"/>
      <w:outlineLvl w:val="1"/>
    </w:pPr>
    <w:rPr>
      <w:rFonts w:ascii="Arial Bold" w:hAnsi="Arial Bold"/>
      <w:b/>
      <w:sz w:val="26"/>
    </w:rPr>
  </w:style>
  <w:style w:type="paragraph" w:styleId="Heading3">
    <w:name w:val="heading 3"/>
    <w:basedOn w:val="HeadingBase"/>
    <w:next w:val="Normal"/>
    <w:link w:val="Heading3Char"/>
    <w:qFormat/>
    <w:rsid w:val="00824D30"/>
    <w:pPr>
      <w:spacing w:before="120" w:after="120"/>
      <w:outlineLvl w:val="2"/>
    </w:pPr>
    <w:rPr>
      <w:rFonts w:ascii="Arial Bold" w:hAnsi="Arial Bold"/>
      <w:b/>
      <w:sz w:val="22"/>
    </w:rPr>
  </w:style>
  <w:style w:type="paragraph" w:styleId="Heading4">
    <w:name w:val="heading 4"/>
    <w:basedOn w:val="HeadingBase"/>
    <w:next w:val="Normal"/>
    <w:link w:val="Heading4Char"/>
    <w:qFormat/>
    <w:rsid w:val="00824D30"/>
    <w:pPr>
      <w:spacing w:after="120"/>
      <w:outlineLvl w:val="3"/>
    </w:pPr>
    <w:rPr>
      <w:rFonts w:ascii="Arial Bold" w:hAnsi="Arial Bold"/>
      <w:b/>
      <w:sz w:val="20"/>
    </w:rPr>
  </w:style>
  <w:style w:type="paragraph" w:styleId="Heading5">
    <w:name w:val="heading 5"/>
    <w:basedOn w:val="HeadingBase"/>
    <w:next w:val="Normal"/>
    <w:link w:val="Heading5Char"/>
    <w:qFormat/>
    <w:rsid w:val="00824D30"/>
    <w:pPr>
      <w:spacing w:after="120"/>
      <w:outlineLvl w:val="4"/>
    </w:pPr>
    <w:rPr>
      <w:bCs/>
      <w:i/>
      <w:iCs/>
      <w:sz w:val="20"/>
      <w:szCs w:val="26"/>
    </w:rPr>
  </w:style>
  <w:style w:type="paragraph" w:styleId="Heading6">
    <w:name w:val="heading 6"/>
    <w:basedOn w:val="HeadingBase"/>
    <w:next w:val="Normal"/>
    <w:link w:val="Heading6Char"/>
    <w:rsid w:val="00824D30"/>
    <w:pPr>
      <w:spacing w:after="120"/>
      <w:outlineLvl w:val="5"/>
    </w:pPr>
    <w:rPr>
      <w:bCs/>
      <w:sz w:val="20"/>
      <w:szCs w:val="22"/>
    </w:rPr>
  </w:style>
  <w:style w:type="paragraph" w:styleId="Heading7">
    <w:name w:val="heading 7"/>
    <w:basedOn w:val="HeadingBase"/>
    <w:next w:val="Normal"/>
    <w:link w:val="Heading7Char"/>
    <w:rsid w:val="00824D30"/>
    <w:pPr>
      <w:spacing w:before="120"/>
      <w:outlineLvl w:val="6"/>
    </w:pPr>
    <w:rPr>
      <w:sz w:val="20"/>
      <w:szCs w:val="24"/>
    </w:rPr>
  </w:style>
  <w:style w:type="paragraph" w:styleId="Heading8">
    <w:name w:val="heading 8"/>
    <w:basedOn w:val="HeadingBase"/>
    <w:next w:val="Normal"/>
    <w:link w:val="Heading8Char"/>
    <w:rsid w:val="00824D30"/>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rsid w:val="00824D30"/>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824D30"/>
    <w:pPr>
      <w:spacing w:before="0" w:after="0" w:line="240" w:lineRule="auto"/>
    </w:pPr>
  </w:style>
  <w:style w:type="paragraph" w:customStyle="1" w:styleId="Exampletext">
    <w:name w:val="Example text"/>
    <w:basedOn w:val="Normal"/>
    <w:link w:val="ExampletextCharChar"/>
    <w:rsid w:val="00824D30"/>
    <w:rPr>
      <w:i/>
      <w:color w:val="FF0000"/>
      <w:lang w:val="x-none" w:eastAsia="x-none"/>
    </w:rPr>
  </w:style>
  <w:style w:type="paragraph" w:customStyle="1" w:styleId="ChartSecondHeading">
    <w:name w:val="Chart Second Heading"/>
    <w:basedOn w:val="HeadingBase"/>
    <w:next w:val="ChartGraphic"/>
    <w:rsid w:val="00824D30"/>
    <w:pPr>
      <w:spacing w:after="60"/>
    </w:pPr>
    <w:rPr>
      <w:sz w:val="19"/>
    </w:rPr>
  </w:style>
  <w:style w:type="paragraph" w:customStyle="1" w:styleId="TableHeading">
    <w:name w:val="Table Heading"/>
    <w:basedOn w:val="HeadingBase"/>
    <w:next w:val="TableGraphic"/>
    <w:link w:val="TableHeadingChar"/>
    <w:qFormat/>
    <w:rsid w:val="00824D30"/>
    <w:pPr>
      <w:spacing w:before="120" w:after="20"/>
    </w:pPr>
    <w:rPr>
      <w:b/>
      <w:sz w:val="20"/>
    </w:rPr>
  </w:style>
  <w:style w:type="paragraph" w:customStyle="1" w:styleId="HeadingBase">
    <w:name w:val="Heading Base"/>
    <w:link w:val="HeadingBaseChar"/>
    <w:rsid w:val="00824D30"/>
    <w:pPr>
      <w:keepNext/>
    </w:pPr>
    <w:rPr>
      <w:rFonts w:ascii="Arial" w:hAnsi="Arial"/>
      <w:sz w:val="24"/>
    </w:rPr>
  </w:style>
  <w:style w:type="paragraph" w:customStyle="1" w:styleId="AlphaParagraph">
    <w:name w:val="Alpha Paragraph"/>
    <w:basedOn w:val="Normal"/>
    <w:rsid w:val="00824D30"/>
    <w:pPr>
      <w:numPr>
        <w:numId w:val="1"/>
      </w:numPr>
      <w:tabs>
        <w:tab w:val="clear" w:pos="567"/>
        <w:tab w:val="num" w:pos="360"/>
      </w:tabs>
    </w:pPr>
  </w:style>
  <w:style w:type="paragraph" w:customStyle="1" w:styleId="Bullet">
    <w:name w:val="Bullet"/>
    <w:basedOn w:val="Normal"/>
    <w:link w:val="BulletChar"/>
    <w:qFormat/>
    <w:rsid w:val="00824D30"/>
    <w:pPr>
      <w:numPr>
        <w:numId w:val="2"/>
      </w:numPr>
      <w:spacing w:after="160"/>
    </w:pPr>
  </w:style>
  <w:style w:type="paragraph" w:customStyle="1" w:styleId="Dash">
    <w:name w:val="Dash"/>
    <w:basedOn w:val="Normal"/>
    <w:qFormat/>
    <w:rsid w:val="00824D30"/>
    <w:pPr>
      <w:numPr>
        <w:ilvl w:val="1"/>
        <w:numId w:val="2"/>
      </w:numPr>
      <w:tabs>
        <w:tab w:val="left" w:pos="567"/>
      </w:tabs>
    </w:pPr>
  </w:style>
  <w:style w:type="paragraph" w:customStyle="1" w:styleId="DoubleDot">
    <w:name w:val="Double Dot"/>
    <w:basedOn w:val="Normal"/>
    <w:rsid w:val="00824D30"/>
    <w:pPr>
      <w:numPr>
        <w:ilvl w:val="2"/>
        <w:numId w:val="2"/>
      </w:numPr>
      <w:tabs>
        <w:tab w:val="clear" w:pos="850"/>
        <w:tab w:val="left" w:pos="851"/>
      </w:tabs>
    </w:pPr>
  </w:style>
  <w:style w:type="paragraph" w:customStyle="1" w:styleId="AppendixHeading">
    <w:name w:val="Appendix Heading"/>
    <w:basedOn w:val="HeadingBase"/>
    <w:semiHidden/>
    <w:rsid w:val="00824D30"/>
    <w:pPr>
      <w:spacing w:after="240"/>
      <w:jc w:val="center"/>
      <w:outlineLvl w:val="3"/>
    </w:pPr>
    <w:rPr>
      <w:b/>
      <w:smallCaps/>
      <w:sz w:val="30"/>
    </w:rPr>
  </w:style>
  <w:style w:type="paragraph" w:customStyle="1" w:styleId="BoxText">
    <w:name w:val="Box Text"/>
    <w:basedOn w:val="Normal"/>
    <w:qFormat/>
    <w:rsid w:val="00824D30"/>
    <w:pPr>
      <w:spacing w:before="120" w:after="120" w:line="240" w:lineRule="auto"/>
    </w:pPr>
  </w:style>
  <w:style w:type="paragraph" w:customStyle="1" w:styleId="BoxHeading">
    <w:name w:val="Box Heading"/>
    <w:basedOn w:val="HeadingBase"/>
    <w:next w:val="BoxText"/>
    <w:rsid w:val="00824D30"/>
    <w:pPr>
      <w:spacing w:before="120" w:after="120"/>
    </w:pPr>
    <w:rPr>
      <w:b/>
      <w:sz w:val="20"/>
    </w:rPr>
  </w:style>
  <w:style w:type="paragraph" w:customStyle="1" w:styleId="ChartandTableFootnoteAlpha">
    <w:name w:val="Chart and Table Footnote Alpha"/>
    <w:basedOn w:val="HeadingBase"/>
    <w:next w:val="Normal"/>
    <w:rsid w:val="00824D30"/>
    <w:pPr>
      <w:keepNext w:val="0"/>
      <w:numPr>
        <w:numId w:val="16"/>
      </w:numPr>
      <w:spacing w:before="30"/>
    </w:pPr>
    <w:rPr>
      <w:color w:val="000000"/>
      <w:sz w:val="16"/>
    </w:rPr>
  </w:style>
  <w:style w:type="paragraph" w:customStyle="1" w:styleId="ChartandTableFootnote">
    <w:name w:val="Chart and Table Footnote"/>
    <w:basedOn w:val="HeadingBase"/>
    <w:next w:val="Normal"/>
    <w:link w:val="ChartandTableFootnoteChar"/>
    <w:rsid w:val="00824D30"/>
    <w:pPr>
      <w:keepNext w:val="0"/>
      <w:tabs>
        <w:tab w:val="left" w:pos="709"/>
      </w:tabs>
      <w:spacing w:before="30"/>
    </w:pPr>
    <w:rPr>
      <w:color w:val="000000"/>
      <w:sz w:val="16"/>
    </w:rPr>
  </w:style>
  <w:style w:type="paragraph" w:customStyle="1" w:styleId="BoxBullet">
    <w:name w:val="Box Bullet"/>
    <w:basedOn w:val="BoxText"/>
    <w:rsid w:val="00824D30"/>
    <w:pPr>
      <w:numPr>
        <w:numId w:val="14"/>
      </w:numPr>
    </w:pPr>
  </w:style>
  <w:style w:type="paragraph" w:customStyle="1" w:styleId="ChartGraphic">
    <w:name w:val="Chart Graphic"/>
    <w:basedOn w:val="HeadingBase"/>
    <w:rsid w:val="00824D30"/>
    <w:pPr>
      <w:jc w:val="center"/>
    </w:pPr>
    <w:rPr>
      <w:sz w:val="20"/>
    </w:rPr>
  </w:style>
  <w:style w:type="paragraph" w:customStyle="1" w:styleId="ContentsHeading">
    <w:name w:val="Contents Heading"/>
    <w:basedOn w:val="HeadingBase"/>
    <w:next w:val="Normal"/>
    <w:rsid w:val="00824D30"/>
    <w:pPr>
      <w:spacing w:after="720"/>
    </w:pPr>
    <w:rPr>
      <w:b/>
      <w:bCs/>
      <w:sz w:val="36"/>
    </w:rPr>
  </w:style>
  <w:style w:type="paragraph" w:customStyle="1" w:styleId="FigureHeading">
    <w:name w:val="Figure Heading"/>
    <w:basedOn w:val="HeadingBase"/>
    <w:next w:val="ChartGraphic"/>
    <w:rsid w:val="00824D30"/>
    <w:pPr>
      <w:spacing w:before="120" w:after="20"/>
    </w:pPr>
    <w:rPr>
      <w:b/>
      <w:sz w:val="20"/>
    </w:rPr>
  </w:style>
  <w:style w:type="paragraph" w:customStyle="1" w:styleId="TableGraphic">
    <w:name w:val="Table Graphic"/>
    <w:basedOn w:val="Normal"/>
    <w:next w:val="Normal"/>
    <w:rsid w:val="00824D30"/>
    <w:pPr>
      <w:spacing w:before="0" w:after="0" w:line="240" w:lineRule="auto"/>
      <w:ind w:right="-113"/>
    </w:pPr>
  </w:style>
  <w:style w:type="paragraph" w:customStyle="1" w:styleId="NoteTableHeading">
    <w:name w:val="Note Table Heading"/>
    <w:basedOn w:val="HeadingBase"/>
    <w:next w:val="Normal"/>
    <w:rsid w:val="00824D30"/>
    <w:pPr>
      <w:spacing w:before="240"/>
    </w:pPr>
    <w:rPr>
      <w:b/>
      <w:sz w:val="20"/>
    </w:rPr>
  </w:style>
  <w:style w:type="paragraph" w:customStyle="1" w:styleId="Source">
    <w:name w:val="Source"/>
    <w:basedOn w:val="Normal"/>
    <w:rsid w:val="00824D30"/>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824D30"/>
    <w:pPr>
      <w:spacing w:before="20" w:after="20" w:line="240" w:lineRule="auto"/>
    </w:pPr>
    <w:rPr>
      <w:rFonts w:ascii="Arial" w:hAnsi="Arial"/>
      <w:sz w:val="16"/>
    </w:rPr>
  </w:style>
  <w:style w:type="paragraph" w:customStyle="1" w:styleId="TableColumnHeadingBase">
    <w:name w:val="Table Column Heading Base"/>
    <w:basedOn w:val="Normal"/>
    <w:rsid w:val="00824D30"/>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824D30"/>
  </w:style>
  <w:style w:type="paragraph" w:customStyle="1" w:styleId="TableTextRight">
    <w:name w:val="Table Text Right"/>
    <w:basedOn w:val="TableTextBase"/>
    <w:rsid w:val="00824D30"/>
    <w:pPr>
      <w:jc w:val="right"/>
    </w:pPr>
  </w:style>
  <w:style w:type="paragraph" w:customStyle="1" w:styleId="TableTextCentred">
    <w:name w:val="Table Text Centred"/>
    <w:basedOn w:val="TableTextBase"/>
    <w:rsid w:val="00824D30"/>
    <w:pPr>
      <w:jc w:val="center"/>
    </w:pPr>
  </w:style>
  <w:style w:type="paragraph" w:customStyle="1" w:styleId="TableTextIndented">
    <w:name w:val="Table Text Indented"/>
    <w:basedOn w:val="TableTextBase"/>
    <w:rsid w:val="00824D30"/>
    <w:pPr>
      <w:ind w:left="284"/>
    </w:pPr>
  </w:style>
  <w:style w:type="paragraph" w:customStyle="1" w:styleId="TableColumnHeadingLeft">
    <w:name w:val="Table Column Heading Left"/>
    <w:basedOn w:val="TableColumnHeadingBase"/>
    <w:next w:val="Normal"/>
    <w:rsid w:val="00824D30"/>
  </w:style>
  <w:style w:type="paragraph" w:customStyle="1" w:styleId="TableColumnHeadingRight">
    <w:name w:val="Table Column Heading Right"/>
    <w:basedOn w:val="TableColumnHeadingBase"/>
    <w:next w:val="Normal"/>
    <w:rsid w:val="00824D30"/>
    <w:pPr>
      <w:jc w:val="right"/>
    </w:pPr>
  </w:style>
  <w:style w:type="paragraph" w:customStyle="1" w:styleId="TableColumnHeadingCentred">
    <w:name w:val="Table Column Heading Centred"/>
    <w:basedOn w:val="TableColumnHeadingBase"/>
    <w:next w:val="Normal"/>
    <w:rsid w:val="00824D30"/>
    <w:pPr>
      <w:jc w:val="center"/>
    </w:pPr>
  </w:style>
  <w:style w:type="paragraph" w:customStyle="1" w:styleId="Exampletextbullet">
    <w:name w:val="Example text bullet"/>
    <w:basedOn w:val="Exampletext"/>
    <w:semiHidden/>
    <w:rsid w:val="00824D30"/>
    <w:pPr>
      <w:numPr>
        <w:numId w:val="4"/>
      </w:numPr>
    </w:pPr>
  </w:style>
  <w:style w:type="paragraph" w:customStyle="1" w:styleId="TableHeadingcontinued">
    <w:name w:val="Table Heading continued"/>
    <w:basedOn w:val="HeadingBase"/>
    <w:next w:val="TableGraphic"/>
    <w:rsid w:val="00824D30"/>
    <w:pPr>
      <w:spacing w:before="120" w:after="20"/>
    </w:pPr>
    <w:rPr>
      <w:rFonts w:ascii="Arial Bold" w:hAnsi="Arial Bold"/>
      <w:b/>
      <w:sz w:val="20"/>
    </w:rPr>
  </w:style>
  <w:style w:type="paragraph" w:customStyle="1" w:styleId="TPHeading1">
    <w:name w:val="TP Heading 1"/>
    <w:basedOn w:val="Normal"/>
    <w:rsid w:val="00824D30"/>
    <w:pPr>
      <w:keepNext/>
      <w:spacing w:before="60" w:after="720" w:line="240" w:lineRule="auto"/>
      <w:ind w:left="851"/>
    </w:pPr>
    <w:rPr>
      <w:rFonts w:ascii="Arial" w:hAnsi="Arial"/>
      <w:caps/>
      <w:spacing w:val="-10"/>
      <w:sz w:val="28"/>
    </w:rPr>
  </w:style>
  <w:style w:type="paragraph" w:customStyle="1" w:styleId="TPHeading2">
    <w:name w:val="TP Heading 2"/>
    <w:basedOn w:val="Normal"/>
    <w:rsid w:val="00824D30"/>
    <w:pPr>
      <w:keepNext/>
      <w:spacing w:before="0" w:after="4560" w:line="240" w:lineRule="auto"/>
      <w:ind w:left="851"/>
    </w:pPr>
    <w:rPr>
      <w:rFonts w:ascii="Arial" w:hAnsi="Arial"/>
      <w:b/>
      <w:caps/>
      <w:spacing w:val="-10"/>
      <w:sz w:val="28"/>
    </w:rPr>
  </w:style>
  <w:style w:type="paragraph" w:customStyle="1" w:styleId="TPHeading3">
    <w:name w:val="TP Heading 3"/>
    <w:basedOn w:val="Normal"/>
    <w:rsid w:val="00824D30"/>
    <w:pPr>
      <w:keepNext/>
      <w:spacing w:before="0" w:after="0" w:line="240" w:lineRule="auto"/>
      <w:ind w:left="851"/>
    </w:pPr>
    <w:rPr>
      <w:rFonts w:ascii="Arial" w:hAnsi="Arial"/>
      <w:spacing w:val="-10"/>
      <w:sz w:val="24"/>
    </w:rPr>
  </w:style>
  <w:style w:type="paragraph" w:customStyle="1" w:styleId="HeaderBase">
    <w:name w:val="Header Base"/>
    <w:basedOn w:val="Normal"/>
    <w:rsid w:val="00824D30"/>
    <w:pPr>
      <w:spacing w:before="0" w:after="0" w:line="240" w:lineRule="auto"/>
    </w:pPr>
    <w:rPr>
      <w:rFonts w:ascii="Arial" w:hAnsi="Arial"/>
      <w:position w:val="-1"/>
      <w:sz w:val="18"/>
    </w:rPr>
  </w:style>
  <w:style w:type="paragraph" w:customStyle="1" w:styleId="HeaderEven">
    <w:name w:val="Header Even"/>
    <w:basedOn w:val="HeaderBase"/>
    <w:rsid w:val="00824D30"/>
  </w:style>
  <w:style w:type="paragraph" w:customStyle="1" w:styleId="HeaderOdd">
    <w:name w:val="Header Odd"/>
    <w:basedOn w:val="HeaderBase"/>
    <w:rsid w:val="00824D30"/>
    <w:pPr>
      <w:jc w:val="right"/>
    </w:pPr>
  </w:style>
  <w:style w:type="paragraph" w:styleId="Header">
    <w:name w:val="header"/>
    <w:basedOn w:val="HeaderBase"/>
    <w:link w:val="HeaderChar"/>
    <w:qFormat/>
    <w:rsid w:val="00824D30"/>
    <w:pPr>
      <w:tabs>
        <w:tab w:val="center" w:pos="4153"/>
        <w:tab w:val="right" w:pos="8306"/>
      </w:tabs>
    </w:pPr>
  </w:style>
  <w:style w:type="paragraph" w:customStyle="1" w:styleId="FooterBase">
    <w:name w:val="Footer Base"/>
    <w:rsid w:val="00824D30"/>
    <w:pPr>
      <w:jc w:val="center"/>
    </w:pPr>
    <w:rPr>
      <w:rFonts w:ascii="Arial" w:hAnsi="Arial"/>
      <w:color w:val="000000" w:themeColor="text1"/>
    </w:rPr>
  </w:style>
  <w:style w:type="paragraph" w:styleId="Footer">
    <w:name w:val="footer"/>
    <w:basedOn w:val="FooterBase"/>
    <w:link w:val="FooterChar"/>
    <w:rsid w:val="00824D30"/>
    <w:pPr>
      <w:tabs>
        <w:tab w:val="center" w:pos="4153"/>
        <w:tab w:val="right" w:pos="8306"/>
      </w:tabs>
    </w:pPr>
  </w:style>
  <w:style w:type="paragraph" w:styleId="BalloonText">
    <w:name w:val="Balloon Text"/>
    <w:basedOn w:val="Normal"/>
    <w:semiHidden/>
    <w:rsid w:val="00824D30"/>
    <w:rPr>
      <w:rFonts w:ascii="Tahoma" w:hAnsi="Tahoma" w:cs="Tahoma"/>
      <w:sz w:val="16"/>
      <w:szCs w:val="16"/>
    </w:rPr>
  </w:style>
  <w:style w:type="character" w:styleId="CommentReference">
    <w:name w:val="annotation reference"/>
    <w:basedOn w:val="DefaultParagraphFont"/>
    <w:semiHidden/>
    <w:rsid w:val="00824D30"/>
    <w:rPr>
      <w:sz w:val="16"/>
      <w:szCs w:val="16"/>
    </w:rPr>
  </w:style>
  <w:style w:type="paragraph" w:styleId="CommentSubject">
    <w:name w:val="annotation subject"/>
    <w:basedOn w:val="Normal"/>
    <w:next w:val="Normal"/>
    <w:link w:val="CommentSubjectChar"/>
    <w:semiHidden/>
    <w:rsid w:val="00746997"/>
    <w:rPr>
      <w:b/>
      <w:bCs/>
    </w:rPr>
  </w:style>
  <w:style w:type="paragraph" w:styleId="DocumentMap">
    <w:name w:val="Document Map"/>
    <w:basedOn w:val="Normal"/>
    <w:link w:val="DocumentMapChar"/>
    <w:semiHidden/>
    <w:rsid w:val="00824D30"/>
    <w:pPr>
      <w:shd w:val="clear" w:color="auto" w:fill="000080"/>
    </w:pPr>
    <w:rPr>
      <w:rFonts w:ascii="Tahoma" w:hAnsi="Tahoma" w:cs="Tahoma"/>
    </w:rPr>
  </w:style>
  <w:style w:type="character" w:styleId="EndnoteReference">
    <w:name w:val="endnote reference"/>
    <w:basedOn w:val="DefaultParagraphFont"/>
    <w:unhideWhenUsed/>
    <w:rsid w:val="00824D30"/>
    <w:rPr>
      <w:vertAlign w:val="superscript"/>
    </w:rPr>
  </w:style>
  <w:style w:type="paragraph" w:styleId="EndnoteText">
    <w:name w:val="endnote text"/>
    <w:basedOn w:val="Normal"/>
    <w:link w:val="EndnoteTextChar"/>
    <w:unhideWhenUsed/>
    <w:rsid w:val="00824D30"/>
  </w:style>
  <w:style w:type="character" w:styleId="FootnoteReference">
    <w:name w:val="footnote reference"/>
    <w:basedOn w:val="DefaultParagraphFont"/>
    <w:uiPriority w:val="99"/>
    <w:rsid w:val="00824D30"/>
    <w:rPr>
      <w:vertAlign w:val="superscript"/>
    </w:rPr>
  </w:style>
  <w:style w:type="paragraph" w:styleId="FootnoteText">
    <w:name w:val="footnote text"/>
    <w:basedOn w:val="Normal"/>
    <w:link w:val="FootnoteTextChar"/>
    <w:uiPriority w:val="99"/>
    <w:rsid w:val="00824D30"/>
    <w:pPr>
      <w:tabs>
        <w:tab w:val="left" w:pos="284"/>
      </w:tabs>
      <w:spacing w:before="80" w:after="0" w:line="240" w:lineRule="auto"/>
      <w:ind w:left="284" w:hanging="284"/>
      <w:contextualSpacing/>
    </w:pPr>
    <w:rPr>
      <w:sz w:val="18"/>
    </w:rPr>
  </w:style>
  <w:style w:type="paragraph" w:styleId="Index1">
    <w:name w:val="index 1"/>
    <w:basedOn w:val="Normal"/>
    <w:next w:val="Normal"/>
    <w:rsid w:val="00824D30"/>
    <w:pPr>
      <w:ind w:left="200" w:hanging="200"/>
    </w:pPr>
  </w:style>
  <w:style w:type="paragraph" w:styleId="Index2">
    <w:name w:val="index 2"/>
    <w:basedOn w:val="Normal"/>
    <w:next w:val="Normal"/>
    <w:rsid w:val="00824D30"/>
    <w:pPr>
      <w:ind w:left="400" w:hanging="200"/>
    </w:pPr>
  </w:style>
  <w:style w:type="paragraph" w:styleId="Index3">
    <w:name w:val="index 3"/>
    <w:basedOn w:val="Normal"/>
    <w:next w:val="Normal"/>
    <w:rsid w:val="00824D30"/>
    <w:pPr>
      <w:ind w:left="600" w:hanging="200"/>
    </w:pPr>
  </w:style>
  <w:style w:type="paragraph" w:styleId="Index4">
    <w:name w:val="index 4"/>
    <w:basedOn w:val="Normal"/>
    <w:next w:val="Normal"/>
    <w:autoRedefine/>
    <w:semiHidden/>
    <w:rsid w:val="00824D30"/>
    <w:pPr>
      <w:ind w:left="800" w:hanging="200"/>
    </w:pPr>
  </w:style>
  <w:style w:type="paragraph" w:styleId="Index5">
    <w:name w:val="index 5"/>
    <w:basedOn w:val="Normal"/>
    <w:next w:val="Normal"/>
    <w:autoRedefine/>
    <w:semiHidden/>
    <w:rsid w:val="00824D30"/>
    <w:pPr>
      <w:ind w:left="1000" w:hanging="200"/>
    </w:pPr>
  </w:style>
  <w:style w:type="paragraph" w:styleId="Index6">
    <w:name w:val="index 6"/>
    <w:basedOn w:val="Normal"/>
    <w:next w:val="Normal"/>
    <w:autoRedefine/>
    <w:semiHidden/>
    <w:rsid w:val="00824D30"/>
    <w:pPr>
      <w:ind w:left="1200" w:hanging="200"/>
    </w:pPr>
  </w:style>
  <w:style w:type="paragraph" w:styleId="Index7">
    <w:name w:val="index 7"/>
    <w:basedOn w:val="Normal"/>
    <w:next w:val="Normal"/>
    <w:autoRedefine/>
    <w:semiHidden/>
    <w:rsid w:val="00824D30"/>
    <w:pPr>
      <w:ind w:left="1400" w:hanging="200"/>
    </w:pPr>
  </w:style>
  <w:style w:type="paragraph" w:styleId="Index8">
    <w:name w:val="index 8"/>
    <w:basedOn w:val="Normal"/>
    <w:next w:val="Normal"/>
    <w:autoRedefine/>
    <w:semiHidden/>
    <w:rsid w:val="00824D30"/>
    <w:pPr>
      <w:ind w:left="1600" w:hanging="200"/>
    </w:pPr>
  </w:style>
  <w:style w:type="paragraph" w:styleId="Index9">
    <w:name w:val="index 9"/>
    <w:basedOn w:val="Normal"/>
    <w:next w:val="Normal"/>
    <w:autoRedefine/>
    <w:semiHidden/>
    <w:rsid w:val="00824D30"/>
    <w:pPr>
      <w:ind w:left="1800" w:hanging="200"/>
    </w:pPr>
  </w:style>
  <w:style w:type="paragraph" w:styleId="IndexHeading">
    <w:name w:val="index heading"/>
    <w:basedOn w:val="Normal"/>
    <w:next w:val="Index1"/>
    <w:rsid w:val="00824D30"/>
    <w:rPr>
      <w:rFonts w:ascii="Arial Bold" w:hAnsi="Arial Bold" w:cs="Arial"/>
      <w:b/>
      <w:bCs/>
      <w:color w:val="000000" w:themeColor="text1"/>
    </w:rPr>
  </w:style>
  <w:style w:type="paragraph" w:styleId="TOC1">
    <w:name w:val="toc 1"/>
    <w:basedOn w:val="HeaderBase"/>
    <w:next w:val="Normal"/>
    <w:uiPriority w:val="2"/>
    <w:rsid w:val="00824D30"/>
    <w:pPr>
      <w:keepNext/>
      <w:tabs>
        <w:tab w:val="right" w:leader="dot" w:pos="7700"/>
      </w:tabs>
      <w:spacing w:before="240"/>
      <w:ind w:right="851"/>
    </w:pPr>
    <w:rPr>
      <w:rFonts w:ascii="Arial Bold" w:hAnsi="Arial Bold"/>
      <w:b/>
      <w:sz w:val="20"/>
    </w:rPr>
  </w:style>
  <w:style w:type="paragraph" w:styleId="TOC2">
    <w:name w:val="toc 2"/>
    <w:basedOn w:val="HeadingBase"/>
    <w:next w:val="Normal"/>
    <w:uiPriority w:val="2"/>
    <w:rsid w:val="00824D30"/>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824D30"/>
    <w:pPr>
      <w:tabs>
        <w:tab w:val="right" w:leader="dot" w:pos="7700"/>
      </w:tabs>
      <w:spacing w:before="40"/>
      <w:ind w:right="851"/>
    </w:pPr>
    <w:rPr>
      <w:sz w:val="20"/>
    </w:rPr>
  </w:style>
  <w:style w:type="paragraph" w:styleId="TOC4">
    <w:name w:val="toc 4"/>
    <w:basedOn w:val="HeadingBase"/>
    <w:next w:val="Normal"/>
    <w:uiPriority w:val="2"/>
    <w:unhideWhenUsed/>
    <w:rsid w:val="00824D30"/>
    <w:pPr>
      <w:tabs>
        <w:tab w:val="right" w:leader="dot" w:pos="7700"/>
      </w:tabs>
      <w:spacing w:before="40"/>
      <w:ind w:right="851"/>
    </w:pPr>
    <w:rPr>
      <w:sz w:val="20"/>
    </w:rPr>
  </w:style>
  <w:style w:type="paragraph" w:styleId="TOC5">
    <w:name w:val="toc 5"/>
    <w:basedOn w:val="Normal"/>
    <w:next w:val="Normal"/>
    <w:autoRedefine/>
    <w:uiPriority w:val="2"/>
    <w:rsid w:val="00824D30"/>
    <w:pPr>
      <w:tabs>
        <w:tab w:val="left" w:pos="851"/>
        <w:tab w:val="right" w:leader="dot" w:pos="7700"/>
      </w:tabs>
      <w:ind w:left="896" w:hanging="896"/>
    </w:pPr>
    <w:rPr>
      <w:rFonts w:ascii="Arial" w:hAnsi="Arial"/>
      <w:noProof/>
      <w:color w:val="000000" w:themeColor="text1"/>
    </w:rPr>
  </w:style>
  <w:style w:type="paragraph" w:styleId="TOC6">
    <w:name w:val="toc 6"/>
    <w:basedOn w:val="TOC4"/>
    <w:next w:val="Normal"/>
    <w:uiPriority w:val="2"/>
    <w:semiHidden/>
    <w:rsid w:val="00824D30"/>
    <w:pPr>
      <w:tabs>
        <w:tab w:val="left" w:pos="851"/>
      </w:tabs>
      <w:ind w:left="851" w:hanging="851"/>
    </w:pPr>
    <w:rPr>
      <w:color w:val="000000"/>
    </w:rPr>
  </w:style>
  <w:style w:type="paragraph" w:styleId="TOC7">
    <w:name w:val="toc 7"/>
    <w:basedOn w:val="Normal"/>
    <w:next w:val="Normal"/>
    <w:autoRedefine/>
    <w:uiPriority w:val="2"/>
    <w:semiHidden/>
    <w:rsid w:val="00824D30"/>
    <w:pPr>
      <w:ind w:left="1200"/>
    </w:pPr>
  </w:style>
  <w:style w:type="paragraph" w:styleId="TOC8">
    <w:name w:val="toc 8"/>
    <w:basedOn w:val="Normal"/>
    <w:next w:val="Normal"/>
    <w:autoRedefine/>
    <w:uiPriority w:val="2"/>
    <w:semiHidden/>
    <w:rsid w:val="00824D30"/>
    <w:pPr>
      <w:ind w:left="1400"/>
    </w:pPr>
  </w:style>
  <w:style w:type="paragraph" w:styleId="TOC9">
    <w:name w:val="toc 9"/>
    <w:basedOn w:val="Normal"/>
    <w:next w:val="Normal"/>
    <w:autoRedefine/>
    <w:uiPriority w:val="2"/>
    <w:semiHidden/>
    <w:rsid w:val="00824D30"/>
    <w:pPr>
      <w:ind w:left="1600"/>
    </w:pPr>
  </w:style>
  <w:style w:type="paragraph" w:customStyle="1" w:styleId="FileProperties">
    <w:name w:val="File Properties"/>
    <w:basedOn w:val="Normal"/>
    <w:rsid w:val="00824D30"/>
    <w:pPr>
      <w:spacing w:before="0"/>
    </w:pPr>
    <w:rPr>
      <w:i/>
    </w:rPr>
  </w:style>
  <w:style w:type="character" w:styleId="PageNumber">
    <w:name w:val="page number"/>
    <w:basedOn w:val="DefaultParagraphFont"/>
    <w:rsid w:val="00824D30"/>
    <w:rPr>
      <w:rFonts w:ascii="Arial" w:hAnsi="Arial" w:cs="Arial"/>
      <w:color w:val="auto"/>
    </w:rPr>
  </w:style>
  <w:style w:type="paragraph" w:styleId="NormalIndent">
    <w:name w:val="Normal Indent"/>
    <w:basedOn w:val="Normal"/>
    <w:rsid w:val="00824D30"/>
    <w:pPr>
      <w:ind w:left="567"/>
    </w:pPr>
  </w:style>
  <w:style w:type="paragraph" w:customStyle="1" w:styleId="BlockedQuotation">
    <w:name w:val="Blocked Quotation"/>
    <w:basedOn w:val="Normal"/>
    <w:semiHidden/>
    <w:rsid w:val="00824D30"/>
    <w:pPr>
      <w:ind w:left="567"/>
    </w:pPr>
  </w:style>
  <w:style w:type="paragraph" w:customStyle="1" w:styleId="ChartMainHeading">
    <w:name w:val="Chart Main Heading"/>
    <w:basedOn w:val="ChartHeading"/>
    <w:next w:val="ChartGraphic"/>
    <w:rsid w:val="00824D30"/>
  </w:style>
  <w:style w:type="table" w:styleId="TableGrid">
    <w:name w:val="Table Grid"/>
    <w:basedOn w:val="TableNormal"/>
    <w:uiPriority w:val="39"/>
    <w:rsid w:val="00824D30"/>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t">
    <w:name w:val="Part"/>
    <w:basedOn w:val="Normal"/>
    <w:next w:val="Normal"/>
    <w:rsid w:val="00824D30"/>
    <w:pPr>
      <w:spacing w:after="0" w:line="240" w:lineRule="auto"/>
      <w:jc w:val="center"/>
      <w:outlineLvl w:val="0"/>
    </w:pPr>
    <w:rPr>
      <w:rFonts w:ascii="Arial" w:hAnsi="Arial" w:cs="Arial"/>
      <w:b/>
      <w:bCs/>
      <w:caps/>
      <w:kern w:val="28"/>
      <w:sz w:val="52"/>
      <w:szCs w:val="32"/>
    </w:rPr>
  </w:style>
  <w:style w:type="paragraph" w:customStyle="1" w:styleId="TableHeadingNoTable">
    <w:name w:val="Table Heading No Table"/>
    <w:basedOn w:val="TableHeading"/>
    <w:next w:val="Normal"/>
    <w:rsid w:val="00824D30"/>
    <w:pPr>
      <w:spacing w:after="240"/>
    </w:pPr>
  </w:style>
  <w:style w:type="paragraph" w:customStyle="1" w:styleId="TransmittalStyle1">
    <w:name w:val="Transmittal Style 1"/>
    <w:basedOn w:val="HeadingBase"/>
    <w:rsid w:val="00824D30"/>
    <w:pPr>
      <w:spacing w:after="60"/>
      <w:jc w:val="right"/>
    </w:pPr>
    <w:rPr>
      <w:rFonts w:ascii="Times New Roman" w:hAnsi="Times New Roman"/>
      <w:b/>
      <w:smallCaps/>
    </w:rPr>
  </w:style>
  <w:style w:type="paragraph" w:customStyle="1" w:styleId="TransmittalStyle2">
    <w:name w:val="Transmittal Style 2"/>
    <w:basedOn w:val="HeadingBase"/>
    <w:rsid w:val="00824D30"/>
    <w:pPr>
      <w:spacing w:before="60" w:after="60"/>
      <w:jc w:val="right"/>
    </w:pPr>
    <w:rPr>
      <w:rFonts w:ascii="Times New Roman" w:hAnsi="Times New Roman"/>
      <w:b/>
      <w:caps/>
      <w:sz w:val="16"/>
    </w:rPr>
  </w:style>
  <w:style w:type="paragraph" w:customStyle="1" w:styleId="TableTextJustified">
    <w:name w:val="Table Text Justified"/>
    <w:basedOn w:val="TableTextBase"/>
    <w:rsid w:val="00824D30"/>
    <w:pPr>
      <w:jc w:val="both"/>
    </w:pPr>
  </w:style>
  <w:style w:type="character" w:customStyle="1" w:styleId="ExampletextCharChar">
    <w:name w:val="Example text Char Char"/>
    <w:link w:val="Exampletext"/>
    <w:rsid w:val="00824D30"/>
    <w:rPr>
      <w:rFonts w:ascii="Book Antiqua" w:hAnsi="Book Antiqua"/>
      <w:i/>
      <w:color w:val="FF0000"/>
      <w:sz w:val="19"/>
      <w:lang w:val="x-none" w:eastAsia="x-none"/>
    </w:rPr>
  </w:style>
  <w:style w:type="paragraph" w:customStyle="1" w:styleId="Crest">
    <w:name w:val="Crest"/>
    <w:basedOn w:val="Normal"/>
    <w:next w:val="TransmittalStyle1"/>
    <w:semiHidden/>
    <w:rsid w:val="00824D30"/>
    <w:pPr>
      <w:spacing w:after="0" w:line="240" w:lineRule="auto"/>
      <w:jc w:val="center"/>
    </w:pPr>
  </w:style>
  <w:style w:type="character" w:styleId="Hyperlink">
    <w:name w:val="Hyperlink"/>
    <w:basedOn w:val="DefaultParagraphFont"/>
    <w:uiPriority w:val="99"/>
    <w:unhideWhenUsed/>
    <w:rsid w:val="00824D30"/>
    <w:rPr>
      <w:color w:val="auto"/>
      <w:u w:val="single"/>
    </w:rPr>
  </w:style>
  <w:style w:type="paragraph" w:customStyle="1" w:styleId="Heading1noTOC">
    <w:name w:val="Heading 1 no TOC"/>
    <w:basedOn w:val="Heading1"/>
    <w:rsid w:val="00824D30"/>
  </w:style>
  <w:style w:type="paragraph" w:customStyle="1" w:styleId="TableTextBullet">
    <w:name w:val="Table Text Bullet"/>
    <w:basedOn w:val="TableTextBase"/>
    <w:rsid w:val="00824D30"/>
    <w:pPr>
      <w:numPr>
        <w:numId w:val="5"/>
      </w:numPr>
    </w:pPr>
  </w:style>
  <w:style w:type="paragraph" w:customStyle="1" w:styleId="Exampletextdash">
    <w:name w:val="Example text dash"/>
    <w:basedOn w:val="Exampletextbullet"/>
    <w:semiHidden/>
    <w:rsid w:val="00824D30"/>
    <w:pPr>
      <w:numPr>
        <w:ilvl w:val="1"/>
      </w:numPr>
    </w:pPr>
  </w:style>
  <w:style w:type="character" w:customStyle="1" w:styleId="HeadingBaseChar">
    <w:name w:val="Heading Base Char"/>
    <w:link w:val="HeadingBase"/>
    <w:rsid w:val="00824D30"/>
    <w:rPr>
      <w:rFonts w:ascii="Arial" w:hAnsi="Arial"/>
      <w:sz w:val="24"/>
    </w:rPr>
  </w:style>
  <w:style w:type="character" w:customStyle="1" w:styleId="TableHeadingChar">
    <w:name w:val="Table Heading Char"/>
    <w:link w:val="TableHeading"/>
    <w:rsid w:val="00824D30"/>
    <w:rPr>
      <w:rFonts w:ascii="Arial" w:hAnsi="Arial"/>
      <w:b/>
    </w:rPr>
  </w:style>
  <w:style w:type="character" w:customStyle="1" w:styleId="TableTextBaseChar">
    <w:name w:val="Table Text Base Char"/>
    <w:link w:val="TableTextBase"/>
    <w:rsid w:val="00824D30"/>
    <w:rPr>
      <w:rFonts w:ascii="Arial" w:hAnsi="Arial"/>
      <w:sz w:val="16"/>
    </w:rPr>
  </w:style>
  <w:style w:type="character" w:customStyle="1" w:styleId="TableTextLeftChar">
    <w:name w:val="Table Text Left Char"/>
    <w:link w:val="TableTextLeft"/>
    <w:rsid w:val="00824D30"/>
    <w:rPr>
      <w:rFonts w:ascii="Arial" w:hAnsi="Arial"/>
      <w:sz w:val="16"/>
    </w:rPr>
  </w:style>
  <w:style w:type="paragraph" w:customStyle="1" w:styleId="TableTextDash">
    <w:name w:val="Table Text Dash"/>
    <w:basedOn w:val="TableTextBase"/>
    <w:rsid w:val="00824D30"/>
    <w:pPr>
      <w:numPr>
        <w:ilvl w:val="1"/>
        <w:numId w:val="5"/>
      </w:numPr>
    </w:pPr>
  </w:style>
  <w:style w:type="character" w:customStyle="1" w:styleId="ChartandTableFootnoteChar">
    <w:name w:val="Chart and Table Footnote Char"/>
    <w:link w:val="ChartandTableFootnote"/>
    <w:rsid w:val="00824D30"/>
    <w:rPr>
      <w:rFonts w:ascii="Arial" w:hAnsi="Arial"/>
      <w:color w:val="000000"/>
      <w:sz w:val="16"/>
    </w:rPr>
  </w:style>
  <w:style w:type="paragraph" w:customStyle="1" w:styleId="PartHeading">
    <w:name w:val="Part Heading"/>
    <w:basedOn w:val="Normal"/>
    <w:next w:val="Normal"/>
    <w:rsid w:val="00824D30"/>
    <w:pPr>
      <w:spacing w:after="480" w:line="240" w:lineRule="auto"/>
      <w:jc w:val="center"/>
    </w:pPr>
    <w:rPr>
      <w:rFonts w:ascii="Arial Bold" w:hAnsi="Arial Bold" w:cs="Arial"/>
      <w:b/>
      <w:bCs/>
      <w:kern w:val="28"/>
      <w:sz w:val="52"/>
      <w:szCs w:val="32"/>
    </w:rPr>
  </w:style>
  <w:style w:type="character" w:customStyle="1" w:styleId="BulletChar">
    <w:name w:val="Bullet Char"/>
    <w:link w:val="Bullet"/>
    <w:rsid w:val="00824D30"/>
    <w:rPr>
      <w:rFonts w:ascii="Book Antiqua" w:hAnsi="Book Antiqua"/>
      <w:sz w:val="19"/>
    </w:rPr>
  </w:style>
  <w:style w:type="paragraph" w:customStyle="1" w:styleId="BoxTextBase">
    <w:name w:val="Box Text Base"/>
    <w:basedOn w:val="Normal"/>
    <w:rsid w:val="00824D30"/>
    <w:pPr>
      <w:spacing w:after="120"/>
    </w:pPr>
    <w:rPr>
      <w:color w:val="000000"/>
    </w:rPr>
  </w:style>
  <w:style w:type="paragraph" w:customStyle="1" w:styleId="BoxDash">
    <w:name w:val="Box Dash"/>
    <w:basedOn w:val="Normal"/>
    <w:rsid w:val="00824D30"/>
    <w:pPr>
      <w:numPr>
        <w:ilvl w:val="1"/>
        <w:numId w:val="6"/>
      </w:numPr>
    </w:pPr>
    <w:rPr>
      <w:color w:val="000000"/>
    </w:rPr>
  </w:style>
  <w:style w:type="paragraph" w:customStyle="1" w:styleId="BoxDoubleDot">
    <w:name w:val="Box Double Dot"/>
    <w:basedOn w:val="BoxTextBase"/>
    <w:rsid w:val="00824D30"/>
    <w:pPr>
      <w:numPr>
        <w:ilvl w:val="2"/>
        <w:numId w:val="6"/>
      </w:numPr>
    </w:pPr>
  </w:style>
  <w:style w:type="character" w:customStyle="1" w:styleId="Heading3Char">
    <w:name w:val="Heading 3 Char"/>
    <w:basedOn w:val="DefaultParagraphFont"/>
    <w:link w:val="Heading3"/>
    <w:rsid w:val="00824D30"/>
    <w:rPr>
      <w:rFonts w:ascii="Arial Bold" w:hAnsi="Arial Bold"/>
      <w:b/>
      <w:sz w:val="22"/>
    </w:rPr>
  </w:style>
  <w:style w:type="paragraph" w:customStyle="1" w:styleId="ExampleText0">
    <w:name w:val="Example Text"/>
    <w:basedOn w:val="Normal"/>
    <w:rsid w:val="00824D30"/>
    <w:rPr>
      <w:i/>
      <w:color w:val="FF0000"/>
    </w:rPr>
  </w:style>
  <w:style w:type="character" w:customStyle="1" w:styleId="HeaderChar">
    <w:name w:val="Header Char"/>
    <w:basedOn w:val="DefaultParagraphFont"/>
    <w:link w:val="Header"/>
    <w:rsid w:val="00824D30"/>
    <w:rPr>
      <w:rFonts w:ascii="Arial" w:hAnsi="Arial"/>
      <w:position w:val="-1"/>
      <w:sz w:val="18"/>
    </w:rPr>
  </w:style>
  <w:style w:type="character" w:styleId="FollowedHyperlink">
    <w:name w:val="FollowedHyperlink"/>
    <w:rsid w:val="00824D30"/>
    <w:rPr>
      <w:color w:val="800080"/>
      <w:u w:val="single"/>
    </w:rPr>
  </w:style>
  <w:style w:type="character" w:customStyle="1" w:styleId="FooterChar">
    <w:name w:val="Footer Char"/>
    <w:basedOn w:val="DefaultParagraphFont"/>
    <w:link w:val="Footer"/>
    <w:rsid w:val="00824D30"/>
    <w:rPr>
      <w:rFonts w:ascii="Arial" w:hAnsi="Arial"/>
      <w:color w:val="000000" w:themeColor="text1"/>
    </w:rPr>
  </w:style>
  <w:style w:type="character" w:styleId="Strong">
    <w:name w:val="Strong"/>
    <w:basedOn w:val="DefaultParagraphFont"/>
    <w:uiPriority w:val="22"/>
    <w:qFormat/>
    <w:rsid w:val="00824D30"/>
    <w:rPr>
      <w:b/>
      <w:bCs/>
    </w:rPr>
  </w:style>
  <w:style w:type="paragraph" w:customStyle="1" w:styleId="Heading2NoTOC">
    <w:name w:val="Heading 2 No TOC"/>
    <w:basedOn w:val="Heading2"/>
    <w:qFormat/>
    <w:rsid w:val="00824D30"/>
    <w:pPr>
      <w:outlineLvl w:val="9"/>
    </w:pPr>
  </w:style>
  <w:style w:type="paragraph" w:customStyle="1" w:styleId="PartHeading-TOC">
    <w:name w:val="Part Heading - TOC"/>
    <w:basedOn w:val="PartHeading"/>
    <w:rsid w:val="00824D30"/>
  </w:style>
  <w:style w:type="paragraph" w:styleId="Revision">
    <w:name w:val="Revision"/>
    <w:hidden/>
    <w:uiPriority w:val="99"/>
    <w:semiHidden/>
    <w:rsid w:val="00824D30"/>
    <w:rPr>
      <w:rFonts w:ascii="Book Antiqua" w:hAnsi="Book Antiqua"/>
    </w:rPr>
  </w:style>
  <w:style w:type="paragraph" w:customStyle="1" w:styleId="FooterEven">
    <w:name w:val="Footer Even"/>
    <w:basedOn w:val="Footer"/>
    <w:qFormat/>
    <w:rsid w:val="00824D30"/>
    <w:pPr>
      <w:pBdr>
        <w:top w:val="single" w:sz="4" w:space="10" w:color="000000" w:themeColor="text1"/>
      </w:pBdr>
      <w:jc w:val="left"/>
    </w:pPr>
    <w:rPr>
      <w:color w:val="auto"/>
      <w:sz w:val="18"/>
    </w:rPr>
  </w:style>
  <w:style w:type="character" w:customStyle="1" w:styleId="Heading9Char">
    <w:name w:val="Heading 9 Char"/>
    <w:basedOn w:val="DefaultParagraphFont"/>
    <w:link w:val="Heading9"/>
    <w:uiPriority w:val="9"/>
    <w:rsid w:val="00824D30"/>
    <w:rPr>
      <w:rFonts w:ascii="Cambria" w:hAnsi="Cambria"/>
      <w:sz w:val="22"/>
      <w:szCs w:val="22"/>
    </w:rPr>
  </w:style>
  <w:style w:type="paragraph" w:customStyle="1" w:styleId="ChartandTableFootnote-Dash">
    <w:name w:val="Chart and Table Footnote - Dash"/>
    <w:basedOn w:val="Normal"/>
    <w:rsid w:val="00824D30"/>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824D30"/>
    <w:pPr>
      <w:pBdr>
        <w:top w:val="single" w:sz="4" w:space="10" w:color="000000" w:themeColor="text1"/>
      </w:pBdr>
      <w:jc w:val="right"/>
    </w:pPr>
    <w:rPr>
      <w:sz w:val="18"/>
    </w:rPr>
  </w:style>
  <w:style w:type="paragraph" w:customStyle="1" w:styleId="Box-continuedon">
    <w:name w:val="Box - continued on"/>
    <w:basedOn w:val="Normal"/>
    <w:qFormat/>
    <w:rsid w:val="00824D30"/>
    <w:pPr>
      <w:jc w:val="right"/>
    </w:pPr>
    <w:rPr>
      <w:rFonts w:asciiTheme="majorHAnsi" w:hAnsiTheme="majorHAnsi" w:cstheme="majorHAnsi"/>
      <w:i/>
      <w:iCs/>
      <w:sz w:val="22"/>
      <w:szCs w:val="24"/>
    </w:rPr>
  </w:style>
  <w:style w:type="character" w:customStyle="1" w:styleId="Heading6Char">
    <w:name w:val="Heading 6 Char"/>
    <w:basedOn w:val="DefaultParagraphFont"/>
    <w:link w:val="Heading6"/>
    <w:rsid w:val="00824D30"/>
    <w:rPr>
      <w:rFonts w:ascii="Arial" w:hAnsi="Arial"/>
      <w:bCs/>
      <w:szCs w:val="22"/>
    </w:rPr>
  </w:style>
  <w:style w:type="paragraph" w:customStyle="1" w:styleId="BoxSubHeading">
    <w:name w:val="Box Sub Heading"/>
    <w:basedOn w:val="Heading6"/>
    <w:rsid w:val="00824D30"/>
    <w:pPr>
      <w:spacing w:before="120" w:after="40"/>
    </w:pPr>
  </w:style>
  <w:style w:type="paragraph" w:customStyle="1" w:styleId="ChartHeading">
    <w:name w:val="Chart Heading"/>
    <w:basedOn w:val="HeadingBase"/>
    <w:next w:val="ChartGraphic"/>
    <w:qFormat/>
    <w:rsid w:val="00824D30"/>
    <w:pPr>
      <w:spacing w:before="120" w:after="20"/>
    </w:pPr>
    <w:rPr>
      <w:b/>
      <w:sz w:val="20"/>
    </w:rPr>
  </w:style>
  <w:style w:type="paragraph" w:customStyle="1" w:styleId="ChartLine">
    <w:name w:val="Chart Line"/>
    <w:basedOn w:val="Normal"/>
    <w:autoRedefine/>
    <w:qFormat/>
    <w:rsid w:val="00824D30"/>
    <w:pPr>
      <w:pBdr>
        <w:bottom w:val="single" w:sz="4" w:space="2" w:color="D0CECE" w:themeColor="background2" w:themeShade="E6"/>
      </w:pBdr>
      <w:spacing w:before="0" w:line="240" w:lineRule="auto"/>
    </w:pPr>
    <w:rPr>
      <w:rFonts w:asciiTheme="minorHAnsi" w:hAnsiTheme="minorHAnsi"/>
      <w:noProof/>
      <w:sz w:val="4"/>
      <w:szCs w:val="4"/>
    </w:rPr>
  </w:style>
  <w:style w:type="character" w:customStyle="1" w:styleId="CommentSubjectChar">
    <w:name w:val="Comment Subject Char"/>
    <w:basedOn w:val="DefaultParagraphFont"/>
    <w:link w:val="CommentSubject"/>
    <w:semiHidden/>
    <w:rsid w:val="00746997"/>
    <w:rPr>
      <w:rFonts w:ascii="Book Antiqua" w:hAnsi="Book Antiqua"/>
      <w:b/>
      <w:bCs/>
      <w:sz w:val="19"/>
    </w:rPr>
  </w:style>
  <w:style w:type="character" w:customStyle="1" w:styleId="DocumentMapChar">
    <w:name w:val="Document Map Char"/>
    <w:basedOn w:val="DefaultParagraphFont"/>
    <w:link w:val="DocumentMap"/>
    <w:semiHidden/>
    <w:rsid w:val="00824D30"/>
    <w:rPr>
      <w:rFonts w:ascii="Tahoma" w:hAnsi="Tahoma" w:cs="Tahoma"/>
      <w:sz w:val="19"/>
      <w:shd w:val="clear" w:color="auto" w:fill="000080"/>
    </w:rPr>
  </w:style>
  <w:style w:type="character" w:customStyle="1" w:styleId="EndnoteTextChar">
    <w:name w:val="Endnote Text Char"/>
    <w:basedOn w:val="DefaultParagraphFont"/>
    <w:link w:val="EndnoteText"/>
    <w:rsid w:val="00824D30"/>
    <w:rPr>
      <w:rFonts w:ascii="Book Antiqua" w:hAnsi="Book Antiqua"/>
      <w:sz w:val="19"/>
    </w:rPr>
  </w:style>
  <w:style w:type="character" w:customStyle="1" w:styleId="FootnoteTextChar">
    <w:name w:val="Footnote Text Char"/>
    <w:basedOn w:val="DefaultParagraphFont"/>
    <w:link w:val="FootnoteText"/>
    <w:uiPriority w:val="99"/>
    <w:rsid w:val="00824D30"/>
    <w:rPr>
      <w:rFonts w:ascii="Book Antiqua" w:hAnsi="Book Antiqua"/>
      <w:sz w:val="18"/>
    </w:rPr>
  </w:style>
  <w:style w:type="character" w:customStyle="1" w:styleId="Heading1Char">
    <w:name w:val="Heading 1 Char"/>
    <w:basedOn w:val="DefaultParagraphFont"/>
    <w:link w:val="Heading1"/>
    <w:rsid w:val="00824D30"/>
    <w:rPr>
      <w:rFonts w:ascii="Arial Bold" w:hAnsi="Arial Bold"/>
      <w:b/>
      <w:kern w:val="34"/>
      <w:sz w:val="36"/>
    </w:rPr>
  </w:style>
  <w:style w:type="character" w:customStyle="1" w:styleId="Heading2Char">
    <w:name w:val="Heading 2 Char"/>
    <w:basedOn w:val="DefaultParagraphFont"/>
    <w:link w:val="Heading2"/>
    <w:rsid w:val="00824D30"/>
    <w:rPr>
      <w:rFonts w:ascii="Arial Bold" w:hAnsi="Arial Bold"/>
      <w:b/>
      <w:sz w:val="26"/>
    </w:rPr>
  </w:style>
  <w:style w:type="paragraph" w:customStyle="1" w:styleId="Heading3noTOC">
    <w:name w:val="Heading 3 no TOC"/>
    <w:basedOn w:val="Heading3"/>
    <w:rsid w:val="00824D30"/>
    <w:pPr>
      <w:outlineLvl w:val="9"/>
    </w:pPr>
  </w:style>
  <w:style w:type="character" w:customStyle="1" w:styleId="Heading4Char">
    <w:name w:val="Heading 4 Char"/>
    <w:basedOn w:val="DefaultParagraphFont"/>
    <w:link w:val="Heading4"/>
    <w:rsid w:val="00824D30"/>
    <w:rPr>
      <w:rFonts w:ascii="Arial Bold" w:hAnsi="Arial Bold"/>
      <w:b/>
    </w:rPr>
  </w:style>
  <w:style w:type="character" w:customStyle="1" w:styleId="Heading5Char">
    <w:name w:val="Heading 5 Char"/>
    <w:basedOn w:val="DefaultParagraphFont"/>
    <w:link w:val="Heading5"/>
    <w:rsid w:val="00824D30"/>
    <w:rPr>
      <w:rFonts w:ascii="Arial" w:hAnsi="Arial"/>
      <w:bCs/>
      <w:i/>
      <w:iCs/>
      <w:szCs w:val="26"/>
    </w:rPr>
  </w:style>
  <w:style w:type="character" w:customStyle="1" w:styleId="Heading7Char">
    <w:name w:val="Heading 7 Char"/>
    <w:basedOn w:val="DefaultParagraphFont"/>
    <w:link w:val="Heading7"/>
    <w:rsid w:val="00824D30"/>
    <w:rPr>
      <w:rFonts w:ascii="Arial" w:hAnsi="Arial"/>
      <w:szCs w:val="24"/>
    </w:rPr>
  </w:style>
  <w:style w:type="character" w:customStyle="1" w:styleId="Heading8Char">
    <w:name w:val="Heading 8 Char"/>
    <w:basedOn w:val="DefaultParagraphFont"/>
    <w:link w:val="Heading8"/>
    <w:rsid w:val="00824D30"/>
    <w:rPr>
      <w:i/>
      <w:iCs/>
      <w:sz w:val="16"/>
      <w:szCs w:val="24"/>
    </w:rPr>
  </w:style>
  <w:style w:type="paragraph" w:customStyle="1" w:styleId="TableLine">
    <w:name w:val="Table Line"/>
    <w:basedOn w:val="Normal"/>
    <w:next w:val="Normal"/>
    <w:autoRedefine/>
    <w:rsid w:val="00824D30"/>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824D30"/>
    <w:rPr>
      <w:rFonts w:cs="Arial"/>
      <w:b/>
      <w:sz w:val="22"/>
      <w:szCs w:val="22"/>
    </w:rPr>
  </w:style>
  <w:style w:type="paragraph" w:customStyle="1" w:styleId="TPHEADING3boldspace">
    <w:name w:val="TP HEADING 3 bold space"/>
    <w:basedOn w:val="TPHeading3bold"/>
    <w:semiHidden/>
    <w:rsid w:val="00824D30"/>
    <w:pPr>
      <w:spacing w:after="120"/>
    </w:pPr>
  </w:style>
  <w:style w:type="paragraph" w:customStyle="1" w:styleId="TPHEADING3space">
    <w:name w:val="TP HEADING 3 space"/>
    <w:basedOn w:val="TPHeading3"/>
    <w:semiHidden/>
    <w:rsid w:val="00824D30"/>
    <w:pPr>
      <w:spacing w:before="120" w:after="120"/>
    </w:pPr>
    <w:rPr>
      <w:rFonts w:cs="Arial"/>
      <w:sz w:val="22"/>
      <w:szCs w:val="22"/>
    </w:rPr>
  </w:style>
  <w:style w:type="paragraph" w:customStyle="1" w:styleId="TPHeading4">
    <w:name w:val="TP Heading 4"/>
    <w:basedOn w:val="TPHeading3"/>
    <w:semiHidden/>
    <w:rsid w:val="00824D30"/>
    <w:rPr>
      <w:sz w:val="20"/>
    </w:rPr>
  </w:style>
  <w:style w:type="paragraph" w:customStyle="1" w:styleId="TPHEADING4space">
    <w:name w:val="TP HEADING 4 space"/>
    <w:basedOn w:val="TPHEADING3space"/>
    <w:semiHidden/>
    <w:rsid w:val="00824D30"/>
  </w:style>
  <w:style w:type="paragraph" w:styleId="NormalWeb">
    <w:name w:val="Normal (Web)"/>
    <w:basedOn w:val="Normal"/>
    <w:semiHidden/>
    <w:unhideWhenUsed/>
    <w:rsid w:val="00824D30"/>
    <w:rPr>
      <w:rFonts w:ascii="Times New Roman" w:hAnsi="Times New Roman"/>
      <w:sz w:val="24"/>
      <w:szCs w:val="24"/>
    </w:rPr>
  </w:style>
  <w:style w:type="character" w:styleId="UnresolvedMention">
    <w:name w:val="Unresolved Mention"/>
    <w:basedOn w:val="DefaultParagraphFont"/>
    <w:uiPriority w:val="99"/>
    <w:semiHidden/>
    <w:unhideWhenUsed/>
    <w:rsid w:val="00824D30"/>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GhostLine">
    <w:name w:val="Ghost Line"/>
    <w:basedOn w:val="Normal"/>
    <w:qFormat/>
    <w:rsid w:val="00824D30"/>
    <w:pPr>
      <w:spacing w:before="0" w:after="0" w:line="240" w:lineRule="auto"/>
      <w:jc w:val="both"/>
    </w:pPr>
    <w:rPr>
      <w:sz w:val="2"/>
    </w:rPr>
  </w:style>
  <w:style w:type="table" w:customStyle="1" w:styleId="TableGrid1">
    <w:name w:val="Table Grid1"/>
    <w:basedOn w:val="TableNormal"/>
    <w:next w:val="TableGrid"/>
    <w:uiPriority w:val="39"/>
    <w:rsid w:val="00824D30"/>
    <w:pPr>
      <w:spacing w:after="240" w:line="260" w:lineRule="exact"/>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reativeCommonsH1">
    <w:name w:val="Creative Commons H1"/>
    <w:basedOn w:val="Normal"/>
    <w:qFormat/>
    <w:rsid w:val="00824D30"/>
    <w:pPr>
      <w:spacing w:before="160" w:after="120"/>
    </w:pPr>
    <w:rPr>
      <w:b/>
      <w:bCs/>
    </w:rPr>
  </w:style>
  <w:style w:type="paragraph" w:customStyle="1" w:styleId="CreativeCommonsNormal">
    <w:name w:val="Creative Commons Normal"/>
    <w:basedOn w:val="Normal"/>
    <w:qFormat/>
    <w:rsid w:val="00824D30"/>
    <w:pPr>
      <w:spacing w:before="120" w:after="80"/>
    </w:pPr>
  </w:style>
  <w:style w:type="paragraph" w:customStyle="1" w:styleId="CreativeCommonsIndented">
    <w:name w:val="Creative Commons Indented"/>
    <w:basedOn w:val="Normal"/>
    <w:qFormat/>
    <w:rsid w:val="00824D30"/>
    <w:pPr>
      <w:spacing w:before="120" w:after="80"/>
      <w:ind w:left="567"/>
    </w:pPr>
    <w:rPr>
      <w:rFonts w:cs="Calibri"/>
      <w:color w:val="000000"/>
      <w:spacing w:val="-2"/>
    </w:rPr>
  </w:style>
  <w:style w:type="paragraph" w:customStyle="1" w:styleId="TransmittalAddressee">
    <w:name w:val="Transmittal Addressee"/>
    <w:basedOn w:val="Normal"/>
    <w:rsid w:val="000D0893"/>
    <w:pPr>
      <w:spacing w:before="0" w:after="0"/>
    </w:pPr>
  </w:style>
  <w:style w:type="paragraph" w:styleId="ListParagraph">
    <w:name w:val="List Paragraph"/>
    <w:aliases w:val="Recommendation,List Paragraph1,Bulleted Para,NFP GP Bulleted List,bullet point list,List Paragraph11,L,Bullet points,Content descriptions,Bullet Point,DDM Gen Text,CV text,Table text,F5 List Paragraph,Dot pt,List Paragraph111,FooterText,列"/>
    <w:basedOn w:val="Normal"/>
    <w:link w:val="ListParagraphChar"/>
    <w:uiPriority w:val="34"/>
    <w:qFormat/>
    <w:rsid w:val="00CA5E91"/>
    <w:pPr>
      <w:spacing w:after="200" w:line="276" w:lineRule="auto"/>
      <w:ind w:left="720"/>
      <w:contextualSpacing/>
    </w:pPr>
    <w:rPr>
      <w:rFonts w:ascii="Calibri" w:eastAsia="Calibri" w:hAnsi="Calibri"/>
      <w:sz w:val="22"/>
      <w:szCs w:val="22"/>
      <w:lang w:val="en-US" w:eastAsia="en-US"/>
    </w:rPr>
  </w:style>
  <w:style w:type="character" w:customStyle="1" w:styleId="ListParagraphChar">
    <w:name w:val="List Paragraph Char"/>
    <w:aliases w:val="Recommendation Char,List Paragraph1 Char,Bulleted Para Char,NFP GP Bulleted List Char,bullet point list Char,List Paragraph11 Char,L Char,Bullet points Char,Content descriptions Char,Bullet Point Char,DDM Gen Text Char,CV text Char"/>
    <w:link w:val="ListParagraph"/>
    <w:qFormat/>
    <w:locked/>
    <w:rsid w:val="00CA5E91"/>
    <w:rPr>
      <w:rFonts w:ascii="Calibri" w:eastAsia="Calibri" w:hAnsi="Calibri"/>
      <w:sz w:val="22"/>
      <w:szCs w:val="22"/>
      <w:lang w:val="en-US" w:eastAsia="en-US"/>
    </w:rPr>
  </w:style>
  <w:style w:type="paragraph" w:customStyle="1" w:styleId="Default">
    <w:name w:val="Default"/>
    <w:rsid w:val="00DB25A7"/>
    <w:pPr>
      <w:autoSpaceDE w:val="0"/>
      <w:autoSpaceDN w:val="0"/>
      <w:adjustRightInd w:val="0"/>
    </w:pPr>
    <w:rPr>
      <w:rFonts w:ascii="Arial" w:hAnsi="Arial" w:cs="Arial"/>
      <w:color w:val="000000"/>
      <w:sz w:val="24"/>
      <w:szCs w:val="24"/>
    </w:rPr>
  </w:style>
  <w:style w:type="paragraph" w:customStyle="1" w:styleId="Body">
    <w:name w:val="Body"/>
    <w:uiPriority w:val="99"/>
    <w:rsid w:val="001B6F25"/>
    <w:pPr>
      <w:spacing w:after="120" w:line="264" w:lineRule="auto"/>
      <w:jc w:val="both"/>
    </w:pPr>
    <w:rPr>
      <w:rFonts w:ascii="Calibri" w:eastAsia="Calibri" w:hAnsi="Calibri" w:cs="Calibri"/>
      <w:color w:val="000000"/>
      <w:u w:color="000000"/>
    </w:rPr>
  </w:style>
  <w:style w:type="table" w:customStyle="1" w:styleId="TableGrid11">
    <w:name w:val="Table Grid11"/>
    <w:basedOn w:val="TableNormal"/>
    <w:uiPriority w:val="39"/>
    <w:rsid w:val="001B6F25"/>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493F5F"/>
    <w:pPr>
      <w:spacing w:before="0" w:after="0" w:line="240" w:lineRule="auto"/>
    </w:pPr>
    <w:rPr>
      <w:rFonts w:ascii="Times New Roman" w:hAnsi="Times New Roman"/>
      <w:sz w:val="24"/>
      <w:szCs w:val="24"/>
      <w:lang w:eastAsia="en-US"/>
    </w:rPr>
  </w:style>
  <w:style w:type="paragraph" w:styleId="CommentText">
    <w:name w:val="annotation text"/>
    <w:basedOn w:val="Normal"/>
    <w:link w:val="CommentTextChar"/>
    <w:unhideWhenUsed/>
    <w:qFormat/>
    <w:rsid w:val="00B16C33"/>
    <w:pPr>
      <w:spacing w:line="240" w:lineRule="auto"/>
    </w:pPr>
    <w:rPr>
      <w:sz w:val="20"/>
    </w:rPr>
  </w:style>
  <w:style w:type="character" w:customStyle="1" w:styleId="CommentTextChar">
    <w:name w:val="Comment Text Char"/>
    <w:basedOn w:val="DefaultParagraphFont"/>
    <w:link w:val="CommentText"/>
    <w:rsid w:val="00B16C33"/>
    <w:rPr>
      <w:rFonts w:ascii="Book Antiqua" w:hAnsi="Book Antiq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7021957">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5518524">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2414496">
      <w:bodyDiv w:val="1"/>
      <w:marLeft w:val="0"/>
      <w:marRight w:val="0"/>
      <w:marTop w:val="0"/>
      <w:marBottom w:val="0"/>
      <w:divBdr>
        <w:top w:val="none" w:sz="0" w:space="0" w:color="auto"/>
        <w:left w:val="none" w:sz="0" w:space="0" w:color="auto"/>
        <w:bottom w:val="none" w:sz="0" w:space="0" w:color="auto"/>
        <w:right w:val="none" w:sz="0" w:space="0" w:color="auto"/>
      </w:divBdr>
    </w:div>
    <w:div w:id="63183672">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6170332">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5731386">
      <w:bodyDiv w:val="1"/>
      <w:marLeft w:val="0"/>
      <w:marRight w:val="0"/>
      <w:marTop w:val="0"/>
      <w:marBottom w:val="0"/>
      <w:divBdr>
        <w:top w:val="none" w:sz="0" w:space="0" w:color="auto"/>
        <w:left w:val="none" w:sz="0" w:space="0" w:color="auto"/>
        <w:bottom w:val="none" w:sz="0" w:space="0" w:color="auto"/>
        <w:right w:val="none" w:sz="0" w:space="0" w:color="auto"/>
      </w:divBdr>
    </w:div>
    <w:div w:id="106438978">
      <w:bodyDiv w:val="1"/>
      <w:marLeft w:val="0"/>
      <w:marRight w:val="0"/>
      <w:marTop w:val="0"/>
      <w:marBottom w:val="0"/>
      <w:divBdr>
        <w:top w:val="none" w:sz="0" w:space="0" w:color="auto"/>
        <w:left w:val="none" w:sz="0" w:space="0" w:color="auto"/>
        <w:bottom w:val="none" w:sz="0" w:space="0" w:color="auto"/>
        <w:right w:val="none" w:sz="0" w:space="0" w:color="auto"/>
      </w:divBdr>
    </w:div>
    <w:div w:id="106504713">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9421920">
      <w:bodyDiv w:val="1"/>
      <w:marLeft w:val="0"/>
      <w:marRight w:val="0"/>
      <w:marTop w:val="0"/>
      <w:marBottom w:val="0"/>
      <w:divBdr>
        <w:top w:val="none" w:sz="0" w:space="0" w:color="auto"/>
        <w:left w:val="none" w:sz="0" w:space="0" w:color="auto"/>
        <w:bottom w:val="none" w:sz="0" w:space="0" w:color="auto"/>
        <w:right w:val="none" w:sz="0" w:space="0" w:color="auto"/>
      </w:divBdr>
    </w:div>
    <w:div w:id="126558354">
      <w:bodyDiv w:val="1"/>
      <w:marLeft w:val="0"/>
      <w:marRight w:val="0"/>
      <w:marTop w:val="0"/>
      <w:marBottom w:val="0"/>
      <w:divBdr>
        <w:top w:val="none" w:sz="0" w:space="0" w:color="auto"/>
        <w:left w:val="none" w:sz="0" w:space="0" w:color="auto"/>
        <w:bottom w:val="none" w:sz="0" w:space="0" w:color="auto"/>
        <w:right w:val="none" w:sz="0" w:space="0" w:color="auto"/>
      </w:divBdr>
    </w:div>
    <w:div w:id="136651332">
      <w:bodyDiv w:val="1"/>
      <w:marLeft w:val="0"/>
      <w:marRight w:val="0"/>
      <w:marTop w:val="0"/>
      <w:marBottom w:val="0"/>
      <w:divBdr>
        <w:top w:val="none" w:sz="0" w:space="0" w:color="auto"/>
        <w:left w:val="none" w:sz="0" w:space="0" w:color="auto"/>
        <w:bottom w:val="none" w:sz="0" w:space="0" w:color="auto"/>
        <w:right w:val="none" w:sz="0" w:space="0" w:color="auto"/>
      </w:divBdr>
    </w:div>
    <w:div w:id="138155673">
      <w:bodyDiv w:val="1"/>
      <w:marLeft w:val="0"/>
      <w:marRight w:val="0"/>
      <w:marTop w:val="0"/>
      <w:marBottom w:val="0"/>
      <w:divBdr>
        <w:top w:val="none" w:sz="0" w:space="0" w:color="auto"/>
        <w:left w:val="none" w:sz="0" w:space="0" w:color="auto"/>
        <w:bottom w:val="none" w:sz="0" w:space="0" w:color="auto"/>
        <w:right w:val="none" w:sz="0" w:space="0" w:color="auto"/>
      </w:divBdr>
    </w:div>
    <w:div w:id="143477153">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495662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2983405">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05141846">
      <w:bodyDiv w:val="1"/>
      <w:marLeft w:val="0"/>
      <w:marRight w:val="0"/>
      <w:marTop w:val="0"/>
      <w:marBottom w:val="0"/>
      <w:divBdr>
        <w:top w:val="none" w:sz="0" w:space="0" w:color="auto"/>
        <w:left w:val="none" w:sz="0" w:space="0" w:color="auto"/>
        <w:bottom w:val="none" w:sz="0" w:space="0" w:color="auto"/>
        <w:right w:val="none" w:sz="0" w:space="0" w:color="auto"/>
      </w:divBdr>
    </w:div>
    <w:div w:id="209806528">
      <w:bodyDiv w:val="1"/>
      <w:marLeft w:val="0"/>
      <w:marRight w:val="0"/>
      <w:marTop w:val="0"/>
      <w:marBottom w:val="0"/>
      <w:divBdr>
        <w:top w:val="none" w:sz="0" w:space="0" w:color="auto"/>
        <w:left w:val="none" w:sz="0" w:space="0" w:color="auto"/>
        <w:bottom w:val="none" w:sz="0" w:space="0" w:color="auto"/>
        <w:right w:val="none" w:sz="0" w:space="0" w:color="auto"/>
      </w:divBdr>
    </w:div>
    <w:div w:id="216203620">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215688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74334881">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17614459">
      <w:bodyDiv w:val="1"/>
      <w:marLeft w:val="0"/>
      <w:marRight w:val="0"/>
      <w:marTop w:val="0"/>
      <w:marBottom w:val="0"/>
      <w:divBdr>
        <w:top w:val="none" w:sz="0" w:space="0" w:color="auto"/>
        <w:left w:val="none" w:sz="0" w:space="0" w:color="auto"/>
        <w:bottom w:val="none" w:sz="0" w:space="0" w:color="auto"/>
        <w:right w:val="none" w:sz="0" w:space="0" w:color="auto"/>
      </w:divBdr>
    </w:div>
    <w:div w:id="31799794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3631655">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66373836">
      <w:bodyDiv w:val="1"/>
      <w:marLeft w:val="0"/>
      <w:marRight w:val="0"/>
      <w:marTop w:val="0"/>
      <w:marBottom w:val="0"/>
      <w:divBdr>
        <w:top w:val="none" w:sz="0" w:space="0" w:color="auto"/>
        <w:left w:val="none" w:sz="0" w:space="0" w:color="auto"/>
        <w:bottom w:val="none" w:sz="0" w:space="0" w:color="auto"/>
        <w:right w:val="none" w:sz="0" w:space="0" w:color="auto"/>
      </w:divBdr>
    </w:div>
    <w:div w:id="367416432">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97752433">
      <w:bodyDiv w:val="1"/>
      <w:marLeft w:val="0"/>
      <w:marRight w:val="0"/>
      <w:marTop w:val="0"/>
      <w:marBottom w:val="0"/>
      <w:divBdr>
        <w:top w:val="none" w:sz="0" w:space="0" w:color="auto"/>
        <w:left w:val="none" w:sz="0" w:space="0" w:color="auto"/>
        <w:bottom w:val="none" w:sz="0" w:space="0" w:color="auto"/>
        <w:right w:val="none" w:sz="0" w:space="0" w:color="auto"/>
      </w:divBdr>
    </w:div>
    <w:div w:id="417101773">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58955708">
      <w:bodyDiv w:val="1"/>
      <w:marLeft w:val="0"/>
      <w:marRight w:val="0"/>
      <w:marTop w:val="0"/>
      <w:marBottom w:val="0"/>
      <w:divBdr>
        <w:top w:val="none" w:sz="0" w:space="0" w:color="auto"/>
        <w:left w:val="none" w:sz="0" w:space="0" w:color="auto"/>
        <w:bottom w:val="none" w:sz="0" w:space="0" w:color="auto"/>
        <w:right w:val="none" w:sz="0" w:space="0" w:color="auto"/>
      </w:divBdr>
    </w:div>
    <w:div w:id="460466492">
      <w:bodyDiv w:val="1"/>
      <w:marLeft w:val="0"/>
      <w:marRight w:val="0"/>
      <w:marTop w:val="0"/>
      <w:marBottom w:val="0"/>
      <w:divBdr>
        <w:top w:val="none" w:sz="0" w:space="0" w:color="auto"/>
        <w:left w:val="none" w:sz="0" w:space="0" w:color="auto"/>
        <w:bottom w:val="none" w:sz="0" w:space="0" w:color="auto"/>
        <w:right w:val="none" w:sz="0" w:space="0" w:color="auto"/>
      </w:divBdr>
    </w:div>
    <w:div w:id="470287622">
      <w:bodyDiv w:val="1"/>
      <w:marLeft w:val="0"/>
      <w:marRight w:val="0"/>
      <w:marTop w:val="0"/>
      <w:marBottom w:val="0"/>
      <w:divBdr>
        <w:top w:val="none" w:sz="0" w:space="0" w:color="auto"/>
        <w:left w:val="none" w:sz="0" w:space="0" w:color="auto"/>
        <w:bottom w:val="none" w:sz="0" w:space="0" w:color="auto"/>
        <w:right w:val="none" w:sz="0" w:space="0" w:color="auto"/>
      </w:divBdr>
    </w:div>
    <w:div w:id="472022069">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8154362">
      <w:bodyDiv w:val="1"/>
      <w:marLeft w:val="0"/>
      <w:marRight w:val="0"/>
      <w:marTop w:val="0"/>
      <w:marBottom w:val="0"/>
      <w:divBdr>
        <w:top w:val="none" w:sz="0" w:space="0" w:color="auto"/>
        <w:left w:val="none" w:sz="0" w:space="0" w:color="auto"/>
        <w:bottom w:val="none" w:sz="0" w:space="0" w:color="auto"/>
        <w:right w:val="none" w:sz="0" w:space="0" w:color="auto"/>
      </w:divBdr>
    </w:div>
    <w:div w:id="518591205">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34274191">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42206033">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062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8788106">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76016668">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35452980">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5085783">
      <w:bodyDiv w:val="1"/>
      <w:marLeft w:val="0"/>
      <w:marRight w:val="0"/>
      <w:marTop w:val="0"/>
      <w:marBottom w:val="0"/>
      <w:divBdr>
        <w:top w:val="none" w:sz="0" w:space="0" w:color="auto"/>
        <w:left w:val="none" w:sz="0" w:space="0" w:color="auto"/>
        <w:bottom w:val="none" w:sz="0" w:space="0" w:color="auto"/>
        <w:right w:val="none" w:sz="0" w:space="0" w:color="auto"/>
      </w:divBdr>
    </w:div>
    <w:div w:id="650717688">
      <w:bodyDiv w:val="1"/>
      <w:marLeft w:val="0"/>
      <w:marRight w:val="0"/>
      <w:marTop w:val="0"/>
      <w:marBottom w:val="0"/>
      <w:divBdr>
        <w:top w:val="none" w:sz="0" w:space="0" w:color="auto"/>
        <w:left w:val="none" w:sz="0" w:space="0" w:color="auto"/>
        <w:bottom w:val="none" w:sz="0" w:space="0" w:color="auto"/>
        <w:right w:val="none" w:sz="0" w:space="0" w:color="auto"/>
      </w:divBdr>
    </w:div>
    <w:div w:id="662397314">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2877673">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87098640">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06177831">
      <w:bodyDiv w:val="1"/>
      <w:marLeft w:val="0"/>
      <w:marRight w:val="0"/>
      <w:marTop w:val="0"/>
      <w:marBottom w:val="0"/>
      <w:divBdr>
        <w:top w:val="none" w:sz="0" w:space="0" w:color="auto"/>
        <w:left w:val="none" w:sz="0" w:space="0" w:color="auto"/>
        <w:bottom w:val="none" w:sz="0" w:space="0" w:color="auto"/>
        <w:right w:val="none" w:sz="0" w:space="0" w:color="auto"/>
      </w:divBdr>
    </w:div>
    <w:div w:id="739791539">
      <w:bodyDiv w:val="1"/>
      <w:marLeft w:val="0"/>
      <w:marRight w:val="0"/>
      <w:marTop w:val="0"/>
      <w:marBottom w:val="0"/>
      <w:divBdr>
        <w:top w:val="none" w:sz="0" w:space="0" w:color="auto"/>
        <w:left w:val="none" w:sz="0" w:space="0" w:color="auto"/>
        <w:bottom w:val="none" w:sz="0" w:space="0" w:color="auto"/>
        <w:right w:val="none" w:sz="0" w:space="0" w:color="auto"/>
      </w:divBdr>
    </w:div>
    <w:div w:id="750277416">
      <w:bodyDiv w:val="1"/>
      <w:marLeft w:val="0"/>
      <w:marRight w:val="0"/>
      <w:marTop w:val="0"/>
      <w:marBottom w:val="0"/>
      <w:divBdr>
        <w:top w:val="none" w:sz="0" w:space="0" w:color="auto"/>
        <w:left w:val="none" w:sz="0" w:space="0" w:color="auto"/>
        <w:bottom w:val="none" w:sz="0" w:space="0" w:color="auto"/>
        <w:right w:val="none" w:sz="0" w:space="0" w:color="auto"/>
      </w:divBdr>
    </w:div>
    <w:div w:id="750852364">
      <w:bodyDiv w:val="1"/>
      <w:marLeft w:val="0"/>
      <w:marRight w:val="0"/>
      <w:marTop w:val="0"/>
      <w:marBottom w:val="0"/>
      <w:divBdr>
        <w:top w:val="none" w:sz="0" w:space="0" w:color="auto"/>
        <w:left w:val="none" w:sz="0" w:space="0" w:color="auto"/>
        <w:bottom w:val="none" w:sz="0" w:space="0" w:color="auto"/>
        <w:right w:val="none" w:sz="0" w:space="0" w:color="auto"/>
      </w:divBdr>
    </w:div>
    <w:div w:id="753861118">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761490270">
      <w:bodyDiv w:val="1"/>
      <w:marLeft w:val="0"/>
      <w:marRight w:val="0"/>
      <w:marTop w:val="0"/>
      <w:marBottom w:val="0"/>
      <w:divBdr>
        <w:top w:val="none" w:sz="0" w:space="0" w:color="auto"/>
        <w:left w:val="none" w:sz="0" w:space="0" w:color="auto"/>
        <w:bottom w:val="none" w:sz="0" w:space="0" w:color="auto"/>
        <w:right w:val="none" w:sz="0" w:space="0" w:color="auto"/>
      </w:divBdr>
    </w:div>
    <w:div w:id="766198532">
      <w:bodyDiv w:val="1"/>
      <w:marLeft w:val="0"/>
      <w:marRight w:val="0"/>
      <w:marTop w:val="0"/>
      <w:marBottom w:val="0"/>
      <w:divBdr>
        <w:top w:val="none" w:sz="0" w:space="0" w:color="auto"/>
        <w:left w:val="none" w:sz="0" w:space="0" w:color="auto"/>
        <w:bottom w:val="none" w:sz="0" w:space="0" w:color="auto"/>
        <w:right w:val="none" w:sz="0" w:space="0" w:color="auto"/>
      </w:divBdr>
    </w:div>
    <w:div w:id="770974412">
      <w:bodyDiv w:val="1"/>
      <w:marLeft w:val="0"/>
      <w:marRight w:val="0"/>
      <w:marTop w:val="0"/>
      <w:marBottom w:val="0"/>
      <w:divBdr>
        <w:top w:val="none" w:sz="0" w:space="0" w:color="auto"/>
        <w:left w:val="none" w:sz="0" w:space="0" w:color="auto"/>
        <w:bottom w:val="none" w:sz="0" w:space="0" w:color="auto"/>
        <w:right w:val="none" w:sz="0" w:space="0" w:color="auto"/>
      </w:divBdr>
    </w:div>
    <w:div w:id="807942175">
      <w:bodyDiv w:val="1"/>
      <w:marLeft w:val="0"/>
      <w:marRight w:val="0"/>
      <w:marTop w:val="0"/>
      <w:marBottom w:val="0"/>
      <w:divBdr>
        <w:top w:val="none" w:sz="0" w:space="0" w:color="auto"/>
        <w:left w:val="none" w:sz="0" w:space="0" w:color="auto"/>
        <w:bottom w:val="none" w:sz="0" w:space="0" w:color="auto"/>
        <w:right w:val="none" w:sz="0" w:space="0" w:color="auto"/>
      </w:divBdr>
    </w:div>
    <w:div w:id="80801044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14106102">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410592">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4174798">
      <w:bodyDiv w:val="1"/>
      <w:marLeft w:val="0"/>
      <w:marRight w:val="0"/>
      <w:marTop w:val="0"/>
      <w:marBottom w:val="0"/>
      <w:divBdr>
        <w:top w:val="none" w:sz="0" w:space="0" w:color="auto"/>
        <w:left w:val="none" w:sz="0" w:space="0" w:color="auto"/>
        <w:bottom w:val="none" w:sz="0" w:space="0" w:color="auto"/>
        <w:right w:val="none" w:sz="0" w:space="0" w:color="auto"/>
      </w:divBdr>
    </w:div>
    <w:div w:id="885679163">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89897475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6384084">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20333189">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34242340">
      <w:bodyDiv w:val="1"/>
      <w:marLeft w:val="0"/>
      <w:marRight w:val="0"/>
      <w:marTop w:val="0"/>
      <w:marBottom w:val="0"/>
      <w:divBdr>
        <w:top w:val="none" w:sz="0" w:space="0" w:color="auto"/>
        <w:left w:val="none" w:sz="0" w:space="0" w:color="auto"/>
        <w:bottom w:val="none" w:sz="0" w:space="0" w:color="auto"/>
        <w:right w:val="none" w:sz="0" w:space="0" w:color="auto"/>
      </w:divBdr>
    </w:div>
    <w:div w:id="949508764">
      <w:bodyDiv w:val="1"/>
      <w:marLeft w:val="0"/>
      <w:marRight w:val="0"/>
      <w:marTop w:val="0"/>
      <w:marBottom w:val="0"/>
      <w:divBdr>
        <w:top w:val="none" w:sz="0" w:space="0" w:color="auto"/>
        <w:left w:val="none" w:sz="0" w:space="0" w:color="auto"/>
        <w:bottom w:val="none" w:sz="0" w:space="0" w:color="auto"/>
        <w:right w:val="none" w:sz="0" w:space="0" w:color="auto"/>
      </w:divBdr>
    </w:div>
    <w:div w:id="97125510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3341981">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5202857">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9454026">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3092718">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5850848">
      <w:bodyDiv w:val="1"/>
      <w:marLeft w:val="0"/>
      <w:marRight w:val="0"/>
      <w:marTop w:val="0"/>
      <w:marBottom w:val="0"/>
      <w:divBdr>
        <w:top w:val="none" w:sz="0" w:space="0" w:color="auto"/>
        <w:left w:val="none" w:sz="0" w:space="0" w:color="auto"/>
        <w:bottom w:val="none" w:sz="0" w:space="0" w:color="auto"/>
        <w:right w:val="none" w:sz="0" w:space="0" w:color="auto"/>
      </w:divBdr>
    </w:div>
    <w:div w:id="1134913133">
      <w:bodyDiv w:val="1"/>
      <w:marLeft w:val="0"/>
      <w:marRight w:val="0"/>
      <w:marTop w:val="0"/>
      <w:marBottom w:val="0"/>
      <w:divBdr>
        <w:top w:val="none" w:sz="0" w:space="0" w:color="auto"/>
        <w:left w:val="none" w:sz="0" w:space="0" w:color="auto"/>
        <w:bottom w:val="none" w:sz="0" w:space="0" w:color="auto"/>
        <w:right w:val="none" w:sz="0" w:space="0" w:color="auto"/>
      </w:divBdr>
    </w:div>
    <w:div w:id="1153451842">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00555462">
      <w:bodyDiv w:val="1"/>
      <w:marLeft w:val="0"/>
      <w:marRight w:val="0"/>
      <w:marTop w:val="0"/>
      <w:marBottom w:val="0"/>
      <w:divBdr>
        <w:top w:val="none" w:sz="0" w:space="0" w:color="auto"/>
        <w:left w:val="none" w:sz="0" w:space="0" w:color="auto"/>
        <w:bottom w:val="none" w:sz="0" w:space="0" w:color="auto"/>
        <w:right w:val="none" w:sz="0" w:space="0" w:color="auto"/>
      </w:divBdr>
    </w:div>
    <w:div w:id="1202282808">
      <w:bodyDiv w:val="1"/>
      <w:marLeft w:val="0"/>
      <w:marRight w:val="0"/>
      <w:marTop w:val="0"/>
      <w:marBottom w:val="0"/>
      <w:divBdr>
        <w:top w:val="none" w:sz="0" w:space="0" w:color="auto"/>
        <w:left w:val="none" w:sz="0" w:space="0" w:color="auto"/>
        <w:bottom w:val="none" w:sz="0" w:space="0" w:color="auto"/>
        <w:right w:val="none" w:sz="0" w:space="0" w:color="auto"/>
      </w:divBdr>
    </w:div>
    <w:div w:id="1208450044">
      <w:bodyDiv w:val="1"/>
      <w:marLeft w:val="0"/>
      <w:marRight w:val="0"/>
      <w:marTop w:val="0"/>
      <w:marBottom w:val="0"/>
      <w:divBdr>
        <w:top w:val="none" w:sz="0" w:space="0" w:color="auto"/>
        <w:left w:val="none" w:sz="0" w:space="0" w:color="auto"/>
        <w:bottom w:val="none" w:sz="0" w:space="0" w:color="auto"/>
        <w:right w:val="none" w:sz="0" w:space="0" w:color="auto"/>
      </w:divBdr>
    </w:div>
    <w:div w:id="1227106972">
      <w:bodyDiv w:val="1"/>
      <w:marLeft w:val="0"/>
      <w:marRight w:val="0"/>
      <w:marTop w:val="0"/>
      <w:marBottom w:val="0"/>
      <w:divBdr>
        <w:top w:val="none" w:sz="0" w:space="0" w:color="auto"/>
        <w:left w:val="none" w:sz="0" w:space="0" w:color="auto"/>
        <w:bottom w:val="none" w:sz="0" w:space="0" w:color="auto"/>
        <w:right w:val="none" w:sz="0" w:space="0" w:color="auto"/>
      </w:divBdr>
    </w:div>
    <w:div w:id="1227379422">
      <w:bodyDiv w:val="1"/>
      <w:marLeft w:val="0"/>
      <w:marRight w:val="0"/>
      <w:marTop w:val="0"/>
      <w:marBottom w:val="0"/>
      <w:divBdr>
        <w:top w:val="none" w:sz="0" w:space="0" w:color="auto"/>
        <w:left w:val="none" w:sz="0" w:space="0" w:color="auto"/>
        <w:bottom w:val="none" w:sz="0" w:space="0" w:color="auto"/>
        <w:right w:val="none" w:sz="0" w:space="0" w:color="auto"/>
      </w:divBdr>
    </w:div>
    <w:div w:id="1234927322">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2354706">
      <w:bodyDiv w:val="1"/>
      <w:marLeft w:val="0"/>
      <w:marRight w:val="0"/>
      <w:marTop w:val="0"/>
      <w:marBottom w:val="0"/>
      <w:divBdr>
        <w:top w:val="none" w:sz="0" w:space="0" w:color="auto"/>
        <w:left w:val="none" w:sz="0" w:space="0" w:color="auto"/>
        <w:bottom w:val="none" w:sz="0" w:space="0" w:color="auto"/>
        <w:right w:val="none" w:sz="0" w:space="0" w:color="auto"/>
      </w:divBdr>
    </w:div>
    <w:div w:id="1260486062">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897531">
      <w:bodyDiv w:val="1"/>
      <w:marLeft w:val="0"/>
      <w:marRight w:val="0"/>
      <w:marTop w:val="0"/>
      <w:marBottom w:val="0"/>
      <w:divBdr>
        <w:top w:val="none" w:sz="0" w:space="0" w:color="auto"/>
        <w:left w:val="none" w:sz="0" w:space="0" w:color="auto"/>
        <w:bottom w:val="none" w:sz="0" w:space="0" w:color="auto"/>
        <w:right w:val="none" w:sz="0" w:space="0" w:color="auto"/>
      </w:divBdr>
    </w:div>
    <w:div w:id="1290627585">
      <w:bodyDiv w:val="1"/>
      <w:marLeft w:val="0"/>
      <w:marRight w:val="0"/>
      <w:marTop w:val="0"/>
      <w:marBottom w:val="0"/>
      <w:divBdr>
        <w:top w:val="none" w:sz="0" w:space="0" w:color="auto"/>
        <w:left w:val="none" w:sz="0" w:space="0" w:color="auto"/>
        <w:bottom w:val="none" w:sz="0" w:space="0" w:color="auto"/>
        <w:right w:val="none" w:sz="0" w:space="0" w:color="auto"/>
      </w:divBdr>
    </w:div>
    <w:div w:id="1294293141">
      <w:bodyDiv w:val="1"/>
      <w:marLeft w:val="0"/>
      <w:marRight w:val="0"/>
      <w:marTop w:val="0"/>
      <w:marBottom w:val="0"/>
      <w:divBdr>
        <w:top w:val="none" w:sz="0" w:space="0" w:color="auto"/>
        <w:left w:val="none" w:sz="0" w:space="0" w:color="auto"/>
        <w:bottom w:val="none" w:sz="0" w:space="0" w:color="auto"/>
        <w:right w:val="none" w:sz="0" w:space="0" w:color="auto"/>
      </w:divBdr>
    </w:div>
    <w:div w:id="1296832776">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4770003">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38308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2374935">
      <w:bodyDiv w:val="1"/>
      <w:marLeft w:val="0"/>
      <w:marRight w:val="0"/>
      <w:marTop w:val="0"/>
      <w:marBottom w:val="0"/>
      <w:divBdr>
        <w:top w:val="none" w:sz="0" w:space="0" w:color="auto"/>
        <w:left w:val="none" w:sz="0" w:space="0" w:color="auto"/>
        <w:bottom w:val="none" w:sz="0" w:space="0" w:color="auto"/>
        <w:right w:val="none" w:sz="0" w:space="0" w:color="auto"/>
      </w:divBdr>
    </w:div>
    <w:div w:id="1333797068">
      <w:bodyDiv w:val="1"/>
      <w:marLeft w:val="0"/>
      <w:marRight w:val="0"/>
      <w:marTop w:val="0"/>
      <w:marBottom w:val="0"/>
      <w:divBdr>
        <w:top w:val="none" w:sz="0" w:space="0" w:color="auto"/>
        <w:left w:val="none" w:sz="0" w:space="0" w:color="auto"/>
        <w:bottom w:val="none" w:sz="0" w:space="0" w:color="auto"/>
        <w:right w:val="none" w:sz="0" w:space="0" w:color="auto"/>
      </w:divBdr>
    </w:div>
    <w:div w:id="1334796407">
      <w:bodyDiv w:val="1"/>
      <w:marLeft w:val="0"/>
      <w:marRight w:val="0"/>
      <w:marTop w:val="0"/>
      <w:marBottom w:val="0"/>
      <w:divBdr>
        <w:top w:val="none" w:sz="0" w:space="0" w:color="auto"/>
        <w:left w:val="none" w:sz="0" w:space="0" w:color="auto"/>
        <w:bottom w:val="none" w:sz="0" w:space="0" w:color="auto"/>
        <w:right w:val="none" w:sz="0" w:space="0" w:color="auto"/>
      </w:divBdr>
    </w:div>
    <w:div w:id="133642460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1419856">
      <w:bodyDiv w:val="1"/>
      <w:marLeft w:val="0"/>
      <w:marRight w:val="0"/>
      <w:marTop w:val="0"/>
      <w:marBottom w:val="0"/>
      <w:divBdr>
        <w:top w:val="none" w:sz="0" w:space="0" w:color="auto"/>
        <w:left w:val="none" w:sz="0" w:space="0" w:color="auto"/>
        <w:bottom w:val="none" w:sz="0" w:space="0" w:color="auto"/>
        <w:right w:val="none" w:sz="0" w:space="0" w:color="auto"/>
      </w:divBdr>
    </w:div>
    <w:div w:id="1376659382">
      <w:bodyDiv w:val="1"/>
      <w:marLeft w:val="0"/>
      <w:marRight w:val="0"/>
      <w:marTop w:val="0"/>
      <w:marBottom w:val="0"/>
      <w:divBdr>
        <w:top w:val="none" w:sz="0" w:space="0" w:color="auto"/>
        <w:left w:val="none" w:sz="0" w:space="0" w:color="auto"/>
        <w:bottom w:val="none" w:sz="0" w:space="0" w:color="auto"/>
        <w:right w:val="none" w:sz="0" w:space="0" w:color="auto"/>
      </w:divBdr>
    </w:div>
    <w:div w:id="1388262271">
      <w:bodyDiv w:val="1"/>
      <w:marLeft w:val="0"/>
      <w:marRight w:val="0"/>
      <w:marTop w:val="0"/>
      <w:marBottom w:val="0"/>
      <w:divBdr>
        <w:top w:val="none" w:sz="0" w:space="0" w:color="auto"/>
        <w:left w:val="none" w:sz="0" w:space="0" w:color="auto"/>
        <w:bottom w:val="none" w:sz="0" w:space="0" w:color="auto"/>
        <w:right w:val="none" w:sz="0" w:space="0" w:color="auto"/>
      </w:divBdr>
    </w:div>
    <w:div w:id="1394501259">
      <w:bodyDiv w:val="1"/>
      <w:marLeft w:val="0"/>
      <w:marRight w:val="0"/>
      <w:marTop w:val="0"/>
      <w:marBottom w:val="0"/>
      <w:divBdr>
        <w:top w:val="none" w:sz="0" w:space="0" w:color="auto"/>
        <w:left w:val="none" w:sz="0" w:space="0" w:color="auto"/>
        <w:bottom w:val="none" w:sz="0" w:space="0" w:color="auto"/>
        <w:right w:val="none" w:sz="0" w:space="0" w:color="auto"/>
      </w:divBdr>
    </w:div>
    <w:div w:id="1401052536">
      <w:bodyDiv w:val="1"/>
      <w:marLeft w:val="0"/>
      <w:marRight w:val="0"/>
      <w:marTop w:val="0"/>
      <w:marBottom w:val="0"/>
      <w:divBdr>
        <w:top w:val="none" w:sz="0" w:space="0" w:color="auto"/>
        <w:left w:val="none" w:sz="0" w:space="0" w:color="auto"/>
        <w:bottom w:val="none" w:sz="0" w:space="0" w:color="auto"/>
        <w:right w:val="none" w:sz="0" w:space="0" w:color="auto"/>
      </w:divBdr>
    </w:div>
    <w:div w:id="1414280654">
      <w:bodyDiv w:val="1"/>
      <w:marLeft w:val="0"/>
      <w:marRight w:val="0"/>
      <w:marTop w:val="0"/>
      <w:marBottom w:val="0"/>
      <w:divBdr>
        <w:top w:val="none" w:sz="0" w:space="0" w:color="auto"/>
        <w:left w:val="none" w:sz="0" w:space="0" w:color="auto"/>
        <w:bottom w:val="none" w:sz="0" w:space="0" w:color="auto"/>
        <w:right w:val="none" w:sz="0" w:space="0" w:color="auto"/>
      </w:divBdr>
    </w:div>
    <w:div w:id="1456102981">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5803785">
      <w:bodyDiv w:val="1"/>
      <w:marLeft w:val="0"/>
      <w:marRight w:val="0"/>
      <w:marTop w:val="0"/>
      <w:marBottom w:val="0"/>
      <w:divBdr>
        <w:top w:val="none" w:sz="0" w:space="0" w:color="auto"/>
        <w:left w:val="none" w:sz="0" w:space="0" w:color="auto"/>
        <w:bottom w:val="none" w:sz="0" w:space="0" w:color="auto"/>
        <w:right w:val="none" w:sz="0" w:space="0" w:color="auto"/>
      </w:divBdr>
    </w:div>
    <w:div w:id="1510291336">
      <w:bodyDiv w:val="1"/>
      <w:marLeft w:val="0"/>
      <w:marRight w:val="0"/>
      <w:marTop w:val="0"/>
      <w:marBottom w:val="0"/>
      <w:divBdr>
        <w:top w:val="none" w:sz="0" w:space="0" w:color="auto"/>
        <w:left w:val="none" w:sz="0" w:space="0" w:color="auto"/>
        <w:bottom w:val="none" w:sz="0" w:space="0" w:color="auto"/>
        <w:right w:val="none" w:sz="0" w:space="0" w:color="auto"/>
      </w:divBdr>
    </w:div>
    <w:div w:id="1510868985">
      <w:bodyDiv w:val="1"/>
      <w:marLeft w:val="0"/>
      <w:marRight w:val="0"/>
      <w:marTop w:val="0"/>
      <w:marBottom w:val="0"/>
      <w:divBdr>
        <w:top w:val="none" w:sz="0" w:space="0" w:color="auto"/>
        <w:left w:val="none" w:sz="0" w:space="0" w:color="auto"/>
        <w:bottom w:val="none" w:sz="0" w:space="0" w:color="auto"/>
        <w:right w:val="none" w:sz="0" w:space="0" w:color="auto"/>
      </w:divBdr>
    </w:div>
    <w:div w:id="1524243098">
      <w:bodyDiv w:val="1"/>
      <w:marLeft w:val="0"/>
      <w:marRight w:val="0"/>
      <w:marTop w:val="0"/>
      <w:marBottom w:val="0"/>
      <w:divBdr>
        <w:top w:val="none" w:sz="0" w:space="0" w:color="auto"/>
        <w:left w:val="none" w:sz="0" w:space="0" w:color="auto"/>
        <w:bottom w:val="none" w:sz="0" w:space="0" w:color="auto"/>
        <w:right w:val="none" w:sz="0" w:space="0" w:color="auto"/>
      </w:divBdr>
    </w:div>
    <w:div w:id="1533231071">
      <w:bodyDiv w:val="1"/>
      <w:marLeft w:val="0"/>
      <w:marRight w:val="0"/>
      <w:marTop w:val="0"/>
      <w:marBottom w:val="0"/>
      <w:divBdr>
        <w:top w:val="none" w:sz="0" w:space="0" w:color="auto"/>
        <w:left w:val="none" w:sz="0" w:space="0" w:color="auto"/>
        <w:bottom w:val="none" w:sz="0" w:space="0" w:color="auto"/>
        <w:right w:val="none" w:sz="0" w:space="0" w:color="auto"/>
      </w:divBdr>
    </w:div>
    <w:div w:id="1547523555">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489883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0064210">
      <w:bodyDiv w:val="1"/>
      <w:marLeft w:val="0"/>
      <w:marRight w:val="0"/>
      <w:marTop w:val="0"/>
      <w:marBottom w:val="0"/>
      <w:divBdr>
        <w:top w:val="none" w:sz="0" w:space="0" w:color="auto"/>
        <w:left w:val="none" w:sz="0" w:space="0" w:color="auto"/>
        <w:bottom w:val="none" w:sz="0" w:space="0" w:color="auto"/>
        <w:right w:val="none" w:sz="0" w:space="0" w:color="auto"/>
      </w:divBdr>
    </w:div>
    <w:div w:id="1626230126">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8362323">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8115530">
      <w:bodyDiv w:val="1"/>
      <w:marLeft w:val="0"/>
      <w:marRight w:val="0"/>
      <w:marTop w:val="0"/>
      <w:marBottom w:val="0"/>
      <w:divBdr>
        <w:top w:val="none" w:sz="0" w:space="0" w:color="auto"/>
        <w:left w:val="none" w:sz="0" w:space="0" w:color="auto"/>
        <w:bottom w:val="none" w:sz="0" w:space="0" w:color="auto"/>
        <w:right w:val="none" w:sz="0" w:space="0" w:color="auto"/>
      </w:divBdr>
    </w:div>
    <w:div w:id="1686319732">
      <w:bodyDiv w:val="1"/>
      <w:marLeft w:val="0"/>
      <w:marRight w:val="0"/>
      <w:marTop w:val="0"/>
      <w:marBottom w:val="0"/>
      <w:divBdr>
        <w:top w:val="none" w:sz="0" w:space="0" w:color="auto"/>
        <w:left w:val="none" w:sz="0" w:space="0" w:color="auto"/>
        <w:bottom w:val="none" w:sz="0" w:space="0" w:color="auto"/>
        <w:right w:val="none" w:sz="0" w:space="0" w:color="auto"/>
      </w:divBdr>
    </w:div>
    <w:div w:id="1688553736">
      <w:bodyDiv w:val="1"/>
      <w:marLeft w:val="0"/>
      <w:marRight w:val="0"/>
      <w:marTop w:val="0"/>
      <w:marBottom w:val="0"/>
      <w:divBdr>
        <w:top w:val="none" w:sz="0" w:space="0" w:color="auto"/>
        <w:left w:val="none" w:sz="0" w:space="0" w:color="auto"/>
        <w:bottom w:val="none" w:sz="0" w:space="0" w:color="auto"/>
        <w:right w:val="none" w:sz="0" w:space="0" w:color="auto"/>
      </w:divBdr>
    </w:div>
    <w:div w:id="1689333541">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5371476">
      <w:bodyDiv w:val="1"/>
      <w:marLeft w:val="0"/>
      <w:marRight w:val="0"/>
      <w:marTop w:val="0"/>
      <w:marBottom w:val="0"/>
      <w:divBdr>
        <w:top w:val="none" w:sz="0" w:space="0" w:color="auto"/>
        <w:left w:val="none" w:sz="0" w:space="0" w:color="auto"/>
        <w:bottom w:val="none" w:sz="0" w:space="0" w:color="auto"/>
        <w:right w:val="none" w:sz="0" w:space="0" w:color="auto"/>
      </w:divBdr>
    </w:div>
    <w:div w:id="1725566145">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28802107">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9769256">
      <w:bodyDiv w:val="1"/>
      <w:marLeft w:val="0"/>
      <w:marRight w:val="0"/>
      <w:marTop w:val="0"/>
      <w:marBottom w:val="0"/>
      <w:divBdr>
        <w:top w:val="none" w:sz="0" w:space="0" w:color="auto"/>
        <w:left w:val="none" w:sz="0" w:space="0" w:color="auto"/>
        <w:bottom w:val="none" w:sz="0" w:space="0" w:color="auto"/>
        <w:right w:val="none" w:sz="0" w:space="0" w:color="auto"/>
      </w:divBdr>
    </w:div>
    <w:div w:id="1749880138">
      <w:bodyDiv w:val="1"/>
      <w:marLeft w:val="0"/>
      <w:marRight w:val="0"/>
      <w:marTop w:val="0"/>
      <w:marBottom w:val="0"/>
      <w:divBdr>
        <w:top w:val="none" w:sz="0" w:space="0" w:color="auto"/>
        <w:left w:val="none" w:sz="0" w:space="0" w:color="auto"/>
        <w:bottom w:val="none" w:sz="0" w:space="0" w:color="auto"/>
        <w:right w:val="none" w:sz="0" w:space="0" w:color="auto"/>
      </w:divBdr>
    </w:div>
    <w:div w:id="1752658015">
      <w:bodyDiv w:val="1"/>
      <w:marLeft w:val="0"/>
      <w:marRight w:val="0"/>
      <w:marTop w:val="0"/>
      <w:marBottom w:val="0"/>
      <w:divBdr>
        <w:top w:val="none" w:sz="0" w:space="0" w:color="auto"/>
        <w:left w:val="none" w:sz="0" w:space="0" w:color="auto"/>
        <w:bottom w:val="none" w:sz="0" w:space="0" w:color="auto"/>
        <w:right w:val="none" w:sz="0" w:space="0" w:color="auto"/>
      </w:divBdr>
    </w:div>
    <w:div w:id="1753893605">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2669045">
      <w:bodyDiv w:val="1"/>
      <w:marLeft w:val="0"/>
      <w:marRight w:val="0"/>
      <w:marTop w:val="0"/>
      <w:marBottom w:val="0"/>
      <w:divBdr>
        <w:top w:val="none" w:sz="0" w:space="0" w:color="auto"/>
        <w:left w:val="none" w:sz="0" w:space="0" w:color="auto"/>
        <w:bottom w:val="none" w:sz="0" w:space="0" w:color="auto"/>
        <w:right w:val="none" w:sz="0" w:space="0" w:color="auto"/>
      </w:divBdr>
    </w:div>
    <w:div w:id="1824464811">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8327168">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7187523">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4854346">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66357698">
      <w:bodyDiv w:val="1"/>
      <w:marLeft w:val="0"/>
      <w:marRight w:val="0"/>
      <w:marTop w:val="0"/>
      <w:marBottom w:val="0"/>
      <w:divBdr>
        <w:top w:val="none" w:sz="0" w:space="0" w:color="auto"/>
        <w:left w:val="none" w:sz="0" w:space="0" w:color="auto"/>
        <w:bottom w:val="none" w:sz="0" w:space="0" w:color="auto"/>
        <w:right w:val="none" w:sz="0" w:space="0" w:color="auto"/>
      </w:divBdr>
    </w:div>
    <w:div w:id="1867021136">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1285327">
      <w:bodyDiv w:val="1"/>
      <w:marLeft w:val="0"/>
      <w:marRight w:val="0"/>
      <w:marTop w:val="0"/>
      <w:marBottom w:val="0"/>
      <w:divBdr>
        <w:top w:val="none" w:sz="0" w:space="0" w:color="auto"/>
        <w:left w:val="none" w:sz="0" w:space="0" w:color="auto"/>
        <w:bottom w:val="none" w:sz="0" w:space="0" w:color="auto"/>
        <w:right w:val="none" w:sz="0" w:space="0" w:color="auto"/>
      </w:divBdr>
    </w:div>
    <w:div w:id="1913731815">
      <w:bodyDiv w:val="1"/>
      <w:marLeft w:val="0"/>
      <w:marRight w:val="0"/>
      <w:marTop w:val="0"/>
      <w:marBottom w:val="0"/>
      <w:divBdr>
        <w:top w:val="none" w:sz="0" w:space="0" w:color="auto"/>
        <w:left w:val="none" w:sz="0" w:space="0" w:color="auto"/>
        <w:bottom w:val="none" w:sz="0" w:space="0" w:color="auto"/>
        <w:right w:val="none" w:sz="0" w:space="0" w:color="auto"/>
      </w:divBdr>
    </w:div>
    <w:div w:id="1914001375">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2084413">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49656068">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81769623">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32299868">
      <w:bodyDiv w:val="1"/>
      <w:marLeft w:val="0"/>
      <w:marRight w:val="0"/>
      <w:marTop w:val="0"/>
      <w:marBottom w:val="0"/>
      <w:divBdr>
        <w:top w:val="none" w:sz="0" w:space="0" w:color="auto"/>
        <w:left w:val="none" w:sz="0" w:space="0" w:color="auto"/>
        <w:bottom w:val="none" w:sz="0" w:space="0" w:color="auto"/>
        <w:right w:val="none" w:sz="0" w:space="0" w:color="auto"/>
      </w:divBdr>
    </w:div>
    <w:div w:id="2047170570">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76532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877184">
      <w:bodyDiv w:val="1"/>
      <w:marLeft w:val="0"/>
      <w:marRight w:val="0"/>
      <w:marTop w:val="0"/>
      <w:marBottom w:val="0"/>
      <w:divBdr>
        <w:top w:val="none" w:sz="0" w:space="0" w:color="auto"/>
        <w:left w:val="none" w:sz="0" w:space="0" w:color="auto"/>
        <w:bottom w:val="none" w:sz="0" w:space="0" w:color="auto"/>
        <w:right w:val="none" w:sz="0" w:space="0" w:color="auto"/>
      </w:divBdr>
    </w:div>
    <w:div w:id="2067992020">
      <w:bodyDiv w:val="1"/>
      <w:marLeft w:val="0"/>
      <w:marRight w:val="0"/>
      <w:marTop w:val="0"/>
      <w:marBottom w:val="0"/>
      <w:divBdr>
        <w:top w:val="none" w:sz="0" w:space="0" w:color="auto"/>
        <w:left w:val="none" w:sz="0" w:space="0" w:color="auto"/>
        <w:bottom w:val="none" w:sz="0" w:space="0" w:color="auto"/>
        <w:right w:val="none" w:sz="0" w:space="0" w:color="auto"/>
      </w:divBdr>
    </w:div>
    <w:div w:id="2073194785">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 w:id="2108114494">
      <w:bodyDiv w:val="1"/>
      <w:marLeft w:val="0"/>
      <w:marRight w:val="0"/>
      <w:marTop w:val="0"/>
      <w:marBottom w:val="0"/>
      <w:divBdr>
        <w:top w:val="none" w:sz="0" w:space="0" w:color="auto"/>
        <w:left w:val="none" w:sz="0" w:space="0" w:color="auto"/>
        <w:bottom w:val="none" w:sz="0" w:space="0" w:color="auto"/>
        <w:right w:val="none" w:sz="0" w:space="0" w:color="auto"/>
      </w:divBdr>
    </w:div>
    <w:div w:id="2114326749">
      <w:bodyDiv w:val="1"/>
      <w:marLeft w:val="0"/>
      <w:marRight w:val="0"/>
      <w:marTop w:val="0"/>
      <w:marBottom w:val="0"/>
      <w:divBdr>
        <w:top w:val="none" w:sz="0" w:space="0" w:color="auto"/>
        <w:left w:val="none" w:sz="0" w:space="0" w:color="auto"/>
        <w:bottom w:val="none" w:sz="0" w:space="0" w:color="auto"/>
        <w:right w:val="none" w:sz="0" w:space="0" w:color="auto"/>
      </w:divBdr>
    </w:div>
    <w:div w:id="2114743779">
      <w:bodyDiv w:val="1"/>
      <w:marLeft w:val="0"/>
      <w:marRight w:val="0"/>
      <w:marTop w:val="0"/>
      <w:marBottom w:val="0"/>
      <w:divBdr>
        <w:top w:val="none" w:sz="0" w:space="0" w:color="auto"/>
        <w:left w:val="none" w:sz="0" w:space="0" w:color="auto"/>
        <w:bottom w:val="none" w:sz="0" w:space="0" w:color="auto"/>
        <w:right w:val="none" w:sz="0" w:space="0" w:color="auto"/>
      </w:divBdr>
    </w:div>
    <w:div w:id="2140612977">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50.emf"/><Relationship Id="rId21" Type="http://schemas.openxmlformats.org/officeDocument/2006/relationships/image" Target="media/image3.png"/><Relationship Id="rId42" Type="http://schemas.openxmlformats.org/officeDocument/2006/relationships/header" Target="header10.xml"/><Relationship Id="rId63" Type="http://schemas.openxmlformats.org/officeDocument/2006/relationships/hyperlink" Target="https://www.dfat.gov.au/about-us/publications/corporate/dfat-corporate-plan" TargetMode="External"/><Relationship Id="rId84" Type="http://schemas.openxmlformats.org/officeDocument/2006/relationships/header" Target="header18.xml"/><Relationship Id="rId138" Type="http://schemas.openxmlformats.org/officeDocument/2006/relationships/image" Target="media/image60.emf"/><Relationship Id="rId159" Type="http://schemas.openxmlformats.org/officeDocument/2006/relationships/image" Target="media/image73.emf"/><Relationship Id="rId170" Type="http://schemas.openxmlformats.org/officeDocument/2006/relationships/footer" Target="footer37.xml"/><Relationship Id="rId191" Type="http://schemas.openxmlformats.org/officeDocument/2006/relationships/footer" Target="footer42.xml"/><Relationship Id="rId107" Type="http://schemas.openxmlformats.org/officeDocument/2006/relationships/hyperlink" Target="https://www.austrade.gov.au/en/about-austrade/governance/corporate-plan" TargetMode="External"/><Relationship Id="rId11" Type="http://schemas.openxmlformats.org/officeDocument/2006/relationships/endnotes" Target="endnotes.xml"/><Relationship Id="rId32" Type="http://schemas.openxmlformats.org/officeDocument/2006/relationships/header" Target="header6.xml"/><Relationship Id="rId53" Type="http://schemas.openxmlformats.org/officeDocument/2006/relationships/footer" Target="footer14.xml"/><Relationship Id="rId74" Type="http://schemas.openxmlformats.org/officeDocument/2006/relationships/image" Target="media/image24.emf"/><Relationship Id="rId128" Type="http://schemas.openxmlformats.org/officeDocument/2006/relationships/footer" Target="footer28.xml"/><Relationship Id="rId149" Type="http://schemas.openxmlformats.org/officeDocument/2006/relationships/header" Target="header30.xml"/><Relationship Id="rId5" Type="http://schemas.openxmlformats.org/officeDocument/2006/relationships/customXml" Target="../customXml/item5.xml"/><Relationship Id="rId95" Type="http://schemas.openxmlformats.org/officeDocument/2006/relationships/header" Target="header21.xml"/><Relationship Id="rId160" Type="http://schemas.openxmlformats.org/officeDocument/2006/relationships/image" Target="media/image74.emf"/><Relationship Id="rId181" Type="http://schemas.openxmlformats.org/officeDocument/2006/relationships/image" Target="media/image85.emf"/><Relationship Id="rId22" Type="http://schemas.openxmlformats.org/officeDocument/2006/relationships/image" Target="media/image4.png"/><Relationship Id="rId43" Type="http://schemas.openxmlformats.org/officeDocument/2006/relationships/header" Target="header11.xml"/><Relationship Id="rId64" Type="http://schemas.openxmlformats.org/officeDocument/2006/relationships/hyperlink" Target="https://www.dfat.gov.au/about-us/publications/corporate/annual-reports" TargetMode="External"/><Relationship Id="rId118" Type="http://schemas.openxmlformats.org/officeDocument/2006/relationships/image" Target="media/image51.emf"/><Relationship Id="rId139" Type="http://schemas.openxmlformats.org/officeDocument/2006/relationships/image" Target="media/image61.emf"/><Relationship Id="rId85" Type="http://schemas.openxmlformats.org/officeDocument/2006/relationships/header" Target="header19.xml"/><Relationship Id="rId150" Type="http://schemas.openxmlformats.org/officeDocument/2006/relationships/footer" Target="footer31.xml"/><Relationship Id="rId171" Type="http://schemas.openxmlformats.org/officeDocument/2006/relationships/footer" Target="footer38.xml"/><Relationship Id="rId192" Type="http://schemas.openxmlformats.org/officeDocument/2006/relationships/footer" Target="footer43.xml"/><Relationship Id="rId12" Type="http://schemas.openxmlformats.org/officeDocument/2006/relationships/hyperlink" Target="http://creativecommons.org/licenses/by/4.0/" TargetMode="External"/><Relationship Id="rId33" Type="http://schemas.openxmlformats.org/officeDocument/2006/relationships/footer" Target="footer6.xml"/><Relationship Id="rId108" Type="http://schemas.openxmlformats.org/officeDocument/2006/relationships/hyperlink" Target="https://www.austrade.gov.au/en/about-austrade/governance/annual-report" TargetMode="External"/><Relationship Id="rId129" Type="http://schemas.openxmlformats.org/officeDocument/2006/relationships/header" Target="header28.xml"/><Relationship Id="rId54" Type="http://schemas.openxmlformats.org/officeDocument/2006/relationships/header" Target="header16.xml"/><Relationship Id="rId75" Type="http://schemas.openxmlformats.org/officeDocument/2006/relationships/image" Target="media/image25.emf"/><Relationship Id="rId96" Type="http://schemas.openxmlformats.org/officeDocument/2006/relationships/header" Target="header22.xml"/><Relationship Id="rId140" Type="http://schemas.openxmlformats.org/officeDocument/2006/relationships/image" Target="media/image62.emf"/><Relationship Id="rId161" Type="http://schemas.openxmlformats.org/officeDocument/2006/relationships/image" Target="media/image75.emf"/><Relationship Id="rId182" Type="http://schemas.openxmlformats.org/officeDocument/2006/relationships/image" Target="media/image86.emf"/><Relationship Id="rId6" Type="http://schemas.openxmlformats.org/officeDocument/2006/relationships/numbering" Target="numbering.xml"/><Relationship Id="rId23" Type="http://schemas.openxmlformats.org/officeDocument/2006/relationships/image" Target="media/image5.png"/><Relationship Id="rId119" Type="http://schemas.openxmlformats.org/officeDocument/2006/relationships/image" Target="media/image52.emf"/><Relationship Id="rId44" Type="http://schemas.openxmlformats.org/officeDocument/2006/relationships/footer" Target="footer10.xml"/><Relationship Id="rId65" Type="http://schemas.openxmlformats.org/officeDocument/2006/relationships/image" Target="media/image15.emf"/><Relationship Id="rId86" Type="http://schemas.openxmlformats.org/officeDocument/2006/relationships/footer" Target="footer18.xml"/><Relationship Id="rId130" Type="http://schemas.openxmlformats.org/officeDocument/2006/relationships/footer" Target="footer29.xml"/><Relationship Id="rId151" Type="http://schemas.openxmlformats.org/officeDocument/2006/relationships/header" Target="header31.xml"/><Relationship Id="rId172" Type="http://schemas.openxmlformats.org/officeDocument/2006/relationships/image" Target="media/image78.emf"/><Relationship Id="rId193" Type="http://schemas.openxmlformats.org/officeDocument/2006/relationships/fontTable" Target="fontTable.xml"/><Relationship Id="rId13" Type="http://schemas.openxmlformats.org/officeDocument/2006/relationships/hyperlink" Target="http://creativecommons.org/licenses/by/4.0/legalcode" TargetMode="External"/><Relationship Id="rId109" Type="http://schemas.openxmlformats.org/officeDocument/2006/relationships/image" Target="media/image42.emf"/><Relationship Id="rId34" Type="http://schemas.openxmlformats.org/officeDocument/2006/relationships/header" Target="header7.xml"/><Relationship Id="rId50" Type="http://schemas.openxmlformats.org/officeDocument/2006/relationships/image" Target="media/image10.emf"/><Relationship Id="rId55" Type="http://schemas.openxmlformats.org/officeDocument/2006/relationships/footer" Target="footer15.xml"/><Relationship Id="rId76" Type="http://schemas.openxmlformats.org/officeDocument/2006/relationships/image" Target="media/image26.emf"/><Relationship Id="rId97" Type="http://schemas.openxmlformats.org/officeDocument/2006/relationships/footer" Target="footer20.xml"/><Relationship Id="rId104" Type="http://schemas.openxmlformats.org/officeDocument/2006/relationships/footer" Target="footer25.xml"/><Relationship Id="rId120" Type="http://schemas.openxmlformats.org/officeDocument/2006/relationships/image" Target="media/image53.emf"/><Relationship Id="rId125" Type="http://schemas.openxmlformats.org/officeDocument/2006/relationships/footer" Target="footer26.xml"/><Relationship Id="rId141" Type="http://schemas.openxmlformats.org/officeDocument/2006/relationships/image" Target="media/image63.emf"/><Relationship Id="rId146" Type="http://schemas.openxmlformats.org/officeDocument/2006/relationships/image" Target="media/image68.emf"/><Relationship Id="rId167" Type="http://schemas.openxmlformats.org/officeDocument/2006/relationships/header" Target="header35.xml"/><Relationship Id="rId188" Type="http://schemas.openxmlformats.org/officeDocument/2006/relationships/header" Target="header39.xml"/><Relationship Id="rId7" Type="http://schemas.openxmlformats.org/officeDocument/2006/relationships/styles" Target="styles.xml"/><Relationship Id="rId71" Type="http://schemas.openxmlformats.org/officeDocument/2006/relationships/image" Target="media/image21.emf"/><Relationship Id="rId92" Type="http://schemas.openxmlformats.org/officeDocument/2006/relationships/image" Target="media/image37.emf"/><Relationship Id="rId162" Type="http://schemas.openxmlformats.org/officeDocument/2006/relationships/image" Target="media/image76.emf"/><Relationship Id="rId183" Type="http://schemas.openxmlformats.org/officeDocument/2006/relationships/image" Target="media/image87.emf"/><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header" Target="header2.xml"/><Relationship Id="rId40" Type="http://schemas.openxmlformats.org/officeDocument/2006/relationships/footer" Target="footer8.xml"/><Relationship Id="rId45" Type="http://schemas.openxmlformats.org/officeDocument/2006/relationships/footer" Target="footer11.xml"/><Relationship Id="rId66" Type="http://schemas.openxmlformats.org/officeDocument/2006/relationships/image" Target="media/image16.emf"/><Relationship Id="rId87" Type="http://schemas.openxmlformats.org/officeDocument/2006/relationships/header" Target="header20.xml"/><Relationship Id="rId110" Type="http://schemas.openxmlformats.org/officeDocument/2006/relationships/image" Target="media/image43.emf"/><Relationship Id="rId115" Type="http://schemas.openxmlformats.org/officeDocument/2006/relationships/image" Target="media/image48.emf"/><Relationship Id="rId131" Type="http://schemas.openxmlformats.org/officeDocument/2006/relationships/footer" Target="footer30.xml"/><Relationship Id="rId136" Type="http://schemas.openxmlformats.org/officeDocument/2006/relationships/image" Target="media/image58.emf"/><Relationship Id="rId157" Type="http://schemas.openxmlformats.org/officeDocument/2006/relationships/image" Target="media/image71.emf"/><Relationship Id="rId178" Type="http://schemas.openxmlformats.org/officeDocument/2006/relationships/image" Target="media/image82.emf"/><Relationship Id="rId61" Type="http://schemas.openxmlformats.org/officeDocument/2006/relationships/image" Target="media/image13.emf"/><Relationship Id="rId82" Type="http://schemas.openxmlformats.org/officeDocument/2006/relationships/image" Target="media/image32.emf"/><Relationship Id="rId152" Type="http://schemas.openxmlformats.org/officeDocument/2006/relationships/footer" Target="footer32.xml"/><Relationship Id="rId173" Type="http://schemas.openxmlformats.org/officeDocument/2006/relationships/image" Target="media/image79.emf"/><Relationship Id="rId194" Type="http://schemas.openxmlformats.org/officeDocument/2006/relationships/theme" Target="theme/theme1.xml"/><Relationship Id="rId19" Type="http://schemas.openxmlformats.org/officeDocument/2006/relationships/header" Target="header1.xml"/><Relationship Id="rId14" Type="http://schemas.openxmlformats.org/officeDocument/2006/relationships/image" Target="media/image1.jpeg"/><Relationship Id="rId30" Type="http://schemas.openxmlformats.org/officeDocument/2006/relationships/header" Target="header5.xml"/><Relationship Id="rId35" Type="http://schemas.openxmlformats.org/officeDocument/2006/relationships/footer" Target="footer7.xml"/><Relationship Id="rId56" Type="http://schemas.openxmlformats.org/officeDocument/2006/relationships/header" Target="header17.xml"/><Relationship Id="rId77" Type="http://schemas.openxmlformats.org/officeDocument/2006/relationships/image" Target="media/image27.emf"/><Relationship Id="rId100" Type="http://schemas.openxmlformats.org/officeDocument/2006/relationships/footer" Target="footer22.xml"/><Relationship Id="rId105" Type="http://schemas.openxmlformats.org/officeDocument/2006/relationships/image" Target="media/image40.emf"/><Relationship Id="rId126" Type="http://schemas.openxmlformats.org/officeDocument/2006/relationships/footer" Target="footer27.xml"/><Relationship Id="rId147" Type="http://schemas.openxmlformats.org/officeDocument/2006/relationships/image" Target="media/image69.emf"/><Relationship Id="rId168" Type="http://schemas.openxmlformats.org/officeDocument/2006/relationships/footer" Target="footer36.xml"/><Relationship Id="rId8" Type="http://schemas.openxmlformats.org/officeDocument/2006/relationships/settings" Target="settings.xml"/><Relationship Id="rId51" Type="http://schemas.openxmlformats.org/officeDocument/2006/relationships/header" Target="header14.xml"/><Relationship Id="rId72" Type="http://schemas.openxmlformats.org/officeDocument/2006/relationships/image" Target="media/image22.emf"/><Relationship Id="rId93" Type="http://schemas.openxmlformats.org/officeDocument/2006/relationships/image" Target="media/image38.emf"/><Relationship Id="rId98" Type="http://schemas.openxmlformats.org/officeDocument/2006/relationships/footer" Target="footer21.xml"/><Relationship Id="rId121" Type="http://schemas.openxmlformats.org/officeDocument/2006/relationships/image" Target="media/image54.emf"/><Relationship Id="rId142" Type="http://schemas.openxmlformats.org/officeDocument/2006/relationships/image" Target="media/image64.emf"/><Relationship Id="rId163" Type="http://schemas.openxmlformats.org/officeDocument/2006/relationships/image" Target="media/image77.emf"/><Relationship Id="rId184" Type="http://schemas.openxmlformats.org/officeDocument/2006/relationships/image" Target="media/image88.emf"/><Relationship Id="rId189" Type="http://schemas.openxmlformats.org/officeDocument/2006/relationships/footer" Target="footer40.xml"/><Relationship Id="rId3" Type="http://schemas.openxmlformats.org/officeDocument/2006/relationships/customXml" Target="../customXml/item3.xml"/><Relationship Id="rId25" Type="http://schemas.openxmlformats.org/officeDocument/2006/relationships/footer" Target="footer3.xml"/><Relationship Id="rId46" Type="http://schemas.openxmlformats.org/officeDocument/2006/relationships/header" Target="header12.xml"/><Relationship Id="rId67" Type="http://schemas.openxmlformats.org/officeDocument/2006/relationships/image" Target="media/image17.emf"/><Relationship Id="rId116" Type="http://schemas.openxmlformats.org/officeDocument/2006/relationships/image" Target="media/image49.emf"/><Relationship Id="rId137" Type="http://schemas.openxmlformats.org/officeDocument/2006/relationships/image" Target="media/image59.emf"/><Relationship Id="rId158" Type="http://schemas.openxmlformats.org/officeDocument/2006/relationships/image" Target="media/image72.emf"/><Relationship Id="rId20" Type="http://schemas.openxmlformats.org/officeDocument/2006/relationships/image" Target="media/image2.jpg"/><Relationship Id="rId41" Type="http://schemas.openxmlformats.org/officeDocument/2006/relationships/footer" Target="footer9.xml"/><Relationship Id="rId62" Type="http://schemas.openxmlformats.org/officeDocument/2006/relationships/image" Target="media/image14.emf"/><Relationship Id="rId83" Type="http://schemas.openxmlformats.org/officeDocument/2006/relationships/image" Target="media/image33.emf"/><Relationship Id="rId88" Type="http://schemas.openxmlformats.org/officeDocument/2006/relationships/footer" Target="footer19.xml"/><Relationship Id="rId111" Type="http://schemas.openxmlformats.org/officeDocument/2006/relationships/image" Target="media/image44.emf"/><Relationship Id="rId132" Type="http://schemas.openxmlformats.org/officeDocument/2006/relationships/image" Target="media/image56.emf"/><Relationship Id="rId153" Type="http://schemas.openxmlformats.org/officeDocument/2006/relationships/header" Target="header32.xml"/><Relationship Id="rId174" Type="http://schemas.openxmlformats.org/officeDocument/2006/relationships/hyperlink" Target="https://www.tourism.australia.com/en/about/our-organisation/our-performance-and-reporting.html" TargetMode="External"/><Relationship Id="rId179" Type="http://schemas.openxmlformats.org/officeDocument/2006/relationships/image" Target="media/image83.emf"/><Relationship Id="rId190" Type="http://schemas.openxmlformats.org/officeDocument/2006/relationships/footer" Target="footer41.xml"/><Relationship Id="rId15" Type="http://schemas.openxmlformats.org/officeDocument/2006/relationships/hyperlink" Target="http://creativecommons.org/licenses/by/4.0/" TargetMode="External"/><Relationship Id="rId36" Type="http://schemas.openxmlformats.org/officeDocument/2006/relationships/image" Target="media/image7.png"/><Relationship Id="rId57" Type="http://schemas.openxmlformats.org/officeDocument/2006/relationships/footer" Target="footer16.xml"/><Relationship Id="rId106" Type="http://schemas.openxmlformats.org/officeDocument/2006/relationships/image" Target="media/image41.emf"/><Relationship Id="rId127" Type="http://schemas.openxmlformats.org/officeDocument/2006/relationships/header" Target="header27.xml"/><Relationship Id="rId10" Type="http://schemas.openxmlformats.org/officeDocument/2006/relationships/footnotes" Target="footnotes.xml"/><Relationship Id="rId31" Type="http://schemas.openxmlformats.org/officeDocument/2006/relationships/footer" Target="footer5.xml"/><Relationship Id="rId52" Type="http://schemas.openxmlformats.org/officeDocument/2006/relationships/header" Target="header15.xml"/><Relationship Id="rId73" Type="http://schemas.openxmlformats.org/officeDocument/2006/relationships/image" Target="media/image23.emf"/><Relationship Id="rId78" Type="http://schemas.openxmlformats.org/officeDocument/2006/relationships/image" Target="media/image28.emf"/><Relationship Id="rId94" Type="http://schemas.openxmlformats.org/officeDocument/2006/relationships/image" Target="media/image39.emf"/><Relationship Id="rId99" Type="http://schemas.openxmlformats.org/officeDocument/2006/relationships/header" Target="header23.xml"/><Relationship Id="rId101" Type="http://schemas.openxmlformats.org/officeDocument/2006/relationships/header" Target="header24.xml"/><Relationship Id="rId122" Type="http://schemas.openxmlformats.org/officeDocument/2006/relationships/image" Target="media/image55.emf"/><Relationship Id="rId143" Type="http://schemas.openxmlformats.org/officeDocument/2006/relationships/image" Target="media/image65.emf"/><Relationship Id="rId148" Type="http://schemas.openxmlformats.org/officeDocument/2006/relationships/header" Target="header29.xml"/><Relationship Id="rId164" Type="http://schemas.openxmlformats.org/officeDocument/2006/relationships/header" Target="header33.xml"/><Relationship Id="rId169" Type="http://schemas.openxmlformats.org/officeDocument/2006/relationships/header" Target="header36.xml"/><Relationship Id="rId185" Type="http://schemas.openxmlformats.org/officeDocument/2006/relationships/header" Target="header3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84.emf"/><Relationship Id="rId26" Type="http://schemas.openxmlformats.org/officeDocument/2006/relationships/header" Target="header3.xml"/><Relationship Id="rId47" Type="http://schemas.openxmlformats.org/officeDocument/2006/relationships/footer" Target="footer12.xml"/><Relationship Id="rId68" Type="http://schemas.openxmlformats.org/officeDocument/2006/relationships/image" Target="media/image18.emf"/><Relationship Id="rId89" Type="http://schemas.openxmlformats.org/officeDocument/2006/relationships/image" Target="media/image34.emf"/><Relationship Id="rId112" Type="http://schemas.openxmlformats.org/officeDocument/2006/relationships/image" Target="media/image45.emf"/><Relationship Id="rId133" Type="http://schemas.openxmlformats.org/officeDocument/2006/relationships/image" Target="media/image57.emf"/><Relationship Id="rId154" Type="http://schemas.openxmlformats.org/officeDocument/2006/relationships/footer" Target="footer33.xml"/><Relationship Id="rId175" Type="http://schemas.openxmlformats.org/officeDocument/2006/relationships/hyperlink" Target="https://www.tourism.australia.com/en/about/our-organisation/our-performance-and-reporting.html" TargetMode="External"/><Relationship Id="rId16" Type="http://schemas.openxmlformats.org/officeDocument/2006/relationships/hyperlink" Target="http://www.pmc.gov.au/honours-and-symbols/commonwealth-coat-arms" TargetMode="External"/><Relationship Id="rId37" Type="http://schemas.openxmlformats.org/officeDocument/2006/relationships/image" Target="media/image8.svg"/><Relationship Id="rId58" Type="http://schemas.openxmlformats.org/officeDocument/2006/relationships/footer" Target="footer17.xml"/><Relationship Id="rId79" Type="http://schemas.openxmlformats.org/officeDocument/2006/relationships/image" Target="media/image29.emf"/><Relationship Id="rId102" Type="http://schemas.openxmlformats.org/officeDocument/2006/relationships/footer" Target="footer23.xml"/><Relationship Id="rId123" Type="http://schemas.openxmlformats.org/officeDocument/2006/relationships/header" Target="header25.xml"/><Relationship Id="rId144" Type="http://schemas.openxmlformats.org/officeDocument/2006/relationships/image" Target="media/image66.emf"/><Relationship Id="rId90" Type="http://schemas.openxmlformats.org/officeDocument/2006/relationships/image" Target="media/image35.emf"/><Relationship Id="rId165" Type="http://schemas.openxmlformats.org/officeDocument/2006/relationships/header" Target="header34.xml"/><Relationship Id="rId186" Type="http://schemas.openxmlformats.org/officeDocument/2006/relationships/header" Target="header38.xml"/><Relationship Id="rId27" Type="http://schemas.openxmlformats.org/officeDocument/2006/relationships/footer" Target="footer4.xml"/><Relationship Id="rId48" Type="http://schemas.openxmlformats.org/officeDocument/2006/relationships/header" Target="header13.xml"/><Relationship Id="rId69" Type="http://schemas.openxmlformats.org/officeDocument/2006/relationships/image" Target="media/image19.emf"/><Relationship Id="rId113" Type="http://schemas.openxmlformats.org/officeDocument/2006/relationships/image" Target="media/image46.emf"/><Relationship Id="rId134" Type="http://schemas.openxmlformats.org/officeDocument/2006/relationships/hyperlink" Target="https://www.aciar.gov.au/publication/corporate-publications/corporate-plan-2025-26" TargetMode="External"/><Relationship Id="rId80" Type="http://schemas.openxmlformats.org/officeDocument/2006/relationships/image" Target="media/image30.emf"/><Relationship Id="rId155" Type="http://schemas.openxmlformats.org/officeDocument/2006/relationships/footer" Target="footer34.xml"/><Relationship Id="rId176" Type="http://schemas.openxmlformats.org/officeDocument/2006/relationships/image" Target="media/image80.emf"/><Relationship Id="rId17" Type="http://schemas.openxmlformats.org/officeDocument/2006/relationships/footer" Target="footer1.xml"/><Relationship Id="rId38" Type="http://schemas.openxmlformats.org/officeDocument/2006/relationships/header" Target="header8.xml"/><Relationship Id="rId59" Type="http://schemas.openxmlformats.org/officeDocument/2006/relationships/image" Target="media/image11.emf"/><Relationship Id="rId103" Type="http://schemas.openxmlformats.org/officeDocument/2006/relationships/footer" Target="footer24.xml"/><Relationship Id="rId124" Type="http://schemas.openxmlformats.org/officeDocument/2006/relationships/header" Target="header26.xml"/><Relationship Id="rId70" Type="http://schemas.openxmlformats.org/officeDocument/2006/relationships/image" Target="media/image20.emf"/><Relationship Id="rId91" Type="http://schemas.openxmlformats.org/officeDocument/2006/relationships/image" Target="media/image36.emf"/><Relationship Id="rId145" Type="http://schemas.openxmlformats.org/officeDocument/2006/relationships/image" Target="media/image67.emf"/><Relationship Id="rId166" Type="http://schemas.openxmlformats.org/officeDocument/2006/relationships/footer" Target="footer35.xml"/><Relationship Id="rId187" Type="http://schemas.openxmlformats.org/officeDocument/2006/relationships/footer" Target="footer39.xml"/><Relationship Id="rId1" Type="http://schemas.openxmlformats.org/officeDocument/2006/relationships/customXml" Target="../customXml/item1.xml"/><Relationship Id="rId28" Type="http://schemas.openxmlformats.org/officeDocument/2006/relationships/hyperlink" Target="http://www.budget.gov.au" TargetMode="External"/><Relationship Id="rId49" Type="http://schemas.openxmlformats.org/officeDocument/2006/relationships/footer" Target="footer13.xml"/><Relationship Id="rId114" Type="http://schemas.openxmlformats.org/officeDocument/2006/relationships/image" Target="media/image47.emf"/><Relationship Id="rId60" Type="http://schemas.openxmlformats.org/officeDocument/2006/relationships/image" Target="media/image12.emf"/><Relationship Id="rId81" Type="http://schemas.openxmlformats.org/officeDocument/2006/relationships/image" Target="media/image31.emf"/><Relationship Id="rId135" Type="http://schemas.openxmlformats.org/officeDocument/2006/relationships/hyperlink" Target="https://www.aciar.gov.au/publication/corporate-publications/annual-report-2024-25" TargetMode="External"/><Relationship Id="rId156" Type="http://schemas.openxmlformats.org/officeDocument/2006/relationships/image" Target="media/image70.emf"/><Relationship Id="rId177" Type="http://schemas.openxmlformats.org/officeDocument/2006/relationships/image" Target="media/image81.emf"/><Relationship Id="rId18" Type="http://schemas.openxmlformats.org/officeDocument/2006/relationships/footer" Target="footer2.xml"/><Relationship Id="rId39" Type="http://schemas.openxmlformats.org/officeDocument/2006/relationships/header" Target="header9.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0.xml.rels><?xml version="1.0" encoding="UTF-8" standalone="yes"?>
<Relationships xmlns="http://schemas.openxmlformats.org/package/2006/relationships"><Relationship Id="rId1" Type="http://schemas.openxmlformats.org/officeDocument/2006/relationships/image" Target="media/image9.png"/></Relationships>
</file>

<file path=word/_rels/header11.xml.rels><?xml version="1.0" encoding="UTF-8" standalone="yes"?>
<Relationships xmlns="http://schemas.openxmlformats.org/package/2006/relationships"><Relationship Id="rId1" Type="http://schemas.openxmlformats.org/officeDocument/2006/relationships/image" Target="media/image9.png"/></Relationships>
</file>

<file path=word/_rels/header14.xml.rels><?xml version="1.0" encoding="UTF-8" standalone="yes"?>
<Relationships xmlns="http://schemas.openxmlformats.org/package/2006/relationships"><Relationship Id="rId1" Type="http://schemas.openxmlformats.org/officeDocument/2006/relationships/image" Target="media/image9.png"/></Relationships>
</file>

<file path=word/_rels/header15.xml.rels><?xml version="1.0" encoding="UTF-8" standalone="yes"?>
<Relationships xmlns="http://schemas.openxmlformats.org/package/2006/relationships"><Relationship Id="rId1" Type="http://schemas.openxmlformats.org/officeDocument/2006/relationships/image" Target="media/image9.png"/></Relationships>
</file>

<file path=word/_rels/header16.xml.rels><?xml version="1.0" encoding="UTF-8" standalone="yes"?>
<Relationships xmlns="http://schemas.openxmlformats.org/package/2006/relationships"><Relationship Id="rId1" Type="http://schemas.openxmlformats.org/officeDocument/2006/relationships/image" Target="media/image9.png"/></Relationships>
</file>

<file path=word/_rels/header18.xml.rels><?xml version="1.0" encoding="UTF-8" standalone="yes"?>
<Relationships xmlns="http://schemas.openxmlformats.org/package/2006/relationships"><Relationship Id="rId1" Type="http://schemas.openxmlformats.org/officeDocument/2006/relationships/image" Target="media/image9.png"/></Relationships>
</file>

<file path=word/_rels/header19.xml.rels><?xml version="1.0" encoding="UTF-8" standalone="yes"?>
<Relationships xmlns="http://schemas.openxmlformats.org/package/2006/relationships"><Relationship Id="rId1" Type="http://schemas.openxmlformats.org/officeDocument/2006/relationships/image" Target="media/image9.png"/></Relationships>
</file>

<file path=word/_rels/header20.xml.rels><?xml version="1.0" encoding="UTF-8" standalone="yes"?>
<Relationships xmlns="http://schemas.openxmlformats.org/package/2006/relationships"><Relationship Id="rId1" Type="http://schemas.openxmlformats.org/officeDocument/2006/relationships/image" Target="media/image9.png"/></Relationships>
</file>

<file path=word/_rels/header21.xml.rels><?xml version="1.0" encoding="UTF-8" standalone="yes"?>
<Relationships xmlns="http://schemas.openxmlformats.org/package/2006/relationships"><Relationship Id="rId1" Type="http://schemas.openxmlformats.org/officeDocument/2006/relationships/image" Target="media/image9.png"/></Relationships>
</file>

<file path=word/_rels/header22.xml.rels><?xml version="1.0" encoding="UTF-8" standalone="yes"?>
<Relationships xmlns="http://schemas.openxmlformats.org/package/2006/relationships"><Relationship Id="rId1" Type="http://schemas.openxmlformats.org/officeDocument/2006/relationships/image" Target="media/image9.png"/></Relationships>
</file>

<file path=word/_rels/header25.xml.rels><?xml version="1.0" encoding="UTF-8" standalone="yes"?>
<Relationships xmlns="http://schemas.openxmlformats.org/package/2006/relationships"><Relationship Id="rId1" Type="http://schemas.openxmlformats.org/officeDocument/2006/relationships/image" Target="media/image9.png"/></Relationships>
</file>

<file path=word/_rels/header26.xml.rels><?xml version="1.0" encoding="UTF-8" standalone="yes"?>
<Relationships xmlns="http://schemas.openxmlformats.org/package/2006/relationships"><Relationship Id="rId1" Type="http://schemas.openxmlformats.org/officeDocument/2006/relationships/image" Target="media/image9.png"/></Relationships>
</file>

<file path=word/_rels/header27.xml.rels><?xml version="1.0" encoding="UTF-8" standalone="yes"?>
<Relationships xmlns="http://schemas.openxmlformats.org/package/2006/relationships"><Relationship Id="rId1" Type="http://schemas.openxmlformats.org/officeDocument/2006/relationships/image" Target="media/image9.png"/></Relationships>
</file>

<file path=word/_rels/header29.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header30.xml.rels><?xml version="1.0" encoding="UTF-8" standalone="yes"?>
<Relationships xmlns="http://schemas.openxmlformats.org/package/2006/relationships"><Relationship Id="rId1" Type="http://schemas.openxmlformats.org/officeDocument/2006/relationships/image" Target="media/image9.png"/></Relationships>
</file>

<file path=word/_rels/header31.xml.rels><?xml version="1.0" encoding="UTF-8" standalone="yes"?>
<Relationships xmlns="http://schemas.openxmlformats.org/package/2006/relationships"><Relationship Id="rId1" Type="http://schemas.openxmlformats.org/officeDocument/2006/relationships/image" Target="media/image9.png"/></Relationships>
</file>

<file path=word/_rels/header33.xml.rels><?xml version="1.0" encoding="UTF-8" standalone="yes"?>
<Relationships xmlns="http://schemas.openxmlformats.org/package/2006/relationships"><Relationship Id="rId1" Type="http://schemas.openxmlformats.org/officeDocument/2006/relationships/image" Target="media/image9.png"/></Relationships>
</file>

<file path=word/_rels/header34.xml.rels><?xml version="1.0" encoding="UTF-8" standalone="yes"?>
<Relationships xmlns="http://schemas.openxmlformats.org/package/2006/relationships"><Relationship Id="rId1" Type="http://schemas.openxmlformats.org/officeDocument/2006/relationships/image" Target="media/image9.png"/></Relationships>
</file>

<file path=word/_rels/header35.xml.rels><?xml version="1.0" encoding="UTF-8" standalone="yes"?>
<Relationships xmlns="http://schemas.openxmlformats.org/package/2006/relationships"><Relationship Id="rId1" Type="http://schemas.openxmlformats.org/officeDocument/2006/relationships/image" Target="media/image9.png"/></Relationships>
</file>

<file path=word/_rels/header37.xml.rels><?xml version="1.0" encoding="UTF-8" standalone="yes"?>
<Relationships xmlns="http://schemas.openxmlformats.org/package/2006/relationships"><Relationship Id="rId1" Type="http://schemas.openxmlformats.org/officeDocument/2006/relationships/image" Target="media/image9.png"/></Relationships>
</file>

<file path=word/_rels/header38.xml.rels><?xml version="1.0" encoding="UTF-8" standalone="yes"?>
<Relationships xmlns="http://schemas.openxmlformats.org/package/2006/relationships"><Relationship Id="rId1" Type="http://schemas.openxmlformats.org/officeDocument/2006/relationships/image" Target="media/image9.png"/></Relationships>
</file>

<file path=word/_rels/header39.xml.rels><?xml version="1.0" encoding="UTF-8" standalone="yes"?>
<Relationships xmlns="http://schemas.openxmlformats.org/package/2006/relationships"><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9d5471d-5fab-444c-854c-d88d0af4e1f1" xsi:nil="true"/>
    <lcf76f155ced4ddcb4097134ff3c332f xmlns="977af2a4-2f1e-4aea-97bd-250a74c74bf2">
      <Terms xmlns="http://schemas.microsoft.com/office/infopath/2007/PartnerControls"/>
    </lcf76f155ced4ddcb4097134ff3c332f>
    <Category xmlns="977af2a4-2f1e-4aea-97bd-250a74c74bf2" xsi:nil="true"/>
    <SharedWithUsers xmlns="e9d5471d-5fab-444c-854c-d88d0af4e1f1">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1B911276716EA409CECCBFEA86C2A5B" ma:contentTypeVersion="15" ma:contentTypeDescription="Create a new document." ma:contentTypeScope="" ma:versionID="c64b486510cb8ba5a357bb57776fc5e3">
  <xsd:schema xmlns:xsd="http://www.w3.org/2001/XMLSchema" xmlns:xs="http://www.w3.org/2001/XMLSchema" xmlns:p="http://schemas.microsoft.com/office/2006/metadata/properties" xmlns:ns2="977af2a4-2f1e-4aea-97bd-250a74c74bf2" xmlns:ns3="e9d5471d-5fab-444c-854c-d88d0af4e1f1" targetNamespace="http://schemas.microsoft.com/office/2006/metadata/properties" ma:root="true" ma:fieldsID="3a073198982720f2d1baabed54016353" ns2:_="" ns3:_="">
    <xsd:import namespace="977af2a4-2f1e-4aea-97bd-250a74c74bf2"/>
    <xsd:import namespace="e9d5471d-5fab-444c-854c-d88d0af4e1f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3:SharedWithUsers" minOccurs="0"/>
                <xsd:element ref="ns3:SharedWithDetails" minOccurs="0"/>
                <xsd:element ref="ns2: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7af2a4-2f1e-4aea-97bd-250a74c74b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00eb7d5-ca27-4af2-baac-ce4379253668"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Category" ma:index="22" nillable="true" ma:displayName="Category" ma:format="Dropdown" ma:internalName="Category">
      <xsd:simpleType>
        <xsd:restriction base="dms:Choice">
          <xsd:enumeration value="Product"/>
          <xsd:enumeration value="Email "/>
        </xsd:restriction>
      </xsd:simpleType>
    </xsd:element>
  </xsd:schema>
  <xsd:schema xmlns:xsd="http://www.w3.org/2001/XMLSchema" xmlns:xs="http://www.w3.org/2001/XMLSchema" xmlns:dms="http://schemas.microsoft.com/office/2006/documentManagement/types" xmlns:pc="http://schemas.microsoft.com/office/infopath/2007/PartnerControls" targetNamespace="e9d5471d-5fab-444c-854c-d88d0af4e1f1"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bf01ebfa-0658-4fe4-8b2c-d122c02679ec}" ma:internalName="TaxCatchAll" ma:showField="CatchAllData" ma:web="e9d5471d-5fab-444c-854c-d88d0af4e1f1">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Props1.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e9d5471d-5fab-444c-854c-d88d0af4e1f1"/>
    <ds:schemaRef ds:uri="977af2a4-2f1e-4aea-97bd-250a74c74bf2"/>
  </ds:schemaRefs>
</ds:datastoreItem>
</file>

<file path=customXml/itemProps2.xml><?xml version="1.0" encoding="utf-8"?>
<ds:datastoreItem xmlns:ds="http://schemas.openxmlformats.org/officeDocument/2006/customXml" ds:itemID="{A31B9677-7D1F-429E-9353-9F16C5251F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7af2a4-2f1e-4aea-97bd-250a74c74bf2"/>
    <ds:schemaRef ds:uri="e9d5471d-5fab-444c-854c-d88d0af4e1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4.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docMetadata/LabelInfo.xml><?xml version="1.0" encoding="utf-8"?>
<clbl:labelList xmlns:clbl="http://schemas.microsoft.com/office/2020/mipLabelMetadata">
  <clbl:label id="{610a6645-df8a-461f-957a-aeb16698bd53}" enabled="1" method="Standard" siteId="{9b7f23b3-0e83-47a5-8a40-ffa8a6fea536}" removed="0"/>
</clbl:labelList>
</file>

<file path=docProps/app.xml><?xml version="1.0" encoding="utf-8"?>
<Properties xmlns="http://schemas.openxmlformats.org/officeDocument/2006/extended-properties" xmlns:vt="http://schemas.openxmlformats.org/officeDocument/2006/docPropsVTypes">
  <Template>Normal</Template>
  <TotalTime>1390</TotalTime>
  <Pages>185</Pages>
  <Words>22069</Words>
  <Characters>138840</Characters>
  <Application>Microsoft Office Word</Application>
  <DocSecurity>0</DocSecurity>
  <Lines>1157</Lines>
  <Paragraphs>321</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160588</CharactersWithSpaces>
  <SharedDoc>false</SharedDoc>
  <HLinks>
    <vt:vector size="78" baseType="variant">
      <vt:variant>
        <vt:i4>2359416</vt:i4>
      </vt:variant>
      <vt:variant>
        <vt:i4>69</vt:i4>
      </vt:variant>
      <vt:variant>
        <vt:i4>0</vt:i4>
      </vt:variant>
      <vt:variant>
        <vt:i4>5</vt:i4>
      </vt:variant>
      <vt:variant>
        <vt:lpwstr>https://www.tourism.australia.com/en/about/our-organisation/our-performance-and-reporting.html</vt:lpwstr>
      </vt:variant>
      <vt:variant>
        <vt:lpwstr/>
      </vt:variant>
      <vt:variant>
        <vt:i4>2359416</vt:i4>
      </vt:variant>
      <vt:variant>
        <vt:i4>66</vt:i4>
      </vt:variant>
      <vt:variant>
        <vt:i4>0</vt:i4>
      </vt:variant>
      <vt:variant>
        <vt:i4>5</vt:i4>
      </vt:variant>
      <vt:variant>
        <vt:lpwstr>https://www.tourism.australia.com/en/about/our-organisation/our-performance-and-reporting.html</vt:lpwstr>
      </vt:variant>
      <vt:variant>
        <vt:lpwstr/>
      </vt:variant>
      <vt:variant>
        <vt:i4>1638429</vt:i4>
      </vt:variant>
      <vt:variant>
        <vt:i4>54</vt:i4>
      </vt:variant>
      <vt:variant>
        <vt:i4>0</vt:i4>
      </vt:variant>
      <vt:variant>
        <vt:i4>5</vt:i4>
      </vt:variant>
      <vt:variant>
        <vt:lpwstr>https://www.aciar.gov.au/publication/corporate-publications/annual-report-2024-25</vt:lpwstr>
      </vt:variant>
      <vt:variant>
        <vt:lpwstr/>
      </vt:variant>
      <vt:variant>
        <vt:i4>2621564</vt:i4>
      </vt:variant>
      <vt:variant>
        <vt:i4>51</vt:i4>
      </vt:variant>
      <vt:variant>
        <vt:i4>0</vt:i4>
      </vt:variant>
      <vt:variant>
        <vt:i4>5</vt:i4>
      </vt:variant>
      <vt:variant>
        <vt:lpwstr>https://www.aciar.gov.au/publication/corporate-publications/corporate-plan-2025-26</vt:lpwstr>
      </vt:variant>
      <vt:variant>
        <vt:lpwstr/>
      </vt:variant>
      <vt:variant>
        <vt:i4>8323170</vt:i4>
      </vt:variant>
      <vt:variant>
        <vt:i4>42</vt:i4>
      </vt:variant>
      <vt:variant>
        <vt:i4>0</vt:i4>
      </vt:variant>
      <vt:variant>
        <vt:i4>5</vt:i4>
      </vt:variant>
      <vt:variant>
        <vt:lpwstr>https://www.austrade.gov.au/en/about-austrade/governance/annual-report</vt:lpwstr>
      </vt:variant>
      <vt:variant>
        <vt:lpwstr/>
      </vt:variant>
      <vt:variant>
        <vt:i4>2687037</vt:i4>
      </vt:variant>
      <vt:variant>
        <vt:i4>39</vt:i4>
      </vt:variant>
      <vt:variant>
        <vt:i4>0</vt:i4>
      </vt:variant>
      <vt:variant>
        <vt:i4>5</vt:i4>
      </vt:variant>
      <vt:variant>
        <vt:lpwstr>https://www.austrade.gov.au/en/about-austrade/governance/corporate-plan</vt:lpwstr>
      </vt:variant>
      <vt:variant>
        <vt:lpwstr/>
      </vt:variant>
      <vt:variant>
        <vt:i4>3932202</vt:i4>
      </vt:variant>
      <vt:variant>
        <vt:i4>27</vt:i4>
      </vt:variant>
      <vt:variant>
        <vt:i4>0</vt:i4>
      </vt:variant>
      <vt:variant>
        <vt:i4>5</vt:i4>
      </vt:variant>
      <vt:variant>
        <vt:lpwstr>https://www.dfat.gov.au/about-us/publications/corporate/annual-reports</vt:lpwstr>
      </vt:variant>
      <vt:variant>
        <vt:lpwstr/>
      </vt:variant>
      <vt:variant>
        <vt:i4>3211367</vt:i4>
      </vt:variant>
      <vt:variant>
        <vt:i4>24</vt:i4>
      </vt:variant>
      <vt:variant>
        <vt:i4>0</vt:i4>
      </vt:variant>
      <vt:variant>
        <vt:i4>5</vt:i4>
      </vt:variant>
      <vt:variant>
        <vt:lpwstr>https://www.dfat.gov.au/about-us/publications/corporate/dfat-corporate-plan</vt:lpwstr>
      </vt:variant>
      <vt:variant>
        <vt:lpwstr/>
      </vt:variant>
      <vt:variant>
        <vt:i4>5374022</vt:i4>
      </vt:variant>
      <vt:variant>
        <vt:i4>12</vt:i4>
      </vt:variant>
      <vt:variant>
        <vt:i4>0</vt:i4>
      </vt:variant>
      <vt:variant>
        <vt:i4>5</vt:i4>
      </vt:variant>
      <vt:variant>
        <vt:lpwstr>http://www.budget.gov.au/</vt:lpwstr>
      </vt:variant>
      <vt:variant>
        <vt:lpwstr/>
      </vt:variant>
      <vt:variant>
        <vt:i4>25</vt:i4>
      </vt:variant>
      <vt:variant>
        <vt:i4>9</vt:i4>
      </vt:variant>
      <vt:variant>
        <vt:i4>0</vt:i4>
      </vt:variant>
      <vt:variant>
        <vt:i4>5</vt:i4>
      </vt:variant>
      <vt:variant>
        <vt:lpwstr>http://www.pmc.gov.au/honours-and-symbols/commonwealth-coat-arms</vt:lpwstr>
      </vt:variant>
      <vt:variant>
        <vt:lpwstr/>
      </vt:variant>
      <vt:variant>
        <vt:i4>6488166</vt:i4>
      </vt:variant>
      <vt:variant>
        <vt:i4>6</vt:i4>
      </vt:variant>
      <vt:variant>
        <vt:i4>0</vt:i4>
      </vt:variant>
      <vt:variant>
        <vt:i4>5</vt:i4>
      </vt:variant>
      <vt:variant>
        <vt:lpwstr>http://creativecommons.org/licenses/by/4.0/</vt:lpwstr>
      </vt:variant>
      <vt:variant>
        <vt:lpwstr/>
      </vt:variant>
      <vt:variant>
        <vt:i4>917578</vt:i4>
      </vt:variant>
      <vt:variant>
        <vt:i4>3</vt:i4>
      </vt:variant>
      <vt:variant>
        <vt:i4>0</vt:i4>
      </vt:variant>
      <vt:variant>
        <vt:i4>5</vt:i4>
      </vt:variant>
      <vt:variant>
        <vt:lpwstr>http://creativecommons.org/licenses/by/4.0/legalcode</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2026-27</dc:title>
  <dc:subject/>
  <dc:creator>Department of Foreign Affairs and Trade</dc:creator>
  <cp:keywords>[SEC=OFFICIAL]</cp:keywords>
  <cp:lastModifiedBy>Bo Wang</cp:lastModifiedBy>
  <cp:revision>494</cp:revision>
  <cp:lastPrinted>2026-05-07T23:16:00Z</cp:lastPrinted>
  <dcterms:created xsi:type="dcterms:W3CDTF">2026-03-10T00:38:00Z</dcterms:created>
  <dcterms:modified xsi:type="dcterms:W3CDTF">2026-05-08T02:47:00Z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0x01010041B911276716EA409CECCBFEA86C2A5B</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164;#Performance|0f4dd21a-6494-4313-960a-2dff10e24755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6F3591835F3B2A8A025B00B5BA6418010DA3A17C9C26EA9C049FFD28039489A2</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PM_Originator_Hash_SHA1">
    <vt:lpwstr>8995AEB094978B9610357871548A122C9788A9F0</vt:lpwstr>
  </property>
  <property fmtid="{D5CDD505-2E9C-101B-9397-08002B2CF9AE}" pid="87" name="PM_OriginatorUserAccountName_SHA256">
    <vt:lpwstr>9889272FA67DBEBCB3A8F9D552268AD64C4351235930F02E0B689256D862CA1B</vt:lpwstr>
  </property>
  <property fmtid="{D5CDD505-2E9C-101B-9397-08002B2CF9AE}" pid="88" name="Function_x0020_and_x0020_Activity">
    <vt:lpwstr/>
  </property>
  <property fmtid="{D5CDD505-2E9C-101B-9397-08002B2CF9AE}" pid="89" name="Initiating_x0020_Entity">
    <vt:lpwstr>1;#Department of Finance|fd660e8f-8f31-49bd-92a3-d31d4da31afe</vt:lpwstr>
  </property>
  <property fmtid="{D5CDD505-2E9C-101B-9397-08002B2CF9AE}" pid="90" name="Organisation_x0020_Unit">
    <vt:lpwstr/>
  </property>
  <property fmtid="{D5CDD505-2E9C-101B-9397-08002B2CF9AE}" pid="91" name="About_x0020_Entity">
    <vt:lpwstr>1;#Department of Finance|fd660e8f-8f31-49bd-92a3-d31d4da31afe</vt:lpwstr>
  </property>
  <property fmtid="{D5CDD505-2E9C-101B-9397-08002B2CF9AE}" pid="92" name="MSIP_Label_8c016467-e564-44a9-b184-235c1fe42542_Enabled">
    <vt:lpwstr>true</vt:lpwstr>
  </property>
  <property fmtid="{D5CDD505-2E9C-101B-9397-08002B2CF9AE}" pid="93" name="MSIP_Label_8c016467-e564-44a9-b184-235c1fe42542_SetDate">
    <vt:lpwstr>2025-01-15T05:30:55Z</vt:lpwstr>
  </property>
  <property fmtid="{D5CDD505-2E9C-101B-9397-08002B2CF9AE}" pid="94" name="MSIP_Label_8c016467-e564-44a9-b184-235c1fe42542_Method">
    <vt:lpwstr>Privileged</vt:lpwstr>
  </property>
  <property fmtid="{D5CDD505-2E9C-101B-9397-08002B2CF9AE}" pid="95" name="MSIP_Label_8c016467-e564-44a9-b184-235c1fe42542_Name">
    <vt:lpwstr>P C AM</vt:lpwstr>
  </property>
  <property fmtid="{D5CDD505-2E9C-101B-9397-08002B2CF9AE}" pid="96" name="MSIP_Label_8c016467-e564-44a9-b184-235c1fe42542_SiteId">
    <vt:lpwstr>214f1646-2021-47cc-8397-e3d3a7ba7d9d</vt:lpwstr>
  </property>
  <property fmtid="{D5CDD505-2E9C-101B-9397-08002B2CF9AE}" pid="97" name="MSIP_Label_8c016467-e564-44a9-b184-235c1fe42542_ActionId">
    <vt:lpwstr>5f58f7c8-9859-4beb-a74c-f18d729fa5fc</vt:lpwstr>
  </property>
  <property fmtid="{D5CDD505-2E9C-101B-9397-08002B2CF9AE}" pid="98" name="MSIP_Label_8c016467-e564-44a9-b184-235c1fe42542_ContentBits">
    <vt:lpwstr>0</vt:lpwstr>
  </property>
  <property fmtid="{D5CDD505-2E9C-101B-9397-08002B2CF9AE}" pid="99" name="KnowledgeTopics">
    <vt:lpwstr/>
  </property>
  <property fmtid="{D5CDD505-2E9C-101B-9397-08002B2CF9AE}" pid="100" name="DocumentType">
    <vt:lpwstr/>
  </property>
  <property fmtid="{D5CDD505-2E9C-101B-9397-08002B2CF9AE}" pid="101" name="ResponsibleArea">
    <vt:lpwstr>71;#Financial Analysis, Reporting and Management|076570f5-98ed-41f2-bee8-a2f90c505f67</vt:lpwstr>
  </property>
  <property fmtid="{D5CDD505-2E9C-101B-9397-08002B2CF9AE}" pid="102" name="_dlc_DocIdItemGuid">
    <vt:lpwstr>30860fec-3186-4b02-8ca4-f595e3f7e304</vt:lpwstr>
  </property>
  <property fmtid="{D5CDD505-2E9C-101B-9397-08002B2CF9AE}" pid="103" name="PM_Hash_Salt_Prev">
    <vt:lpwstr>E200C20D7E65208F9968D8B9D3C135E9</vt:lpwstr>
  </property>
  <property fmtid="{D5CDD505-2E9C-101B-9397-08002B2CF9AE}" pid="104" name="PM_Hash_Salt">
    <vt:lpwstr>B6D9417A2B8AAB20181A1CE91E185B32</vt:lpwstr>
  </property>
  <property fmtid="{D5CDD505-2E9C-101B-9397-08002B2CF9AE}" pid="105" name="PM_Hash_SHA1">
    <vt:lpwstr>AE66E08E45FD70556153CC46A616E7D22AFB4DCA</vt:lpwstr>
  </property>
  <property fmtid="{D5CDD505-2E9C-101B-9397-08002B2CF9AE}" pid="106" name="PMHMAC">
    <vt:lpwstr>v=2022.1;a=SHA256;h=B33129231CAA561002178EA01160C29ACC717B3ED4CB3C3749F5E2725661C074</vt:lpwstr>
  </property>
  <property fmtid="{D5CDD505-2E9C-101B-9397-08002B2CF9AE}" pid="107" name="MSIP_Label_87d6481e-ccdd-4ab6-8b26-05a0df5699e7_ActionId">
    <vt:lpwstr>5ba173c9abe747c5aa5606732e32c017</vt:lpwstr>
  </property>
  <property fmtid="{D5CDD505-2E9C-101B-9397-08002B2CF9AE}" pid="108" name="ComplianceAssetId">
    <vt:lpwstr/>
  </property>
  <property fmtid="{D5CDD505-2E9C-101B-9397-08002B2CF9AE}" pid="109" name="_ExtendedDescription">
    <vt:lpwstr/>
  </property>
  <property fmtid="{D5CDD505-2E9C-101B-9397-08002B2CF9AE}" pid="110" name="TriggerFlowInfo">
    <vt:lpwstr/>
  </property>
  <property fmtid="{D5CDD505-2E9C-101B-9397-08002B2CF9AE}" pid="111" name="docLang">
    <vt:lpwstr>en</vt:lpwstr>
  </property>
  <property fmtid="{D5CDD505-2E9C-101B-9397-08002B2CF9AE}" pid="112" name="PM_Expires">
    <vt:lpwstr/>
  </property>
  <property fmtid="{D5CDD505-2E9C-101B-9397-08002B2CF9AE}" pid="113" name="PM_DownTo">
    <vt:lpwstr/>
  </property>
</Properties>
</file>