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E5" w:rsidRPr="00683B42" w:rsidRDefault="00B133E5" w:rsidP="005A755C">
      <w:pPr>
        <w:pStyle w:val="Default"/>
        <w:tabs>
          <w:tab w:val="left" w:pos="851"/>
        </w:tabs>
        <w:jc w:val="center"/>
        <w:rPr>
          <w:color w:val="auto"/>
        </w:rPr>
      </w:pPr>
    </w:p>
    <w:p w:rsidR="00B133E5" w:rsidRPr="00683B42" w:rsidRDefault="00B133E5" w:rsidP="005A755C">
      <w:pPr>
        <w:pStyle w:val="Default"/>
        <w:tabs>
          <w:tab w:val="left" w:pos="851"/>
        </w:tabs>
        <w:spacing w:after="180"/>
        <w:jc w:val="center"/>
        <w:rPr>
          <w:b/>
          <w:color w:val="auto"/>
          <w:u w:val="single"/>
        </w:rPr>
      </w:pPr>
    </w:p>
    <w:p w:rsidR="00B133E5" w:rsidRPr="00683B42" w:rsidRDefault="00B133E5" w:rsidP="005A755C">
      <w:pPr>
        <w:pStyle w:val="Paragraph"/>
        <w:widowControl/>
        <w:tabs>
          <w:tab w:val="left" w:pos="851"/>
        </w:tabs>
        <w:spacing w:after="0"/>
        <w:jc w:val="center"/>
        <w:rPr>
          <w:rFonts w:ascii="Times New Roman" w:hAnsi="Times New Roman" w:cs="Times New Roman"/>
          <w:color w:val="auto"/>
        </w:rPr>
      </w:pPr>
    </w:p>
    <w:p w:rsidR="00B133E5" w:rsidRPr="00683B42" w:rsidRDefault="00B133E5" w:rsidP="005A755C">
      <w:pPr>
        <w:pStyle w:val="Paragraph"/>
        <w:widowControl/>
        <w:tabs>
          <w:tab w:val="left" w:pos="851"/>
        </w:tabs>
        <w:spacing w:after="0"/>
        <w:jc w:val="center"/>
        <w:rPr>
          <w:rFonts w:ascii="Times New Roman" w:hAnsi="Times New Roman" w:cs="Times New Roman"/>
          <w:color w:val="auto"/>
        </w:rPr>
      </w:pPr>
    </w:p>
    <w:p w:rsidR="00B133E5" w:rsidRPr="00683B42" w:rsidRDefault="00B133E5" w:rsidP="005A755C">
      <w:pPr>
        <w:pStyle w:val="Paragraph"/>
        <w:widowControl/>
        <w:tabs>
          <w:tab w:val="left" w:pos="851"/>
        </w:tabs>
        <w:spacing w:after="0"/>
        <w:jc w:val="center"/>
        <w:outlineLvl w:val="0"/>
        <w:rPr>
          <w:rFonts w:ascii="Times New Roman" w:hAnsi="Times New Roman" w:cs="Times New Roman"/>
          <w:b/>
          <w:color w:val="auto"/>
        </w:rPr>
      </w:pPr>
      <w:r w:rsidRPr="00683B42">
        <w:rPr>
          <w:rFonts w:ascii="Times New Roman" w:hAnsi="Times New Roman" w:cs="Times New Roman"/>
          <w:b/>
          <w:color w:val="auto"/>
        </w:rPr>
        <w:t>Nati</w:t>
      </w:r>
      <w:r>
        <w:rPr>
          <w:rFonts w:ascii="Times New Roman" w:hAnsi="Times New Roman" w:cs="Times New Roman"/>
          <w:b/>
          <w:color w:val="auto"/>
        </w:rPr>
        <w:t xml:space="preserve">onal Interest Analysis </w:t>
      </w:r>
      <w:r w:rsidR="00B22A38">
        <w:rPr>
          <w:rFonts w:ascii="Times New Roman" w:hAnsi="Times New Roman" w:cs="Times New Roman"/>
          <w:b/>
          <w:color w:val="auto"/>
        </w:rPr>
        <w:t>[</w:t>
      </w:r>
      <w:r>
        <w:rPr>
          <w:rFonts w:ascii="Times New Roman" w:hAnsi="Times New Roman" w:cs="Times New Roman"/>
          <w:b/>
          <w:color w:val="auto"/>
        </w:rPr>
        <w:t>2016</w:t>
      </w:r>
      <w:r w:rsidR="00B22A38">
        <w:rPr>
          <w:rFonts w:ascii="Times New Roman" w:hAnsi="Times New Roman" w:cs="Times New Roman"/>
          <w:b/>
          <w:color w:val="auto"/>
        </w:rPr>
        <w:t>]</w:t>
      </w:r>
      <w:r w:rsidRPr="00683B42">
        <w:rPr>
          <w:rFonts w:ascii="Times New Roman" w:hAnsi="Times New Roman" w:cs="Times New Roman"/>
          <w:b/>
          <w:color w:val="auto"/>
        </w:rPr>
        <w:t xml:space="preserve"> ATNIA </w:t>
      </w:r>
      <w:r w:rsidR="00AF22C8">
        <w:rPr>
          <w:rFonts w:ascii="Times New Roman" w:hAnsi="Times New Roman" w:cs="Times New Roman"/>
          <w:b/>
          <w:color w:val="auto"/>
        </w:rPr>
        <w:t>9</w:t>
      </w:r>
      <w:r w:rsidRPr="00683B42">
        <w:rPr>
          <w:rFonts w:ascii="Times New Roman" w:hAnsi="Times New Roman" w:cs="Times New Roman"/>
          <w:b/>
          <w:color w:val="auto"/>
        </w:rPr>
        <w:br/>
      </w:r>
      <w:r w:rsidRPr="00683B42">
        <w:rPr>
          <w:rFonts w:ascii="Times New Roman" w:hAnsi="Times New Roman" w:cs="Times New Roman"/>
          <w:b/>
          <w:i/>
          <w:iCs/>
          <w:color w:val="auto"/>
        </w:rPr>
        <w:br/>
      </w:r>
      <w:r w:rsidRPr="00683B42">
        <w:rPr>
          <w:rFonts w:ascii="Times New Roman" w:hAnsi="Times New Roman" w:cs="Times New Roman"/>
          <w:b/>
          <w:color w:val="auto"/>
        </w:rPr>
        <w:t>with attachment on consultation</w:t>
      </w:r>
    </w:p>
    <w:p w:rsidR="00B133E5" w:rsidRDefault="00B133E5" w:rsidP="005A755C">
      <w:pPr>
        <w:pStyle w:val="Paragraph"/>
        <w:widowControl/>
        <w:tabs>
          <w:tab w:val="left" w:pos="851"/>
        </w:tabs>
        <w:spacing w:after="0"/>
        <w:jc w:val="center"/>
        <w:outlineLvl w:val="0"/>
        <w:rPr>
          <w:rFonts w:ascii="Times New Roman" w:hAnsi="Times New Roman" w:cs="Times New Roman"/>
          <w:b/>
          <w:color w:val="auto"/>
        </w:rPr>
      </w:pPr>
    </w:p>
    <w:p w:rsidR="00881FCE" w:rsidRDefault="00881FCE" w:rsidP="005A755C">
      <w:pPr>
        <w:pStyle w:val="Paragraph"/>
        <w:widowControl/>
        <w:tabs>
          <w:tab w:val="left" w:pos="851"/>
        </w:tabs>
        <w:spacing w:after="0"/>
        <w:jc w:val="center"/>
        <w:outlineLvl w:val="0"/>
        <w:rPr>
          <w:rFonts w:ascii="Times New Roman" w:hAnsi="Times New Roman" w:cs="Times New Roman"/>
          <w:b/>
          <w:color w:val="auto"/>
        </w:rPr>
      </w:pPr>
    </w:p>
    <w:p w:rsidR="00881FCE" w:rsidRDefault="00881FCE" w:rsidP="005A755C">
      <w:pPr>
        <w:pStyle w:val="Paragraph"/>
        <w:widowControl/>
        <w:tabs>
          <w:tab w:val="left" w:pos="851"/>
        </w:tabs>
        <w:spacing w:after="0"/>
        <w:jc w:val="center"/>
        <w:outlineLvl w:val="0"/>
        <w:rPr>
          <w:rFonts w:ascii="Times New Roman" w:hAnsi="Times New Roman" w:cs="Times New Roman"/>
          <w:b/>
          <w:color w:val="auto"/>
        </w:rPr>
      </w:pPr>
    </w:p>
    <w:p w:rsidR="006F2B76" w:rsidRPr="004D76A9" w:rsidRDefault="006F2B76" w:rsidP="004D76A9">
      <w:pPr>
        <w:tabs>
          <w:tab w:val="left" w:pos="851"/>
        </w:tabs>
        <w:jc w:val="center"/>
        <w:rPr>
          <w:b/>
        </w:rPr>
      </w:pPr>
      <w:r>
        <w:rPr>
          <w:b/>
        </w:rPr>
        <w:t xml:space="preserve">Amendment of Australia’s </w:t>
      </w:r>
      <w:r w:rsidRPr="00473563">
        <w:rPr>
          <w:b/>
        </w:rPr>
        <w:t>Schedule of Concessions</w:t>
      </w:r>
      <w:r w:rsidR="00AE35C4">
        <w:rPr>
          <w:b/>
        </w:rPr>
        <w:t xml:space="preserve"> </w:t>
      </w:r>
      <w:r>
        <w:rPr>
          <w:b/>
        </w:rPr>
        <w:t>under the General Agr</w:t>
      </w:r>
      <w:r w:rsidR="00683474">
        <w:rPr>
          <w:b/>
        </w:rPr>
        <w:t>eement on Tariffs and Trade 1994</w:t>
      </w:r>
      <w:r>
        <w:rPr>
          <w:b/>
        </w:rPr>
        <w:t xml:space="preserve"> (GATT) and the Marrakesh Agreement establishing the World Trade Organization</w:t>
      </w:r>
      <w:r w:rsidR="004D76A9">
        <w:rPr>
          <w:b/>
        </w:rPr>
        <w:t xml:space="preserve"> </w:t>
      </w:r>
      <w:r>
        <w:rPr>
          <w:b/>
        </w:rPr>
        <w:t xml:space="preserve">for </w:t>
      </w:r>
      <w:r>
        <w:rPr>
          <w:b/>
          <w:bCs/>
        </w:rPr>
        <w:t>Implementation of:</w:t>
      </w:r>
    </w:p>
    <w:p w:rsidR="006F2B76" w:rsidRDefault="006F2B76" w:rsidP="006F2B76">
      <w:pPr>
        <w:tabs>
          <w:tab w:val="left" w:pos="851"/>
        </w:tabs>
        <w:jc w:val="center"/>
        <w:rPr>
          <w:b/>
          <w:bCs/>
        </w:rPr>
      </w:pPr>
      <w:r>
        <w:rPr>
          <w:b/>
          <w:bCs/>
        </w:rPr>
        <w:br/>
      </w:r>
      <w:r w:rsidRPr="003D31A8">
        <w:rPr>
          <w:b/>
          <w:bCs/>
        </w:rPr>
        <w:t>Ministerial Declaration on the Expansion of Trade in I</w:t>
      </w:r>
      <w:r>
        <w:rPr>
          <w:b/>
          <w:bCs/>
        </w:rPr>
        <w:t xml:space="preserve">nformation Technology Products </w:t>
      </w:r>
    </w:p>
    <w:p w:rsidR="006F2B76" w:rsidRDefault="006F2B76" w:rsidP="006F2B76">
      <w:pPr>
        <w:tabs>
          <w:tab w:val="left" w:pos="851"/>
        </w:tabs>
        <w:jc w:val="center"/>
        <w:rPr>
          <w:bCs/>
        </w:rPr>
      </w:pPr>
      <w:r>
        <w:rPr>
          <w:bCs/>
        </w:rPr>
        <w:t>(Nairobi, 16 December 2015)</w:t>
      </w:r>
    </w:p>
    <w:p w:rsidR="006F2B76" w:rsidRDefault="006F2B76" w:rsidP="006F2B76">
      <w:pPr>
        <w:tabs>
          <w:tab w:val="left" w:pos="851"/>
        </w:tabs>
        <w:jc w:val="center"/>
        <w:rPr>
          <w:b/>
          <w:bCs/>
        </w:rPr>
      </w:pPr>
    </w:p>
    <w:p w:rsidR="006F2B76" w:rsidRDefault="006F2B76" w:rsidP="006F2B76">
      <w:pPr>
        <w:tabs>
          <w:tab w:val="left" w:pos="851"/>
        </w:tabs>
        <w:jc w:val="center"/>
        <w:rPr>
          <w:b/>
          <w:bCs/>
        </w:rPr>
      </w:pPr>
      <w:proofErr w:type="gramStart"/>
      <w:r>
        <w:rPr>
          <w:b/>
          <w:bCs/>
        </w:rPr>
        <w:t>and</w:t>
      </w:r>
      <w:proofErr w:type="gramEnd"/>
      <w:r>
        <w:rPr>
          <w:b/>
          <w:bCs/>
        </w:rPr>
        <w:t xml:space="preserve"> </w:t>
      </w:r>
      <w:r>
        <w:rPr>
          <w:b/>
          <w:bCs/>
        </w:rPr>
        <w:br/>
      </w:r>
    </w:p>
    <w:p w:rsidR="006F2B76" w:rsidRDefault="006F2B76" w:rsidP="006F2B76">
      <w:pPr>
        <w:tabs>
          <w:tab w:val="left" w:pos="851"/>
        </w:tabs>
        <w:jc w:val="center"/>
        <w:rPr>
          <w:b/>
          <w:bCs/>
        </w:rPr>
      </w:pPr>
      <w:r w:rsidRPr="003D31A8">
        <w:rPr>
          <w:b/>
          <w:bCs/>
        </w:rPr>
        <w:t xml:space="preserve">Ministerial </w:t>
      </w:r>
      <w:r>
        <w:rPr>
          <w:b/>
          <w:bCs/>
        </w:rPr>
        <w:t xml:space="preserve">Decision - </w:t>
      </w:r>
      <w:r w:rsidRPr="003D31A8">
        <w:rPr>
          <w:b/>
          <w:bCs/>
        </w:rPr>
        <w:t xml:space="preserve">Export Competition </w:t>
      </w:r>
      <w:r>
        <w:rPr>
          <w:b/>
          <w:bCs/>
          <w:i/>
        </w:rPr>
        <w:br/>
      </w:r>
      <w:r>
        <w:rPr>
          <w:bCs/>
        </w:rPr>
        <w:t>(</w:t>
      </w:r>
      <w:r w:rsidRPr="00D26573">
        <w:rPr>
          <w:bCs/>
        </w:rPr>
        <w:t xml:space="preserve">Nairobi, </w:t>
      </w:r>
      <w:r>
        <w:rPr>
          <w:bCs/>
        </w:rPr>
        <w:t>19</w:t>
      </w:r>
      <w:r w:rsidRPr="00D26573">
        <w:rPr>
          <w:bCs/>
        </w:rPr>
        <w:t xml:space="preserve"> December 2015</w:t>
      </w:r>
      <w:r>
        <w:rPr>
          <w:bCs/>
        </w:rPr>
        <w:t>)</w:t>
      </w:r>
    </w:p>
    <w:p w:rsidR="006F2B76" w:rsidRDefault="006F2B76" w:rsidP="006F2B76">
      <w:pPr>
        <w:tabs>
          <w:tab w:val="left" w:pos="851"/>
        </w:tabs>
        <w:jc w:val="center"/>
        <w:rPr>
          <w:b/>
          <w:bCs/>
        </w:rPr>
      </w:pPr>
    </w:p>
    <w:p w:rsidR="006F2B76" w:rsidRPr="00D26573" w:rsidRDefault="002A380F" w:rsidP="006F2B76">
      <w:pPr>
        <w:tabs>
          <w:tab w:val="left" w:pos="851"/>
        </w:tabs>
        <w:jc w:val="center"/>
      </w:pPr>
      <w:r>
        <w:rPr>
          <w:b/>
          <w:bCs/>
        </w:rPr>
        <w:t>[</w:t>
      </w:r>
      <w:r w:rsidR="00FA58DA">
        <w:rPr>
          <w:b/>
          <w:bCs/>
        </w:rPr>
        <w:t>2016</w:t>
      </w:r>
      <w:r>
        <w:rPr>
          <w:b/>
          <w:bCs/>
        </w:rPr>
        <w:t>]</w:t>
      </w:r>
      <w:r w:rsidR="00FA58DA">
        <w:rPr>
          <w:b/>
          <w:bCs/>
        </w:rPr>
        <w:t xml:space="preserve"> </w:t>
      </w:r>
      <w:r w:rsidR="006F2B76" w:rsidRPr="00D26573">
        <w:rPr>
          <w:b/>
          <w:bCs/>
        </w:rPr>
        <w:t xml:space="preserve">ATNIF </w:t>
      </w:r>
      <w:r w:rsidR="006F2B76">
        <w:rPr>
          <w:b/>
          <w:bCs/>
        </w:rPr>
        <w:t>3</w:t>
      </w:r>
      <w:r w:rsidR="00914C7C">
        <w:rPr>
          <w:b/>
          <w:bCs/>
        </w:rPr>
        <w:t>4</w:t>
      </w:r>
    </w:p>
    <w:p w:rsidR="00B133E5" w:rsidRPr="00683B42" w:rsidRDefault="00B133E5" w:rsidP="005A755C">
      <w:pPr>
        <w:pStyle w:val="Paragraph"/>
        <w:widowControl/>
        <w:tabs>
          <w:tab w:val="left" w:pos="851"/>
        </w:tabs>
        <w:spacing w:after="0"/>
        <w:outlineLvl w:val="0"/>
        <w:rPr>
          <w:rFonts w:ascii="Times New Roman" w:hAnsi="Times New Roman" w:cs="Times New Roman"/>
          <w:b/>
          <w:color w:val="auto"/>
        </w:rPr>
      </w:pPr>
    </w:p>
    <w:p w:rsidR="00B133E5" w:rsidRPr="00683B42" w:rsidRDefault="00B133E5" w:rsidP="005A755C">
      <w:pPr>
        <w:pStyle w:val="Paragraph"/>
        <w:widowControl/>
        <w:tabs>
          <w:tab w:val="left" w:pos="851"/>
        </w:tabs>
        <w:spacing w:after="0"/>
        <w:rPr>
          <w:rFonts w:ascii="Times New Roman" w:hAnsi="Times New Roman" w:cs="Times New Roman"/>
          <w:color w:val="auto"/>
        </w:rPr>
      </w:pPr>
    </w:p>
    <w:p w:rsidR="00B133E5" w:rsidRPr="00683B42" w:rsidRDefault="00B133E5" w:rsidP="005A755C">
      <w:pPr>
        <w:pStyle w:val="Paragraph"/>
        <w:widowControl/>
        <w:tabs>
          <w:tab w:val="left" w:pos="851"/>
        </w:tabs>
        <w:spacing w:after="0"/>
        <w:rPr>
          <w:rFonts w:ascii="Times New Roman" w:hAnsi="Times New Roman" w:cs="Times New Roman"/>
          <w:color w:val="auto"/>
        </w:rPr>
      </w:pPr>
    </w:p>
    <w:p w:rsidR="00B133E5" w:rsidRPr="00683B42" w:rsidRDefault="00B133E5" w:rsidP="005A755C">
      <w:pPr>
        <w:pStyle w:val="Paragraph"/>
        <w:widowControl/>
        <w:tabs>
          <w:tab w:val="left" w:pos="851"/>
        </w:tabs>
        <w:spacing w:after="0"/>
        <w:rPr>
          <w:rFonts w:ascii="Times New Roman" w:hAnsi="Times New Roman" w:cs="Times New Roman"/>
          <w:color w:val="auto"/>
        </w:rPr>
      </w:pPr>
    </w:p>
    <w:p w:rsidR="00B133E5" w:rsidRPr="00683B42" w:rsidRDefault="00B133E5" w:rsidP="005A755C">
      <w:pPr>
        <w:pStyle w:val="Paragraph"/>
        <w:widowControl/>
        <w:tabs>
          <w:tab w:val="left" w:pos="851"/>
        </w:tabs>
        <w:spacing w:after="0"/>
        <w:rPr>
          <w:rFonts w:ascii="Times New Roman" w:hAnsi="Times New Roman" w:cs="Times New Roman"/>
          <w:color w:val="auto"/>
        </w:rPr>
      </w:pPr>
    </w:p>
    <w:p w:rsidR="00B133E5" w:rsidRPr="00683B42" w:rsidRDefault="00B133E5" w:rsidP="005A755C">
      <w:pPr>
        <w:pStyle w:val="Paragraph"/>
        <w:widowControl/>
        <w:tabs>
          <w:tab w:val="left" w:pos="851"/>
        </w:tabs>
        <w:spacing w:after="0"/>
        <w:rPr>
          <w:rFonts w:ascii="Times New Roman" w:hAnsi="Times New Roman" w:cs="Times New Roman"/>
          <w:color w:val="auto"/>
        </w:rPr>
      </w:pPr>
    </w:p>
    <w:p w:rsidR="00B133E5" w:rsidRPr="00683B42" w:rsidRDefault="00B133E5" w:rsidP="005A755C">
      <w:pPr>
        <w:pStyle w:val="Paragraph"/>
        <w:widowControl/>
        <w:tabs>
          <w:tab w:val="left" w:pos="851"/>
        </w:tabs>
        <w:spacing w:after="0"/>
        <w:rPr>
          <w:rFonts w:ascii="Times New Roman" w:hAnsi="Times New Roman" w:cs="Times New Roman"/>
          <w:color w:val="auto"/>
        </w:rPr>
      </w:pPr>
    </w:p>
    <w:p w:rsidR="00B133E5" w:rsidRDefault="00B133E5" w:rsidP="005A755C">
      <w:pPr>
        <w:rPr>
          <w:lang w:eastAsia="en-US"/>
        </w:rPr>
      </w:pPr>
      <w:r>
        <w:br w:type="page"/>
      </w:r>
    </w:p>
    <w:p w:rsidR="00B133E5" w:rsidRPr="00683B42" w:rsidRDefault="00B133E5" w:rsidP="005A755C">
      <w:pPr>
        <w:pStyle w:val="Paragraph"/>
        <w:widowControl/>
        <w:tabs>
          <w:tab w:val="left" w:pos="851"/>
        </w:tabs>
        <w:spacing w:after="0"/>
        <w:rPr>
          <w:rFonts w:ascii="Times New Roman" w:hAnsi="Times New Roman" w:cs="Times New Roman"/>
          <w:color w:val="auto"/>
        </w:rPr>
      </w:pPr>
    </w:p>
    <w:p w:rsidR="00B133E5" w:rsidRPr="00683B42" w:rsidRDefault="00B133E5" w:rsidP="005A755C">
      <w:pPr>
        <w:pStyle w:val="Paragraph"/>
        <w:widowControl/>
        <w:tabs>
          <w:tab w:val="left" w:pos="851"/>
        </w:tabs>
        <w:spacing w:after="0"/>
        <w:rPr>
          <w:rFonts w:ascii="Times New Roman" w:hAnsi="Times New Roman" w:cs="Times New Roman"/>
          <w:color w:val="auto"/>
        </w:rPr>
      </w:pPr>
    </w:p>
    <w:p w:rsidR="00B133E5" w:rsidRPr="00683B42" w:rsidRDefault="00B133E5" w:rsidP="005A755C">
      <w:pPr>
        <w:tabs>
          <w:tab w:val="left" w:pos="851"/>
          <w:tab w:val="left" w:pos="3686"/>
        </w:tabs>
        <w:jc w:val="center"/>
        <w:rPr>
          <w:b/>
        </w:rPr>
      </w:pPr>
      <w:r w:rsidRPr="00683B42">
        <w:rPr>
          <w:b/>
        </w:rPr>
        <w:t>NATIONAL INTEREST ANALYSIS: CATEGORY</w:t>
      </w:r>
      <w:r w:rsidR="003D31A8">
        <w:rPr>
          <w:b/>
        </w:rPr>
        <w:t xml:space="preserve"> 1</w:t>
      </w:r>
      <w:r w:rsidRPr="00683B42">
        <w:rPr>
          <w:b/>
        </w:rPr>
        <w:t xml:space="preserve"> TREATY</w:t>
      </w:r>
    </w:p>
    <w:p w:rsidR="00B133E5" w:rsidRPr="00683B42" w:rsidRDefault="00B133E5" w:rsidP="005A755C">
      <w:pPr>
        <w:tabs>
          <w:tab w:val="left" w:pos="851"/>
        </w:tabs>
        <w:jc w:val="center"/>
        <w:rPr>
          <w:bCs/>
          <w:i/>
        </w:rPr>
      </w:pPr>
    </w:p>
    <w:p w:rsidR="0024255F" w:rsidRPr="004D76A9" w:rsidRDefault="00473563" w:rsidP="004D76A9">
      <w:pPr>
        <w:tabs>
          <w:tab w:val="left" w:pos="851"/>
        </w:tabs>
        <w:jc w:val="center"/>
        <w:rPr>
          <w:b/>
        </w:rPr>
      </w:pPr>
      <w:r>
        <w:rPr>
          <w:b/>
        </w:rPr>
        <w:t xml:space="preserve">Amendment </w:t>
      </w:r>
      <w:r w:rsidR="00E0753A">
        <w:rPr>
          <w:b/>
        </w:rPr>
        <w:t>of</w:t>
      </w:r>
      <w:r>
        <w:rPr>
          <w:b/>
        </w:rPr>
        <w:t xml:space="preserve"> Australia’s </w:t>
      </w:r>
      <w:r w:rsidRPr="00473563">
        <w:rPr>
          <w:b/>
        </w:rPr>
        <w:t>Schedule of Concessions</w:t>
      </w:r>
      <w:r w:rsidR="00E0753A">
        <w:rPr>
          <w:b/>
        </w:rPr>
        <w:t xml:space="preserve"> under the General Agr</w:t>
      </w:r>
      <w:r w:rsidR="00683474">
        <w:rPr>
          <w:b/>
        </w:rPr>
        <w:t>eement on Tariffs and Trade 1994</w:t>
      </w:r>
      <w:r w:rsidR="00E0753A">
        <w:rPr>
          <w:b/>
        </w:rPr>
        <w:t xml:space="preserve"> (GATT) and the Marrakesh Agreement establishing the World T</w:t>
      </w:r>
      <w:r w:rsidR="00F9615A">
        <w:rPr>
          <w:b/>
        </w:rPr>
        <w:t>rade Organization</w:t>
      </w:r>
      <w:r w:rsidR="004D76A9">
        <w:rPr>
          <w:b/>
        </w:rPr>
        <w:t xml:space="preserve"> </w:t>
      </w:r>
      <w:r w:rsidR="00212B07">
        <w:rPr>
          <w:b/>
        </w:rPr>
        <w:t xml:space="preserve">for </w:t>
      </w:r>
      <w:r w:rsidR="004D76A9">
        <w:rPr>
          <w:b/>
          <w:bCs/>
        </w:rPr>
        <w:t>i</w:t>
      </w:r>
      <w:r w:rsidR="00EF5889">
        <w:rPr>
          <w:b/>
          <w:bCs/>
        </w:rPr>
        <w:t>mplementation of</w:t>
      </w:r>
      <w:r w:rsidR="0024255F">
        <w:rPr>
          <w:b/>
          <w:bCs/>
        </w:rPr>
        <w:t>:</w:t>
      </w:r>
    </w:p>
    <w:p w:rsidR="00D26573" w:rsidRDefault="00D26573" w:rsidP="0024255F">
      <w:pPr>
        <w:tabs>
          <w:tab w:val="left" w:pos="851"/>
        </w:tabs>
        <w:jc w:val="center"/>
        <w:rPr>
          <w:b/>
          <w:bCs/>
        </w:rPr>
      </w:pPr>
      <w:r>
        <w:rPr>
          <w:b/>
          <w:bCs/>
        </w:rPr>
        <w:br/>
      </w:r>
      <w:r w:rsidR="00B133E5" w:rsidRPr="003D31A8">
        <w:rPr>
          <w:b/>
          <w:bCs/>
        </w:rPr>
        <w:t>Ministerial Declaration on the Expansion of Trade in I</w:t>
      </w:r>
      <w:r w:rsidR="00E43E1B">
        <w:rPr>
          <w:b/>
          <w:bCs/>
        </w:rPr>
        <w:t xml:space="preserve">nformation Technology Products </w:t>
      </w:r>
    </w:p>
    <w:p w:rsidR="00212B07" w:rsidRDefault="00D26573" w:rsidP="0024255F">
      <w:pPr>
        <w:tabs>
          <w:tab w:val="left" w:pos="851"/>
        </w:tabs>
        <w:jc w:val="center"/>
        <w:rPr>
          <w:bCs/>
        </w:rPr>
      </w:pPr>
      <w:r>
        <w:rPr>
          <w:bCs/>
        </w:rPr>
        <w:t>(Nairobi, 16 December 2015)</w:t>
      </w:r>
    </w:p>
    <w:p w:rsidR="00212B07" w:rsidRDefault="00212B07" w:rsidP="0024255F">
      <w:pPr>
        <w:tabs>
          <w:tab w:val="left" w:pos="851"/>
        </w:tabs>
        <w:jc w:val="center"/>
        <w:rPr>
          <w:b/>
          <w:bCs/>
        </w:rPr>
      </w:pPr>
    </w:p>
    <w:p w:rsidR="0024255F" w:rsidRDefault="00E43E1B" w:rsidP="0024255F">
      <w:pPr>
        <w:tabs>
          <w:tab w:val="left" w:pos="851"/>
        </w:tabs>
        <w:jc w:val="center"/>
        <w:rPr>
          <w:b/>
          <w:bCs/>
        </w:rPr>
      </w:pPr>
      <w:proofErr w:type="gramStart"/>
      <w:r>
        <w:rPr>
          <w:b/>
          <w:bCs/>
        </w:rPr>
        <w:t>and</w:t>
      </w:r>
      <w:proofErr w:type="gramEnd"/>
      <w:r>
        <w:rPr>
          <w:b/>
          <w:bCs/>
        </w:rPr>
        <w:t xml:space="preserve"> </w:t>
      </w:r>
      <w:r w:rsidR="00D26573">
        <w:rPr>
          <w:b/>
          <w:bCs/>
        </w:rPr>
        <w:br/>
      </w:r>
    </w:p>
    <w:p w:rsidR="00AF22C8" w:rsidRDefault="003D31A8" w:rsidP="002C737B">
      <w:pPr>
        <w:tabs>
          <w:tab w:val="left" w:pos="851"/>
        </w:tabs>
        <w:jc w:val="center"/>
        <w:rPr>
          <w:b/>
          <w:bCs/>
        </w:rPr>
      </w:pPr>
      <w:r w:rsidRPr="003D31A8">
        <w:rPr>
          <w:b/>
          <w:bCs/>
        </w:rPr>
        <w:t xml:space="preserve">Ministerial </w:t>
      </w:r>
      <w:r w:rsidR="00E43E1B">
        <w:rPr>
          <w:b/>
          <w:bCs/>
        </w:rPr>
        <w:t xml:space="preserve">Decision </w:t>
      </w:r>
      <w:r w:rsidR="002C737B">
        <w:rPr>
          <w:b/>
          <w:bCs/>
        </w:rPr>
        <w:t xml:space="preserve">– </w:t>
      </w:r>
      <w:r w:rsidRPr="003D31A8">
        <w:rPr>
          <w:b/>
          <w:bCs/>
        </w:rPr>
        <w:t xml:space="preserve">Export Competition </w:t>
      </w:r>
      <w:r w:rsidR="00D26573">
        <w:rPr>
          <w:b/>
          <w:bCs/>
          <w:i/>
        </w:rPr>
        <w:br/>
      </w:r>
      <w:r w:rsidR="00AF22C8">
        <w:rPr>
          <w:bCs/>
        </w:rPr>
        <w:t>(</w:t>
      </w:r>
      <w:r w:rsidR="00B133E5" w:rsidRPr="00D26573">
        <w:rPr>
          <w:bCs/>
        </w:rPr>
        <w:t xml:space="preserve">Nairobi, </w:t>
      </w:r>
      <w:r w:rsidR="00D26573">
        <w:rPr>
          <w:bCs/>
        </w:rPr>
        <w:t>19</w:t>
      </w:r>
      <w:r w:rsidR="00B133E5" w:rsidRPr="00D26573">
        <w:rPr>
          <w:bCs/>
        </w:rPr>
        <w:t xml:space="preserve"> December 2015</w:t>
      </w:r>
      <w:r w:rsidR="00AF22C8">
        <w:rPr>
          <w:bCs/>
        </w:rPr>
        <w:t>)</w:t>
      </w:r>
    </w:p>
    <w:p w:rsidR="00AF22C8" w:rsidRDefault="00AF22C8" w:rsidP="005A755C">
      <w:pPr>
        <w:tabs>
          <w:tab w:val="left" w:pos="851"/>
        </w:tabs>
        <w:jc w:val="center"/>
        <w:rPr>
          <w:b/>
          <w:bCs/>
        </w:rPr>
      </w:pPr>
    </w:p>
    <w:p w:rsidR="00B133E5" w:rsidRPr="00D26573" w:rsidRDefault="00AF22C8" w:rsidP="005A755C">
      <w:pPr>
        <w:tabs>
          <w:tab w:val="left" w:pos="851"/>
        </w:tabs>
        <w:jc w:val="center"/>
      </w:pPr>
      <w:r>
        <w:rPr>
          <w:b/>
          <w:bCs/>
        </w:rPr>
        <w:t xml:space="preserve">[2016] </w:t>
      </w:r>
      <w:r w:rsidR="00B133E5" w:rsidRPr="00D26573">
        <w:rPr>
          <w:b/>
          <w:bCs/>
        </w:rPr>
        <w:t xml:space="preserve">ATNIF </w:t>
      </w:r>
      <w:r>
        <w:rPr>
          <w:b/>
          <w:bCs/>
        </w:rPr>
        <w:t>3</w:t>
      </w:r>
      <w:r w:rsidR="00914C7C">
        <w:rPr>
          <w:b/>
          <w:bCs/>
        </w:rPr>
        <w:t>4</w:t>
      </w:r>
    </w:p>
    <w:p w:rsidR="00B133E5" w:rsidRPr="00683B42" w:rsidRDefault="00B133E5" w:rsidP="005A755C">
      <w:pPr>
        <w:pStyle w:val="Heading2"/>
        <w:tabs>
          <w:tab w:val="left" w:pos="851"/>
        </w:tabs>
        <w:spacing w:after="0"/>
        <w:jc w:val="center"/>
        <w:rPr>
          <w:i/>
          <w:color w:val="auto"/>
        </w:rPr>
      </w:pPr>
    </w:p>
    <w:p w:rsidR="00B133E5" w:rsidRPr="00683B42" w:rsidRDefault="00B133E5" w:rsidP="005A755C">
      <w:pPr>
        <w:tabs>
          <w:tab w:val="left" w:pos="851"/>
          <w:tab w:val="left" w:pos="993"/>
        </w:tabs>
        <w:jc w:val="center"/>
      </w:pPr>
    </w:p>
    <w:p w:rsidR="00B133E5" w:rsidRDefault="00B133E5" w:rsidP="005A755C">
      <w:pPr>
        <w:tabs>
          <w:tab w:val="left" w:pos="284"/>
          <w:tab w:val="left" w:pos="851"/>
          <w:tab w:val="left" w:pos="993"/>
        </w:tabs>
        <w:rPr>
          <w:b/>
        </w:rPr>
      </w:pPr>
      <w:r w:rsidRPr="00683B42">
        <w:rPr>
          <w:b/>
        </w:rPr>
        <w:t xml:space="preserve">Nature and timing of proposed treaty action  </w:t>
      </w:r>
    </w:p>
    <w:p w:rsidR="003D31A8" w:rsidRDefault="003D31A8" w:rsidP="005A755C">
      <w:pPr>
        <w:tabs>
          <w:tab w:val="left" w:pos="0"/>
          <w:tab w:val="left" w:pos="709"/>
        </w:tabs>
      </w:pPr>
    </w:p>
    <w:p w:rsidR="000A11D5" w:rsidRPr="00A818A4" w:rsidRDefault="00EF5889" w:rsidP="000A11D5">
      <w:pPr>
        <w:pStyle w:val="ListParagraph"/>
        <w:numPr>
          <w:ilvl w:val="1"/>
          <w:numId w:val="3"/>
        </w:numPr>
        <w:tabs>
          <w:tab w:val="left" w:pos="851"/>
          <w:tab w:val="left" w:pos="993"/>
        </w:tabs>
        <w:ind w:left="0" w:firstLine="0"/>
      </w:pPr>
      <w:r>
        <w:t>It is proposed that Australia</w:t>
      </w:r>
      <w:r w:rsidR="000A11D5">
        <w:t xml:space="preserve"> </w:t>
      </w:r>
      <w:r w:rsidR="00850EC6">
        <w:t>amend</w:t>
      </w:r>
      <w:r w:rsidR="00863763">
        <w:t xml:space="preserve"> its</w:t>
      </w:r>
      <w:r w:rsidR="00863763" w:rsidRPr="00A818A4">
        <w:t xml:space="preserve"> Schedule of Concessions in the </w:t>
      </w:r>
      <w:r w:rsidR="00863763" w:rsidRPr="00A818A4">
        <w:rPr>
          <w:i/>
        </w:rPr>
        <w:t xml:space="preserve">General Agreement on Tariffs and Trade </w:t>
      </w:r>
      <w:r w:rsidR="005F4510">
        <w:rPr>
          <w:i/>
        </w:rPr>
        <w:t xml:space="preserve">1994 </w:t>
      </w:r>
      <w:r w:rsidR="00863763" w:rsidRPr="00A818A4">
        <w:rPr>
          <w:i/>
        </w:rPr>
        <w:t xml:space="preserve">(GATT) </w:t>
      </w:r>
      <w:r w:rsidR="00863763">
        <w:t xml:space="preserve">to give </w:t>
      </w:r>
      <w:r w:rsidR="00850EC6">
        <w:t xml:space="preserve">legal </w:t>
      </w:r>
      <w:r w:rsidR="00863763">
        <w:t xml:space="preserve">effect to commitments made under </w:t>
      </w:r>
      <w:r w:rsidR="000A11D5" w:rsidRPr="00A818A4">
        <w:t xml:space="preserve">the World Trade Organization (WTO) </w:t>
      </w:r>
      <w:bookmarkStart w:id="0" w:name="OLE_LINK1"/>
      <w:bookmarkStart w:id="1" w:name="OLE_LINK2"/>
      <w:r w:rsidR="000A11D5" w:rsidRPr="00A818A4">
        <w:t>Ministerial Declaration on the Expansion of Trade in Information Technology Products</w:t>
      </w:r>
      <w:r w:rsidR="000A11D5" w:rsidRPr="00A818A4">
        <w:rPr>
          <w:rStyle w:val="FootnoteReference"/>
        </w:rPr>
        <w:footnoteReference w:id="1"/>
      </w:r>
      <w:r w:rsidR="000A11D5" w:rsidRPr="00A818A4">
        <w:t xml:space="preserve"> </w:t>
      </w:r>
      <w:r w:rsidR="000A11D5">
        <w:t>(</w:t>
      </w:r>
      <w:r w:rsidR="006E590D">
        <w:t>E</w:t>
      </w:r>
      <w:r w:rsidR="000A11D5">
        <w:t xml:space="preserve">xpanded ITA) </w:t>
      </w:r>
      <w:r w:rsidR="000A11D5" w:rsidRPr="00A818A4">
        <w:t xml:space="preserve">and </w:t>
      </w:r>
      <w:bookmarkEnd w:id="0"/>
      <w:bookmarkEnd w:id="1"/>
      <w:r w:rsidR="000A11D5" w:rsidRPr="00A818A4">
        <w:t>Ministerial Decision on Export Competition</w:t>
      </w:r>
      <w:r w:rsidR="000A11D5" w:rsidRPr="00A818A4">
        <w:rPr>
          <w:rStyle w:val="FootnoteReference"/>
        </w:rPr>
        <w:footnoteReference w:id="2"/>
      </w:r>
      <w:r w:rsidR="000A11D5" w:rsidRPr="00A818A4">
        <w:t xml:space="preserve"> </w:t>
      </w:r>
      <w:r w:rsidR="000A11D5">
        <w:t xml:space="preserve">as it relates to export subsidies </w:t>
      </w:r>
      <w:r w:rsidR="000A11D5" w:rsidRPr="00A818A4">
        <w:t>(</w:t>
      </w:r>
      <w:r w:rsidR="006E590D">
        <w:t>E</w:t>
      </w:r>
      <w:r w:rsidR="000A11D5" w:rsidRPr="00A818A4">
        <w:t xml:space="preserve">xport </w:t>
      </w:r>
      <w:r w:rsidR="006E590D">
        <w:t>S</w:t>
      </w:r>
      <w:r w:rsidR="000A11D5">
        <w:t xml:space="preserve">ubsidy </w:t>
      </w:r>
      <w:r w:rsidR="006E590D">
        <w:t>D</w:t>
      </w:r>
      <w:r w:rsidR="000A11D5">
        <w:t>ecision</w:t>
      </w:r>
      <w:r w:rsidR="000A11D5" w:rsidRPr="00A818A4">
        <w:t xml:space="preserve">) which were announced at the </w:t>
      </w:r>
      <w:r w:rsidR="002033F7">
        <w:t>10th</w:t>
      </w:r>
      <w:r w:rsidR="002033F7" w:rsidRPr="00A818A4">
        <w:t xml:space="preserve"> </w:t>
      </w:r>
      <w:r w:rsidR="000A11D5" w:rsidRPr="00A818A4">
        <w:t>WTO Ministerial Conference held in Nairobi, in December 2015.</w:t>
      </w:r>
      <w:r w:rsidR="000A11D5" w:rsidRPr="00A818A4">
        <w:rPr>
          <w:rStyle w:val="FootnoteReference"/>
        </w:rPr>
        <w:t xml:space="preserve"> </w:t>
      </w:r>
      <w:r w:rsidR="000A11D5" w:rsidRPr="00A818A4">
        <w:br/>
      </w:r>
    </w:p>
    <w:p w:rsidR="000A11D5" w:rsidRDefault="00456FB4" w:rsidP="000A11D5">
      <w:pPr>
        <w:pStyle w:val="ListParagraph"/>
        <w:numPr>
          <w:ilvl w:val="1"/>
          <w:numId w:val="3"/>
        </w:numPr>
        <w:tabs>
          <w:tab w:val="left" w:pos="851"/>
          <w:tab w:val="left" w:pos="993"/>
        </w:tabs>
        <w:ind w:left="0" w:firstLine="0"/>
      </w:pPr>
      <w:r w:rsidRPr="00517517">
        <w:t>Australia’s</w:t>
      </w:r>
      <w:r w:rsidR="00EF5889" w:rsidRPr="00517517">
        <w:t xml:space="preserve"> </w:t>
      </w:r>
      <w:r w:rsidR="000A11D5" w:rsidRPr="00517517">
        <w:t>implement</w:t>
      </w:r>
      <w:r w:rsidR="0010418B" w:rsidRPr="00517517">
        <w:t xml:space="preserve">ation of </w:t>
      </w:r>
      <w:r w:rsidR="00EF5889" w:rsidRPr="00456FB4">
        <w:t>t</w:t>
      </w:r>
      <w:r w:rsidR="0010418B" w:rsidRPr="00456FB4">
        <w:t xml:space="preserve">hese commitments </w:t>
      </w:r>
      <w:r w:rsidR="0010418B" w:rsidRPr="00517517">
        <w:t xml:space="preserve">requires treaty </w:t>
      </w:r>
      <w:r w:rsidR="000A11D5" w:rsidRPr="00517517">
        <w:t>amendment</w:t>
      </w:r>
      <w:r w:rsidR="00DD7820">
        <w:t>s</w:t>
      </w:r>
      <w:r w:rsidR="000A11D5" w:rsidRPr="00517517">
        <w:t xml:space="preserve"> to Australia’s Schedule of Concessions</w:t>
      </w:r>
      <w:r w:rsidR="002033F7">
        <w:t xml:space="preserve"> </w:t>
      </w:r>
      <w:r w:rsidR="00335422">
        <w:t xml:space="preserve">made under </w:t>
      </w:r>
      <w:r w:rsidR="000A11D5" w:rsidRPr="00517517">
        <w:t xml:space="preserve">the </w:t>
      </w:r>
      <w:r w:rsidR="000A11D5" w:rsidRPr="00395203">
        <w:t>GATT</w:t>
      </w:r>
      <w:r w:rsidR="000A11D5" w:rsidRPr="00517517">
        <w:t xml:space="preserve">, incorporated into Annex 1A of the </w:t>
      </w:r>
      <w:r w:rsidR="000A11D5" w:rsidRPr="00517517">
        <w:rPr>
          <w:i/>
          <w:iCs/>
        </w:rPr>
        <w:t>Marrakesh Agreement Establishing the World Trade Organization</w:t>
      </w:r>
      <w:r w:rsidR="000A11D5" w:rsidRPr="00517517">
        <w:t xml:space="preserve"> (Marrakesh Agreement)</w:t>
      </w:r>
      <w:r w:rsidR="000A11D5" w:rsidRPr="00A818A4">
        <w:t>, the foundation document for the WTO.</w:t>
      </w:r>
      <w:r w:rsidR="000A11D5" w:rsidRPr="00A818A4">
        <w:rPr>
          <w:rStyle w:val="FootnoteReference"/>
        </w:rPr>
        <w:t xml:space="preserve"> </w:t>
      </w:r>
      <w:r w:rsidR="000A11D5" w:rsidRPr="00A818A4">
        <w:rPr>
          <w:rStyle w:val="FootnoteReference"/>
        </w:rPr>
        <w:footnoteReference w:id="3"/>
      </w:r>
      <w:r w:rsidR="000A11D5" w:rsidRPr="00A818A4">
        <w:t xml:space="preserve">  </w:t>
      </w:r>
      <w:r w:rsidR="000A11D5">
        <w:t>Specifically,</w:t>
      </w:r>
      <w:r w:rsidR="00850EC6">
        <w:t xml:space="preserve"> giving effect to the commitments under:</w:t>
      </w:r>
    </w:p>
    <w:p w:rsidR="000A11D5" w:rsidRDefault="000A11D5" w:rsidP="000A11D5">
      <w:pPr>
        <w:pStyle w:val="ListParagraph"/>
        <w:tabs>
          <w:tab w:val="left" w:pos="851"/>
          <w:tab w:val="left" w:pos="993"/>
        </w:tabs>
        <w:ind w:left="1353"/>
      </w:pPr>
    </w:p>
    <w:p w:rsidR="000A11D5" w:rsidRDefault="000A11D5" w:rsidP="000A11D5">
      <w:pPr>
        <w:pStyle w:val="ListParagraph"/>
        <w:numPr>
          <w:ilvl w:val="2"/>
          <w:numId w:val="3"/>
        </w:numPr>
        <w:tabs>
          <w:tab w:val="left" w:pos="851"/>
          <w:tab w:val="left" w:pos="993"/>
        </w:tabs>
      </w:pPr>
      <w:r>
        <w:t>t</w:t>
      </w:r>
      <w:r w:rsidRPr="00A818A4">
        <w:t xml:space="preserve">he </w:t>
      </w:r>
      <w:r w:rsidR="006108F5">
        <w:t>E</w:t>
      </w:r>
      <w:r w:rsidRPr="00A818A4">
        <w:t xml:space="preserve">xpanded ITA will </w:t>
      </w:r>
      <w:r w:rsidR="00DD7820">
        <w:t xml:space="preserve">require an </w:t>
      </w:r>
      <w:r w:rsidRPr="00A818A4">
        <w:t>amend</w:t>
      </w:r>
      <w:r w:rsidR="00DD7820">
        <w:t>ment to</w:t>
      </w:r>
      <w:r w:rsidRPr="00A818A4">
        <w:t xml:space="preserve"> </w:t>
      </w:r>
      <w:r>
        <w:t xml:space="preserve">Schedule I, </w:t>
      </w:r>
      <w:r w:rsidRPr="00A818A4">
        <w:t xml:space="preserve">Part I – Most Favoured Nation Tariff, Section II – Other </w:t>
      </w:r>
      <w:r>
        <w:t>Products</w:t>
      </w:r>
      <w:r w:rsidR="009F5E4C">
        <w:t>; and</w:t>
      </w:r>
    </w:p>
    <w:p w:rsidR="000A11D5" w:rsidRDefault="000A11D5" w:rsidP="000A11D5">
      <w:pPr>
        <w:pStyle w:val="ListParagraph"/>
        <w:tabs>
          <w:tab w:val="left" w:pos="851"/>
          <w:tab w:val="left" w:pos="993"/>
        </w:tabs>
        <w:ind w:left="1353"/>
      </w:pPr>
    </w:p>
    <w:p w:rsidR="000A11D5" w:rsidRDefault="000A11D5" w:rsidP="000A11D5">
      <w:pPr>
        <w:pStyle w:val="ListParagraph"/>
        <w:numPr>
          <w:ilvl w:val="2"/>
          <w:numId w:val="3"/>
        </w:numPr>
        <w:tabs>
          <w:tab w:val="left" w:pos="851"/>
          <w:tab w:val="left" w:pos="993"/>
        </w:tabs>
      </w:pPr>
      <w:proofErr w:type="gramStart"/>
      <w:r>
        <w:t>the</w:t>
      </w:r>
      <w:proofErr w:type="gramEnd"/>
      <w:r>
        <w:t xml:space="preserve"> </w:t>
      </w:r>
      <w:r w:rsidR="006108F5">
        <w:t>E</w:t>
      </w:r>
      <w:r>
        <w:t xml:space="preserve">xport </w:t>
      </w:r>
      <w:r w:rsidR="006108F5">
        <w:t>S</w:t>
      </w:r>
      <w:r>
        <w:t xml:space="preserve">ubsidy </w:t>
      </w:r>
      <w:r w:rsidR="006108F5">
        <w:t>D</w:t>
      </w:r>
      <w:r>
        <w:t>ecision will</w:t>
      </w:r>
      <w:r w:rsidR="00DD7820">
        <w:t xml:space="preserve"> require an</w:t>
      </w:r>
      <w:r>
        <w:t xml:space="preserve"> amend</w:t>
      </w:r>
      <w:r w:rsidR="00DD7820">
        <w:t>ment to</w:t>
      </w:r>
      <w:r>
        <w:t xml:space="preserve"> Part IV – Agricultural Products: Commitments Limiting Subsidization, Section II – Export Subsidies: Budgetary Outlay and Quantity Reduction Commitments.</w:t>
      </w:r>
    </w:p>
    <w:p w:rsidR="00BA20DF" w:rsidRDefault="00BA20DF" w:rsidP="00066E78">
      <w:pPr>
        <w:pStyle w:val="ListParagraph"/>
        <w:tabs>
          <w:tab w:val="left" w:pos="851"/>
          <w:tab w:val="left" w:pos="993"/>
        </w:tabs>
        <w:ind w:left="0"/>
      </w:pPr>
    </w:p>
    <w:p w:rsidR="00983F3F" w:rsidRPr="00E34876" w:rsidRDefault="00B149C7" w:rsidP="000D1B4B">
      <w:pPr>
        <w:pStyle w:val="ListParagraph"/>
        <w:numPr>
          <w:ilvl w:val="1"/>
          <w:numId w:val="3"/>
        </w:numPr>
        <w:tabs>
          <w:tab w:val="left" w:pos="851"/>
          <w:tab w:val="left" w:pos="993"/>
        </w:tabs>
        <w:ind w:left="0" w:firstLine="0"/>
      </w:pPr>
      <w:r w:rsidRPr="00E34876">
        <w:t xml:space="preserve">It is proposed that Australia </w:t>
      </w:r>
      <w:r w:rsidRPr="00A540FB">
        <w:t xml:space="preserve">amend </w:t>
      </w:r>
      <w:r w:rsidR="00983F3F" w:rsidRPr="00A540FB">
        <w:t xml:space="preserve">its Schedule </w:t>
      </w:r>
      <w:r w:rsidR="002A68D8">
        <w:t xml:space="preserve">of Concessions </w:t>
      </w:r>
      <w:r w:rsidR="00983F3F" w:rsidRPr="00A540FB">
        <w:t xml:space="preserve">pursuant to </w:t>
      </w:r>
      <w:r w:rsidRPr="00E34876">
        <w:t>our</w:t>
      </w:r>
      <w:r w:rsidR="009A2773" w:rsidRPr="00E34876">
        <w:t xml:space="preserve"> </w:t>
      </w:r>
      <w:r w:rsidR="0010418B" w:rsidRPr="00E34876">
        <w:t xml:space="preserve">GATT </w:t>
      </w:r>
      <w:r w:rsidR="00983F3F" w:rsidRPr="00E34876">
        <w:t xml:space="preserve">and Marrakesh Agreement </w:t>
      </w:r>
      <w:r w:rsidR="009A2773" w:rsidRPr="00E34876">
        <w:t>treaty obligations as soon as possible in order</w:t>
      </w:r>
      <w:r w:rsidRPr="00E34876">
        <w:t xml:space="preserve"> </w:t>
      </w:r>
      <w:r w:rsidR="001C7FDE" w:rsidRPr="00E34876">
        <w:t xml:space="preserve">to </w:t>
      </w:r>
      <w:r w:rsidRPr="00E34876">
        <w:t>implement</w:t>
      </w:r>
      <w:r w:rsidR="005569FC" w:rsidRPr="00E34876">
        <w:t xml:space="preserve"> </w:t>
      </w:r>
      <w:r w:rsidRPr="00E34876">
        <w:t xml:space="preserve">the </w:t>
      </w:r>
      <w:r w:rsidR="0010418B" w:rsidRPr="00E34876">
        <w:t>tariff reductions</w:t>
      </w:r>
      <w:r w:rsidR="009A2773" w:rsidRPr="00E34876">
        <w:t xml:space="preserve"> </w:t>
      </w:r>
      <w:r w:rsidRPr="00E34876">
        <w:t>in the</w:t>
      </w:r>
      <w:r w:rsidR="00CA3563" w:rsidRPr="00E34876">
        <w:t xml:space="preserve"> </w:t>
      </w:r>
      <w:r w:rsidR="006108F5">
        <w:t>E</w:t>
      </w:r>
      <w:r w:rsidR="00CA3563" w:rsidRPr="00E34876">
        <w:t xml:space="preserve">xpanded ITA by </w:t>
      </w:r>
      <w:r w:rsidR="009A2773" w:rsidRPr="00E34876">
        <w:t>1 January 2017</w:t>
      </w:r>
      <w:r w:rsidR="00C01190" w:rsidRPr="00E34876">
        <w:t xml:space="preserve">, </w:t>
      </w:r>
      <w:r w:rsidR="000D1B4B" w:rsidRPr="00E34876">
        <w:t xml:space="preserve">and to accord with the </w:t>
      </w:r>
      <w:r w:rsidR="00DD7820">
        <w:t>E</w:t>
      </w:r>
      <w:r w:rsidR="00DD7820" w:rsidRPr="00A818A4">
        <w:t xml:space="preserve">xport </w:t>
      </w:r>
      <w:r w:rsidR="00DD7820">
        <w:t>Subsidy Decision</w:t>
      </w:r>
      <w:r w:rsidR="000D1B4B" w:rsidRPr="00E34876">
        <w:t xml:space="preserve">. </w:t>
      </w:r>
    </w:p>
    <w:p w:rsidR="00CF11A7" w:rsidRDefault="00CF11A7" w:rsidP="00CF11A7">
      <w:pPr>
        <w:tabs>
          <w:tab w:val="left" w:pos="851"/>
          <w:tab w:val="left" w:pos="993"/>
        </w:tabs>
      </w:pPr>
    </w:p>
    <w:p w:rsidR="00B133E5" w:rsidRPr="00FE00BB" w:rsidRDefault="000D1B4B" w:rsidP="000D1B4B">
      <w:pPr>
        <w:pStyle w:val="ListParagraph"/>
        <w:numPr>
          <w:ilvl w:val="1"/>
          <w:numId w:val="3"/>
        </w:numPr>
        <w:tabs>
          <w:tab w:val="left" w:pos="851"/>
          <w:tab w:val="left" w:pos="993"/>
        </w:tabs>
        <w:ind w:left="0" w:firstLine="0"/>
      </w:pPr>
      <w:r w:rsidRPr="00FE00BB">
        <w:t xml:space="preserve">The amendment process will require Australia to notify the WTO Director-General of its intention to modify its current GATT Schedule of Concessions. </w:t>
      </w:r>
    </w:p>
    <w:p w:rsidR="000D1B4B" w:rsidRPr="000D1B4B" w:rsidRDefault="000D1B4B" w:rsidP="000D1B4B">
      <w:pPr>
        <w:pStyle w:val="ListParagraph"/>
        <w:tabs>
          <w:tab w:val="left" w:pos="851"/>
          <w:tab w:val="left" w:pos="993"/>
        </w:tabs>
        <w:ind w:left="928"/>
      </w:pPr>
    </w:p>
    <w:p w:rsidR="00B133E5" w:rsidRPr="00683B42" w:rsidRDefault="00B133E5" w:rsidP="005A755C">
      <w:pPr>
        <w:tabs>
          <w:tab w:val="left" w:pos="851"/>
          <w:tab w:val="left" w:pos="993"/>
        </w:tabs>
        <w:rPr>
          <w:b/>
          <w:bCs/>
        </w:rPr>
      </w:pPr>
      <w:r w:rsidRPr="00683B42">
        <w:rPr>
          <w:b/>
          <w:bCs/>
        </w:rPr>
        <w:t xml:space="preserve">Overview and national interest summary </w:t>
      </w:r>
      <w:r w:rsidRPr="00683B42">
        <w:rPr>
          <w:b/>
          <w:bCs/>
        </w:rPr>
        <w:br/>
      </w:r>
    </w:p>
    <w:p w:rsidR="001D3EC8" w:rsidRPr="001C362C" w:rsidRDefault="006210D7" w:rsidP="001C362C">
      <w:pPr>
        <w:pStyle w:val="ListParagraph"/>
        <w:numPr>
          <w:ilvl w:val="1"/>
          <w:numId w:val="3"/>
        </w:numPr>
        <w:tabs>
          <w:tab w:val="left" w:pos="0"/>
        </w:tabs>
        <w:ind w:left="0" w:firstLine="0"/>
        <w:rPr>
          <w:bCs/>
        </w:rPr>
      </w:pPr>
      <w:r>
        <w:t xml:space="preserve">The </w:t>
      </w:r>
      <w:r w:rsidR="006E590D">
        <w:t>Expanded ITA</w:t>
      </w:r>
      <w:r w:rsidR="00113C30" w:rsidRPr="00113C30">
        <w:t xml:space="preserve"> </w:t>
      </w:r>
      <w:r w:rsidR="00C67147">
        <w:t>was</w:t>
      </w:r>
      <w:r w:rsidR="006D374B">
        <w:t xml:space="preserve"> adopted on</w:t>
      </w:r>
      <w:r w:rsidRPr="004921FC">
        <w:t xml:space="preserve"> </w:t>
      </w:r>
      <w:r>
        <w:t>16</w:t>
      </w:r>
      <w:r w:rsidR="006D374B">
        <w:t xml:space="preserve"> December 2015 in Nairobi,</w:t>
      </w:r>
      <w:r w:rsidRPr="004921FC">
        <w:t xml:space="preserve"> </w:t>
      </w:r>
      <w:r w:rsidR="00C67147">
        <w:t xml:space="preserve">and extends the original </w:t>
      </w:r>
      <w:r w:rsidR="00C67147" w:rsidRPr="00FB296E">
        <w:t xml:space="preserve">WTO Information Technology Agreement </w:t>
      </w:r>
      <w:r w:rsidR="00CF1C10" w:rsidRPr="00FB296E">
        <w:t xml:space="preserve">(original Agreement) </w:t>
      </w:r>
      <w:r w:rsidR="00C67147" w:rsidRPr="00FB296E">
        <w:t xml:space="preserve">which </w:t>
      </w:r>
      <w:r w:rsidR="00BC0556" w:rsidRPr="00FB296E">
        <w:t xml:space="preserve">came </w:t>
      </w:r>
      <w:r w:rsidR="00C67147" w:rsidRPr="00FB296E">
        <w:t xml:space="preserve">into </w:t>
      </w:r>
      <w:r w:rsidR="00BC0556" w:rsidRPr="00FB296E">
        <w:t xml:space="preserve">effect </w:t>
      </w:r>
      <w:r w:rsidR="00C67147" w:rsidRPr="00FB296E">
        <w:t>on 1 July 1997</w:t>
      </w:r>
      <w:r w:rsidR="00C67147">
        <w:t xml:space="preserve">. </w:t>
      </w:r>
      <w:r w:rsidR="00B57ACA">
        <w:t xml:space="preserve"> </w:t>
      </w:r>
      <w:r w:rsidR="00C67147">
        <w:t xml:space="preserve">Of the 81 WTO Members who are </w:t>
      </w:r>
      <w:r w:rsidR="00BC0556">
        <w:t xml:space="preserve">participants </w:t>
      </w:r>
      <w:r w:rsidR="00C67147">
        <w:t xml:space="preserve">to the original Agreement, the </w:t>
      </w:r>
      <w:r w:rsidR="006E590D">
        <w:t>E</w:t>
      </w:r>
      <w:r w:rsidR="00C67147">
        <w:t xml:space="preserve">xpanded ITA </w:t>
      </w:r>
      <w:r w:rsidRPr="004921FC">
        <w:t>commits</w:t>
      </w:r>
      <w:r w:rsidR="007909D2">
        <w:t xml:space="preserve"> 54</w:t>
      </w:r>
      <w:r w:rsidR="00C67147">
        <w:t xml:space="preserve"> </w:t>
      </w:r>
      <w:r w:rsidR="00573717">
        <w:t>Member</w:t>
      </w:r>
      <w:r w:rsidR="00C67147">
        <w:t>s</w:t>
      </w:r>
      <w:r w:rsidR="00573717">
        <w:t xml:space="preserve"> to</w:t>
      </w:r>
      <w:r w:rsidR="006D374B">
        <w:t xml:space="preserve"> eliminate tariffs and other customs duties on 201 technology products</w:t>
      </w:r>
      <w:r w:rsidR="00463C79">
        <w:t xml:space="preserve">. </w:t>
      </w:r>
      <w:r w:rsidR="00EF5889">
        <w:t xml:space="preserve"> </w:t>
      </w:r>
      <w:r w:rsidR="00D44ED8" w:rsidRPr="00573717">
        <w:rPr>
          <w:lang w:val="en-US"/>
        </w:rPr>
        <w:t xml:space="preserve">Members agreed to </w:t>
      </w:r>
      <w:r w:rsidR="006D374B" w:rsidRPr="00573717">
        <w:rPr>
          <w:lang w:val="en-US"/>
        </w:rPr>
        <w:t xml:space="preserve">remove tariffs on the majority of products </w:t>
      </w:r>
      <w:r w:rsidR="00497403">
        <w:rPr>
          <w:lang w:val="en-US"/>
        </w:rPr>
        <w:t xml:space="preserve">in the </w:t>
      </w:r>
      <w:r w:rsidR="006E590D">
        <w:rPr>
          <w:lang w:val="en-US"/>
        </w:rPr>
        <w:t>E</w:t>
      </w:r>
      <w:r w:rsidR="00497403">
        <w:rPr>
          <w:lang w:val="en-US"/>
        </w:rPr>
        <w:t xml:space="preserve">xpanded </w:t>
      </w:r>
      <w:r w:rsidR="00497403" w:rsidRPr="00876C5B">
        <w:rPr>
          <w:lang w:val="en-US"/>
        </w:rPr>
        <w:t xml:space="preserve">ITA </w:t>
      </w:r>
      <w:r w:rsidR="006D374B" w:rsidRPr="00876C5B">
        <w:rPr>
          <w:lang w:val="en-US"/>
        </w:rPr>
        <w:t xml:space="preserve">within three years, with reductions </w:t>
      </w:r>
      <w:r w:rsidR="007A1549" w:rsidRPr="00876C5B">
        <w:rPr>
          <w:lang w:val="en-US"/>
        </w:rPr>
        <w:t xml:space="preserve">for Australia </w:t>
      </w:r>
      <w:r w:rsidR="006D374B" w:rsidRPr="00876C5B">
        <w:rPr>
          <w:lang w:val="en-US"/>
        </w:rPr>
        <w:t>beginning in 2017.</w:t>
      </w:r>
      <w:r w:rsidR="00EF5889" w:rsidRPr="00876C5B">
        <w:rPr>
          <w:lang w:val="en-US"/>
        </w:rPr>
        <w:t xml:space="preserve"> </w:t>
      </w:r>
      <w:r w:rsidR="00ED1D0C">
        <w:rPr>
          <w:lang w:val="en-US"/>
        </w:rPr>
        <w:t xml:space="preserve"> </w:t>
      </w:r>
      <w:r w:rsidR="00EF5889" w:rsidRPr="001C362C">
        <w:rPr>
          <w:lang w:val="en-US"/>
        </w:rPr>
        <w:t xml:space="preserve">Australia’s </w:t>
      </w:r>
      <w:r w:rsidR="00DA0602" w:rsidRPr="001C362C">
        <w:rPr>
          <w:lang w:val="en-US"/>
        </w:rPr>
        <w:t>proposed</w:t>
      </w:r>
      <w:r w:rsidR="00EF5889" w:rsidRPr="001C362C">
        <w:rPr>
          <w:lang w:val="en-US"/>
        </w:rPr>
        <w:t xml:space="preserve"> </w:t>
      </w:r>
      <w:r w:rsidR="001C362C">
        <w:rPr>
          <w:lang w:val="en-US"/>
        </w:rPr>
        <w:t xml:space="preserve">amendment to its </w:t>
      </w:r>
      <w:r w:rsidR="00DA0602" w:rsidRPr="001C362C">
        <w:rPr>
          <w:lang w:val="en-US"/>
        </w:rPr>
        <w:t>Schedule</w:t>
      </w:r>
      <w:r w:rsidR="001C362C">
        <w:rPr>
          <w:lang w:val="en-US"/>
        </w:rPr>
        <w:t xml:space="preserve"> of Concessions (Part I)</w:t>
      </w:r>
      <w:r w:rsidR="00FE00BB" w:rsidRPr="001C362C">
        <w:rPr>
          <w:lang w:val="en-US"/>
        </w:rPr>
        <w:t xml:space="preserve"> to </w:t>
      </w:r>
      <w:r w:rsidR="00022E22" w:rsidRPr="001C362C">
        <w:rPr>
          <w:lang w:val="en-US"/>
        </w:rPr>
        <w:t>implement</w:t>
      </w:r>
      <w:r w:rsidR="00FE00BB" w:rsidRPr="001C362C">
        <w:rPr>
          <w:lang w:val="en-US"/>
        </w:rPr>
        <w:t xml:space="preserve"> the </w:t>
      </w:r>
      <w:r w:rsidR="006E590D" w:rsidRPr="001C362C">
        <w:rPr>
          <w:lang w:val="en-US"/>
        </w:rPr>
        <w:t>E</w:t>
      </w:r>
      <w:r w:rsidR="00EF5889" w:rsidRPr="001C362C">
        <w:rPr>
          <w:lang w:val="en-US"/>
        </w:rPr>
        <w:t>xpanded ITA</w:t>
      </w:r>
      <w:r w:rsidR="00022E22" w:rsidRPr="001C362C">
        <w:rPr>
          <w:lang w:val="en-US"/>
        </w:rPr>
        <w:t>,</w:t>
      </w:r>
      <w:r w:rsidR="00EF5889" w:rsidRPr="001C362C">
        <w:rPr>
          <w:lang w:val="en-US"/>
        </w:rPr>
        <w:t xml:space="preserve"> including the list of products</w:t>
      </w:r>
      <w:r w:rsidR="00022E22" w:rsidRPr="001C362C">
        <w:rPr>
          <w:lang w:val="en-US"/>
        </w:rPr>
        <w:t>,</w:t>
      </w:r>
      <w:r w:rsidR="00EF5889" w:rsidRPr="001C362C">
        <w:rPr>
          <w:lang w:val="en-US"/>
        </w:rPr>
        <w:t xml:space="preserve"> is at </w:t>
      </w:r>
      <w:r w:rsidR="00EF5889" w:rsidRPr="001C362C">
        <w:rPr>
          <w:b/>
          <w:lang w:val="en-US"/>
        </w:rPr>
        <w:t>Attachment A.</w:t>
      </w:r>
      <w:r w:rsidR="00EF5889" w:rsidRPr="001C362C">
        <w:rPr>
          <w:lang w:val="en-US"/>
        </w:rPr>
        <w:t xml:space="preserve"> </w:t>
      </w:r>
    </w:p>
    <w:p w:rsidR="00CF1C10" w:rsidRPr="009834F3" w:rsidRDefault="00CF1C10" w:rsidP="009834F3">
      <w:pPr>
        <w:pStyle w:val="ListParagraph"/>
        <w:tabs>
          <w:tab w:val="left" w:pos="851"/>
          <w:tab w:val="left" w:pos="993"/>
        </w:tabs>
        <w:ind w:left="0"/>
        <w:rPr>
          <w:bCs/>
        </w:rPr>
      </w:pPr>
    </w:p>
    <w:p w:rsidR="00012C10" w:rsidRDefault="00CF1C10" w:rsidP="0010418B">
      <w:pPr>
        <w:pStyle w:val="ListParagraph"/>
        <w:numPr>
          <w:ilvl w:val="1"/>
          <w:numId w:val="3"/>
        </w:numPr>
        <w:tabs>
          <w:tab w:val="left" w:pos="851"/>
          <w:tab w:val="left" w:pos="993"/>
        </w:tabs>
        <w:ind w:left="0" w:firstLine="0"/>
        <w:rPr>
          <w:bCs/>
        </w:rPr>
      </w:pPr>
      <w:r w:rsidRPr="004712DE">
        <w:rPr>
          <w:lang w:val="en-US"/>
        </w:rPr>
        <w:t xml:space="preserve">The </w:t>
      </w:r>
      <w:r w:rsidR="006E590D">
        <w:rPr>
          <w:lang w:val="en-US"/>
        </w:rPr>
        <w:t>Export Subsidy Decision</w:t>
      </w:r>
      <w:r w:rsidRPr="0051072D">
        <w:rPr>
          <w:lang w:val="en-US"/>
        </w:rPr>
        <w:t>, adopted on 19 December 2015</w:t>
      </w:r>
      <w:r w:rsidRPr="004712DE">
        <w:rPr>
          <w:lang w:val="en-US"/>
        </w:rPr>
        <w:t xml:space="preserve"> in Nairobi, </w:t>
      </w:r>
      <w:r w:rsidR="00D84D05">
        <w:t>provides</w:t>
      </w:r>
      <w:r w:rsidR="00807747">
        <w:rPr>
          <w:lang w:val="en-US"/>
        </w:rPr>
        <w:t xml:space="preserve"> for the </w:t>
      </w:r>
      <w:r w:rsidR="00807747">
        <w:rPr>
          <w:lang w:val="en"/>
        </w:rPr>
        <w:t>elimination of agricultural export subsidies, new rules for export credits, and decisions on international food aid and exporting state trading enterprises.</w:t>
      </w:r>
      <w:r w:rsidR="00ED1D0C">
        <w:rPr>
          <w:lang w:val="en"/>
        </w:rPr>
        <w:t xml:space="preserve"> </w:t>
      </w:r>
      <w:r w:rsidR="00807747">
        <w:rPr>
          <w:lang w:val="en"/>
        </w:rPr>
        <w:t xml:space="preserve"> </w:t>
      </w:r>
    </w:p>
    <w:p w:rsidR="001C362C" w:rsidRDefault="00985B68" w:rsidP="001C362C">
      <w:pPr>
        <w:pStyle w:val="ListParagraph"/>
        <w:tabs>
          <w:tab w:val="left" w:pos="851"/>
          <w:tab w:val="left" w:pos="993"/>
        </w:tabs>
        <w:ind w:left="0"/>
        <w:rPr>
          <w:lang w:val="en-US"/>
        </w:rPr>
      </w:pPr>
      <w:r w:rsidRPr="0010418B">
        <w:rPr>
          <w:lang w:val="en"/>
        </w:rPr>
        <w:t xml:space="preserve">The </w:t>
      </w:r>
      <w:r w:rsidR="00CF1C10" w:rsidRPr="0010418B">
        <w:rPr>
          <w:lang w:val="en-US"/>
        </w:rPr>
        <w:t xml:space="preserve">commitment </w:t>
      </w:r>
      <w:r w:rsidR="00DA0602">
        <w:rPr>
          <w:lang w:val="en-US"/>
        </w:rPr>
        <w:t xml:space="preserve">contained in the </w:t>
      </w:r>
      <w:r w:rsidR="00D73B7A">
        <w:rPr>
          <w:lang w:val="en-US"/>
        </w:rPr>
        <w:t>Export Subsidy Decision</w:t>
      </w:r>
      <w:r w:rsidR="00DA0602">
        <w:rPr>
          <w:lang w:val="en-US"/>
        </w:rPr>
        <w:t xml:space="preserve"> </w:t>
      </w:r>
      <w:r w:rsidR="00D84D05">
        <w:rPr>
          <w:lang w:val="en-US"/>
        </w:rPr>
        <w:t xml:space="preserve">is </w:t>
      </w:r>
      <w:r w:rsidR="00CF1C10" w:rsidRPr="0010418B">
        <w:rPr>
          <w:lang w:val="en-US"/>
        </w:rPr>
        <w:t xml:space="preserve">for all WTO Members to eliminate agricultural export subsidy entitlements </w:t>
      </w:r>
      <w:r w:rsidR="00C145B3">
        <w:rPr>
          <w:lang w:val="en-US"/>
        </w:rPr>
        <w:t xml:space="preserve">and </w:t>
      </w:r>
      <w:r w:rsidR="00DA0602">
        <w:rPr>
          <w:lang w:val="en-US"/>
        </w:rPr>
        <w:t>is</w:t>
      </w:r>
      <w:r w:rsidR="00CF1C10" w:rsidRPr="0010418B">
        <w:rPr>
          <w:lang w:val="en-US"/>
        </w:rPr>
        <w:t xml:space="preserve"> intended to permanently remove a long-standing source of distortion in global agricultural markets. </w:t>
      </w:r>
      <w:r w:rsidR="0027193E">
        <w:rPr>
          <w:lang w:val="en-US"/>
        </w:rPr>
        <w:t xml:space="preserve"> </w:t>
      </w:r>
    </w:p>
    <w:p w:rsidR="001C362C" w:rsidRDefault="001C362C" w:rsidP="001C362C">
      <w:pPr>
        <w:pStyle w:val="ListParagraph"/>
        <w:tabs>
          <w:tab w:val="left" w:pos="851"/>
          <w:tab w:val="left" w:pos="993"/>
        </w:tabs>
        <w:ind w:left="0"/>
        <w:rPr>
          <w:lang w:val="en-US"/>
        </w:rPr>
      </w:pPr>
    </w:p>
    <w:p w:rsidR="001C362C" w:rsidRPr="001C362C" w:rsidRDefault="00CF1C10" w:rsidP="001C362C">
      <w:pPr>
        <w:pStyle w:val="ListParagraph"/>
        <w:numPr>
          <w:ilvl w:val="1"/>
          <w:numId w:val="3"/>
        </w:numPr>
        <w:tabs>
          <w:tab w:val="left" w:pos="0"/>
        </w:tabs>
        <w:ind w:left="0" w:firstLine="0"/>
        <w:rPr>
          <w:bCs/>
        </w:rPr>
      </w:pPr>
      <w:r w:rsidRPr="00012C10">
        <w:rPr>
          <w:lang w:val="en"/>
        </w:rPr>
        <w:t xml:space="preserve">Developed countries </w:t>
      </w:r>
      <w:r w:rsidR="00463C79" w:rsidRPr="00012C10">
        <w:rPr>
          <w:lang w:val="en"/>
        </w:rPr>
        <w:t xml:space="preserve">(including Australia) </w:t>
      </w:r>
      <w:r w:rsidRPr="00012C10">
        <w:rPr>
          <w:lang w:val="en"/>
        </w:rPr>
        <w:t xml:space="preserve">agreed to immediately remove scheduled export subsidy entitlements, with developing countries following suit by 2018.  </w:t>
      </w:r>
      <w:r w:rsidR="007F3A1B" w:rsidRPr="00012C10">
        <w:rPr>
          <w:lang w:val="en"/>
        </w:rPr>
        <w:t>Longer elimination time-frames will apply in a limited number of defined cases, such as for least-developed countries, or where developing countries use export subsidies to cover marketing and transport costs.</w:t>
      </w:r>
      <w:r w:rsidR="007F3A1B">
        <w:rPr>
          <w:lang w:val="en"/>
        </w:rPr>
        <w:t xml:space="preserve"> </w:t>
      </w:r>
      <w:r w:rsidR="00ED1D0C">
        <w:rPr>
          <w:lang w:val="en"/>
        </w:rPr>
        <w:t xml:space="preserve"> </w:t>
      </w:r>
      <w:r w:rsidR="00012C10">
        <w:rPr>
          <w:lang w:val="en"/>
        </w:rPr>
        <w:t xml:space="preserve">As Australia does not </w:t>
      </w:r>
      <w:r w:rsidR="001C362C">
        <w:rPr>
          <w:lang w:val="en"/>
        </w:rPr>
        <w:t xml:space="preserve">currently </w:t>
      </w:r>
      <w:r w:rsidR="00840573">
        <w:rPr>
          <w:lang w:val="en"/>
        </w:rPr>
        <w:t xml:space="preserve">use </w:t>
      </w:r>
      <w:r w:rsidR="00012C10">
        <w:rPr>
          <w:lang w:val="en"/>
        </w:rPr>
        <w:t>export subsidies, the commitment involves the elimination of the entitle</w:t>
      </w:r>
      <w:r w:rsidR="001C362C">
        <w:rPr>
          <w:lang w:val="en"/>
        </w:rPr>
        <w:t xml:space="preserve">ment to use them in the future. </w:t>
      </w:r>
    </w:p>
    <w:p w:rsidR="006105E0" w:rsidRPr="001C362C" w:rsidRDefault="006105E0" w:rsidP="001C362C">
      <w:pPr>
        <w:rPr>
          <w:bCs/>
        </w:rPr>
      </w:pPr>
    </w:p>
    <w:p w:rsidR="00DE194A" w:rsidRDefault="006105E0" w:rsidP="00CF1C10">
      <w:pPr>
        <w:pStyle w:val="ListParagraph"/>
        <w:numPr>
          <w:ilvl w:val="1"/>
          <w:numId w:val="3"/>
        </w:numPr>
        <w:tabs>
          <w:tab w:val="left" w:pos="851"/>
          <w:tab w:val="left" w:pos="993"/>
        </w:tabs>
        <w:ind w:left="0" w:firstLine="0"/>
        <w:rPr>
          <w:bCs/>
        </w:rPr>
      </w:pPr>
      <w:r>
        <w:rPr>
          <w:bCs/>
        </w:rPr>
        <w:t>The implementation of these commitments</w:t>
      </w:r>
      <w:r w:rsidR="00DE194A">
        <w:rPr>
          <w:bCs/>
        </w:rPr>
        <w:t xml:space="preserve"> through</w:t>
      </w:r>
      <w:r>
        <w:rPr>
          <w:bCs/>
        </w:rPr>
        <w:t xml:space="preserve"> amendments to Australia’s Schedule of Concessions is in Australia’s national interest</w:t>
      </w:r>
      <w:r w:rsidR="001477AD">
        <w:rPr>
          <w:bCs/>
        </w:rPr>
        <w:t xml:space="preserve">. </w:t>
      </w:r>
      <w:r w:rsidR="0027193E">
        <w:rPr>
          <w:bCs/>
        </w:rPr>
        <w:t xml:space="preserve"> </w:t>
      </w:r>
      <w:r w:rsidR="001477AD">
        <w:rPr>
          <w:bCs/>
        </w:rPr>
        <w:t>It</w:t>
      </w:r>
      <w:r w:rsidR="00DE194A">
        <w:rPr>
          <w:bCs/>
        </w:rPr>
        <w:t xml:space="preserve"> </w:t>
      </w:r>
      <w:r w:rsidR="001477AD">
        <w:rPr>
          <w:bCs/>
        </w:rPr>
        <w:t xml:space="preserve">will </w:t>
      </w:r>
      <w:r w:rsidR="00DE194A">
        <w:rPr>
          <w:bCs/>
        </w:rPr>
        <w:t>benefit</w:t>
      </w:r>
      <w:r w:rsidR="001477AD">
        <w:rPr>
          <w:bCs/>
        </w:rPr>
        <w:t xml:space="preserve"> </w:t>
      </w:r>
      <w:r w:rsidR="00DE194A">
        <w:rPr>
          <w:bCs/>
        </w:rPr>
        <w:t xml:space="preserve">Australian industry </w:t>
      </w:r>
      <w:r w:rsidR="001477AD">
        <w:rPr>
          <w:bCs/>
        </w:rPr>
        <w:t xml:space="preserve">and consumers </w:t>
      </w:r>
      <w:r w:rsidR="00DE194A">
        <w:rPr>
          <w:bCs/>
        </w:rPr>
        <w:t>by</w:t>
      </w:r>
      <w:r>
        <w:rPr>
          <w:bCs/>
        </w:rPr>
        <w:t xml:space="preserve"> </w:t>
      </w:r>
      <w:r w:rsidR="00DE194A">
        <w:rPr>
          <w:bCs/>
        </w:rPr>
        <w:t>removing barriers to trade in te</w:t>
      </w:r>
      <w:r w:rsidR="000A11D5">
        <w:rPr>
          <w:bCs/>
        </w:rPr>
        <w:t xml:space="preserve">chnology products, and support </w:t>
      </w:r>
      <w:r w:rsidR="00DE194A">
        <w:rPr>
          <w:bCs/>
        </w:rPr>
        <w:t xml:space="preserve">Australian farmers </w:t>
      </w:r>
      <w:r w:rsidR="0010418B">
        <w:rPr>
          <w:bCs/>
        </w:rPr>
        <w:t xml:space="preserve">by </w:t>
      </w:r>
      <w:r w:rsidR="001477AD">
        <w:rPr>
          <w:bCs/>
        </w:rPr>
        <w:t xml:space="preserve">eliminating </w:t>
      </w:r>
      <w:r w:rsidR="001C362C">
        <w:rPr>
          <w:bCs/>
        </w:rPr>
        <w:t xml:space="preserve">the distortions created by </w:t>
      </w:r>
      <w:r w:rsidR="0010418B">
        <w:rPr>
          <w:bCs/>
        </w:rPr>
        <w:t xml:space="preserve">agricultural </w:t>
      </w:r>
      <w:r w:rsidR="00DE194A" w:rsidRPr="005B2CB9">
        <w:rPr>
          <w:lang w:val="en-US"/>
        </w:rPr>
        <w:t>export subsid</w:t>
      </w:r>
      <w:r w:rsidR="00DE194A">
        <w:rPr>
          <w:lang w:val="en-US"/>
        </w:rPr>
        <w:t>y entitlements</w:t>
      </w:r>
      <w:r w:rsidR="00DE194A" w:rsidRPr="005B2CB9">
        <w:rPr>
          <w:lang w:val="en-US"/>
        </w:rPr>
        <w:t xml:space="preserve"> </w:t>
      </w:r>
      <w:r w:rsidR="00DE194A">
        <w:rPr>
          <w:bCs/>
        </w:rPr>
        <w:t xml:space="preserve">in Australia’s export markets. </w:t>
      </w:r>
      <w:r w:rsidR="00ED1D0C">
        <w:rPr>
          <w:bCs/>
        </w:rPr>
        <w:t xml:space="preserve"> </w:t>
      </w:r>
      <w:r w:rsidR="001C362C" w:rsidRPr="001C362C">
        <w:rPr>
          <w:lang w:val="en-US"/>
        </w:rPr>
        <w:t xml:space="preserve">Australia’s proposed </w:t>
      </w:r>
      <w:r w:rsidR="001C362C">
        <w:rPr>
          <w:lang w:val="en-US"/>
        </w:rPr>
        <w:t xml:space="preserve">amendment to its </w:t>
      </w:r>
      <w:r w:rsidR="001C362C" w:rsidRPr="001C362C">
        <w:rPr>
          <w:lang w:val="en-US"/>
        </w:rPr>
        <w:t>Schedule</w:t>
      </w:r>
      <w:r w:rsidR="001C362C">
        <w:rPr>
          <w:lang w:val="en-US"/>
        </w:rPr>
        <w:t xml:space="preserve"> of Concession (Part IV) to</w:t>
      </w:r>
      <w:r w:rsidR="001C362C" w:rsidRPr="001C362C">
        <w:rPr>
          <w:lang w:val="en-US"/>
        </w:rPr>
        <w:t xml:space="preserve"> implement the E</w:t>
      </w:r>
      <w:r w:rsidR="001C362C">
        <w:rPr>
          <w:lang w:val="en-US"/>
        </w:rPr>
        <w:t>xport Subsidy Decision</w:t>
      </w:r>
      <w:r w:rsidR="001C362C" w:rsidRPr="001C362C">
        <w:rPr>
          <w:lang w:val="en-US"/>
        </w:rPr>
        <w:t xml:space="preserve">, including the list of products, is at </w:t>
      </w:r>
      <w:r w:rsidR="001C362C">
        <w:rPr>
          <w:b/>
          <w:lang w:val="en-US"/>
        </w:rPr>
        <w:t>Attachment B</w:t>
      </w:r>
      <w:r w:rsidR="001C362C" w:rsidRPr="001C362C">
        <w:rPr>
          <w:b/>
          <w:lang w:val="en-US"/>
        </w:rPr>
        <w:t>.</w:t>
      </w:r>
    </w:p>
    <w:p w:rsidR="004D76A9" w:rsidRDefault="004D76A9" w:rsidP="009834F3">
      <w:pPr>
        <w:tabs>
          <w:tab w:val="left" w:pos="851"/>
          <w:tab w:val="left" w:pos="993"/>
        </w:tabs>
        <w:rPr>
          <w:b/>
          <w:bCs/>
        </w:rPr>
      </w:pPr>
    </w:p>
    <w:p w:rsidR="00CF1C10" w:rsidRPr="009834F3" w:rsidRDefault="00CF1C10" w:rsidP="009834F3">
      <w:pPr>
        <w:tabs>
          <w:tab w:val="left" w:pos="851"/>
          <w:tab w:val="left" w:pos="993"/>
        </w:tabs>
        <w:rPr>
          <w:b/>
          <w:bCs/>
        </w:rPr>
      </w:pPr>
      <w:r w:rsidRPr="009834F3">
        <w:rPr>
          <w:b/>
          <w:bCs/>
        </w:rPr>
        <w:t>Reasons for Australia to take the proposed treaty action</w:t>
      </w:r>
    </w:p>
    <w:p w:rsidR="006D374B" w:rsidRPr="006D374B" w:rsidRDefault="006D374B" w:rsidP="005A755C">
      <w:pPr>
        <w:pStyle w:val="ListParagraph"/>
        <w:tabs>
          <w:tab w:val="left" w:pos="851"/>
          <w:tab w:val="left" w:pos="993"/>
        </w:tabs>
        <w:ind w:left="567"/>
        <w:rPr>
          <w:bCs/>
        </w:rPr>
      </w:pPr>
    </w:p>
    <w:p w:rsidR="00CF1C10" w:rsidRPr="00066E78" w:rsidRDefault="00CF1C10" w:rsidP="00066E78">
      <w:pPr>
        <w:tabs>
          <w:tab w:val="left" w:pos="851"/>
          <w:tab w:val="left" w:pos="993"/>
        </w:tabs>
        <w:rPr>
          <w:b/>
          <w:bCs/>
          <w:i/>
        </w:rPr>
      </w:pPr>
      <w:r w:rsidRPr="00066E78">
        <w:rPr>
          <w:b/>
          <w:bCs/>
          <w:i/>
        </w:rPr>
        <w:t>The Ministerial Declaration on the Expansion of Trade in Information Technology Products</w:t>
      </w:r>
    </w:p>
    <w:p w:rsidR="00CF1C10" w:rsidRPr="009834F3" w:rsidRDefault="00CF1C10" w:rsidP="009834F3">
      <w:pPr>
        <w:pStyle w:val="ListParagraph"/>
        <w:tabs>
          <w:tab w:val="left" w:pos="851"/>
          <w:tab w:val="left" w:pos="993"/>
        </w:tabs>
        <w:ind w:left="1353"/>
        <w:rPr>
          <w:b/>
          <w:bCs/>
          <w:i/>
        </w:rPr>
      </w:pPr>
    </w:p>
    <w:p w:rsidR="00DA697F" w:rsidRPr="00593495" w:rsidRDefault="00DA697F" w:rsidP="00DA697F">
      <w:pPr>
        <w:pStyle w:val="ListParagraph"/>
        <w:numPr>
          <w:ilvl w:val="1"/>
          <w:numId w:val="3"/>
        </w:numPr>
        <w:tabs>
          <w:tab w:val="left" w:pos="851"/>
          <w:tab w:val="left" w:pos="993"/>
        </w:tabs>
        <w:ind w:left="0" w:firstLine="0"/>
        <w:rPr>
          <w:bCs/>
        </w:rPr>
      </w:pPr>
      <w:r>
        <w:rPr>
          <w:bCs/>
        </w:rPr>
        <w:lastRenderedPageBreak/>
        <w:t xml:space="preserve">Once implemented, the </w:t>
      </w:r>
      <w:r w:rsidR="00694DD8">
        <w:rPr>
          <w:bCs/>
        </w:rPr>
        <w:t>E</w:t>
      </w:r>
      <w:r>
        <w:rPr>
          <w:bCs/>
        </w:rPr>
        <w:t xml:space="preserve">xpanded ITA will </w:t>
      </w:r>
      <w:r w:rsidRPr="006D374B">
        <w:rPr>
          <w:bCs/>
        </w:rPr>
        <w:t>reduce costs and barriers to trade in technology products</w:t>
      </w:r>
      <w:r>
        <w:rPr>
          <w:bCs/>
        </w:rPr>
        <w:t xml:space="preserve">, which will promote growth of jobs and innovation in the Australian economy. </w:t>
      </w:r>
      <w:r w:rsidR="00ED1D0C">
        <w:rPr>
          <w:bCs/>
        </w:rPr>
        <w:t xml:space="preserve"> </w:t>
      </w:r>
      <w:r w:rsidRPr="006D374B">
        <w:rPr>
          <w:lang w:val="en-US"/>
        </w:rPr>
        <w:t xml:space="preserve">The WTO has estimated that annual trade in the 201 products covered is valued at over </w:t>
      </w:r>
      <w:r w:rsidRPr="00694DD8">
        <w:rPr>
          <w:lang w:val="en-US"/>
        </w:rPr>
        <w:t xml:space="preserve">AUD1.3 trillion </w:t>
      </w:r>
      <w:r w:rsidRPr="006D374B">
        <w:rPr>
          <w:lang w:val="en-US"/>
        </w:rPr>
        <w:t xml:space="preserve">per year, </w:t>
      </w:r>
      <w:r>
        <w:rPr>
          <w:lang w:val="en-US"/>
        </w:rPr>
        <w:t>accounting for approximately 10 per cent of total global trade today.</w:t>
      </w:r>
      <w:r>
        <w:rPr>
          <w:rStyle w:val="FootnoteReference"/>
          <w:lang w:val="en-US"/>
        </w:rPr>
        <w:footnoteReference w:id="4"/>
      </w:r>
      <w:r>
        <w:rPr>
          <w:lang w:val="en-US"/>
        </w:rPr>
        <w:t xml:space="preserve"> </w:t>
      </w:r>
      <w:r w:rsidR="00DA6C38">
        <w:t xml:space="preserve">Participants </w:t>
      </w:r>
      <w:r>
        <w:t xml:space="preserve">to the </w:t>
      </w:r>
      <w:r w:rsidR="00694DD8">
        <w:t>E</w:t>
      </w:r>
      <w:r w:rsidR="00C00940">
        <w:t xml:space="preserve">xpanded ITA </w:t>
      </w:r>
      <w:r>
        <w:t xml:space="preserve">account for approximately 90 per cent of world trade in these products.  </w:t>
      </w:r>
      <w:r>
        <w:rPr>
          <w:lang w:val="en-US"/>
        </w:rPr>
        <w:t>Some of the</w:t>
      </w:r>
      <w:r w:rsidRPr="00593495">
        <w:rPr>
          <w:lang w:val="en-US"/>
        </w:rPr>
        <w:t xml:space="preserve"> products </w:t>
      </w:r>
      <w:r>
        <w:rPr>
          <w:lang w:val="en-US"/>
        </w:rPr>
        <w:t>in the</w:t>
      </w:r>
      <w:r w:rsidR="00C00940">
        <w:rPr>
          <w:lang w:val="en-US"/>
        </w:rPr>
        <w:t xml:space="preserve"> </w:t>
      </w:r>
      <w:r w:rsidR="00694DD8">
        <w:rPr>
          <w:lang w:val="en-US"/>
        </w:rPr>
        <w:t>E</w:t>
      </w:r>
      <w:r w:rsidR="00C00940">
        <w:rPr>
          <w:lang w:val="en-US"/>
        </w:rPr>
        <w:t>xpanded ITA</w:t>
      </w:r>
      <w:r>
        <w:rPr>
          <w:lang w:val="en-US"/>
        </w:rPr>
        <w:t xml:space="preserve"> </w:t>
      </w:r>
      <w:r w:rsidRPr="00593495">
        <w:rPr>
          <w:lang w:val="en-US"/>
        </w:rPr>
        <w:t>cu</w:t>
      </w:r>
      <w:r>
        <w:rPr>
          <w:lang w:val="en-US"/>
        </w:rPr>
        <w:t xml:space="preserve">rrently face very high tariffs, for example, the tariff for magnetic cards is 30 per cent in some markets. </w:t>
      </w:r>
      <w:r>
        <w:rPr>
          <w:lang w:val="en-US"/>
        </w:rPr>
        <w:br/>
      </w:r>
    </w:p>
    <w:p w:rsidR="00DA697F" w:rsidRPr="00CF449F" w:rsidRDefault="00DA697F" w:rsidP="00CF449F">
      <w:pPr>
        <w:pStyle w:val="ListParagraph"/>
        <w:numPr>
          <w:ilvl w:val="1"/>
          <w:numId w:val="3"/>
        </w:numPr>
        <w:tabs>
          <w:tab w:val="left" w:pos="0"/>
          <w:tab w:val="left" w:pos="993"/>
        </w:tabs>
        <w:ind w:left="0" w:firstLine="0"/>
        <w:rPr>
          <w:bCs/>
        </w:rPr>
      </w:pPr>
      <w:r>
        <w:rPr>
          <w:lang w:val="en-US"/>
        </w:rPr>
        <w:t xml:space="preserve">The </w:t>
      </w:r>
      <w:r w:rsidR="00800BF0">
        <w:rPr>
          <w:lang w:val="en-US"/>
        </w:rPr>
        <w:t>E</w:t>
      </w:r>
      <w:r>
        <w:rPr>
          <w:lang w:val="en-US"/>
        </w:rPr>
        <w:t>xpanded</w:t>
      </w:r>
      <w:r w:rsidR="00EF5889">
        <w:rPr>
          <w:lang w:val="en-US"/>
        </w:rPr>
        <w:t xml:space="preserve"> ITA will eliminate tariffs on these products</w:t>
      </w:r>
      <w:proofErr w:type="gramStart"/>
      <w:r w:rsidR="00800BF0">
        <w:rPr>
          <w:lang w:val="en-US"/>
        </w:rPr>
        <w:t xml:space="preserve">, </w:t>
      </w:r>
      <w:r w:rsidR="00EF5889">
        <w:rPr>
          <w:lang w:val="en-US"/>
        </w:rPr>
        <w:t xml:space="preserve"> including</w:t>
      </w:r>
      <w:proofErr w:type="gramEnd"/>
      <w:r w:rsidR="00EF5889">
        <w:rPr>
          <w:lang w:val="en-US"/>
        </w:rPr>
        <w:t xml:space="preserve"> </w:t>
      </w:r>
      <w:r>
        <w:rPr>
          <w:lang w:val="en-US"/>
        </w:rPr>
        <w:t xml:space="preserve">new-generation semi-conductors, machine tools and instruments, telecommunications satellites, consumer </w:t>
      </w:r>
      <w:r w:rsidRPr="00DA697F">
        <w:rPr>
          <w:lang w:val="en-US"/>
        </w:rPr>
        <w:t>electronics, including GPS navigation systems and video game consoles, and a</w:t>
      </w:r>
      <w:r w:rsidRPr="000A11D5">
        <w:rPr>
          <w:lang w:val="en-US"/>
        </w:rPr>
        <w:t xml:space="preserve"> range of medical devices. Eliminating tariffs on these goods in Australia and globally will benefit Australian consumers by putting downward pressure on end prices.</w:t>
      </w:r>
      <w:r w:rsidR="00ED1D0C">
        <w:rPr>
          <w:lang w:val="en-US"/>
        </w:rPr>
        <w:t xml:space="preserve"> </w:t>
      </w:r>
      <w:r w:rsidRPr="000A11D5">
        <w:rPr>
          <w:lang w:val="en-US"/>
        </w:rPr>
        <w:t xml:space="preserve"> Upstream technology industries such as software design, </w:t>
      </w:r>
      <w:r>
        <w:rPr>
          <w:lang w:val="en-US"/>
        </w:rPr>
        <w:t>and</w:t>
      </w:r>
      <w:r w:rsidRPr="00DA697F">
        <w:rPr>
          <w:lang w:val="en-US"/>
        </w:rPr>
        <w:t xml:space="preserve"> downstream industries such as IT service providers, </w:t>
      </w:r>
      <w:r w:rsidRPr="000A11D5">
        <w:rPr>
          <w:lang w:val="en-US"/>
        </w:rPr>
        <w:t xml:space="preserve">will </w:t>
      </w:r>
      <w:r>
        <w:rPr>
          <w:lang w:val="en-US"/>
        </w:rPr>
        <w:t xml:space="preserve">also </w:t>
      </w:r>
      <w:r w:rsidRPr="00DA697F">
        <w:rPr>
          <w:lang w:val="en-US"/>
        </w:rPr>
        <w:t>benefit from cost reductions.</w:t>
      </w:r>
      <w:r w:rsidR="00D657B0">
        <w:rPr>
          <w:lang w:val="en-US"/>
        </w:rPr>
        <w:t xml:space="preserve"> </w:t>
      </w:r>
      <w:r w:rsidR="00ED1D0C">
        <w:rPr>
          <w:lang w:val="en-US"/>
        </w:rPr>
        <w:t xml:space="preserve"> </w:t>
      </w:r>
      <w:r w:rsidR="00D657B0">
        <w:rPr>
          <w:lang w:val="en-US"/>
        </w:rPr>
        <w:t xml:space="preserve">This has the potential to improve the competitiveness of </w:t>
      </w:r>
      <w:r w:rsidR="00CF449F">
        <w:rPr>
          <w:lang w:val="en-US"/>
        </w:rPr>
        <w:t xml:space="preserve">both </w:t>
      </w:r>
      <w:r w:rsidR="00D657B0">
        <w:rPr>
          <w:lang w:val="en-US"/>
        </w:rPr>
        <w:t xml:space="preserve">export and import industries. </w:t>
      </w:r>
      <w:r w:rsidR="009B7D9C">
        <w:rPr>
          <w:lang w:val="en-US"/>
        </w:rPr>
        <w:t xml:space="preserve">It is estimated that </w:t>
      </w:r>
      <w:r w:rsidRPr="000A11D5">
        <w:rPr>
          <w:lang w:val="en-US"/>
        </w:rPr>
        <w:t xml:space="preserve">Australia imports around </w:t>
      </w:r>
      <w:r w:rsidRPr="00800BF0">
        <w:rPr>
          <w:lang w:val="en-US"/>
        </w:rPr>
        <w:t>AUD19 billion</w:t>
      </w:r>
      <w:r w:rsidRPr="000A11D5">
        <w:rPr>
          <w:lang w:val="en-US"/>
        </w:rPr>
        <w:t xml:space="preserve"> worth of goods covered under the </w:t>
      </w:r>
      <w:r w:rsidR="00800BF0">
        <w:rPr>
          <w:lang w:val="en-US"/>
        </w:rPr>
        <w:t>E</w:t>
      </w:r>
      <w:r w:rsidRPr="000A11D5">
        <w:rPr>
          <w:lang w:val="en-US"/>
        </w:rPr>
        <w:t xml:space="preserve">xpanded </w:t>
      </w:r>
      <w:r w:rsidR="00800BF0">
        <w:rPr>
          <w:lang w:val="en-US"/>
        </w:rPr>
        <w:t>ITA</w:t>
      </w:r>
      <w:r w:rsidRPr="000A11D5">
        <w:rPr>
          <w:lang w:val="en-US"/>
        </w:rPr>
        <w:t xml:space="preserve">, and exports around </w:t>
      </w:r>
      <w:r w:rsidRPr="00800BF0">
        <w:rPr>
          <w:lang w:val="en-US"/>
        </w:rPr>
        <w:t>AUD3.6 billion</w:t>
      </w:r>
      <w:r w:rsidRPr="000A11D5">
        <w:rPr>
          <w:lang w:val="en-US"/>
        </w:rPr>
        <w:t>.</w:t>
      </w:r>
      <w:r w:rsidRPr="000A11D5">
        <w:rPr>
          <w:lang w:val="en-US"/>
        </w:rPr>
        <w:br/>
      </w:r>
    </w:p>
    <w:p w:rsidR="00DA697F" w:rsidRPr="00CF449F" w:rsidRDefault="00DA697F" w:rsidP="00CF449F">
      <w:pPr>
        <w:pStyle w:val="ListParagraph"/>
        <w:numPr>
          <w:ilvl w:val="1"/>
          <w:numId w:val="3"/>
        </w:numPr>
        <w:tabs>
          <w:tab w:val="left" w:pos="0"/>
          <w:tab w:val="left" w:pos="993"/>
        </w:tabs>
        <w:ind w:left="0" w:firstLine="0"/>
        <w:rPr>
          <w:bCs/>
        </w:rPr>
      </w:pPr>
      <w:r w:rsidRPr="00DA697F">
        <w:rPr>
          <w:lang w:val="en-US"/>
        </w:rPr>
        <w:t xml:space="preserve"> </w:t>
      </w:r>
      <w:r w:rsidR="00CF449F">
        <w:rPr>
          <w:lang w:val="en-US"/>
        </w:rPr>
        <w:t xml:space="preserve">The implementation of the </w:t>
      </w:r>
      <w:r w:rsidR="00DA20A3">
        <w:rPr>
          <w:lang w:val="en-US"/>
        </w:rPr>
        <w:t>E</w:t>
      </w:r>
      <w:r w:rsidR="00CF449F">
        <w:rPr>
          <w:lang w:val="en-US"/>
        </w:rPr>
        <w:t xml:space="preserve">xpanded ITA will have significant benefits for the Australian economy.  </w:t>
      </w:r>
      <w:r w:rsidRPr="00DA697F">
        <w:rPr>
          <w:lang w:val="en-US"/>
        </w:rPr>
        <w:t xml:space="preserve">Information technologies are highly integrated </w:t>
      </w:r>
      <w:r w:rsidRPr="000A11D5">
        <w:rPr>
          <w:lang w:val="en-US"/>
        </w:rPr>
        <w:t xml:space="preserve">within global value chains meaning barriers to trade can have significant flow on effects for innovation and productivity in other industries.  By removing these barriers, </w:t>
      </w:r>
      <w:r w:rsidR="002102E2">
        <w:rPr>
          <w:lang w:val="en-US"/>
        </w:rPr>
        <w:t xml:space="preserve">implementation of </w:t>
      </w:r>
      <w:r w:rsidRPr="000A11D5">
        <w:rPr>
          <w:lang w:val="en-US"/>
        </w:rPr>
        <w:t xml:space="preserve">the </w:t>
      </w:r>
      <w:r w:rsidR="00DA20A3">
        <w:rPr>
          <w:lang w:val="en-US"/>
        </w:rPr>
        <w:t>E</w:t>
      </w:r>
      <w:r w:rsidRPr="000A11D5">
        <w:rPr>
          <w:lang w:val="en-US"/>
        </w:rPr>
        <w:t xml:space="preserve">xpanded ITA will help to create jobs and boost GDP growth.  It will </w:t>
      </w:r>
      <w:r w:rsidR="00CF449F">
        <w:rPr>
          <w:lang w:val="en-US"/>
        </w:rPr>
        <w:t xml:space="preserve">also </w:t>
      </w:r>
      <w:r w:rsidRPr="000A11D5">
        <w:rPr>
          <w:lang w:val="en-US"/>
        </w:rPr>
        <w:t xml:space="preserve">enhance predictability for traders </w:t>
      </w:r>
      <w:r w:rsidRPr="00EF5889">
        <w:rPr>
          <w:lang w:val="en-US"/>
        </w:rPr>
        <w:t xml:space="preserve">and investors by providing permanent commitments for the included goods. </w:t>
      </w:r>
      <w:r w:rsidRPr="000A11D5">
        <w:rPr>
          <w:lang w:val="en-US"/>
        </w:rPr>
        <w:br/>
      </w:r>
    </w:p>
    <w:p w:rsidR="00420E1A" w:rsidRPr="00463C79" w:rsidRDefault="00CF1C10" w:rsidP="00066E78">
      <w:pPr>
        <w:tabs>
          <w:tab w:val="left" w:pos="851"/>
          <w:tab w:val="left" w:pos="993"/>
        </w:tabs>
        <w:rPr>
          <w:bCs/>
        </w:rPr>
      </w:pPr>
      <w:r w:rsidRPr="00A0277F">
        <w:rPr>
          <w:b/>
          <w:bCs/>
          <w:i/>
        </w:rPr>
        <w:t>The Ministerial Decision on Export Competition</w:t>
      </w:r>
      <w:r w:rsidR="00420E1A" w:rsidRPr="00066E78">
        <w:rPr>
          <w:b/>
          <w:bCs/>
          <w:i/>
        </w:rPr>
        <w:br/>
      </w:r>
    </w:p>
    <w:p w:rsidR="00463C79" w:rsidRPr="00066E78" w:rsidRDefault="005B2CB9" w:rsidP="00CF1C10">
      <w:pPr>
        <w:pStyle w:val="ListParagraph"/>
        <w:numPr>
          <w:ilvl w:val="1"/>
          <w:numId w:val="3"/>
        </w:numPr>
        <w:tabs>
          <w:tab w:val="left" w:pos="851"/>
          <w:tab w:val="left" w:pos="993"/>
        </w:tabs>
        <w:ind w:left="0" w:firstLine="0"/>
        <w:rPr>
          <w:bCs/>
        </w:rPr>
      </w:pPr>
      <w:r w:rsidRPr="005B2CB9">
        <w:rPr>
          <w:lang w:val="en-US"/>
        </w:rPr>
        <w:t>Achieving the global elimination of agricultu</w:t>
      </w:r>
      <w:r w:rsidR="00710BBA">
        <w:rPr>
          <w:lang w:val="en-US"/>
        </w:rPr>
        <w:t>ral export subsidies has been a longstanding</w:t>
      </w:r>
      <w:r w:rsidRPr="005B2CB9">
        <w:rPr>
          <w:lang w:val="en-US"/>
        </w:rPr>
        <w:t xml:space="preserve"> objective of Australian tr</w:t>
      </w:r>
      <w:r w:rsidR="00710BBA">
        <w:rPr>
          <w:lang w:val="en-US"/>
        </w:rPr>
        <w:t>ade policy</w:t>
      </w:r>
      <w:r w:rsidR="00BF4AFD">
        <w:rPr>
          <w:lang w:val="en-US"/>
        </w:rPr>
        <w:t xml:space="preserve">. </w:t>
      </w:r>
      <w:r w:rsidR="0047375E">
        <w:rPr>
          <w:lang w:val="en-US"/>
        </w:rPr>
        <w:t xml:space="preserve"> </w:t>
      </w:r>
      <w:r w:rsidR="00BF4AFD">
        <w:t>The elimination of agricultural export subsidies in global trade was identified as a central goal in the WTO mandate d</w:t>
      </w:r>
      <w:r w:rsidR="00BF4AFD" w:rsidRPr="00876FC0">
        <w:t>eveloped at the time of the launch of the WTO Doha Round of negotiations in 2001</w:t>
      </w:r>
      <w:r w:rsidR="00BF4AFD">
        <w:t>,</w:t>
      </w:r>
      <w:r w:rsidR="00E11E72">
        <w:rPr>
          <w:lang w:val="en-US"/>
        </w:rPr>
        <w:t xml:space="preserve"> and successive </w:t>
      </w:r>
      <w:r w:rsidR="00E11E72" w:rsidRPr="00876FC0">
        <w:t xml:space="preserve">Australian governments </w:t>
      </w:r>
      <w:r w:rsidR="00E11E72">
        <w:t xml:space="preserve">have worked with agricultural industry groups to achieve this through the WTO since </w:t>
      </w:r>
      <w:r w:rsidR="00BF4AFD">
        <w:t>then</w:t>
      </w:r>
      <w:r w:rsidR="00E11E72">
        <w:t>.</w:t>
      </w:r>
    </w:p>
    <w:p w:rsidR="00876FC0" w:rsidRPr="00876FC0" w:rsidRDefault="00876FC0" w:rsidP="00066E78">
      <w:pPr>
        <w:pStyle w:val="ListParagraph"/>
        <w:tabs>
          <w:tab w:val="left" w:pos="851"/>
          <w:tab w:val="left" w:pos="993"/>
        </w:tabs>
        <w:ind w:left="0"/>
        <w:rPr>
          <w:bCs/>
        </w:rPr>
      </w:pPr>
    </w:p>
    <w:p w:rsidR="00113C30" w:rsidRPr="00CF449F" w:rsidRDefault="00420E1A" w:rsidP="00CF449F">
      <w:pPr>
        <w:pStyle w:val="ListParagraph"/>
        <w:numPr>
          <w:ilvl w:val="1"/>
          <w:numId w:val="3"/>
        </w:numPr>
        <w:tabs>
          <w:tab w:val="left" w:pos="851"/>
          <w:tab w:val="left" w:pos="993"/>
        </w:tabs>
        <w:ind w:left="0" w:firstLine="0"/>
        <w:rPr>
          <w:bCs/>
        </w:rPr>
      </w:pPr>
      <w:r w:rsidRPr="005B2CB9">
        <w:rPr>
          <w:lang w:val="en"/>
        </w:rPr>
        <w:t xml:space="preserve">The removal of </w:t>
      </w:r>
      <w:r w:rsidR="006A4CB2">
        <w:rPr>
          <w:lang w:val="en"/>
        </w:rPr>
        <w:t xml:space="preserve">agricultural export </w:t>
      </w:r>
      <w:r w:rsidRPr="005B2CB9">
        <w:rPr>
          <w:lang w:val="en"/>
        </w:rPr>
        <w:t xml:space="preserve">subsidies by other WTO Members will significantly benefit Australian farmers by levelling the playing field </w:t>
      </w:r>
      <w:r>
        <w:rPr>
          <w:lang w:val="en"/>
        </w:rPr>
        <w:t>in</w:t>
      </w:r>
      <w:r w:rsidRPr="005B2CB9">
        <w:rPr>
          <w:lang w:val="en"/>
        </w:rPr>
        <w:t xml:space="preserve"> many of Australia’s agricultural export</w:t>
      </w:r>
      <w:r>
        <w:rPr>
          <w:lang w:val="en"/>
        </w:rPr>
        <w:t xml:space="preserve"> markets</w:t>
      </w:r>
      <w:r w:rsidRPr="005B2CB9">
        <w:rPr>
          <w:lang w:val="en"/>
        </w:rPr>
        <w:t xml:space="preserve">. </w:t>
      </w:r>
      <w:r w:rsidR="0047375E">
        <w:rPr>
          <w:lang w:val="en"/>
        </w:rPr>
        <w:t xml:space="preserve"> </w:t>
      </w:r>
      <w:r w:rsidRPr="005B2CB9">
        <w:rPr>
          <w:lang w:val="en-US"/>
        </w:rPr>
        <w:t xml:space="preserve">The </w:t>
      </w:r>
      <w:r w:rsidR="00564A08">
        <w:rPr>
          <w:lang w:val="en-US"/>
        </w:rPr>
        <w:t>E</w:t>
      </w:r>
      <w:r w:rsidR="006A4CB2">
        <w:rPr>
          <w:lang w:val="en-US"/>
        </w:rPr>
        <w:t xml:space="preserve">xport </w:t>
      </w:r>
      <w:r w:rsidR="00564A08">
        <w:rPr>
          <w:lang w:val="en-US"/>
        </w:rPr>
        <w:t>S</w:t>
      </w:r>
      <w:r w:rsidR="006A4CB2">
        <w:rPr>
          <w:lang w:val="en-US"/>
        </w:rPr>
        <w:t xml:space="preserve">ubsidy </w:t>
      </w:r>
      <w:r w:rsidR="00564A08">
        <w:rPr>
          <w:lang w:val="en-US"/>
        </w:rPr>
        <w:t>D</w:t>
      </w:r>
      <w:r w:rsidR="006A4CB2">
        <w:rPr>
          <w:lang w:val="en-US"/>
        </w:rPr>
        <w:t xml:space="preserve">ecision </w:t>
      </w:r>
      <w:r w:rsidRPr="005B2CB9">
        <w:rPr>
          <w:lang w:val="en-US"/>
        </w:rPr>
        <w:t>will phase out</w:t>
      </w:r>
      <w:r>
        <w:rPr>
          <w:lang w:val="en-US"/>
        </w:rPr>
        <w:t xml:space="preserve"> scheduled </w:t>
      </w:r>
      <w:r w:rsidRPr="005B2CB9">
        <w:rPr>
          <w:lang w:val="en-US"/>
        </w:rPr>
        <w:t>export subsid</w:t>
      </w:r>
      <w:r>
        <w:rPr>
          <w:lang w:val="en-US"/>
        </w:rPr>
        <w:t>y entitlements</w:t>
      </w:r>
      <w:r w:rsidRPr="005B2CB9">
        <w:rPr>
          <w:lang w:val="en-US"/>
        </w:rPr>
        <w:t xml:space="preserve"> </w:t>
      </w:r>
      <w:r>
        <w:rPr>
          <w:lang w:val="en-US"/>
        </w:rPr>
        <w:t xml:space="preserve">worth around </w:t>
      </w:r>
      <w:r w:rsidR="00723835" w:rsidRPr="00564A08">
        <w:rPr>
          <w:lang w:val="en-US"/>
        </w:rPr>
        <w:t>A</w:t>
      </w:r>
      <w:r w:rsidR="00A0277F" w:rsidRPr="0027193E">
        <w:rPr>
          <w:lang w:val="en-US"/>
        </w:rPr>
        <w:t>UD</w:t>
      </w:r>
      <w:r w:rsidRPr="00564A08">
        <w:rPr>
          <w:lang w:val="en-US"/>
        </w:rPr>
        <w:t xml:space="preserve">15 billion </w:t>
      </w:r>
      <w:r w:rsidRPr="005B2CB9">
        <w:rPr>
          <w:lang w:val="en-US"/>
        </w:rPr>
        <w:t xml:space="preserve">for agricultural commodities across many key </w:t>
      </w:r>
      <w:r w:rsidR="006A4CB2">
        <w:rPr>
          <w:lang w:val="en-US"/>
        </w:rPr>
        <w:t xml:space="preserve">Australian </w:t>
      </w:r>
      <w:r w:rsidRPr="005B2CB9">
        <w:rPr>
          <w:lang w:val="en-US"/>
        </w:rPr>
        <w:t>sectors including sugar, beef, pork, lamb, dairy, wheat, rice, wine, fruit, vegetables, processed foods and cotton</w:t>
      </w:r>
      <w:r>
        <w:rPr>
          <w:lang w:val="en-US"/>
        </w:rPr>
        <w:t>.</w:t>
      </w:r>
    </w:p>
    <w:p w:rsidR="00113C30" w:rsidRPr="00066E78" w:rsidRDefault="00113C30" w:rsidP="00CF449F">
      <w:pPr>
        <w:pStyle w:val="ListParagraph"/>
        <w:tabs>
          <w:tab w:val="left" w:pos="851"/>
          <w:tab w:val="left" w:pos="993"/>
        </w:tabs>
        <w:ind w:left="0"/>
        <w:rPr>
          <w:bCs/>
        </w:rPr>
      </w:pPr>
    </w:p>
    <w:p w:rsidR="00113C30" w:rsidRPr="00DA697F" w:rsidRDefault="00113C30" w:rsidP="00EF5889">
      <w:pPr>
        <w:pStyle w:val="ListParagraph"/>
        <w:numPr>
          <w:ilvl w:val="1"/>
          <w:numId w:val="3"/>
        </w:numPr>
        <w:tabs>
          <w:tab w:val="left" w:pos="851"/>
          <w:tab w:val="left" w:pos="993"/>
        </w:tabs>
        <w:ind w:left="0" w:firstLine="0"/>
        <w:rPr>
          <w:bCs/>
        </w:rPr>
      </w:pPr>
      <w:r w:rsidRPr="00113C30">
        <w:rPr>
          <w:lang w:val="en"/>
        </w:rPr>
        <w:t xml:space="preserve">The </w:t>
      </w:r>
      <w:r w:rsidR="00564A08">
        <w:rPr>
          <w:lang w:val="en"/>
        </w:rPr>
        <w:t>E</w:t>
      </w:r>
      <w:r w:rsidR="00564A08" w:rsidRPr="00113C30">
        <w:rPr>
          <w:lang w:val="en"/>
        </w:rPr>
        <w:t xml:space="preserve">xport </w:t>
      </w:r>
      <w:r w:rsidR="00564A08">
        <w:rPr>
          <w:lang w:val="en"/>
        </w:rPr>
        <w:t>S</w:t>
      </w:r>
      <w:r w:rsidRPr="00113C30">
        <w:rPr>
          <w:lang w:val="en"/>
        </w:rPr>
        <w:t>ubsid</w:t>
      </w:r>
      <w:r w:rsidR="00564A08">
        <w:rPr>
          <w:lang w:val="en"/>
        </w:rPr>
        <w:t>y</w:t>
      </w:r>
      <w:r w:rsidRPr="00113C30">
        <w:rPr>
          <w:lang w:val="en"/>
        </w:rPr>
        <w:t xml:space="preserve"> </w:t>
      </w:r>
      <w:r w:rsidR="00564A08">
        <w:rPr>
          <w:lang w:val="en"/>
        </w:rPr>
        <w:t xml:space="preserve">Decision </w:t>
      </w:r>
      <w:r w:rsidR="002102E2">
        <w:rPr>
          <w:lang w:val="en"/>
        </w:rPr>
        <w:t>commits</w:t>
      </w:r>
      <w:r w:rsidR="002102E2" w:rsidRPr="00113C30">
        <w:rPr>
          <w:lang w:val="en"/>
        </w:rPr>
        <w:t xml:space="preserve"> </w:t>
      </w:r>
      <w:r w:rsidRPr="00113C30">
        <w:rPr>
          <w:lang w:val="en"/>
        </w:rPr>
        <w:t>Australia to remov</w:t>
      </w:r>
      <w:r w:rsidR="001C362C">
        <w:rPr>
          <w:lang w:val="en"/>
        </w:rPr>
        <w:t>ing</w:t>
      </w:r>
      <w:r w:rsidRPr="00113C30">
        <w:rPr>
          <w:lang w:val="en"/>
        </w:rPr>
        <w:t xml:space="preserve"> its remaining export subsidy WTO entitlements</w:t>
      </w:r>
      <w:r w:rsidRPr="00DA697F">
        <w:rPr>
          <w:lang w:val="en"/>
        </w:rPr>
        <w:t xml:space="preserve"> to the value of </w:t>
      </w:r>
      <w:r w:rsidRPr="00A83B8C">
        <w:rPr>
          <w:lang w:val="en"/>
        </w:rPr>
        <w:t>A</w:t>
      </w:r>
      <w:r w:rsidR="00A0277F" w:rsidRPr="0027193E">
        <w:rPr>
          <w:lang w:val="en"/>
        </w:rPr>
        <w:t>UD</w:t>
      </w:r>
      <w:r w:rsidRPr="00A83B8C">
        <w:rPr>
          <w:lang w:val="en"/>
        </w:rPr>
        <w:t>88 million</w:t>
      </w:r>
      <w:r w:rsidRPr="00DA697F">
        <w:rPr>
          <w:lang w:val="en"/>
        </w:rPr>
        <w:t xml:space="preserve"> from Australia’s </w:t>
      </w:r>
      <w:r>
        <w:rPr>
          <w:lang w:val="en"/>
        </w:rPr>
        <w:t xml:space="preserve">GATT </w:t>
      </w:r>
      <w:r w:rsidRPr="00113C30">
        <w:rPr>
          <w:lang w:val="en"/>
        </w:rPr>
        <w:t xml:space="preserve">Schedule of Concessions. </w:t>
      </w:r>
      <w:r w:rsidR="0047375E">
        <w:rPr>
          <w:lang w:val="en"/>
        </w:rPr>
        <w:t xml:space="preserve"> </w:t>
      </w:r>
      <w:r>
        <w:rPr>
          <w:lang w:val="en"/>
        </w:rPr>
        <w:t>The practical impact</w:t>
      </w:r>
      <w:r w:rsidR="00A0277F">
        <w:rPr>
          <w:lang w:val="en"/>
        </w:rPr>
        <w:t xml:space="preserve"> </w:t>
      </w:r>
      <w:r>
        <w:rPr>
          <w:lang w:val="en"/>
        </w:rPr>
        <w:t xml:space="preserve">is minimal as </w:t>
      </w:r>
      <w:r w:rsidRPr="00113C30">
        <w:rPr>
          <w:lang w:val="en"/>
        </w:rPr>
        <w:t xml:space="preserve">Australia has not </w:t>
      </w:r>
      <w:r w:rsidRPr="00113C30">
        <w:rPr>
          <w:lang w:val="en"/>
        </w:rPr>
        <w:lastRenderedPageBreak/>
        <w:t>used export subsidies since 1999-2000 when</w:t>
      </w:r>
      <w:r w:rsidRPr="00A83B8C">
        <w:rPr>
          <w:bCs/>
        </w:rPr>
        <w:t xml:space="preserve"> </w:t>
      </w:r>
      <w:r w:rsidR="00A0277F" w:rsidRPr="00A83B8C">
        <w:rPr>
          <w:bCs/>
        </w:rPr>
        <w:t>A</w:t>
      </w:r>
      <w:r w:rsidR="00A0277F" w:rsidRPr="0027193E">
        <w:rPr>
          <w:bCs/>
        </w:rPr>
        <w:t>UD</w:t>
      </w:r>
      <w:r w:rsidRPr="00A83B8C">
        <w:rPr>
          <w:bCs/>
        </w:rPr>
        <w:t xml:space="preserve">3.7 million </w:t>
      </w:r>
      <w:r w:rsidRPr="00DA697F">
        <w:rPr>
          <w:bCs/>
        </w:rPr>
        <w:t xml:space="preserve">was used to subsidise dairy exports.  </w:t>
      </w:r>
      <w:r>
        <w:rPr>
          <w:lang w:val="en-US"/>
        </w:rPr>
        <w:t xml:space="preserve">The elimination of Australia’s </w:t>
      </w:r>
      <w:r w:rsidRPr="00113C30">
        <w:rPr>
          <w:lang w:val="en-US"/>
        </w:rPr>
        <w:t xml:space="preserve">entitlements is a balanced response in view of the benefits Australia will gain through the elimination of other countries’ </w:t>
      </w:r>
      <w:r w:rsidR="00012C10">
        <w:rPr>
          <w:lang w:val="en-US"/>
        </w:rPr>
        <w:t xml:space="preserve">agricultural </w:t>
      </w:r>
      <w:r w:rsidRPr="00113C30">
        <w:rPr>
          <w:lang w:val="en-US"/>
        </w:rPr>
        <w:t>export subsidy entitlements</w:t>
      </w:r>
      <w:r w:rsidRPr="00DA697F">
        <w:rPr>
          <w:lang w:val="en"/>
        </w:rPr>
        <w:t xml:space="preserve">. </w:t>
      </w:r>
    </w:p>
    <w:p w:rsidR="00BF4AFD" w:rsidRDefault="00BF4AFD" w:rsidP="005A755C">
      <w:pPr>
        <w:tabs>
          <w:tab w:val="left" w:pos="851"/>
        </w:tabs>
        <w:rPr>
          <w:b/>
        </w:rPr>
      </w:pPr>
    </w:p>
    <w:p w:rsidR="00B133E5" w:rsidRPr="00683B42" w:rsidRDefault="00B133E5" w:rsidP="005A755C">
      <w:pPr>
        <w:tabs>
          <w:tab w:val="left" w:pos="851"/>
        </w:tabs>
        <w:rPr>
          <w:b/>
        </w:rPr>
      </w:pPr>
      <w:r w:rsidRPr="00723835">
        <w:rPr>
          <w:b/>
        </w:rPr>
        <w:t>Obligations</w:t>
      </w:r>
      <w:r w:rsidRPr="00683B42">
        <w:rPr>
          <w:b/>
        </w:rPr>
        <w:t xml:space="preserve"> </w:t>
      </w:r>
    </w:p>
    <w:p w:rsidR="00B133E5" w:rsidRPr="00683B42" w:rsidRDefault="00B133E5" w:rsidP="005A755C">
      <w:pPr>
        <w:tabs>
          <w:tab w:val="left" w:pos="851"/>
        </w:tabs>
      </w:pPr>
    </w:p>
    <w:p w:rsidR="00FB1FCA" w:rsidRDefault="006E0E3D" w:rsidP="00BA20DF">
      <w:pPr>
        <w:pStyle w:val="ListParagraph"/>
        <w:numPr>
          <w:ilvl w:val="1"/>
          <w:numId w:val="3"/>
        </w:numPr>
        <w:tabs>
          <w:tab w:val="left" w:pos="851"/>
          <w:tab w:val="left" w:pos="993"/>
        </w:tabs>
        <w:ind w:left="0" w:firstLine="0"/>
      </w:pPr>
      <w:r>
        <w:t xml:space="preserve">The </w:t>
      </w:r>
      <w:r w:rsidR="00983F60">
        <w:t>E</w:t>
      </w:r>
      <w:r>
        <w:t>xpanded ITA commits</w:t>
      </w:r>
      <w:r w:rsidR="00F10C75" w:rsidRPr="006B7548">
        <w:t xml:space="preserve"> Australia (and </w:t>
      </w:r>
      <w:r w:rsidR="006B7548" w:rsidRPr="006B7548">
        <w:t>the other</w:t>
      </w:r>
      <w:r w:rsidR="001D1EE9">
        <w:t xml:space="preserve"> 52 participants) to permanently </w:t>
      </w:r>
      <w:r w:rsidR="00F10C75" w:rsidRPr="006B7548">
        <w:t>eliminate</w:t>
      </w:r>
      <w:r w:rsidR="003D798A" w:rsidRPr="006B7548">
        <w:t xml:space="preserve"> </w:t>
      </w:r>
      <w:r w:rsidR="006B7548" w:rsidRPr="006B7548">
        <w:t xml:space="preserve">all customs duties and other duties and charges, </w:t>
      </w:r>
      <w:r w:rsidR="006B7548" w:rsidRPr="00FB1FCA">
        <w:rPr>
          <w:rFonts w:eastAsia="Times New Roman"/>
          <w:lang w:eastAsia="en-AU"/>
        </w:rPr>
        <w:t xml:space="preserve">within the meaning of </w:t>
      </w:r>
      <w:r w:rsidR="006B7548" w:rsidRPr="00983F60">
        <w:rPr>
          <w:rFonts w:eastAsia="Times New Roman"/>
          <w:lang w:eastAsia="en-AU"/>
        </w:rPr>
        <w:t>Article II</w:t>
      </w:r>
      <w:proofErr w:type="gramStart"/>
      <w:r w:rsidR="006B7548" w:rsidRPr="00FB1FCA">
        <w:rPr>
          <w:rFonts w:eastAsia="Times New Roman"/>
          <w:lang w:eastAsia="en-AU"/>
        </w:rPr>
        <w:t>:1</w:t>
      </w:r>
      <w:proofErr w:type="gramEnd"/>
      <w:r w:rsidR="006B7548" w:rsidRPr="00FB1FCA">
        <w:rPr>
          <w:rFonts w:eastAsia="Times New Roman"/>
          <w:lang w:eastAsia="en-AU"/>
        </w:rPr>
        <w:t>(b) of the</w:t>
      </w:r>
      <w:r w:rsidR="001D1EE9">
        <w:rPr>
          <w:rFonts w:eastAsia="Times New Roman"/>
          <w:lang w:eastAsia="en-AU"/>
        </w:rPr>
        <w:t xml:space="preserve"> GATT</w:t>
      </w:r>
      <w:r w:rsidR="006B7548" w:rsidRPr="00FB1FCA">
        <w:rPr>
          <w:rFonts w:eastAsia="Times New Roman"/>
          <w:lang w:eastAsia="en-AU"/>
        </w:rPr>
        <w:t xml:space="preserve">, </w:t>
      </w:r>
      <w:r w:rsidR="00F10C75" w:rsidRPr="006B7548">
        <w:t>on</w:t>
      </w:r>
      <w:r w:rsidR="006B7548" w:rsidRPr="006B7548">
        <w:t xml:space="preserve"> </w:t>
      </w:r>
      <w:r w:rsidR="00F10C75" w:rsidRPr="006B7548">
        <w:t>2</w:t>
      </w:r>
      <w:r w:rsidR="006B7548" w:rsidRPr="006B7548">
        <w:t>01 technology related products</w:t>
      </w:r>
      <w:r w:rsidR="00BA20DF">
        <w:t xml:space="preserve">. </w:t>
      </w:r>
      <w:r w:rsidR="006B7548" w:rsidRPr="006B7548">
        <w:t xml:space="preserve"> </w:t>
      </w:r>
      <w:r w:rsidR="00FB1FCA">
        <w:br/>
      </w:r>
    </w:p>
    <w:p w:rsidR="00FB1FCA" w:rsidRPr="00FB1FCA" w:rsidRDefault="00932D00" w:rsidP="00BA20DF">
      <w:pPr>
        <w:pStyle w:val="ListParagraph"/>
        <w:numPr>
          <w:ilvl w:val="1"/>
          <w:numId w:val="3"/>
        </w:numPr>
        <w:tabs>
          <w:tab w:val="left" w:pos="851"/>
          <w:tab w:val="left" w:pos="993"/>
        </w:tabs>
        <w:ind w:left="0" w:firstLine="0"/>
      </w:pPr>
      <w:r>
        <w:t xml:space="preserve">The </w:t>
      </w:r>
      <w:r w:rsidR="00915F34" w:rsidRPr="00EB3B6F">
        <w:t xml:space="preserve">amendment to the </w:t>
      </w:r>
      <w:r w:rsidR="006C02F9">
        <w:t>S</w:t>
      </w:r>
      <w:r w:rsidR="00915F34" w:rsidRPr="00EB3B6F">
        <w:t xml:space="preserve">chedule </w:t>
      </w:r>
      <w:r w:rsidR="006C02F9">
        <w:t xml:space="preserve">of Concessions </w:t>
      </w:r>
      <w:r w:rsidR="00915F34" w:rsidRPr="00EB3B6F">
        <w:t xml:space="preserve">to reflect the </w:t>
      </w:r>
      <w:r w:rsidR="006C02F9">
        <w:t>E</w:t>
      </w:r>
      <w:r w:rsidR="00EE068D" w:rsidRPr="00EB3B6F">
        <w:t xml:space="preserve">xpanded ITA </w:t>
      </w:r>
      <w:r w:rsidR="00915F34" w:rsidRPr="00EB3B6F">
        <w:t>would</w:t>
      </w:r>
      <w:r w:rsidR="00915F34">
        <w:t xml:space="preserve"> </w:t>
      </w:r>
      <w:r>
        <w:t>permanently bind Australia to apply zero customs duties and other duties and charges to these products</w:t>
      </w:r>
      <w:r w:rsidR="001D1EE9">
        <w:t xml:space="preserve"> for imports from all countries</w:t>
      </w:r>
      <w:r>
        <w:t xml:space="preserve">. Australia </w:t>
      </w:r>
      <w:r w:rsidR="000B589C">
        <w:t xml:space="preserve">currently </w:t>
      </w:r>
      <w:r>
        <w:t xml:space="preserve">applies a zero rate of customs </w:t>
      </w:r>
      <w:r w:rsidR="000B589C">
        <w:t xml:space="preserve">duty to the majority (146) </w:t>
      </w:r>
      <w:r>
        <w:t xml:space="preserve">of the </w:t>
      </w:r>
      <w:r w:rsidR="000B589C">
        <w:t>products.</w:t>
      </w:r>
      <w:r w:rsidR="0012341F">
        <w:t xml:space="preserve"> </w:t>
      </w:r>
      <w:r w:rsidR="0047375E">
        <w:t xml:space="preserve"> </w:t>
      </w:r>
      <w:r>
        <w:t xml:space="preserve">In return, the 52 other </w:t>
      </w:r>
      <w:r w:rsidR="00DA5AC8">
        <w:t xml:space="preserve">participants </w:t>
      </w:r>
      <w:r>
        <w:t xml:space="preserve">to the </w:t>
      </w:r>
      <w:r w:rsidR="006C02F9">
        <w:t>E</w:t>
      </w:r>
      <w:r w:rsidR="00DA5AC8">
        <w:t xml:space="preserve">xpanded ITA </w:t>
      </w:r>
      <w:r>
        <w:t>will also bind their duties on the same products to zero.</w:t>
      </w:r>
      <w:r w:rsidR="0012341F">
        <w:t xml:space="preserve"> </w:t>
      </w:r>
      <w:r>
        <w:t xml:space="preserve"> </w:t>
      </w:r>
      <w:r w:rsidR="008B63AD">
        <w:rPr>
          <w:rFonts w:eastAsia="Times New Roman"/>
          <w:lang w:eastAsia="en-AU"/>
        </w:rPr>
        <w:t>Participants</w:t>
      </w:r>
      <w:r w:rsidR="008B63AD" w:rsidRPr="00FB1FCA">
        <w:rPr>
          <w:rFonts w:eastAsia="Times New Roman"/>
          <w:lang w:eastAsia="en-AU"/>
        </w:rPr>
        <w:t xml:space="preserve"> </w:t>
      </w:r>
      <w:r w:rsidR="003F75E8" w:rsidRPr="00FB1FCA">
        <w:rPr>
          <w:rFonts w:eastAsia="Times New Roman"/>
          <w:lang w:eastAsia="en-AU"/>
        </w:rPr>
        <w:t>may</w:t>
      </w:r>
      <w:r w:rsidR="00F95004" w:rsidRPr="00FB1FCA">
        <w:rPr>
          <w:rFonts w:eastAsia="Times New Roman"/>
          <w:lang w:eastAsia="en-AU"/>
        </w:rPr>
        <w:t xml:space="preserve"> apply staging in limited circumstances as per the negotiated schedules. </w:t>
      </w:r>
      <w:r w:rsidR="0012341F">
        <w:rPr>
          <w:rFonts w:eastAsia="Times New Roman"/>
          <w:lang w:eastAsia="en-AU"/>
        </w:rPr>
        <w:t xml:space="preserve"> </w:t>
      </w:r>
      <w:r w:rsidR="00F95004" w:rsidRPr="00FB1FCA">
        <w:rPr>
          <w:rFonts w:eastAsia="Times New Roman"/>
          <w:lang w:eastAsia="en-AU"/>
        </w:rPr>
        <w:t>For Australia, the</w:t>
      </w:r>
      <w:r w:rsidR="006B7548" w:rsidRPr="00FB1FCA">
        <w:rPr>
          <w:rFonts w:eastAsia="Times New Roman"/>
          <w:lang w:eastAsia="en-AU"/>
        </w:rPr>
        <w:t xml:space="preserve"> first such rate reduction </w:t>
      </w:r>
      <w:r w:rsidR="00573717">
        <w:rPr>
          <w:rFonts w:eastAsia="Times New Roman"/>
          <w:lang w:eastAsia="en-AU"/>
        </w:rPr>
        <w:t xml:space="preserve">is </w:t>
      </w:r>
      <w:r w:rsidR="006B7548" w:rsidRPr="00FB1FCA">
        <w:rPr>
          <w:rFonts w:eastAsia="Times New Roman"/>
          <w:lang w:eastAsia="en-AU"/>
        </w:rPr>
        <w:t xml:space="preserve">effective no later than 1 January 2017, </w:t>
      </w:r>
      <w:r w:rsidR="00326431" w:rsidRPr="00FB1FCA">
        <w:rPr>
          <w:rFonts w:eastAsia="Times New Roman"/>
          <w:lang w:eastAsia="en-AU"/>
        </w:rPr>
        <w:t xml:space="preserve">and the </w:t>
      </w:r>
      <w:r w:rsidR="006B7548" w:rsidRPr="00FB1FCA">
        <w:rPr>
          <w:rFonts w:eastAsia="Times New Roman"/>
          <w:lang w:eastAsia="en-AU"/>
        </w:rPr>
        <w:t>elimination of customs duties shall be completed no later than 1 July 2019</w:t>
      </w:r>
      <w:r w:rsidR="00F95004" w:rsidRPr="00FB1FCA">
        <w:rPr>
          <w:rFonts w:eastAsia="Times New Roman"/>
          <w:lang w:eastAsia="en-AU"/>
        </w:rPr>
        <w:t>.</w:t>
      </w:r>
      <w:r w:rsidR="00FB1FCA">
        <w:rPr>
          <w:rFonts w:eastAsia="Times New Roman"/>
          <w:lang w:eastAsia="en-AU"/>
        </w:rPr>
        <w:br/>
      </w:r>
    </w:p>
    <w:p w:rsidR="00463C79" w:rsidRPr="00066E78" w:rsidRDefault="00FB1FCA" w:rsidP="00BA20DF">
      <w:pPr>
        <w:pStyle w:val="ListParagraph"/>
        <w:numPr>
          <w:ilvl w:val="1"/>
          <w:numId w:val="3"/>
        </w:numPr>
        <w:tabs>
          <w:tab w:val="left" w:pos="851"/>
          <w:tab w:val="left" w:pos="993"/>
        </w:tabs>
        <w:ind w:left="0" w:firstLine="0"/>
        <w:rPr>
          <w:bCs/>
        </w:rPr>
      </w:pPr>
      <w:r w:rsidRPr="00824CBF">
        <w:t xml:space="preserve">The </w:t>
      </w:r>
      <w:r w:rsidR="006C02F9">
        <w:t>E</w:t>
      </w:r>
      <w:r w:rsidR="00EE068D">
        <w:t xml:space="preserve">xport </w:t>
      </w:r>
      <w:r w:rsidR="006C02F9">
        <w:t>S</w:t>
      </w:r>
      <w:r w:rsidR="00EE068D">
        <w:t xml:space="preserve">ubsidy </w:t>
      </w:r>
      <w:r w:rsidR="006C02F9">
        <w:t>D</w:t>
      </w:r>
      <w:r w:rsidR="00EE068D">
        <w:t xml:space="preserve">ecision </w:t>
      </w:r>
      <w:r w:rsidR="009D4558" w:rsidRPr="00824CBF">
        <w:t>commits Australia</w:t>
      </w:r>
      <w:r w:rsidR="00BA20DF">
        <w:t>, and other WTO Members,</w:t>
      </w:r>
      <w:r w:rsidR="009D4558" w:rsidRPr="00824CBF">
        <w:t xml:space="preserve"> to immediately eliminate </w:t>
      </w:r>
      <w:r w:rsidR="00420E1A">
        <w:t xml:space="preserve">its </w:t>
      </w:r>
      <w:r w:rsidR="000B589C" w:rsidRPr="00824CBF">
        <w:t>agricultural</w:t>
      </w:r>
      <w:r w:rsidR="00420E1A">
        <w:t xml:space="preserve"> export subsidy</w:t>
      </w:r>
      <w:r w:rsidR="000B589C" w:rsidRPr="00824CBF">
        <w:t xml:space="preserve"> </w:t>
      </w:r>
      <w:r w:rsidR="00DB0702" w:rsidRPr="00824CBF">
        <w:t>entitlement</w:t>
      </w:r>
      <w:r w:rsidR="009D4558" w:rsidRPr="00824CBF">
        <w:t>s.</w:t>
      </w:r>
      <w:r w:rsidR="0012341F">
        <w:t xml:space="preserve"> </w:t>
      </w:r>
      <w:r w:rsidR="009D4558" w:rsidRPr="00824CBF">
        <w:t>The proposed amendment to Australia’s Schedule</w:t>
      </w:r>
      <w:r w:rsidR="00F21999">
        <w:t xml:space="preserve"> of Concessions</w:t>
      </w:r>
      <w:r w:rsidR="009D4558" w:rsidRPr="00824CBF">
        <w:t xml:space="preserve"> removes the export subsidy entitlements for the small number of products where export subsidy entitlements remain.</w:t>
      </w:r>
      <w:r w:rsidR="0012341F">
        <w:t xml:space="preserve"> </w:t>
      </w:r>
      <w:r w:rsidR="0047375E">
        <w:t xml:space="preserve"> </w:t>
      </w:r>
      <w:r w:rsidR="00BA20DF">
        <w:t>This includes</w:t>
      </w:r>
      <w:r w:rsidR="00463C79">
        <w:t xml:space="preserve"> </w:t>
      </w:r>
      <w:r w:rsidR="00BA20DF">
        <w:t xml:space="preserve">eliminating remaining </w:t>
      </w:r>
      <w:r w:rsidR="00BA20DF">
        <w:rPr>
          <w:lang w:val="en"/>
        </w:rPr>
        <w:t xml:space="preserve">export subsidy entitlements for pears and certain dairy products (butter, butter oil, skim milk powder, cheese, other milk products), to the value of </w:t>
      </w:r>
      <w:r w:rsidR="00BA20DF" w:rsidRPr="00F21999">
        <w:rPr>
          <w:lang w:val="en"/>
        </w:rPr>
        <w:t>A</w:t>
      </w:r>
      <w:r w:rsidR="00C145B3" w:rsidRPr="0027193E">
        <w:rPr>
          <w:lang w:val="en"/>
        </w:rPr>
        <w:t>UD</w:t>
      </w:r>
      <w:r w:rsidR="00BA20DF" w:rsidRPr="00F21999">
        <w:rPr>
          <w:lang w:val="en"/>
        </w:rPr>
        <w:t xml:space="preserve">88 million </w:t>
      </w:r>
      <w:r w:rsidR="00BA20DF">
        <w:rPr>
          <w:lang w:val="en"/>
        </w:rPr>
        <w:t>from Australia’s Schedule of Concessions</w:t>
      </w:r>
      <w:r w:rsidR="00457BC7">
        <w:rPr>
          <w:lang w:val="en"/>
        </w:rPr>
        <w:t>, noting that these subsidies have not been used for over 15 years</w:t>
      </w:r>
      <w:r w:rsidR="00BA20DF">
        <w:rPr>
          <w:lang w:val="en"/>
        </w:rPr>
        <w:t>.</w:t>
      </w:r>
      <w:r w:rsidR="00463C79">
        <w:rPr>
          <w:lang w:val="en"/>
        </w:rPr>
        <w:t xml:space="preserve"> </w:t>
      </w:r>
    </w:p>
    <w:p w:rsidR="006A4D7A" w:rsidRPr="00066E78" w:rsidRDefault="006A4D7A" w:rsidP="00066E78">
      <w:pPr>
        <w:pStyle w:val="ListParagraph"/>
        <w:tabs>
          <w:tab w:val="left" w:pos="851"/>
          <w:tab w:val="left" w:pos="993"/>
        </w:tabs>
        <w:ind w:left="0"/>
        <w:rPr>
          <w:bCs/>
        </w:rPr>
      </w:pPr>
    </w:p>
    <w:p w:rsidR="001D1EE9" w:rsidRPr="00BA20DF" w:rsidRDefault="009D4558" w:rsidP="00066E78">
      <w:pPr>
        <w:pStyle w:val="ListParagraph"/>
        <w:numPr>
          <w:ilvl w:val="1"/>
          <w:numId w:val="3"/>
        </w:numPr>
        <w:tabs>
          <w:tab w:val="left" w:pos="851"/>
          <w:tab w:val="left" w:pos="993"/>
        </w:tabs>
        <w:ind w:left="0" w:firstLine="0"/>
        <w:rPr>
          <w:bCs/>
        </w:rPr>
      </w:pPr>
      <w:r w:rsidRPr="00824CBF">
        <w:t>As the</w:t>
      </w:r>
      <w:r w:rsidR="000B589C" w:rsidRPr="00824CBF">
        <w:t xml:space="preserve"> </w:t>
      </w:r>
      <w:r w:rsidR="00232226">
        <w:t>amended Schedule</w:t>
      </w:r>
      <w:r w:rsidR="00F21999">
        <w:t xml:space="preserve"> of Concessions</w:t>
      </w:r>
      <w:r w:rsidR="000B589C" w:rsidRPr="00824CBF">
        <w:t xml:space="preserve"> does not list subsidy entitlements</w:t>
      </w:r>
      <w:r w:rsidR="00971D98" w:rsidRPr="00824CBF">
        <w:t xml:space="preserve"> for</w:t>
      </w:r>
      <w:r w:rsidR="000B589C" w:rsidRPr="00824CBF">
        <w:t xml:space="preserve"> any products</w:t>
      </w:r>
      <w:r w:rsidRPr="00824CBF">
        <w:t>, Australia</w:t>
      </w:r>
      <w:r w:rsidR="00232226">
        <w:t xml:space="preserve"> will</w:t>
      </w:r>
      <w:r w:rsidR="00DA5AC8">
        <w:t xml:space="preserve"> be</w:t>
      </w:r>
      <w:r w:rsidR="00DA5AC8" w:rsidRPr="00824CBF">
        <w:t xml:space="preserve"> </w:t>
      </w:r>
      <w:r w:rsidRPr="00824CBF">
        <w:t>prohibited from using export subsidies in any sector</w:t>
      </w:r>
      <w:r w:rsidR="00A42A25">
        <w:t xml:space="preserve"> in the future</w:t>
      </w:r>
      <w:r w:rsidR="000B589C" w:rsidRPr="00824CBF">
        <w:t xml:space="preserve">. </w:t>
      </w:r>
    </w:p>
    <w:p w:rsidR="001D1EE9" w:rsidRPr="00683B42" w:rsidRDefault="001D1EE9" w:rsidP="005A755C">
      <w:pPr>
        <w:pStyle w:val="ListParagraph"/>
        <w:tabs>
          <w:tab w:val="left" w:pos="851"/>
          <w:tab w:val="left" w:pos="993"/>
        </w:tabs>
        <w:ind w:left="0"/>
      </w:pPr>
    </w:p>
    <w:p w:rsidR="00B133E5" w:rsidRPr="00683B42" w:rsidRDefault="00B133E5" w:rsidP="005A755C">
      <w:pPr>
        <w:numPr>
          <w:ilvl w:val="12"/>
          <w:numId w:val="0"/>
        </w:numPr>
        <w:tabs>
          <w:tab w:val="left" w:pos="851"/>
        </w:tabs>
        <w:rPr>
          <w:b/>
        </w:rPr>
      </w:pPr>
      <w:r w:rsidRPr="00683B42">
        <w:rPr>
          <w:b/>
        </w:rPr>
        <w:t xml:space="preserve">Implementation </w:t>
      </w:r>
    </w:p>
    <w:p w:rsidR="00B133E5" w:rsidRPr="00683B42" w:rsidRDefault="00B133E5" w:rsidP="005A755C">
      <w:pPr>
        <w:tabs>
          <w:tab w:val="left" w:pos="851"/>
          <w:tab w:val="left" w:pos="993"/>
        </w:tabs>
        <w:rPr>
          <w:i/>
        </w:rPr>
      </w:pPr>
    </w:p>
    <w:p w:rsidR="00730D7F" w:rsidRDefault="007164BF" w:rsidP="00066E78">
      <w:pPr>
        <w:pStyle w:val="ListParagraph"/>
        <w:numPr>
          <w:ilvl w:val="1"/>
          <w:numId w:val="3"/>
        </w:numPr>
        <w:tabs>
          <w:tab w:val="left" w:pos="851"/>
          <w:tab w:val="left" w:pos="993"/>
        </w:tabs>
        <w:ind w:left="0" w:firstLine="0"/>
      </w:pPr>
      <w:r>
        <w:t>The domestic implementation of the</w:t>
      </w:r>
      <w:r w:rsidR="00915F34" w:rsidRPr="00915F34">
        <w:t xml:space="preserve"> </w:t>
      </w:r>
      <w:r w:rsidR="00915F34">
        <w:t xml:space="preserve">amendments to the </w:t>
      </w:r>
      <w:r w:rsidR="000E0686">
        <w:t>Schedule</w:t>
      </w:r>
      <w:r w:rsidR="00ED174B">
        <w:t xml:space="preserve"> of Concessions </w:t>
      </w:r>
      <w:r w:rsidR="00915F34">
        <w:t>to reflect the</w:t>
      </w:r>
      <w:r w:rsidR="00BA20DF">
        <w:t xml:space="preserve"> </w:t>
      </w:r>
      <w:r w:rsidR="00ED174B">
        <w:t>E</w:t>
      </w:r>
      <w:r w:rsidR="00BA20DF">
        <w:t>xpanded</w:t>
      </w:r>
      <w:r>
        <w:t xml:space="preserve"> ITA requires an amendment to the </w:t>
      </w:r>
      <w:r w:rsidRPr="00730D7F">
        <w:rPr>
          <w:i/>
        </w:rPr>
        <w:t xml:space="preserve">Customs Tariff Act </w:t>
      </w:r>
      <w:r w:rsidR="00484CE2" w:rsidRPr="00730D7F">
        <w:rPr>
          <w:i/>
        </w:rPr>
        <w:t xml:space="preserve">1901 </w:t>
      </w:r>
      <w:r>
        <w:t xml:space="preserve">by 31 December 2016 in order </w:t>
      </w:r>
      <w:r w:rsidR="003F113C">
        <w:t xml:space="preserve">for the agreement to be implemented </w:t>
      </w:r>
      <w:r>
        <w:t xml:space="preserve">by 1 January 2017.  </w:t>
      </w:r>
      <w:r w:rsidR="00730D7F">
        <w:t xml:space="preserve">The </w:t>
      </w:r>
      <w:r w:rsidR="00510BF6">
        <w:t xml:space="preserve">proposed </w:t>
      </w:r>
      <w:r w:rsidR="00730D7F">
        <w:t xml:space="preserve">amendment </w:t>
      </w:r>
      <w:r w:rsidR="00B87FCF">
        <w:t xml:space="preserve">to the Act </w:t>
      </w:r>
      <w:r w:rsidR="008D3F0A">
        <w:t xml:space="preserve">will revise the tariff rates </w:t>
      </w:r>
      <w:r w:rsidR="000E0686">
        <w:t xml:space="preserve">set out </w:t>
      </w:r>
      <w:r w:rsidR="008D3F0A">
        <w:t xml:space="preserve">in </w:t>
      </w:r>
      <w:r w:rsidR="00730D7F">
        <w:t>‘</w:t>
      </w:r>
      <w:r w:rsidR="008D3F0A">
        <w:t>Schedule 3</w:t>
      </w:r>
      <w:r w:rsidR="00917D6B">
        <w:t xml:space="preserve"> </w:t>
      </w:r>
      <w:r w:rsidR="00730D7F">
        <w:t xml:space="preserve">– </w:t>
      </w:r>
      <w:r w:rsidR="00730D7F" w:rsidRPr="00730D7F">
        <w:t>Listing of Goods, their classification and duty rates</w:t>
      </w:r>
      <w:r w:rsidR="00730D7F">
        <w:t>’</w:t>
      </w:r>
      <w:r w:rsidR="009F45EE">
        <w:t xml:space="preserve"> of the Act</w:t>
      </w:r>
      <w:r w:rsidR="00730D7F">
        <w:t xml:space="preserve"> </w:t>
      </w:r>
      <w:r w:rsidR="00B52020">
        <w:t>in accordance with</w:t>
      </w:r>
      <w:r w:rsidR="001D3EC8">
        <w:t xml:space="preserve"> the </w:t>
      </w:r>
      <w:r w:rsidR="00ED174B">
        <w:t>E</w:t>
      </w:r>
      <w:r w:rsidR="00463C79">
        <w:t>xpanded ITA</w:t>
      </w:r>
      <w:r w:rsidR="001D3EC8">
        <w:t xml:space="preserve">. </w:t>
      </w:r>
      <w:r w:rsidR="00730D7F">
        <w:br/>
      </w:r>
    </w:p>
    <w:p w:rsidR="00E66560" w:rsidRDefault="00484CE2" w:rsidP="00066E78">
      <w:pPr>
        <w:pStyle w:val="ListParagraph"/>
        <w:numPr>
          <w:ilvl w:val="1"/>
          <w:numId w:val="3"/>
        </w:numPr>
        <w:tabs>
          <w:tab w:val="left" w:pos="851"/>
          <w:tab w:val="left" w:pos="993"/>
        </w:tabs>
        <w:ind w:left="0" w:firstLine="0"/>
      </w:pPr>
      <w:r>
        <w:t xml:space="preserve">No changes to legislation or policy are required for domestic implementation </w:t>
      </w:r>
      <w:r w:rsidR="00BA20DF">
        <w:t xml:space="preserve">of the </w:t>
      </w:r>
      <w:r w:rsidR="000E0686">
        <w:t xml:space="preserve">proposed </w:t>
      </w:r>
      <w:r w:rsidR="00915F34">
        <w:t xml:space="preserve">amendments to the </w:t>
      </w:r>
      <w:r w:rsidR="000E0686">
        <w:t>Schedule</w:t>
      </w:r>
      <w:r w:rsidR="00A77F43">
        <w:t xml:space="preserve"> of Concessions</w:t>
      </w:r>
      <w:r w:rsidR="00915F34">
        <w:t xml:space="preserve"> to reflect the </w:t>
      </w:r>
      <w:r w:rsidR="00F70150">
        <w:t>E</w:t>
      </w:r>
      <w:r w:rsidR="00BA20DF">
        <w:t xml:space="preserve">xport </w:t>
      </w:r>
      <w:r w:rsidR="00F70150">
        <w:t>S</w:t>
      </w:r>
      <w:r w:rsidR="00BA20DF">
        <w:t xml:space="preserve">ubsidy </w:t>
      </w:r>
      <w:r w:rsidR="00F70150">
        <w:t>D</w:t>
      </w:r>
      <w:r w:rsidR="00BA20DF">
        <w:t>ecision.</w:t>
      </w:r>
      <w:r w:rsidR="00985B68">
        <w:t xml:space="preserve"> Australia has not used export subsidies since </w:t>
      </w:r>
      <w:r w:rsidR="003138AA">
        <w:t>1999-2000.</w:t>
      </w:r>
    </w:p>
    <w:p w:rsidR="00484CE2" w:rsidRPr="00484CE2" w:rsidRDefault="00484CE2" w:rsidP="005A755C">
      <w:pPr>
        <w:tabs>
          <w:tab w:val="left" w:pos="851"/>
          <w:tab w:val="left" w:pos="993"/>
        </w:tabs>
      </w:pPr>
    </w:p>
    <w:p w:rsidR="004D76A9" w:rsidRDefault="004D76A9" w:rsidP="005A755C">
      <w:pPr>
        <w:tabs>
          <w:tab w:val="left" w:pos="851"/>
          <w:tab w:val="left" w:pos="993"/>
        </w:tabs>
        <w:rPr>
          <w:b/>
        </w:rPr>
      </w:pPr>
    </w:p>
    <w:p w:rsidR="00225CB5" w:rsidRDefault="00225CB5" w:rsidP="005A755C">
      <w:pPr>
        <w:tabs>
          <w:tab w:val="left" w:pos="851"/>
          <w:tab w:val="left" w:pos="993"/>
        </w:tabs>
        <w:rPr>
          <w:b/>
        </w:rPr>
      </w:pPr>
    </w:p>
    <w:p w:rsidR="00225CB5" w:rsidRDefault="00225CB5" w:rsidP="005A755C">
      <w:pPr>
        <w:tabs>
          <w:tab w:val="left" w:pos="851"/>
          <w:tab w:val="left" w:pos="993"/>
        </w:tabs>
        <w:rPr>
          <w:b/>
        </w:rPr>
      </w:pPr>
    </w:p>
    <w:p w:rsidR="00B133E5" w:rsidRPr="008D3F0A" w:rsidRDefault="00B133E5" w:rsidP="005A755C">
      <w:pPr>
        <w:tabs>
          <w:tab w:val="left" w:pos="851"/>
          <w:tab w:val="left" w:pos="993"/>
        </w:tabs>
        <w:rPr>
          <w:i/>
          <w:color w:val="1F497D" w:themeColor="text2"/>
        </w:rPr>
      </w:pPr>
      <w:r w:rsidRPr="00683B42">
        <w:rPr>
          <w:b/>
        </w:rPr>
        <w:lastRenderedPageBreak/>
        <w:t>Costs</w:t>
      </w:r>
      <w:r>
        <w:rPr>
          <w:b/>
        </w:rPr>
        <w:t xml:space="preserve"> </w:t>
      </w:r>
    </w:p>
    <w:p w:rsidR="00B133E5" w:rsidRPr="00683B42" w:rsidRDefault="00B133E5" w:rsidP="005A755C">
      <w:pPr>
        <w:tabs>
          <w:tab w:val="left" w:pos="851"/>
          <w:tab w:val="left" w:pos="993"/>
        </w:tabs>
      </w:pPr>
    </w:p>
    <w:p w:rsidR="006A4D7A" w:rsidRDefault="006E0E3D" w:rsidP="00066E78">
      <w:pPr>
        <w:pStyle w:val="ListParagraph"/>
        <w:numPr>
          <w:ilvl w:val="1"/>
          <w:numId w:val="3"/>
        </w:numPr>
        <w:tabs>
          <w:tab w:val="left" w:pos="851"/>
          <w:tab w:val="left" w:pos="993"/>
        </w:tabs>
        <w:ind w:left="0" w:firstLine="0"/>
      </w:pPr>
      <w:r w:rsidRPr="00824CBF">
        <w:rPr>
          <w:bCs/>
        </w:rPr>
        <w:t>The</w:t>
      </w:r>
      <w:r w:rsidR="00C910F7" w:rsidRPr="00824CBF">
        <w:rPr>
          <w:bCs/>
        </w:rPr>
        <w:t xml:space="preserve"> financial cost of </w:t>
      </w:r>
      <w:r w:rsidR="00C03126">
        <w:rPr>
          <w:bCs/>
        </w:rPr>
        <w:t>implementing the amendment to the</w:t>
      </w:r>
      <w:r w:rsidR="00C910F7" w:rsidRPr="00824CBF">
        <w:rPr>
          <w:bCs/>
        </w:rPr>
        <w:t xml:space="preserve"> </w:t>
      </w:r>
      <w:r w:rsidR="000E0686">
        <w:t>Schedule</w:t>
      </w:r>
      <w:r w:rsidR="00A77F43">
        <w:t xml:space="preserve"> of Concessions</w:t>
      </w:r>
      <w:r w:rsidR="00915F34">
        <w:t xml:space="preserve"> </w:t>
      </w:r>
      <w:r w:rsidR="00C03126">
        <w:t>in relation to the</w:t>
      </w:r>
      <w:r w:rsidR="000E0686">
        <w:rPr>
          <w:bCs/>
        </w:rPr>
        <w:t xml:space="preserve"> </w:t>
      </w:r>
      <w:r w:rsidR="00F70150">
        <w:rPr>
          <w:bCs/>
        </w:rPr>
        <w:t>E</w:t>
      </w:r>
      <w:r w:rsidR="00C910F7" w:rsidRPr="00824CBF">
        <w:rPr>
          <w:bCs/>
        </w:rPr>
        <w:t>xpanded ITA is</w:t>
      </w:r>
      <w:r w:rsidR="00AF3E52" w:rsidRPr="00824CBF">
        <w:t xml:space="preserve"> estimated </w:t>
      </w:r>
      <w:r w:rsidR="00C910F7" w:rsidRPr="00824CBF">
        <w:t xml:space="preserve">to be </w:t>
      </w:r>
      <w:r w:rsidR="00AF3E52" w:rsidRPr="00824CBF">
        <w:t>a</w:t>
      </w:r>
      <w:r w:rsidR="00E80362">
        <w:t xml:space="preserve">pproximately </w:t>
      </w:r>
      <w:r w:rsidR="00C145B3" w:rsidRPr="00A77F43">
        <w:t>AUD</w:t>
      </w:r>
      <w:r w:rsidR="00E80362" w:rsidRPr="00F70150">
        <w:t>20 million</w:t>
      </w:r>
      <w:r w:rsidR="00E80362">
        <w:t xml:space="preserve"> in </w:t>
      </w:r>
      <w:proofErr w:type="gramStart"/>
      <w:r w:rsidR="00E80362">
        <w:t>2018-19</w:t>
      </w:r>
      <w:r w:rsidR="00457BC7">
        <w:t>,</w:t>
      </w:r>
      <w:proofErr w:type="gramEnd"/>
      <w:r w:rsidR="00AF3E52" w:rsidRPr="00824CBF">
        <w:t xml:space="preserve"> and </w:t>
      </w:r>
      <w:r w:rsidR="00C145B3" w:rsidRPr="00F70150">
        <w:t>AUD</w:t>
      </w:r>
      <w:r w:rsidR="001A574B" w:rsidRPr="00F70150">
        <w:t>60</w:t>
      </w:r>
      <w:r w:rsidR="00E80362" w:rsidRPr="00F70150">
        <w:t xml:space="preserve"> million</w:t>
      </w:r>
      <w:r w:rsidR="00E80362">
        <w:t xml:space="preserve"> in 2019-20</w:t>
      </w:r>
      <w:r w:rsidR="00AF3E52" w:rsidRPr="00824CBF">
        <w:t>.</w:t>
      </w:r>
      <w:r w:rsidR="0012341F">
        <w:t xml:space="preserve"> </w:t>
      </w:r>
      <w:r w:rsidR="00C910F7" w:rsidRPr="00824CBF">
        <w:t xml:space="preserve">The costs are </w:t>
      </w:r>
      <w:r w:rsidR="00F40ED5" w:rsidRPr="00824CBF">
        <w:t>associated with</w:t>
      </w:r>
      <w:r w:rsidR="00C910F7" w:rsidRPr="00824CBF">
        <w:t xml:space="preserve"> tariff revenue forgone and the estimates</w:t>
      </w:r>
      <w:r w:rsidR="00F40ED5" w:rsidRPr="00824CBF">
        <w:t xml:space="preserve"> are</w:t>
      </w:r>
      <w:r w:rsidR="00C910F7" w:rsidRPr="00824CBF">
        <w:t xml:space="preserve"> based on current trade values. </w:t>
      </w:r>
      <w:r w:rsidR="00463C79" w:rsidRPr="00113C15">
        <w:rPr>
          <w:bCs/>
        </w:rPr>
        <w:t xml:space="preserve">The implementation of the </w:t>
      </w:r>
      <w:r w:rsidR="000E0686">
        <w:rPr>
          <w:bCs/>
        </w:rPr>
        <w:t xml:space="preserve">proposed </w:t>
      </w:r>
      <w:r w:rsidR="00915F34">
        <w:t xml:space="preserve">amendments to the </w:t>
      </w:r>
      <w:r w:rsidR="000E0686">
        <w:t>Schedule</w:t>
      </w:r>
      <w:r w:rsidR="001F7ACF">
        <w:t xml:space="preserve"> of Concessions</w:t>
      </w:r>
      <w:r w:rsidR="00915F34">
        <w:t xml:space="preserve"> to </w:t>
      </w:r>
      <w:r w:rsidR="00F70150">
        <w:t xml:space="preserve">implement </w:t>
      </w:r>
      <w:r w:rsidR="00915F34">
        <w:t xml:space="preserve">the </w:t>
      </w:r>
      <w:r w:rsidR="00F70150">
        <w:rPr>
          <w:bCs/>
        </w:rPr>
        <w:t>E</w:t>
      </w:r>
      <w:r w:rsidR="00463C79" w:rsidRPr="00113C15">
        <w:rPr>
          <w:bCs/>
        </w:rPr>
        <w:t>xpanded ITA will</w:t>
      </w:r>
      <w:r w:rsidR="00463C79" w:rsidRPr="00457BC7">
        <w:rPr>
          <w:bCs/>
        </w:rPr>
        <w:t xml:space="preserve"> reduce the regulatory burden for businesses trading in these products. Businesses previously trading under preferential agreement</w:t>
      </w:r>
      <w:r w:rsidR="00463C79" w:rsidRPr="00A16BE1">
        <w:rPr>
          <w:bCs/>
        </w:rPr>
        <w:t>s</w:t>
      </w:r>
      <w:r w:rsidR="00463C79" w:rsidRPr="00A42A25">
        <w:rPr>
          <w:bCs/>
        </w:rPr>
        <w:t xml:space="preserve"> or concession schemes </w:t>
      </w:r>
      <w:r w:rsidR="003308C4">
        <w:rPr>
          <w:bCs/>
        </w:rPr>
        <w:t>will no longer have the</w:t>
      </w:r>
      <w:r w:rsidR="00463C79" w:rsidRPr="00A42A25">
        <w:rPr>
          <w:bCs/>
        </w:rPr>
        <w:t xml:space="preserve"> administrative burden </w:t>
      </w:r>
      <w:r w:rsidR="003308C4">
        <w:rPr>
          <w:bCs/>
        </w:rPr>
        <w:t>previously associated with</w:t>
      </w:r>
      <w:r w:rsidR="00463C79" w:rsidRPr="00A42A25">
        <w:rPr>
          <w:bCs/>
        </w:rPr>
        <w:t xml:space="preserve"> access</w:t>
      </w:r>
      <w:r w:rsidR="003308C4">
        <w:rPr>
          <w:bCs/>
        </w:rPr>
        <w:t>ing</w:t>
      </w:r>
      <w:r w:rsidR="00463C79" w:rsidRPr="00A42A25">
        <w:rPr>
          <w:bCs/>
        </w:rPr>
        <w:t xml:space="preserve"> lower duty rates</w:t>
      </w:r>
      <w:r w:rsidR="003308C4">
        <w:rPr>
          <w:bCs/>
        </w:rPr>
        <w:t>, for example under an applicable free trade agreement</w:t>
      </w:r>
      <w:r w:rsidR="00463C79" w:rsidRPr="00A42A25">
        <w:rPr>
          <w:bCs/>
        </w:rPr>
        <w:t xml:space="preserve">.  </w:t>
      </w:r>
    </w:p>
    <w:p w:rsidR="006A4D7A" w:rsidRDefault="006A4D7A" w:rsidP="00066E78">
      <w:pPr>
        <w:pStyle w:val="ListParagraph"/>
        <w:tabs>
          <w:tab w:val="left" w:pos="851"/>
          <w:tab w:val="left" w:pos="993"/>
        </w:tabs>
        <w:ind w:left="0"/>
      </w:pPr>
    </w:p>
    <w:p w:rsidR="00C910F7" w:rsidRDefault="00C910F7" w:rsidP="00066E78">
      <w:pPr>
        <w:pStyle w:val="ListParagraph"/>
        <w:numPr>
          <w:ilvl w:val="1"/>
          <w:numId w:val="3"/>
        </w:numPr>
        <w:tabs>
          <w:tab w:val="left" w:pos="851"/>
          <w:tab w:val="left" w:pos="993"/>
        </w:tabs>
        <w:ind w:left="0" w:firstLine="0"/>
        <w:rPr>
          <w:bCs/>
        </w:rPr>
      </w:pPr>
      <w:r w:rsidRPr="00A42A25">
        <w:rPr>
          <w:bCs/>
        </w:rPr>
        <w:t>The financial</w:t>
      </w:r>
      <w:r w:rsidR="00F40ED5" w:rsidRPr="00A42A25">
        <w:rPr>
          <w:bCs/>
        </w:rPr>
        <w:t xml:space="preserve"> cost </w:t>
      </w:r>
      <w:r w:rsidRPr="00A42A25">
        <w:rPr>
          <w:bCs/>
        </w:rPr>
        <w:t xml:space="preserve">of the </w:t>
      </w:r>
      <w:r w:rsidR="00915F34">
        <w:t xml:space="preserve">amendments to the </w:t>
      </w:r>
      <w:r w:rsidR="003F67FD">
        <w:t>Schedule</w:t>
      </w:r>
      <w:r w:rsidR="00A77F43">
        <w:t xml:space="preserve"> of Concessions</w:t>
      </w:r>
      <w:r w:rsidR="00915F34">
        <w:t xml:space="preserve"> to reflect the </w:t>
      </w:r>
      <w:r w:rsidR="00F70150">
        <w:rPr>
          <w:bCs/>
        </w:rPr>
        <w:t>D</w:t>
      </w:r>
      <w:r w:rsidRPr="00A42A25">
        <w:rPr>
          <w:bCs/>
        </w:rPr>
        <w:t xml:space="preserve">ecision on </w:t>
      </w:r>
      <w:r w:rsidR="00F70150">
        <w:rPr>
          <w:bCs/>
        </w:rPr>
        <w:t>E</w:t>
      </w:r>
      <w:r w:rsidRPr="00A42A25">
        <w:rPr>
          <w:bCs/>
        </w:rPr>
        <w:t xml:space="preserve">xport </w:t>
      </w:r>
      <w:r w:rsidR="00F70150">
        <w:rPr>
          <w:bCs/>
        </w:rPr>
        <w:t>S</w:t>
      </w:r>
      <w:r w:rsidRPr="00A42A25">
        <w:rPr>
          <w:bCs/>
        </w:rPr>
        <w:t>ubsidies is</w:t>
      </w:r>
      <w:r w:rsidR="00F40ED5" w:rsidRPr="00A42A25">
        <w:rPr>
          <w:bCs/>
        </w:rPr>
        <w:t xml:space="preserve"> expected to be neutral;</w:t>
      </w:r>
      <w:r w:rsidRPr="00A42A25">
        <w:rPr>
          <w:bCs/>
        </w:rPr>
        <w:t xml:space="preserve"> </w:t>
      </w:r>
      <w:r w:rsidR="00F40ED5" w:rsidRPr="00A42A25">
        <w:rPr>
          <w:bCs/>
        </w:rPr>
        <w:t xml:space="preserve">the </w:t>
      </w:r>
      <w:r w:rsidR="00FB1FCA" w:rsidRPr="00113C15">
        <w:rPr>
          <w:bCs/>
        </w:rPr>
        <w:t xml:space="preserve">elimination of Australia’s remaining agricultural export subsidy entitlements </w:t>
      </w:r>
      <w:r w:rsidRPr="00113C15">
        <w:rPr>
          <w:bCs/>
        </w:rPr>
        <w:t xml:space="preserve">does not change </w:t>
      </w:r>
      <w:r w:rsidR="00F40ED5" w:rsidRPr="00113C15">
        <w:rPr>
          <w:bCs/>
        </w:rPr>
        <w:t>expenditure</w:t>
      </w:r>
      <w:r w:rsidRPr="00113C15">
        <w:rPr>
          <w:bCs/>
        </w:rPr>
        <w:t xml:space="preserve"> or revenue</w:t>
      </w:r>
      <w:r w:rsidR="00457BC7">
        <w:rPr>
          <w:bCs/>
        </w:rPr>
        <w:t xml:space="preserve">. </w:t>
      </w:r>
      <w:r w:rsidR="0047375E">
        <w:rPr>
          <w:bCs/>
        </w:rPr>
        <w:t xml:space="preserve"> </w:t>
      </w:r>
      <w:r w:rsidRPr="00824CBF">
        <w:rPr>
          <w:bCs/>
        </w:rPr>
        <w:t xml:space="preserve">The </w:t>
      </w:r>
      <w:r w:rsidR="00F70150">
        <w:rPr>
          <w:bCs/>
        </w:rPr>
        <w:t>E</w:t>
      </w:r>
      <w:r w:rsidR="001029FE" w:rsidRPr="00824CBF">
        <w:rPr>
          <w:bCs/>
        </w:rPr>
        <w:t xml:space="preserve">xport </w:t>
      </w:r>
      <w:r w:rsidR="00F70150">
        <w:rPr>
          <w:bCs/>
        </w:rPr>
        <w:t>S</w:t>
      </w:r>
      <w:r w:rsidR="001029FE" w:rsidRPr="00824CBF">
        <w:rPr>
          <w:bCs/>
        </w:rPr>
        <w:t xml:space="preserve">ubsidy </w:t>
      </w:r>
      <w:r w:rsidR="00F70150">
        <w:rPr>
          <w:bCs/>
        </w:rPr>
        <w:t>D</w:t>
      </w:r>
      <w:r w:rsidR="001029FE" w:rsidRPr="00824CBF">
        <w:rPr>
          <w:bCs/>
        </w:rPr>
        <w:t xml:space="preserve">ecision will </w:t>
      </w:r>
      <w:r w:rsidR="00463C79">
        <w:rPr>
          <w:bCs/>
        </w:rPr>
        <w:t xml:space="preserve">also </w:t>
      </w:r>
      <w:r w:rsidR="001029FE" w:rsidRPr="00824CBF">
        <w:rPr>
          <w:bCs/>
        </w:rPr>
        <w:t>have a neutral regulatory impact</w:t>
      </w:r>
      <w:r w:rsidR="003F67FD">
        <w:rPr>
          <w:bCs/>
        </w:rPr>
        <w:t>,</w:t>
      </w:r>
      <w:r w:rsidR="001029FE" w:rsidRPr="00824CBF">
        <w:rPr>
          <w:bCs/>
        </w:rPr>
        <w:t xml:space="preserve"> as </w:t>
      </w:r>
      <w:r w:rsidR="003F67FD">
        <w:rPr>
          <w:bCs/>
        </w:rPr>
        <w:t>its</w:t>
      </w:r>
      <w:r w:rsidR="001029FE" w:rsidRPr="00824CBF">
        <w:rPr>
          <w:bCs/>
        </w:rPr>
        <w:t xml:space="preserve"> implementation does not require a change to </w:t>
      </w:r>
      <w:r w:rsidR="00066E78">
        <w:rPr>
          <w:bCs/>
        </w:rPr>
        <w:t xml:space="preserve">domestic </w:t>
      </w:r>
      <w:r w:rsidR="001029FE" w:rsidRPr="00824CBF">
        <w:rPr>
          <w:bCs/>
        </w:rPr>
        <w:t>regulation or policy.</w:t>
      </w:r>
      <w:r w:rsidR="001029FE">
        <w:rPr>
          <w:bCs/>
        </w:rPr>
        <w:t xml:space="preserve"> </w:t>
      </w:r>
    </w:p>
    <w:p w:rsidR="00BA20DF" w:rsidRPr="00C910F7" w:rsidRDefault="00BA20DF" w:rsidP="005A755C">
      <w:pPr>
        <w:tabs>
          <w:tab w:val="left" w:pos="851"/>
          <w:tab w:val="left" w:pos="993"/>
        </w:tabs>
        <w:rPr>
          <w:bCs/>
        </w:rPr>
      </w:pPr>
    </w:p>
    <w:p w:rsidR="00B133E5" w:rsidRPr="00683B42" w:rsidRDefault="00B133E5" w:rsidP="005A755C">
      <w:pPr>
        <w:pStyle w:val="Heading5"/>
        <w:pBdr>
          <w:top w:val="none" w:sz="0" w:space="0" w:color="auto"/>
          <w:left w:val="none" w:sz="0" w:space="0" w:color="auto"/>
          <w:bottom w:val="none" w:sz="0" w:space="0" w:color="auto"/>
          <w:right w:val="none" w:sz="0" w:space="0" w:color="auto"/>
        </w:pBdr>
        <w:tabs>
          <w:tab w:val="left" w:pos="851"/>
          <w:tab w:val="left" w:pos="993"/>
        </w:tabs>
        <w:spacing w:after="0"/>
        <w:jc w:val="left"/>
        <w:rPr>
          <w:rFonts w:ascii="Times New Roman" w:hAnsi="Times New Roman" w:cs="Times New Roman"/>
          <w:color w:val="auto"/>
        </w:rPr>
      </w:pPr>
      <w:r w:rsidRPr="00683B42">
        <w:rPr>
          <w:rFonts w:ascii="Times New Roman" w:hAnsi="Times New Roman" w:cs="Times New Roman"/>
          <w:color w:val="auto"/>
        </w:rPr>
        <w:t>Future treaty action</w:t>
      </w:r>
    </w:p>
    <w:p w:rsidR="00B133E5" w:rsidRDefault="00B133E5" w:rsidP="005A755C">
      <w:pPr>
        <w:tabs>
          <w:tab w:val="left" w:pos="851"/>
        </w:tabs>
        <w:rPr>
          <w:lang w:val="en-US"/>
        </w:rPr>
      </w:pPr>
    </w:p>
    <w:p w:rsidR="0027193E" w:rsidRDefault="009920D1" w:rsidP="0027193E">
      <w:pPr>
        <w:pStyle w:val="ListParagraph"/>
        <w:numPr>
          <w:ilvl w:val="1"/>
          <w:numId w:val="3"/>
        </w:numPr>
        <w:tabs>
          <w:tab w:val="left" w:pos="851"/>
          <w:tab w:val="left" w:pos="993"/>
        </w:tabs>
        <w:ind w:left="0" w:firstLine="0"/>
        <w:rPr>
          <w:bCs/>
        </w:rPr>
      </w:pPr>
      <w:r>
        <w:rPr>
          <w:lang w:val="en-US"/>
        </w:rPr>
        <w:t xml:space="preserve">Any future change to Australia’s Schedule of Concessions, </w:t>
      </w:r>
      <w:r w:rsidR="00413B1A">
        <w:t xml:space="preserve">including </w:t>
      </w:r>
      <w:r w:rsidR="00787F18">
        <w:t>giving effect to further commitments on information technology or export</w:t>
      </w:r>
      <w:r w:rsidR="00413B1A">
        <w:t xml:space="preserve"> subsidies</w:t>
      </w:r>
      <w:r w:rsidR="00413B1A">
        <w:rPr>
          <w:lang w:val="en-US"/>
        </w:rPr>
        <w:t xml:space="preserve">, </w:t>
      </w:r>
      <w:r>
        <w:rPr>
          <w:lang w:val="en-US"/>
        </w:rPr>
        <w:t xml:space="preserve">could be made in accordance with the relevant WTO provisions. </w:t>
      </w:r>
      <w:r w:rsidR="0047375E">
        <w:rPr>
          <w:lang w:val="en-US"/>
        </w:rPr>
        <w:t xml:space="preserve"> </w:t>
      </w:r>
      <w:r w:rsidR="00581F79">
        <w:rPr>
          <w:lang w:val="en-US"/>
        </w:rPr>
        <w:t>Any such</w:t>
      </w:r>
      <w:r w:rsidR="00FD30C6">
        <w:rPr>
          <w:lang w:val="en-US"/>
        </w:rPr>
        <w:t xml:space="preserve"> </w:t>
      </w:r>
      <w:r w:rsidR="00581F79">
        <w:rPr>
          <w:lang w:val="en-US"/>
        </w:rPr>
        <w:t>amendments</w:t>
      </w:r>
      <w:r>
        <w:rPr>
          <w:lang w:val="en-US"/>
        </w:rPr>
        <w:t xml:space="preserve"> to Australia’s obligations would also be subject to domestic treaty</w:t>
      </w:r>
      <w:r w:rsidR="00581F79">
        <w:rPr>
          <w:lang w:val="en-US"/>
        </w:rPr>
        <w:t>-making requirements</w:t>
      </w:r>
      <w:r>
        <w:rPr>
          <w:lang w:val="en-US"/>
        </w:rPr>
        <w:t>, including tabling in Parliament and consideration by the Joint Standing Committee on Treaties.</w:t>
      </w:r>
      <w:r w:rsidR="0027193E" w:rsidRPr="0027193E">
        <w:rPr>
          <w:bCs/>
        </w:rPr>
        <w:t xml:space="preserve"> </w:t>
      </w:r>
    </w:p>
    <w:p w:rsidR="009920D1" w:rsidRDefault="009920D1" w:rsidP="009920D1">
      <w:pPr>
        <w:tabs>
          <w:tab w:val="left" w:pos="851"/>
        </w:tabs>
        <w:rPr>
          <w:lang w:val="en-US"/>
        </w:rPr>
      </w:pPr>
    </w:p>
    <w:p w:rsidR="0027193E" w:rsidRDefault="009920D1" w:rsidP="0027193E">
      <w:pPr>
        <w:pStyle w:val="ListParagraph"/>
        <w:numPr>
          <w:ilvl w:val="1"/>
          <w:numId w:val="3"/>
        </w:numPr>
        <w:tabs>
          <w:tab w:val="left" w:pos="851"/>
          <w:tab w:val="left" w:pos="993"/>
        </w:tabs>
        <w:ind w:left="0" w:firstLine="0"/>
        <w:rPr>
          <w:bCs/>
        </w:rPr>
      </w:pPr>
      <w:r>
        <w:rPr>
          <w:lang w:val="en-US"/>
        </w:rPr>
        <w:t xml:space="preserve">A WTO provision for dealing with the renegotiation of concessions is </w:t>
      </w:r>
      <w:r w:rsidRPr="00872E0B">
        <w:rPr>
          <w:lang w:val="en-US"/>
        </w:rPr>
        <w:t>Article XXVIII</w:t>
      </w:r>
      <w:r>
        <w:rPr>
          <w:lang w:val="en-US"/>
        </w:rPr>
        <w:t xml:space="preserve"> of the GATT 1994 entitled “Modification of Schedules”. </w:t>
      </w:r>
      <w:r w:rsidR="0047375E">
        <w:rPr>
          <w:lang w:val="en-US"/>
        </w:rPr>
        <w:t xml:space="preserve"> </w:t>
      </w:r>
      <w:r>
        <w:rPr>
          <w:lang w:val="en-US"/>
        </w:rPr>
        <w:t xml:space="preserve">Any increase in tariffs or other trade barriers would need to be negotiated with interested WTO members, who would likely seek compensatory adjustments. </w:t>
      </w:r>
    </w:p>
    <w:p w:rsidR="00351832" w:rsidRDefault="009920D1" w:rsidP="008377FA">
      <w:pPr>
        <w:tabs>
          <w:tab w:val="left" w:pos="851"/>
        </w:tabs>
        <w:rPr>
          <w:lang w:val="en-US"/>
        </w:rPr>
      </w:pPr>
      <w:r>
        <w:rPr>
          <w:lang w:val="en-US"/>
        </w:rPr>
        <w:t xml:space="preserve"> </w:t>
      </w:r>
    </w:p>
    <w:p w:rsidR="0027193E" w:rsidRDefault="009920D1" w:rsidP="0027193E">
      <w:pPr>
        <w:pStyle w:val="ListParagraph"/>
        <w:numPr>
          <w:ilvl w:val="1"/>
          <w:numId w:val="3"/>
        </w:numPr>
        <w:tabs>
          <w:tab w:val="left" w:pos="851"/>
          <w:tab w:val="left" w:pos="993"/>
        </w:tabs>
        <w:ind w:left="0" w:firstLine="0"/>
        <w:rPr>
          <w:bCs/>
        </w:rPr>
      </w:pPr>
      <w:r>
        <w:rPr>
          <w:lang w:val="en-US"/>
        </w:rPr>
        <w:t xml:space="preserve">Alternatively, Australia could seek to amend its obligations under the procedures in </w:t>
      </w:r>
      <w:r w:rsidRPr="00872E0B">
        <w:rPr>
          <w:lang w:val="en-US"/>
        </w:rPr>
        <w:t>Article X</w:t>
      </w:r>
      <w:r>
        <w:rPr>
          <w:lang w:val="en-US"/>
        </w:rPr>
        <w:t xml:space="preserve"> of the Marrakesh Agreemen</w:t>
      </w:r>
      <w:r w:rsidR="00872E0B">
        <w:rPr>
          <w:lang w:val="en-US"/>
        </w:rPr>
        <w:t xml:space="preserve">t (which requires acceptance </w:t>
      </w:r>
      <w:r>
        <w:rPr>
          <w:lang w:val="en-US"/>
        </w:rPr>
        <w:t xml:space="preserve">by two thirds of WTO members), or in accordance with the </w:t>
      </w:r>
      <w:r>
        <w:rPr>
          <w:i/>
          <w:lang w:val="en-US"/>
        </w:rPr>
        <w:t xml:space="preserve">Decision of 26 March 1980 </w:t>
      </w:r>
      <w:r w:rsidRPr="005F4510">
        <w:rPr>
          <w:lang w:val="en-US"/>
        </w:rPr>
        <w:t>on</w:t>
      </w:r>
      <w:r>
        <w:rPr>
          <w:i/>
          <w:lang w:val="en-US"/>
        </w:rPr>
        <w:t xml:space="preserve"> Procedures for Modification and Rectification of Schedules of Tariff Concessions</w:t>
      </w:r>
      <w:r w:rsidR="006F4485">
        <w:rPr>
          <w:rStyle w:val="FootnoteReference"/>
          <w:i/>
          <w:lang w:val="en-US"/>
        </w:rPr>
        <w:footnoteReference w:id="5"/>
      </w:r>
      <w:r>
        <w:rPr>
          <w:lang w:val="en-US"/>
        </w:rPr>
        <w:t xml:space="preserve"> (which provides a simplified procedure for changes, provided no Member objects within a three month period). </w:t>
      </w:r>
    </w:p>
    <w:p w:rsidR="009920D1" w:rsidRPr="008377FA" w:rsidRDefault="009920D1" w:rsidP="00872E0B">
      <w:pPr>
        <w:tabs>
          <w:tab w:val="left" w:pos="851"/>
        </w:tabs>
        <w:rPr>
          <w:lang w:val="en-US"/>
        </w:rPr>
      </w:pPr>
    </w:p>
    <w:p w:rsidR="00B133E5" w:rsidRPr="00683B42" w:rsidRDefault="00B133E5" w:rsidP="005A755C">
      <w:pPr>
        <w:pStyle w:val="Heading5"/>
        <w:pBdr>
          <w:top w:val="none" w:sz="0" w:space="0" w:color="auto"/>
          <w:left w:val="none" w:sz="0" w:space="0" w:color="auto"/>
          <w:bottom w:val="none" w:sz="0" w:space="0" w:color="auto"/>
          <w:right w:val="none" w:sz="0" w:space="0" w:color="auto"/>
        </w:pBdr>
        <w:tabs>
          <w:tab w:val="left" w:pos="851"/>
          <w:tab w:val="left" w:pos="993"/>
        </w:tabs>
        <w:spacing w:after="0"/>
        <w:jc w:val="left"/>
        <w:rPr>
          <w:rFonts w:ascii="Times New Roman" w:hAnsi="Times New Roman" w:cs="Times New Roman"/>
          <w:color w:val="auto"/>
        </w:rPr>
      </w:pPr>
      <w:r w:rsidRPr="00683B42">
        <w:rPr>
          <w:rFonts w:ascii="Times New Roman" w:hAnsi="Times New Roman" w:cs="Times New Roman"/>
          <w:color w:val="auto"/>
        </w:rPr>
        <w:t>Withdrawal or denunciation</w:t>
      </w:r>
    </w:p>
    <w:p w:rsidR="00B133E5" w:rsidRDefault="00B133E5" w:rsidP="005A755C">
      <w:pPr>
        <w:tabs>
          <w:tab w:val="left" w:pos="851"/>
          <w:tab w:val="left" w:pos="993"/>
        </w:tabs>
        <w:rPr>
          <w:lang w:val="en-US"/>
        </w:rPr>
      </w:pPr>
    </w:p>
    <w:p w:rsidR="00316B30" w:rsidRPr="006012A3" w:rsidRDefault="00C72C99" w:rsidP="006012A3">
      <w:pPr>
        <w:pStyle w:val="ListParagraph"/>
        <w:numPr>
          <w:ilvl w:val="1"/>
          <w:numId w:val="3"/>
        </w:numPr>
        <w:tabs>
          <w:tab w:val="left" w:pos="851"/>
          <w:tab w:val="left" w:pos="993"/>
        </w:tabs>
        <w:ind w:left="0" w:firstLine="0"/>
        <w:rPr>
          <w:lang w:val="en-US"/>
        </w:rPr>
      </w:pPr>
      <w:r w:rsidRPr="00A42A25">
        <w:rPr>
          <w:lang w:val="en-US"/>
        </w:rPr>
        <w:t xml:space="preserve">The </w:t>
      </w:r>
      <w:r w:rsidR="004A0A4F">
        <w:rPr>
          <w:lang w:val="en-US"/>
        </w:rPr>
        <w:t xml:space="preserve">proposed </w:t>
      </w:r>
      <w:r w:rsidRPr="00A42A25">
        <w:rPr>
          <w:lang w:val="en-US"/>
        </w:rPr>
        <w:t xml:space="preserve">amendments to Australia’s </w:t>
      </w:r>
      <w:r w:rsidR="00351832">
        <w:rPr>
          <w:lang w:val="en-US"/>
        </w:rPr>
        <w:t>Schedule</w:t>
      </w:r>
      <w:r w:rsidR="00872E0B">
        <w:rPr>
          <w:lang w:val="en-US"/>
        </w:rPr>
        <w:t xml:space="preserve"> of Concessions</w:t>
      </w:r>
      <w:r w:rsidR="00EB3B6F">
        <w:rPr>
          <w:lang w:val="en-US"/>
        </w:rPr>
        <w:t xml:space="preserve"> to</w:t>
      </w:r>
      <w:r w:rsidRPr="00A42A25">
        <w:rPr>
          <w:lang w:val="en-US"/>
        </w:rPr>
        <w:t xml:space="preserve"> </w:t>
      </w:r>
      <w:r w:rsidR="00351832">
        <w:rPr>
          <w:lang w:val="en-US"/>
        </w:rPr>
        <w:t xml:space="preserve">implement </w:t>
      </w:r>
      <w:r w:rsidRPr="00A42A25">
        <w:rPr>
          <w:lang w:val="en-US"/>
        </w:rPr>
        <w:t xml:space="preserve">the </w:t>
      </w:r>
      <w:r w:rsidR="00872E0B">
        <w:rPr>
          <w:lang w:val="en-US"/>
        </w:rPr>
        <w:t>E</w:t>
      </w:r>
      <w:r w:rsidR="00FB446C" w:rsidRPr="00A42A25">
        <w:rPr>
          <w:lang w:val="en-US"/>
        </w:rPr>
        <w:t xml:space="preserve">xpanded </w:t>
      </w:r>
      <w:r w:rsidRPr="00A42A25">
        <w:rPr>
          <w:lang w:val="en-US"/>
        </w:rPr>
        <w:t xml:space="preserve">ITA and </w:t>
      </w:r>
      <w:r w:rsidR="00872E0B">
        <w:rPr>
          <w:lang w:val="en-US"/>
        </w:rPr>
        <w:t>E</w:t>
      </w:r>
      <w:r w:rsidRPr="00A42A25">
        <w:rPr>
          <w:lang w:val="en-US"/>
        </w:rPr>
        <w:t xml:space="preserve">xport </w:t>
      </w:r>
      <w:r w:rsidR="00872E0B">
        <w:rPr>
          <w:lang w:val="en-US"/>
        </w:rPr>
        <w:t>S</w:t>
      </w:r>
      <w:r w:rsidRPr="00A42A25">
        <w:rPr>
          <w:lang w:val="en-US"/>
        </w:rPr>
        <w:t>ubsid</w:t>
      </w:r>
      <w:r w:rsidR="00A77F43">
        <w:rPr>
          <w:lang w:val="en-US"/>
        </w:rPr>
        <w:t>y</w:t>
      </w:r>
      <w:r w:rsidRPr="00A42A25">
        <w:rPr>
          <w:lang w:val="en-US"/>
        </w:rPr>
        <w:t xml:space="preserve"> </w:t>
      </w:r>
      <w:r w:rsidR="00872E0B">
        <w:rPr>
          <w:lang w:val="en-US"/>
        </w:rPr>
        <w:t xml:space="preserve">Decision </w:t>
      </w:r>
      <w:r w:rsidR="009B7D9C">
        <w:rPr>
          <w:lang w:val="en-US"/>
        </w:rPr>
        <w:t>may be</w:t>
      </w:r>
      <w:r w:rsidRPr="00A42A25">
        <w:rPr>
          <w:lang w:val="en-US"/>
        </w:rPr>
        <w:t xml:space="preserve"> reversed in the fu</w:t>
      </w:r>
      <w:r w:rsidR="00225CB5">
        <w:rPr>
          <w:lang w:val="en-US"/>
        </w:rPr>
        <w:t xml:space="preserve">ture, but would need to follow a </w:t>
      </w:r>
      <w:r w:rsidRPr="00A42A25">
        <w:rPr>
          <w:lang w:val="en-US"/>
        </w:rPr>
        <w:t xml:space="preserve">procedure for modification of schedules as outlined </w:t>
      </w:r>
      <w:r w:rsidRPr="00A42A25">
        <w:rPr>
          <w:lang w:val="en-US"/>
        </w:rPr>
        <w:lastRenderedPageBreak/>
        <w:t xml:space="preserve">in the previous section. </w:t>
      </w:r>
      <w:r w:rsidR="0047375E">
        <w:rPr>
          <w:lang w:val="en-US"/>
        </w:rPr>
        <w:t xml:space="preserve"> </w:t>
      </w:r>
      <w:r w:rsidR="006012A3">
        <w:rPr>
          <w:lang w:val="en-US"/>
        </w:rPr>
        <w:t>However, o</w:t>
      </w:r>
      <w:proofErr w:type="spellStart"/>
      <w:r w:rsidR="00EF5889" w:rsidRPr="006012A3">
        <w:rPr>
          <w:bCs/>
        </w:rPr>
        <w:t>nce</w:t>
      </w:r>
      <w:proofErr w:type="spellEnd"/>
      <w:r w:rsidR="00EF5889" w:rsidRPr="006012A3">
        <w:rPr>
          <w:bCs/>
        </w:rPr>
        <w:t xml:space="preserve"> the amendments have been made to Australia’s GATT </w:t>
      </w:r>
      <w:r w:rsidR="00831F65" w:rsidRPr="006012A3">
        <w:rPr>
          <w:lang w:val="en-US"/>
        </w:rPr>
        <w:t>Schedule of Concessions</w:t>
      </w:r>
      <w:r w:rsidR="00EF5889" w:rsidRPr="006012A3">
        <w:rPr>
          <w:bCs/>
        </w:rPr>
        <w:t xml:space="preserve">, it is unlikely that Australia would be able to </w:t>
      </w:r>
      <w:r w:rsidR="00316B30" w:rsidRPr="006012A3">
        <w:rPr>
          <w:bCs/>
        </w:rPr>
        <w:t xml:space="preserve">reverse </w:t>
      </w:r>
      <w:r w:rsidR="006012A3" w:rsidRPr="006012A3">
        <w:rPr>
          <w:bCs/>
        </w:rPr>
        <w:t>the amendments that</w:t>
      </w:r>
      <w:r w:rsidR="000432D4" w:rsidRPr="006012A3">
        <w:rPr>
          <w:bCs/>
        </w:rPr>
        <w:t xml:space="preserve"> </w:t>
      </w:r>
      <w:r w:rsidR="006F4485" w:rsidRPr="006012A3">
        <w:rPr>
          <w:bCs/>
        </w:rPr>
        <w:t xml:space="preserve">implement </w:t>
      </w:r>
      <w:r w:rsidR="00EF5889" w:rsidRPr="006012A3">
        <w:rPr>
          <w:bCs/>
        </w:rPr>
        <w:t xml:space="preserve">the </w:t>
      </w:r>
      <w:r w:rsidR="00831F65" w:rsidRPr="006012A3">
        <w:rPr>
          <w:bCs/>
        </w:rPr>
        <w:t>E</w:t>
      </w:r>
      <w:r w:rsidR="00EF5889" w:rsidRPr="006012A3">
        <w:rPr>
          <w:bCs/>
        </w:rPr>
        <w:t xml:space="preserve">xpanded ITA or </w:t>
      </w:r>
      <w:r w:rsidR="00831F65" w:rsidRPr="006012A3">
        <w:rPr>
          <w:bCs/>
        </w:rPr>
        <w:t>E</w:t>
      </w:r>
      <w:r w:rsidR="00EF5889" w:rsidRPr="006012A3">
        <w:rPr>
          <w:bCs/>
        </w:rPr>
        <w:t xml:space="preserve">xport </w:t>
      </w:r>
      <w:r w:rsidR="00831F65" w:rsidRPr="006012A3">
        <w:rPr>
          <w:bCs/>
        </w:rPr>
        <w:t>S</w:t>
      </w:r>
      <w:r w:rsidR="00EF5889" w:rsidRPr="006012A3">
        <w:rPr>
          <w:bCs/>
        </w:rPr>
        <w:t xml:space="preserve">ubsidy </w:t>
      </w:r>
      <w:r w:rsidR="00831F65" w:rsidRPr="006012A3">
        <w:rPr>
          <w:bCs/>
        </w:rPr>
        <w:t>D</w:t>
      </w:r>
      <w:r w:rsidR="00EF5889" w:rsidRPr="006012A3">
        <w:rPr>
          <w:bCs/>
        </w:rPr>
        <w:t>ecision without negotiating compensatory adjustments to other commitments</w:t>
      </w:r>
      <w:r w:rsidR="006012A3">
        <w:rPr>
          <w:bCs/>
        </w:rPr>
        <w:t xml:space="preserve"> with all WTO Members. </w:t>
      </w:r>
    </w:p>
    <w:p w:rsidR="00316B30" w:rsidRPr="00316B30" w:rsidRDefault="00316B30" w:rsidP="00787F18">
      <w:pPr>
        <w:pStyle w:val="ListParagraph"/>
        <w:rPr>
          <w:bCs/>
        </w:rPr>
      </w:pPr>
    </w:p>
    <w:p w:rsidR="006012A3" w:rsidRDefault="00C72C99" w:rsidP="00066E78">
      <w:pPr>
        <w:pStyle w:val="ListParagraph"/>
        <w:numPr>
          <w:ilvl w:val="1"/>
          <w:numId w:val="3"/>
        </w:numPr>
        <w:tabs>
          <w:tab w:val="left" w:pos="851"/>
        </w:tabs>
        <w:ind w:left="0" w:firstLine="0"/>
        <w:rPr>
          <w:bCs/>
        </w:rPr>
      </w:pPr>
      <w:r w:rsidRPr="00BC36A7">
        <w:rPr>
          <w:bCs/>
        </w:rPr>
        <w:t>Article XV</w:t>
      </w:r>
      <w:r w:rsidRPr="00A42A25">
        <w:rPr>
          <w:bCs/>
        </w:rPr>
        <w:t xml:space="preserve"> of the Marrakesh Agreement provides for the withdrawal of Members from the WTO, including the GATT, and therefore </w:t>
      </w:r>
      <w:r w:rsidR="001E1CF6">
        <w:rPr>
          <w:bCs/>
        </w:rPr>
        <w:t xml:space="preserve">from Australia’s Schedule </w:t>
      </w:r>
      <w:r w:rsidR="005175DC">
        <w:rPr>
          <w:bCs/>
        </w:rPr>
        <w:t xml:space="preserve">of Concessions </w:t>
      </w:r>
      <w:r w:rsidR="006012A3">
        <w:rPr>
          <w:bCs/>
        </w:rPr>
        <w:t>that</w:t>
      </w:r>
      <w:r w:rsidRPr="00A42A25">
        <w:rPr>
          <w:bCs/>
        </w:rPr>
        <w:t xml:space="preserve"> </w:t>
      </w:r>
      <w:r w:rsidR="006012A3">
        <w:rPr>
          <w:bCs/>
        </w:rPr>
        <w:t>contains the commitments in the</w:t>
      </w:r>
      <w:r w:rsidRPr="00A42A25">
        <w:rPr>
          <w:bCs/>
        </w:rPr>
        <w:t xml:space="preserve"> </w:t>
      </w:r>
      <w:r w:rsidR="005175DC">
        <w:rPr>
          <w:bCs/>
        </w:rPr>
        <w:t>E</w:t>
      </w:r>
      <w:r w:rsidR="00FB446C" w:rsidRPr="00A42A25">
        <w:rPr>
          <w:bCs/>
        </w:rPr>
        <w:t xml:space="preserve">xpanded </w:t>
      </w:r>
      <w:r w:rsidRPr="00A42A25">
        <w:rPr>
          <w:bCs/>
        </w:rPr>
        <w:t xml:space="preserve">ITA and the </w:t>
      </w:r>
      <w:r w:rsidR="005175DC">
        <w:rPr>
          <w:bCs/>
        </w:rPr>
        <w:t>E</w:t>
      </w:r>
      <w:r w:rsidR="00963F18">
        <w:rPr>
          <w:bCs/>
        </w:rPr>
        <w:t xml:space="preserve">xport </w:t>
      </w:r>
      <w:r w:rsidR="005175DC">
        <w:rPr>
          <w:bCs/>
        </w:rPr>
        <w:t>S</w:t>
      </w:r>
      <w:r w:rsidR="00963F18">
        <w:rPr>
          <w:bCs/>
        </w:rPr>
        <w:t xml:space="preserve">ubsidy </w:t>
      </w:r>
      <w:r w:rsidR="005175DC">
        <w:rPr>
          <w:bCs/>
        </w:rPr>
        <w:t>D</w:t>
      </w:r>
      <w:r w:rsidR="00963F18">
        <w:rPr>
          <w:bCs/>
        </w:rPr>
        <w:t>ecision</w:t>
      </w:r>
      <w:r w:rsidR="00345A05">
        <w:rPr>
          <w:bCs/>
        </w:rPr>
        <w:t>.</w:t>
      </w:r>
      <w:r w:rsidR="0012341F" w:rsidRPr="00A42A25">
        <w:rPr>
          <w:bCs/>
        </w:rPr>
        <w:t xml:space="preserve"> </w:t>
      </w:r>
      <w:r w:rsidR="0047375E">
        <w:rPr>
          <w:bCs/>
        </w:rPr>
        <w:t xml:space="preserve"> </w:t>
      </w:r>
      <w:r w:rsidRPr="00BC36A7">
        <w:rPr>
          <w:bCs/>
        </w:rPr>
        <w:t>Article XV</w:t>
      </w:r>
      <w:r w:rsidRPr="00A42A25">
        <w:rPr>
          <w:bCs/>
        </w:rPr>
        <w:t xml:space="preserve"> provides that such withdrawal shall apply to all of the multilateral trade agreements annexed to the Marrakesh Agreement. That is, Australia may only withdraw from the WTO as a whole.</w:t>
      </w:r>
      <w:r w:rsidR="0012341F" w:rsidRPr="00A42A25">
        <w:rPr>
          <w:bCs/>
        </w:rPr>
        <w:t xml:space="preserve"> </w:t>
      </w:r>
    </w:p>
    <w:p w:rsidR="006012A3" w:rsidRPr="006012A3" w:rsidRDefault="006012A3" w:rsidP="006012A3">
      <w:pPr>
        <w:pStyle w:val="ListParagraph"/>
        <w:rPr>
          <w:bCs/>
        </w:rPr>
      </w:pPr>
    </w:p>
    <w:p w:rsidR="00C72C99" w:rsidRPr="00A42A25" w:rsidRDefault="001E1CF6" w:rsidP="00066E78">
      <w:pPr>
        <w:pStyle w:val="ListParagraph"/>
        <w:numPr>
          <w:ilvl w:val="1"/>
          <w:numId w:val="3"/>
        </w:numPr>
        <w:tabs>
          <w:tab w:val="left" w:pos="851"/>
        </w:tabs>
        <w:ind w:left="0" w:firstLine="0"/>
        <w:rPr>
          <w:bCs/>
        </w:rPr>
      </w:pPr>
      <w:r>
        <w:rPr>
          <w:bCs/>
        </w:rPr>
        <w:t>Any decision by Australia to withdraw</w:t>
      </w:r>
      <w:r w:rsidR="00C72C99" w:rsidRPr="00A42A25">
        <w:rPr>
          <w:bCs/>
        </w:rPr>
        <w:t xml:space="preserve"> from the Marrakesh Agreement would result in Australia losing its Most Favoured Nation status and a range of other rights that </w:t>
      </w:r>
      <w:r>
        <w:rPr>
          <w:bCs/>
        </w:rPr>
        <w:t>its Membership</w:t>
      </w:r>
      <w:r w:rsidR="00C72C99" w:rsidRPr="00A42A25">
        <w:rPr>
          <w:bCs/>
        </w:rPr>
        <w:t xml:space="preserve"> of the WTO provides. </w:t>
      </w:r>
      <w:r w:rsidR="0047375E">
        <w:rPr>
          <w:bCs/>
        </w:rPr>
        <w:t xml:space="preserve"> </w:t>
      </w:r>
      <w:r>
        <w:rPr>
          <w:bCs/>
        </w:rPr>
        <w:t>Any withdrawal from the WTO would</w:t>
      </w:r>
      <w:r w:rsidR="00C72C99" w:rsidRPr="00A42A25">
        <w:rPr>
          <w:bCs/>
        </w:rPr>
        <w:t xml:space="preserve"> </w:t>
      </w:r>
      <w:r w:rsidR="00C145B3">
        <w:rPr>
          <w:bCs/>
        </w:rPr>
        <w:t xml:space="preserve">take </w:t>
      </w:r>
      <w:r w:rsidR="00C72C99" w:rsidRPr="00A42A25">
        <w:rPr>
          <w:bCs/>
        </w:rPr>
        <w:t>effect upon the expiration of six months from the date on which written notice of withdrawal is received by the Director-General of the WTO.</w:t>
      </w:r>
      <w:r w:rsidR="00B57ACA">
        <w:rPr>
          <w:bCs/>
        </w:rPr>
        <w:t xml:space="preserve"> </w:t>
      </w:r>
    </w:p>
    <w:p w:rsidR="00937149" w:rsidRPr="00683B42" w:rsidRDefault="00937149" w:rsidP="005A755C">
      <w:pPr>
        <w:tabs>
          <w:tab w:val="left" w:pos="851"/>
          <w:tab w:val="left" w:pos="993"/>
        </w:tabs>
        <w:rPr>
          <w:lang w:val="en-US"/>
        </w:rPr>
      </w:pPr>
    </w:p>
    <w:p w:rsidR="00B133E5" w:rsidRPr="00683B42" w:rsidRDefault="00B133E5" w:rsidP="005A755C">
      <w:pPr>
        <w:pStyle w:val="Heading1"/>
        <w:tabs>
          <w:tab w:val="left" w:pos="851"/>
        </w:tabs>
        <w:spacing w:after="0"/>
        <w:jc w:val="left"/>
        <w:rPr>
          <w:i/>
          <w:color w:val="auto"/>
        </w:rPr>
      </w:pPr>
      <w:r w:rsidRPr="00683B42">
        <w:rPr>
          <w:color w:val="auto"/>
        </w:rPr>
        <w:t>Contact details</w:t>
      </w:r>
      <w:r w:rsidR="00E54354">
        <w:rPr>
          <w:color w:val="auto"/>
        </w:rPr>
        <w:br/>
      </w:r>
    </w:p>
    <w:p w:rsidR="00B133E5" w:rsidRPr="00683B42" w:rsidRDefault="00D11BF3" w:rsidP="005A755C">
      <w:pPr>
        <w:pStyle w:val="NumberedSeries"/>
        <w:widowControl/>
        <w:tabs>
          <w:tab w:val="clear" w:pos="565"/>
          <w:tab w:val="left" w:pos="851"/>
        </w:tabs>
        <w:spacing w:after="0"/>
        <w:rPr>
          <w:rFonts w:ascii="Times New Roman" w:hAnsi="Times New Roman" w:cs="Times New Roman"/>
          <w:color w:val="auto"/>
          <w:sz w:val="24"/>
        </w:rPr>
      </w:pPr>
      <w:r>
        <w:rPr>
          <w:rFonts w:ascii="Times New Roman" w:hAnsi="Times New Roman" w:cs="Times New Roman"/>
          <w:color w:val="auto"/>
          <w:sz w:val="24"/>
        </w:rPr>
        <w:t>Industrials and Market Access Section</w:t>
      </w:r>
    </w:p>
    <w:p w:rsidR="00B133E5" w:rsidRPr="00683B42" w:rsidRDefault="00D11BF3" w:rsidP="005A755C">
      <w:pPr>
        <w:pStyle w:val="NumberedSeries"/>
        <w:widowControl/>
        <w:tabs>
          <w:tab w:val="clear" w:pos="565"/>
          <w:tab w:val="left" w:pos="851"/>
        </w:tabs>
        <w:spacing w:after="0"/>
        <w:rPr>
          <w:rFonts w:ascii="Times New Roman" w:hAnsi="Times New Roman" w:cs="Times New Roman"/>
          <w:color w:val="auto"/>
          <w:sz w:val="24"/>
        </w:rPr>
      </w:pPr>
      <w:r>
        <w:rPr>
          <w:rFonts w:ascii="Times New Roman" w:hAnsi="Times New Roman" w:cs="Times New Roman"/>
          <w:color w:val="auto"/>
          <w:sz w:val="24"/>
        </w:rPr>
        <w:t xml:space="preserve">Office of Trade Negotiations </w:t>
      </w:r>
    </w:p>
    <w:p w:rsidR="00B133E5" w:rsidRPr="00683B42" w:rsidRDefault="00D11BF3" w:rsidP="005A755C">
      <w:pPr>
        <w:tabs>
          <w:tab w:val="left" w:pos="851"/>
        </w:tabs>
      </w:pPr>
      <w:r>
        <w:t>Department of Foreign Affairs and Trade</w:t>
      </w:r>
    </w:p>
    <w:p w:rsidR="00656AA8" w:rsidRDefault="00656AA8" w:rsidP="00225CB5">
      <w:pPr>
        <w:tabs>
          <w:tab w:val="left" w:pos="851"/>
        </w:tabs>
        <w:jc w:val="center"/>
        <w:sectPr w:rsidR="00656AA8" w:rsidSect="00C362D5">
          <w:pgSz w:w="11906" w:h="16838"/>
          <w:pgMar w:top="1440" w:right="1800" w:bottom="1440" w:left="1800" w:header="708" w:footer="708" w:gutter="0"/>
          <w:cols w:space="708"/>
          <w:docGrid w:linePitch="360"/>
        </w:sectPr>
      </w:pPr>
    </w:p>
    <w:p w:rsidR="00FA58DA" w:rsidRDefault="00FA58DA">
      <w:r>
        <w:lastRenderedPageBreak/>
        <w:br w:type="page"/>
      </w:r>
      <w:bookmarkStart w:id="2" w:name="_GoBack"/>
      <w:bookmarkEnd w:id="2"/>
    </w:p>
    <w:p w:rsidR="00FA58DA" w:rsidRDefault="00FA58DA" w:rsidP="00FA58DA">
      <w:pPr>
        <w:tabs>
          <w:tab w:val="left" w:pos="851"/>
        </w:tabs>
        <w:jc w:val="center"/>
        <w:rPr>
          <w:b/>
        </w:rPr>
      </w:pPr>
      <w:r w:rsidRPr="0047375E">
        <w:rPr>
          <w:b/>
        </w:rPr>
        <w:lastRenderedPageBreak/>
        <w:t>ATTACHMENT ON CONSULTATION</w:t>
      </w:r>
    </w:p>
    <w:p w:rsidR="00FA58DA" w:rsidRPr="0047375E" w:rsidRDefault="00FA58DA" w:rsidP="00FA58DA">
      <w:pPr>
        <w:tabs>
          <w:tab w:val="left" w:pos="851"/>
        </w:tabs>
        <w:jc w:val="center"/>
        <w:rPr>
          <w:b/>
        </w:rPr>
      </w:pPr>
    </w:p>
    <w:p w:rsidR="00FA58DA" w:rsidRDefault="00FA58DA" w:rsidP="00FA58DA">
      <w:pPr>
        <w:tabs>
          <w:tab w:val="left" w:pos="851"/>
        </w:tabs>
        <w:jc w:val="center"/>
        <w:rPr>
          <w:b/>
        </w:rPr>
      </w:pPr>
      <w:r>
        <w:rPr>
          <w:b/>
        </w:rPr>
        <w:t xml:space="preserve">Amendment of Australia’s </w:t>
      </w:r>
      <w:r w:rsidRPr="00473563">
        <w:rPr>
          <w:b/>
        </w:rPr>
        <w:t>Schedule of Concessions</w:t>
      </w:r>
      <w:r>
        <w:rPr>
          <w:b/>
        </w:rPr>
        <w:t xml:space="preserve"> under the General Agreement on Tariffs and Trade 1994 (GATT) and the Marrakesh Agreement establishing the World Trade Organization </w:t>
      </w:r>
    </w:p>
    <w:p w:rsidR="00FA58DA" w:rsidRDefault="00FA58DA" w:rsidP="00FA58DA">
      <w:pPr>
        <w:tabs>
          <w:tab w:val="left" w:pos="851"/>
        </w:tabs>
        <w:jc w:val="center"/>
        <w:rPr>
          <w:b/>
          <w:bCs/>
        </w:rPr>
      </w:pPr>
      <w:proofErr w:type="gramStart"/>
      <w:r>
        <w:rPr>
          <w:b/>
        </w:rPr>
        <w:t>for</w:t>
      </w:r>
      <w:proofErr w:type="gramEnd"/>
      <w:r>
        <w:rPr>
          <w:b/>
        </w:rPr>
        <w:t xml:space="preserve"> </w:t>
      </w:r>
      <w:r>
        <w:rPr>
          <w:b/>
          <w:bCs/>
        </w:rPr>
        <w:t>Implementation of:</w:t>
      </w:r>
    </w:p>
    <w:p w:rsidR="00FA58DA" w:rsidRDefault="00FA58DA" w:rsidP="00FA58DA">
      <w:pPr>
        <w:tabs>
          <w:tab w:val="left" w:pos="851"/>
        </w:tabs>
        <w:jc w:val="center"/>
        <w:rPr>
          <w:b/>
          <w:bCs/>
        </w:rPr>
      </w:pPr>
      <w:r>
        <w:rPr>
          <w:b/>
          <w:bCs/>
        </w:rPr>
        <w:br/>
      </w:r>
      <w:r w:rsidRPr="003D31A8">
        <w:rPr>
          <w:b/>
          <w:bCs/>
        </w:rPr>
        <w:t>Ministerial Declaration on the Expansion of Trade in I</w:t>
      </w:r>
      <w:r>
        <w:rPr>
          <w:b/>
          <w:bCs/>
        </w:rPr>
        <w:t xml:space="preserve">nformation Technology Products </w:t>
      </w:r>
    </w:p>
    <w:p w:rsidR="00FA58DA" w:rsidRDefault="00FA58DA" w:rsidP="00FA58DA">
      <w:pPr>
        <w:tabs>
          <w:tab w:val="left" w:pos="851"/>
        </w:tabs>
        <w:jc w:val="center"/>
        <w:rPr>
          <w:b/>
          <w:bCs/>
        </w:rPr>
      </w:pPr>
      <w:r>
        <w:rPr>
          <w:bCs/>
        </w:rPr>
        <w:t>(Nairobi, 16 December 2015)</w:t>
      </w:r>
      <w:r>
        <w:rPr>
          <w:bCs/>
        </w:rPr>
        <w:br/>
      </w:r>
    </w:p>
    <w:p w:rsidR="00FA58DA" w:rsidRDefault="00FA58DA" w:rsidP="00FA58DA">
      <w:pPr>
        <w:tabs>
          <w:tab w:val="left" w:pos="851"/>
        </w:tabs>
        <w:jc w:val="center"/>
        <w:rPr>
          <w:b/>
          <w:bCs/>
        </w:rPr>
      </w:pPr>
      <w:proofErr w:type="gramStart"/>
      <w:r>
        <w:rPr>
          <w:b/>
          <w:bCs/>
        </w:rPr>
        <w:t>and</w:t>
      </w:r>
      <w:proofErr w:type="gramEnd"/>
      <w:r>
        <w:rPr>
          <w:b/>
          <w:bCs/>
        </w:rPr>
        <w:t xml:space="preserve"> </w:t>
      </w:r>
      <w:r>
        <w:rPr>
          <w:b/>
          <w:bCs/>
        </w:rPr>
        <w:br/>
      </w:r>
    </w:p>
    <w:p w:rsidR="00FA58DA" w:rsidRDefault="00FA58DA" w:rsidP="00FA58DA">
      <w:pPr>
        <w:tabs>
          <w:tab w:val="left" w:pos="851"/>
        </w:tabs>
        <w:jc w:val="center"/>
        <w:rPr>
          <w:b/>
          <w:bCs/>
        </w:rPr>
      </w:pPr>
      <w:r w:rsidRPr="003D31A8">
        <w:rPr>
          <w:b/>
          <w:bCs/>
        </w:rPr>
        <w:t xml:space="preserve">Ministerial </w:t>
      </w:r>
      <w:r>
        <w:rPr>
          <w:b/>
          <w:bCs/>
        </w:rPr>
        <w:t xml:space="preserve">Decision - </w:t>
      </w:r>
      <w:r w:rsidRPr="003D31A8">
        <w:rPr>
          <w:b/>
          <w:bCs/>
        </w:rPr>
        <w:t xml:space="preserve">Export Competition </w:t>
      </w:r>
      <w:r>
        <w:rPr>
          <w:b/>
          <w:bCs/>
          <w:i/>
        </w:rPr>
        <w:br/>
      </w:r>
      <w:r>
        <w:rPr>
          <w:bCs/>
        </w:rPr>
        <w:t>(</w:t>
      </w:r>
      <w:r w:rsidRPr="00D26573">
        <w:rPr>
          <w:bCs/>
        </w:rPr>
        <w:t xml:space="preserve">Nairobi, </w:t>
      </w:r>
      <w:r>
        <w:rPr>
          <w:bCs/>
        </w:rPr>
        <w:t>19</w:t>
      </w:r>
      <w:r w:rsidRPr="00D26573">
        <w:rPr>
          <w:bCs/>
        </w:rPr>
        <w:t xml:space="preserve"> December 2015</w:t>
      </w:r>
      <w:r>
        <w:rPr>
          <w:bCs/>
        </w:rPr>
        <w:t>)</w:t>
      </w:r>
    </w:p>
    <w:p w:rsidR="00FA58DA" w:rsidRDefault="00FA58DA" w:rsidP="00FA58DA">
      <w:pPr>
        <w:tabs>
          <w:tab w:val="left" w:pos="851"/>
        </w:tabs>
        <w:jc w:val="center"/>
        <w:rPr>
          <w:b/>
          <w:bCs/>
        </w:rPr>
      </w:pPr>
    </w:p>
    <w:p w:rsidR="00FA58DA" w:rsidRDefault="00FA58DA" w:rsidP="00FA58DA">
      <w:pPr>
        <w:tabs>
          <w:tab w:val="left" w:pos="851"/>
        </w:tabs>
        <w:jc w:val="center"/>
        <w:rPr>
          <w:b/>
          <w:bCs/>
        </w:rPr>
      </w:pPr>
      <w:r>
        <w:rPr>
          <w:b/>
          <w:bCs/>
        </w:rPr>
        <w:t>[2016] ATNIA 9</w:t>
      </w:r>
    </w:p>
    <w:p w:rsidR="00FA58DA" w:rsidRPr="00D26573" w:rsidRDefault="00FA58DA" w:rsidP="00FA58DA">
      <w:pPr>
        <w:tabs>
          <w:tab w:val="left" w:pos="851"/>
        </w:tabs>
        <w:jc w:val="center"/>
      </w:pPr>
      <w:r>
        <w:rPr>
          <w:b/>
          <w:bCs/>
        </w:rPr>
        <w:t xml:space="preserve">[2016] </w:t>
      </w:r>
      <w:r w:rsidRPr="00D26573">
        <w:rPr>
          <w:b/>
          <w:bCs/>
        </w:rPr>
        <w:t xml:space="preserve">ATNIF </w:t>
      </w:r>
      <w:r>
        <w:rPr>
          <w:b/>
          <w:bCs/>
        </w:rPr>
        <w:t>3</w:t>
      </w:r>
      <w:r w:rsidR="00914C7C">
        <w:rPr>
          <w:b/>
          <w:bCs/>
        </w:rPr>
        <w:t>4</w:t>
      </w:r>
    </w:p>
    <w:p w:rsidR="00FA58DA" w:rsidRPr="00DE15AE" w:rsidRDefault="00FA58DA" w:rsidP="00FA58DA">
      <w:pPr>
        <w:tabs>
          <w:tab w:val="left" w:pos="851"/>
        </w:tabs>
        <w:rPr>
          <w:i/>
          <w:color w:val="1F497D" w:themeColor="text2"/>
        </w:rPr>
      </w:pPr>
    </w:p>
    <w:p w:rsidR="00FA58DA" w:rsidRPr="00683B42" w:rsidRDefault="00FA58DA" w:rsidP="00FA58DA">
      <w:pPr>
        <w:tabs>
          <w:tab w:val="left" w:pos="851"/>
          <w:tab w:val="left" w:pos="993"/>
          <w:tab w:val="left" w:pos="1276"/>
        </w:tabs>
        <w:rPr>
          <w:b/>
          <w:bCs/>
        </w:rPr>
      </w:pPr>
      <w:r w:rsidRPr="00683B42">
        <w:rPr>
          <w:b/>
          <w:bCs/>
        </w:rPr>
        <w:t xml:space="preserve">CONSULTATION </w:t>
      </w:r>
    </w:p>
    <w:p w:rsidR="00FA58DA" w:rsidRPr="00683B42" w:rsidRDefault="00FA58DA" w:rsidP="00FA58DA">
      <w:pPr>
        <w:tabs>
          <w:tab w:val="left" w:pos="851"/>
          <w:tab w:val="left" w:pos="993"/>
          <w:tab w:val="left" w:pos="1276"/>
        </w:tabs>
      </w:pPr>
    </w:p>
    <w:p w:rsidR="00FA58DA" w:rsidRPr="00162F75" w:rsidRDefault="00FA58DA" w:rsidP="00FA58DA">
      <w:pPr>
        <w:tabs>
          <w:tab w:val="left" w:pos="851"/>
          <w:tab w:val="left" w:pos="993"/>
        </w:tabs>
      </w:pPr>
      <w:r>
        <w:rPr>
          <w:i/>
        </w:rPr>
        <w:t xml:space="preserve">Ministerial Declaration on the Expanded ITA </w:t>
      </w:r>
      <w:r>
        <w:rPr>
          <w:i/>
        </w:rPr>
        <w:br/>
      </w:r>
    </w:p>
    <w:p w:rsidR="00FA58DA" w:rsidRDefault="00FA58DA" w:rsidP="00FA58DA">
      <w:pPr>
        <w:pStyle w:val="ListParagraph"/>
        <w:numPr>
          <w:ilvl w:val="1"/>
          <w:numId w:val="3"/>
        </w:numPr>
        <w:tabs>
          <w:tab w:val="left" w:pos="851"/>
        </w:tabs>
        <w:ind w:left="0" w:firstLine="0"/>
      </w:pPr>
      <w:r>
        <w:t xml:space="preserve">Consultation was undertaken by the </w:t>
      </w:r>
      <w:r w:rsidRPr="00AB55E3">
        <w:t xml:space="preserve">Department of Foreign Affairs and Trade </w:t>
      </w:r>
      <w:r>
        <w:t>(DFAT) and the Department of Industry, Innovation and Science prior to commencement of negotiations.  There was strong support for participation in the Expanded ITA by a range of Australian industry groups, including the Australian Industry Group (Ai Group), the Australian Information Industry Association, the Interactive Games and Entertainment Association, the Consumer Electronics Society of Australia,</w:t>
      </w:r>
      <w:r w:rsidR="00A3635F">
        <w:t xml:space="preserve"> and various companies</w:t>
      </w:r>
      <w:r>
        <w:t xml:space="preserve">. </w:t>
      </w:r>
    </w:p>
    <w:p w:rsidR="00FA58DA" w:rsidRDefault="00FA58DA" w:rsidP="00FA58DA">
      <w:pPr>
        <w:tabs>
          <w:tab w:val="left" w:pos="851"/>
          <w:tab w:val="left" w:pos="993"/>
        </w:tabs>
      </w:pPr>
    </w:p>
    <w:p w:rsidR="00FA58DA" w:rsidRDefault="00FA58DA" w:rsidP="00FA58DA">
      <w:pPr>
        <w:pStyle w:val="ListParagraph"/>
        <w:numPr>
          <w:ilvl w:val="1"/>
          <w:numId w:val="3"/>
        </w:numPr>
        <w:tabs>
          <w:tab w:val="left" w:pos="851"/>
        </w:tabs>
        <w:ind w:left="0" w:firstLine="0"/>
      </w:pPr>
      <w:r w:rsidRPr="002026A8">
        <w:t>The</w:t>
      </w:r>
      <w:r>
        <w:t xml:space="preserve"> aforementioned industry</w:t>
      </w:r>
      <w:r w:rsidRPr="002026A8">
        <w:t xml:space="preserve"> groups </w:t>
      </w:r>
      <w:r>
        <w:t xml:space="preserve">were </w:t>
      </w:r>
      <w:r w:rsidRPr="002026A8">
        <w:t xml:space="preserve">consulted on the </w:t>
      </w:r>
      <w:r>
        <w:t>Expanded ITA product list throughout the negotiations (2012 to 2015</w:t>
      </w:r>
      <w:r w:rsidRPr="002026A8">
        <w:t>). During these consultations, the in</w:t>
      </w:r>
      <w:r w:rsidR="00762C61">
        <w:t xml:space="preserve">dustry </w:t>
      </w:r>
      <w:r>
        <w:t>groups outlined their priority products for inclusion in the agreement, as well as priority products for staged duty reductions</w:t>
      </w:r>
      <w:r w:rsidRPr="002026A8">
        <w:t xml:space="preserve">. Consultation with the </w:t>
      </w:r>
      <w:r w:rsidR="00BA3FC5" w:rsidRPr="002026A8">
        <w:t>in</w:t>
      </w:r>
      <w:r w:rsidR="00BA3FC5">
        <w:t xml:space="preserve">dustry </w:t>
      </w:r>
      <w:r w:rsidRPr="002026A8">
        <w:t>groups primarily took the form of face-to-face meetings, teleconferences and emails.</w:t>
      </w:r>
      <w:r w:rsidRPr="00B01517">
        <w:t xml:space="preserve"> </w:t>
      </w:r>
    </w:p>
    <w:p w:rsidR="00FA58DA" w:rsidRDefault="00FA58DA" w:rsidP="00FA58DA">
      <w:pPr>
        <w:tabs>
          <w:tab w:val="left" w:pos="851"/>
        </w:tabs>
      </w:pPr>
    </w:p>
    <w:p w:rsidR="00FA58DA" w:rsidRDefault="00FA58DA" w:rsidP="00FA58DA">
      <w:pPr>
        <w:pStyle w:val="ListParagraph"/>
        <w:numPr>
          <w:ilvl w:val="1"/>
          <w:numId w:val="3"/>
        </w:numPr>
        <w:tabs>
          <w:tab w:val="left" w:pos="851"/>
        </w:tabs>
        <w:ind w:left="0" w:firstLine="0"/>
      </w:pPr>
      <w:r>
        <w:t>The industry groups were asked to notify their members and seek feedback, and there was a call for submissions process via the DFAT website.</w:t>
      </w:r>
      <w:r>
        <w:rPr>
          <w:i/>
          <w:color w:val="1F497D" w:themeColor="text2"/>
        </w:rPr>
        <w:t xml:space="preserve"> </w:t>
      </w:r>
      <w:r>
        <w:t>Public s</w:t>
      </w:r>
      <w:r w:rsidRPr="007F76BC">
        <w:t xml:space="preserve">ubmissions and enquires </w:t>
      </w:r>
      <w:r>
        <w:t xml:space="preserve">were open throughout the negotiation process. </w:t>
      </w:r>
      <w:r>
        <w:br/>
      </w:r>
    </w:p>
    <w:p w:rsidR="00FA58DA" w:rsidRDefault="00FA58DA" w:rsidP="00FA58DA">
      <w:pPr>
        <w:pStyle w:val="ListParagraph"/>
        <w:numPr>
          <w:ilvl w:val="1"/>
          <w:numId w:val="3"/>
        </w:numPr>
        <w:tabs>
          <w:tab w:val="left" w:pos="851"/>
        </w:tabs>
        <w:ind w:left="0" w:firstLine="0"/>
      </w:pPr>
      <w:r>
        <w:t xml:space="preserve">States and Territories were notified of the matter through the biannual Commonwealth-State and Territories Standing Committee on Treaties (SCOT) meetings. No issues were raised in this process. </w:t>
      </w:r>
    </w:p>
    <w:p w:rsidR="00FA58DA" w:rsidRPr="00683B42" w:rsidRDefault="00FA58DA" w:rsidP="00FA58DA">
      <w:pPr>
        <w:tabs>
          <w:tab w:val="left" w:pos="851"/>
          <w:tab w:val="left" w:pos="993"/>
        </w:tabs>
      </w:pPr>
    </w:p>
    <w:p w:rsidR="00FA58DA" w:rsidRDefault="00FA58DA" w:rsidP="00FA58DA">
      <w:pPr>
        <w:tabs>
          <w:tab w:val="left" w:pos="851"/>
          <w:tab w:val="left" w:pos="993"/>
        </w:tabs>
      </w:pPr>
      <w:r>
        <w:rPr>
          <w:i/>
        </w:rPr>
        <w:t xml:space="preserve">Ministerial Decision on Export Competition  </w:t>
      </w:r>
      <w:r>
        <w:rPr>
          <w:i/>
        </w:rPr>
        <w:br/>
      </w:r>
    </w:p>
    <w:p w:rsidR="00FA58DA" w:rsidRDefault="00FA58DA" w:rsidP="00FA58DA">
      <w:pPr>
        <w:pStyle w:val="ListParagraph"/>
        <w:numPr>
          <w:ilvl w:val="1"/>
          <w:numId w:val="3"/>
        </w:numPr>
        <w:tabs>
          <w:tab w:val="left" w:pos="851"/>
        </w:tabs>
        <w:ind w:left="0" w:firstLine="0"/>
      </w:pPr>
      <w:r>
        <w:t>The</w:t>
      </w:r>
      <w:r w:rsidRPr="00AB55E3">
        <w:t xml:space="preserve"> National Farmers’ Federation (NFF) and other agricultural industry groups have worked with successive Australian governments to achieve </w:t>
      </w:r>
      <w:r>
        <w:t xml:space="preserve">the elimination of export subsidies </w:t>
      </w:r>
      <w:r w:rsidRPr="00AB55E3">
        <w:t xml:space="preserve">in global agricultural trade </w:t>
      </w:r>
      <w:r>
        <w:t xml:space="preserve">since </w:t>
      </w:r>
      <w:r w:rsidRPr="00AB55E3">
        <w:t xml:space="preserve">the launch of the </w:t>
      </w:r>
      <w:r w:rsidRPr="00AB55E3">
        <w:lastRenderedPageBreak/>
        <w:t>WTO Doha R</w:t>
      </w:r>
      <w:r>
        <w:t xml:space="preserve">ound of negotiations in 2001. </w:t>
      </w:r>
      <w:r w:rsidRPr="00AB55E3">
        <w:t>A draft negotiating text developed in 2008 incorporated a range of global trade reforms, including a specific proposal to eliminate export subsidies. This proposal and the 2008 negotiating text have since be</w:t>
      </w:r>
      <w:r>
        <w:t>come</w:t>
      </w:r>
      <w:r w:rsidRPr="00AB55E3">
        <w:t xml:space="preserve"> publicly available and were discussed extensively between the Government and Australian stakeholder groups at the time and in subsequent years.    </w:t>
      </w:r>
    </w:p>
    <w:p w:rsidR="00FA58DA" w:rsidRDefault="00FA58DA" w:rsidP="00FA58DA">
      <w:pPr>
        <w:pStyle w:val="ListParagraph"/>
        <w:tabs>
          <w:tab w:val="left" w:pos="851"/>
        </w:tabs>
        <w:ind w:left="0"/>
      </w:pPr>
      <w:r w:rsidRPr="00AB55E3">
        <w:t xml:space="preserve"> </w:t>
      </w:r>
    </w:p>
    <w:p w:rsidR="00FA58DA" w:rsidRPr="00AB55E3" w:rsidRDefault="00FA58DA" w:rsidP="00FA58DA">
      <w:pPr>
        <w:pStyle w:val="ListParagraph"/>
        <w:numPr>
          <w:ilvl w:val="1"/>
          <w:numId w:val="3"/>
        </w:numPr>
        <w:tabs>
          <w:tab w:val="left" w:pos="851"/>
        </w:tabs>
        <w:ind w:left="0" w:firstLine="0"/>
      </w:pPr>
      <w:r>
        <w:t>DFAT</w:t>
      </w:r>
      <w:r w:rsidRPr="00AB55E3">
        <w:t xml:space="preserve"> and the Department of Agriculture and Water Resources consulted agriculture and related industry groups in the lead-up to the 10</w:t>
      </w:r>
      <w:r w:rsidRPr="0047375E">
        <w:t>th</w:t>
      </w:r>
      <w:r w:rsidRPr="00AB55E3">
        <w:t xml:space="preserve"> WTO Ministerial Conference, to discuss the full range of potential agriculture outcomes at that Conference. This included a formal consultation meeting on 6 November </w:t>
      </w:r>
      <w:r>
        <w:t>2015.  Views were sought from t</w:t>
      </w:r>
      <w:r w:rsidRPr="00AB55E3">
        <w:t>he following stakeholder groups:</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Dairy Industry Council</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Dairy Farmers</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Food and Grocery Council</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Grain Exporters Association</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Horticultural Exporters' Association</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Livestock Exporters’ Council</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Meat Industry Council</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Nut Industry Council</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Oilseeds Federation</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Pork Limited</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Australian Wool Innovation Limited</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Canegrowers</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Cattle Council of Australia</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Dairy Australia</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 xml:space="preserve">Grain Growers </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Grains Industry Market Access Forum</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Grain Producers Australia</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 xml:space="preserve">Meat and Livestock Australia </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 xml:space="preserve">National Farmers’ Federation </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 xml:space="preserve">Northern Territory Cattlemen’s Association </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 xml:space="preserve">Office of Horticultural Market Access </w:t>
      </w:r>
    </w:p>
    <w:p w:rsidR="00FA58DA" w:rsidRPr="00AB55E3" w:rsidRDefault="00FA58DA" w:rsidP="00FA58DA">
      <w:pPr>
        <w:pStyle w:val="TableTextform"/>
        <w:numPr>
          <w:ilvl w:val="0"/>
          <w:numId w:val="8"/>
        </w:numPr>
        <w:spacing w:before="0" w:after="0"/>
        <w:rPr>
          <w:rFonts w:ascii="Times New Roman" w:hAnsi="Times New Roman" w:cs="Times New Roman"/>
          <w:sz w:val="24"/>
        </w:rPr>
      </w:pPr>
      <w:proofErr w:type="spellStart"/>
      <w:r w:rsidRPr="00AB55E3">
        <w:rPr>
          <w:rFonts w:ascii="Times New Roman" w:hAnsi="Times New Roman" w:cs="Times New Roman"/>
          <w:sz w:val="24"/>
        </w:rPr>
        <w:t>Ricegrowers</w:t>
      </w:r>
      <w:proofErr w:type="spellEnd"/>
      <w:r w:rsidRPr="00AB55E3">
        <w:rPr>
          <w:rFonts w:ascii="Times New Roman" w:hAnsi="Times New Roman" w:cs="Times New Roman"/>
          <w:sz w:val="24"/>
        </w:rPr>
        <w:t>’ Association of Australia</w:t>
      </w:r>
    </w:p>
    <w:p w:rsidR="00FA58DA" w:rsidRPr="00AB55E3" w:rsidRDefault="00FA58DA" w:rsidP="00FA58DA">
      <w:pPr>
        <w:pStyle w:val="TableTextform"/>
        <w:numPr>
          <w:ilvl w:val="0"/>
          <w:numId w:val="8"/>
        </w:numPr>
        <w:spacing w:before="0" w:after="0"/>
        <w:rPr>
          <w:rFonts w:ascii="Times New Roman" w:hAnsi="Times New Roman" w:cs="Times New Roman"/>
          <w:sz w:val="24"/>
        </w:rPr>
      </w:pPr>
      <w:proofErr w:type="spellStart"/>
      <w:r w:rsidRPr="00AB55E3">
        <w:rPr>
          <w:rFonts w:ascii="Times New Roman" w:hAnsi="Times New Roman" w:cs="Times New Roman"/>
          <w:sz w:val="24"/>
        </w:rPr>
        <w:t>Sheepmeat</w:t>
      </w:r>
      <w:proofErr w:type="spellEnd"/>
      <w:r w:rsidRPr="00AB55E3">
        <w:rPr>
          <w:rFonts w:ascii="Times New Roman" w:hAnsi="Times New Roman" w:cs="Times New Roman"/>
          <w:sz w:val="24"/>
        </w:rPr>
        <w:t xml:space="preserve"> Council of Australia</w:t>
      </w:r>
    </w:p>
    <w:p w:rsidR="00FA58DA" w:rsidRPr="00AB55E3" w:rsidRDefault="00FA58DA" w:rsidP="00FA58DA">
      <w:pPr>
        <w:pStyle w:val="TableTextform"/>
        <w:numPr>
          <w:ilvl w:val="0"/>
          <w:numId w:val="8"/>
        </w:numPr>
        <w:spacing w:before="0" w:after="0"/>
        <w:rPr>
          <w:rFonts w:ascii="Times New Roman" w:hAnsi="Times New Roman" w:cs="Times New Roman"/>
          <w:sz w:val="24"/>
        </w:rPr>
      </w:pPr>
      <w:proofErr w:type="spellStart"/>
      <w:r w:rsidRPr="00AB55E3">
        <w:rPr>
          <w:rFonts w:ascii="Times New Roman" w:hAnsi="Times New Roman" w:cs="Times New Roman"/>
          <w:sz w:val="24"/>
        </w:rPr>
        <w:t>SunRice</w:t>
      </w:r>
      <w:proofErr w:type="spellEnd"/>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Wine Australia</w:t>
      </w:r>
    </w:p>
    <w:p w:rsidR="00FA58DA" w:rsidRPr="00AB55E3" w:rsidRDefault="00FA58DA" w:rsidP="00FA58DA">
      <w:pPr>
        <w:pStyle w:val="TableTextform"/>
        <w:numPr>
          <w:ilvl w:val="0"/>
          <w:numId w:val="8"/>
        </w:numPr>
        <w:spacing w:before="0" w:after="0"/>
        <w:rPr>
          <w:rFonts w:ascii="Times New Roman" w:hAnsi="Times New Roman" w:cs="Times New Roman"/>
          <w:sz w:val="24"/>
        </w:rPr>
      </w:pPr>
      <w:r w:rsidRPr="00AB55E3">
        <w:rPr>
          <w:rFonts w:ascii="Times New Roman" w:hAnsi="Times New Roman" w:cs="Times New Roman"/>
          <w:sz w:val="24"/>
        </w:rPr>
        <w:t>Winemakers’ Federation of Australia</w:t>
      </w:r>
      <w:r w:rsidRPr="00AB55E3">
        <w:rPr>
          <w:rFonts w:ascii="Times New Roman" w:hAnsi="Times New Roman" w:cs="Times New Roman"/>
          <w:sz w:val="24"/>
        </w:rPr>
        <w:tab/>
      </w:r>
    </w:p>
    <w:p w:rsidR="00FA58DA" w:rsidRPr="00AB55E3" w:rsidRDefault="00FA58DA" w:rsidP="00FA58DA">
      <w:pPr>
        <w:pStyle w:val="TableTextform"/>
        <w:spacing w:before="0" w:after="0"/>
        <w:rPr>
          <w:rFonts w:ascii="Times New Roman" w:hAnsi="Times New Roman" w:cs="Times New Roman"/>
          <w:sz w:val="24"/>
        </w:rPr>
      </w:pPr>
    </w:p>
    <w:p w:rsidR="00FA58DA" w:rsidRDefault="00FA58DA" w:rsidP="00FA58DA">
      <w:pPr>
        <w:pStyle w:val="ListParagraph"/>
        <w:numPr>
          <w:ilvl w:val="1"/>
          <w:numId w:val="3"/>
        </w:numPr>
        <w:tabs>
          <w:tab w:val="left" w:pos="851"/>
        </w:tabs>
        <w:ind w:left="0" w:firstLine="0"/>
      </w:pPr>
      <w:r w:rsidRPr="00824CBF">
        <w:t>The outcomes of this consultation were taken fully into account in the development of the Government’s negotiating mandate. All responses from stakeholders were supportive of the proposal to remove export subsidies.</w:t>
      </w:r>
      <w:r w:rsidRPr="00DE7D78">
        <w:t xml:space="preserve"> </w:t>
      </w:r>
    </w:p>
    <w:p w:rsidR="00FA58DA" w:rsidRDefault="00FA58DA" w:rsidP="00FA58DA">
      <w:pPr>
        <w:sectPr w:rsidR="00FA58DA" w:rsidSect="00FA58DA">
          <w:type w:val="continuous"/>
          <w:pgSz w:w="11906" w:h="16838"/>
          <w:pgMar w:top="1440" w:right="1800" w:bottom="1440" w:left="1800" w:header="708" w:footer="708" w:gutter="0"/>
          <w:cols w:space="708"/>
          <w:docGrid w:linePitch="360"/>
        </w:sectPr>
      </w:pPr>
      <w:r>
        <w:br/>
      </w:r>
      <w:r>
        <w:rPr>
          <w:i/>
        </w:rPr>
        <w:br/>
      </w:r>
    </w:p>
    <w:p w:rsidR="00FA58DA" w:rsidRDefault="00FA58DA" w:rsidP="00FA58DA"/>
    <w:p w:rsidR="00FA58DA" w:rsidRDefault="00FA58DA" w:rsidP="00FA58DA"/>
    <w:p w:rsidR="00C362D5" w:rsidRDefault="00C362D5"/>
    <w:sectPr w:rsidR="00C362D5" w:rsidSect="00881FCE">
      <w:type w:val="continuous"/>
      <w:pgSz w:w="11906" w:h="16838"/>
      <w:pgMar w:top="1440" w:right="1416" w:bottom="1440" w:left="1418" w:header="708" w:footer="708" w:gutter="0"/>
      <w:cols w:space="22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0C6" w:rsidRDefault="00FD30C6" w:rsidP="000B2B47">
      <w:r>
        <w:separator/>
      </w:r>
    </w:p>
  </w:endnote>
  <w:endnote w:type="continuationSeparator" w:id="0">
    <w:p w:rsidR="00FD30C6" w:rsidRDefault="00FD30C6" w:rsidP="000B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0C6" w:rsidRDefault="00FD30C6" w:rsidP="000B2B47">
      <w:r>
        <w:separator/>
      </w:r>
    </w:p>
  </w:footnote>
  <w:footnote w:type="continuationSeparator" w:id="0">
    <w:p w:rsidR="00FD30C6" w:rsidRDefault="00FD30C6" w:rsidP="000B2B47">
      <w:r>
        <w:continuationSeparator/>
      </w:r>
    </w:p>
  </w:footnote>
  <w:footnote w:id="1">
    <w:p w:rsidR="00FD30C6" w:rsidRPr="006F2B76" w:rsidRDefault="00FD30C6" w:rsidP="000A11D5">
      <w:pPr>
        <w:pStyle w:val="FootnoteText"/>
      </w:pPr>
      <w:r w:rsidRPr="006F2B76">
        <w:rPr>
          <w:rStyle w:val="FootnoteReference"/>
        </w:rPr>
        <w:footnoteRef/>
      </w:r>
      <w:r w:rsidRPr="006F2B76">
        <w:t xml:space="preserve"> Ministerial Declaration on the Expansion of Trade in Information Technology Products, Nairobi, 16 December 2015, available at </w:t>
      </w:r>
      <w:hyperlink r:id="rId1" w:history="1">
        <w:r w:rsidRPr="006F2B76">
          <w:rPr>
            <w:rStyle w:val="Hyperlink"/>
          </w:rPr>
          <w:t>https://www.wto.org/english/thewto_e/minist_e/mc10_e/mc10_docs_e.htm</w:t>
        </w:r>
      </w:hyperlink>
      <w:r w:rsidRPr="006F2B76">
        <w:t xml:space="preserve"> </w:t>
      </w:r>
    </w:p>
  </w:footnote>
  <w:footnote w:id="2">
    <w:p w:rsidR="00FD30C6" w:rsidRPr="006F2B76" w:rsidRDefault="00FD30C6" w:rsidP="000A11D5">
      <w:pPr>
        <w:pStyle w:val="FootnoteText"/>
      </w:pPr>
      <w:r w:rsidRPr="006F2B76">
        <w:rPr>
          <w:rStyle w:val="FootnoteReference"/>
        </w:rPr>
        <w:footnoteRef/>
      </w:r>
      <w:r w:rsidRPr="006F2B76">
        <w:t xml:space="preserve"> Ministerial Decision </w:t>
      </w:r>
      <w:r w:rsidR="002C737B">
        <w:rPr>
          <w:b/>
          <w:bCs/>
        </w:rPr>
        <w:t xml:space="preserve">– </w:t>
      </w:r>
      <w:r w:rsidRPr="006F2B76">
        <w:t xml:space="preserve">Export Competition, Nairobi, 19 December 2015, available at </w:t>
      </w:r>
      <w:hyperlink r:id="rId2" w:history="1">
        <w:r w:rsidRPr="006F2B76">
          <w:rPr>
            <w:rStyle w:val="Hyperlink"/>
          </w:rPr>
          <w:t>https://www.wto.org/english/thewto_e/minist_e/mc10_e/l980_e.htm</w:t>
        </w:r>
      </w:hyperlink>
      <w:r w:rsidRPr="006F2B76">
        <w:t xml:space="preserve"> </w:t>
      </w:r>
    </w:p>
  </w:footnote>
  <w:footnote w:id="3">
    <w:p w:rsidR="00FD30C6" w:rsidRPr="006F2B76" w:rsidRDefault="00FD30C6" w:rsidP="000A11D5">
      <w:pPr>
        <w:pStyle w:val="FootnoteText"/>
      </w:pPr>
      <w:r w:rsidRPr="006F2B76">
        <w:rPr>
          <w:rStyle w:val="FootnoteReference"/>
        </w:rPr>
        <w:footnoteRef/>
      </w:r>
      <w:r w:rsidRPr="006F2B76">
        <w:t xml:space="preserve"> WTO General Agreement on Tariffs and Trade (GATT), available at, </w:t>
      </w:r>
      <w:hyperlink r:id="rId3" w:history="1">
        <w:r w:rsidRPr="006F2B76">
          <w:rPr>
            <w:rStyle w:val="Hyperlink"/>
          </w:rPr>
          <w:t>https://www.wto.org/english/docs_e/gattdocs_e.htm</w:t>
        </w:r>
      </w:hyperlink>
      <w:r w:rsidRPr="006F2B76">
        <w:t xml:space="preserve"> </w:t>
      </w:r>
    </w:p>
  </w:footnote>
  <w:footnote w:id="4">
    <w:p w:rsidR="00FD30C6" w:rsidRDefault="00FD30C6" w:rsidP="00DA697F">
      <w:pPr>
        <w:pStyle w:val="FootnoteText"/>
      </w:pPr>
      <w:r>
        <w:rPr>
          <w:rStyle w:val="FootnoteReference"/>
        </w:rPr>
        <w:footnoteRef/>
      </w:r>
      <w:r>
        <w:t xml:space="preserve"> WTO </w:t>
      </w:r>
      <w:r>
        <w:rPr>
          <w:lang w:val="en"/>
        </w:rPr>
        <w:t xml:space="preserve">Information Technology Agreement, Remarks by Director-General Roberto </w:t>
      </w:r>
      <w:proofErr w:type="spellStart"/>
      <w:r>
        <w:rPr>
          <w:lang w:val="en"/>
        </w:rPr>
        <w:t>Azevêdo</w:t>
      </w:r>
      <w:proofErr w:type="spellEnd"/>
      <w:r>
        <w:rPr>
          <w:lang w:val="en"/>
        </w:rPr>
        <w:t xml:space="preserve">, Media Release, 16 December 2016, available at: </w:t>
      </w:r>
      <w:r w:rsidRPr="00DA697F">
        <w:t>https://www.wto.org/english/news_e/spra_e/spra104_e.htm</w:t>
      </w:r>
    </w:p>
  </w:footnote>
  <w:footnote w:id="5">
    <w:p w:rsidR="00FD30C6" w:rsidRPr="006F2B76" w:rsidRDefault="00FD30C6" w:rsidP="006F2B76">
      <w:pPr>
        <w:rPr>
          <w:rStyle w:val="HTMLCite"/>
          <w:color w:val="666666"/>
          <w:sz w:val="20"/>
          <w:szCs w:val="20"/>
        </w:rPr>
      </w:pPr>
      <w:r>
        <w:rPr>
          <w:rStyle w:val="FootnoteReference"/>
        </w:rPr>
        <w:footnoteRef/>
      </w:r>
      <w:r>
        <w:t xml:space="preserve"> </w:t>
      </w:r>
      <w:r w:rsidRPr="006F2B76">
        <w:rPr>
          <w:sz w:val="20"/>
          <w:szCs w:val="20"/>
        </w:rPr>
        <w:t>Available on the WTO website (Reference: L/4962)</w:t>
      </w:r>
      <w:r w:rsidRPr="006F2B76">
        <w:rPr>
          <w:rStyle w:val="Heading2Char"/>
          <w:color w:val="666666"/>
          <w:sz w:val="20"/>
          <w:szCs w:val="20"/>
        </w:rPr>
        <w:t xml:space="preserve"> </w:t>
      </w:r>
      <w:r w:rsidRPr="006F2B76">
        <w:rPr>
          <w:rStyle w:val="Heading2Char"/>
          <w:b w:val="0"/>
          <w:color w:val="666666"/>
          <w:sz w:val="20"/>
          <w:szCs w:val="20"/>
        </w:rPr>
        <w:t xml:space="preserve">at </w:t>
      </w:r>
      <w:hyperlink r:id="rId4" w:history="1">
        <w:r w:rsidRPr="006F2B76">
          <w:rPr>
            <w:rStyle w:val="Hyperlink"/>
            <w:sz w:val="20"/>
            <w:szCs w:val="20"/>
          </w:rPr>
          <w:t>https://www.wto.org/</w:t>
        </w:r>
        <w:r w:rsidRPr="006F2B76">
          <w:rPr>
            <w:rStyle w:val="Hyperlink"/>
            <w:b/>
            <w:bCs/>
            <w:sz w:val="20"/>
            <w:szCs w:val="20"/>
          </w:rPr>
          <w:t>gatt</w:t>
        </w:r>
        <w:r w:rsidRPr="006F2B76">
          <w:rPr>
            <w:rStyle w:val="Hyperlink"/>
            <w:sz w:val="20"/>
            <w:szCs w:val="20"/>
          </w:rPr>
          <w:t>_docs/English/SULPDF/90970413.pdf</w:t>
        </w:r>
      </w:hyperlink>
    </w:p>
    <w:p w:rsidR="00FD30C6" w:rsidRDefault="00FD30C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35A"/>
    <w:multiLevelType w:val="hybridMultilevel"/>
    <w:tmpl w:val="21840C66"/>
    <w:lvl w:ilvl="0" w:tplc="0C090005">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1">
    <w:nsid w:val="0CB123FE"/>
    <w:multiLevelType w:val="hybridMultilevel"/>
    <w:tmpl w:val="1FB6CA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D6066C"/>
    <w:multiLevelType w:val="hybridMultilevel"/>
    <w:tmpl w:val="2E68B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5130A9"/>
    <w:multiLevelType w:val="hybridMultilevel"/>
    <w:tmpl w:val="AE14E762"/>
    <w:lvl w:ilvl="0" w:tplc="61AC885E">
      <w:start w:val="2"/>
      <w:numFmt w:val="lowerLetter"/>
      <w:lvlText w:val="(%1)"/>
      <w:lvlJc w:val="left"/>
      <w:pPr>
        <w:ind w:left="1353"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C405D4"/>
    <w:multiLevelType w:val="hybridMultilevel"/>
    <w:tmpl w:val="0B2AA696"/>
    <w:lvl w:ilvl="0" w:tplc="C0C61D4E">
      <w:start w:val="1"/>
      <w:numFmt w:val="decimal"/>
      <w:lvlText w:val="%1."/>
      <w:lvlJc w:val="left"/>
      <w:pPr>
        <w:ind w:left="928" w:hanging="360"/>
      </w:pPr>
      <w:rPr>
        <w:i w:val="0"/>
      </w:rPr>
    </w:lvl>
    <w:lvl w:ilvl="1" w:tplc="EA04375C">
      <w:start w:val="1"/>
      <w:numFmt w:val="decimal"/>
      <w:lvlText w:val="%2."/>
      <w:lvlJc w:val="left"/>
      <w:pPr>
        <w:ind w:left="928" w:hanging="360"/>
      </w:pPr>
      <w:rPr>
        <w:rFonts w:ascii="Times New Roman" w:eastAsia="SimSun" w:hAnsi="Times New Roman" w:cs="Times New Roman" w:hint="default"/>
      </w:rPr>
    </w:lvl>
    <w:lvl w:ilvl="2" w:tplc="C6E49BE8">
      <w:start w:val="1"/>
      <w:numFmt w:val="lowerLetter"/>
      <w:lvlText w:val="(%3)"/>
      <w:lvlJc w:val="left"/>
      <w:pPr>
        <w:ind w:left="1353"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0D6B06"/>
    <w:multiLevelType w:val="hybridMultilevel"/>
    <w:tmpl w:val="A55AF1C2"/>
    <w:lvl w:ilvl="0" w:tplc="B83091D2">
      <w:start w:val="2"/>
      <w:numFmt w:val="lowerLetter"/>
      <w:lvlText w:val="(%1)"/>
      <w:lvlJc w:val="left"/>
      <w:pPr>
        <w:ind w:left="1713" w:hanging="360"/>
      </w:pPr>
      <w:rPr>
        <w:rFonts w:hint="default"/>
      </w:r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6">
    <w:nsid w:val="34C532B1"/>
    <w:multiLevelType w:val="hybridMultilevel"/>
    <w:tmpl w:val="E92AADFE"/>
    <w:lvl w:ilvl="0" w:tplc="EA04375C">
      <w:start w:val="1"/>
      <w:numFmt w:val="decimal"/>
      <w:lvlText w:val="%1."/>
      <w:lvlJc w:val="left"/>
      <w:pPr>
        <w:ind w:left="360" w:hanging="360"/>
      </w:pPr>
      <w:rPr>
        <w:rFonts w:ascii="Times New Roman" w:eastAsia="SimSu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C7D3873"/>
    <w:multiLevelType w:val="hybridMultilevel"/>
    <w:tmpl w:val="EAF2CB2E"/>
    <w:lvl w:ilvl="0" w:tplc="9118D93A">
      <w:start w:val="2"/>
      <w:numFmt w:val="decimal"/>
      <w:lvlText w:val="%1."/>
      <w:lvlJc w:val="left"/>
      <w:pPr>
        <w:ind w:left="720" w:hanging="360"/>
      </w:pPr>
      <w:rPr>
        <w:rFonts w:ascii="Times New Roman" w:eastAsia="SimSu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F552D8"/>
    <w:multiLevelType w:val="hybridMultilevel"/>
    <w:tmpl w:val="87B81DCE"/>
    <w:lvl w:ilvl="0" w:tplc="9118D93A">
      <w:start w:val="2"/>
      <w:numFmt w:val="decimal"/>
      <w:lvlText w:val="%1."/>
      <w:lvlJc w:val="left"/>
      <w:pPr>
        <w:ind w:left="720" w:hanging="360"/>
      </w:pPr>
      <w:rPr>
        <w:rFonts w:ascii="Times New Roman" w:eastAsia="SimSu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4CA6F4E"/>
    <w:multiLevelType w:val="hybridMultilevel"/>
    <w:tmpl w:val="9FB08B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CC05577"/>
    <w:multiLevelType w:val="hybridMultilevel"/>
    <w:tmpl w:val="700A9078"/>
    <w:lvl w:ilvl="0" w:tplc="450EBBB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591EAD"/>
    <w:multiLevelType w:val="hybridMultilevel"/>
    <w:tmpl w:val="F092A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AAC7101"/>
    <w:multiLevelType w:val="hybridMultilevel"/>
    <w:tmpl w:val="4C4C5C22"/>
    <w:lvl w:ilvl="0" w:tplc="9118D93A">
      <w:start w:val="2"/>
      <w:numFmt w:val="decimal"/>
      <w:lvlText w:val="%1."/>
      <w:lvlJc w:val="left"/>
      <w:pPr>
        <w:ind w:left="720" w:hanging="360"/>
      </w:pPr>
      <w:rPr>
        <w:rFonts w:ascii="Times New Roman" w:eastAsia="SimSu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7"/>
  </w:num>
  <w:num w:numId="5">
    <w:abstractNumId w:val="8"/>
  </w:num>
  <w:num w:numId="6">
    <w:abstractNumId w:val="12"/>
  </w:num>
  <w:num w:numId="7">
    <w:abstractNumId w:val="6"/>
  </w:num>
  <w:num w:numId="8">
    <w:abstractNumId w:val="10"/>
  </w:num>
  <w:num w:numId="9">
    <w:abstractNumId w:val="5"/>
  </w:num>
  <w:num w:numId="10">
    <w:abstractNumId w:val="3"/>
  </w:num>
  <w:num w:numId="11">
    <w:abstractNumId w:val="11"/>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E5"/>
    <w:rsid w:val="00004042"/>
    <w:rsid w:val="00012C10"/>
    <w:rsid w:val="00022E22"/>
    <w:rsid w:val="000365B5"/>
    <w:rsid w:val="000411AD"/>
    <w:rsid w:val="000432D4"/>
    <w:rsid w:val="00054E65"/>
    <w:rsid w:val="00066E78"/>
    <w:rsid w:val="0006767D"/>
    <w:rsid w:val="00067DB4"/>
    <w:rsid w:val="00070622"/>
    <w:rsid w:val="000716B8"/>
    <w:rsid w:val="00075C18"/>
    <w:rsid w:val="00080CA4"/>
    <w:rsid w:val="000905AF"/>
    <w:rsid w:val="00090E09"/>
    <w:rsid w:val="00093354"/>
    <w:rsid w:val="00095B59"/>
    <w:rsid w:val="000A11D5"/>
    <w:rsid w:val="000A5914"/>
    <w:rsid w:val="000B2B47"/>
    <w:rsid w:val="000B589C"/>
    <w:rsid w:val="000B5F09"/>
    <w:rsid w:val="000B7598"/>
    <w:rsid w:val="000C1D98"/>
    <w:rsid w:val="000C6785"/>
    <w:rsid w:val="000D1B4B"/>
    <w:rsid w:val="000D6475"/>
    <w:rsid w:val="000E0686"/>
    <w:rsid w:val="000E1CEC"/>
    <w:rsid w:val="000E633A"/>
    <w:rsid w:val="000E7AD0"/>
    <w:rsid w:val="000F05B7"/>
    <w:rsid w:val="000F5CA6"/>
    <w:rsid w:val="001029FE"/>
    <w:rsid w:val="0010418B"/>
    <w:rsid w:val="00113C15"/>
    <w:rsid w:val="00113C30"/>
    <w:rsid w:val="0012341F"/>
    <w:rsid w:val="0013711B"/>
    <w:rsid w:val="0013798F"/>
    <w:rsid w:val="00143A3D"/>
    <w:rsid w:val="00146782"/>
    <w:rsid w:val="001477AD"/>
    <w:rsid w:val="00155959"/>
    <w:rsid w:val="00157AF8"/>
    <w:rsid w:val="00162F75"/>
    <w:rsid w:val="00164D4B"/>
    <w:rsid w:val="00166A83"/>
    <w:rsid w:val="0018580B"/>
    <w:rsid w:val="001909DC"/>
    <w:rsid w:val="00192E3C"/>
    <w:rsid w:val="001951DF"/>
    <w:rsid w:val="00197253"/>
    <w:rsid w:val="001A11EE"/>
    <w:rsid w:val="001A574B"/>
    <w:rsid w:val="001A70D0"/>
    <w:rsid w:val="001B56CB"/>
    <w:rsid w:val="001C362C"/>
    <w:rsid w:val="001C7FDE"/>
    <w:rsid w:val="001D1EE9"/>
    <w:rsid w:val="001D3EC8"/>
    <w:rsid w:val="001E1CF6"/>
    <w:rsid w:val="001E3405"/>
    <w:rsid w:val="001E46D9"/>
    <w:rsid w:val="001E4E25"/>
    <w:rsid w:val="001F3787"/>
    <w:rsid w:val="001F6985"/>
    <w:rsid w:val="001F7ACF"/>
    <w:rsid w:val="00200B01"/>
    <w:rsid w:val="002026A8"/>
    <w:rsid w:val="002032F2"/>
    <w:rsid w:val="002033F7"/>
    <w:rsid w:val="002102E2"/>
    <w:rsid w:val="00212B07"/>
    <w:rsid w:val="002213B2"/>
    <w:rsid w:val="00225CB5"/>
    <w:rsid w:val="00232226"/>
    <w:rsid w:val="00235423"/>
    <w:rsid w:val="0024194D"/>
    <w:rsid w:val="0024255F"/>
    <w:rsid w:val="00242982"/>
    <w:rsid w:val="002468F3"/>
    <w:rsid w:val="00250C52"/>
    <w:rsid w:val="0025455D"/>
    <w:rsid w:val="0027193E"/>
    <w:rsid w:val="002A00E6"/>
    <w:rsid w:val="002A075C"/>
    <w:rsid w:val="002A380F"/>
    <w:rsid w:val="002A4DE4"/>
    <w:rsid w:val="002A68D8"/>
    <w:rsid w:val="002B54BA"/>
    <w:rsid w:val="002B58DF"/>
    <w:rsid w:val="002B5EFA"/>
    <w:rsid w:val="002C737B"/>
    <w:rsid w:val="002D068A"/>
    <w:rsid w:val="002D0A80"/>
    <w:rsid w:val="002E0C44"/>
    <w:rsid w:val="002E3128"/>
    <w:rsid w:val="002F2AC0"/>
    <w:rsid w:val="003138AA"/>
    <w:rsid w:val="00316B30"/>
    <w:rsid w:val="003228AA"/>
    <w:rsid w:val="00326431"/>
    <w:rsid w:val="003308C4"/>
    <w:rsid w:val="00335422"/>
    <w:rsid w:val="00344A74"/>
    <w:rsid w:val="00345A05"/>
    <w:rsid w:val="00351832"/>
    <w:rsid w:val="003553E9"/>
    <w:rsid w:val="0035696F"/>
    <w:rsid w:val="003655CB"/>
    <w:rsid w:val="00366DF5"/>
    <w:rsid w:val="003771F0"/>
    <w:rsid w:val="00380054"/>
    <w:rsid w:val="00395203"/>
    <w:rsid w:val="003A1CC3"/>
    <w:rsid w:val="003A26F5"/>
    <w:rsid w:val="003A3850"/>
    <w:rsid w:val="003A3FA1"/>
    <w:rsid w:val="003B2C8A"/>
    <w:rsid w:val="003B55B6"/>
    <w:rsid w:val="003D31A8"/>
    <w:rsid w:val="003D68A3"/>
    <w:rsid w:val="003D798A"/>
    <w:rsid w:val="003E28EB"/>
    <w:rsid w:val="003E561D"/>
    <w:rsid w:val="003E6D05"/>
    <w:rsid w:val="003F113C"/>
    <w:rsid w:val="003F67FD"/>
    <w:rsid w:val="003F75E8"/>
    <w:rsid w:val="00400A75"/>
    <w:rsid w:val="0041395D"/>
    <w:rsid w:val="00413B1A"/>
    <w:rsid w:val="00420E1A"/>
    <w:rsid w:val="004213DA"/>
    <w:rsid w:val="00425DF4"/>
    <w:rsid w:val="00456FB4"/>
    <w:rsid w:val="00457BC7"/>
    <w:rsid w:val="00461DC3"/>
    <w:rsid w:val="00463C79"/>
    <w:rsid w:val="0046680E"/>
    <w:rsid w:val="004712DE"/>
    <w:rsid w:val="00473563"/>
    <w:rsid w:val="0047375E"/>
    <w:rsid w:val="00473F41"/>
    <w:rsid w:val="00484CE2"/>
    <w:rsid w:val="004921FC"/>
    <w:rsid w:val="00497403"/>
    <w:rsid w:val="004A08A5"/>
    <w:rsid w:val="004A0A4F"/>
    <w:rsid w:val="004A2BF0"/>
    <w:rsid w:val="004A549B"/>
    <w:rsid w:val="004B6D5C"/>
    <w:rsid w:val="004C702B"/>
    <w:rsid w:val="004D4F8B"/>
    <w:rsid w:val="004D76A9"/>
    <w:rsid w:val="004F121D"/>
    <w:rsid w:val="004F63DB"/>
    <w:rsid w:val="004F7408"/>
    <w:rsid w:val="004F7445"/>
    <w:rsid w:val="004F79CD"/>
    <w:rsid w:val="00501007"/>
    <w:rsid w:val="0051072D"/>
    <w:rsid w:val="00510BF6"/>
    <w:rsid w:val="00512F9F"/>
    <w:rsid w:val="00517517"/>
    <w:rsid w:val="005175DC"/>
    <w:rsid w:val="0053078D"/>
    <w:rsid w:val="00533CD0"/>
    <w:rsid w:val="00535AEF"/>
    <w:rsid w:val="00536998"/>
    <w:rsid w:val="0055477B"/>
    <w:rsid w:val="005569FC"/>
    <w:rsid w:val="00557942"/>
    <w:rsid w:val="00564A08"/>
    <w:rsid w:val="00567E8E"/>
    <w:rsid w:val="00573717"/>
    <w:rsid w:val="0058040D"/>
    <w:rsid w:val="00581F79"/>
    <w:rsid w:val="00583206"/>
    <w:rsid w:val="00593495"/>
    <w:rsid w:val="005A71C0"/>
    <w:rsid w:val="005A755C"/>
    <w:rsid w:val="005B2CB9"/>
    <w:rsid w:val="005B5CDD"/>
    <w:rsid w:val="005C0299"/>
    <w:rsid w:val="005C3D38"/>
    <w:rsid w:val="005F4510"/>
    <w:rsid w:val="006012A3"/>
    <w:rsid w:val="00603C9F"/>
    <w:rsid w:val="00603E10"/>
    <w:rsid w:val="00604661"/>
    <w:rsid w:val="006102FC"/>
    <w:rsid w:val="006105E0"/>
    <w:rsid w:val="006108F5"/>
    <w:rsid w:val="00614E2E"/>
    <w:rsid w:val="006210D7"/>
    <w:rsid w:val="00646A1A"/>
    <w:rsid w:val="00656AA8"/>
    <w:rsid w:val="00663078"/>
    <w:rsid w:val="00667EC2"/>
    <w:rsid w:val="00672789"/>
    <w:rsid w:val="00683474"/>
    <w:rsid w:val="006855AB"/>
    <w:rsid w:val="00692886"/>
    <w:rsid w:val="00694DD8"/>
    <w:rsid w:val="006960A7"/>
    <w:rsid w:val="006A4CB2"/>
    <w:rsid w:val="006A4D7A"/>
    <w:rsid w:val="006B2988"/>
    <w:rsid w:val="006B4A4F"/>
    <w:rsid w:val="006B6B24"/>
    <w:rsid w:val="006B7548"/>
    <w:rsid w:val="006C02F9"/>
    <w:rsid w:val="006C0B5D"/>
    <w:rsid w:val="006D13BD"/>
    <w:rsid w:val="006D374B"/>
    <w:rsid w:val="006D4579"/>
    <w:rsid w:val="006E00A2"/>
    <w:rsid w:val="006E0E3D"/>
    <w:rsid w:val="006E37E9"/>
    <w:rsid w:val="006E386B"/>
    <w:rsid w:val="006E590D"/>
    <w:rsid w:val="006E7FB7"/>
    <w:rsid w:val="006F2B76"/>
    <w:rsid w:val="006F4485"/>
    <w:rsid w:val="006F77B7"/>
    <w:rsid w:val="00710BBA"/>
    <w:rsid w:val="00710BBF"/>
    <w:rsid w:val="007124B2"/>
    <w:rsid w:val="00714435"/>
    <w:rsid w:val="007164BF"/>
    <w:rsid w:val="00716568"/>
    <w:rsid w:val="00723835"/>
    <w:rsid w:val="00723CAC"/>
    <w:rsid w:val="00724A05"/>
    <w:rsid w:val="00730D7F"/>
    <w:rsid w:val="00762C61"/>
    <w:rsid w:val="00763F2D"/>
    <w:rsid w:val="00787F18"/>
    <w:rsid w:val="007909D2"/>
    <w:rsid w:val="00795648"/>
    <w:rsid w:val="0079625E"/>
    <w:rsid w:val="007A1549"/>
    <w:rsid w:val="007A3E3D"/>
    <w:rsid w:val="007A7B15"/>
    <w:rsid w:val="007B05EE"/>
    <w:rsid w:val="007B0B1D"/>
    <w:rsid w:val="007B5966"/>
    <w:rsid w:val="007C49AF"/>
    <w:rsid w:val="007D71E6"/>
    <w:rsid w:val="007E20F9"/>
    <w:rsid w:val="007E4362"/>
    <w:rsid w:val="007F1041"/>
    <w:rsid w:val="007F2B28"/>
    <w:rsid w:val="007F332C"/>
    <w:rsid w:val="007F3A1B"/>
    <w:rsid w:val="007F5ADA"/>
    <w:rsid w:val="007F76BC"/>
    <w:rsid w:val="00800BF0"/>
    <w:rsid w:val="00803D1D"/>
    <w:rsid w:val="00804E26"/>
    <w:rsid w:val="00807747"/>
    <w:rsid w:val="008216D3"/>
    <w:rsid w:val="00821DD5"/>
    <w:rsid w:val="00824BFB"/>
    <w:rsid w:val="00824CBF"/>
    <w:rsid w:val="00831F65"/>
    <w:rsid w:val="008327F8"/>
    <w:rsid w:val="00834C6C"/>
    <w:rsid w:val="008377FA"/>
    <w:rsid w:val="00840573"/>
    <w:rsid w:val="008418B0"/>
    <w:rsid w:val="00850EC6"/>
    <w:rsid w:val="0085200D"/>
    <w:rsid w:val="00854375"/>
    <w:rsid w:val="00863763"/>
    <w:rsid w:val="00867168"/>
    <w:rsid w:val="00872E0B"/>
    <w:rsid w:val="00876C5B"/>
    <w:rsid w:val="00876FC0"/>
    <w:rsid w:val="00881FCE"/>
    <w:rsid w:val="008958C1"/>
    <w:rsid w:val="008A235C"/>
    <w:rsid w:val="008B63AD"/>
    <w:rsid w:val="008B659D"/>
    <w:rsid w:val="008B7239"/>
    <w:rsid w:val="008B7CB7"/>
    <w:rsid w:val="008C3177"/>
    <w:rsid w:val="008D3F0A"/>
    <w:rsid w:val="008D6960"/>
    <w:rsid w:val="008F0460"/>
    <w:rsid w:val="008F791E"/>
    <w:rsid w:val="00911D03"/>
    <w:rsid w:val="00913F38"/>
    <w:rsid w:val="00914C7C"/>
    <w:rsid w:val="00915F34"/>
    <w:rsid w:val="00917D6B"/>
    <w:rsid w:val="00932D00"/>
    <w:rsid w:val="009344D0"/>
    <w:rsid w:val="00937149"/>
    <w:rsid w:val="009473ED"/>
    <w:rsid w:val="00952ED4"/>
    <w:rsid w:val="00963F18"/>
    <w:rsid w:val="0096400B"/>
    <w:rsid w:val="00965DFA"/>
    <w:rsid w:val="00971D98"/>
    <w:rsid w:val="00972BA8"/>
    <w:rsid w:val="00977901"/>
    <w:rsid w:val="00981A02"/>
    <w:rsid w:val="009834F3"/>
    <w:rsid w:val="00983E53"/>
    <w:rsid w:val="00983F3F"/>
    <w:rsid w:val="00983F60"/>
    <w:rsid w:val="00985B68"/>
    <w:rsid w:val="009868BD"/>
    <w:rsid w:val="009870E0"/>
    <w:rsid w:val="009920D1"/>
    <w:rsid w:val="00992E49"/>
    <w:rsid w:val="00995BF5"/>
    <w:rsid w:val="009A2773"/>
    <w:rsid w:val="009B1F58"/>
    <w:rsid w:val="009B7D9C"/>
    <w:rsid w:val="009C1EDC"/>
    <w:rsid w:val="009C4545"/>
    <w:rsid w:val="009D325A"/>
    <w:rsid w:val="009D4558"/>
    <w:rsid w:val="009F45EE"/>
    <w:rsid w:val="009F5E4C"/>
    <w:rsid w:val="00A0277F"/>
    <w:rsid w:val="00A04441"/>
    <w:rsid w:val="00A11AF0"/>
    <w:rsid w:val="00A14383"/>
    <w:rsid w:val="00A165CB"/>
    <w:rsid w:val="00A16BE1"/>
    <w:rsid w:val="00A17178"/>
    <w:rsid w:val="00A21686"/>
    <w:rsid w:val="00A3635F"/>
    <w:rsid w:val="00A405A4"/>
    <w:rsid w:val="00A42A25"/>
    <w:rsid w:val="00A42D56"/>
    <w:rsid w:val="00A43452"/>
    <w:rsid w:val="00A4571A"/>
    <w:rsid w:val="00A46180"/>
    <w:rsid w:val="00A535C2"/>
    <w:rsid w:val="00A540FB"/>
    <w:rsid w:val="00A575AC"/>
    <w:rsid w:val="00A60A15"/>
    <w:rsid w:val="00A635BD"/>
    <w:rsid w:val="00A63BFB"/>
    <w:rsid w:val="00A661D3"/>
    <w:rsid w:val="00A77F43"/>
    <w:rsid w:val="00A80448"/>
    <w:rsid w:val="00A818A4"/>
    <w:rsid w:val="00A83B8C"/>
    <w:rsid w:val="00A92AFA"/>
    <w:rsid w:val="00A97EE1"/>
    <w:rsid w:val="00AA05AB"/>
    <w:rsid w:val="00AA3D22"/>
    <w:rsid w:val="00AA49BC"/>
    <w:rsid w:val="00AB171E"/>
    <w:rsid w:val="00AB2E5D"/>
    <w:rsid w:val="00AB3931"/>
    <w:rsid w:val="00AC642F"/>
    <w:rsid w:val="00AD56ED"/>
    <w:rsid w:val="00AE3062"/>
    <w:rsid w:val="00AE35C4"/>
    <w:rsid w:val="00AE6624"/>
    <w:rsid w:val="00AF22C8"/>
    <w:rsid w:val="00AF3E52"/>
    <w:rsid w:val="00B01517"/>
    <w:rsid w:val="00B052AF"/>
    <w:rsid w:val="00B05D4D"/>
    <w:rsid w:val="00B133E5"/>
    <w:rsid w:val="00B149C7"/>
    <w:rsid w:val="00B14FA6"/>
    <w:rsid w:val="00B156CF"/>
    <w:rsid w:val="00B15BA7"/>
    <w:rsid w:val="00B169B4"/>
    <w:rsid w:val="00B2088D"/>
    <w:rsid w:val="00B22907"/>
    <w:rsid w:val="00B22A38"/>
    <w:rsid w:val="00B256E1"/>
    <w:rsid w:val="00B324A6"/>
    <w:rsid w:val="00B32E46"/>
    <w:rsid w:val="00B40147"/>
    <w:rsid w:val="00B4297F"/>
    <w:rsid w:val="00B43344"/>
    <w:rsid w:val="00B52020"/>
    <w:rsid w:val="00B53453"/>
    <w:rsid w:val="00B55503"/>
    <w:rsid w:val="00B57ACA"/>
    <w:rsid w:val="00B62778"/>
    <w:rsid w:val="00B67B57"/>
    <w:rsid w:val="00B76929"/>
    <w:rsid w:val="00B77B71"/>
    <w:rsid w:val="00B822BA"/>
    <w:rsid w:val="00B87FCF"/>
    <w:rsid w:val="00B92247"/>
    <w:rsid w:val="00B95FC8"/>
    <w:rsid w:val="00BA20DF"/>
    <w:rsid w:val="00BA3FC5"/>
    <w:rsid w:val="00BB413F"/>
    <w:rsid w:val="00BB68C2"/>
    <w:rsid w:val="00BC0556"/>
    <w:rsid w:val="00BC09CF"/>
    <w:rsid w:val="00BC36A7"/>
    <w:rsid w:val="00BD18C5"/>
    <w:rsid w:val="00BD6D28"/>
    <w:rsid w:val="00BE11BF"/>
    <w:rsid w:val="00BF4AFD"/>
    <w:rsid w:val="00C00940"/>
    <w:rsid w:val="00C01190"/>
    <w:rsid w:val="00C03126"/>
    <w:rsid w:val="00C10629"/>
    <w:rsid w:val="00C145B3"/>
    <w:rsid w:val="00C150FD"/>
    <w:rsid w:val="00C16EC3"/>
    <w:rsid w:val="00C17AD2"/>
    <w:rsid w:val="00C17DEB"/>
    <w:rsid w:val="00C2060D"/>
    <w:rsid w:val="00C3520F"/>
    <w:rsid w:val="00C362D5"/>
    <w:rsid w:val="00C369C9"/>
    <w:rsid w:val="00C4301C"/>
    <w:rsid w:val="00C4495F"/>
    <w:rsid w:val="00C45C2B"/>
    <w:rsid w:val="00C5592D"/>
    <w:rsid w:val="00C63A5F"/>
    <w:rsid w:val="00C67147"/>
    <w:rsid w:val="00C67992"/>
    <w:rsid w:val="00C714D3"/>
    <w:rsid w:val="00C72C99"/>
    <w:rsid w:val="00C74234"/>
    <w:rsid w:val="00C75B4E"/>
    <w:rsid w:val="00C812D3"/>
    <w:rsid w:val="00C816B2"/>
    <w:rsid w:val="00C910F7"/>
    <w:rsid w:val="00CA3563"/>
    <w:rsid w:val="00CD120A"/>
    <w:rsid w:val="00CD31A2"/>
    <w:rsid w:val="00CE3886"/>
    <w:rsid w:val="00CF017B"/>
    <w:rsid w:val="00CF11A7"/>
    <w:rsid w:val="00CF1C10"/>
    <w:rsid w:val="00CF449F"/>
    <w:rsid w:val="00D013A6"/>
    <w:rsid w:val="00D01E3A"/>
    <w:rsid w:val="00D03DA8"/>
    <w:rsid w:val="00D11BF3"/>
    <w:rsid w:val="00D14340"/>
    <w:rsid w:val="00D23299"/>
    <w:rsid w:val="00D256E2"/>
    <w:rsid w:val="00D26573"/>
    <w:rsid w:val="00D26D98"/>
    <w:rsid w:val="00D279A0"/>
    <w:rsid w:val="00D33652"/>
    <w:rsid w:val="00D44ED8"/>
    <w:rsid w:val="00D47728"/>
    <w:rsid w:val="00D60E44"/>
    <w:rsid w:val="00D62514"/>
    <w:rsid w:val="00D64185"/>
    <w:rsid w:val="00D657B0"/>
    <w:rsid w:val="00D7116A"/>
    <w:rsid w:val="00D73B7A"/>
    <w:rsid w:val="00D84D05"/>
    <w:rsid w:val="00D976AB"/>
    <w:rsid w:val="00DA0602"/>
    <w:rsid w:val="00DA161E"/>
    <w:rsid w:val="00DA20A3"/>
    <w:rsid w:val="00DA5AC8"/>
    <w:rsid w:val="00DA697F"/>
    <w:rsid w:val="00DA6C38"/>
    <w:rsid w:val="00DA77DA"/>
    <w:rsid w:val="00DB0702"/>
    <w:rsid w:val="00DB0817"/>
    <w:rsid w:val="00DC3A52"/>
    <w:rsid w:val="00DC4E44"/>
    <w:rsid w:val="00DD301B"/>
    <w:rsid w:val="00DD7820"/>
    <w:rsid w:val="00DE15AE"/>
    <w:rsid w:val="00DE194A"/>
    <w:rsid w:val="00DE7D78"/>
    <w:rsid w:val="00DF789E"/>
    <w:rsid w:val="00E062CA"/>
    <w:rsid w:val="00E0656A"/>
    <w:rsid w:val="00E0753A"/>
    <w:rsid w:val="00E11E72"/>
    <w:rsid w:val="00E22B7A"/>
    <w:rsid w:val="00E2479E"/>
    <w:rsid w:val="00E2728A"/>
    <w:rsid w:val="00E34876"/>
    <w:rsid w:val="00E43E1B"/>
    <w:rsid w:val="00E511F4"/>
    <w:rsid w:val="00E54354"/>
    <w:rsid w:val="00E61D38"/>
    <w:rsid w:val="00E64EB3"/>
    <w:rsid w:val="00E66560"/>
    <w:rsid w:val="00E71DF6"/>
    <w:rsid w:val="00E73FCD"/>
    <w:rsid w:val="00E80362"/>
    <w:rsid w:val="00E848AA"/>
    <w:rsid w:val="00E87F3B"/>
    <w:rsid w:val="00E957D2"/>
    <w:rsid w:val="00E961FD"/>
    <w:rsid w:val="00EA6E0B"/>
    <w:rsid w:val="00EB3B6F"/>
    <w:rsid w:val="00EC2479"/>
    <w:rsid w:val="00EC4EBD"/>
    <w:rsid w:val="00EC5C0E"/>
    <w:rsid w:val="00EC7B79"/>
    <w:rsid w:val="00ED174B"/>
    <w:rsid w:val="00ED1D0C"/>
    <w:rsid w:val="00ED72B2"/>
    <w:rsid w:val="00EE068D"/>
    <w:rsid w:val="00EE1B24"/>
    <w:rsid w:val="00EE3980"/>
    <w:rsid w:val="00EF4A57"/>
    <w:rsid w:val="00EF5889"/>
    <w:rsid w:val="00EF5E7F"/>
    <w:rsid w:val="00F030AA"/>
    <w:rsid w:val="00F0459F"/>
    <w:rsid w:val="00F04AD4"/>
    <w:rsid w:val="00F10C75"/>
    <w:rsid w:val="00F14D0E"/>
    <w:rsid w:val="00F21999"/>
    <w:rsid w:val="00F24194"/>
    <w:rsid w:val="00F30CF7"/>
    <w:rsid w:val="00F331EF"/>
    <w:rsid w:val="00F40ED5"/>
    <w:rsid w:val="00F46D07"/>
    <w:rsid w:val="00F53278"/>
    <w:rsid w:val="00F630EF"/>
    <w:rsid w:val="00F66FAE"/>
    <w:rsid w:val="00F70150"/>
    <w:rsid w:val="00F7606A"/>
    <w:rsid w:val="00F764EC"/>
    <w:rsid w:val="00F81CB1"/>
    <w:rsid w:val="00F928A6"/>
    <w:rsid w:val="00F95004"/>
    <w:rsid w:val="00F9615A"/>
    <w:rsid w:val="00FA2583"/>
    <w:rsid w:val="00FA3BA7"/>
    <w:rsid w:val="00FA58DA"/>
    <w:rsid w:val="00FB1B54"/>
    <w:rsid w:val="00FB1FCA"/>
    <w:rsid w:val="00FB296E"/>
    <w:rsid w:val="00FB446C"/>
    <w:rsid w:val="00FD0ED9"/>
    <w:rsid w:val="00FD30C6"/>
    <w:rsid w:val="00FD7F7B"/>
    <w:rsid w:val="00FE00BB"/>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3E5"/>
    <w:rPr>
      <w:rFonts w:eastAsia="SimSun"/>
      <w:sz w:val="24"/>
      <w:szCs w:val="24"/>
      <w:lang w:eastAsia="zh-CN"/>
    </w:rPr>
  </w:style>
  <w:style w:type="paragraph" w:styleId="Heading1">
    <w:name w:val="heading 1"/>
    <w:basedOn w:val="Normal"/>
    <w:link w:val="Heading1Char"/>
    <w:uiPriority w:val="99"/>
    <w:qFormat/>
    <w:rsid w:val="00B133E5"/>
    <w:pPr>
      <w:widowControl w:val="0"/>
      <w:autoSpaceDE w:val="0"/>
      <w:autoSpaceDN w:val="0"/>
      <w:adjustRightInd w:val="0"/>
      <w:spacing w:after="120"/>
      <w:jc w:val="center"/>
      <w:outlineLvl w:val="0"/>
    </w:pPr>
    <w:rPr>
      <w:b/>
      <w:bCs/>
      <w:color w:val="000000"/>
    </w:rPr>
  </w:style>
  <w:style w:type="paragraph" w:styleId="Heading2">
    <w:name w:val="heading 2"/>
    <w:basedOn w:val="Normal"/>
    <w:next w:val="Normal"/>
    <w:link w:val="Heading2Char"/>
    <w:uiPriority w:val="99"/>
    <w:qFormat/>
    <w:rsid w:val="00B133E5"/>
    <w:pPr>
      <w:widowControl w:val="0"/>
      <w:autoSpaceDE w:val="0"/>
      <w:autoSpaceDN w:val="0"/>
      <w:adjustRightInd w:val="0"/>
      <w:spacing w:after="243"/>
      <w:jc w:val="both"/>
      <w:outlineLvl w:val="1"/>
    </w:pPr>
    <w:rPr>
      <w:b/>
      <w:bCs/>
      <w:color w:val="000000"/>
    </w:rPr>
  </w:style>
  <w:style w:type="paragraph" w:styleId="Heading5">
    <w:name w:val="heading 5"/>
    <w:basedOn w:val="Normal"/>
    <w:next w:val="Normal"/>
    <w:link w:val="Heading5Char"/>
    <w:uiPriority w:val="99"/>
    <w:qFormat/>
    <w:rsid w:val="00B133E5"/>
    <w:pPr>
      <w:keepNext/>
      <w:pBdr>
        <w:top w:val="single" w:sz="12" w:space="0" w:color="000000"/>
        <w:left w:val="single" w:sz="12" w:space="0" w:color="000000"/>
        <w:bottom w:val="single" w:sz="12" w:space="0" w:color="000000"/>
        <w:right w:val="single" w:sz="12" w:space="0" w:color="000000"/>
      </w:pBdr>
      <w:spacing w:after="200"/>
      <w:jc w:val="center"/>
      <w:outlineLvl w:val="4"/>
    </w:pPr>
    <w:rPr>
      <w:rFonts w:ascii="Times" w:hAnsi="Times" w:cs="Times"/>
      <w:b/>
      <w:bCs/>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33E5"/>
    <w:rPr>
      <w:rFonts w:eastAsia="SimSun"/>
      <w:b/>
      <w:bCs/>
      <w:color w:val="000000"/>
      <w:sz w:val="24"/>
      <w:szCs w:val="24"/>
      <w:lang w:eastAsia="zh-CN"/>
    </w:rPr>
  </w:style>
  <w:style w:type="character" w:customStyle="1" w:styleId="Heading2Char">
    <w:name w:val="Heading 2 Char"/>
    <w:basedOn w:val="DefaultParagraphFont"/>
    <w:link w:val="Heading2"/>
    <w:uiPriority w:val="99"/>
    <w:rsid w:val="00B133E5"/>
    <w:rPr>
      <w:rFonts w:eastAsia="SimSun"/>
      <w:b/>
      <w:bCs/>
      <w:color w:val="000000"/>
      <w:sz w:val="24"/>
      <w:szCs w:val="24"/>
      <w:lang w:eastAsia="zh-CN"/>
    </w:rPr>
  </w:style>
  <w:style w:type="character" w:customStyle="1" w:styleId="Heading5Char">
    <w:name w:val="Heading 5 Char"/>
    <w:basedOn w:val="DefaultParagraphFont"/>
    <w:link w:val="Heading5"/>
    <w:uiPriority w:val="99"/>
    <w:rsid w:val="00B133E5"/>
    <w:rPr>
      <w:rFonts w:ascii="Times" w:eastAsia="SimSun" w:hAnsi="Times" w:cs="Times"/>
      <w:b/>
      <w:bCs/>
      <w:color w:val="000000"/>
      <w:sz w:val="24"/>
      <w:szCs w:val="24"/>
      <w:lang w:eastAsia="en-US"/>
    </w:rPr>
  </w:style>
  <w:style w:type="paragraph" w:customStyle="1" w:styleId="Default">
    <w:name w:val="Default"/>
    <w:uiPriority w:val="99"/>
    <w:rsid w:val="00B133E5"/>
    <w:pPr>
      <w:widowControl w:val="0"/>
      <w:autoSpaceDE w:val="0"/>
      <w:autoSpaceDN w:val="0"/>
      <w:adjustRightInd w:val="0"/>
    </w:pPr>
    <w:rPr>
      <w:rFonts w:eastAsia="SimSun"/>
      <w:color w:val="000000"/>
      <w:sz w:val="24"/>
      <w:szCs w:val="24"/>
      <w:lang w:eastAsia="zh-CN"/>
    </w:rPr>
  </w:style>
  <w:style w:type="paragraph" w:customStyle="1" w:styleId="CM62">
    <w:name w:val="CM62"/>
    <w:basedOn w:val="Default"/>
    <w:next w:val="Default"/>
    <w:uiPriority w:val="99"/>
    <w:rsid w:val="00B133E5"/>
    <w:pPr>
      <w:spacing w:after="340"/>
    </w:pPr>
    <w:rPr>
      <w:color w:val="auto"/>
    </w:rPr>
  </w:style>
  <w:style w:type="paragraph" w:customStyle="1" w:styleId="NumberedSeries">
    <w:name w:val="Numbered Series"/>
    <w:uiPriority w:val="99"/>
    <w:rsid w:val="00B133E5"/>
    <w:pPr>
      <w:widowControl w:val="0"/>
      <w:tabs>
        <w:tab w:val="left" w:pos="565"/>
      </w:tabs>
      <w:spacing w:after="226"/>
    </w:pPr>
    <w:rPr>
      <w:rFonts w:ascii="Times" w:eastAsia="SimSun" w:hAnsi="Times" w:cs="Times"/>
      <w:color w:val="000000"/>
      <w:lang w:eastAsia="en-US"/>
    </w:rPr>
  </w:style>
  <w:style w:type="paragraph" w:customStyle="1" w:styleId="Paragraph">
    <w:name w:val="Paragraph"/>
    <w:basedOn w:val="Normal"/>
    <w:rsid w:val="00B133E5"/>
    <w:pPr>
      <w:widowControl w:val="0"/>
      <w:spacing w:after="226"/>
    </w:pPr>
    <w:rPr>
      <w:rFonts w:ascii="Times" w:hAnsi="Times" w:cs="Times"/>
      <w:color w:val="000000"/>
      <w:lang w:eastAsia="en-US"/>
    </w:rPr>
  </w:style>
  <w:style w:type="character" w:styleId="Hyperlink">
    <w:name w:val="Hyperlink"/>
    <w:basedOn w:val="DefaultParagraphFont"/>
    <w:uiPriority w:val="99"/>
    <w:rsid w:val="00B133E5"/>
    <w:rPr>
      <w:rFonts w:cs="Times New Roman"/>
      <w:color w:val="0000FF"/>
      <w:u w:val="single"/>
    </w:rPr>
  </w:style>
  <w:style w:type="paragraph" w:styleId="ListParagraph">
    <w:name w:val="List Paragraph"/>
    <w:basedOn w:val="Normal"/>
    <w:uiPriority w:val="99"/>
    <w:qFormat/>
    <w:rsid w:val="00B133E5"/>
    <w:pPr>
      <w:ind w:left="720"/>
      <w:contextualSpacing/>
    </w:pPr>
  </w:style>
  <w:style w:type="paragraph" w:styleId="FootnoteText">
    <w:name w:val="footnote text"/>
    <w:basedOn w:val="Normal"/>
    <w:link w:val="FootnoteTextChar"/>
    <w:rsid w:val="000B2B47"/>
    <w:rPr>
      <w:sz w:val="20"/>
      <w:szCs w:val="20"/>
    </w:rPr>
  </w:style>
  <w:style w:type="character" w:customStyle="1" w:styleId="FootnoteTextChar">
    <w:name w:val="Footnote Text Char"/>
    <w:basedOn w:val="DefaultParagraphFont"/>
    <w:link w:val="FootnoteText"/>
    <w:rsid w:val="000B2B47"/>
    <w:rPr>
      <w:rFonts w:eastAsia="SimSun"/>
      <w:lang w:eastAsia="zh-CN"/>
    </w:rPr>
  </w:style>
  <w:style w:type="character" w:styleId="FootnoteReference">
    <w:name w:val="footnote reference"/>
    <w:basedOn w:val="DefaultParagraphFont"/>
    <w:rsid w:val="000B2B47"/>
    <w:rPr>
      <w:vertAlign w:val="superscript"/>
    </w:rPr>
  </w:style>
  <w:style w:type="paragraph" w:styleId="NormalWeb">
    <w:name w:val="Normal (Web)"/>
    <w:basedOn w:val="Normal"/>
    <w:uiPriority w:val="99"/>
    <w:unhideWhenUsed/>
    <w:rsid w:val="00B052AF"/>
    <w:pPr>
      <w:spacing w:before="100" w:beforeAutospacing="1" w:after="100" w:afterAutospacing="1"/>
    </w:pPr>
    <w:rPr>
      <w:rFonts w:eastAsia="Times New Roman"/>
      <w:lang w:eastAsia="en-AU"/>
    </w:rPr>
  </w:style>
  <w:style w:type="character" w:styleId="CommentReference">
    <w:name w:val="annotation reference"/>
    <w:basedOn w:val="DefaultParagraphFont"/>
    <w:rsid w:val="00E43E1B"/>
    <w:rPr>
      <w:sz w:val="16"/>
      <w:szCs w:val="16"/>
    </w:rPr>
  </w:style>
  <w:style w:type="paragraph" w:styleId="CommentText">
    <w:name w:val="annotation text"/>
    <w:basedOn w:val="Normal"/>
    <w:link w:val="CommentTextChar"/>
    <w:rsid w:val="00E43E1B"/>
    <w:rPr>
      <w:sz w:val="20"/>
      <w:szCs w:val="20"/>
    </w:rPr>
  </w:style>
  <w:style w:type="character" w:customStyle="1" w:styleId="CommentTextChar">
    <w:name w:val="Comment Text Char"/>
    <w:basedOn w:val="DefaultParagraphFont"/>
    <w:link w:val="CommentText"/>
    <w:rsid w:val="00E43E1B"/>
    <w:rPr>
      <w:rFonts w:eastAsia="SimSun"/>
      <w:lang w:eastAsia="zh-CN"/>
    </w:rPr>
  </w:style>
  <w:style w:type="paragraph" w:styleId="CommentSubject">
    <w:name w:val="annotation subject"/>
    <w:basedOn w:val="CommentText"/>
    <w:next w:val="CommentText"/>
    <w:link w:val="CommentSubjectChar"/>
    <w:rsid w:val="00E43E1B"/>
    <w:rPr>
      <w:b/>
      <w:bCs/>
    </w:rPr>
  </w:style>
  <w:style w:type="character" w:customStyle="1" w:styleId="CommentSubjectChar">
    <w:name w:val="Comment Subject Char"/>
    <w:basedOn w:val="CommentTextChar"/>
    <w:link w:val="CommentSubject"/>
    <w:rsid w:val="00E43E1B"/>
    <w:rPr>
      <w:rFonts w:eastAsia="SimSun"/>
      <w:b/>
      <w:bCs/>
      <w:lang w:eastAsia="zh-CN"/>
    </w:rPr>
  </w:style>
  <w:style w:type="paragraph" w:styleId="BalloonText">
    <w:name w:val="Balloon Text"/>
    <w:basedOn w:val="Normal"/>
    <w:link w:val="BalloonTextChar"/>
    <w:rsid w:val="00E43E1B"/>
    <w:rPr>
      <w:rFonts w:ascii="Tahoma" w:hAnsi="Tahoma" w:cs="Tahoma"/>
      <w:sz w:val="16"/>
      <w:szCs w:val="16"/>
    </w:rPr>
  </w:style>
  <w:style w:type="character" w:customStyle="1" w:styleId="BalloonTextChar">
    <w:name w:val="Balloon Text Char"/>
    <w:basedOn w:val="DefaultParagraphFont"/>
    <w:link w:val="BalloonText"/>
    <w:rsid w:val="00E43E1B"/>
    <w:rPr>
      <w:rFonts w:ascii="Tahoma" w:eastAsia="SimSun" w:hAnsi="Tahoma" w:cs="Tahoma"/>
      <w:sz w:val="16"/>
      <w:szCs w:val="16"/>
      <w:lang w:eastAsia="zh-CN"/>
    </w:rPr>
  </w:style>
  <w:style w:type="paragraph" w:customStyle="1" w:styleId="TableTextform">
    <w:name w:val="TableText form"/>
    <w:basedOn w:val="Normal"/>
    <w:qFormat/>
    <w:rsid w:val="00FB1FCA"/>
    <w:pPr>
      <w:spacing w:before="40" w:after="240"/>
    </w:pPr>
    <w:rPr>
      <w:rFonts w:ascii="Arial" w:eastAsiaTheme="majorEastAsia" w:hAnsi="Arial" w:cs="Arial"/>
      <w:bCs/>
      <w:sz w:val="20"/>
      <w:szCs w:val="20"/>
      <w:lang w:eastAsia="en-US"/>
    </w:rPr>
  </w:style>
  <w:style w:type="paragraph" w:styleId="Revision">
    <w:name w:val="Revision"/>
    <w:hidden/>
    <w:uiPriority w:val="99"/>
    <w:semiHidden/>
    <w:rsid w:val="00A42A25"/>
    <w:rPr>
      <w:rFonts w:eastAsia="SimSun"/>
      <w:sz w:val="24"/>
      <w:szCs w:val="24"/>
      <w:lang w:eastAsia="zh-CN"/>
    </w:rPr>
  </w:style>
  <w:style w:type="paragraph" w:styleId="Header">
    <w:name w:val="header"/>
    <w:basedOn w:val="Normal"/>
    <w:link w:val="HeaderChar"/>
    <w:rsid w:val="001C7FDE"/>
    <w:pPr>
      <w:tabs>
        <w:tab w:val="center" w:pos="4513"/>
        <w:tab w:val="right" w:pos="9026"/>
      </w:tabs>
    </w:pPr>
  </w:style>
  <w:style w:type="character" w:customStyle="1" w:styleId="HeaderChar">
    <w:name w:val="Header Char"/>
    <w:basedOn w:val="DefaultParagraphFont"/>
    <w:link w:val="Header"/>
    <w:rsid w:val="001C7FDE"/>
    <w:rPr>
      <w:rFonts w:eastAsia="SimSun"/>
      <w:sz w:val="24"/>
      <w:szCs w:val="24"/>
      <w:lang w:eastAsia="zh-CN"/>
    </w:rPr>
  </w:style>
  <w:style w:type="paragraph" w:styleId="Footer">
    <w:name w:val="footer"/>
    <w:basedOn w:val="Normal"/>
    <w:link w:val="FooterChar"/>
    <w:rsid w:val="001C7FDE"/>
    <w:pPr>
      <w:tabs>
        <w:tab w:val="center" w:pos="4513"/>
        <w:tab w:val="right" w:pos="9026"/>
      </w:tabs>
    </w:pPr>
  </w:style>
  <w:style w:type="character" w:customStyle="1" w:styleId="FooterChar">
    <w:name w:val="Footer Char"/>
    <w:basedOn w:val="DefaultParagraphFont"/>
    <w:link w:val="Footer"/>
    <w:rsid w:val="001C7FDE"/>
    <w:rPr>
      <w:rFonts w:eastAsia="SimSun"/>
      <w:sz w:val="24"/>
      <w:szCs w:val="24"/>
      <w:lang w:eastAsia="zh-CN"/>
    </w:rPr>
  </w:style>
  <w:style w:type="character" w:styleId="HTMLCite">
    <w:name w:val="HTML Cite"/>
    <w:basedOn w:val="DefaultParagraphFont"/>
    <w:uiPriority w:val="99"/>
    <w:unhideWhenUsed/>
    <w:rsid w:val="006F2B76"/>
    <w:rPr>
      <w:rFonts w:ascii="Times New Roman" w:hAnsi="Times New Roman" w:cs="Times New Roman" w:hint="default"/>
      <w:i/>
      <w:iCs/>
    </w:rPr>
  </w:style>
  <w:style w:type="character" w:styleId="FollowedHyperlink">
    <w:name w:val="FollowedHyperlink"/>
    <w:basedOn w:val="DefaultParagraphFont"/>
    <w:rsid w:val="004D76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3E5"/>
    <w:rPr>
      <w:rFonts w:eastAsia="SimSun"/>
      <w:sz w:val="24"/>
      <w:szCs w:val="24"/>
      <w:lang w:eastAsia="zh-CN"/>
    </w:rPr>
  </w:style>
  <w:style w:type="paragraph" w:styleId="Heading1">
    <w:name w:val="heading 1"/>
    <w:basedOn w:val="Normal"/>
    <w:link w:val="Heading1Char"/>
    <w:uiPriority w:val="99"/>
    <w:qFormat/>
    <w:rsid w:val="00B133E5"/>
    <w:pPr>
      <w:widowControl w:val="0"/>
      <w:autoSpaceDE w:val="0"/>
      <w:autoSpaceDN w:val="0"/>
      <w:adjustRightInd w:val="0"/>
      <w:spacing w:after="120"/>
      <w:jc w:val="center"/>
      <w:outlineLvl w:val="0"/>
    </w:pPr>
    <w:rPr>
      <w:b/>
      <w:bCs/>
      <w:color w:val="000000"/>
    </w:rPr>
  </w:style>
  <w:style w:type="paragraph" w:styleId="Heading2">
    <w:name w:val="heading 2"/>
    <w:basedOn w:val="Normal"/>
    <w:next w:val="Normal"/>
    <w:link w:val="Heading2Char"/>
    <w:uiPriority w:val="99"/>
    <w:qFormat/>
    <w:rsid w:val="00B133E5"/>
    <w:pPr>
      <w:widowControl w:val="0"/>
      <w:autoSpaceDE w:val="0"/>
      <w:autoSpaceDN w:val="0"/>
      <w:adjustRightInd w:val="0"/>
      <w:spacing w:after="243"/>
      <w:jc w:val="both"/>
      <w:outlineLvl w:val="1"/>
    </w:pPr>
    <w:rPr>
      <w:b/>
      <w:bCs/>
      <w:color w:val="000000"/>
    </w:rPr>
  </w:style>
  <w:style w:type="paragraph" w:styleId="Heading5">
    <w:name w:val="heading 5"/>
    <w:basedOn w:val="Normal"/>
    <w:next w:val="Normal"/>
    <w:link w:val="Heading5Char"/>
    <w:uiPriority w:val="99"/>
    <w:qFormat/>
    <w:rsid w:val="00B133E5"/>
    <w:pPr>
      <w:keepNext/>
      <w:pBdr>
        <w:top w:val="single" w:sz="12" w:space="0" w:color="000000"/>
        <w:left w:val="single" w:sz="12" w:space="0" w:color="000000"/>
        <w:bottom w:val="single" w:sz="12" w:space="0" w:color="000000"/>
        <w:right w:val="single" w:sz="12" w:space="0" w:color="000000"/>
      </w:pBdr>
      <w:spacing w:after="200"/>
      <w:jc w:val="center"/>
      <w:outlineLvl w:val="4"/>
    </w:pPr>
    <w:rPr>
      <w:rFonts w:ascii="Times" w:hAnsi="Times" w:cs="Times"/>
      <w:b/>
      <w:bCs/>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33E5"/>
    <w:rPr>
      <w:rFonts w:eastAsia="SimSun"/>
      <w:b/>
      <w:bCs/>
      <w:color w:val="000000"/>
      <w:sz w:val="24"/>
      <w:szCs w:val="24"/>
      <w:lang w:eastAsia="zh-CN"/>
    </w:rPr>
  </w:style>
  <w:style w:type="character" w:customStyle="1" w:styleId="Heading2Char">
    <w:name w:val="Heading 2 Char"/>
    <w:basedOn w:val="DefaultParagraphFont"/>
    <w:link w:val="Heading2"/>
    <w:uiPriority w:val="99"/>
    <w:rsid w:val="00B133E5"/>
    <w:rPr>
      <w:rFonts w:eastAsia="SimSun"/>
      <w:b/>
      <w:bCs/>
      <w:color w:val="000000"/>
      <w:sz w:val="24"/>
      <w:szCs w:val="24"/>
      <w:lang w:eastAsia="zh-CN"/>
    </w:rPr>
  </w:style>
  <w:style w:type="character" w:customStyle="1" w:styleId="Heading5Char">
    <w:name w:val="Heading 5 Char"/>
    <w:basedOn w:val="DefaultParagraphFont"/>
    <w:link w:val="Heading5"/>
    <w:uiPriority w:val="99"/>
    <w:rsid w:val="00B133E5"/>
    <w:rPr>
      <w:rFonts w:ascii="Times" w:eastAsia="SimSun" w:hAnsi="Times" w:cs="Times"/>
      <w:b/>
      <w:bCs/>
      <w:color w:val="000000"/>
      <w:sz w:val="24"/>
      <w:szCs w:val="24"/>
      <w:lang w:eastAsia="en-US"/>
    </w:rPr>
  </w:style>
  <w:style w:type="paragraph" w:customStyle="1" w:styleId="Default">
    <w:name w:val="Default"/>
    <w:uiPriority w:val="99"/>
    <w:rsid w:val="00B133E5"/>
    <w:pPr>
      <w:widowControl w:val="0"/>
      <w:autoSpaceDE w:val="0"/>
      <w:autoSpaceDN w:val="0"/>
      <w:adjustRightInd w:val="0"/>
    </w:pPr>
    <w:rPr>
      <w:rFonts w:eastAsia="SimSun"/>
      <w:color w:val="000000"/>
      <w:sz w:val="24"/>
      <w:szCs w:val="24"/>
      <w:lang w:eastAsia="zh-CN"/>
    </w:rPr>
  </w:style>
  <w:style w:type="paragraph" w:customStyle="1" w:styleId="CM62">
    <w:name w:val="CM62"/>
    <w:basedOn w:val="Default"/>
    <w:next w:val="Default"/>
    <w:uiPriority w:val="99"/>
    <w:rsid w:val="00B133E5"/>
    <w:pPr>
      <w:spacing w:after="340"/>
    </w:pPr>
    <w:rPr>
      <w:color w:val="auto"/>
    </w:rPr>
  </w:style>
  <w:style w:type="paragraph" w:customStyle="1" w:styleId="NumberedSeries">
    <w:name w:val="Numbered Series"/>
    <w:uiPriority w:val="99"/>
    <w:rsid w:val="00B133E5"/>
    <w:pPr>
      <w:widowControl w:val="0"/>
      <w:tabs>
        <w:tab w:val="left" w:pos="565"/>
      </w:tabs>
      <w:spacing w:after="226"/>
    </w:pPr>
    <w:rPr>
      <w:rFonts w:ascii="Times" w:eastAsia="SimSun" w:hAnsi="Times" w:cs="Times"/>
      <w:color w:val="000000"/>
      <w:lang w:eastAsia="en-US"/>
    </w:rPr>
  </w:style>
  <w:style w:type="paragraph" w:customStyle="1" w:styleId="Paragraph">
    <w:name w:val="Paragraph"/>
    <w:basedOn w:val="Normal"/>
    <w:rsid w:val="00B133E5"/>
    <w:pPr>
      <w:widowControl w:val="0"/>
      <w:spacing w:after="226"/>
    </w:pPr>
    <w:rPr>
      <w:rFonts w:ascii="Times" w:hAnsi="Times" w:cs="Times"/>
      <w:color w:val="000000"/>
      <w:lang w:eastAsia="en-US"/>
    </w:rPr>
  </w:style>
  <w:style w:type="character" w:styleId="Hyperlink">
    <w:name w:val="Hyperlink"/>
    <w:basedOn w:val="DefaultParagraphFont"/>
    <w:uiPriority w:val="99"/>
    <w:rsid w:val="00B133E5"/>
    <w:rPr>
      <w:rFonts w:cs="Times New Roman"/>
      <w:color w:val="0000FF"/>
      <w:u w:val="single"/>
    </w:rPr>
  </w:style>
  <w:style w:type="paragraph" w:styleId="ListParagraph">
    <w:name w:val="List Paragraph"/>
    <w:basedOn w:val="Normal"/>
    <w:uiPriority w:val="99"/>
    <w:qFormat/>
    <w:rsid w:val="00B133E5"/>
    <w:pPr>
      <w:ind w:left="720"/>
      <w:contextualSpacing/>
    </w:pPr>
  </w:style>
  <w:style w:type="paragraph" w:styleId="FootnoteText">
    <w:name w:val="footnote text"/>
    <w:basedOn w:val="Normal"/>
    <w:link w:val="FootnoteTextChar"/>
    <w:rsid w:val="000B2B47"/>
    <w:rPr>
      <w:sz w:val="20"/>
      <w:szCs w:val="20"/>
    </w:rPr>
  </w:style>
  <w:style w:type="character" w:customStyle="1" w:styleId="FootnoteTextChar">
    <w:name w:val="Footnote Text Char"/>
    <w:basedOn w:val="DefaultParagraphFont"/>
    <w:link w:val="FootnoteText"/>
    <w:rsid w:val="000B2B47"/>
    <w:rPr>
      <w:rFonts w:eastAsia="SimSun"/>
      <w:lang w:eastAsia="zh-CN"/>
    </w:rPr>
  </w:style>
  <w:style w:type="character" w:styleId="FootnoteReference">
    <w:name w:val="footnote reference"/>
    <w:basedOn w:val="DefaultParagraphFont"/>
    <w:rsid w:val="000B2B47"/>
    <w:rPr>
      <w:vertAlign w:val="superscript"/>
    </w:rPr>
  </w:style>
  <w:style w:type="paragraph" w:styleId="NormalWeb">
    <w:name w:val="Normal (Web)"/>
    <w:basedOn w:val="Normal"/>
    <w:uiPriority w:val="99"/>
    <w:unhideWhenUsed/>
    <w:rsid w:val="00B052AF"/>
    <w:pPr>
      <w:spacing w:before="100" w:beforeAutospacing="1" w:after="100" w:afterAutospacing="1"/>
    </w:pPr>
    <w:rPr>
      <w:rFonts w:eastAsia="Times New Roman"/>
      <w:lang w:eastAsia="en-AU"/>
    </w:rPr>
  </w:style>
  <w:style w:type="character" w:styleId="CommentReference">
    <w:name w:val="annotation reference"/>
    <w:basedOn w:val="DefaultParagraphFont"/>
    <w:rsid w:val="00E43E1B"/>
    <w:rPr>
      <w:sz w:val="16"/>
      <w:szCs w:val="16"/>
    </w:rPr>
  </w:style>
  <w:style w:type="paragraph" w:styleId="CommentText">
    <w:name w:val="annotation text"/>
    <w:basedOn w:val="Normal"/>
    <w:link w:val="CommentTextChar"/>
    <w:rsid w:val="00E43E1B"/>
    <w:rPr>
      <w:sz w:val="20"/>
      <w:szCs w:val="20"/>
    </w:rPr>
  </w:style>
  <w:style w:type="character" w:customStyle="1" w:styleId="CommentTextChar">
    <w:name w:val="Comment Text Char"/>
    <w:basedOn w:val="DefaultParagraphFont"/>
    <w:link w:val="CommentText"/>
    <w:rsid w:val="00E43E1B"/>
    <w:rPr>
      <w:rFonts w:eastAsia="SimSun"/>
      <w:lang w:eastAsia="zh-CN"/>
    </w:rPr>
  </w:style>
  <w:style w:type="paragraph" w:styleId="CommentSubject">
    <w:name w:val="annotation subject"/>
    <w:basedOn w:val="CommentText"/>
    <w:next w:val="CommentText"/>
    <w:link w:val="CommentSubjectChar"/>
    <w:rsid w:val="00E43E1B"/>
    <w:rPr>
      <w:b/>
      <w:bCs/>
    </w:rPr>
  </w:style>
  <w:style w:type="character" w:customStyle="1" w:styleId="CommentSubjectChar">
    <w:name w:val="Comment Subject Char"/>
    <w:basedOn w:val="CommentTextChar"/>
    <w:link w:val="CommentSubject"/>
    <w:rsid w:val="00E43E1B"/>
    <w:rPr>
      <w:rFonts w:eastAsia="SimSun"/>
      <w:b/>
      <w:bCs/>
      <w:lang w:eastAsia="zh-CN"/>
    </w:rPr>
  </w:style>
  <w:style w:type="paragraph" w:styleId="BalloonText">
    <w:name w:val="Balloon Text"/>
    <w:basedOn w:val="Normal"/>
    <w:link w:val="BalloonTextChar"/>
    <w:rsid w:val="00E43E1B"/>
    <w:rPr>
      <w:rFonts w:ascii="Tahoma" w:hAnsi="Tahoma" w:cs="Tahoma"/>
      <w:sz w:val="16"/>
      <w:szCs w:val="16"/>
    </w:rPr>
  </w:style>
  <w:style w:type="character" w:customStyle="1" w:styleId="BalloonTextChar">
    <w:name w:val="Balloon Text Char"/>
    <w:basedOn w:val="DefaultParagraphFont"/>
    <w:link w:val="BalloonText"/>
    <w:rsid w:val="00E43E1B"/>
    <w:rPr>
      <w:rFonts w:ascii="Tahoma" w:eastAsia="SimSun" w:hAnsi="Tahoma" w:cs="Tahoma"/>
      <w:sz w:val="16"/>
      <w:szCs w:val="16"/>
      <w:lang w:eastAsia="zh-CN"/>
    </w:rPr>
  </w:style>
  <w:style w:type="paragraph" w:customStyle="1" w:styleId="TableTextform">
    <w:name w:val="TableText form"/>
    <w:basedOn w:val="Normal"/>
    <w:qFormat/>
    <w:rsid w:val="00FB1FCA"/>
    <w:pPr>
      <w:spacing w:before="40" w:after="240"/>
    </w:pPr>
    <w:rPr>
      <w:rFonts w:ascii="Arial" w:eastAsiaTheme="majorEastAsia" w:hAnsi="Arial" w:cs="Arial"/>
      <w:bCs/>
      <w:sz w:val="20"/>
      <w:szCs w:val="20"/>
      <w:lang w:eastAsia="en-US"/>
    </w:rPr>
  </w:style>
  <w:style w:type="paragraph" w:styleId="Revision">
    <w:name w:val="Revision"/>
    <w:hidden/>
    <w:uiPriority w:val="99"/>
    <w:semiHidden/>
    <w:rsid w:val="00A42A25"/>
    <w:rPr>
      <w:rFonts w:eastAsia="SimSun"/>
      <w:sz w:val="24"/>
      <w:szCs w:val="24"/>
      <w:lang w:eastAsia="zh-CN"/>
    </w:rPr>
  </w:style>
  <w:style w:type="paragraph" w:styleId="Header">
    <w:name w:val="header"/>
    <w:basedOn w:val="Normal"/>
    <w:link w:val="HeaderChar"/>
    <w:rsid w:val="001C7FDE"/>
    <w:pPr>
      <w:tabs>
        <w:tab w:val="center" w:pos="4513"/>
        <w:tab w:val="right" w:pos="9026"/>
      </w:tabs>
    </w:pPr>
  </w:style>
  <w:style w:type="character" w:customStyle="1" w:styleId="HeaderChar">
    <w:name w:val="Header Char"/>
    <w:basedOn w:val="DefaultParagraphFont"/>
    <w:link w:val="Header"/>
    <w:rsid w:val="001C7FDE"/>
    <w:rPr>
      <w:rFonts w:eastAsia="SimSun"/>
      <w:sz w:val="24"/>
      <w:szCs w:val="24"/>
      <w:lang w:eastAsia="zh-CN"/>
    </w:rPr>
  </w:style>
  <w:style w:type="paragraph" w:styleId="Footer">
    <w:name w:val="footer"/>
    <w:basedOn w:val="Normal"/>
    <w:link w:val="FooterChar"/>
    <w:rsid w:val="001C7FDE"/>
    <w:pPr>
      <w:tabs>
        <w:tab w:val="center" w:pos="4513"/>
        <w:tab w:val="right" w:pos="9026"/>
      </w:tabs>
    </w:pPr>
  </w:style>
  <w:style w:type="character" w:customStyle="1" w:styleId="FooterChar">
    <w:name w:val="Footer Char"/>
    <w:basedOn w:val="DefaultParagraphFont"/>
    <w:link w:val="Footer"/>
    <w:rsid w:val="001C7FDE"/>
    <w:rPr>
      <w:rFonts w:eastAsia="SimSun"/>
      <w:sz w:val="24"/>
      <w:szCs w:val="24"/>
      <w:lang w:eastAsia="zh-CN"/>
    </w:rPr>
  </w:style>
  <w:style w:type="character" w:styleId="HTMLCite">
    <w:name w:val="HTML Cite"/>
    <w:basedOn w:val="DefaultParagraphFont"/>
    <w:uiPriority w:val="99"/>
    <w:unhideWhenUsed/>
    <w:rsid w:val="006F2B76"/>
    <w:rPr>
      <w:rFonts w:ascii="Times New Roman" w:hAnsi="Times New Roman" w:cs="Times New Roman" w:hint="default"/>
      <w:i/>
      <w:iCs/>
    </w:rPr>
  </w:style>
  <w:style w:type="character" w:styleId="FollowedHyperlink">
    <w:name w:val="FollowedHyperlink"/>
    <w:basedOn w:val="DefaultParagraphFont"/>
    <w:rsid w:val="004D76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97">
      <w:bodyDiv w:val="1"/>
      <w:marLeft w:val="0"/>
      <w:marRight w:val="0"/>
      <w:marTop w:val="0"/>
      <w:marBottom w:val="0"/>
      <w:divBdr>
        <w:top w:val="none" w:sz="0" w:space="0" w:color="auto"/>
        <w:left w:val="none" w:sz="0" w:space="0" w:color="auto"/>
        <w:bottom w:val="none" w:sz="0" w:space="0" w:color="auto"/>
        <w:right w:val="none" w:sz="0" w:space="0" w:color="auto"/>
      </w:divBdr>
    </w:div>
    <w:div w:id="69624471">
      <w:bodyDiv w:val="1"/>
      <w:marLeft w:val="0"/>
      <w:marRight w:val="0"/>
      <w:marTop w:val="0"/>
      <w:marBottom w:val="0"/>
      <w:divBdr>
        <w:top w:val="none" w:sz="0" w:space="0" w:color="auto"/>
        <w:left w:val="none" w:sz="0" w:space="0" w:color="auto"/>
        <w:bottom w:val="none" w:sz="0" w:space="0" w:color="auto"/>
        <w:right w:val="none" w:sz="0" w:space="0" w:color="auto"/>
      </w:divBdr>
      <w:divsChild>
        <w:div w:id="224226218">
          <w:marLeft w:val="0"/>
          <w:marRight w:val="0"/>
          <w:marTop w:val="0"/>
          <w:marBottom w:val="0"/>
          <w:divBdr>
            <w:top w:val="none" w:sz="0" w:space="0" w:color="auto"/>
            <w:left w:val="none" w:sz="0" w:space="0" w:color="auto"/>
            <w:bottom w:val="none" w:sz="0" w:space="0" w:color="auto"/>
            <w:right w:val="none" w:sz="0" w:space="0" w:color="auto"/>
          </w:divBdr>
          <w:divsChild>
            <w:div w:id="2125297329">
              <w:marLeft w:val="0"/>
              <w:marRight w:val="0"/>
              <w:marTop w:val="0"/>
              <w:marBottom w:val="0"/>
              <w:divBdr>
                <w:top w:val="none" w:sz="0" w:space="0" w:color="auto"/>
                <w:left w:val="none" w:sz="0" w:space="0" w:color="auto"/>
                <w:bottom w:val="none" w:sz="0" w:space="0" w:color="auto"/>
                <w:right w:val="none" w:sz="0" w:space="0" w:color="auto"/>
              </w:divBdr>
              <w:divsChild>
                <w:div w:id="988558039">
                  <w:marLeft w:val="0"/>
                  <w:marRight w:val="0"/>
                  <w:marTop w:val="0"/>
                  <w:marBottom w:val="0"/>
                  <w:divBdr>
                    <w:top w:val="none" w:sz="0" w:space="0" w:color="auto"/>
                    <w:left w:val="none" w:sz="0" w:space="0" w:color="auto"/>
                    <w:bottom w:val="none" w:sz="0" w:space="0" w:color="auto"/>
                    <w:right w:val="none" w:sz="0" w:space="0" w:color="auto"/>
                  </w:divBdr>
                  <w:divsChild>
                    <w:div w:id="21378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8940">
      <w:bodyDiv w:val="1"/>
      <w:marLeft w:val="0"/>
      <w:marRight w:val="0"/>
      <w:marTop w:val="0"/>
      <w:marBottom w:val="0"/>
      <w:divBdr>
        <w:top w:val="none" w:sz="0" w:space="0" w:color="auto"/>
        <w:left w:val="none" w:sz="0" w:space="0" w:color="auto"/>
        <w:bottom w:val="none" w:sz="0" w:space="0" w:color="auto"/>
        <w:right w:val="none" w:sz="0" w:space="0" w:color="auto"/>
      </w:divBdr>
    </w:div>
    <w:div w:id="316227930">
      <w:bodyDiv w:val="1"/>
      <w:marLeft w:val="0"/>
      <w:marRight w:val="0"/>
      <w:marTop w:val="0"/>
      <w:marBottom w:val="0"/>
      <w:divBdr>
        <w:top w:val="none" w:sz="0" w:space="0" w:color="auto"/>
        <w:left w:val="none" w:sz="0" w:space="0" w:color="auto"/>
        <w:bottom w:val="none" w:sz="0" w:space="0" w:color="auto"/>
        <w:right w:val="none" w:sz="0" w:space="0" w:color="auto"/>
      </w:divBdr>
    </w:div>
    <w:div w:id="322242879">
      <w:bodyDiv w:val="1"/>
      <w:marLeft w:val="0"/>
      <w:marRight w:val="0"/>
      <w:marTop w:val="0"/>
      <w:marBottom w:val="0"/>
      <w:divBdr>
        <w:top w:val="none" w:sz="0" w:space="0" w:color="auto"/>
        <w:left w:val="none" w:sz="0" w:space="0" w:color="auto"/>
        <w:bottom w:val="none" w:sz="0" w:space="0" w:color="auto"/>
        <w:right w:val="none" w:sz="0" w:space="0" w:color="auto"/>
      </w:divBdr>
    </w:div>
    <w:div w:id="322589186">
      <w:bodyDiv w:val="1"/>
      <w:marLeft w:val="0"/>
      <w:marRight w:val="0"/>
      <w:marTop w:val="0"/>
      <w:marBottom w:val="0"/>
      <w:divBdr>
        <w:top w:val="none" w:sz="0" w:space="0" w:color="auto"/>
        <w:left w:val="none" w:sz="0" w:space="0" w:color="auto"/>
        <w:bottom w:val="none" w:sz="0" w:space="0" w:color="auto"/>
        <w:right w:val="none" w:sz="0" w:space="0" w:color="auto"/>
      </w:divBdr>
    </w:div>
    <w:div w:id="399140820">
      <w:bodyDiv w:val="1"/>
      <w:marLeft w:val="0"/>
      <w:marRight w:val="0"/>
      <w:marTop w:val="0"/>
      <w:marBottom w:val="0"/>
      <w:divBdr>
        <w:top w:val="none" w:sz="0" w:space="0" w:color="auto"/>
        <w:left w:val="none" w:sz="0" w:space="0" w:color="auto"/>
        <w:bottom w:val="none" w:sz="0" w:space="0" w:color="auto"/>
        <w:right w:val="none" w:sz="0" w:space="0" w:color="auto"/>
      </w:divBdr>
    </w:div>
    <w:div w:id="1081027030">
      <w:bodyDiv w:val="1"/>
      <w:marLeft w:val="0"/>
      <w:marRight w:val="0"/>
      <w:marTop w:val="0"/>
      <w:marBottom w:val="0"/>
      <w:divBdr>
        <w:top w:val="none" w:sz="0" w:space="0" w:color="auto"/>
        <w:left w:val="none" w:sz="0" w:space="0" w:color="auto"/>
        <w:bottom w:val="none" w:sz="0" w:space="0" w:color="auto"/>
        <w:right w:val="none" w:sz="0" w:space="0" w:color="auto"/>
      </w:divBdr>
    </w:div>
    <w:div w:id="1178472153">
      <w:bodyDiv w:val="1"/>
      <w:marLeft w:val="0"/>
      <w:marRight w:val="0"/>
      <w:marTop w:val="0"/>
      <w:marBottom w:val="0"/>
      <w:divBdr>
        <w:top w:val="none" w:sz="0" w:space="0" w:color="auto"/>
        <w:left w:val="none" w:sz="0" w:space="0" w:color="auto"/>
        <w:bottom w:val="none" w:sz="0" w:space="0" w:color="auto"/>
        <w:right w:val="none" w:sz="0" w:space="0" w:color="auto"/>
      </w:divBdr>
      <w:divsChild>
        <w:div w:id="1310668742">
          <w:marLeft w:val="0"/>
          <w:marRight w:val="0"/>
          <w:marTop w:val="0"/>
          <w:marBottom w:val="0"/>
          <w:divBdr>
            <w:top w:val="none" w:sz="0" w:space="0" w:color="auto"/>
            <w:left w:val="none" w:sz="0" w:space="0" w:color="auto"/>
            <w:bottom w:val="none" w:sz="0" w:space="0" w:color="auto"/>
            <w:right w:val="none" w:sz="0" w:space="0" w:color="auto"/>
          </w:divBdr>
          <w:divsChild>
            <w:div w:id="1822191309">
              <w:marLeft w:val="0"/>
              <w:marRight w:val="0"/>
              <w:marTop w:val="0"/>
              <w:marBottom w:val="0"/>
              <w:divBdr>
                <w:top w:val="none" w:sz="0" w:space="0" w:color="auto"/>
                <w:left w:val="none" w:sz="0" w:space="0" w:color="auto"/>
                <w:bottom w:val="none" w:sz="0" w:space="0" w:color="auto"/>
                <w:right w:val="none" w:sz="0" w:space="0" w:color="auto"/>
              </w:divBdr>
              <w:divsChild>
                <w:div w:id="83763428">
                  <w:marLeft w:val="0"/>
                  <w:marRight w:val="0"/>
                  <w:marTop w:val="0"/>
                  <w:marBottom w:val="0"/>
                  <w:divBdr>
                    <w:top w:val="none" w:sz="0" w:space="0" w:color="auto"/>
                    <w:left w:val="none" w:sz="0" w:space="0" w:color="auto"/>
                    <w:bottom w:val="none" w:sz="0" w:space="0" w:color="auto"/>
                    <w:right w:val="none" w:sz="0" w:space="0" w:color="auto"/>
                  </w:divBdr>
                  <w:divsChild>
                    <w:div w:id="932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docs_e/gattdocs_e.htm" TargetMode="External"/><Relationship Id="rId2" Type="http://schemas.openxmlformats.org/officeDocument/2006/relationships/hyperlink" Target="https://www.wto.org/english/thewto_e/minist_e/mc10_e/l980_e.htm" TargetMode="External"/><Relationship Id="rId1" Type="http://schemas.openxmlformats.org/officeDocument/2006/relationships/hyperlink" Target="https://www.wto.org/english/thewto_e/minist_e/mc10_e/mc10_docs_e.htm" TargetMode="External"/><Relationship Id="rId4" Type="http://schemas.openxmlformats.org/officeDocument/2006/relationships/hyperlink" Target="https://www.wto.org/gatt_docs/English/SULPDF/90970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C023FE4381049BD0A9EBEE6462DBC" ma:contentTypeVersion="1" ma:contentTypeDescription="Create a new document." ma:contentTypeScope="" ma:versionID="f6825af773e5a92a7dfb05d00fcbb21c">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6FF483-1953-4B70-B6E6-85EB38D35B97}"/>
</file>

<file path=customXml/itemProps2.xml><?xml version="1.0" encoding="utf-8"?>
<ds:datastoreItem xmlns:ds="http://schemas.openxmlformats.org/officeDocument/2006/customXml" ds:itemID="{DB0CDD92-DEC4-46AD-9E95-A9E1C7BAA5B6}"/>
</file>

<file path=customXml/itemProps3.xml><?xml version="1.0" encoding="utf-8"?>
<ds:datastoreItem xmlns:ds="http://schemas.openxmlformats.org/officeDocument/2006/customXml" ds:itemID="{52DD907D-000C-43B9-ABAB-40397E8B82DA}"/>
</file>

<file path=customXml/itemProps4.xml><?xml version="1.0" encoding="utf-8"?>
<ds:datastoreItem xmlns:ds="http://schemas.openxmlformats.org/officeDocument/2006/customXml" ds:itemID="{B7D8CE7D-9755-4CA3-808F-8E0942AFE5E5}"/>
</file>

<file path=docProps/app.xml><?xml version="1.0" encoding="utf-8"?>
<Properties xmlns="http://schemas.openxmlformats.org/officeDocument/2006/extended-properties" xmlns:vt="http://schemas.openxmlformats.org/officeDocument/2006/docPropsVTypes">
  <Template>42E51520</Template>
  <TotalTime>7</TotalTime>
  <Pages>9</Pages>
  <Words>2763</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Fuller, Thomas;catherine.ross@dfat.gov.au</dc:creator>
  <cp:lastModifiedBy>Vincent, Sophia</cp:lastModifiedBy>
  <cp:revision>16</cp:revision>
  <cp:lastPrinted>2016-08-02T00:30:00Z</cp:lastPrinted>
  <dcterms:created xsi:type="dcterms:W3CDTF">2016-08-08T22:51:00Z</dcterms:created>
  <dcterms:modified xsi:type="dcterms:W3CDTF">2016-08-22T23:28:00Z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f386304b-96b4-4d3a-b4a5-eb943f86757b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0x0101009C9C023FE4381049BD0A9EBEE6462DBC</vt:lpwstr>
  </property>
  <property fmtid="{D5CDD505-2E9C-101B-9397-08002B2CF9AE}" pid="6" name="Order">
    <vt:r8>1500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