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5C34" w14:textId="77777777" w:rsidR="00230777" w:rsidRPr="00867443" w:rsidRDefault="00230777" w:rsidP="00230777">
      <w:pPr>
        <w:pStyle w:val="Title"/>
        <w:rPr>
          <w:sz w:val="16"/>
          <w:szCs w:val="16"/>
        </w:rPr>
      </w:pPr>
    </w:p>
    <w:p w14:paraId="2E221AD9" w14:textId="77777777" w:rsidR="00494F98" w:rsidRDefault="00494F98" w:rsidP="00EB398C">
      <w:pPr>
        <w:pStyle w:val="Title"/>
        <w:rPr>
          <w:sz w:val="36"/>
          <w:szCs w:val="36"/>
        </w:rPr>
      </w:pPr>
    </w:p>
    <w:p w14:paraId="6D6CB625" w14:textId="4C6BE2D2" w:rsidR="00EB398C" w:rsidRDefault="00494F98" w:rsidP="00EB398C">
      <w:pPr>
        <w:pStyle w:val="Title"/>
        <w:rPr>
          <w:sz w:val="36"/>
          <w:szCs w:val="36"/>
        </w:rPr>
      </w:pPr>
      <w:r>
        <w:rPr>
          <w:sz w:val="36"/>
          <w:szCs w:val="36"/>
        </w:rPr>
        <w:t xml:space="preserve">2019-20 </w:t>
      </w:r>
      <w:r w:rsidR="00294BF3">
        <w:rPr>
          <w:sz w:val="36"/>
          <w:szCs w:val="36"/>
        </w:rPr>
        <w:t>FIJI</w:t>
      </w:r>
      <w:r w:rsidR="00235EAB">
        <w:rPr>
          <w:sz w:val="36"/>
          <w:szCs w:val="36"/>
        </w:rPr>
        <w:t xml:space="preserve"> </w:t>
      </w:r>
      <w:r w:rsidR="004C5598">
        <w:rPr>
          <w:sz w:val="36"/>
          <w:szCs w:val="36"/>
        </w:rPr>
        <w:t>development program progress report</w:t>
      </w:r>
      <w:r w:rsidR="005B7393">
        <w:rPr>
          <w:sz w:val="36"/>
          <w:szCs w:val="36"/>
        </w:rPr>
        <w:t xml:space="preserve"> </w:t>
      </w:r>
    </w:p>
    <w:p w14:paraId="7E9495EF"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35.0&#10;Regional – 14.3&#10;Global – 6.4&#10;Other Government Departments – 3.2&#10;Total Australian ODA – 58.8&#10;Note. Actual expenditure is expected to be available in December 2020&#10;"/>
      </w:tblPr>
      <w:tblGrid>
        <w:gridCol w:w="3715"/>
        <w:gridCol w:w="1551"/>
      </w:tblGrid>
      <w:tr w:rsidR="008A18E9" w14:paraId="5A0019BF" w14:textId="77777777" w:rsidTr="00F857E7">
        <w:trPr>
          <w:trHeight w:hRule="exact" w:val="680"/>
        </w:trPr>
        <w:tc>
          <w:tcPr>
            <w:tcW w:w="3715" w:type="dxa"/>
            <w:shd w:val="clear" w:color="auto" w:fill="C1E7E0" w:themeFill="accent1" w:themeFillTint="66"/>
            <w:vAlign w:val="center"/>
          </w:tcPr>
          <w:p w14:paraId="790B5FBA" w14:textId="77777777" w:rsidR="008A18E9" w:rsidRPr="007170A0" w:rsidRDefault="008A18E9" w:rsidP="00F857E7">
            <w:pPr>
              <w:pStyle w:val="NormalWeb"/>
              <w:spacing w:before="120" w:beforeAutospacing="0" w:after="60" w:afterAutospacing="0" w:line="200" w:lineRule="exact"/>
              <w:jc w:val="center"/>
              <w:rPr>
                <w:rFonts w:asciiTheme="minorHAnsi" w:hAnsiTheme="minorHAnsi" w:cstheme="minorHAnsi"/>
                <w:b/>
                <w:bCs/>
                <w:kern w:val="24"/>
                <w:sz w:val="22"/>
                <w:szCs w:val="20"/>
              </w:rPr>
            </w:pPr>
            <w:r w:rsidRPr="007170A0">
              <w:rPr>
                <w:rFonts w:asciiTheme="minorHAnsi" w:hAnsiTheme="minorHAnsi" w:cstheme="minorHAnsi"/>
                <w:b/>
                <w:sz w:val="22"/>
              </w:rPr>
              <w:t>Program Budget</w:t>
            </w:r>
          </w:p>
        </w:tc>
        <w:tc>
          <w:tcPr>
            <w:tcW w:w="1551" w:type="dxa"/>
            <w:shd w:val="clear" w:color="auto" w:fill="C1E7E0" w:themeFill="accent1" w:themeFillTint="66"/>
            <w:vAlign w:val="center"/>
          </w:tcPr>
          <w:p w14:paraId="44646193" w14:textId="77777777" w:rsidR="008A18E9" w:rsidRPr="007170A0" w:rsidRDefault="008A18E9" w:rsidP="00F857E7">
            <w:pPr>
              <w:pStyle w:val="NormalWeb"/>
              <w:spacing w:before="120" w:beforeAutospacing="0" w:after="60" w:afterAutospacing="0" w:line="200" w:lineRule="exact"/>
              <w:jc w:val="center"/>
              <w:rPr>
                <w:rFonts w:asciiTheme="minorHAnsi" w:hAnsiTheme="minorHAnsi" w:cstheme="minorHAnsi"/>
                <w:b/>
                <w:bCs/>
                <w:kern w:val="24"/>
                <w:sz w:val="20"/>
                <w:szCs w:val="20"/>
              </w:rPr>
            </w:pPr>
            <w:r w:rsidRPr="007170A0">
              <w:rPr>
                <w:rFonts w:asciiTheme="minorHAnsi" w:hAnsiTheme="minorHAnsi" w:cstheme="minorHAnsi"/>
                <w:b/>
                <w:bCs/>
                <w:kern w:val="24"/>
                <w:sz w:val="20"/>
                <w:szCs w:val="20"/>
              </w:rPr>
              <w:t>2019-20 Budget Estimate ($m)</w:t>
            </w:r>
            <w:r w:rsidRPr="007170A0">
              <w:rPr>
                <w:rFonts w:asciiTheme="minorHAnsi" w:hAnsiTheme="minorHAnsi" w:cstheme="minorHAnsi"/>
                <w:b/>
                <w:bCs/>
                <w:kern w:val="24"/>
                <w:sz w:val="20"/>
                <w:szCs w:val="20"/>
                <w:vertAlign w:val="superscript"/>
              </w:rPr>
              <w:t>*</w:t>
            </w:r>
          </w:p>
        </w:tc>
      </w:tr>
      <w:tr w:rsidR="008A18E9" w14:paraId="3F0576A5" w14:textId="77777777" w:rsidTr="00F857E7">
        <w:trPr>
          <w:trHeight w:hRule="exact" w:val="454"/>
        </w:trPr>
        <w:tc>
          <w:tcPr>
            <w:tcW w:w="3715" w:type="dxa"/>
            <w:shd w:val="clear" w:color="auto" w:fill="auto"/>
            <w:vAlign w:val="bottom"/>
          </w:tcPr>
          <w:p w14:paraId="50E889F4" w14:textId="77777777" w:rsidR="008A18E9" w:rsidRDefault="008A18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14:paraId="0401401E" w14:textId="77777777" w:rsidR="008A18E9" w:rsidRDefault="008A18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35.0</w:t>
            </w:r>
          </w:p>
        </w:tc>
      </w:tr>
      <w:tr w:rsidR="008A18E9" w14:paraId="53C15308" w14:textId="77777777" w:rsidTr="00F857E7">
        <w:trPr>
          <w:trHeight w:hRule="exact" w:val="454"/>
        </w:trPr>
        <w:tc>
          <w:tcPr>
            <w:tcW w:w="3715" w:type="dxa"/>
            <w:shd w:val="clear" w:color="auto" w:fill="auto"/>
            <w:vAlign w:val="bottom"/>
          </w:tcPr>
          <w:p w14:paraId="4FA5772D" w14:textId="77777777" w:rsidR="008A18E9" w:rsidRDefault="008A18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14:paraId="19D9CE05" w14:textId="77777777" w:rsidR="008A18E9" w:rsidRDefault="008A18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14.3</w:t>
            </w:r>
          </w:p>
        </w:tc>
      </w:tr>
      <w:tr w:rsidR="008A18E9" w14:paraId="13C7FC6D" w14:textId="77777777" w:rsidTr="00F857E7">
        <w:trPr>
          <w:trHeight w:hRule="exact" w:val="454"/>
        </w:trPr>
        <w:tc>
          <w:tcPr>
            <w:tcW w:w="3715" w:type="dxa"/>
            <w:shd w:val="clear" w:color="auto" w:fill="auto"/>
            <w:vAlign w:val="bottom"/>
          </w:tcPr>
          <w:p w14:paraId="3A9B431B" w14:textId="77777777" w:rsidR="008A18E9" w:rsidRDefault="008A18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14:paraId="716A3D8B" w14:textId="77777777" w:rsidR="008A18E9" w:rsidRDefault="008A18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6.4</w:t>
            </w:r>
          </w:p>
        </w:tc>
      </w:tr>
      <w:tr w:rsidR="008A18E9" w14:paraId="1A4D8895" w14:textId="77777777" w:rsidTr="00F857E7">
        <w:trPr>
          <w:trHeight w:hRule="exact" w:val="454"/>
        </w:trPr>
        <w:tc>
          <w:tcPr>
            <w:tcW w:w="3715" w:type="dxa"/>
            <w:shd w:val="clear" w:color="auto" w:fill="auto"/>
            <w:vAlign w:val="bottom"/>
          </w:tcPr>
          <w:p w14:paraId="7A2BB00B" w14:textId="77777777" w:rsidR="008A18E9" w:rsidRDefault="008A18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14:paraId="790D9D04" w14:textId="77777777" w:rsidR="008A18E9" w:rsidRDefault="008A18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3.2</w:t>
            </w:r>
          </w:p>
        </w:tc>
      </w:tr>
      <w:tr w:rsidR="008A18E9" w14:paraId="63C60C35" w14:textId="77777777" w:rsidTr="00F857E7">
        <w:trPr>
          <w:trHeight w:hRule="exact" w:val="454"/>
        </w:trPr>
        <w:tc>
          <w:tcPr>
            <w:tcW w:w="3715" w:type="dxa"/>
            <w:tcBorders>
              <w:bottom w:val="single" w:sz="2" w:space="0" w:color="65C5B4" w:themeColor="accent1"/>
            </w:tcBorders>
            <w:shd w:val="clear" w:color="auto" w:fill="auto"/>
            <w:vAlign w:val="bottom"/>
          </w:tcPr>
          <w:p w14:paraId="2B7D85C9" w14:textId="77777777" w:rsidR="008A18E9" w:rsidRDefault="008A18E9"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Fiji</w:t>
            </w:r>
          </w:p>
        </w:tc>
        <w:tc>
          <w:tcPr>
            <w:tcW w:w="1551" w:type="dxa"/>
            <w:tcBorders>
              <w:bottom w:val="single" w:sz="2" w:space="0" w:color="65C5B4" w:themeColor="accent1"/>
            </w:tcBorders>
            <w:vAlign w:val="bottom"/>
          </w:tcPr>
          <w:p w14:paraId="098238B4" w14:textId="77777777" w:rsidR="008A18E9" w:rsidRDefault="008A18E9" w:rsidP="00F857E7">
            <w:pPr>
              <w:pStyle w:val="NormalWeb"/>
              <w:spacing w:before="20" w:beforeAutospacing="0" w:after="20" w:afterAutospacing="0"/>
              <w:ind w:right="172"/>
              <w:jc w:val="right"/>
              <w:rPr>
                <w:rFonts w:ascii="Arial" w:hAnsi="Arial" w:cs="Arial"/>
                <w:sz w:val="36"/>
                <w:szCs w:val="36"/>
              </w:rPr>
            </w:pPr>
            <w:r w:rsidRPr="007170A0">
              <w:rPr>
                <w:rFonts w:ascii="Calibri" w:hAnsi="Calibri" w:cs="Calibri"/>
                <w:b/>
                <w:bCs/>
                <w:color w:val="000000" w:themeColor="dark1"/>
                <w:kern w:val="24"/>
                <w:sz w:val="20"/>
                <w:szCs w:val="20"/>
              </w:rPr>
              <w:t>58.8</w:t>
            </w:r>
          </w:p>
        </w:tc>
      </w:tr>
    </w:tbl>
    <w:p w14:paraId="71C7F8B5" w14:textId="77777777" w:rsidR="008A18E9" w:rsidRPr="008A18E9" w:rsidRDefault="008A18E9" w:rsidP="008A18E9">
      <w:pPr>
        <w:spacing w:before="0" w:line="240" w:lineRule="auto"/>
        <w:rPr>
          <w:sz w:val="20"/>
        </w:rPr>
      </w:pPr>
      <w:r w:rsidRPr="008A18E9">
        <w:rPr>
          <w:rFonts w:ascii="Calibri Light" w:eastAsia="Calibri Light" w:hAnsi="Calibri Light"/>
          <w:bCs/>
          <w:kern w:val="24"/>
          <w:sz w:val="16"/>
          <w:szCs w:val="20"/>
        </w:rPr>
        <w:t>* Actual expenditure is expected to be available In December 2020</w:t>
      </w:r>
    </w:p>
    <w:p w14:paraId="512C9DC6" w14:textId="0F6DFF63" w:rsidR="008B3B52" w:rsidRDefault="008B3B52" w:rsidP="008B3B52">
      <w:pPr>
        <w:spacing w:before="0" w:after="0"/>
      </w:pPr>
    </w:p>
    <w:p w14:paraId="09EB3E80" w14:textId="7B324B29" w:rsidR="008A18E9" w:rsidRDefault="008A18E9" w:rsidP="008B3B52">
      <w:pPr>
        <w:spacing w:before="0" w:after="0"/>
      </w:pPr>
      <w:r>
        <w:rPr>
          <w:noProof/>
          <w:lang w:val="en-AU" w:eastAsia="en-AU"/>
        </w:rPr>
        <w:drawing>
          <wp:inline distT="0" distB="0" distL="0" distR="0" wp14:anchorId="537A5124" wp14:editId="4432FB74">
            <wp:extent cx="3321050" cy="1849755"/>
            <wp:effectExtent l="0" t="0" r="0" b="0"/>
            <wp:docPr id="1" name="Picture 1" descr="Infrastructure and trade – 24%&#10;Agriculture, fisheries and water – 7%&#10;Governance – 17%&#10;Education – 21%&#10;Health – 15%&#10;Building resilience – 5%&#10;General development support – 1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6532" cy="1858378"/>
                    </a:xfrm>
                    <a:prstGeom prst="rect">
                      <a:avLst/>
                    </a:prstGeom>
                    <a:noFill/>
                  </pic:spPr>
                </pic:pic>
              </a:graphicData>
            </a:graphic>
          </wp:inline>
        </w:drawing>
      </w:r>
    </w:p>
    <w:p w14:paraId="4ECCF1F1" w14:textId="30CF3C23" w:rsidR="008A18E9" w:rsidRDefault="008A18E9" w:rsidP="008B3B52">
      <w:pPr>
        <w:spacing w:before="0" w:after="0"/>
      </w:pPr>
    </w:p>
    <w:p w14:paraId="1942E156" w14:textId="7A52B35C" w:rsidR="008A18E9" w:rsidRDefault="008A18E9" w:rsidP="008B3B52">
      <w:pPr>
        <w:spacing w:before="0" w:after="0"/>
      </w:pPr>
    </w:p>
    <w:p w14:paraId="51B7B86C" w14:textId="77777777" w:rsidR="008A18E9" w:rsidRPr="00452298" w:rsidRDefault="008A18E9" w:rsidP="008B3B52">
      <w:pPr>
        <w:spacing w:before="0" w:after="0"/>
        <w:sectPr w:rsidR="008A18E9" w:rsidRPr="00452298" w:rsidSect="008A18E9">
          <w:type w:val="continuous"/>
          <w:pgSz w:w="11906" w:h="16838" w:code="9"/>
          <w:pgMar w:top="1701" w:right="140" w:bottom="1418" w:left="709" w:header="142" w:footer="493" w:gutter="0"/>
          <w:cols w:num="2" w:space="397"/>
          <w:titlePg/>
          <w:docGrid w:linePitch="360"/>
        </w:sectPr>
      </w:pPr>
    </w:p>
    <w:p w14:paraId="37AD8A46" w14:textId="77777777" w:rsidR="008B3B52" w:rsidRDefault="008B3B52" w:rsidP="008B3B52">
      <w:pPr>
        <w:rPr>
          <w:b/>
        </w:rPr>
      </w:pPr>
      <w:r>
        <w:rPr>
          <w:b/>
          <w:sz w:val="24"/>
        </w:rPr>
        <w:t>COVID-19 Development Response</w:t>
      </w:r>
      <w:r>
        <w:rPr>
          <w:b/>
        </w:rPr>
        <w:tab/>
      </w:r>
    </w:p>
    <w:p w14:paraId="179E7500" w14:textId="03281175" w:rsidR="008B3B52" w:rsidRDefault="008B3B52" w:rsidP="008B3B52">
      <w:pPr>
        <w:pStyle w:val="ListParagraph"/>
        <w:numPr>
          <w:ilvl w:val="0"/>
          <w:numId w:val="12"/>
        </w:numPr>
        <w:rPr>
          <w:lang w:val="en-AU"/>
        </w:rPr>
      </w:pPr>
      <w:r>
        <w:t>Australia quickly mobilised a range of assistance, totalling $17.5m, to support Fiji’s</w:t>
      </w:r>
      <w:r w:rsidRPr="001815B0">
        <w:t xml:space="preserve"> effective COVID</w:t>
      </w:r>
      <w:r>
        <w:t>-19</w:t>
      </w:r>
      <w:r w:rsidRPr="001815B0">
        <w:t xml:space="preserve"> response</w:t>
      </w:r>
      <w:r>
        <w:t>, including:</w:t>
      </w:r>
      <w:r w:rsidRPr="00DB0A6F">
        <w:rPr>
          <w:lang w:val="en-AU"/>
        </w:rPr>
        <w:t xml:space="preserve"> </w:t>
      </w:r>
    </w:p>
    <w:p w14:paraId="34FB451C" w14:textId="77777777" w:rsidR="008B3B52" w:rsidRPr="00ED76AD" w:rsidRDefault="008B3B52" w:rsidP="008B3B52">
      <w:pPr>
        <w:pStyle w:val="ListParagraph"/>
        <w:numPr>
          <w:ilvl w:val="0"/>
          <w:numId w:val="16"/>
        </w:numPr>
      </w:pPr>
      <w:r>
        <w:t>direct budget support for the Fijian Government’s COVID-19 Response Fund</w:t>
      </w:r>
    </w:p>
    <w:p w14:paraId="26972149" w14:textId="02F5948E" w:rsidR="008B3B52" w:rsidRPr="00ED76AD" w:rsidRDefault="008B3B52" w:rsidP="008B3B52">
      <w:pPr>
        <w:pStyle w:val="ListParagraph"/>
        <w:numPr>
          <w:ilvl w:val="0"/>
          <w:numId w:val="16"/>
        </w:numPr>
      </w:pPr>
      <w:r>
        <w:t>p</w:t>
      </w:r>
      <w:r w:rsidRPr="00ED76AD">
        <w:t xml:space="preserve">rocurement of medical supplies for Fiji’s </w:t>
      </w:r>
      <w:r>
        <w:t>C</w:t>
      </w:r>
      <w:r w:rsidR="00294BF3">
        <w:t xml:space="preserve">entre for </w:t>
      </w:r>
      <w:r>
        <w:t>D</w:t>
      </w:r>
      <w:r w:rsidR="00294BF3">
        <w:t xml:space="preserve">isease </w:t>
      </w:r>
      <w:r>
        <w:t>C</w:t>
      </w:r>
      <w:r w:rsidR="00294BF3">
        <w:t>ontrol</w:t>
      </w:r>
    </w:p>
    <w:p w14:paraId="0EE4A665" w14:textId="77777777" w:rsidR="008B3B52" w:rsidRPr="00E56058" w:rsidRDefault="008B3B52" w:rsidP="008B3B52">
      <w:pPr>
        <w:pStyle w:val="ListParagraph"/>
        <w:numPr>
          <w:ilvl w:val="0"/>
          <w:numId w:val="16"/>
        </w:numPr>
      </w:pPr>
      <w:r>
        <w:t xml:space="preserve">funding for </w:t>
      </w:r>
      <w:r w:rsidRPr="00ED76AD">
        <w:t xml:space="preserve">livelihood diversification (income generation) activities </w:t>
      </w:r>
    </w:p>
    <w:p w14:paraId="74D01EFF" w14:textId="75B4CC24" w:rsidR="008B3B52" w:rsidRPr="00064AF9" w:rsidRDefault="008B3B52" w:rsidP="008B3B52">
      <w:pPr>
        <w:pStyle w:val="ListParagraph"/>
        <w:numPr>
          <w:ilvl w:val="0"/>
          <w:numId w:val="16"/>
        </w:numPr>
      </w:pPr>
      <w:r>
        <w:t>p</w:t>
      </w:r>
      <w:r w:rsidRPr="00ED76AD">
        <w:t>rocurement of P</w:t>
      </w:r>
      <w:r w:rsidR="00294BF3">
        <w:t xml:space="preserve">ersonal </w:t>
      </w:r>
      <w:r w:rsidRPr="00ED76AD">
        <w:t>P</w:t>
      </w:r>
      <w:r w:rsidR="00294BF3">
        <w:t xml:space="preserve">rotective </w:t>
      </w:r>
      <w:r w:rsidRPr="00ED76AD">
        <w:t>E</w:t>
      </w:r>
      <w:r w:rsidR="00294BF3">
        <w:t>quipment</w:t>
      </w:r>
      <w:r w:rsidRPr="00ED76AD">
        <w:t xml:space="preserve">, flu vaccines for frontline health staff and support for the Fijian Ministry of Health and Medical Services (MHMS) </w:t>
      </w:r>
    </w:p>
    <w:p w14:paraId="6F420037" w14:textId="77777777" w:rsidR="008B3B52" w:rsidRDefault="008B3B52" w:rsidP="008B3B52">
      <w:pPr>
        <w:pStyle w:val="ListParagraph"/>
        <w:numPr>
          <w:ilvl w:val="0"/>
          <w:numId w:val="16"/>
        </w:numPr>
      </w:pPr>
      <w:r>
        <w:t>p</w:t>
      </w:r>
      <w:r w:rsidRPr="00E871BD">
        <w:t>rocurement</w:t>
      </w:r>
      <w:r w:rsidRPr="00064AF9">
        <w:t xml:space="preserve"> of </w:t>
      </w:r>
      <w:r>
        <w:t>IT equipment to assist with</w:t>
      </w:r>
      <w:r w:rsidRPr="00064AF9">
        <w:t xml:space="preserve"> contact tracing</w:t>
      </w:r>
    </w:p>
    <w:p w14:paraId="520F2741" w14:textId="77F47E8D" w:rsidR="008B3B52" w:rsidRDefault="00C93A6C" w:rsidP="008B3B52">
      <w:pPr>
        <w:pStyle w:val="ListParagraph"/>
        <w:numPr>
          <w:ilvl w:val="0"/>
          <w:numId w:val="12"/>
        </w:numPr>
        <w:rPr>
          <w:lang w:val="en-AU"/>
        </w:rPr>
      </w:pPr>
      <w:r>
        <w:t xml:space="preserve">Australia </w:t>
      </w:r>
      <w:r w:rsidR="00D0727D">
        <w:t xml:space="preserve">contributed to </w:t>
      </w:r>
      <w:r w:rsidR="006F7ED0">
        <w:t xml:space="preserve">the </w:t>
      </w:r>
      <w:r w:rsidR="00D0727D">
        <w:t xml:space="preserve">purchase of </w:t>
      </w:r>
      <w:r w:rsidR="008B3B52" w:rsidRPr="00D84D14">
        <w:t>IT equipment to support the Fiji P</w:t>
      </w:r>
      <w:r w:rsidR="008B3B52">
        <w:t>arliament to remain operational</w:t>
      </w:r>
      <w:r w:rsidR="00D0727D">
        <w:t xml:space="preserve"> during COVID-19</w:t>
      </w:r>
      <w:r w:rsidR="008B3B52">
        <w:t>.</w:t>
      </w:r>
    </w:p>
    <w:p w14:paraId="2A61CA65" w14:textId="745134AF" w:rsidR="008B3B52" w:rsidRDefault="008B3B52" w:rsidP="008B3B52">
      <w:pPr>
        <w:pStyle w:val="ListParagraph"/>
        <w:numPr>
          <w:ilvl w:val="0"/>
          <w:numId w:val="12"/>
        </w:numPr>
        <w:rPr>
          <w:lang w:val="en-AU"/>
        </w:rPr>
      </w:pPr>
      <w:r w:rsidRPr="007712AB">
        <w:rPr>
          <w:lang w:val="en-AU"/>
        </w:rPr>
        <w:t xml:space="preserve">We </w:t>
      </w:r>
      <w:r w:rsidR="00BE705D">
        <w:rPr>
          <w:lang w:val="en-AU"/>
        </w:rPr>
        <w:t>supported</w:t>
      </w:r>
      <w:r w:rsidRPr="007712AB">
        <w:rPr>
          <w:lang w:val="en-AU"/>
        </w:rPr>
        <w:t xml:space="preserve"> local firms pivot to manufacture key health supplies (25,00</w:t>
      </w:r>
      <w:r w:rsidRPr="00B1734D">
        <w:rPr>
          <w:lang w:val="en-AU"/>
        </w:rPr>
        <w:t xml:space="preserve">0 litres of hand sanitiser </w:t>
      </w:r>
      <w:r>
        <w:rPr>
          <w:lang w:val="en-AU"/>
        </w:rPr>
        <w:t xml:space="preserve">and </w:t>
      </w:r>
      <w:r w:rsidRPr="00DB0A6F">
        <w:rPr>
          <w:lang w:val="en-AU"/>
        </w:rPr>
        <w:t xml:space="preserve">1,000 face shield units to </w:t>
      </w:r>
      <w:r>
        <w:rPr>
          <w:lang w:val="en-AU"/>
        </w:rPr>
        <w:t>MHMS)</w:t>
      </w:r>
      <w:r w:rsidR="00C93A6C">
        <w:rPr>
          <w:lang w:val="en-AU"/>
        </w:rPr>
        <w:t>,</w:t>
      </w:r>
      <w:r>
        <w:rPr>
          <w:lang w:val="en-AU"/>
        </w:rPr>
        <w:t xml:space="preserve"> </w:t>
      </w:r>
      <w:r w:rsidR="00C93A6C">
        <w:rPr>
          <w:lang w:val="en-AU"/>
        </w:rPr>
        <w:t xml:space="preserve">which </w:t>
      </w:r>
      <w:r w:rsidR="00294BF3">
        <w:rPr>
          <w:lang w:val="en-AU"/>
        </w:rPr>
        <w:t xml:space="preserve">also facilitated </w:t>
      </w:r>
      <w:r>
        <w:rPr>
          <w:lang w:val="en-AU"/>
        </w:rPr>
        <w:t>much needed economic activity.</w:t>
      </w:r>
    </w:p>
    <w:p w14:paraId="049E601C" w14:textId="77777777" w:rsidR="008B3B52" w:rsidRPr="008C37AA" w:rsidRDefault="008B3B52" w:rsidP="008B3B52">
      <w:pPr>
        <w:rPr>
          <w:b/>
          <w:sz w:val="24"/>
        </w:rPr>
      </w:pPr>
      <w:r>
        <w:rPr>
          <w:b/>
          <w:sz w:val="24"/>
        </w:rPr>
        <w:t>Other program highlights</w:t>
      </w:r>
    </w:p>
    <w:p w14:paraId="4AD9B65D" w14:textId="300A9885" w:rsidR="008B3B52" w:rsidRDefault="008B3B52" w:rsidP="008B3B52">
      <w:pPr>
        <w:pStyle w:val="ListParagraph"/>
        <w:numPr>
          <w:ilvl w:val="0"/>
          <w:numId w:val="12"/>
        </w:numPr>
        <w:rPr>
          <w:lang w:val="en-AU"/>
        </w:rPr>
      </w:pPr>
      <w:r>
        <w:rPr>
          <w:lang w:val="en-AU"/>
        </w:rPr>
        <w:t xml:space="preserve">Australia </w:t>
      </w:r>
      <w:r w:rsidR="00294BF3">
        <w:rPr>
          <w:lang w:val="en-AU"/>
        </w:rPr>
        <w:t xml:space="preserve">supported </w:t>
      </w:r>
      <w:r>
        <w:rPr>
          <w:lang w:val="en-AU"/>
        </w:rPr>
        <w:t>the Fiji Government’s response to T</w:t>
      </w:r>
      <w:r w:rsidR="00294BF3">
        <w:rPr>
          <w:lang w:val="en-AU"/>
        </w:rPr>
        <w:t xml:space="preserve">ropical </w:t>
      </w:r>
      <w:r>
        <w:rPr>
          <w:lang w:val="en-AU"/>
        </w:rPr>
        <w:t>C</w:t>
      </w:r>
      <w:r w:rsidR="00294BF3">
        <w:rPr>
          <w:lang w:val="en-AU"/>
        </w:rPr>
        <w:t xml:space="preserve">yclones Sarai and </w:t>
      </w:r>
      <w:r>
        <w:rPr>
          <w:lang w:val="en-AU"/>
        </w:rPr>
        <w:t>H</w:t>
      </w:r>
      <w:r w:rsidR="00294BF3">
        <w:rPr>
          <w:lang w:val="en-AU"/>
        </w:rPr>
        <w:t>arold and the Kadavu earthquake, including</w:t>
      </w:r>
      <w:r>
        <w:rPr>
          <w:lang w:val="en-AU"/>
        </w:rPr>
        <w:t>:</w:t>
      </w:r>
    </w:p>
    <w:p w14:paraId="1D35DD5D" w14:textId="09859D93" w:rsidR="008B3B52" w:rsidRPr="001815B0" w:rsidRDefault="00C93A6C" w:rsidP="008B3B52">
      <w:pPr>
        <w:pStyle w:val="ListParagraph"/>
        <w:numPr>
          <w:ilvl w:val="0"/>
          <w:numId w:val="16"/>
        </w:numPr>
        <w:rPr>
          <w:lang w:val="en-AU"/>
        </w:rPr>
      </w:pPr>
      <w:r>
        <w:t>f</w:t>
      </w:r>
      <w:r w:rsidR="008B3B52">
        <w:t xml:space="preserve">ood rations for 15,235 people </w:t>
      </w:r>
    </w:p>
    <w:p w14:paraId="3679E884" w14:textId="4A4F7F3D" w:rsidR="008B3B52" w:rsidRPr="001815B0" w:rsidRDefault="00C93A6C" w:rsidP="008B3B52">
      <w:pPr>
        <w:pStyle w:val="ListParagraph"/>
        <w:numPr>
          <w:ilvl w:val="0"/>
          <w:numId w:val="16"/>
        </w:numPr>
        <w:rPr>
          <w:lang w:val="en-AU"/>
        </w:rPr>
      </w:pPr>
      <w:r>
        <w:t>p</w:t>
      </w:r>
      <w:r w:rsidR="008B3B52">
        <w:t xml:space="preserve">ost </w:t>
      </w:r>
      <w:r w:rsidR="00294BF3">
        <w:t>d</w:t>
      </w:r>
      <w:r w:rsidR="008B3B52">
        <w:t>isaster counselling for 2,167 people (1,079 women)</w:t>
      </w:r>
    </w:p>
    <w:p w14:paraId="7DD9DE79" w14:textId="5E259855" w:rsidR="008B3B52" w:rsidRPr="00564DB9" w:rsidRDefault="00C93A6C" w:rsidP="008B3B52">
      <w:pPr>
        <w:pStyle w:val="ListParagraph"/>
        <w:numPr>
          <w:ilvl w:val="0"/>
          <w:numId w:val="16"/>
        </w:numPr>
      </w:pPr>
      <w:r>
        <w:t>f</w:t>
      </w:r>
      <w:r w:rsidR="008B3B52" w:rsidRPr="00564DB9">
        <w:t>our RAAF flights carrying humanitarian supplies</w:t>
      </w:r>
      <w:r w:rsidR="009B12DA">
        <w:t xml:space="preserve"> (delivered during COVID-19 border closures)</w:t>
      </w:r>
      <w:r w:rsidR="008B3B52" w:rsidRPr="00564DB9">
        <w:t>, as well a</w:t>
      </w:r>
      <w:r w:rsidR="008B3B52">
        <w:t>s supporting damage assessments and</w:t>
      </w:r>
      <w:r w:rsidR="008B3B52" w:rsidRPr="00564DB9">
        <w:t xml:space="preserve"> logistics.</w:t>
      </w:r>
    </w:p>
    <w:p w14:paraId="2A38D5F3" w14:textId="77777777" w:rsidR="008B3B52" w:rsidRDefault="008B3B52" w:rsidP="008B3B52">
      <w:pPr>
        <w:pStyle w:val="ListParagraph"/>
        <w:numPr>
          <w:ilvl w:val="0"/>
          <w:numId w:val="12"/>
        </w:numPr>
        <w:rPr>
          <w:lang w:val="en-AU"/>
        </w:rPr>
      </w:pPr>
      <w:r w:rsidRPr="001815B0">
        <w:rPr>
          <w:lang w:val="en-AU"/>
        </w:rPr>
        <w:t>Australia supported an end-to-end review of the pharmaceutical supply chain</w:t>
      </w:r>
      <w:r>
        <w:rPr>
          <w:lang w:val="en-AU"/>
        </w:rPr>
        <w:t xml:space="preserve">, </w:t>
      </w:r>
      <w:r w:rsidRPr="001815B0">
        <w:rPr>
          <w:lang w:val="en-AU"/>
        </w:rPr>
        <w:t>recommending reforms that could result in 30-40 per cent savings in costs of medicines and increase their availability across health facilities.</w:t>
      </w:r>
    </w:p>
    <w:p w14:paraId="617486D8" w14:textId="77777777" w:rsidR="008B3B52" w:rsidRPr="001815B0" w:rsidRDefault="008B3B52" w:rsidP="008B3B52">
      <w:pPr>
        <w:pStyle w:val="ListParagraph"/>
        <w:numPr>
          <w:ilvl w:val="0"/>
          <w:numId w:val="12"/>
        </w:numPr>
        <w:rPr>
          <w:lang w:val="en-AU"/>
        </w:rPr>
      </w:pPr>
      <w:r>
        <w:rPr>
          <w:lang w:val="en-AU"/>
        </w:rPr>
        <w:t>Through Australian support, we provided counselling services for more than 9</w:t>
      </w:r>
      <w:r w:rsidRPr="001815B0">
        <w:rPr>
          <w:lang w:val="en-AU"/>
        </w:rPr>
        <w:t>,</w:t>
      </w:r>
      <w:r>
        <w:rPr>
          <w:lang w:val="en-AU"/>
        </w:rPr>
        <w:t>263 women and girl</w:t>
      </w:r>
      <w:r w:rsidRPr="001815B0">
        <w:rPr>
          <w:lang w:val="en-AU"/>
        </w:rPr>
        <w:t xml:space="preserve"> survivors of violence</w:t>
      </w:r>
    </w:p>
    <w:p w14:paraId="4E65F5D1" w14:textId="507B5A71" w:rsidR="008B3B52" w:rsidRDefault="008B3B52" w:rsidP="008B3B52">
      <w:pPr>
        <w:pStyle w:val="ListParagraph"/>
        <w:numPr>
          <w:ilvl w:val="0"/>
          <w:numId w:val="12"/>
        </w:numPr>
        <w:rPr>
          <w:lang w:val="en-AU"/>
        </w:rPr>
      </w:pPr>
      <w:r>
        <w:rPr>
          <w:lang w:val="en-AU"/>
        </w:rPr>
        <w:t xml:space="preserve">Australia supported an additional 3,277 </w:t>
      </w:r>
      <w:r w:rsidRPr="001815B0">
        <w:rPr>
          <w:lang w:val="en-AU"/>
        </w:rPr>
        <w:t>school enrolment</w:t>
      </w:r>
      <w:r w:rsidR="00294BF3">
        <w:rPr>
          <w:lang w:val="en-AU"/>
        </w:rPr>
        <w:t>s</w:t>
      </w:r>
      <w:r w:rsidRPr="001815B0">
        <w:rPr>
          <w:lang w:val="en-AU"/>
        </w:rPr>
        <w:t xml:space="preserve"> (including 1,621 girls)</w:t>
      </w:r>
      <w:r>
        <w:rPr>
          <w:lang w:val="en-AU"/>
        </w:rPr>
        <w:t>.</w:t>
      </w:r>
    </w:p>
    <w:p w14:paraId="38943B9A" w14:textId="6351EFC2" w:rsidR="008B3B52" w:rsidRDefault="008B3B52" w:rsidP="008B3B52">
      <w:pPr>
        <w:pStyle w:val="ListParagraph"/>
        <w:numPr>
          <w:ilvl w:val="0"/>
          <w:numId w:val="12"/>
        </w:numPr>
      </w:pPr>
      <w:r>
        <w:t>Australia provided c</w:t>
      </w:r>
      <w:r w:rsidRPr="005D06B1">
        <w:t xml:space="preserve">ash transfers </w:t>
      </w:r>
      <w:r>
        <w:t>totalling $5.2</w:t>
      </w:r>
      <w:r w:rsidR="00C93A6C">
        <w:t>m</w:t>
      </w:r>
      <w:r>
        <w:t xml:space="preserve">, </w:t>
      </w:r>
      <w:r w:rsidRPr="005D06B1">
        <w:t>delivered through Fiji's social welfare schemes</w:t>
      </w:r>
      <w:r>
        <w:t xml:space="preserve"> as part of Fiji’s response to TC Harold</w:t>
      </w:r>
    </w:p>
    <w:p w14:paraId="29BF5345" w14:textId="77777777" w:rsidR="008B3B52" w:rsidRPr="00064AF9" w:rsidRDefault="008B3B52" w:rsidP="008B3B52">
      <w:pPr>
        <w:pStyle w:val="ListParagraph"/>
        <w:numPr>
          <w:ilvl w:val="0"/>
          <w:numId w:val="16"/>
        </w:numPr>
        <w:rPr>
          <w:lang w:val="en-AU"/>
        </w:rPr>
      </w:pPr>
      <w:r>
        <w:t xml:space="preserve">this support is directly </w:t>
      </w:r>
      <w:r w:rsidRPr="005D06B1">
        <w:t>benefit</w:t>
      </w:r>
      <w:r>
        <w:t>ing</w:t>
      </w:r>
      <w:r w:rsidRPr="005D06B1">
        <w:t xml:space="preserve"> 1</w:t>
      </w:r>
      <w:r>
        <w:t>3</w:t>
      </w:r>
      <w:r w:rsidRPr="005D06B1">
        <w:t xml:space="preserve"> per cent of the population (approx. 118,000 people)</w:t>
      </w:r>
      <w:r>
        <w:t xml:space="preserve"> and is Australia’s largest cash transfer</w:t>
      </w:r>
      <w:r w:rsidRPr="005D06B1">
        <w:t xml:space="preserve"> in the Pacific.</w:t>
      </w:r>
    </w:p>
    <w:p w14:paraId="2BEA4D1E" w14:textId="5967E17B" w:rsidR="008B3B52" w:rsidRPr="00064AF9" w:rsidRDefault="008B3B52" w:rsidP="008B3B52">
      <w:pPr>
        <w:pStyle w:val="ListParagraph"/>
        <w:numPr>
          <w:ilvl w:val="0"/>
          <w:numId w:val="12"/>
        </w:numPr>
        <w:rPr>
          <w:lang w:val="en-AU"/>
        </w:rPr>
      </w:pPr>
      <w:r>
        <w:t xml:space="preserve">Australia </w:t>
      </w:r>
      <w:r w:rsidR="009B12DA">
        <w:t xml:space="preserve">supported </w:t>
      </w:r>
      <w:r>
        <w:t>the ADB’s USD200m policy-based loan, by providing $1</w:t>
      </w:r>
      <w:r w:rsidR="00C93A6C">
        <w:t>m</w:t>
      </w:r>
      <w:r>
        <w:t xml:space="preserve"> of budget support to the Ministry of Economy to assist with business-enabling and investment reforms</w:t>
      </w:r>
    </w:p>
    <w:p w14:paraId="569D4393" w14:textId="77777777" w:rsidR="008B3B52" w:rsidRDefault="00C93A6C" w:rsidP="008B3B52">
      <w:pPr>
        <w:pStyle w:val="ListParagraph"/>
        <w:numPr>
          <w:ilvl w:val="0"/>
          <w:numId w:val="16"/>
        </w:numPr>
        <w:rPr>
          <w:lang w:val="en-AU"/>
        </w:rPr>
      </w:pPr>
      <w:r>
        <w:t xml:space="preserve">this is </w:t>
      </w:r>
      <w:r w:rsidR="008B3B52">
        <w:t>the first ever ADB policy-based loan in public sector management to achieve the ADB’s highest gender rating.</w:t>
      </w:r>
    </w:p>
    <w:p w14:paraId="6A3649C6" w14:textId="77777777" w:rsidR="001815B0" w:rsidRPr="001815B0" w:rsidRDefault="001815B0" w:rsidP="001815B0">
      <w:pPr>
        <w:rPr>
          <w:lang w:val="en-AU"/>
        </w:rPr>
        <w:sectPr w:rsidR="001815B0" w:rsidRPr="001815B0"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3FB915EF" w14:textId="68FA3845" w:rsidR="004B3053" w:rsidRPr="004B3053" w:rsidRDefault="00D00153" w:rsidP="004B3053">
      <w:pPr>
        <w:pStyle w:val="Heading2"/>
        <w:spacing w:before="360" w:line="300" w:lineRule="exact"/>
        <w:contextualSpacing w:val="0"/>
      </w:pPr>
      <w:r>
        <w:lastRenderedPageBreak/>
        <w:t>P</w:t>
      </w:r>
      <w:r w:rsidR="004C5598">
        <w:t>rogress against 2019-20 performance indicators</w:t>
      </w:r>
      <w:r w:rsidR="0054728C" w:rsidRPr="0054728C">
        <w:rPr>
          <w:vertAlign w:val="superscript"/>
        </w:rPr>
        <w:t>*</w:t>
      </w:r>
    </w:p>
    <w:tbl>
      <w:tblPr>
        <w:tblStyle w:val="TableGrid"/>
        <w:tblW w:w="10201" w:type="dxa"/>
        <w:tblLook w:val="04A0" w:firstRow="1" w:lastRow="0" w:firstColumn="1" w:lastColumn="0" w:noHBand="0" w:noVBand="1"/>
        <w:tblCaption w:val="Performance Assessment Framework"/>
        <w:tblDescription w:val="This program has three strategic objectives and thirteen performance benchmark, indicators that are used to measure progress."/>
      </w:tblPr>
      <w:tblGrid>
        <w:gridCol w:w="2095"/>
        <w:gridCol w:w="3570"/>
        <w:gridCol w:w="4536"/>
      </w:tblGrid>
      <w:tr w:rsidR="004C5598" w:rsidRPr="00274483" w14:paraId="2878B683" w14:textId="77777777" w:rsidTr="00922D92">
        <w:trPr>
          <w:tblHeader/>
        </w:trPr>
        <w:tc>
          <w:tcPr>
            <w:tcW w:w="2095" w:type="dxa"/>
            <w:shd w:val="clear" w:color="auto" w:fill="C1E7E0" w:themeFill="accent1" w:themeFillTint="66"/>
          </w:tcPr>
          <w:p w14:paraId="3A8B45F8" w14:textId="77777777" w:rsidR="004C5598" w:rsidRPr="00274483" w:rsidRDefault="004C5598" w:rsidP="008C160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570" w:type="dxa"/>
            <w:shd w:val="clear" w:color="auto" w:fill="C1E7E0" w:themeFill="accent1" w:themeFillTint="66"/>
          </w:tcPr>
          <w:p w14:paraId="0C081443" w14:textId="77777777" w:rsidR="004C5598" w:rsidRDefault="004C5598" w:rsidP="008C160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536" w:type="dxa"/>
            <w:shd w:val="clear" w:color="auto" w:fill="C1E7E0" w:themeFill="accent1" w:themeFillTint="66"/>
          </w:tcPr>
          <w:p w14:paraId="2CFE07A9" w14:textId="77777777" w:rsidR="004C5598" w:rsidRPr="00274483" w:rsidRDefault="004C5598" w:rsidP="001A7ED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w:t>
            </w:r>
            <w:r w:rsidR="001A7ED5">
              <w:rPr>
                <w:rFonts w:asciiTheme="majorHAnsi" w:eastAsiaTheme="majorEastAsia" w:hAnsiTheme="majorHAnsi" w:cstheme="majorHAnsi"/>
                <w:b/>
                <w:caps/>
                <w:sz w:val="20"/>
                <w:szCs w:val="20"/>
              </w:rPr>
              <w:t>ch</w:t>
            </w:r>
            <w:r>
              <w:rPr>
                <w:rFonts w:asciiTheme="majorHAnsi" w:eastAsiaTheme="majorEastAsia" w:hAnsiTheme="majorHAnsi" w:cstheme="majorHAnsi"/>
                <w:b/>
                <w:caps/>
                <w:sz w:val="20"/>
                <w:szCs w:val="20"/>
              </w:rPr>
              <w:t>mark</w:t>
            </w:r>
          </w:p>
        </w:tc>
      </w:tr>
      <w:tr w:rsidR="001A7ED5" w:rsidRPr="00274483" w14:paraId="6B95955F" w14:textId="77777777" w:rsidTr="00922D92">
        <w:tc>
          <w:tcPr>
            <w:tcW w:w="2095" w:type="dxa"/>
          </w:tcPr>
          <w:p w14:paraId="2C7A86C4" w14:textId="77777777" w:rsidR="00A11C2D" w:rsidRDefault="001A7ED5" w:rsidP="001A7ED5">
            <w:pPr>
              <w:pStyle w:val="BodyText"/>
              <w:spacing w:before="40" w:after="40" w:line="240" w:lineRule="auto"/>
              <w:rPr>
                <w:rFonts w:eastAsiaTheme="majorEastAsia" w:cstheme="minorHAnsi"/>
                <w:b/>
                <w:sz w:val="20"/>
                <w:szCs w:val="20"/>
              </w:rPr>
            </w:pPr>
            <w:r w:rsidRPr="005C663B">
              <w:rPr>
                <w:rFonts w:eastAsiaTheme="majorEastAsia" w:cstheme="minorHAnsi"/>
                <w:b/>
                <w:sz w:val="20"/>
                <w:szCs w:val="20"/>
              </w:rPr>
              <w:t>Objective 1</w:t>
            </w:r>
            <w:r w:rsidR="00B824D7" w:rsidRPr="005C663B">
              <w:rPr>
                <w:rFonts w:eastAsiaTheme="majorEastAsia" w:cstheme="minorHAnsi"/>
                <w:b/>
                <w:sz w:val="20"/>
                <w:szCs w:val="20"/>
              </w:rPr>
              <w:t xml:space="preserve">. </w:t>
            </w:r>
          </w:p>
          <w:p w14:paraId="39FE8A72" w14:textId="5B1E178E" w:rsidR="001A7ED5" w:rsidRPr="005C663B" w:rsidRDefault="00B824D7" w:rsidP="001A7ED5">
            <w:pPr>
              <w:pStyle w:val="BodyText"/>
              <w:spacing w:before="40" w:after="40" w:line="240" w:lineRule="auto"/>
              <w:rPr>
                <w:rFonts w:eastAsiaTheme="majorEastAsia" w:cstheme="minorHAnsi"/>
                <w:b/>
                <w:caps/>
                <w:sz w:val="20"/>
                <w:szCs w:val="20"/>
              </w:rPr>
            </w:pPr>
            <w:r w:rsidRPr="005C663B">
              <w:rPr>
                <w:rFonts w:eastAsiaTheme="majorEastAsia" w:cstheme="minorHAnsi"/>
                <w:b/>
                <w:sz w:val="20"/>
                <w:szCs w:val="20"/>
              </w:rPr>
              <w:t>Health Security</w:t>
            </w:r>
          </w:p>
        </w:tc>
        <w:tc>
          <w:tcPr>
            <w:tcW w:w="3570" w:type="dxa"/>
          </w:tcPr>
          <w:p w14:paraId="4CF1BD0A" w14:textId="77777777" w:rsidR="00A11C2D" w:rsidRDefault="001A7ED5" w:rsidP="0085137D">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1.1</w:t>
            </w:r>
            <w:r w:rsidR="00FD7A86" w:rsidRPr="005C663B">
              <w:rPr>
                <w:rFonts w:eastAsiaTheme="majorEastAsia" w:cstheme="minorHAnsi"/>
                <w:sz w:val="20"/>
                <w:szCs w:val="20"/>
              </w:rPr>
              <w:t xml:space="preserve"> Women and men, girls and boys are provided with emergency assistance in conflict and crisis situations, such as major cyclones</w:t>
            </w:r>
            <w:r w:rsidR="00A11C2D">
              <w:rPr>
                <w:rFonts w:eastAsiaTheme="majorEastAsia" w:cstheme="minorHAnsi"/>
                <w:sz w:val="20"/>
                <w:szCs w:val="20"/>
              </w:rPr>
              <w:t xml:space="preserve">. </w:t>
            </w:r>
          </w:p>
          <w:p w14:paraId="7511FC7F" w14:textId="569A83ED" w:rsidR="00FD7A86" w:rsidRDefault="00A11C2D" w:rsidP="0085137D">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1.2 New or improved therapeutics, diagnostics, vaccines or additional equipment, to which Australia has contributed, are accessible in Fiji</w:t>
            </w:r>
            <w:r>
              <w:rPr>
                <w:rFonts w:eastAsiaTheme="majorEastAsia" w:cstheme="minorHAnsi"/>
                <w:sz w:val="20"/>
                <w:szCs w:val="20"/>
              </w:rPr>
              <w:t>.</w:t>
            </w:r>
          </w:p>
          <w:p w14:paraId="00C3F8B0" w14:textId="0D1E7159" w:rsidR="00A11C2D" w:rsidRDefault="00A11C2D" w:rsidP="0085137D">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1.3 Strengthened Fijian health system including preparedness for health emergencies at C</w:t>
            </w:r>
            <w:r>
              <w:rPr>
                <w:rFonts w:eastAsiaTheme="majorEastAsia" w:cstheme="minorHAnsi"/>
                <w:sz w:val="20"/>
                <w:szCs w:val="20"/>
              </w:rPr>
              <w:t xml:space="preserve">olonial </w:t>
            </w:r>
            <w:r w:rsidRPr="005C663B">
              <w:rPr>
                <w:rFonts w:eastAsiaTheme="majorEastAsia" w:cstheme="minorHAnsi"/>
                <w:sz w:val="20"/>
                <w:szCs w:val="20"/>
              </w:rPr>
              <w:t>W</w:t>
            </w:r>
            <w:r>
              <w:rPr>
                <w:rFonts w:eastAsiaTheme="majorEastAsia" w:cstheme="minorHAnsi"/>
                <w:sz w:val="20"/>
                <w:szCs w:val="20"/>
              </w:rPr>
              <w:t xml:space="preserve">ar </w:t>
            </w:r>
            <w:r w:rsidRPr="005C663B">
              <w:rPr>
                <w:rFonts w:eastAsiaTheme="majorEastAsia" w:cstheme="minorHAnsi"/>
                <w:sz w:val="20"/>
                <w:szCs w:val="20"/>
              </w:rPr>
              <w:t>M</w:t>
            </w:r>
            <w:r>
              <w:rPr>
                <w:rFonts w:eastAsiaTheme="majorEastAsia" w:cstheme="minorHAnsi"/>
                <w:sz w:val="20"/>
                <w:szCs w:val="20"/>
              </w:rPr>
              <w:t>emorial Hospital.</w:t>
            </w:r>
          </w:p>
          <w:p w14:paraId="63EF1FA6" w14:textId="7C50A24F" w:rsidR="00A11C2D" w:rsidRDefault="00A11C2D" w:rsidP="0085137D">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1.4 Increased efficiency of procurement processes to ensure consistent supply of medicines and other health commodities</w:t>
            </w:r>
            <w:r>
              <w:rPr>
                <w:rFonts w:eastAsiaTheme="majorEastAsia" w:cstheme="minorHAnsi"/>
                <w:sz w:val="20"/>
                <w:szCs w:val="20"/>
              </w:rPr>
              <w:t>.</w:t>
            </w:r>
          </w:p>
          <w:p w14:paraId="0BD706BC" w14:textId="7C50A24F" w:rsidR="00A11C2D" w:rsidRPr="005C663B" w:rsidRDefault="00A11C2D" w:rsidP="0085137D">
            <w:pPr>
              <w:pStyle w:val="BodyText"/>
              <w:spacing w:before="40" w:after="40" w:line="240" w:lineRule="auto"/>
              <w:rPr>
                <w:rFonts w:eastAsia="Times New Roman" w:cstheme="minorHAnsi"/>
                <w:color w:val="auto"/>
                <w:sz w:val="20"/>
                <w:szCs w:val="20"/>
                <w:lang w:val="en-AU"/>
              </w:rPr>
            </w:pPr>
          </w:p>
          <w:p w14:paraId="4E10801C" w14:textId="77777777" w:rsidR="001A7ED5" w:rsidRPr="005C663B" w:rsidRDefault="001A7ED5" w:rsidP="001A7ED5">
            <w:pPr>
              <w:pStyle w:val="BodyText"/>
              <w:spacing w:before="40" w:after="40" w:line="240" w:lineRule="auto"/>
              <w:rPr>
                <w:rFonts w:eastAsiaTheme="majorEastAsia" w:cstheme="minorHAnsi"/>
                <w:caps/>
                <w:sz w:val="20"/>
                <w:szCs w:val="20"/>
              </w:rPr>
            </w:pPr>
          </w:p>
        </w:tc>
        <w:tc>
          <w:tcPr>
            <w:tcW w:w="4536" w:type="dxa"/>
          </w:tcPr>
          <w:p w14:paraId="70057192" w14:textId="41384876" w:rsidR="00FD7A86" w:rsidRPr="005C663B"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005613C7" w:rsidRPr="005C663B">
              <w:rPr>
                <w:rFonts w:eastAsiaTheme="majorEastAsia" w:cstheme="minorHAnsi"/>
                <w:sz w:val="20"/>
                <w:szCs w:val="20"/>
              </w:rPr>
              <w:t xml:space="preserve">Provided food rations for </w:t>
            </w:r>
            <w:r w:rsidR="00FD7A86" w:rsidRPr="005C663B">
              <w:rPr>
                <w:rFonts w:eastAsiaTheme="majorEastAsia" w:cstheme="minorHAnsi"/>
                <w:sz w:val="20"/>
                <w:szCs w:val="20"/>
              </w:rPr>
              <w:t xml:space="preserve">15,235 people (41 per cent children) </w:t>
            </w:r>
            <w:r w:rsidR="0085137D" w:rsidRPr="005C663B">
              <w:rPr>
                <w:rFonts w:eastAsiaTheme="majorEastAsia" w:cstheme="minorHAnsi"/>
                <w:sz w:val="20"/>
                <w:szCs w:val="20"/>
              </w:rPr>
              <w:t>after TC Sarai and TC Harold</w:t>
            </w:r>
          </w:p>
          <w:p w14:paraId="0B16C5F0" w14:textId="77777777" w:rsidR="001A7ED5"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005613C7" w:rsidRPr="005C663B">
              <w:rPr>
                <w:rFonts w:eastAsiaTheme="majorEastAsia" w:cstheme="minorHAnsi"/>
                <w:sz w:val="20"/>
                <w:szCs w:val="20"/>
              </w:rPr>
              <w:t xml:space="preserve">Provided post-disaster counselling for </w:t>
            </w:r>
            <w:r w:rsidR="00FD7A86" w:rsidRPr="005C663B">
              <w:rPr>
                <w:rFonts w:eastAsiaTheme="majorEastAsia" w:cstheme="minorHAnsi"/>
                <w:sz w:val="20"/>
                <w:szCs w:val="20"/>
              </w:rPr>
              <w:t xml:space="preserve">2,167 people </w:t>
            </w:r>
            <w:r w:rsidR="0085137D" w:rsidRPr="005C663B">
              <w:rPr>
                <w:rFonts w:eastAsiaTheme="majorEastAsia" w:cstheme="minorHAnsi"/>
                <w:sz w:val="20"/>
                <w:szCs w:val="20"/>
              </w:rPr>
              <w:t>(1,079 women).</w:t>
            </w:r>
          </w:p>
          <w:p w14:paraId="09FFE741" w14:textId="3D5DE5EA" w:rsidR="00A11C2D" w:rsidRPr="005C663B"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 xml:space="preserve">Procured over AU$1.5m of lab reagents, consumables and equipment. </w:t>
            </w:r>
          </w:p>
          <w:p w14:paraId="395757BE" w14:textId="1930A915" w:rsidR="00A11C2D" w:rsidRPr="005C663B"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 xml:space="preserve">Delivered AU$364,461 worth of bio-medical equipment. </w:t>
            </w:r>
          </w:p>
          <w:p w14:paraId="755CA371" w14:textId="77777777" w:rsidR="00A11C2D"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Installed oxygen concentrators at two remote health centres.</w:t>
            </w:r>
          </w:p>
          <w:p w14:paraId="4BD10E6F" w14:textId="635495F0" w:rsidR="00A11C2D" w:rsidRPr="005C663B"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Deployed</w:t>
            </w:r>
            <w:r>
              <w:rPr>
                <w:rFonts w:eastAsiaTheme="majorEastAsia" w:cstheme="minorHAnsi"/>
                <w:sz w:val="20"/>
                <w:szCs w:val="20"/>
              </w:rPr>
              <w:t xml:space="preserve"> two</w:t>
            </w:r>
            <w:r w:rsidRPr="005C663B">
              <w:rPr>
                <w:rFonts w:eastAsiaTheme="majorEastAsia" w:cstheme="minorHAnsi"/>
                <w:sz w:val="20"/>
                <w:szCs w:val="20"/>
              </w:rPr>
              <w:t xml:space="preserve"> advisers to serve in COVID-19 Taskforce and Incident Management Team.</w:t>
            </w:r>
          </w:p>
          <w:p w14:paraId="2E2388F3" w14:textId="60252CBE" w:rsidR="00A11C2D" w:rsidRPr="005C663B"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 xml:space="preserve">Mobilised and funded a public health communications team. </w:t>
            </w:r>
          </w:p>
          <w:p w14:paraId="11281E3D" w14:textId="77777777" w:rsidR="00A11C2D"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Supported drafting and delivery of National Health Strategic Plan and 10-year health strategic workforce plan and roadmap</w:t>
            </w:r>
            <w:r>
              <w:rPr>
                <w:rFonts w:eastAsiaTheme="majorEastAsia" w:cstheme="minorHAnsi"/>
                <w:sz w:val="20"/>
                <w:szCs w:val="20"/>
              </w:rPr>
              <w:t>.</w:t>
            </w:r>
          </w:p>
          <w:p w14:paraId="1BE2EC72" w14:textId="006BFB51" w:rsidR="00A11C2D" w:rsidRPr="005C663B" w:rsidRDefault="00A11C2D" w:rsidP="00A11C2D">
            <w:pPr>
              <w:pStyle w:val="BodyText"/>
              <w:spacing w:before="0" w:after="0" w:line="240" w:lineRule="auto"/>
              <w:rPr>
                <w:rFonts w:eastAsiaTheme="majorEastAsia" w:cstheme="minorHAnsi"/>
                <w:caps/>
                <w:sz w:val="20"/>
                <w:szCs w:val="20"/>
              </w:rPr>
            </w:pPr>
            <w:r>
              <w:rPr>
                <w:rFonts w:eastAsiaTheme="majorEastAsia" w:cstheme="minorHAnsi"/>
                <w:sz w:val="20"/>
                <w:szCs w:val="20"/>
              </w:rPr>
              <w:t xml:space="preserve">~ </w:t>
            </w:r>
            <w:r w:rsidRPr="005C663B">
              <w:rPr>
                <w:rFonts w:eastAsiaTheme="majorEastAsia" w:cstheme="minorHAnsi"/>
                <w:sz w:val="20"/>
                <w:szCs w:val="20"/>
              </w:rPr>
              <w:t>Supported a review of the pharmaceutical supply chain, recommending reforms that could result in 30-40 per cent savings in costs</w:t>
            </w:r>
            <w:r>
              <w:rPr>
                <w:rFonts w:eastAsiaTheme="majorEastAsia" w:cstheme="minorHAnsi"/>
                <w:sz w:val="20"/>
                <w:szCs w:val="20"/>
              </w:rPr>
              <w:t xml:space="preserve"> (of approximately FJD$37 million)</w:t>
            </w:r>
            <w:r w:rsidRPr="005C663B">
              <w:rPr>
                <w:rFonts w:eastAsiaTheme="majorEastAsia" w:cstheme="minorHAnsi"/>
                <w:sz w:val="20"/>
                <w:szCs w:val="20"/>
              </w:rPr>
              <w:t>.</w:t>
            </w:r>
          </w:p>
        </w:tc>
      </w:tr>
      <w:tr w:rsidR="001A7ED5" w:rsidRPr="00274483" w14:paraId="31C7376B" w14:textId="77777777" w:rsidTr="00922D92">
        <w:tc>
          <w:tcPr>
            <w:tcW w:w="2095" w:type="dxa"/>
          </w:tcPr>
          <w:p w14:paraId="0108D7B0" w14:textId="77777777" w:rsidR="0054728C" w:rsidRDefault="001A7ED5" w:rsidP="001A7ED5">
            <w:pPr>
              <w:pStyle w:val="BodyText"/>
              <w:spacing w:before="40" w:after="40" w:line="240" w:lineRule="auto"/>
              <w:rPr>
                <w:rFonts w:eastAsiaTheme="majorEastAsia" w:cstheme="minorHAnsi"/>
                <w:b/>
                <w:sz w:val="20"/>
                <w:szCs w:val="20"/>
              </w:rPr>
            </w:pPr>
            <w:r w:rsidRPr="005C663B">
              <w:rPr>
                <w:rFonts w:eastAsiaTheme="majorEastAsia" w:cstheme="minorHAnsi"/>
                <w:b/>
                <w:sz w:val="20"/>
                <w:szCs w:val="20"/>
              </w:rPr>
              <w:t>Objective 2</w:t>
            </w:r>
            <w:r w:rsidR="00B824D7" w:rsidRPr="005C663B">
              <w:rPr>
                <w:rFonts w:eastAsiaTheme="majorEastAsia" w:cstheme="minorHAnsi"/>
                <w:b/>
                <w:sz w:val="20"/>
                <w:szCs w:val="20"/>
              </w:rPr>
              <w:t xml:space="preserve">. </w:t>
            </w:r>
          </w:p>
          <w:p w14:paraId="72DCE69D" w14:textId="1B4D56D5" w:rsidR="001A7ED5" w:rsidRPr="005C663B" w:rsidRDefault="00B824D7" w:rsidP="001A7ED5">
            <w:pPr>
              <w:pStyle w:val="BodyText"/>
              <w:spacing w:before="40" w:after="40" w:line="240" w:lineRule="auto"/>
              <w:rPr>
                <w:rFonts w:eastAsiaTheme="majorEastAsia" w:cstheme="minorHAnsi"/>
                <w:b/>
                <w:caps/>
                <w:sz w:val="20"/>
                <w:szCs w:val="20"/>
              </w:rPr>
            </w:pPr>
            <w:r w:rsidRPr="005C663B">
              <w:rPr>
                <w:rFonts w:eastAsiaTheme="majorEastAsia" w:cstheme="minorHAnsi"/>
                <w:b/>
                <w:sz w:val="20"/>
                <w:szCs w:val="20"/>
              </w:rPr>
              <w:t>Stability</w:t>
            </w:r>
          </w:p>
        </w:tc>
        <w:tc>
          <w:tcPr>
            <w:tcW w:w="3570" w:type="dxa"/>
          </w:tcPr>
          <w:p w14:paraId="1F88128B" w14:textId="73C31EB4" w:rsidR="00B824D7" w:rsidRDefault="001A7ED5" w:rsidP="00B824D7">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2.1</w:t>
            </w:r>
            <w:r w:rsidR="00B824D7" w:rsidRPr="005C663B">
              <w:rPr>
                <w:rFonts w:eastAsiaTheme="majorEastAsia" w:cstheme="minorHAnsi"/>
                <w:sz w:val="20"/>
                <w:szCs w:val="20"/>
              </w:rPr>
              <w:t xml:space="preserve"> Numbers reached with new or improved social protection programs, including remote communities</w:t>
            </w:r>
            <w:r w:rsidR="00DB7781" w:rsidRPr="005C663B">
              <w:rPr>
                <w:rFonts w:eastAsiaTheme="majorEastAsia" w:cstheme="minorHAnsi"/>
                <w:sz w:val="20"/>
                <w:szCs w:val="20"/>
              </w:rPr>
              <w:t>.</w:t>
            </w:r>
          </w:p>
          <w:p w14:paraId="1F7DD687" w14:textId="1249BB38" w:rsidR="00A11C2D" w:rsidRDefault="00A11C2D" w:rsidP="00B824D7">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2.2 More women and girl survivors of violence in Fiji receive services such as counselling</w:t>
            </w:r>
            <w:r>
              <w:rPr>
                <w:rFonts w:eastAsiaTheme="majorEastAsia" w:cstheme="minorHAnsi"/>
                <w:sz w:val="20"/>
                <w:szCs w:val="20"/>
              </w:rPr>
              <w:t>.</w:t>
            </w:r>
          </w:p>
          <w:p w14:paraId="0769F436" w14:textId="2A49009E" w:rsidR="00A11C2D" w:rsidRDefault="00A11C2D" w:rsidP="00A11C2D">
            <w:pPr>
              <w:suppressAutoHyphens w:val="0"/>
              <w:spacing w:before="0" w:after="0" w:line="240" w:lineRule="auto"/>
              <w:rPr>
                <w:rFonts w:eastAsiaTheme="majorEastAsia" w:cstheme="minorHAnsi"/>
                <w:sz w:val="20"/>
                <w:szCs w:val="20"/>
              </w:rPr>
            </w:pPr>
            <w:r w:rsidRPr="005C663B">
              <w:rPr>
                <w:rFonts w:eastAsiaTheme="majorEastAsia" w:cstheme="minorHAnsi"/>
                <w:sz w:val="20"/>
                <w:szCs w:val="20"/>
              </w:rPr>
              <w:t>2.3 Number of additional girls and boys enrolled in school</w:t>
            </w:r>
            <w:r>
              <w:rPr>
                <w:rFonts w:eastAsiaTheme="majorEastAsia" w:cstheme="minorHAnsi"/>
                <w:sz w:val="20"/>
                <w:szCs w:val="20"/>
              </w:rPr>
              <w:t>.</w:t>
            </w:r>
          </w:p>
          <w:p w14:paraId="4DA9836A" w14:textId="79D81C99" w:rsidR="00A11C2D" w:rsidRDefault="00A11C2D" w:rsidP="00A11C2D">
            <w:pPr>
              <w:suppressAutoHyphens w:val="0"/>
              <w:spacing w:before="0" w:after="0" w:line="240" w:lineRule="auto"/>
              <w:rPr>
                <w:rFonts w:eastAsiaTheme="majorEastAsia" w:cstheme="minorHAnsi"/>
                <w:sz w:val="20"/>
                <w:szCs w:val="20"/>
              </w:rPr>
            </w:pPr>
            <w:r w:rsidRPr="005C663B">
              <w:rPr>
                <w:rFonts w:eastAsiaTheme="majorEastAsia" w:cstheme="minorHAnsi"/>
                <w:sz w:val="20"/>
                <w:szCs w:val="20"/>
              </w:rPr>
              <w:t>2.4 Number of additional verified students with disabilities</w:t>
            </w:r>
            <w:r>
              <w:rPr>
                <w:rFonts w:eastAsiaTheme="majorEastAsia" w:cstheme="minorHAnsi"/>
                <w:sz w:val="20"/>
                <w:szCs w:val="20"/>
              </w:rPr>
              <w:t>.</w:t>
            </w:r>
          </w:p>
          <w:p w14:paraId="106EE142" w14:textId="77777777" w:rsidR="00A11C2D" w:rsidRPr="005C663B" w:rsidRDefault="00A11C2D" w:rsidP="00A11C2D">
            <w:pPr>
              <w:suppressAutoHyphens w:val="0"/>
              <w:spacing w:before="0" w:after="0" w:line="240" w:lineRule="auto"/>
              <w:rPr>
                <w:rFonts w:eastAsiaTheme="majorEastAsia" w:cstheme="minorHAnsi"/>
                <w:sz w:val="20"/>
                <w:szCs w:val="20"/>
              </w:rPr>
            </w:pPr>
            <w:r w:rsidRPr="005C663B">
              <w:rPr>
                <w:rFonts w:eastAsiaTheme="majorEastAsia" w:cstheme="minorHAnsi"/>
                <w:sz w:val="20"/>
                <w:szCs w:val="20"/>
              </w:rPr>
              <w:t>2.5 Evidence of strengthened and effective coordination during disaster responses (including across CSOs and Government).</w:t>
            </w:r>
          </w:p>
          <w:p w14:paraId="72CE021B" w14:textId="77777777" w:rsidR="00A11C2D" w:rsidRPr="005C663B" w:rsidRDefault="00A11C2D" w:rsidP="00A11C2D">
            <w:pPr>
              <w:suppressAutoHyphens w:val="0"/>
              <w:spacing w:before="0" w:after="0" w:line="240" w:lineRule="auto"/>
              <w:rPr>
                <w:rFonts w:eastAsiaTheme="majorEastAsia" w:cstheme="minorHAnsi"/>
                <w:sz w:val="20"/>
                <w:szCs w:val="20"/>
              </w:rPr>
            </w:pPr>
          </w:p>
          <w:p w14:paraId="31A01522" w14:textId="77777777" w:rsidR="00A11C2D" w:rsidRPr="005C663B" w:rsidRDefault="00A11C2D" w:rsidP="00B824D7">
            <w:pPr>
              <w:pStyle w:val="BodyText"/>
              <w:spacing w:before="40" w:after="40" w:line="240" w:lineRule="auto"/>
              <w:rPr>
                <w:rFonts w:eastAsiaTheme="majorEastAsia" w:cstheme="minorHAnsi"/>
                <w:sz w:val="20"/>
                <w:szCs w:val="20"/>
              </w:rPr>
            </w:pPr>
          </w:p>
          <w:p w14:paraId="423C1B90" w14:textId="77777777" w:rsidR="001A7ED5" w:rsidRPr="005C663B" w:rsidRDefault="001A7ED5" w:rsidP="001A7ED5">
            <w:pPr>
              <w:pStyle w:val="BodyText"/>
              <w:spacing w:before="40" w:after="40" w:line="240" w:lineRule="auto"/>
              <w:rPr>
                <w:rFonts w:eastAsiaTheme="majorEastAsia" w:cstheme="minorHAnsi"/>
                <w:caps/>
                <w:sz w:val="20"/>
                <w:szCs w:val="20"/>
              </w:rPr>
            </w:pPr>
          </w:p>
        </w:tc>
        <w:tc>
          <w:tcPr>
            <w:tcW w:w="4536" w:type="dxa"/>
          </w:tcPr>
          <w:p w14:paraId="29F24258" w14:textId="77777777" w:rsidR="001A7ED5" w:rsidRDefault="00A11C2D" w:rsidP="00A11C2D">
            <w:pPr>
              <w:pStyle w:val="BodyText"/>
              <w:spacing w:before="40" w:after="40" w:line="240" w:lineRule="auto"/>
              <w:rPr>
                <w:rFonts w:cstheme="minorHAnsi"/>
                <w:sz w:val="20"/>
                <w:szCs w:val="20"/>
              </w:rPr>
            </w:pPr>
            <w:r>
              <w:rPr>
                <w:rFonts w:eastAsiaTheme="majorEastAsia" w:cstheme="minorHAnsi"/>
                <w:sz w:val="20"/>
                <w:szCs w:val="20"/>
              </w:rPr>
              <w:t xml:space="preserve">~ </w:t>
            </w:r>
            <w:r w:rsidR="000D2FA0" w:rsidRPr="005C663B">
              <w:rPr>
                <w:rFonts w:eastAsiaTheme="majorEastAsia" w:cstheme="minorHAnsi"/>
                <w:sz w:val="20"/>
                <w:szCs w:val="20"/>
              </w:rPr>
              <w:t>P</w:t>
            </w:r>
            <w:r w:rsidR="00B824D7" w:rsidRPr="005C663B">
              <w:rPr>
                <w:rFonts w:eastAsiaTheme="majorEastAsia" w:cstheme="minorHAnsi"/>
                <w:sz w:val="20"/>
                <w:szCs w:val="20"/>
              </w:rPr>
              <w:t>rovide</w:t>
            </w:r>
            <w:r w:rsidR="00F4607F" w:rsidRPr="005C663B">
              <w:rPr>
                <w:rFonts w:eastAsiaTheme="majorEastAsia" w:cstheme="minorHAnsi"/>
                <w:sz w:val="20"/>
                <w:szCs w:val="20"/>
              </w:rPr>
              <w:t>d</w:t>
            </w:r>
            <w:r w:rsidR="00B824D7" w:rsidRPr="005C663B">
              <w:rPr>
                <w:rFonts w:eastAsiaTheme="majorEastAsia" w:cstheme="minorHAnsi"/>
                <w:sz w:val="20"/>
                <w:szCs w:val="20"/>
              </w:rPr>
              <w:t xml:space="preserve"> top-up payments to recipients of </w:t>
            </w:r>
            <w:r w:rsidR="0085137D" w:rsidRPr="005C663B">
              <w:rPr>
                <w:rFonts w:eastAsiaTheme="majorEastAsia" w:cstheme="minorHAnsi"/>
                <w:sz w:val="20"/>
                <w:szCs w:val="20"/>
              </w:rPr>
              <w:t>social protection schemes</w:t>
            </w:r>
            <w:r w:rsidR="000D2FA0" w:rsidRPr="005C663B">
              <w:rPr>
                <w:rFonts w:eastAsiaTheme="majorEastAsia" w:cstheme="minorHAnsi"/>
                <w:sz w:val="20"/>
                <w:szCs w:val="20"/>
              </w:rPr>
              <w:t xml:space="preserve">, </w:t>
            </w:r>
            <w:r w:rsidR="00B824D7" w:rsidRPr="005C663B">
              <w:rPr>
                <w:rFonts w:eastAsiaTheme="majorEastAsia" w:cstheme="minorHAnsi"/>
                <w:sz w:val="20"/>
                <w:szCs w:val="20"/>
              </w:rPr>
              <w:t>reach</w:t>
            </w:r>
            <w:r w:rsidR="000D2FA0" w:rsidRPr="005C663B">
              <w:rPr>
                <w:rFonts w:eastAsiaTheme="majorEastAsia" w:cstheme="minorHAnsi"/>
                <w:sz w:val="20"/>
                <w:szCs w:val="20"/>
              </w:rPr>
              <w:t>ing</w:t>
            </w:r>
            <w:r w:rsidR="00B824D7" w:rsidRPr="005C663B">
              <w:rPr>
                <w:rFonts w:eastAsiaTheme="majorEastAsia" w:cstheme="minorHAnsi"/>
                <w:sz w:val="20"/>
                <w:szCs w:val="20"/>
              </w:rPr>
              <w:t xml:space="preserve"> approximately 118,000 beneficiaries</w:t>
            </w:r>
            <w:r w:rsidR="000D2FA0" w:rsidRPr="005C663B">
              <w:rPr>
                <w:rFonts w:eastAsiaTheme="majorEastAsia" w:cstheme="minorHAnsi"/>
                <w:sz w:val="20"/>
                <w:szCs w:val="20"/>
              </w:rPr>
              <w:t xml:space="preserve"> ($5.2m allocated and $4.85m dis</w:t>
            </w:r>
            <w:r w:rsidR="00294BF3" w:rsidRPr="005C663B">
              <w:rPr>
                <w:rFonts w:eastAsiaTheme="majorEastAsia" w:cstheme="minorHAnsi"/>
                <w:sz w:val="20"/>
                <w:szCs w:val="20"/>
              </w:rPr>
              <w:t>bursed</w:t>
            </w:r>
            <w:r w:rsidR="000D2FA0" w:rsidRPr="005C663B">
              <w:rPr>
                <w:rFonts w:eastAsiaTheme="majorEastAsia" w:cstheme="minorHAnsi"/>
                <w:sz w:val="20"/>
                <w:szCs w:val="20"/>
              </w:rPr>
              <w:t xml:space="preserve"> in 19</w:t>
            </w:r>
            <w:r w:rsidR="00294BF3" w:rsidRPr="005C663B">
              <w:rPr>
                <w:rFonts w:eastAsiaTheme="majorEastAsia" w:cstheme="minorHAnsi"/>
                <w:sz w:val="20"/>
                <w:szCs w:val="20"/>
              </w:rPr>
              <w:t>-</w:t>
            </w:r>
            <w:r w:rsidR="000D2FA0" w:rsidRPr="005C663B">
              <w:rPr>
                <w:rFonts w:eastAsiaTheme="majorEastAsia" w:cstheme="minorHAnsi"/>
                <w:sz w:val="20"/>
                <w:szCs w:val="20"/>
              </w:rPr>
              <w:t>20)</w:t>
            </w:r>
            <w:r w:rsidR="00DB7781" w:rsidRPr="005C663B">
              <w:rPr>
                <w:rFonts w:eastAsiaTheme="majorEastAsia" w:cstheme="minorHAnsi"/>
                <w:sz w:val="20"/>
                <w:szCs w:val="20"/>
              </w:rPr>
              <w:t>.</w:t>
            </w:r>
            <w:r w:rsidR="00B824D7" w:rsidRPr="005C663B">
              <w:rPr>
                <w:rFonts w:cstheme="minorHAnsi"/>
                <w:sz w:val="20"/>
                <w:szCs w:val="20"/>
              </w:rPr>
              <w:t xml:space="preserve"> </w:t>
            </w:r>
          </w:p>
          <w:p w14:paraId="554EDBD5" w14:textId="77777777" w:rsidR="00A11C2D" w:rsidRDefault="00A11C2D" w:rsidP="00A11C2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Provided over 9,263 women and girls with counselling services.</w:t>
            </w:r>
          </w:p>
          <w:p w14:paraId="7B99B8BA" w14:textId="68247E3B" w:rsidR="00A11C2D" w:rsidRDefault="00A11C2D" w:rsidP="00A11C2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A11C2D">
              <w:rPr>
                <w:rFonts w:eastAsiaTheme="majorEastAsia" w:cstheme="minorHAnsi"/>
                <w:sz w:val="20"/>
                <w:szCs w:val="20"/>
              </w:rPr>
              <w:t>Supported 3,277 (1,621 girls) additional enrolments.</w:t>
            </w:r>
          </w:p>
          <w:p w14:paraId="5B0B94CB" w14:textId="4252D16C" w:rsidR="00A11C2D" w:rsidRDefault="00A11C2D" w:rsidP="00A11C2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A11C2D">
              <w:rPr>
                <w:rFonts w:eastAsiaTheme="majorEastAsia" w:cstheme="minorHAnsi"/>
                <w:sz w:val="20"/>
                <w:szCs w:val="20"/>
              </w:rPr>
              <w:t>Supported the enrolment of 74 additional students with disabilities.</w:t>
            </w:r>
          </w:p>
          <w:p w14:paraId="56104082" w14:textId="77777777" w:rsidR="00A11C2D" w:rsidRPr="005C663B" w:rsidRDefault="00A11C2D" w:rsidP="00A11C2D">
            <w:pPr>
              <w:pStyle w:val="BodyText"/>
              <w:spacing w:before="0" w:after="0" w:line="240" w:lineRule="auto"/>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Enhanced communications technology at the National Emergency Operations Centre (NEOC)</w:t>
            </w:r>
          </w:p>
          <w:p w14:paraId="4887AE3E" w14:textId="62992837" w:rsidR="00A11C2D" w:rsidRDefault="00A11C2D" w:rsidP="00A11C2D">
            <w:pPr>
              <w:pStyle w:val="BodyText"/>
              <w:spacing w:before="0" w:after="0" w:line="240" w:lineRule="auto"/>
              <w:rPr>
                <w:rFonts w:eastAsiaTheme="majorEastAsia" w:cstheme="minorHAnsi"/>
                <w:sz w:val="20"/>
                <w:szCs w:val="20"/>
              </w:rPr>
            </w:pPr>
            <w:r w:rsidRPr="005C663B">
              <w:rPr>
                <w:rFonts w:eastAsiaTheme="majorEastAsia" w:cstheme="minorHAnsi"/>
                <w:sz w:val="20"/>
                <w:szCs w:val="20"/>
              </w:rPr>
              <w:t>Upgraded a Mobile Emergency Operations Command vehicle that provides the National Disaster Management with a mobile coordination capacity.</w:t>
            </w:r>
          </w:p>
          <w:p w14:paraId="193F7063" w14:textId="287592AB" w:rsidR="00A11C2D" w:rsidRPr="005C663B" w:rsidRDefault="00A11C2D" w:rsidP="0054728C">
            <w:pPr>
              <w:pStyle w:val="BodyText"/>
              <w:spacing w:before="0" w:after="0" w:line="240" w:lineRule="auto"/>
              <w:rPr>
                <w:rFonts w:cstheme="minorHAnsi"/>
                <w:bCs/>
                <w:sz w:val="20"/>
                <w:szCs w:val="20"/>
              </w:rPr>
            </w:pPr>
            <w:r>
              <w:rPr>
                <w:rFonts w:eastAsiaTheme="majorEastAsia" w:cstheme="minorHAnsi"/>
                <w:sz w:val="20"/>
                <w:szCs w:val="20"/>
              </w:rPr>
              <w:t xml:space="preserve">~ </w:t>
            </w:r>
            <w:r w:rsidRPr="005C663B">
              <w:rPr>
                <w:rFonts w:eastAsiaTheme="majorEastAsia" w:cstheme="minorHAnsi"/>
                <w:sz w:val="20"/>
                <w:szCs w:val="20"/>
              </w:rPr>
              <w:t>Funded an emergency communications specialist co-located in Fiji’s National Disaster Management Office (NDMO).</w:t>
            </w:r>
          </w:p>
        </w:tc>
      </w:tr>
      <w:tr w:rsidR="001A7ED5" w:rsidRPr="00274483" w14:paraId="76AEDDFB" w14:textId="77777777" w:rsidTr="00922D92">
        <w:tc>
          <w:tcPr>
            <w:tcW w:w="2095" w:type="dxa"/>
          </w:tcPr>
          <w:p w14:paraId="75F6D930" w14:textId="77777777" w:rsidR="0054728C" w:rsidRDefault="001A7ED5" w:rsidP="001A7ED5">
            <w:pPr>
              <w:pStyle w:val="BodyText"/>
              <w:spacing w:before="40" w:after="40" w:line="240" w:lineRule="auto"/>
              <w:rPr>
                <w:rFonts w:eastAsiaTheme="majorEastAsia" w:cstheme="minorHAnsi"/>
                <w:b/>
                <w:sz w:val="20"/>
                <w:szCs w:val="20"/>
              </w:rPr>
            </w:pPr>
            <w:r w:rsidRPr="005C663B">
              <w:rPr>
                <w:rFonts w:eastAsiaTheme="majorEastAsia" w:cstheme="minorHAnsi"/>
                <w:b/>
                <w:sz w:val="20"/>
                <w:szCs w:val="20"/>
              </w:rPr>
              <w:t>Objective 3</w:t>
            </w:r>
            <w:r w:rsidR="004B3053" w:rsidRPr="005C663B">
              <w:rPr>
                <w:rFonts w:eastAsiaTheme="majorEastAsia" w:cstheme="minorHAnsi"/>
                <w:b/>
                <w:sz w:val="20"/>
                <w:szCs w:val="20"/>
              </w:rPr>
              <w:t>.</w:t>
            </w:r>
            <w:r w:rsidR="00B824D7" w:rsidRPr="005C663B">
              <w:rPr>
                <w:rFonts w:eastAsiaTheme="majorEastAsia" w:cstheme="minorHAnsi"/>
                <w:b/>
                <w:sz w:val="20"/>
                <w:szCs w:val="20"/>
              </w:rPr>
              <w:t xml:space="preserve"> </w:t>
            </w:r>
          </w:p>
          <w:p w14:paraId="66EDB6E0" w14:textId="34BA9BC6" w:rsidR="001A7ED5" w:rsidRPr="005C663B" w:rsidRDefault="00B824D7" w:rsidP="001A7ED5">
            <w:pPr>
              <w:pStyle w:val="BodyText"/>
              <w:spacing w:before="40" w:after="40" w:line="240" w:lineRule="auto"/>
              <w:rPr>
                <w:rFonts w:eastAsiaTheme="majorEastAsia" w:cstheme="minorHAnsi"/>
                <w:b/>
                <w:caps/>
                <w:sz w:val="20"/>
                <w:szCs w:val="20"/>
              </w:rPr>
            </w:pPr>
            <w:r w:rsidRPr="005C663B">
              <w:rPr>
                <w:rFonts w:eastAsiaTheme="majorEastAsia" w:cstheme="minorHAnsi"/>
                <w:b/>
                <w:sz w:val="20"/>
                <w:szCs w:val="20"/>
              </w:rPr>
              <w:t>Economic Recovery</w:t>
            </w:r>
          </w:p>
        </w:tc>
        <w:tc>
          <w:tcPr>
            <w:tcW w:w="3570" w:type="dxa"/>
          </w:tcPr>
          <w:p w14:paraId="33201152" w14:textId="77777777" w:rsidR="001A7ED5" w:rsidRDefault="001A7ED5" w:rsidP="001A7ED5">
            <w:pPr>
              <w:pStyle w:val="BodyText"/>
              <w:spacing w:before="40" w:after="40" w:line="240" w:lineRule="auto"/>
              <w:rPr>
                <w:rFonts w:eastAsiaTheme="majorEastAsia" w:cstheme="minorHAnsi"/>
                <w:sz w:val="20"/>
                <w:szCs w:val="20"/>
              </w:rPr>
            </w:pPr>
            <w:r w:rsidRPr="005C663B">
              <w:rPr>
                <w:rFonts w:eastAsiaTheme="majorEastAsia" w:cstheme="minorHAnsi"/>
                <w:sz w:val="20"/>
                <w:szCs w:val="20"/>
              </w:rPr>
              <w:t>3.1</w:t>
            </w:r>
            <w:r w:rsidR="00B824D7" w:rsidRPr="005C663B">
              <w:rPr>
                <w:rFonts w:eastAsiaTheme="majorEastAsia" w:cstheme="minorHAnsi"/>
                <w:sz w:val="20"/>
                <w:szCs w:val="20"/>
              </w:rPr>
              <w:t xml:space="preserve"> Australian budget support, aligned with other development finance, supports the Government of Fiji to maintain macroeconomic stability and achieve P</w:t>
            </w:r>
            <w:r w:rsidR="00294BF3" w:rsidRPr="005C663B">
              <w:rPr>
                <w:rFonts w:eastAsiaTheme="majorEastAsia" w:cstheme="minorHAnsi"/>
                <w:sz w:val="20"/>
                <w:szCs w:val="20"/>
              </w:rPr>
              <w:t xml:space="preserve">ublic </w:t>
            </w:r>
            <w:r w:rsidR="00B824D7" w:rsidRPr="005C663B">
              <w:rPr>
                <w:rFonts w:eastAsiaTheme="majorEastAsia" w:cstheme="minorHAnsi"/>
                <w:sz w:val="20"/>
                <w:szCs w:val="20"/>
              </w:rPr>
              <w:t>F</w:t>
            </w:r>
            <w:r w:rsidR="00294BF3" w:rsidRPr="005C663B">
              <w:rPr>
                <w:rFonts w:eastAsiaTheme="majorEastAsia" w:cstheme="minorHAnsi"/>
                <w:sz w:val="20"/>
                <w:szCs w:val="20"/>
              </w:rPr>
              <w:t xml:space="preserve">inancial </w:t>
            </w:r>
            <w:r w:rsidR="00B824D7" w:rsidRPr="005C663B">
              <w:rPr>
                <w:rFonts w:eastAsiaTheme="majorEastAsia" w:cstheme="minorHAnsi"/>
                <w:sz w:val="20"/>
                <w:szCs w:val="20"/>
              </w:rPr>
              <w:t>M</w:t>
            </w:r>
            <w:r w:rsidR="00294BF3" w:rsidRPr="005C663B">
              <w:rPr>
                <w:rFonts w:eastAsiaTheme="majorEastAsia" w:cstheme="minorHAnsi"/>
                <w:sz w:val="20"/>
                <w:szCs w:val="20"/>
              </w:rPr>
              <w:t>anagement</w:t>
            </w:r>
            <w:r w:rsidR="00B824D7" w:rsidRPr="005C663B">
              <w:rPr>
                <w:rFonts w:eastAsiaTheme="majorEastAsia" w:cstheme="minorHAnsi"/>
                <w:sz w:val="20"/>
                <w:szCs w:val="20"/>
              </w:rPr>
              <w:t xml:space="preserve"> milestones</w:t>
            </w:r>
            <w:r w:rsidR="00A11C2D">
              <w:rPr>
                <w:rFonts w:eastAsiaTheme="majorEastAsia" w:cstheme="minorHAnsi"/>
                <w:sz w:val="20"/>
                <w:szCs w:val="20"/>
              </w:rPr>
              <w:t xml:space="preserve">. </w:t>
            </w:r>
          </w:p>
          <w:p w14:paraId="10681537" w14:textId="77777777" w:rsidR="00A11C2D" w:rsidRDefault="00A11C2D" w:rsidP="001A7ED5">
            <w:pPr>
              <w:pStyle w:val="BodyText"/>
              <w:spacing w:before="40" w:after="40" w:line="240" w:lineRule="auto"/>
              <w:rPr>
                <w:rFonts w:eastAsiaTheme="majorEastAsia" w:cstheme="minorHAnsi"/>
                <w:sz w:val="20"/>
                <w:szCs w:val="20"/>
              </w:rPr>
            </w:pPr>
            <w:r w:rsidRPr="005C663B">
              <w:rPr>
                <w:rFonts w:eastAsiaTheme="majorEastAsia" w:cstheme="minorHAnsi"/>
                <w:caps/>
                <w:sz w:val="20"/>
                <w:szCs w:val="20"/>
              </w:rPr>
              <w:t>3</w:t>
            </w:r>
            <w:r w:rsidRPr="005C663B">
              <w:rPr>
                <w:rFonts w:eastAsiaTheme="majorEastAsia" w:cstheme="minorHAnsi"/>
                <w:sz w:val="20"/>
                <w:szCs w:val="20"/>
              </w:rPr>
              <w:t>.2 Number of Awards in each intake focused on skills supporting health systems and services, economic management and public sector reform.</w:t>
            </w:r>
          </w:p>
          <w:p w14:paraId="09961F3B" w14:textId="6E790EFB" w:rsidR="00A11C2D" w:rsidRDefault="00A11C2D" w:rsidP="00A11C2D">
            <w:pPr>
              <w:suppressAutoHyphens w:val="0"/>
              <w:spacing w:line="252" w:lineRule="auto"/>
              <w:rPr>
                <w:rFonts w:eastAsiaTheme="majorEastAsia" w:cstheme="minorHAnsi"/>
                <w:sz w:val="20"/>
                <w:szCs w:val="20"/>
              </w:rPr>
            </w:pPr>
            <w:r w:rsidRPr="005C663B">
              <w:rPr>
                <w:rFonts w:eastAsiaTheme="majorEastAsia" w:cstheme="minorHAnsi"/>
                <w:sz w:val="20"/>
                <w:szCs w:val="20"/>
              </w:rPr>
              <w:lastRenderedPageBreak/>
              <w:t>3.3 Number of women entrepreneurs provided with financial and/or business development services.</w:t>
            </w:r>
          </w:p>
          <w:p w14:paraId="3540B1AA" w14:textId="6612C259" w:rsidR="0054728C" w:rsidRPr="005C663B" w:rsidRDefault="0054728C" w:rsidP="00A11C2D">
            <w:pPr>
              <w:suppressAutoHyphens w:val="0"/>
              <w:spacing w:line="252" w:lineRule="auto"/>
              <w:rPr>
                <w:rFonts w:eastAsiaTheme="majorEastAsia" w:cstheme="minorHAnsi"/>
                <w:sz w:val="20"/>
                <w:szCs w:val="20"/>
              </w:rPr>
            </w:pPr>
            <w:r w:rsidRPr="005C663B">
              <w:rPr>
                <w:rFonts w:eastAsiaTheme="majorEastAsia" w:cstheme="minorHAnsi"/>
                <w:sz w:val="20"/>
                <w:szCs w:val="20"/>
              </w:rPr>
              <w:t>3.4 Examples of partnering, with private sector and others, to ensure supply lines are open</w:t>
            </w:r>
          </w:p>
          <w:p w14:paraId="488D9E58" w14:textId="3139C5DA" w:rsidR="00A11C2D" w:rsidRPr="005C663B" w:rsidRDefault="00A11C2D" w:rsidP="001A7ED5">
            <w:pPr>
              <w:pStyle w:val="BodyText"/>
              <w:spacing w:before="40" w:after="40" w:line="240" w:lineRule="auto"/>
              <w:rPr>
                <w:rFonts w:eastAsiaTheme="majorEastAsia" w:cstheme="minorHAnsi"/>
                <w:sz w:val="20"/>
                <w:szCs w:val="20"/>
              </w:rPr>
            </w:pPr>
          </w:p>
        </w:tc>
        <w:tc>
          <w:tcPr>
            <w:tcW w:w="4536" w:type="dxa"/>
          </w:tcPr>
          <w:p w14:paraId="22F09816" w14:textId="3070BB63" w:rsidR="003D1732" w:rsidRPr="00A11C2D" w:rsidRDefault="00A11C2D" w:rsidP="00A11C2D">
            <w:pPr>
              <w:spacing w:before="0" w:after="0" w:line="240" w:lineRule="auto"/>
              <w:rPr>
                <w:rFonts w:eastAsiaTheme="majorEastAsia" w:cstheme="minorHAnsi"/>
                <w:sz w:val="20"/>
                <w:szCs w:val="20"/>
              </w:rPr>
            </w:pPr>
            <w:r>
              <w:rPr>
                <w:rFonts w:eastAsiaTheme="majorEastAsia" w:cstheme="minorHAnsi"/>
                <w:sz w:val="20"/>
                <w:szCs w:val="20"/>
              </w:rPr>
              <w:lastRenderedPageBreak/>
              <w:t xml:space="preserve">~ </w:t>
            </w:r>
            <w:r w:rsidR="003D1732" w:rsidRPr="00A11C2D">
              <w:rPr>
                <w:rFonts w:eastAsiaTheme="majorEastAsia" w:cstheme="minorHAnsi"/>
                <w:sz w:val="20"/>
                <w:szCs w:val="20"/>
              </w:rPr>
              <w:t>Completed an Assessment of National Systems for Fiji, enabling Australia budget support in fulfilment of a Vuvale Partnership commitment</w:t>
            </w:r>
          </w:p>
          <w:p w14:paraId="030749C1" w14:textId="2C091CC0" w:rsidR="003D1732" w:rsidRPr="00A11C2D" w:rsidRDefault="00A11C2D" w:rsidP="00A11C2D">
            <w:pPr>
              <w:spacing w:before="0" w:after="0" w:line="240" w:lineRule="auto"/>
              <w:rPr>
                <w:rFonts w:eastAsiaTheme="majorEastAsia" w:cstheme="minorHAnsi"/>
                <w:sz w:val="20"/>
                <w:szCs w:val="20"/>
              </w:rPr>
            </w:pPr>
            <w:r>
              <w:rPr>
                <w:rFonts w:eastAsiaTheme="majorEastAsia" w:cstheme="minorHAnsi"/>
                <w:sz w:val="20"/>
                <w:szCs w:val="20"/>
              </w:rPr>
              <w:t xml:space="preserve">~ </w:t>
            </w:r>
            <w:r w:rsidR="003D1732" w:rsidRPr="00A11C2D">
              <w:rPr>
                <w:rFonts w:eastAsiaTheme="majorEastAsia" w:cstheme="minorHAnsi"/>
                <w:sz w:val="20"/>
                <w:szCs w:val="20"/>
              </w:rPr>
              <w:t>Provided $19.5m to assist the Government of Fiji in the following sectors</w:t>
            </w:r>
            <w:r w:rsidR="00294BF3" w:rsidRPr="00A11C2D">
              <w:rPr>
                <w:rFonts w:eastAsiaTheme="majorEastAsia" w:cstheme="minorHAnsi"/>
                <w:sz w:val="20"/>
                <w:szCs w:val="20"/>
              </w:rPr>
              <w:t>:</w:t>
            </w:r>
          </w:p>
          <w:p w14:paraId="49A528B6" w14:textId="77777777" w:rsidR="003D1732" w:rsidRPr="005C663B" w:rsidRDefault="003D1732" w:rsidP="003D1732">
            <w:pPr>
              <w:pStyle w:val="ListParagraph"/>
              <w:spacing w:before="0" w:after="0" w:line="240" w:lineRule="auto"/>
              <w:ind w:left="360"/>
              <w:rPr>
                <w:rFonts w:eastAsiaTheme="majorEastAsia" w:cstheme="minorHAnsi"/>
                <w:sz w:val="20"/>
                <w:szCs w:val="20"/>
              </w:rPr>
            </w:pPr>
            <w:r w:rsidRPr="005C663B">
              <w:rPr>
                <w:rFonts w:eastAsiaTheme="majorEastAsia" w:cstheme="minorHAnsi"/>
                <w:sz w:val="20"/>
                <w:szCs w:val="20"/>
              </w:rPr>
              <w:t>-  Health</w:t>
            </w:r>
          </w:p>
          <w:p w14:paraId="60179F6A" w14:textId="77777777" w:rsidR="003D1732" w:rsidRPr="005C663B" w:rsidRDefault="003D1732" w:rsidP="003D1732">
            <w:pPr>
              <w:pStyle w:val="ListParagraph"/>
              <w:spacing w:before="0" w:after="0" w:line="240" w:lineRule="auto"/>
              <w:ind w:left="360"/>
              <w:rPr>
                <w:rFonts w:eastAsiaTheme="majorEastAsia" w:cstheme="minorHAnsi"/>
                <w:sz w:val="20"/>
                <w:szCs w:val="20"/>
              </w:rPr>
            </w:pPr>
            <w:r w:rsidRPr="005C663B">
              <w:rPr>
                <w:rFonts w:eastAsiaTheme="majorEastAsia" w:cstheme="minorHAnsi"/>
                <w:sz w:val="20"/>
                <w:szCs w:val="20"/>
              </w:rPr>
              <w:t>-  Disaster management (following TC Harold)</w:t>
            </w:r>
          </w:p>
          <w:p w14:paraId="054B996D" w14:textId="77777777" w:rsidR="003D1732" w:rsidRPr="005C663B" w:rsidRDefault="003D1732" w:rsidP="003D1732">
            <w:pPr>
              <w:pStyle w:val="ListParagraph"/>
              <w:spacing w:before="0" w:after="0" w:line="240" w:lineRule="auto"/>
              <w:ind w:left="360"/>
              <w:rPr>
                <w:rFonts w:eastAsiaTheme="majorEastAsia" w:cstheme="minorHAnsi"/>
                <w:sz w:val="20"/>
                <w:szCs w:val="20"/>
              </w:rPr>
            </w:pPr>
            <w:r w:rsidRPr="005C663B">
              <w:rPr>
                <w:rFonts w:eastAsiaTheme="majorEastAsia" w:cstheme="minorHAnsi"/>
                <w:sz w:val="20"/>
                <w:szCs w:val="20"/>
              </w:rPr>
              <w:t>-  Social protection/welfare schemes</w:t>
            </w:r>
          </w:p>
          <w:p w14:paraId="40499E00" w14:textId="77777777" w:rsidR="003D1732" w:rsidRPr="005C663B" w:rsidRDefault="003D1732" w:rsidP="003D1732">
            <w:pPr>
              <w:pStyle w:val="ListParagraph"/>
              <w:spacing w:before="0" w:after="0" w:line="240" w:lineRule="auto"/>
              <w:ind w:left="360"/>
              <w:rPr>
                <w:rFonts w:eastAsiaTheme="majorEastAsia" w:cstheme="minorHAnsi"/>
                <w:sz w:val="20"/>
                <w:szCs w:val="20"/>
              </w:rPr>
            </w:pPr>
            <w:r w:rsidRPr="005C663B">
              <w:rPr>
                <w:rFonts w:eastAsiaTheme="majorEastAsia" w:cstheme="minorHAnsi"/>
                <w:sz w:val="20"/>
                <w:szCs w:val="20"/>
              </w:rPr>
              <w:t>-  Economic and fiscal reform</w:t>
            </w:r>
          </w:p>
          <w:p w14:paraId="76DD1A60" w14:textId="6B275E4C" w:rsidR="001A7ED5" w:rsidRPr="005C663B" w:rsidRDefault="001815B0" w:rsidP="001815B0">
            <w:pPr>
              <w:pStyle w:val="ListParagraph"/>
              <w:spacing w:before="0" w:after="0" w:line="240" w:lineRule="auto"/>
              <w:ind w:left="360"/>
              <w:rPr>
                <w:rFonts w:eastAsiaTheme="majorEastAsia" w:cstheme="minorHAnsi"/>
                <w:sz w:val="20"/>
                <w:szCs w:val="20"/>
              </w:rPr>
            </w:pPr>
            <w:r w:rsidRPr="005C663B">
              <w:rPr>
                <w:rFonts w:eastAsiaTheme="majorEastAsia" w:cstheme="minorHAnsi"/>
                <w:sz w:val="20"/>
                <w:szCs w:val="20"/>
              </w:rPr>
              <w:t>-</w:t>
            </w:r>
            <w:r w:rsidR="005B7393" w:rsidRPr="005C663B">
              <w:rPr>
                <w:rFonts w:eastAsiaTheme="majorEastAsia" w:cstheme="minorHAnsi"/>
                <w:sz w:val="20"/>
                <w:szCs w:val="20"/>
              </w:rPr>
              <w:t xml:space="preserve"> </w:t>
            </w:r>
            <w:r w:rsidR="001B1DA7">
              <w:rPr>
                <w:rFonts w:eastAsiaTheme="majorEastAsia" w:cstheme="minorHAnsi"/>
                <w:sz w:val="20"/>
                <w:szCs w:val="20"/>
              </w:rPr>
              <w:t xml:space="preserve"> </w:t>
            </w:r>
            <w:r w:rsidRPr="005C663B">
              <w:rPr>
                <w:rFonts w:eastAsiaTheme="majorEastAsia" w:cstheme="minorHAnsi"/>
                <w:sz w:val="20"/>
                <w:szCs w:val="20"/>
              </w:rPr>
              <w:t>G</w:t>
            </w:r>
            <w:r w:rsidR="00B824D7" w:rsidRPr="005C663B">
              <w:rPr>
                <w:rFonts w:eastAsiaTheme="majorEastAsia" w:cstheme="minorHAnsi"/>
                <w:sz w:val="20"/>
                <w:szCs w:val="20"/>
              </w:rPr>
              <w:t xml:space="preserve">eneral budget support. </w:t>
            </w:r>
          </w:p>
          <w:p w14:paraId="62DE05DF" w14:textId="77777777" w:rsidR="00A11C2D" w:rsidRPr="00A11C2D" w:rsidRDefault="00A11C2D" w:rsidP="00A11C2D">
            <w:pPr>
              <w:spacing w:before="0" w:after="0" w:line="240" w:lineRule="auto"/>
              <w:rPr>
                <w:rFonts w:eastAsiaTheme="majorEastAsia" w:cstheme="minorHAnsi"/>
                <w:sz w:val="20"/>
                <w:szCs w:val="20"/>
              </w:rPr>
            </w:pPr>
            <w:r>
              <w:rPr>
                <w:rFonts w:eastAsiaTheme="majorEastAsia" w:cstheme="minorHAnsi"/>
                <w:sz w:val="20"/>
                <w:szCs w:val="20"/>
              </w:rPr>
              <w:lastRenderedPageBreak/>
              <w:t xml:space="preserve">~ </w:t>
            </w:r>
            <w:r w:rsidRPr="00A11C2D">
              <w:rPr>
                <w:rFonts w:eastAsiaTheme="majorEastAsia" w:cstheme="minorHAnsi"/>
                <w:sz w:val="20"/>
                <w:szCs w:val="20"/>
              </w:rPr>
              <w:t>Supported 29 Awards in priority areas in 2019 intake (14 women) and 10 Awards in priority areas in 2020 intake (6 women)</w:t>
            </w:r>
          </w:p>
          <w:p w14:paraId="7A943983" w14:textId="268AFDFA" w:rsidR="00A11C2D" w:rsidRDefault="00A11C2D" w:rsidP="0054728C">
            <w:pPr>
              <w:pStyle w:val="ListParagraph"/>
              <w:numPr>
                <w:ilvl w:val="0"/>
                <w:numId w:val="29"/>
              </w:numPr>
              <w:spacing w:before="0" w:after="0" w:line="240" w:lineRule="auto"/>
              <w:ind w:left="457" w:hanging="141"/>
              <w:rPr>
                <w:rFonts w:eastAsiaTheme="majorEastAsia" w:cstheme="minorHAnsi"/>
                <w:sz w:val="20"/>
                <w:szCs w:val="20"/>
              </w:rPr>
            </w:pPr>
            <w:r w:rsidRPr="005C663B">
              <w:rPr>
                <w:rFonts w:eastAsiaTheme="majorEastAsia" w:cstheme="minorHAnsi"/>
                <w:sz w:val="20"/>
                <w:szCs w:val="20"/>
              </w:rPr>
              <w:t>from a total 76 Awards in the 2019 intake (35 women) and 18 Awards in the 2020 intake (9 women).</w:t>
            </w:r>
          </w:p>
          <w:p w14:paraId="5A6CFB6D" w14:textId="77777777" w:rsidR="00A11C2D" w:rsidRPr="005C663B" w:rsidRDefault="00A11C2D" w:rsidP="00A11C2D">
            <w:pPr>
              <w:suppressAutoHyphens w:val="0"/>
              <w:spacing w:line="252" w:lineRule="auto"/>
              <w:contextualSpacing/>
              <w:rPr>
                <w:rFonts w:eastAsiaTheme="majorEastAsia" w:cstheme="minorHAnsi"/>
                <w:sz w:val="20"/>
                <w:szCs w:val="20"/>
              </w:rPr>
            </w:pPr>
            <w:r>
              <w:rPr>
                <w:rFonts w:eastAsiaTheme="majorEastAsia" w:cstheme="minorHAnsi"/>
                <w:sz w:val="20"/>
                <w:szCs w:val="20"/>
              </w:rPr>
              <w:t xml:space="preserve">~ </w:t>
            </w:r>
            <w:r w:rsidRPr="005C663B">
              <w:rPr>
                <w:rFonts w:eastAsiaTheme="majorEastAsia" w:cstheme="minorHAnsi"/>
                <w:sz w:val="20"/>
                <w:szCs w:val="20"/>
              </w:rPr>
              <w:t>Trained 156 participants (97 women) through a business development webinar.</w:t>
            </w:r>
          </w:p>
          <w:p w14:paraId="21F6736B" w14:textId="77777777" w:rsidR="00A11C2D" w:rsidRPr="005C663B" w:rsidRDefault="00A11C2D" w:rsidP="00A11C2D">
            <w:pPr>
              <w:suppressAutoHyphens w:val="0"/>
              <w:spacing w:line="252" w:lineRule="auto"/>
              <w:contextualSpacing/>
              <w:rPr>
                <w:rFonts w:eastAsiaTheme="majorEastAsia" w:cstheme="minorHAnsi"/>
                <w:caps/>
                <w:sz w:val="20"/>
                <w:szCs w:val="20"/>
              </w:rPr>
            </w:pPr>
            <w:r>
              <w:rPr>
                <w:rFonts w:eastAsiaTheme="majorEastAsia" w:cstheme="minorHAnsi"/>
                <w:sz w:val="20"/>
                <w:szCs w:val="20"/>
              </w:rPr>
              <w:t xml:space="preserve">~ </w:t>
            </w:r>
            <w:r w:rsidRPr="005C663B">
              <w:rPr>
                <w:rFonts w:eastAsiaTheme="majorEastAsia" w:cstheme="minorHAnsi"/>
                <w:sz w:val="20"/>
                <w:szCs w:val="20"/>
              </w:rPr>
              <w:t>Mentored 25 Participants (17 women) post-webinar.</w:t>
            </w:r>
          </w:p>
          <w:p w14:paraId="06B69C27" w14:textId="77777777" w:rsidR="00A11C2D" w:rsidRPr="005C663B" w:rsidRDefault="00A11C2D" w:rsidP="00A11C2D">
            <w:pPr>
              <w:suppressAutoHyphens w:val="0"/>
              <w:spacing w:after="0" w:line="252" w:lineRule="auto"/>
              <w:contextualSpacing/>
              <w:rPr>
                <w:rFonts w:eastAsiaTheme="majorEastAsia" w:cstheme="minorHAnsi"/>
                <w:caps/>
                <w:sz w:val="20"/>
                <w:szCs w:val="20"/>
              </w:rPr>
            </w:pPr>
            <w:r>
              <w:rPr>
                <w:rFonts w:eastAsiaTheme="majorEastAsia" w:cstheme="minorHAnsi"/>
                <w:sz w:val="20"/>
                <w:szCs w:val="20"/>
              </w:rPr>
              <w:t xml:space="preserve">~ </w:t>
            </w:r>
            <w:r w:rsidRPr="005C663B">
              <w:rPr>
                <w:rFonts w:eastAsiaTheme="majorEastAsia" w:cstheme="minorHAnsi"/>
                <w:sz w:val="20"/>
                <w:szCs w:val="20"/>
              </w:rPr>
              <w:t xml:space="preserve">Trained 150 women on financial literacy and safeguarding business during COVID-19 </w:t>
            </w:r>
          </w:p>
          <w:p w14:paraId="26913433" w14:textId="3E6E7467" w:rsidR="00A11C2D" w:rsidRPr="0054728C" w:rsidRDefault="00A11C2D" w:rsidP="0054728C">
            <w:pPr>
              <w:pStyle w:val="ListParagraph"/>
              <w:numPr>
                <w:ilvl w:val="0"/>
                <w:numId w:val="16"/>
              </w:numPr>
              <w:suppressAutoHyphens w:val="0"/>
              <w:spacing w:before="0" w:line="252" w:lineRule="auto"/>
              <w:ind w:left="457" w:hanging="141"/>
              <w:rPr>
                <w:rFonts w:eastAsiaTheme="majorEastAsia" w:cstheme="minorHAnsi"/>
                <w:caps/>
                <w:sz w:val="20"/>
                <w:szCs w:val="20"/>
              </w:rPr>
            </w:pPr>
            <w:r w:rsidRPr="005C663B">
              <w:rPr>
                <w:rFonts w:eastAsiaTheme="majorEastAsia" w:cstheme="minorHAnsi"/>
                <w:sz w:val="20"/>
                <w:szCs w:val="20"/>
              </w:rPr>
              <w:t>also provided mentoring support to seven members of Women in Business Council.</w:t>
            </w:r>
          </w:p>
          <w:p w14:paraId="052654EF" w14:textId="77777777" w:rsidR="0054728C" w:rsidRPr="005C663B" w:rsidRDefault="0054728C" w:rsidP="0054728C">
            <w:pPr>
              <w:suppressAutoHyphens w:val="0"/>
              <w:spacing w:before="0" w:line="252" w:lineRule="auto"/>
              <w:contextualSpacing/>
              <w:rPr>
                <w:rFonts w:eastAsiaTheme="majorEastAsia" w:cstheme="minorHAnsi"/>
                <w:color w:val="44546A"/>
                <w:sz w:val="20"/>
                <w:szCs w:val="20"/>
                <w:lang w:val="en-AU"/>
              </w:rPr>
            </w:pPr>
            <w:r>
              <w:rPr>
                <w:rFonts w:eastAsiaTheme="majorEastAsia" w:cstheme="minorHAnsi"/>
                <w:sz w:val="20"/>
                <w:szCs w:val="20"/>
              </w:rPr>
              <w:t xml:space="preserve">~ </w:t>
            </w:r>
            <w:r w:rsidRPr="005C663B">
              <w:rPr>
                <w:rFonts w:eastAsiaTheme="majorEastAsia" w:cstheme="minorHAnsi"/>
                <w:sz w:val="20"/>
                <w:szCs w:val="20"/>
              </w:rPr>
              <w:t>Supported the local manufacturing and distribution of 25,000 litres of hand sanitiser in response to a shortage, as well as</w:t>
            </w:r>
            <w:r w:rsidRPr="005C663B">
              <w:rPr>
                <w:rFonts w:eastAsiaTheme="majorEastAsia" w:cstheme="minorHAnsi"/>
                <w:color w:val="44546A"/>
                <w:sz w:val="20"/>
                <w:szCs w:val="20"/>
                <w:lang w:val="en-AU"/>
              </w:rPr>
              <w:t xml:space="preserve"> 1,000 face shield units </w:t>
            </w:r>
            <w:r>
              <w:rPr>
                <w:rFonts w:eastAsiaTheme="majorEastAsia" w:cstheme="minorHAnsi"/>
                <w:color w:val="44546A"/>
                <w:sz w:val="20"/>
                <w:szCs w:val="20"/>
                <w:lang w:val="en-AU"/>
              </w:rPr>
              <w:t xml:space="preserve">for the </w:t>
            </w:r>
            <w:r w:rsidRPr="005C663B">
              <w:rPr>
                <w:rFonts w:eastAsiaTheme="majorEastAsia" w:cstheme="minorHAnsi"/>
                <w:color w:val="44546A"/>
                <w:sz w:val="20"/>
                <w:szCs w:val="20"/>
                <w:lang w:val="en-AU"/>
              </w:rPr>
              <w:t xml:space="preserve"> M</w:t>
            </w:r>
            <w:r>
              <w:rPr>
                <w:rFonts w:eastAsiaTheme="majorEastAsia" w:cstheme="minorHAnsi"/>
                <w:color w:val="44546A"/>
                <w:sz w:val="20"/>
                <w:szCs w:val="20"/>
                <w:lang w:val="en-AU"/>
              </w:rPr>
              <w:t>inistry of Health and Medical Services (MoHMS)</w:t>
            </w:r>
            <w:r w:rsidRPr="005C663B">
              <w:rPr>
                <w:rFonts w:eastAsiaTheme="majorEastAsia" w:cstheme="minorHAnsi"/>
                <w:color w:val="44546A"/>
                <w:sz w:val="20"/>
                <w:szCs w:val="20"/>
                <w:lang w:val="en-AU"/>
              </w:rPr>
              <w:t xml:space="preserve">. </w:t>
            </w:r>
          </w:p>
          <w:p w14:paraId="1B49BB9B" w14:textId="16336F49" w:rsidR="00CB2B71" w:rsidRPr="005C663B" w:rsidRDefault="0054728C" w:rsidP="0054728C">
            <w:pPr>
              <w:suppressAutoHyphens w:val="0"/>
              <w:spacing w:before="0" w:line="252" w:lineRule="auto"/>
              <w:rPr>
                <w:rFonts w:eastAsiaTheme="majorEastAsia" w:cstheme="minorHAnsi"/>
                <w:sz w:val="20"/>
                <w:szCs w:val="20"/>
              </w:rPr>
            </w:pPr>
            <w:r>
              <w:rPr>
                <w:rFonts w:eastAsiaTheme="majorEastAsia" w:cstheme="minorHAnsi"/>
                <w:sz w:val="20"/>
                <w:szCs w:val="20"/>
              </w:rPr>
              <w:t xml:space="preserve">~ </w:t>
            </w:r>
            <w:r w:rsidRPr="0054728C">
              <w:rPr>
                <w:rFonts w:eastAsiaTheme="majorEastAsia" w:cstheme="minorHAnsi"/>
                <w:sz w:val="20"/>
                <w:szCs w:val="20"/>
              </w:rPr>
              <w:t>Relocated more than 11 tonnes of Kava from Vanua Levu to Levuka, providing above the average price per kilo for wet kava (average FJD9/kilo) and farm-gate pick-up, reducing farmers’ costs to bring the kava themselves to their markets/exporters.</w:t>
            </w:r>
          </w:p>
        </w:tc>
      </w:tr>
    </w:tbl>
    <w:p w14:paraId="0E8B79F7" w14:textId="3594BDDF" w:rsidR="00FF4990" w:rsidRPr="00BE705D" w:rsidRDefault="005613C7" w:rsidP="0054728C">
      <w:pPr>
        <w:pStyle w:val="Heading2"/>
        <w:spacing w:before="120" w:line="240" w:lineRule="auto"/>
        <w:contextualSpacing w:val="0"/>
        <w:rPr>
          <w:caps w:val="0"/>
          <w:sz w:val="16"/>
          <w:szCs w:val="16"/>
        </w:rPr>
      </w:pPr>
      <w:r>
        <w:lastRenderedPageBreak/>
        <w:t xml:space="preserve"> </w:t>
      </w:r>
      <w:r w:rsidRPr="006310FC">
        <w:rPr>
          <w:sz w:val="16"/>
          <w:szCs w:val="16"/>
        </w:rPr>
        <w:t>*nOTE:</w:t>
      </w:r>
      <w:r w:rsidR="00BE705D" w:rsidRPr="00BE705D">
        <w:rPr>
          <w:rFonts w:asciiTheme="minorHAnsi" w:hAnsiTheme="minorHAnsi"/>
          <w:caps w:val="0"/>
          <w:sz w:val="16"/>
          <w:szCs w:val="16"/>
        </w:rPr>
        <w:t xml:space="preserve">2019-20 was a transition year for the </w:t>
      </w:r>
      <w:r w:rsidR="00BE705D">
        <w:rPr>
          <w:rFonts w:asciiTheme="minorHAnsi" w:hAnsiTheme="minorHAnsi"/>
          <w:caps w:val="0"/>
          <w:sz w:val="16"/>
          <w:szCs w:val="16"/>
        </w:rPr>
        <w:t>F</w:t>
      </w:r>
      <w:r w:rsidR="00BE705D" w:rsidRPr="00BE705D">
        <w:rPr>
          <w:rFonts w:asciiTheme="minorHAnsi" w:hAnsiTheme="minorHAnsi"/>
          <w:caps w:val="0"/>
          <w:sz w:val="16"/>
          <w:szCs w:val="16"/>
        </w:rPr>
        <w:t xml:space="preserve">iji program following the signing of the Vuvale </w:t>
      </w:r>
      <w:r w:rsidR="007E0361">
        <w:rPr>
          <w:rFonts w:asciiTheme="minorHAnsi" w:hAnsiTheme="minorHAnsi"/>
          <w:caps w:val="0"/>
          <w:sz w:val="16"/>
          <w:szCs w:val="16"/>
        </w:rPr>
        <w:t>P</w:t>
      </w:r>
      <w:r w:rsidR="00BE705D" w:rsidRPr="00BE705D">
        <w:rPr>
          <w:rFonts w:asciiTheme="minorHAnsi" w:hAnsiTheme="minorHAnsi"/>
          <w:caps w:val="0"/>
          <w:sz w:val="16"/>
          <w:szCs w:val="16"/>
        </w:rPr>
        <w:t xml:space="preserve">artnership in </w:t>
      </w:r>
      <w:r w:rsidR="00BE705D">
        <w:rPr>
          <w:rFonts w:asciiTheme="minorHAnsi" w:hAnsiTheme="minorHAnsi"/>
          <w:caps w:val="0"/>
          <w:sz w:val="16"/>
          <w:szCs w:val="16"/>
        </w:rPr>
        <w:t>S</w:t>
      </w:r>
      <w:r w:rsidR="00BE705D" w:rsidRPr="00BE705D">
        <w:rPr>
          <w:rFonts w:asciiTheme="minorHAnsi" w:hAnsiTheme="minorHAnsi"/>
          <w:caps w:val="0"/>
          <w:sz w:val="16"/>
          <w:szCs w:val="16"/>
        </w:rPr>
        <w:t xml:space="preserve">eptember 2019. </w:t>
      </w:r>
      <w:r w:rsidR="00BE705D">
        <w:rPr>
          <w:rFonts w:asciiTheme="minorHAnsi" w:hAnsiTheme="minorHAnsi"/>
          <w:caps w:val="0"/>
          <w:sz w:val="16"/>
          <w:szCs w:val="16"/>
        </w:rPr>
        <w:t>A</w:t>
      </w:r>
      <w:r w:rsidR="00BE705D" w:rsidRPr="00BE705D">
        <w:rPr>
          <w:rFonts w:asciiTheme="minorHAnsi" w:hAnsiTheme="minorHAnsi"/>
          <w:caps w:val="0"/>
          <w:sz w:val="16"/>
          <w:szCs w:val="16"/>
        </w:rPr>
        <w:t xml:space="preserve">s such, the program has reported progress against selected </w:t>
      </w:r>
      <w:r w:rsidR="00BE705D" w:rsidRPr="006F7ED0">
        <w:rPr>
          <w:rFonts w:asciiTheme="minorHAnsi" w:hAnsiTheme="minorHAnsi"/>
          <w:i/>
          <w:iCs/>
          <w:caps w:val="0"/>
          <w:sz w:val="16"/>
          <w:szCs w:val="16"/>
        </w:rPr>
        <w:t>Partnerships for Recovery</w:t>
      </w:r>
      <w:r w:rsidR="00BE705D">
        <w:rPr>
          <w:rFonts w:asciiTheme="minorHAnsi" w:hAnsiTheme="minorHAnsi"/>
          <w:caps w:val="0"/>
          <w:sz w:val="16"/>
          <w:szCs w:val="16"/>
        </w:rPr>
        <w:t xml:space="preserve"> Tier 2 performance indicators</w:t>
      </w:r>
      <w:r w:rsidR="00BE705D" w:rsidRPr="00BE705D">
        <w:rPr>
          <w:rFonts w:asciiTheme="minorHAnsi" w:hAnsiTheme="minorHAnsi"/>
          <w:caps w:val="0"/>
          <w:sz w:val="16"/>
          <w:szCs w:val="16"/>
        </w:rPr>
        <w:t xml:space="preserve">. </w:t>
      </w:r>
    </w:p>
    <w:p w14:paraId="17D2B400" w14:textId="77777777" w:rsidR="00276A54" w:rsidRPr="00BE705D" w:rsidRDefault="00276A54" w:rsidP="00276A54"/>
    <w:p w14:paraId="2E93F0B1" w14:textId="77777777" w:rsidR="0054728C" w:rsidRDefault="0054728C">
      <w:pPr>
        <w:suppressAutoHyphens w:val="0"/>
        <w:spacing w:before="0" w:after="120" w:line="440" w:lineRule="atLeast"/>
        <w:rPr>
          <w:rFonts w:asciiTheme="majorHAnsi" w:eastAsiaTheme="majorEastAsia" w:hAnsiTheme="majorHAnsi" w:cstheme="majorBidi"/>
          <w:bCs/>
          <w:caps/>
          <w:sz w:val="28"/>
          <w:szCs w:val="28"/>
        </w:rPr>
      </w:pPr>
      <w:r>
        <w:rPr>
          <w:sz w:val="28"/>
          <w:szCs w:val="28"/>
        </w:rPr>
        <w:br w:type="page"/>
      </w:r>
    </w:p>
    <w:p w14:paraId="5F47F97C" w14:textId="18667B46"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673AE8C1" w14:textId="77777777" w:rsidR="00390828" w:rsidRDefault="00B927C4" w:rsidP="00390828">
      <w:pPr>
        <w:pStyle w:val="Heading3"/>
      </w:pPr>
      <w:r>
        <w:t>Investment Monitoring Report</w:t>
      </w:r>
      <w:r w:rsidR="00390828">
        <w:t xml:space="preserve"> ratings</w:t>
      </w:r>
    </w:p>
    <w:tbl>
      <w:tblPr>
        <w:tblStyle w:val="APPR"/>
        <w:tblW w:w="4711" w:type="pct"/>
        <w:tblInd w:w="-5" w:type="dxa"/>
        <w:tblLook w:val="0020" w:firstRow="1" w:lastRow="0" w:firstColumn="0" w:lastColumn="0" w:noHBand="0" w:noVBand="0"/>
      </w:tblPr>
      <w:tblGrid>
        <w:gridCol w:w="5108"/>
        <w:gridCol w:w="993"/>
        <w:gridCol w:w="989"/>
        <w:gridCol w:w="701"/>
        <w:gridCol w:w="638"/>
        <w:gridCol w:w="652"/>
      </w:tblGrid>
      <w:tr w:rsidR="004A1F83" w:rsidRPr="00812509" w14:paraId="5995B3E6" w14:textId="77777777" w:rsidTr="00C91A0D">
        <w:trPr>
          <w:cnfStyle w:val="100000000000" w:firstRow="1" w:lastRow="0" w:firstColumn="0" w:lastColumn="0" w:oddVBand="0" w:evenVBand="0" w:oddHBand="0" w:evenHBand="0" w:firstRowFirstColumn="0" w:firstRowLastColumn="0" w:lastRowFirstColumn="0" w:lastRowLastColumn="0"/>
          <w:trHeight w:val="1413"/>
        </w:trPr>
        <w:tc>
          <w:tcPr>
            <w:tcW w:w="2789" w:type="pct"/>
            <w:tcBorders>
              <w:top w:val="none" w:sz="0" w:space="0" w:color="auto"/>
              <w:bottom w:val="none" w:sz="0" w:space="0" w:color="auto"/>
            </w:tcBorders>
          </w:tcPr>
          <w:p w14:paraId="5A0024BB" w14:textId="46668BF9" w:rsidR="002C7F1E" w:rsidRPr="00812509" w:rsidRDefault="002C7F1E"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0528" behindDoc="0" locked="0" layoutInCell="1" allowOverlap="1" wp14:anchorId="56BE0734" wp14:editId="2F133B7F">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63B">
              <w:rPr>
                <w:rFonts w:asciiTheme="minorHAnsi" w:eastAsia="Times New Roman" w:hAnsiTheme="minorHAnsi"/>
                <w:iCs/>
                <w:szCs w:val="17"/>
                <w:lang w:eastAsia="en-US"/>
              </w:rPr>
              <w:t>Investment name</w:t>
            </w:r>
          </w:p>
        </w:tc>
        <w:tc>
          <w:tcPr>
            <w:tcW w:w="531" w:type="pct"/>
            <w:tcBorders>
              <w:top w:val="none" w:sz="0" w:space="0" w:color="auto"/>
              <w:bottom w:val="none" w:sz="0" w:space="0" w:color="auto"/>
            </w:tcBorders>
            <w:textDirection w:val="btLr"/>
          </w:tcPr>
          <w:p w14:paraId="528DF3FF" w14:textId="77777777" w:rsidR="002C7F1E" w:rsidRPr="00812509" w:rsidRDefault="002C7F1E"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529" w:type="pct"/>
            <w:tcBorders>
              <w:top w:val="none" w:sz="0" w:space="0" w:color="auto"/>
              <w:bottom w:val="none" w:sz="0" w:space="0" w:color="auto"/>
            </w:tcBorders>
            <w:textDirection w:val="btLr"/>
          </w:tcPr>
          <w:p w14:paraId="2AD66437" w14:textId="77777777" w:rsidR="002C7F1E" w:rsidRPr="00812509" w:rsidRDefault="002C7F1E"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71" w:type="pct"/>
            <w:tcBorders>
              <w:top w:val="none" w:sz="0" w:space="0" w:color="auto"/>
              <w:bottom w:val="none" w:sz="0" w:space="0" w:color="auto"/>
            </w:tcBorders>
            <w:textDirection w:val="btLr"/>
          </w:tcPr>
          <w:p w14:paraId="7DCF5F01" w14:textId="77777777" w:rsidR="002C7F1E" w:rsidRPr="00812509" w:rsidRDefault="002C7F1E"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36" w:type="pct"/>
            <w:tcBorders>
              <w:top w:val="none" w:sz="0" w:space="0" w:color="auto"/>
              <w:bottom w:val="none" w:sz="0" w:space="0" w:color="auto"/>
            </w:tcBorders>
            <w:textDirection w:val="btLr"/>
          </w:tcPr>
          <w:p w14:paraId="177C9F14" w14:textId="77777777" w:rsidR="002C7F1E" w:rsidRPr="00812509" w:rsidRDefault="002C7F1E"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36" w:type="pct"/>
            <w:tcBorders>
              <w:top w:val="none" w:sz="0" w:space="0" w:color="auto"/>
              <w:bottom w:val="none" w:sz="0" w:space="0" w:color="auto"/>
            </w:tcBorders>
            <w:textDirection w:val="btLr"/>
          </w:tcPr>
          <w:p w14:paraId="22EF8388" w14:textId="77777777" w:rsidR="002C7F1E" w:rsidRPr="00812509" w:rsidRDefault="002C7F1E"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28557E" w:rsidRPr="00812509" w14:paraId="6339714B" w14:textId="77777777" w:rsidTr="0028557E">
        <w:trPr>
          <w:cnfStyle w:val="100000000000" w:firstRow="1" w:lastRow="0" w:firstColumn="0" w:lastColumn="0" w:oddVBand="0" w:evenVBand="0" w:oddHBand="0" w:evenHBand="0" w:firstRowFirstColumn="0" w:firstRowLastColumn="0" w:lastRowFirstColumn="0" w:lastRowLastColumn="0"/>
          <w:trHeight w:val="157"/>
        </w:trPr>
        <w:tc>
          <w:tcPr>
            <w:tcW w:w="2789" w:type="pct"/>
            <w:tcBorders>
              <w:top w:val="single" w:sz="2" w:space="0" w:color="65C5B4" w:themeColor="accent1"/>
            </w:tcBorders>
            <w:vAlign w:val="center"/>
          </w:tcPr>
          <w:p w14:paraId="5F2360EF" w14:textId="295F6E72" w:rsidR="0028557E" w:rsidRPr="004A1F83" w:rsidRDefault="0028557E" w:rsidP="001A7ED5">
            <w:pPr>
              <w:keepLines/>
              <w:spacing w:before="40" w:after="40" w:line="200" w:lineRule="atLeast"/>
              <w:rPr>
                <w:rFonts w:asciiTheme="minorHAnsi" w:eastAsia="Times New Roman" w:hAnsiTheme="minorHAnsi"/>
                <w:iCs/>
                <w:szCs w:val="17"/>
                <w:lang w:eastAsia="en-US"/>
              </w:rPr>
            </w:pPr>
            <w:r w:rsidRPr="004A1F83">
              <w:rPr>
                <w:rFonts w:ascii="Calibri" w:eastAsia="Times New Roman" w:hAnsi="Calibri" w:cs="Calibri"/>
                <w:bCs/>
                <w:color w:val="495965"/>
                <w:szCs w:val="17"/>
                <w:lang w:val="en-AU"/>
              </w:rPr>
              <w:t>Fiji Program Support Facility</w:t>
            </w:r>
          </w:p>
        </w:tc>
        <w:tc>
          <w:tcPr>
            <w:tcW w:w="531" w:type="pct"/>
            <w:tcBorders>
              <w:top w:val="single" w:sz="2" w:space="0" w:color="65C5B4" w:themeColor="accent1"/>
            </w:tcBorders>
            <w:vAlign w:val="center"/>
          </w:tcPr>
          <w:p w14:paraId="288DACB6" w14:textId="2D1BEB80" w:rsidR="0028557E" w:rsidRPr="00002A9F" w:rsidRDefault="0028557E" w:rsidP="0028557E">
            <w:pPr>
              <w:autoSpaceDE w:val="0"/>
              <w:autoSpaceDN w:val="0"/>
              <w:adjustRightInd w:val="0"/>
              <w:spacing w:before="0" w:after="0" w:line="240" w:lineRule="auto"/>
              <w:rPr>
                <w:rFonts w:ascii="Calibri Light" w:eastAsia="Times New Roman" w:hAnsi="Calibri Light" w:cs="Calibri Light"/>
                <w:color w:val="495965"/>
                <w:szCs w:val="17"/>
                <w:lang w:val="en-AU"/>
              </w:rPr>
            </w:pPr>
            <w:r w:rsidRPr="00002A9F">
              <w:rPr>
                <w:rFonts w:ascii="Calibri Light" w:eastAsia="Times New Roman" w:hAnsi="Calibri Light" w:cs="Calibri Light"/>
                <w:color w:val="495965"/>
                <w:szCs w:val="17"/>
                <w:lang w:val="en-AU"/>
              </w:rPr>
              <w:t>$84.4m</w:t>
            </w:r>
            <w:r>
              <w:rPr>
                <w:rFonts w:ascii="Calibri Light" w:eastAsia="Times New Roman" w:hAnsi="Calibri Light" w:cs="Calibri Light"/>
                <w:color w:val="495965"/>
                <w:szCs w:val="17"/>
                <w:lang w:val="en-AU"/>
              </w:rPr>
              <w:t xml:space="preserve"> </w:t>
            </w:r>
          </w:p>
        </w:tc>
        <w:tc>
          <w:tcPr>
            <w:tcW w:w="529" w:type="pct"/>
            <w:tcBorders>
              <w:top w:val="single" w:sz="2" w:space="0" w:color="65C5B4" w:themeColor="accent1"/>
            </w:tcBorders>
            <w:vAlign w:val="center"/>
          </w:tcPr>
          <w:p w14:paraId="5E2794C3" w14:textId="77777777" w:rsidR="0028557E" w:rsidRPr="002C7F1E" w:rsidRDefault="0028557E" w:rsidP="004A1F83">
            <w:pPr>
              <w:keepLines/>
              <w:spacing w:before="0" w:after="0" w:line="240" w:lineRule="auto"/>
              <w:rPr>
                <w:rFonts w:asciiTheme="minorHAnsi" w:eastAsia="Times New Roman" w:hAnsiTheme="minorHAnsi"/>
                <w:iCs/>
                <w:szCs w:val="17"/>
                <w:lang w:eastAsia="en-US"/>
              </w:rPr>
            </w:pPr>
            <w:r w:rsidRPr="002C7F1E">
              <w:rPr>
                <w:rFonts w:asciiTheme="minorHAnsi" w:eastAsia="Times New Roman" w:hAnsiTheme="minorHAnsi"/>
                <w:iCs/>
                <w:szCs w:val="17"/>
                <w:lang w:eastAsia="en-US"/>
              </w:rPr>
              <w:t>2019 AQC</w:t>
            </w:r>
          </w:p>
        </w:tc>
        <w:tc>
          <w:tcPr>
            <w:tcW w:w="371" w:type="pct"/>
            <w:tcBorders>
              <w:top w:val="single" w:sz="2" w:space="0" w:color="65C5B4" w:themeColor="accent1"/>
            </w:tcBorders>
            <w:shd w:val="clear" w:color="auto" w:fill="auto"/>
            <w:noWrap/>
            <w:vAlign w:val="center"/>
          </w:tcPr>
          <w:p w14:paraId="2F82E418" w14:textId="77777777" w:rsidR="0028557E" w:rsidRPr="002C7F1E" w:rsidRDefault="0028557E" w:rsidP="004A1F83">
            <w:pPr>
              <w:keepLines/>
              <w:spacing w:before="0" w:after="0" w:line="240" w:lineRule="auto"/>
              <w:jc w:val="center"/>
              <w:rPr>
                <w:rFonts w:asciiTheme="minorHAnsi" w:eastAsia="Times New Roman" w:hAnsiTheme="minorHAnsi"/>
                <w:iCs/>
                <w:szCs w:val="17"/>
                <w:lang w:eastAsia="en-US"/>
              </w:rPr>
            </w:pPr>
            <w:r w:rsidRPr="002C7F1E">
              <w:rPr>
                <w:rFonts w:asciiTheme="minorHAnsi" w:eastAsia="Times New Roman" w:hAnsiTheme="minorHAnsi"/>
                <w:iCs/>
                <w:szCs w:val="17"/>
                <w:lang w:eastAsia="en-US"/>
              </w:rPr>
              <w:t>4</w:t>
            </w:r>
          </w:p>
        </w:tc>
        <w:tc>
          <w:tcPr>
            <w:tcW w:w="336" w:type="pct"/>
            <w:tcBorders>
              <w:top w:val="single" w:sz="2" w:space="0" w:color="65C5B4" w:themeColor="accent1"/>
            </w:tcBorders>
            <w:shd w:val="clear" w:color="auto" w:fill="auto"/>
            <w:noWrap/>
            <w:vAlign w:val="center"/>
          </w:tcPr>
          <w:p w14:paraId="4B752BBC" w14:textId="77777777" w:rsidR="0028557E" w:rsidRPr="002C7F1E" w:rsidRDefault="0028557E" w:rsidP="004A1F83">
            <w:pPr>
              <w:keepLines/>
              <w:spacing w:before="0" w:after="0" w:line="240" w:lineRule="auto"/>
              <w:jc w:val="center"/>
              <w:rPr>
                <w:rFonts w:asciiTheme="minorHAnsi" w:eastAsia="Times New Roman" w:hAnsiTheme="minorHAnsi"/>
                <w:iCs/>
                <w:szCs w:val="17"/>
                <w:lang w:eastAsia="en-US"/>
              </w:rPr>
            </w:pPr>
            <w:r w:rsidRPr="002C7F1E">
              <w:rPr>
                <w:rFonts w:asciiTheme="minorHAnsi" w:eastAsia="Times New Roman" w:hAnsiTheme="minorHAnsi"/>
                <w:iCs/>
                <w:szCs w:val="17"/>
                <w:lang w:eastAsia="en-US"/>
              </w:rPr>
              <w:t>4</w:t>
            </w:r>
          </w:p>
        </w:tc>
        <w:tc>
          <w:tcPr>
            <w:tcW w:w="336" w:type="pct"/>
            <w:tcBorders>
              <w:top w:val="single" w:sz="2" w:space="0" w:color="65C5B4" w:themeColor="accent1"/>
            </w:tcBorders>
            <w:shd w:val="clear" w:color="auto" w:fill="auto"/>
            <w:noWrap/>
            <w:vAlign w:val="center"/>
          </w:tcPr>
          <w:p w14:paraId="691B9BEB" w14:textId="77777777" w:rsidR="0028557E" w:rsidRPr="00812509" w:rsidRDefault="0028557E" w:rsidP="004A1F83">
            <w:pPr>
              <w:keepLines/>
              <w:spacing w:before="0" w:after="0" w:line="240" w:lineRule="auto"/>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28557E" w:rsidRPr="002C7F1E" w14:paraId="4D4BBE61" w14:textId="77777777" w:rsidTr="0028557E">
        <w:trPr>
          <w:cnfStyle w:val="100000000000" w:firstRow="1" w:lastRow="0" w:firstColumn="0" w:lastColumn="0" w:oddVBand="0" w:evenVBand="0" w:oddHBand="0" w:evenHBand="0" w:firstRowFirstColumn="0" w:firstRowLastColumn="0" w:lastRowFirstColumn="0" w:lastRowLastColumn="0"/>
          <w:trHeight w:val="152"/>
        </w:trPr>
        <w:tc>
          <w:tcPr>
            <w:tcW w:w="2789" w:type="pct"/>
            <w:tcBorders>
              <w:top w:val="nil"/>
            </w:tcBorders>
            <w:vAlign w:val="center"/>
          </w:tcPr>
          <w:p w14:paraId="2DBC2BCE" w14:textId="77777777" w:rsidR="0028557E" w:rsidRPr="004A1F83" w:rsidRDefault="0028557E" w:rsidP="00390828">
            <w:pPr>
              <w:keepLines/>
              <w:spacing w:before="40" w:after="40" w:line="200" w:lineRule="atLeast"/>
              <w:rPr>
                <w:rFonts w:asciiTheme="minorHAnsi" w:eastAsia="Times New Roman" w:hAnsiTheme="minorHAnsi"/>
                <w:iCs/>
                <w:szCs w:val="17"/>
                <w:lang w:eastAsia="en-US"/>
              </w:rPr>
            </w:pPr>
          </w:p>
        </w:tc>
        <w:tc>
          <w:tcPr>
            <w:tcW w:w="531" w:type="pct"/>
            <w:vAlign w:val="center"/>
          </w:tcPr>
          <w:p w14:paraId="26E94458" w14:textId="039CB016" w:rsidR="0028557E" w:rsidRPr="00002A9F" w:rsidRDefault="0028557E" w:rsidP="004A1F83">
            <w:pPr>
              <w:autoSpaceDE w:val="0"/>
              <w:autoSpaceDN w:val="0"/>
              <w:adjustRightInd w:val="0"/>
              <w:spacing w:before="0" w:after="0" w:line="240" w:lineRule="auto"/>
              <w:rPr>
                <w:rFonts w:ascii="Calibri Light" w:eastAsia="Times New Roman" w:hAnsi="Calibri Light" w:cs="Calibri Light"/>
                <w:color w:val="495965"/>
                <w:szCs w:val="17"/>
                <w:lang w:val="en-AU"/>
              </w:rPr>
            </w:pPr>
            <w:r w:rsidRPr="00002A9F">
              <w:rPr>
                <w:rFonts w:ascii="Calibri Light" w:eastAsia="Times New Roman" w:hAnsi="Calibri Light" w:cs="Calibri Light"/>
                <w:color w:val="495965"/>
                <w:szCs w:val="17"/>
                <w:lang w:val="en-AU"/>
              </w:rPr>
              <w:t>2016-22</w:t>
            </w:r>
          </w:p>
        </w:tc>
        <w:tc>
          <w:tcPr>
            <w:tcW w:w="529" w:type="pct"/>
            <w:vAlign w:val="center"/>
          </w:tcPr>
          <w:p w14:paraId="5DEFBAE2" w14:textId="77777777" w:rsidR="0028557E" w:rsidRPr="002C7F1E" w:rsidRDefault="0028557E" w:rsidP="004A1F83">
            <w:pPr>
              <w:keepLines/>
              <w:spacing w:before="0" w:after="0" w:line="240" w:lineRule="auto"/>
              <w:rPr>
                <w:rFonts w:asciiTheme="minorHAnsi" w:eastAsia="Times New Roman" w:hAnsiTheme="minorHAnsi"/>
                <w:iCs/>
                <w:szCs w:val="17"/>
                <w:lang w:eastAsia="en-US"/>
              </w:rPr>
            </w:pPr>
            <w:r w:rsidRPr="002C7F1E">
              <w:rPr>
                <w:rFonts w:asciiTheme="minorHAnsi" w:eastAsia="Times New Roman" w:hAnsiTheme="minorHAnsi"/>
                <w:iCs/>
                <w:szCs w:val="17"/>
                <w:lang w:eastAsia="en-US"/>
              </w:rPr>
              <w:t>2020 AQC</w:t>
            </w:r>
          </w:p>
        </w:tc>
        <w:tc>
          <w:tcPr>
            <w:tcW w:w="371" w:type="pct"/>
            <w:shd w:val="clear" w:color="auto" w:fill="auto"/>
            <w:noWrap/>
            <w:vAlign w:val="center"/>
          </w:tcPr>
          <w:p w14:paraId="50E164EA" w14:textId="77777777" w:rsidR="0028557E" w:rsidRPr="002C7F1E" w:rsidRDefault="0028557E" w:rsidP="004A1F83">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6" w:type="pct"/>
            <w:shd w:val="clear" w:color="auto" w:fill="auto"/>
            <w:noWrap/>
            <w:vAlign w:val="center"/>
          </w:tcPr>
          <w:p w14:paraId="71E945AA" w14:textId="77777777" w:rsidR="0028557E" w:rsidRPr="002C7F1E" w:rsidRDefault="0028557E" w:rsidP="004A1F83">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6" w:type="pct"/>
            <w:shd w:val="clear" w:color="auto" w:fill="auto"/>
            <w:noWrap/>
            <w:vAlign w:val="center"/>
          </w:tcPr>
          <w:p w14:paraId="1D2270BD" w14:textId="77777777" w:rsidR="0028557E" w:rsidRPr="002C7F1E" w:rsidRDefault="0028557E" w:rsidP="004A1F83">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28557E" w:rsidRPr="002C7F1E" w14:paraId="3BD1D91B" w14:textId="77777777" w:rsidTr="0028557E">
        <w:trPr>
          <w:cnfStyle w:val="100000000000" w:firstRow="1" w:lastRow="0" w:firstColumn="0" w:lastColumn="0" w:oddVBand="0" w:evenVBand="0" w:oddHBand="0" w:evenHBand="0" w:firstRowFirstColumn="0" w:firstRowLastColumn="0" w:lastRowFirstColumn="0" w:lastRowLastColumn="0"/>
          <w:trHeight w:val="179"/>
        </w:trPr>
        <w:tc>
          <w:tcPr>
            <w:tcW w:w="2789" w:type="pct"/>
            <w:tcBorders>
              <w:top w:val="single" w:sz="2" w:space="0" w:color="65C5B4" w:themeColor="accent1"/>
            </w:tcBorders>
            <w:vAlign w:val="center"/>
          </w:tcPr>
          <w:p w14:paraId="6DD36029" w14:textId="4D1CC841" w:rsidR="0028557E" w:rsidRPr="004A1F83" w:rsidRDefault="0028557E" w:rsidP="003E2FD2">
            <w:pPr>
              <w:keepLines/>
              <w:spacing w:before="40" w:after="40" w:line="200" w:lineRule="atLeast"/>
              <w:rPr>
                <w:rFonts w:asciiTheme="minorHAnsi" w:eastAsia="Times New Roman" w:hAnsiTheme="minorHAnsi"/>
                <w:b w:val="0"/>
                <w:iCs/>
                <w:szCs w:val="17"/>
                <w:lang w:eastAsia="en-US"/>
              </w:rPr>
            </w:pPr>
            <w:r w:rsidRPr="004A1F83">
              <w:rPr>
                <w:rFonts w:ascii="Calibri" w:eastAsia="Times New Roman" w:hAnsi="Calibri" w:cs="Calibri"/>
                <w:b w:val="0"/>
                <w:bCs/>
                <w:color w:val="495965"/>
                <w:szCs w:val="17"/>
                <w:lang w:val="en-AU"/>
              </w:rPr>
              <w:t>Fiji Program Support Facility (Health Program)</w:t>
            </w:r>
          </w:p>
        </w:tc>
        <w:tc>
          <w:tcPr>
            <w:tcW w:w="531" w:type="pct"/>
            <w:tcBorders>
              <w:top w:val="single" w:sz="2" w:space="0" w:color="65C5B4" w:themeColor="accent1"/>
            </w:tcBorders>
            <w:vAlign w:val="center"/>
          </w:tcPr>
          <w:p w14:paraId="2C9698AA" w14:textId="50BFA5C8" w:rsidR="0028557E" w:rsidRPr="00002A9F" w:rsidRDefault="0028557E" w:rsidP="0028557E">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sidRPr="00002A9F">
              <w:rPr>
                <w:rFonts w:ascii="Calibri Light" w:eastAsia="Times New Roman" w:hAnsi="Calibri Light" w:cs="Calibri Light"/>
                <w:b w:val="0"/>
                <w:color w:val="495965"/>
                <w:szCs w:val="17"/>
                <w:lang w:val="en-AU"/>
              </w:rPr>
              <w:t xml:space="preserve">$20.7m </w:t>
            </w:r>
          </w:p>
        </w:tc>
        <w:tc>
          <w:tcPr>
            <w:tcW w:w="529" w:type="pct"/>
            <w:tcBorders>
              <w:top w:val="single" w:sz="2" w:space="0" w:color="65C5B4" w:themeColor="accent1"/>
            </w:tcBorders>
            <w:vAlign w:val="center"/>
          </w:tcPr>
          <w:p w14:paraId="286B80BC" w14:textId="77777777" w:rsidR="0028557E" w:rsidRPr="002C7F1E" w:rsidRDefault="0028557E" w:rsidP="004A1F83">
            <w:pPr>
              <w:keepLines/>
              <w:spacing w:before="0" w:after="0" w:line="240" w:lineRule="auto"/>
              <w:rPr>
                <w:rFonts w:asciiTheme="minorHAnsi" w:eastAsia="Times New Roman" w:hAnsiTheme="minorHAnsi"/>
                <w:b w:val="0"/>
                <w:iCs/>
                <w:szCs w:val="17"/>
                <w:lang w:eastAsia="en-US"/>
              </w:rPr>
            </w:pPr>
            <w:r w:rsidRPr="002C7F1E">
              <w:rPr>
                <w:rFonts w:asciiTheme="minorHAnsi" w:eastAsia="Times New Roman" w:hAnsiTheme="minorHAnsi"/>
                <w:b w:val="0"/>
                <w:iCs/>
                <w:szCs w:val="17"/>
                <w:lang w:eastAsia="en-US"/>
              </w:rPr>
              <w:t>2019 AQC</w:t>
            </w:r>
          </w:p>
        </w:tc>
        <w:tc>
          <w:tcPr>
            <w:tcW w:w="371" w:type="pct"/>
            <w:tcBorders>
              <w:top w:val="single" w:sz="2" w:space="0" w:color="65C5B4" w:themeColor="accent1"/>
            </w:tcBorders>
            <w:noWrap/>
            <w:vAlign w:val="center"/>
          </w:tcPr>
          <w:p w14:paraId="3F367102" w14:textId="77777777" w:rsidR="0028557E" w:rsidRPr="002C7F1E" w:rsidRDefault="0028557E" w:rsidP="004A1F83">
            <w:pPr>
              <w:keepLines/>
              <w:spacing w:before="0" w:after="0" w:line="240" w:lineRule="auto"/>
              <w:jc w:val="center"/>
              <w:rPr>
                <w:rFonts w:asciiTheme="minorHAnsi" w:eastAsia="Times New Roman" w:hAnsiTheme="minorHAnsi"/>
                <w:b w:val="0"/>
                <w:iCs/>
                <w:szCs w:val="17"/>
                <w:lang w:eastAsia="en-US"/>
              </w:rPr>
            </w:pPr>
            <w:r w:rsidRPr="002C7F1E">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269A22DC" w14:textId="77777777" w:rsidR="0028557E" w:rsidRPr="002C7F1E" w:rsidRDefault="0028557E" w:rsidP="004A1F83">
            <w:pPr>
              <w:keepLines/>
              <w:spacing w:before="0" w:after="0" w:line="240" w:lineRule="auto"/>
              <w:jc w:val="center"/>
              <w:rPr>
                <w:rFonts w:asciiTheme="minorHAnsi" w:eastAsia="Times New Roman" w:hAnsiTheme="minorHAnsi"/>
                <w:b w:val="0"/>
                <w:iCs/>
                <w:szCs w:val="17"/>
                <w:lang w:eastAsia="en-US"/>
              </w:rPr>
            </w:pPr>
            <w:r w:rsidRPr="002C7F1E">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02381031" w14:textId="77777777" w:rsidR="0028557E" w:rsidRPr="002C7F1E" w:rsidRDefault="0028557E" w:rsidP="004A1F83">
            <w:pPr>
              <w:keepLines/>
              <w:spacing w:before="0" w:after="0" w:line="240" w:lineRule="auto"/>
              <w:jc w:val="center"/>
              <w:rPr>
                <w:rFonts w:asciiTheme="minorHAnsi" w:eastAsia="Times New Roman" w:hAnsiTheme="minorHAnsi"/>
                <w:b w:val="0"/>
                <w:iCs/>
                <w:szCs w:val="17"/>
                <w:lang w:eastAsia="en-US"/>
              </w:rPr>
            </w:pPr>
            <w:r w:rsidRPr="002C7F1E">
              <w:rPr>
                <w:rFonts w:asciiTheme="minorHAnsi" w:eastAsia="Times New Roman" w:hAnsiTheme="minorHAnsi"/>
                <w:b w:val="0"/>
                <w:iCs/>
                <w:szCs w:val="17"/>
                <w:lang w:eastAsia="en-US"/>
              </w:rPr>
              <w:t>4</w:t>
            </w:r>
          </w:p>
        </w:tc>
      </w:tr>
      <w:tr w:rsidR="0028557E" w:rsidRPr="002C7F1E" w14:paraId="5FCE901B" w14:textId="77777777" w:rsidTr="00C91A0D">
        <w:trPr>
          <w:cnfStyle w:val="100000000000" w:firstRow="1" w:lastRow="0" w:firstColumn="0" w:lastColumn="0" w:oddVBand="0" w:evenVBand="0" w:oddHBand="0" w:evenHBand="0" w:firstRowFirstColumn="0" w:firstRowLastColumn="0" w:lastRowFirstColumn="0" w:lastRowLastColumn="0"/>
          <w:trHeight w:val="284"/>
        </w:trPr>
        <w:tc>
          <w:tcPr>
            <w:tcW w:w="2789" w:type="pct"/>
            <w:tcBorders>
              <w:top w:val="nil"/>
              <w:bottom w:val="single" w:sz="2" w:space="0" w:color="65C5B4" w:themeColor="accent1"/>
            </w:tcBorders>
            <w:vAlign w:val="center"/>
          </w:tcPr>
          <w:p w14:paraId="7C82A837" w14:textId="77777777" w:rsidR="0028557E" w:rsidRPr="004A1F83" w:rsidRDefault="0028557E" w:rsidP="001D268A">
            <w:pPr>
              <w:keepLines/>
              <w:spacing w:before="40" w:after="40" w:line="200" w:lineRule="atLeast"/>
              <w:rPr>
                <w:rFonts w:asciiTheme="minorHAnsi" w:eastAsia="Times New Roman" w:hAnsiTheme="minorHAnsi"/>
                <w:b w:val="0"/>
                <w:iCs/>
                <w:szCs w:val="17"/>
                <w:lang w:eastAsia="en-US"/>
              </w:rPr>
            </w:pPr>
          </w:p>
        </w:tc>
        <w:tc>
          <w:tcPr>
            <w:tcW w:w="531" w:type="pct"/>
            <w:vAlign w:val="center"/>
          </w:tcPr>
          <w:p w14:paraId="3B7C3ACB" w14:textId="540EA43D" w:rsidR="0028557E" w:rsidRPr="00002A9F" w:rsidRDefault="0028557E" w:rsidP="004A1F83">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sidRPr="00002A9F">
              <w:rPr>
                <w:rFonts w:ascii="Calibri Light" w:eastAsia="Times New Roman" w:hAnsi="Calibri Light" w:cs="Calibri Light"/>
                <w:b w:val="0"/>
                <w:color w:val="495965"/>
                <w:szCs w:val="17"/>
                <w:lang w:val="en-AU"/>
              </w:rPr>
              <w:t>2016-22</w:t>
            </w:r>
          </w:p>
        </w:tc>
        <w:tc>
          <w:tcPr>
            <w:tcW w:w="529" w:type="pct"/>
            <w:vAlign w:val="center"/>
          </w:tcPr>
          <w:p w14:paraId="27E85E7B" w14:textId="77777777" w:rsidR="0028557E" w:rsidRPr="002C7F1E" w:rsidRDefault="0028557E" w:rsidP="004A1F83">
            <w:pPr>
              <w:keepLines/>
              <w:spacing w:before="0" w:after="0" w:line="240" w:lineRule="auto"/>
              <w:rPr>
                <w:rFonts w:asciiTheme="minorHAnsi" w:eastAsia="Times New Roman" w:hAnsiTheme="minorHAnsi"/>
                <w:b w:val="0"/>
                <w:iCs/>
                <w:szCs w:val="17"/>
                <w:lang w:eastAsia="en-US"/>
              </w:rPr>
            </w:pPr>
            <w:r w:rsidRPr="002C7F1E">
              <w:rPr>
                <w:rFonts w:asciiTheme="minorHAnsi" w:eastAsia="Times New Roman" w:hAnsiTheme="minorHAnsi"/>
                <w:b w:val="0"/>
                <w:iCs/>
                <w:szCs w:val="17"/>
                <w:lang w:eastAsia="en-US"/>
              </w:rPr>
              <w:t>2020 AQC</w:t>
            </w:r>
          </w:p>
        </w:tc>
        <w:tc>
          <w:tcPr>
            <w:tcW w:w="371" w:type="pct"/>
            <w:noWrap/>
            <w:vAlign w:val="center"/>
          </w:tcPr>
          <w:p w14:paraId="187D5B45" w14:textId="77777777" w:rsidR="0028557E" w:rsidRPr="002C7F1E"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336" w:type="pct"/>
            <w:noWrap/>
            <w:vAlign w:val="center"/>
          </w:tcPr>
          <w:p w14:paraId="1C231D97" w14:textId="77777777" w:rsidR="0028557E" w:rsidRPr="002C7F1E" w:rsidRDefault="0028557E" w:rsidP="004A1F83">
            <w:pPr>
              <w:keepLines/>
              <w:spacing w:before="0" w:after="0" w:line="240" w:lineRule="auto"/>
              <w:jc w:val="center"/>
              <w:rPr>
                <w:rFonts w:asciiTheme="minorHAnsi" w:eastAsia="Times New Roman" w:hAnsiTheme="minorHAnsi"/>
                <w:b w:val="0"/>
                <w:iCs/>
                <w:szCs w:val="17"/>
                <w:lang w:eastAsia="en-US"/>
              </w:rPr>
            </w:pPr>
            <w:r>
              <w:rPr>
                <w:rStyle w:val="CommentReference"/>
                <w:rFonts w:asciiTheme="minorHAnsi" w:hAnsiTheme="minorHAnsi"/>
                <w:b w:val="0"/>
                <w:lang w:eastAsia="en-US"/>
              </w:rPr>
              <w:t>4</w:t>
            </w:r>
          </w:p>
        </w:tc>
        <w:tc>
          <w:tcPr>
            <w:tcW w:w="336" w:type="pct"/>
            <w:noWrap/>
            <w:vAlign w:val="center"/>
          </w:tcPr>
          <w:p w14:paraId="0A32F430" w14:textId="77777777" w:rsidR="0028557E" w:rsidRPr="002C7F1E"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3</w:t>
            </w:r>
          </w:p>
        </w:tc>
      </w:tr>
      <w:tr w:rsidR="0028557E" w:rsidRPr="00812509" w14:paraId="61314FF6" w14:textId="77777777" w:rsidTr="00796BFD">
        <w:trPr>
          <w:cnfStyle w:val="100000000000" w:firstRow="1" w:lastRow="0" w:firstColumn="0" w:lastColumn="0" w:oddVBand="0" w:evenVBand="0" w:oddHBand="0" w:evenHBand="0" w:firstRowFirstColumn="0" w:firstRowLastColumn="0" w:lastRowFirstColumn="0" w:lastRowLastColumn="0"/>
          <w:trHeight w:val="201"/>
        </w:trPr>
        <w:tc>
          <w:tcPr>
            <w:tcW w:w="2789" w:type="pct"/>
            <w:tcBorders>
              <w:top w:val="nil"/>
            </w:tcBorders>
            <w:vAlign w:val="center"/>
          </w:tcPr>
          <w:p w14:paraId="127B3E44" w14:textId="643B5255" w:rsidR="0028557E" w:rsidRPr="004A1F83" w:rsidRDefault="0028557E" w:rsidP="00705A82">
            <w:pPr>
              <w:keepLines/>
              <w:spacing w:before="40" w:after="40" w:line="200" w:lineRule="atLeast"/>
              <w:rPr>
                <w:rFonts w:eastAsia="Times New Roman"/>
                <w:b w:val="0"/>
                <w:iCs/>
                <w:szCs w:val="17"/>
              </w:rPr>
            </w:pPr>
            <w:r w:rsidRPr="004A1F83">
              <w:rPr>
                <w:rFonts w:ascii="Calibri" w:eastAsia="Times New Roman" w:hAnsi="Calibri" w:cs="Calibri"/>
                <w:b w:val="0"/>
                <w:bCs/>
                <w:color w:val="495965"/>
                <w:szCs w:val="17"/>
                <w:lang w:val="en-AU"/>
              </w:rPr>
              <w:t>Fiji Program Support Facility (Education Program)</w:t>
            </w:r>
          </w:p>
        </w:tc>
        <w:tc>
          <w:tcPr>
            <w:tcW w:w="531" w:type="pct"/>
            <w:tcBorders>
              <w:top w:val="single" w:sz="2" w:space="0" w:color="65C5B4" w:themeColor="accent1"/>
            </w:tcBorders>
            <w:vAlign w:val="center"/>
          </w:tcPr>
          <w:p w14:paraId="1DA8CBA3" w14:textId="4473F31A" w:rsidR="0028557E" w:rsidRPr="00002A9F" w:rsidRDefault="0028557E" w:rsidP="0028557E">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sidRPr="00002A9F">
              <w:rPr>
                <w:rFonts w:ascii="Calibri Light" w:eastAsia="Times New Roman" w:hAnsi="Calibri Light" w:cs="Calibri Light"/>
                <w:b w:val="0"/>
                <w:color w:val="495965"/>
                <w:szCs w:val="17"/>
                <w:lang w:val="en-AU"/>
              </w:rPr>
              <w:t>$20.0m</w:t>
            </w:r>
          </w:p>
        </w:tc>
        <w:tc>
          <w:tcPr>
            <w:tcW w:w="529" w:type="pct"/>
            <w:tcBorders>
              <w:top w:val="single" w:sz="2" w:space="0" w:color="65C5B4" w:themeColor="accent1"/>
            </w:tcBorders>
            <w:vAlign w:val="center"/>
          </w:tcPr>
          <w:p w14:paraId="6F98FF28" w14:textId="77777777" w:rsidR="0028557E" w:rsidRPr="002C7F1E" w:rsidRDefault="0028557E" w:rsidP="004A1F83">
            <w:pPr>
              <w:keepLines/>
              <w:spacing w:before="0" w:after="0" w:line="240" w:lineRule="auto"/>
              <w:rPr>
                <w:rFonts w:eastAsia="Times New Roman"/>
                <w:b w:val="0"/>
                <w:iCs/>
                <w:szCs w:val="17"/>
                <w:highlight w:val="yellow"/>
              </w:rPr>
            </w:pPr>
            <w:r w:rsidRPr="002C7F1E">
              <w:rPr>
                <w:rFonts w:asciiTheme="minorHAnsi" w:eastAsia="Times New Roman" w:hAnsiTheme="minorHAnsi"/>
                <w:b w:val="0"/>
                <w:iCs/>
                <w:szCs w:val="17"/>
                <w:lang w:eastAsia="en-US"/>
              </w:rPr>
              <w:t>2019 AQC</w:t>
            </w:r>
          </w:p>
        </w:tc>
        <w:tc>
          <w:tcPr>
            <w:tcW w:w="371" w:type="pct"/>
            <w:tcBorders>
              <w:top w:val="single" w:sz="2" w:space="0" w:color="65C5B4" w:themeColor="accent1"/>
            </w:tcBorders>
            <w:noWrap/>
            <w:vAlign w:val="center"/>
          </w:tcPr>
          <w:p w14:paraId="5B81A4A8"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17969614"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070836F7"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r>
      <w:tr w:rsidR="0028557E" w:rsidRPr="00812509" w14:paraId="1D7E3D24" w14:textId="77777777" w:rsidTr="00796BFD">
        <w:trPr>
          <w:cnfStyle w:val="100000000000" w:firstRow="1" w:lastRow="0" w:firstColumn="0" w:lastColumn="0" w:oddVBand="0" w:evenVBand="0" w:oddHBand="0" w:evenHBand="0" w:firstRowFirstColumn="0" w:firstRowLastColumn="0" w:lastRowFirstColumn="0" w:lastRowLastColumn="0"/>
          <w:trHeight w:val="112"/>
        </w:trPr>
        <w:tc>
          <w:tcPr>
            <w:tcW w:w="2789" w:type="pct"/>
            <w:tcBorders>
              <w:bottom w:val="single" w:sz="2" w:space="0" w:color="65C5B4" w:themeColor="accent1"/>
            </w:tcBorders>
            <w:vAlign w:val="center"/>
          </w:tcPr>
          <w:p w14:paraId="3BD56CFB" w14:textId="77777777" w:rsidR="0028557E" w:rsidRPr="004A1F83" w:rsidRDefault="0028557E" w:rsidP="002C7F1E">
            <w:pPr>
              <w:keepLines/>
              <w:spacing w:before="40" w:after="40" w:line="200" w:lineRule="atLeast"/>
              <w:rPr>
                <w:rFonts w:ascii="Calibri" w:eastAsia="Times New Roman" w:hAnsi="Calibri" w:cs="Calibri"/>
                <w:b w:val="0"/>
                <w:bCs/>
                <w:color w:val="495965"/>
                <w:szCs w:val="17"/>
                <w:lang w:val="en-AU"/>
              </w:rPr>
            </w:pPr>
          </w:p>
        </w:tc>
        <w:tc>
          <w:tcPr>
            <w:tcW w:w="531" w:type="pct"/>
            <w:vAlign w:val="center"/>
          </w:tcPr>
          <w:p w14:paraId="05C2A025" w14:textId="79BF8C3D" w:rsidR="0028557E" w:rsidRPr="00002A9F" w:rsidRDefault="0028557E" w:rsidP="004A1F83">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sidRPr="00705A82">
              <w:rPr>
                <w:rFonts w:ascii="Calibri Light" w:eastAsia="Times New Roman" w:hAnsi="Calibri Light" w:cs="Calibri Light"/>
                <w:b w:val="0"/>
                <w:color w:val="495965"/>
                <w:szCs w:val="17"/>
                <w:lang w:val="en-AU"/>
              </w:rPr>
              <w:t>2016-22</w:t>
            </w:r>
          </w:p>
        </w:tc>
        <w:tc>
          <w:tcPr>
            <w:tcW w:w="529" w:type="pct"/>
            <w:vAlign w:val="center"/>
          </w:tcPr>
          <w:p w14:paraId="16865F72" w14:textId="77777777" w:rsidR="0028557E" w:rsidRPr="00705A82" w:rsidRDefault="0028557E" w:rsidP="004A1F83">
            <w:pPr>
              <w:keepLines/>
              <w:spacing w:before="0" w:after="0" w:line="240" w:lineRule="auto"/>
              <w:rPr>
                <w:rFonts w:eastAsia="Times New Roman"/>
                <w:b w:val="0"/>
                <w:iCs/>
                <w:szCs w:val="17"/>
              </w:rPr>
            </w:pPr>
            <w:r w:rsidRPr="00705A82">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20</w:t>
            </w:r>
            <w:r w:rsidRPr="00705A82">
              <w:rPr>
                <w:rFonts w:asciiTheme="minorHAnsi" w:eastAsia="Times New Roman" w:hAnsiTheme="minorHAnsi"/>
                <w:b w:val="0"/>
                <w:iCs/>
                <w:szCs w:val="17"/>
                <w:lang w:eastAsia="en-US"/>
              </w:rPr>
              <w:t xml:space="preserve"> AQC</w:t>
            </w:r>
          </w:p>
        </w:tc>
        <w:tc>
          <w:tcPr>
            <w:tcW w:w="371" w:type="pct"/>
            <w:noWrap/>
            <w:vAlign w:val="center"/>
          </w:tcPr>
          <w:p w14:paraId="3C084E23"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336" w:type="pct"/>
            <w:noWrap/>
            <w:vAlign w:val="center"/>
          </w:tcPr>
          <w:p w14:paraId="25AA779F"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Pr>
                <w:rStyle w:val="CommentReference"/>
                <w:rFonts w:asciiTheme="minorHAnsi" w:hAnsiTheme="minorHAnsi"/>
                <w:b w:val="0"/>
                <w:lang w:eastAsia="en-US"/>
              </w:rPr>
              <w:t>4</w:t>
            </w:r>
          </w:p>
        </w:tc>
        <w:tc>
          <w:tcPr>
            <w:tcW w:w="336" w:type="pct"/>
            <w:noWrap/>
            <w:vAlign w:val="center"/>
          </w:tcPr>
          <w:p w14:paraId="17BBDF9D"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3</w:t>
            </w:r>
          </w:p>
        </w:tc>
      </w:tr>
      <w:tr w:rsidR="0028557E" w:rsidRPr="00812509" w14:paraId="4AB15631" w14:textId="77777777" w:rsidTr="00C54D22">
        <w:trPr>
          <w:cnfStyle w:val="100000000000" w:firstRow="1" w:lastRow="0" w:firstColumn="0" w:lastColumn="0" w:oddVBand="0" w:evenVBand="0" w:oddHBand="0" w:evenHBand="0" w:firstRowFirstColumn="0" w:firstRowLastColumn="0" w:lastRowFirstColumn="0" w:lastRowLastColumn="0"/>
          <w:trHeight w:val="143"/>
        </w:trPr>
        <w:tc>
          <w:tcPr>
            <w:tcW w:w="2789" w:type="pct"/>
            <w:tcBorders>
              <w:top w:val="nil"/>
            </w:tcBorders>
            <w:vAlign w:val="center"/>
          </w:tcPr>
          <w:p w14:paraId="0EFC3CE9" w14:textId="52D27639" w:rsidR="0028557E" w:rsidRPr="004A1F83" w:rsidRDefault="0028557E" w:rsidP="00705A82">
            <w:pPr>
              <w:keepLines/>
              <w:spacing w:before="40" w:after="40" w:line="200" w:lineRule="atLeast"/>
              <w:rPr>
                <w:rFonts w:ascii="Calibri" w:eastAsia="Times New Roman" w:hAnsi="Calibri" w:cs="Calibri"/>
                <w:b w:val="0"/>
                <w:bCs/>
                <w:color w:val="495965"/>
                <w:szCs w:val="17"/>
                <w:lang w:val="en-AU"/>
              </w:rPr>
            </w:pPr>
            <w:r w:rsidRPr="004A1F83">
              <w:rPr>
                <w:rFonts w:ascii="Calibri" w:eastAsia="Times New Roman" w:hAnsi="Calibri" w:cs="Calibri"/>
                <w:b w:val="0"/>
                <w:bCs/>
                <w:color w:val="495965"/>
                <w:szCs w:val="17"/>
                <w:lang w:val="en-AU"/>
              </w:rPr>
              <w:t>Pacific Women Fiji Country Plan</w:t>
            </w:r>
          </w:p>
        </w:tc>
        <w:tc>
          <w:tcPr>
            <w:tcW w:w="531" w:type="pct"/>
            <w:tcBorders>
              <w:top w:val="single" w:sz="2" w:space="0" w:color="65C5B4" w:themeColor="accent1"/>
            </w:tcBorders>
            <w:vAlign w:val="center"/>
          </w:tcPr>
          <w:p w14:paraId="502E3625" w14:textId="13BED39E" w:rsidR="0028557E" w:rsidRPr="00002A9F" w:rsidRDefault="0028557E" w:rsidP="0028557E">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sidRPr="00002A9F">
              <w:rPr>
                <w:rFonts w:ascii="Calibri Light" w:eastAsia="Times New Roman" w:hAnsi="Calibri Light" w:cs="Calibri Light"/>
                <w:b w:val="0"/>
                <w:color w:val="495965"/>
                <w:szCs w:val="17"/>
                <w:lang w:val="en-AU"/>
              </w:rPr>
              <w:t>$25m</w:t>
            </w:r>
          </w:p>
        </w:tc>
        <w:tc>
          <w:tcPr>
            <w:tcW w:w="529" w:type="pct"/>
            <w:tcBorders>
              <w:top w:val="single" w:sz="2" w:space="0" w:color="65C5B4" w:themeColor="accent1"/>
            </w:tcBorders>
            <w:vAlign w:val="center"/>
          </w:tcPr>
          <w:p w14:paraId="17E006E1" w14:textId="77777777" w:rsidR="0028557E" w:rsidRPr="00705A82" w:rsidRDefault="0028557E" w:rsidP="004A1F83">
            <w:pPr>
              <w:keepLines/>
              <w:spacing w:before="0" w:after="0" w:line="240" w:lineRule="auto"/>
              <w:rPr>
                <w:rFonts w:asciiTheme="minorHAnsi" w:eastAsia="Times New Roman" w:hAnsiTheme="minorHAnsi"/>
                <w:b w:val="0"/>
                <w:iCs/>
                <w:szCs w:val="17"/>
                <w:lang w:eastAsia="en-US"/>
              </w:rPr>
            </w:pPr>
            <w:r w:rsidRPr="002C7F1E">
              <w:rPr>
                <w:rFonts w:asciiTheme="minorHAnsi" w:eastAsia="Times New Roman" w:hAnsiTheme="minorHAnsi"/>
                <w:b w:val="0"/>
                <w:iCs/>
                <w:szCs w:val="17"/>
                <w:lang w:eastAsia="en-US"/>
              </w:rPr>
              <w:t>2019 AQC</w:t>
            </w:r>
          </w:p>
        </w:tc>
        <w:tc>
          <w:tcPr>
            <w:tcW w:w="371" w:type="pct"/>
            <w:tcBorders>
              <w:top w:val="single" w:sz="2" w:space="0" w:color="65C5B4" w:themeColor="accent1"/>
            </w:tcBorders>
            <w:noWrap/>
            <w:vAlign w:val="center"/>
          </w:tcPr>
          <w:p w14:paraId="0874ACA0"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7F0F2327"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02C495BE"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5</w:t>
            </w:r>
          </w:p>
        </w:tc>
      </w:tr>
      <w:tr w:rsidR="0028557E" w:rsidRPr="00812509" w14:paraId="4722A043" w14:textId="77777777" w:rsidTr="00C54D22">
        <w:trPr>
          <w:cnfStyle w:val="100000000000" w:firstRow="1" w:lastRow="0" w:firstColumn="0" w:lastColumn="0" w:oddVBand="0" w:evenVBand="0" w:oddHBand="0" w:evenHBand="0" w:firstRowFirstColumn="0" w:firstRowLastColumn="0" w:lastRowFirstColumn="0" w:lastRowLastColumn="0"/>
          <w:trHeight w:val="178"/>
        </w:trPr>
        <w:tc>
          <w:tcPr>
            <w:tcW w:w="2789" w:type="pct"/>
            <w:tcBorders>
              <w:bottom w:val="single" w:sz="2" w:space="0" w:color="65C5B4" w:themeColor="accent1"/>
            </w:tcBorders>
            <w:vAlign w:val="center"/>
          </w:tcPr>
          <w:p w14:paraId="10446A2D" w14:textId="77777777" w:rsidR="0028557E" w:rsidRPr="004A1F83" w:rsidRDefault="0028557E" w:rsidP="00705A82">
            <w:pPr>
              <w:keepLines/>
              <w:spacing w:before="40" w:after="40" w:line="200" w:lineRule="atLeast"/>
              <w:rPr>
                <w:rFonts w:ascii="Calibri" w:eastAsia="Times New Roman" w:hAnsi="Calibri" w:cs="Calibri"/>
                <w:b w:val="0"/>
                <w:bCs/>
                <w:color w:val="495965"/>
                <w:szCs w:val="17"/>
                <w:lang w:val="en-AU"/>
              </w:rPr>
            </w:pPr>
          </w:p>
        </w:tc>
        <w:tc>
          <w:tcPr>
            <w:tcW w:w="531" w:type="pct"/>
            <w:vAlign w:val="center"/>
          </w:tcPr>
          <w:p w14:paraId="2BA9F8B2" w14:textId="7E86C84B" w:rsidR="0028557E" w:rsidRPr="00002A9F" w:rsidRDefault="0028557E" w:rsidP="004A1F83">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sidRPr="00002A9F">
              <w:rPr>
                <w:rFonts w:ascii="Calibri Light" w:eastAsia="Times New Roman" w:hAnsi="Calibri Light" w:cs="Calibri Light"/>
                <w:b w:val="0"/>
                <w:color w:val="495965"/>
                <w:szCs w:val="17"/>
                <w:lang w:val="en-AU"/>
              </w:rPr>
              <w:t>2014-22</w:t>
            </w:r>
          </w:p>
        </w:tc>
        <w:tc>
          <w:tcPr>
            <w:tcW w:w="529" w:type="pct"/>
            <w:vAlign w:val="center"/>
          </w:tcPr>
          <w:p w14:paraId="32B68EEB" w14:textId="77777777" w:rsidR="0028557E" w:rsidRPr="002C7F1E" w:rsidRDefault="0028557E" w:rsidP="004A1F83">
            <w:pPr>
              <w:keepLines/>
              <w:spacing w:before="0" w:after="0" w:line="240" w:lineRule="auto"/>
              <w:rPr>
                <w:rFonts w:eastAsia="Times New Roman"/>
                <w:b w:val="0"/>
                <w:iCs/>
                <w:szCs w:val="17"/>
                <w:highlight w:val="yellow"/>
              </w:rPr>
            </w:pPr>
            <w:r w:rsidRPr="00705A82">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20</w:t>
            </w:r>
            <w:r w:rsidRPr="00705A82">
              <w:rPr>
                <w:rFonts w:asciiTheme="minorHAnsi" w:eastAsia="Times New Roman" w:hAnsiTheme="minorHAnsi"/>
                <w:b w:val="0"/>
                <w:iCs/>
                <w:szCs w:val="17"/>
                <w:lang w:eastAsia="en-US"/>
              </w:rPr>
              <w:t xml:space="preserve"> AQC</w:t>
            </w:r>
          </w:p>
        </w:tc>
        <w:tc>
          <w:tcPr>
            <w:tcW w:w="371" w:type="pct"/>
            <w:noWrap/>
            <w:vAlign w:val="center"/>
          </w:tcPr>
          <w:p w14:paraId="2095A770" w14:textId="77777777" w:rsidR="0028557E" w:rsidRPr="00B06354"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c>
          <w:tcPr>
            <w:tcW w:w="336" w:type="pct"/>
            <w:noWrap/>
            <w:vAlign w:val="center"/>
          </w:tcPr>
          <w:p w14:paraId="284533E7" w14:textId="77777777" w:rsidR="0028557E" w:rsidRPr="00B06354"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336" w:type="pct"/>
            <w:noWrap/>
            <w:vAlign w:val="center"/>
          </w:tcPr>
          <w:p w14:paraId="01E4F1F3" w14:textId="77777777" w:rsidR="0028557E" w:rsidRPr="00B06354" w:rsidRDefault="0028557E" w:rsidP="004A1F83">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r>
      <w:tr w:rsidR="0028557E" w:rsidRPr="00812509" w14:paraId="6E18C399" w14:textId="77777777" w:rsidTr="002C19D5">
        <w:trPr>
          <w:cnfStyle w:val="100000000000" w:firstRow="1" w:lastRow="0" w:firstColumn="0" w:lastColumn="0" w:oddVBand="0" w:evenVBand="0" w:oddHBand="0" w:evenHBand="0" w:firstRowFirstColumn="0" w:firstRowLastColumn="0" w:lastRowFirstColumn="0" w:lastRowLastColumn="0"/>
          <w:trHeight w:val="235"/>
        </w:trPr>
        <w:tc>
          <w:tcPr>
            <w:tcW w:w="2789" w:type="pct"/>
            <w:tcBorders>
              <w:top w:val="nil"/>
            </w:tcBorders>
            <w:vAlign w:val="center"/>
          </w:tcPr>
          <w:p w14:paraId="166B11E5" w14:textId="6F0E3F66" w:rsidR="0028557E" w:rsidRPr="004A1F83" w:rsidRDefault="0028557E" w:rsidP="00705A82">
            <w:pPr>
              <w:keepLines/>
              <w:spacing w:before="40" w:after="40" w:line="200" w:lineRule="atLeast"/>
              <w:rPr>
                <w:rFonts w:ascii="Calibri" w:eastAsia="Times New Roman" w:hAnsi="Calibri" w:cs="Calibri"/>
                <w:b w:val="0"/>
                <w:bCs/>
                <w:color w:val="495965"/>
                <w:szCs w:val="17"/>
                <w:lang w:val="en-AU"/>
              </w:rPr>
            </w:pPr>
            <w:r w:rsidRPr="004A1F83">
              <w:rPr>
                <w:rFonts w:ascii="Calibri" w:eastAsia="Times New Roman" w:hAnsi="Calibri" w:cs="Calibri"/>
                <w:b w:val="0"/>
                <w:bCs/>
                <w:color w:val="495965"/>
                <w:szCs w:val="17"/>
                <w:lang w:val="en-AU"/>
              </w:rPr>
              <w:t>Inclusive Economic Growth (Market Development Facility)</w:t>
            </w:r>
          </w:p>
        </w:tc>
        <w:tc>
          <w:tcPr>
            <w:tcW w:w="531" w:type="pct"/>
            <w:tcBorders>
              <w:top w:val="single" w:sz="2" w:space="0" w:color="65C5B4" w:themeColor="accent1"/>
            </w:tcBorders>
            <w:shd w:val="clear" w:color="000000" w:fill="FFFFFF"/>
            <w:vAlign w:val="center"/>
          </w:tcPr>
          <w:p w14:paraId="4E0AF547" w14:textId="4BDFC816" w:rsidR="0028557E" w:rsidRPr="00002A9F" w:rsidRDefault="0028557E" w:rsidP="0028557E">
            <w:pPr>
              <w:autoSpaceDE w:val="0"/>
              <w:autoSpaceDN w:val="0"/>
              <w:adjustRightInd w:val="0"/>
              <w:spacing w:before="0" w:after="0" w:line="240" w:lineRule="auto"/>
              <w:rPr>
                <w:rFonts w:ascii="Calibri Light" w:eastAsia="Times New Roman" w:hAnsi="Calibri Light" w:cs="Calibri Light"/>
                <w:b w:val="0"/>
                <w:color w:val="495965"/>
                <w:szCs w:val="17"/>
                <w:lang w:val="en-AU"/>
              </w:rPr>
            </w:pPr>
            <w:r>
              <w:rPr>
                <w:rFonts w:ascii="Calibri Light" w:eastAsia="Times New Roman" w:hAnsi="Calibri Light" w:cs="Calibri Light"/>
                <w:b w:val="0"/>
                <w:color w:val="495965"/>
                <w:szCs w:val="17"/>
                <w:lang w:val="en-AU"/>
              </w:rPr>
              <w:t>$17.5m</w:t>
            </w:r>
          </w:p>
        </w:tc>
        <w:tc>
          <w:tcPr>
            <w:tcW w:w="529" w:type="pct"/>
            <w:tcBorders>
              <w:top w:val="single" w:sz="2" w:space="0" w:color="65C5B4" w:themeColor="accent1"/>
            </w:tcBorders>
            <w:vAlign w:val="center"/>
          </w:tcPr>
          <w:p w14:paraId="1570920B" w14:textId="77777777" w:rsidR="0028557E" w:rsidRPr="002C7F1E" w:rsidRDefault="0028557E" w:rsidP="004A1F83">
            <w:pPr>
              <w:keepLines/>
              <w:spacing w:before="0" w:after="0" w:line="240" w:lineRule="auto"/>
              <w:rPr>
                <w:rFonts w:eastAsia="Times New Roman"/>
                <w:b w:val="0"/>
                <w:iCs/>
                <w:szCs w:val="17"/>
                <w:highlight w:val="yellow"/>
              </w:rPr>
            </w:pPr>
            <w:r w:rsidRPr="00705A82">
              <w:rPr>
                <w:rFonts w:asciiTheme="minorHAnsi" w:eastAsia="Times New Roman" w:hAnsiTheme="minorHAnsi"/>
                <w:b w:val="0"/>
                <w:iCs/>
                <w:szCs w:val="17"/>
                <w:lang w:eastAsia="en-US"/>
              </w:rPr>
              <w:t>2</w:t>
            </w:r>
            <w:r>
              <w:rPr>
                <w:rFonts w:asciiTheme="minorHAnsi" w:eastAsia="Times New Roman" w:hAnsiTheme="minorHAnsi"/>
                <w:b w:val="0"/>
                <w:iCs/>
                <w:szCs w:val="17"/>
                <w:lang w:eastAsia="en-US"/>
              </w:rPr>
              <w:t>019</w:t>
            </w:r>
            <w:r w:rsidRPr="00705A82">
              <w:rPr>
                <w:rFonts w:asciiTheme="minorHAnsi" w:eastAsia="Times New Roman" w:hAnsiTheme="minorHAnsi"/>
                <w:b w:val="0"/>
                <w:iCs/>
                <w:szCs w:val="17"/>
                <w:lang w:eastAsia="en-US"/>
              </w:rPr>
              <w:t xml:space="preserve"> AQC</w:t>
            </w:r>
          </w:p>
        </w:tc>
        <w:tc>
          <w:tcPr>
            <w:tcW w:w="371" w:type="pct"/>
            <w:tcBorders>
              <w:top w:val="single" w:sz="2" w:space="0" w:color="65C5B4" w:themeColor="accent1"/>
            </w:tcBorders>
            <w:noWrap/>
            <w:vAlign w:val="center"/>
          </w:tcPr>
          <w:p w14:paraId="1A9F5D08"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3</w:t>
            </w:r>
          </w:p>
        </w:tc>
        <w:tc>
          <w:tcPr>
            <w:tcW w:w="336" w:type="pct"/>
            <w:tcBorders>
              <w:top w:val="single" w:sz="2" w:space="0" w:color="65C5B4" w:themeColor="accent1"/>
            </w:tcBorders>
            <w:noWrap/>
            <w:vAlign w:val="center"/>
          </w:tcPr>
          <w:p w14:paraId="6EC0B5C0"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c>
          <w:tcPr>
            <w:tcW w:w="336" w:type="pct"/>
            <w:tcBorders>
              <w:top w:val="single" w:sz="2" w:space="0" w:color="65C5B4" w:themeColor="accent1"/>
            </w:tcBorders>
            <w:noWrap/>
            <w:vAlign w:val="center"/>
          </w:tcPr>
          <w:p w14:paraId="72096947" w14:textId="77777777" w:rsidR="0028557E" w:rsidRPr="00705A82" w:rsidRDefault="0028557E" w:rsidP="004A1F83">
            <w:pPr>
              <w:keepLines/>
              <w:spacing w:before="0" w:after="0" w:line="240" w:lineRule="auto"/>
              <w:jc w:val="center"/>
              <w:rPr>
                <w:rFonts w:asciiTheme="minorHAnsi" w:eastAsia="Times New Roman" w:hAnsiTheme="minorHAnsi"/>
                <w:b w:val="0"/>
                <w:iCs/>
                <w:szCs w:val="17"/>
                <w:lang w:eastAsia="en-US"/>
              </w:rPr>
            </w:pPr>
            <w:r w:rsidRPr="00705A82">
              <w:rPr>
                <w:rFonts w:asciiTheme="minorHAnsi" w:eastAsia="Times New Roman" w:hAnsiTheme="minorHAnsi"/>
                <w:b w:val="0"/>
                <w:iCs/>
                <w:szCs w:val="17"/>
                <w:lang w:eastAsia="en-US"/>
              </w:rPr>
              <w:t>4</w:t>
            </w:r>
          </w:p>
        </w:tc>
      </w:tr>
      <w:tr w:rsidR="0028557E" w:rsidRPr="00812509" w14:paraId="4217AFDC" w14:textId="77777777" w:rsidTr="002C19D5">
        <w:trPr>
          <w:cnfStyle w:val="100000000000" w:firstRow="1" w:lastRow="0" w:firstColumn="0" w:lastColumn="0" w:oddVBand="0" w:evenVBand="0" w:oddHBand="0" w:evenHBand="0" w:firstRowFirstColumn="0" w:firstRowLastColumn="0" w:lastRowFirstColumn="0" w:lastRowLastColumn="0"/>
          <w:trHeight w:val="240"/>
        </w:trPr>
        <w:tc>
          <w:tcPr>
            <w:tcW w:w="2789" w:type="pct"/>
            <w:tcBorders>
              <w:bottom w:val="single" w:sz="2" w:space="0" w:color="65C5B4" w:themeColor="accent1"/>
            </w:tcBorders>
            <w:vAlign w:val="center"/>
          </w:tcPr>
          <w:p w14:paraId="4714B9B2" w14:textId="77777777" w:rsidR="0028557E" w:rsidRPr="004A1F83" w:rsidRDefault="0028557E" w:rsidP="00705A82">
            <w:pPr>
              <w:keepLines/>
              <w:spacing w:before="40" w:after="40" w:line="200" w:lineRule="atLeast"/>
              <w:rPr>
                <w:rFonts w:ascii="Calibri" w:eastAsia="Times New Roman" w:hAnsi="Calibri" w:cs="Calibri"/>
                <w:b w:val="0"/>
                <w:bCs/>
                <w:color w:val="495965"/>
                <w:szCs w:val="17"/>
                <w:lang w:val="en-AU"/>
              </w:rPr>
            </w:pPr>
          </w:p>
        </w:tc>
        <w:tc>
          <w:tcPr>
            <w:tcW w:w="531" w:type="pct"/>
            <w:shd w:val="clear" w:color="000000" w:fill="FFFFFF"/>
            <w:vAlign w:val="center"/>
          </w:tcPr>
          <w:p w14:paraId="0124B7E9" w14:textId="31EC28A3" w:rsidR="0028557E" w:rsidRPr="00B84037" w:rsidRDefault="0028557E" w:rsidP="004A1F83">
            <w:pPr>
              <w:keepLines/>
              <w:spacing w:before="0" w:after="0" w:line="240" w:lineRule="auto"/>
              <w:rPr>
                <w:rFonts w:asciiTheme="minorHAnsi" w:eastAsia="Times New Roman" w:hAnsiTheme="minorHAnsi"/>
                <w:b w:val="0"/>
                <w:iCs/>
                <w:szCs w:val="17"/>
                <w:lang w:eastAsia="en-US"/>
              </w:rPr>
            </w:pPr>
            <w:r w:rsidRPr="00705A82">
              <w:rPr>
                <w:rFonts w:ascii="Calibri Light" w:eastAsia="Times New Roman" w:hAnsi="Calibri Light" w:cs="Calibri Light"/>
                <w:b w:val="0"/>
                <w:color w:val="495965"/>
                <w:szCs w:val="17"/>
                <w:lang w:val="en-AU"/>
              </w:rPr>
              <w:t>2017-22</w:t>
            </w:r>
          </w:p>
        </w:tc>
        <w:tc>
          <w:tcPr>
            <w:tcW w:w="529" w:type="pct"/>
            <w:vAlign w:val="center"/>
          </w:tcPr>
          <w:p w14:paraId="17252769" w14:textId="58076391" w:rsidR="0028557E" w:rsidRPr="00B84037" w:rsidRDefault="0028557E" w:rsidP="004A1F83">
            <w:pPr>
              <w:keepLines/>
              <w:spacing w:before="0" w:after="0" w:line="240" w:lineRule="auto"/>
              <w:rPr>
                <w:rFonts w:asciiTheme="minorHAnsi" w:eastAsia="Times New Roman" w:hAnsiTheme="minorHAnsi"/>
                <w:b w:val="0"/>
                <w:iCs/>
                <w:szCs w:val="17"/>
                <w:lang w:eastAsia="en-US"/>
              </w:rPr>
            </w:pPr>
            <w:r w:rsidRPr="00B84037">
              <w:rPr>
                <w:rFonts w:asciiTheme="minorHAnsi" w:eastAsia="Times New Roman" w:hAnsiTheme="minorHAnsi"/>
                <w:b w:val="0"/>
                <w:iCs/>
                <w:szCs w:val="17"/>
                <w:lang w:eastAsia="en-US"/>
              </w:rPr>
              <w:t>2020</w:t>
            </w:r>
            <w:r>
              <w:rPr>
                <w:rFonts w:asciiTheme="minorHAnsi" w:eastAsia="Times New Roman" w:hAnsiTheme="minorHAnsi"/>
                <w:b w:val="0"/>
                <w:iCs/>
                <w:szCs w:val="17"/>
                <w:lang w:eastAsia="en-US"/>
              </w:rPr>
              <w:t xml:space="preserve"> </w:t>
            </w:r>
            <w:r w:rsidRPr="00B84037">
              <w:rPr>
                <w:rFonts w:asciiTheme="minorHAnsi" w:eastAsia="Times New Roman" w:hAnsiTheme="minorHAnsi"/>
                <w:b w:val="0"/>
                <w:iCs/>
                <w:szCs w:val="17"/>
                <w:lang w:eastAsia="en-US"/>
              </w:rPr>
              <w:t>AQC</w:t>
            </w:r>
          </w:p>
        </w:tc>
        <w:tc>
          <w:tcPr>
            <w:tcW w:w="371" w:type="pct"/>
            <w:noWrap/>
            <w:vAlign w:val="center"/>
          </w:tcPr>
          <w:p w14:paraId="0765AF01" w14:textId="77777777" w:rsidR="0028557E" w:rsidRPr="00B06354" w:rsidRDefault="0028557E" w:rsidP="004A1F83">
            <w:pPr>
              <w:keepLines/>
              <w:spacing w:before="0" w:after="0" w:line="240" w:lineRule="auto"/>
              <w:jc w:val="center"/>
              <w:rPr>
                <w:rFonts w:asciiTheme="minorHAnsi" w:eastAsia="Times New Roman" w:hAnsiTheme="minorHAnsi"/>
                <w:b w:val="0"/>
                <w:iCs/>
                <w:szCs w:val="17"/>
                <w:lang w:eastAsia="en-US"/>
              </w:rPr>
            </w:pPr>
            <w:r w:rsidRPr="00B06354">
              <w:rPr>
                <w:rFonts w:asciiTheme="minorHAnsi" w:eastAsia="Times New Roman" w:hAnsiTheme="minorHAnsi"/>
                <w:b w:val="0"/>
                <w:iCs/>
                <w:szCs w:val="17"/>
                <w:lang w:eastAsia="en-US"/>
              </w:rPr>
              <w:t>4</w:t>
            </w:r>
          </w:p>
        </w:tc>
        <w:tc>
          <w:tcPr>
            <w:tcW w:w="336" w:type="pct"/>
            <w:noWrap/>
            <w:vAlign w:val="center"/>
          </w:tcPr>
          <w:p w14:paraId="62F77441" w14:textId="77777777" w:rsidR="0028557E" w:rsidRPr="00B06354" w:rsidRDefault="0028557E" w:rsidP="004A1F83">
            <w:pPr>
              <w:keepLines/>
              <w:spacing w:before="0" w:after="0" w:line="240" w:lineRule="auto"/>
              <w:jc w:val="center"/>
              <w:rPr>
                <w:rFonts w:asciiTheme="minorHAnsi" w:eastAsia="Times New Roman" w:hAnsiTheme="minorHAnsi"/>
                <w:b w:val="0"/>
                <w:iCs/>
                <w:szCs w:val="17"/>
                <w:lang w:eastAsia="en-US"/>
              </w:rPr>
            </w:pPr>
            <w:r w:rsidRPr="00B06354">
              <w:rPr>
                <w:rFonts w:asciiTheme="minorHAnsi" w:eastAsia="Times New Roman" w:hAnsiTheme="minorHAnsi"/>
                <w:b w:val="0"/>
                <w:iCs/>
                <w:szCs w:val="17"/>
                <w:lang w:eastAsia="en-US"/>
              </w:rPr>
              <w:t>5</w:t>
            </w:r>
          </w:p>
        </w:tc>
        <w:tc>
          <w:tcPr>
            <w:tcW w:w="336" w:type="pct"/>
            <w:noWrap/>
            <w:vAlign w:val="center"/>
          </w:tcPr>
          <w:p w14:paraId="4A33D8F9" w14:textId="77777777" w:rsidR="0028557E" w:rsidRPr="00B06354" w:rsidRDefault="0028557E" w:rsidP="004A1F83">
            <w:pPr>
              <w:keepLines/>
              <w:spacing w:before="0" w:after="0" w:line="240" w:lineRule="auto"/>
              <w:jc w:val="center"/>
              <w:rPr>
                <w:rFonts w:asciiTheme="minorHAnsi" w:eastAsia="Times New Roman" w:hAnsiTheme="minorHAnsi"/>
                <w:b w:val="0"/>
                <w:iCs/>
                <w:szCs w:val="17"/>
                <w:lang w:eastAsia="en-US"/>
              </w:rPr>
            </w:pPr>
            <w:r w:rsidRPr="00B06354">
              <w:rPr>
                <w:rFonts w:asciiTheme="minorHAnsi" w:eastAsia="Times New Roman" w:hAnsiTheme="minorHAnsi"/>
                <w:b w:val="0"/>
                <w:iCs/>
                <w:szCs w:val="17"/>
                <w:lang w:eastAsia="en-US"/>
              </w:rPr>
              <w:t>5</w:t>
            </w:r>
          </w:p>
        </w:tc>
      </w:tr>
      <w:tr w:rsidR="0028557E" w:rsidRPr="00BA7642" w14:paraId="74B145D5" w14:textId="77777777" w:rsidTr="00C91A0D">
        <w:trPr>
          <w:cnfStyle w:val="100000000000" w:firstRow="1" w:lastRow="0" w:firstColumn="0" w:lastColumn="0" w:oddVBand="0" w:evenVBand="0" w:oddHBand="0" w:evenHBand="0" w:firstRowFirstColumn="0" w:firstRowLastColumn="0" w:lastRowFirstColumn="0" w:lastRowLastColumn="0"/>
          <w:trHeight w:val="101"/>
        </w:trPr>
        <w:tc>
          <w:tcPr>
            <w:tcW w:w="2789" w:type="pct"/>
            <w:vAlign w:val="center"/>
          </w:tcPr>
          <w:p w14:paraId="21C257E0" w14:textId="10A30BF7" w:rsidR="0028557E" w:rsidRPr="004A1F83" w:rsidRDefault="0028557E" w:rsidP="00705A82">
            <w:pPr>
              <w:keepLines/>
              <w:spacing w:before="40" w:after="40" w:line="200" w:lineRule="atLeast"/>
              <w:rPr>
                <w:rFonts w:ascii="Calibri" w:eastAsia="Times New Roman" w:hAnsi="Calibri" w:cs="Calibri"/>
                <w:b w:val="0"/>
                <w:bCs/>
                <w:color w:val="495965"/>
                <w:szCs w:val="17"/>
                <w:lang w:val="en-AU"/>
              </w:rPr>
            </w:pPr>
            <w:r w:rsidRPr="004A1F83">
              <w:rPr>
                <w:rFonts w:ascii="Calibri" w:eastAsia="Times New Roman" w:hAnsi="Calibri" w:cs="Calibri"/>
                <w:b w:val="0"/>
                <w:bCs/>
                <w:color w:val="495965"/>
                <w:szCs w:val="17"/>
                <w:lang w:val="en-AU"/>
              </w:rPr>
              <w:t>Supporting Private Sector Development in Fiji</w:t>
            </w:r>
          </w:p>
        </w:tc>
        <w:tc>
          <w:tcPr>
            <w:tcW w:w="531" w:type="pct"/>
            <w:tcBorders>
              <w:top w:val="single" w:sz="2" w:space="0" w:color="65C5B4" w:themeColor="accent1"/>
            </w:tcBorders>
            <w:vAlign w:val="center"/>
          </w:tcPr>
          <w:p w14:paraId="41077BC9" w14:textId="3F11DA6B" w:rsidR="0028557E" w:rsidRPr="00B84037" w:rsidRDefault="0028557E" w:rsidP="0028557E">
            <w:pPr>
              <w:autoSpaceDE w:val="0"/>
              <w:autoSpaceDN w:val="0"/>
              <w:adjustRightInd w:val="0"/>
              <w:spacing w:before="0" w:after="0" w:line="240" w:lineRule="auto"/>
              <w:rPr>
                <w:rFonts w:eastAsia="Times New Roman"/>
                <w:b w:val="0"/>
                <w:iCs/>
                <w:szCs w:val="17"/>
              </w:rPr>
            </w:pPr>
            <w:r>
              <w:rPr>
                <w:rFonts w:ascii="Calibri Light" w:eastAsia="Times New Roman" w:hAnsi="Calibri Light" w:cs="Calibri Light"/>
                <w:b w:val="0"/>
                <w:color w:val="495965"/>
                <w:szCs w:val="17"/>
                <w:lang w:val="en-AU"/>
              </w:rPr>
              <w:t>$</w:t>
            </w:r>
            <w:r w:rsidRPr="003B5F47">
              <w:rPr>
                <w:rFonts w:ascii="Calibri Light" w:eastAsia="Times New Roman" w:hAnsi="Calibri Light" w:cs="Calibri Light"/>
                <w:b w:val="0"/>
                <w:color w:val="495965"/>
                <w:szCs w:val="17"/>
                <w:lang w:val="en-AU"/>
              </w:rPr>
              <w:t>14.3m</w:t>
            </w:r>
            <w:bookmarkStart w:id="0" w:name="_GoBack"/>
            <w:bookmarkEnd w:id="0"/>
          </w:p>
        </w:tc>
        <w:tc>
          <w:tcPr>
            <w:tcW w:w="529" w:type="pct"/>
            <w:tcBorders>
              <w:top w:val="single" w:sz="2" w:space="0" w:color="65C5B4" w:themeColor="accent1"/>
            </w:tcBorders>
            <w:vAlign w:val="center"/>
          </w:tcPr>
          <w:p w14:paraId="3462536E" w14:textId="07301CC4" w:rsidR="0028557E" w:rsidRPr="00B84037" w:rsidRDefault="0028557E" w:rsidP="004A1F83">
            <w:pPr>
              <w:keepLines/>
              <w:spacing w:before="0" w:after="0" w:line="240" w:lineRule="auto"/>
              <w:rPr>
                <w:rFonts w:eastAsia="Times New Roman"/>
                <w:b w:val="0"/>
                <w:iCs/>
                <w:szCs w:val="17"/>
              </w:rPr>
            </w:pPr>
            <w:r w:rsidRPr="003B5F47">
              <w:rPr>
                <w:rFonts w:asciiTheme="minorHAnsi" w:eastAsia="Times New Roman" w:hAnsiTheme="minorHAnsi"/>
                <w:b w:val="0"/>
                <w:iCs/>
                <w:szCs w:val="17"/>
                <w:lang w:eastAsia="en-US"/>
              </w:rPr>
              <w:t>2019</w:t>
            </w:r>
            <w:r>
              <w:rPr>
                <w:rFonts w:asciiTheme="minorHAnsi" w:eastAsia="Times New Roman" w:hAnsiTheme="minorHAnsi"/>
                <w:b w:val="0"/>
                <w:iCs/>
                <w:szCs w:val="17"/>
                <w:lang w:eastAsia="en-US"/>
              </w:rPr>
              <w:t xml:space="preserve"> </w:t>
            </w:r>
            <w:r w:rsidRPr="003B5F47">
              <w:rPr>
                <w:rFonts w:asciiTheme="minorHAnsi" w:eastAsia="Times New Roman" w:hAnsiTheme="minorHAnsi"/>
                <w:b w:val="0"/>
                <w:iCs/>
                <w:szCs w:val="17"/>
                <w:lang w:eastAsia="en-US"/>
              </w:rPr>
              <w:t>AQC</w:t>
            </w:r>
          </w:p>
        </w:tc>
        <w:tc>
          <w:tcPr>
            <w:tcW w:w="371" w:type="pct"/>
            <w:tcBorders>
              <w:top w:val="single" w:sz="2" w:space="0" w:color="65C5B4" w:themeColor="accent1"/>
            </w:tcBorders>
            <w:noWrap/>
            <w:vAlign w:val="center"/>
          </w:tcPr>
          <w:p w14:paraId="3B277DA0" w14:textId="77777777" w:rsidR="0028557E" w:rsidRPr="00BA7642" w:rsidRDefault="0028557E" w:rsidP="004A1F83">
            <w:pPr>
              <w:keepLines/>
              <w:spacing w:before="0" w:after="0" w:line="240" w:lineRule="auto"/>
              <w:jc w:val="center"/>
              <w:rPr>
                <w:rFonts w:asciiTheme="minorHAnsi" w:eastAsia="Times New Roman" w:hAnsiTheme="minorHAnsi"/>
                <w:b w:val="0"/>
                <w:iCs/>
                <w:szCs w:val="17"/>
                <w:lang w:eastAsia="en-US"/>
              </w:rPr>
            </w:pPr>
            <w:r w:rsidRPr="00BA7642">
              <w:rPr>
                <w:rFonts w:asciiTheme="minorHAnsi" w:eastAsia="Times New Roman" w:hAnsiTheme="minorHAnsi"/>
                <w:b w:val="0"/>
                <w:iCs/>
                <w:szCs w:val="17"/>
                <w:lang w:eastAsia="en-US"/>
              </w:rPr>
              <w:t>5</w:t>
            </w:r>
          </w:p>
        </w:tc>
        <w:tc>
          <w:tcPr>
            <w:tcW w:w="336" w:type="pct"/>
            <w:tcBorders>
              <w:top w:val="single" w:sz="2" w:space="0" w:color="65C5B4" w:themeColor="accent1"/>
            </w:tcBorders>
            <w:noWrap/>
            <w:vAlign w:val="center"/>
          </w:tcPr>
          <w:p w14:paraId="750B34B8" w14:textId="77777777" w:rsidR="0028557E" w:rsidRPr="00BA7642" w:rsidRDefault="0028557E" w:rsidP="004A1F83">
            <w:pPr>
              <w:keepLines/>
              <w:spacing w:before="0" w:after="0" w:line="240" w:lineRule="auto"/>
              <w:jc w:val="center"/>
              <w:rPr>
                <w:rFonts w:asciiTheme="minorHAnsi" w:eastAsia="Times New Roman" w:hAnsiTheme="minorHAnsi"/>
                <w:b w:val="0"/>
                <w:iCs/>
                <w:szCs w:val="17"/>
                <w:lang w:eastAsia="en-US"/>
              </w:rPr>
            </w:pPr>
            <w:r w:rsidRPr="00BA7642">
              <w:rPr>
                <w:rFonts w:asciiTheme="minorHAnsi" w:eastAsia="Times New Roman" w:hAnsiTheme="minorHAnsi"/>
                <w:b w:val="0"/>
                <w:iCs/>
                <w:szCs w:val="17"/>
                <w:lang w:eastAsia="en-US"/>
              </w:rPr>
              <w:t>5</w:t>
            </w:r>
          </w:p>
        </w:tc>
        <w:tc>
          <w:tcPr>
            <w:tcW w:w="336" w:type="pct"/>
            <w:tcBorders>
              <w:top w:val="single" w:sz="2" w:space="0" w:color="65C5B4" w:themeColor="accent1"/>
            </w:tcBorders>
            <w:noWrap/>
            <w:vAlign w:val="center"/>
          </w:tcPr>
          <w:p w14:paraId="49F26FA1" w14:textId="77777777" w:rsidR="0028557E" w:rsidRPr="00BA7642" w:rsidRDefault="0028557E" w:rsidP="004A1F83">
            <w:pPr>
              <w:keepLines/>
              <w:spacing w:before="0" w:after="0" w:line="240" w:lineRule="auto"/>
              <w:jc w:val="center"/>
              <w:rPr>
                <w:rFonts w:asciiTheme="minorHAnsi" w:eastAsia="Times New Roman" w:hAnsiTheme="minorHAnsi"/>
                <w:b w:val="0"/>
                <w:iCs/>
                <w:szCs w:val="17"/>
                <w:lang w:eastAsia="en-US"/>
              </w:rPr>
            </w:pPr>
            <w:r w:rsidRPr="00BA7642">
              <w:rPr>
                <w:rFonts w:asciiTheme="minorHAnsi" w:eastAsia="Times New Roman" w:hAnsiTheme="minorHAnsi"/>
                <w:b w:val="0"/>
                <w:iCs/>
                <w:szCs w:val="17"/>
                <w:lang w:eastAsia="en-US"/>
              </w:rPr>
              <w:t>5</w:t>
            </w:r>
          </w:p>
        </w:tc>
      </w:tr>
      <w:tr w:rsidR="0028557E" w:rsidRPr="00812509" w14:paraId="6ADF02C7" w14:textId="77777777" w:rsidTr="00C91A0D">
        <w:trPr>
          <w:cnfStyle w:val="100000000000" w:firstRow="1" w:lastRow="0" w:firstColumn="0" w:lastColumn="0" w:oddVBand="0" w:evenVBand="0" w:oddHBand="0" w:evenHBand="0" w:firstRowFirstColumn="0" w:firstRowLastColumn="0" w:lastRowFirstColumn="0" w:lastRowLastColumn="0"/>
          <w:trHeight w:val="148"/>
        </w:trPr>
        <w:tc>
          <w:tcPr>
            <w:tcW w:w="2789" w:type="pct"/>
            <w:vAlign w:val="center"/>
          </w:tcPr>
          <w:p w14:paraId="4FD0EE1F" w14:textId="77777777" w:rsidR="0028557E" w:rsidRPr="004A1F83" w:rsidRDefault="0028557E" w:rsidP="00705A82">
            <w:pPr>
              <w:keepLines/>
              <w:spacing w:before="40" w:after="40" w:line="200" w:lineRule="atLeast"/>
              <w:rPr>
                <w:rFonts w:ascii="Calibri" w:eastAsia="Times New Roman" w:hAnsi="Calibri" w:cs="Calibri"/>
                <w:b w:val="0"/>
                <w:bCs/>
                <w:color w:val="495965"/>
                <w:szCs w:val="17"/>
                <w:lang w:val="en-AU"/>
              </w:rPr>
            </w:pPr>
          </w:p>
        </w:tc>
        <w:tc>
          <w:tcPr>
            <w:tcW w:w="531" w:type="pct"/>
          </w:tcPr>
          <w:p w14:paraId="1D4BEAEA" w14:textId="01C35EA0" w:rsidR="0028557E" w:rsidRPr="00B84037" w:rsidRDefault="0028557E" w:rsidP="00B84037">
            <w:pPr>
              <w:keepLines/>
              <w:spacing w:before="40" w:after="40" w:line="200" w:lineRule="atLeast"/>
              <w:rPr>
                <w:rFonts w:eastAsia="Times New Roman"/>
                <w:b w:val="0"/>
                <w:iCs/>
                <w:szCs w:val="17"/>
              </w:rPr>
            </w:pPr>
            <w:r>
              <w:rPr>
                <w:rFonts w:ascii="Calibri Light" w:eastAsia="Times New Roman" w:hAnsi="Calibri Light" w:cs="Calibri Light"/>
                <w:b w:val="0"/>
                <w:color w:val="495965"/>
                <w:szCs w:val="17"/>
                <w:lang w:val="en-AU"/>
              </w:rPr>
              <w:t>2016-</w:t>
            </w:r>
            <w:r w:rsidRPr="003B5F47">
              <w:rPr>
                <w:rFonts w:ascii="Calibri Light" w:eastAsia="Times New Roman" w:hAnsi="Calibri Light" w:cs="Calibri Light"/>
                <w:b w:val="0"/>
                <w:color w:val="495965"/>
                <w:szCs w:val="17"/>
                <w:lang w:val="en-AU"/>
              </w:rPr>
              <w:t>20</w:t>
            </w:r>
          </w:p>
        </w:tc>
        <w:tc>
          <w:tcPr>
            <w:tcW w:w="529" w:type="pct"/>
            <w:vAlign w:val="center"/>
          </w:tcPr>
          <w:p w14:paraId="3569EF29" w14:textId="48000EB1" w:rsidR="0028557E" w:rsidRPr="00B84037" w:rsidRDefault="0028557E" w:rsidP="004A1F83">
            <w:pPr>
              <w:keepLines/>
              <w:spacing w:before="0" w:after="0" w:line="240" w:lineRule="auto"/>
              <w:rPr>
                <w:rFonts w:eastAsia="Times New Roman"/>
                <w:b w:val="0"/>
                <w:iCs/>
                <w:szCs w:val="17"/>
              </w:rPr>
            </w:pPr>
            <w:r w:rsidRPr="00B84037">
              <w:rPr>
                <w:rFonts w:asciiTheme="minorHAnsi" w:eastAsia="Times New Roman" w:hAnsiTheme="minorHAnsi"/>
                <w:b w:val="0"/>
                <w:iCs/>
                <w:szCs w:val="17"/>
                <w:lang w:eastAsia="en-US"/>
              </w:rPr>
              <w:t>2020</w:t>
            </w:r>
            <w:r>
              <w:rPr>
                <w:rFonts w:asciiTheme="minorHAnsi" w:eastAsia="Times New Roman" w:hAnsiTheme="minorHAnsi"/>
                <w:b w:val="0"/>
                <w:iCs/>
                <w:szCs w:val="17"/>
                <w:lang w:eastAsia="en-US"/>
              </w:rPr>
              <w:t xml:space="preserve"> </w:t>
            </w:r>
            <w:r w:rsidRPr="00B84037">
              <w:rPr>
                <w:rFonts w:asciiTheme="minorHAnsi" w:eastAsia="Times New Roman" w:hAnsiTheme="minorHAnsi"/>
                <w:b w:val="0"/>
                <w:iCs/>
                <w:szCs w:val="17"/>
                <w:lang w:eastAsia="en-US"/>
              </w:rPr>
              <w:t>AQC</w:t>
            </w:r>
          </w:p>
        </w:tc>
        <w:tc>
          <w:tcPr>
            <w:tcW w:w="371" w:type="pct"/>
            <w:noWrap/>
            <w:vAlign w:val="center"/>
          </w:tcPr>
          <w:p w14:paraId="3C08B988" w14:textId="77777777" w:rsidR="0028557E" w:rsidRPr="003B5F47" w:rsidRDefault="0028557E" w:rsidP="004A1F83">
            <w:pPr>
              <w:keepLines/>
              <w:spacing w:before="0" w:after="0" w:line="240" w:lineRule="auto"/>
              <w:jc w:val="center"/>
              <w:rPr>
                <w:rFonts w:asciiTheme="minorHAnsi" w:eastAsia="Times New Roman" w:hAnsiTheme="minorHAnsi"/>
                <w:b w:val="0"/>
                <w:iCs/>
                <w:szCs w:val="17"/>
                <w:lang w:eastAsia="en-US"/>
              </w:rPr>
            </w:pPr>
            <w:r w:rsidRPr="003B5F47">
              <w:rPr>
                <w:rFonts w:asciiTheme="minorHAnsi" w:eastAsia="Times New Roman" w:hAnsiTheme="minorHAnsi"/>
                <w:b w:val="0"/>
                <w:iCs/>
                <w:szCs w:val="17"/>
                <w:lang w:eastAsia="en-US"/>
              </w:rPr>
              <w:t>5</w:t>
            </w:r>
          </w:p>
        </w:tc>
        <w:tc>
          <w:tcPr>
            <w:tcW w:w="336" w:type="pct"/>
            <w:noWrap/>
            <w:vAlign w:val="center"/>
          </w:tcPr>
          <w:p w14:paraId="35C274BE" w14:textId="77777777" w:rsidR="0028557E" w:rsidRPr="003B5F47" w:rsidRDefault="0028557E" w:rsidP="004A1F83">
            <w:pPr>
              <w:keepLines/>
              <w:spacing w:before="0" w:after="0" w:line="240" w:lineRule="auto"/>
              <w:jc w:val="center"/>
              <w:rPr>
                <w:rFonts w:asciiTheme="minorHAnsi" w:eastAsia="Times New Roman" w:hAnsiTheme="minorHAnsi"/>
                <w:b w:val="0"/>
                <w:iCs/>
                <w:szCs w:val="17"/>
                <w:lang w:eastAsia="en-US"/>
              </w:rPr>
            </w:pPr>
            <w:r w:rsidRPr="003B5F47">
              <w:rPr>
                <w:rFonts w:asciiTheme="minorHAnsi" w:eastAsia="Times New Roman" w:hAnsiTheme="minorHAnsi"/>
                <w:b w:val="0"/>
                <w:iCs/>
                <w:szCs w:val="17"/>
                <w:lang w:eastAsia="en-US"/>
              </w:rPr>
              <w:t>5</w:t>
            </w:r>
          </w:p>
        </w:tc>
        <w:tc>
          <w:tcPr>
            <w:tcW w:w="336" w:type="pct"/>
            <w:noWrap/>
            <w:vAlign w:val="center"/>
          </w:tcPr>
          <w:p w14:paraId="00056ACE" w14:textId="77777777" w:rsidR="0028557E" w:rsidRPr="003B5F47" w:rsidRDefault="0028557E" w:rsidP="004A1F83">
            <w:pPr>
              <w:keepLines/>
              <w:spacing w:before="0" w:after="0" w:line="240" w:lineRule="auto"/>
              <w:jc w:val="center"/>
              <w:rPr>
                <w:rFonts w:asciiTheme="minorHAnsi" w:eastAsia="Times New Roman" w:hAnsiTheme="minorHAnsi"/>
                <w:b w:val="0"/>
                <w:iCs/>
                <w:szCs w:val="17"/>
                <w:lang w:eastAsia="en-US"/>
              </w:rPr>
            </w:pPr>
            <w:r w:rsidRPr="003B5F47">
              <w:rPr>
                <w:rFonts w:asciiTheme="minorHAnsi" w:eastAsia="Times New Roman" w:hAnsiTheme="minorHAnsi"/>
                <w:b w:val="0"/>
                <w:iCs/>
                <w:szCs w:val="17"/>
                <w:lang w:eastAsia="en-US"/>
              </w:rPr>
              <w:t>4</w:t>
            </w:r>
          </w:p>
        </w:tc>
      </w:tr>
    </w:tbl>
    <w:p w14:paraId="087A7100" w14:textId="77777777" w:rsidR="00390828" w:rsidRPr="00D03BF3" w:rsidRDefault="00390828" w:rsidP="00390828">
      <w:pPr>
        <w:pStyle w:val="Heading3"/>
      </w:pPr>
      <w:r w:rsidRPr="00D03BF3">
        <w:t xml:space="preserve">Final </w:t>
      </w:r>
      <w:r w:rsidR="00B927C4">
        <w:t xml:space="preserve">Investment Monitoring Report </w:t>
      </w:r>
      <w:r>
        <w:t xml:space="preserve">ratings </w:t>
      </w:r>
    </w:p>
    <w:tbl>
      <w:tblPr>
        <w:tblStyle w:val="APPR"/>
        <w:tblW w:w="5472" w:type="pct"/>
        <w:tblLook w:val="0020" w:firstRow="1" w:lastRow="0" w:firstColumn="0" w:lastColumn="0" w:noHBand="0" w:noVBand="0"/>
      </w:tblPr>
      <w:tblGrid>
        <w:gridCol w:w="4110"/>
        <w:gridCol w:w="1098"/>
        <w:gridCol w:w="623"/>
        <w:gridCol w:w="641"/>
        <w:gridCol w:w="628"/>
        <w:gridCol w:w="657"/>
        <w:gridCol w:w="718"/>
        <w:gridCol w:w="655"/>
        <w:gridCol w:w="712"/>
        <w:gridCol w:w="706"/>
      </w:tblGrid>
      <w:tr w:rsidR="00390828" w:rsidRPr="00812509" w14:paraId="1F2360E5" w14:textId="77777777" w:rsidTr="00C91A0D">
        <w:trPr>
          <w:cnfStyle w:val="100000000000" w:firstRow="1" w:lastRow="0" w:firstColumn="0" w:lastColumn="0" w:oddVBand="0" w:evenVBand="0" w:oddHBand="0" w:evenHBand="0" w:firstRowFirstColumn="0" w:firstRowLastColumn="0" w:lastRowFirstColumn="0" w:lastRowLastColumn="0"/>
          <w:trHeight w:val="1505"/>
        </w:trPr>
        <w:tc>
          <w:tcPr>
            <w:tcW w:w="1929" w:type="pct"/>
          </w:tcPr>
          <w:p w14:paraId="5C4DD335" w14:textId="6C7908FF"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64384" behindDoc="0" locked="0" layoutInCell="1" allowOverlap="1" wp14:anchorId="249225C0" wp14:editId="0FDE3375">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63B">
              <w:rPr>
                <w:rFonts w:asciiTheme="minorHAnsi" w:eastAsia="Times New Roman" w:hAnsiTheme="minorHAnsi"/>
                <w:iCs/>
                <w:szCs w:val="17"/>
                <w:lang w:eastAsia="en-US"/>
              </w:rPr>
              <w:t>Investment name</w:t>
            </w:r>
          </w:p>
        </w:tc>
        <w:tc>
          <w:tcPr>
            <w:tcW w:w="508" w:type="pct"/>
            <w:textDirection w:val="btLr"/>
          </w:tcPr>
          <w:p w14:paraId="30AC79A9"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281" w:type="pct"/>
            <w:noWrap/>
            <w:textDirection w:val="btLr"/>
          </w:tcPr>
          <w:p w14:paraId="63C42754"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291" w:type="pct"/>
            <w:noWrap/>
            <w:textDirection w:val="btLr"/>
          </w:tcPr>
          <w:p w14:paraId="7725A0AC"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284" w:type="pct"/>
            <w:noWrap/>
            <w:textDirection w:val="btLr"/>
          </w:tcPr>
          <w:p w14:paraId="7991DA8C"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298" w:type="pct"/>
            <w:noWrap/>
            <w:textDirection w:val="btLr"/>
          </w:tcPr>
          <w:p w14:paraId="6B7A14A2"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27" w:type="pct"/>
            <w:noWrap/>
            <w:textDirection w:val="btLr"/>
          </w:tcPr>
          <w:p w14:paraId="45767AB8"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297" w:type="pct"/>
            <w:noWrap/>
            <w:textDirection w:val="btLr"/>
          </w:tcPr>
          <w:p w14:paraId="6D4EC606"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c>
          <w:tcPr>
            <w:tcW w:w="324" w:type="pct"/>
            <w:textDirection w:val="btLr"/>
          </w:tcPr>
          <w:p w14:paraId="020FC494"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c>
          <w:tcPr>
            <w:tcW w:w="315" w:type="pct"/>
            <w:textDirection w:val="btLr"/>
          </w:tcPr>
          <w:p w14:paraId="31F50090"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r>
      <w:tr w:rsidR="00390828" w:rsidRPr="00812509" w14:paraId="2151909B" w14:textId="77777777" w:rsidTr="00C91A0D">
        <w:trPr>
          <w:cnfStyle w:val="100000000000" w:firstRow="1" w:lastRow="0" w:firstColumn="0" w:lastColumn="0" w:oddVBand="0" w:evenVBand="0" w:oddHBand="0" w:evenHBand="0" w:firstRowFirstColumn="0" w:firstRowLastColumn="0" w:lastRowFirstColumn="0" w:lastRowLastColumn="0"/>
          <w:trHeight w:val="284"/>
        </w:trPr>
        <w:tc>
          <w:tcPr>
            <w:tcW w:w="1929" w:type="pct"/>
            <w:tcBorders>
              <w:top w:val="single" w:sz="2" w:space="0" w:color="65C5B4" w:themeColor="accent1"/>
            </w:tcBorders>
            <w:vAlign w:val="center"/>
          </w:tcPr>
          <w:p w14:paraId="2B48EDBC" w14:textId="5A0EC963" w:rsidR="00390828" w:rsidRPr="00812509" w:rsidRDefault="00BA7642" w:rsidP="0039082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Bilateral Governance Program</w:t>
            </w:r>
          </w:p>
        </w:tc>
        <w:tc>
          <w:tcPr>
            <w:tcW w:w="508" w:type="pct"/>
            <w:tcBorders>
              <w:top w:val="single" w:sz="2" w:space="0" w:color="65C5B4" w:themeColor="accent1"/>
            </w:tcBorders>
          </w:tcPr>
          <w:p w14:paraId="27D51625" w14:textId="77777777" w:rsidR="00390828" w:rsidRPr="00812509" w:rsidRDefault="000A04EF" w:rsidP="006F1E14">
            <w:pPr>
              <w:autoSpaceDE w:val="0"/>
              <w:autoSpaceDN w:val="0"/>
              <w:adjustRightInd w:val="0"/>
              <w:spacing w:before="0" w:after="0" w:line="240" w:lineRule="auto"/>
              <w:rPr>
                <w:rFonts w:asciiTheme="minorHAnsi" w:hAnsiTheme="minorHAnsi" w:cs="Franklin Gothic Book"/>
                <w:color w:val="000000"/>
                <w:szCs w:val="17"/>
              </w:rPr>
            </w:pPr>
            <w:r>
              <w:rPr>
                <w:rFonts w:asciiTheme="minorHAnsi" w:hAnsiTheme="minorHAnsi" w:cs="Franklin Gothic Book"/>
                <w:color w:val="000000"/>
                <w:szCs w:val="17"/>
              </w:rPr>
              <w:t>$17.5</w:t>
            </w:r>
            <w:r w:rsidR="00390828" w:rsidRPr="00812509">
              <w:rPr>
                <w:rFonts w:asciiTheme="minorHAnsi" w:hAnsiTheme="minorHAnsi" w:cs="Franklin Gothic Book"/>
                <w:color w:val="000000"/>
                <w:szCs w:val="17"/>
              </w:rPr>
              <w:t xml:space="preserve">m </w:t>
            </w:r>
          </w:p>
          <w:p w14:paraId="34BF62E8" w14:textId="77777777" w:rsidR="00390828" w:rsidRPr="00812509" w:rsidRDefault="00390828" w:rsidP="006F1E14">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5</w:t>
            </w:r>
            <w:r w:rsidR="00BA7642">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p>
        </w:tc>
        <w:tc>
          <w:tcPr>
            <w:tcW w:w="281" w:type="pct"/>
            <w:tcBorders>
              <w:top w:val="single" w:sz="2" w:space="0" w:color="65C5B4" w:themeColor="accent1"/>
            </w:tcBorders>
            <w:shd w:val="clear" w:color="auto" w:fill="auto"/>
            <w:noWrap/>
          </w:tcPr>
          <w:p w14:paraId="2D42337A" w14:textId="77777777" w:rsidR="00390828" w:rsidRPr="00B927C4" w:rsidRDefault="00BA7642" w:rsidP="00390828">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5</w:t>
            </w:r>
          </w:p>
        </w:tc>
        <w:tc>
          <w:tcPr>
            <w:tcW w:w="291" w:type="pct"/>
            <w:tcBorders>
              <w:top w:val="single" w:sz="2" w:space="0" w:color="65C5B4" w:themeColor="accent1"/>
            </w:tcBorders>
            <w:shd w:val="clear" w:color="auto" w:fill="auto"/>
            <w:noWrap/>
          </w:tcPr>
          <w:p w14:paraId="5FBD96F3" w14:textId="77777777" w:rsidR="00390828" w:rsidRPr="00B927C4" w:rsidRDefault="00BA7642" w:rsidP="00390828">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4</w:t>
            </w:r>
          </w:p>
        </w:tc>
        <w:tc>
          <w:tcPr>
            <w:tcW w:w="284" w:type="pct"/>
            <w:tcBorders>
              <w:top w:val="single" w:sz="2" w:space="0" w:color="65C5B4" w:themeColor="accent1"/>
            </w:tcBorders>
            <w:shd w:val="clear" w:color="auto" w:fill="auto"/>
            <w:noWrap/>
          </w:tcPr>
          <w:p w14:paraId="0754DAFF" w14:textId="77777777" w:rsidR="00390828" w:rsidRPr="00B927C4" w:rsidRDefault="00390828" w:rsidP="00390828">
            <w:pPr>
              <w:keepLines/>
              <w:spacing w:before="40" w:after="40" w:line="200" w:lineRule="atLeast"/>
              <w:jc w:val="center"/>
              <w:rPr>
                <w:rFonts w:asciiTheme="minorHAnsi" w:eastAsia="Times New Roman" w:hAnsiTheme="minorHAnsi"/>
                <w:iCs/>
                <w:color w:val="auto"/>
                <w:szCs w:val="17"/>
                <w:lang w:eastAsia="en-US"/>
              </w:rPr>
            </w:pPr>
            <w:r w:rsidRPr="00B927C4">
              <w:rPr>
                <w:rFonts w:asciiTheme="minorHAnsi" w:eastAsia="Times New Roman" w:hAnsiTheme="minorHAnsi"/>
                <w:iCs/>
                <w:color w:val="auto"/>
                <w:szCs w:val="17"/>
                <w:lang w:eastAsia="en-US"/>
              </w:rPr>
              <w:t>4</w:t>
            </w:r>
          </w:p>
        </w:tc>
        <w:tc>
          <w:tcPr>
            <w:tcW w:w="298" w:type="pct"/>
            <w:tcBorders>
              <w:top w:val="single" w:sz="2" w:space="0" w:color="65C5B4" w:themeColor="accent1"/>
            </w:tcBorders>
            <w:shd w:val="clear" w:color="auto" w:fill="auto"/>
            <w:noWrap/>
          </w:tcPr>
          <w:p w14:paraId="5D621FA2" w14:textId="77777777" w:rsidR="00390828" w:rsidRPr="00B927C4" w:rsidRDefault="00BA7642" w:rsidP="00390828">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5</w:t>
            </w:r>
          </w:p>
        </w:tc>
        <w:tc>
          <w:tcPr>
            <w:tcW w:w="327" w:type="pct"/>
            <w:tcBorders>
              <w:top w:val="single" w:sz="2" w:space="0" w:color="65C5B4" w:themeColor="accent1"/>
            </w:tcBorders>
            <w:shd w:val="clear" w:color="auto" w:fill="auto"/>
            <w:noWrap/>
          </w:tcPr>
          <w:p w14:paraId="18647022" w14:textId="77777777" w:rsidR="00390828" w:rsidRPr="00B927C4" w:rsidRDefault="00BA7642" w:rsidP="00390828">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3</w:t>
            </w:r>
          </w:p>
        </w:tc>
        <w:tc>
          <w:tcPr>
            <w:tcW w:w="297" w:type="pct"/>
            <w:tcBorders>
              <w:top w:val="single" w:sz="2" w:space="0" w:color="65C5B4" w:themeColor="accent1"/>
            </w:tcBorders>
            <w:shd w:val="clear" w:color="auto" w:fill="auto"/>
            <w:noWrap/>
          </w:tcPr>
          <w:p w14:paraId="602E7981" w14:textId="77777777" w:rsidR="00390828" w:rsidRPr="00B927C4" w:rsidRDefault="00BA7642" w:rsidP="00390828">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5</w:t>
            </w:r>
          </w:p>
        </w:tc>
        <w:tc>
          <w:tcPr>
            <w:tcW w:w="324" w:type="pct"/>
            <w:shd w:val="clear" w:color="auto" w:fill="auto"/>
          </w:tcPr>
          <w:p w14:paraId="71F829B2" w14:textId="77777777" w:rsidR="00390828" w:rsidRPr="00812509" w:rsidRDefault="00390828" w:rsidP="00390828">
            <w:pPr>
              <w:keepLines/>
              <w:spacing w:before="40" w:after="40" w:line="200" w:lineRule="atLeast"/>
              <w:jc w:val="center"/>
              <w:rPr>
                <w:rFonts w:asciiTheme="minorHAnsi" w:eastAsia="Times New Roman" w:hAnsiTheme="minorHAnsi"/>
                <w:iCs/>
                <w:szCs w:val="17"/>
                <w:lang w:eastAsia="en-US"/>
              </w:rPr>
            </w:pPr>
          </w:p>
        </w:tc>
        <w:tc>
          <w:tcPr>
            <w:tcW w:w="315" w:type="pct"/>
            <w:shd w:val="clear" w:color="auto" w:fill="auto"/>
          </w:tcPr>
          <w:p w14:paraId="586477B7" w14:textId="77777777" w:rsidR="00390828" w:rsidRPr="00812509" w:rsidRDefault="00390828" w:rsidP="00390828">
            <w:pPr>
              <w:keepLines/>
              <w:spacing w:before="40" w:after="40" w:line="200" w:lineRule="atLeast"/>
              <w:jc w:val="center"/>
              <w:rPr>
                <w:rFonts w:asciiTheme="minorHAnsi" w:eastAsia="Times New Roman" w:hAnsiTheme="minorHAnsi"/>
                <w:iCs/>
                <w:szCs w:val="17"/>
                <w:lang w:eastAsia="en-US"/>
              </w:rPr>
            </w:pPr>
          </w:p>
        </w:tc>
      </w:tr>
      <w:tr w:rsidR="00B637DD" w:rsidRPr="00812509" w14:paraId="62FDFE2A" w14:textId="77777777" w:rsidTr="00C91A0D">
        <w:trPr>
          <w:cnfStyle w:val="100000000000" w:firstRow="1" w:lastRow="0" w:firstColumn="0" w:lastColumn="0" w:oddVBand="0" w:evenVBand="0" w:oddHBand="0" w:evenHBand="0" w:firstRowFirstColumn="0" w:firstRowLastColumn="0" w:lastRowFirstColumn="0" w:lastRowLastColumn="0"/>
          <w:trHeight w:val="284"/>
        </w:trPr>
        <w:tc>
          <w:tcPr>
            <w:tcW w:w="1929" w:type="pct"/>
          </w:tcPr>
          <w:p w14:paraId="51255E14" w14:textId="77777777" w:rsidR="00B637DD" w:rsidRPr="00812509" w:rsidRDefault="00B637DD" w:rsidP="00390828">
            <w:pPr>
              <w:keepLines/>
              <w:spacing w:before="40" w:after="40" w:line="200" w:lineRule="atLeast"/>
              <w:rPr>
                <w:rFonts w:eastAsia="Times New Roman"/>
                <w:iCs/>
                <w:szCs w:val="17"/>
              </w:rPr>
            </w:pPr>
          </w:p>
        </w:tc>
        <w:tc>
          <w:tcPr>
            <w:tcW w:w="508" w:type="pct"/>
          </w:tcPr>
          <w:p w14:paraId="219701F4" w14:textId="77777777" w:rsidR="00B637DD" w:rsidRPr="00812509" w:rsidRDefault="00B637DD" w:rsidP="00390828">
            <w:pPr>
              <w:autoSpaceDE w:val="0"/>
              <w:autoSpaceDN w:val="0"/>
              <w:adjustRightInd w:val="0"/>
              <w:rPr>
                <w:rFonts w:cs="Franklin Gothic Book"/>
                <w:color w:val="000000"/>
                <w:szCs w:val="17"/>
              </w:rPr>
            </w:pPr>
          </w:p>
        </w:tc>
        <w:tc>
          <w:tcPr>
            <w:tcW w:w="281" w:type="pct"/>
            <w:shd w:val="clear" w:color="auto" w:fill="auto"/>
            <w:noWrap/>
          </w:tcPr>
          <w:p w14:paraId="3932BB91" w14:textId="77777777" w:rsidR="00B637DD" w:rsidRPr="00812509" w:rsidRDefault="00B637DD" w:rsidP="00390828">
            <w:pPr>
              <w:keepLines/>
              <w:spacing w:before="40" w:after="40" w:line="200" w:lineRule="atLeast"/>
              <w:jc w:val="center"/>
              <w:rPr>
                <w:rFonts w:eastAsia="Times New Roman"/>
                <w:iCs/>
                <w:szCs w:val="17"/>
              </w:rPr>
            </w:pPr>
          </w:p>
        </w:tc>
        <w:tc>
          <w:tcPr>
            <w:tcW w:w="291" w:type="pct"/>
            <w:shd w:val="clear" w:color="auto" w:fill="auto"/>
            <w:noWrap/>
          </w:tcPr>
          <w:p w14:paraId="6A527FEA" w14:textId="77777777" w:rsidR="00B637DD" w:rsidRPr="00812509" w:rsidRDefault="00B637DD" w:rsidP="00390828">
            <w:pPr>
              <w:keepLines/>
              <w:spacing w:before="40" w:after="40" w:line="200" w:lineRule="atLeast"/>
              <w:jc w:val="center"/>
              <w:rPr>
                <w:rFonts w:eastAsia="Times New Roman"/>
                <w:iCs/>
                <w:szCs w:val="17"/>
              </w:rPr>
            </w:pPr>
          </w:p>
        </w:tc>
        <w:tc>
          <w:tcPr>
            <w:tcW w:w="284" w:type="pct"/>
            <w:shd w:val="clear" w:color="auto" w:fill="auto"/>
            <w:noWrap/>
          </w:tcPr>
          <w:p w14:paraId="7A0236D4" w14:textId="77777777" w:rsidR="00B637DD" w:rsidRPr="00812509" w:rsidRDefault="00B637DD" w:rsidP="00390828">
            <w:pPr>
              <w:keepLines/>
              <w:spacing w:before="40" w:after="40" w:line="200" w:lineRule="atLeast"/>
              <w:jc w:val="center"/>
              <w:rPr>
                <w:rFonts w:eastAsia="Times New Roman"/>
                <w:iCs/>
                <w:szCs w:val="17"/>
              </w:rPr>
            </w:pPr>
          </w:p>
        </w:tc>
        <w:tc>
          <w:tcPr>
            <w:tcW w:w="298" w:type="pct"/>
            <w:shd w:val="clear" w:color="auto" w:fill="auto"/>
            <w:noWrap/>
          </w:tcPr>
          <w:p w14:paraId="41FE68C3" w14:textId="77777777" w:rsidR="00B637DD" w:rsidRPr="00812509" w:rsidRDefault="00B637DD" w:rsidP="00390828">
            <w:pPr>
              <w:keepLines/>
              <w:spacing w:before="40" w:after="40" w:line="200" w:lineRule="atLeast"/>
              <w:jc w:val="center"/>
              <w:rPr>
                <w:rFonts w:eastAsia="Times New Roman"/>
                <w:iCs/>
                <w:szCs w:val="17"/>
              </w:rPr>
            </w:pPr>
          </w:p>
        </w:tc>
        <w:tc>
          <w:tcPr>
            <w:tcW w:w="327" w:type="pct"/>
            <w:shd w:val="clear" w:color="auto" w:fill="auto"/>
            <w:noWrap/>
          </w:tcPr>
          <w:p w14:paraId="5805E385" w14:textId="77777777" w:rsidR="00B637DD" w:rsidRPr="00812509" w:rsidRDefault="00B637DD" w:rsidP="00390828">
            <w:pPr>
              <w:keepLines/>
              <w:spacing w:before="40" w:after="40" w:line="200" w:lineRule="atLeast"/>
              <w:jc w:val="center"/>
              <w:rPr>
                <w:rFonts w:eastAsia="Times New Roman"/>
                <w:iCs/>
                <w:szCs w:val="17"/>
              </w:rPr>
            </w:pPr>
          </w:p>
        </w:tc>
        <w:tc>
          <w:tcPr>
            <w:tcW w:w="297" w:type="pct"/>
            <w:shd w:val="clear" w:color="auto" w:fill="auto"/>
            <w:noWrap/>
          </w:tcPr>
          <w:p w14:paraId="74F6479F" w14:textId="77777777" w:rsidR="00B637DD" w:rsidRPr="00812509" w:rsidRDefault="00B637DD" w:rsidP="00390828">
            <w:pPr>
              <w:keepLines/>
              <w:spacing w:before="40" w:after="40" w:line="200" w:lineRule="atLeast"/>
              <w:jc w:val="center"/>
              <w:rPr>
                <w:rFonts w:eastAsia="Times New Roman"/>
                <w:iCs/>
                <w:szCs w:val="17"/>
              </w:rPr>
            </w:pPr>
          </w:p>
        </w:tc>
        <w:tc>
          <w:tcPr>
            <w:tcW w:w="324" w:type="pct"/>
            <w:shd w:val="clear" w:color="auto" w:fill="auto"/>
          </w:tcPr>
          <w:p w14:paraId="27268497" w14:textId="77777777" w:rsidR="00B637DD" w:rsidRPr="00812509" w:rsidRDefault="00B637DD" w:rsidP="00390828">
            <w:pPr>
              <w:keepLines/>
              <w:spacing w:before="40" w:after="40" w:line="200" w:lineRule="atLeast"/>
              <w:jc w:val="center"/>
              <w:rPr>
                <w:rFonts w:eastAsia="Times New Roman"/>
                <w:iCs/>
                <w:szCs w:val="17"/>
              </w:rPr>
            </w:pPr>
          </w:p>
        </w:tc>
        <w:tc>
          <w:tcPr>
            <w:tcW w:w="315" w:type="pct"/>
            <w:shd w:val="clear" w:color="auto" w:fill="auto"/>
          </w:tcPr>
          <w:p w14:paraId="0BB96901" w14:textId="77777777" w:rsidR="00B637DD" w:rsidRPr="00812509" w:rsidRDefault="00B637DD" w:rsidP="00390828">
            <w:pPr>
              <w:keepLines/>
              <w:spacing w:before="40" w:after="40" w:line="200" w:lineRule="atLeast"/>
              <w:jc w:val="center"/>
              <w:rPr>
                <w:rFonts w:eastAsia="Times New Roman"/>
                <w:iCs/>
                <w:szCs w:val="17"/>
              </w:rPr>
            </w:pPr>
          </w:p>
        </w:tc>
      </w:tr>
    </w:tbl>
    <w:p w14:paraId="3E94239B" w14:textId="77777777" w:rsidR="00D5064A" w:rsidRDefault="00D5064A" w:rsidP="00D5064A">
      <w:pPr>
        <w:spacing w:before="20" w:after="20" w:line="180" w:lineRule="atLeast"/>
        <w:jc w:val="both"/>
        <w:rPr>
          <w:rFonts w:eastAsia="Times New Roman"/>
          <w:b/>
          <w:sz w:val="16"/>
          <w:szCs w:val="14"/>
        </w:rPr>
      </w:pPr>
    </w:p>
    <w:p w14:paraId="469B4F17" w14:textId="42BF43AD" w:rsidR="00D5064A" w:rsidRPr="00812509" w:rsidRDefault="00D5064A" w:rsidP="00D5064A">
      <w:pPr>
        <w:spacing w:before="20" w:after="20" w:line="180" w:lineRule="atLeast"/>
        <w:jc w:val="both"/>
        <w:rPr>
          <w:rFonts w:eastAsia="Times New Roman"/>
          <w:b/>
          <w:sz w:val="16"/>
          <w:szCs w:val="14"/>
        </w:rPr>
      </w:pPr>
      <w:r>
        <w:rPr>
          <w:rFonts w:eastAsia="Times New Roman"/>
          <w:b/>
          <w:sz w:val="16"/>
          <w:szCs w:val="14"/>
        </w:rPr>
        <w:t>Definitions of rating scale:</w:t>
      </w:r>
    </w:p>
    <w:p w14:paraId="4F35F72D" w14:textId="77777777" w:rsidR="00D5064A" w:rsidRPr="00B927C4" w:rsidRDefault="00D5064A" w:rsidP="00D5064A">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645860AC" w14:textId="77777777" w:rsidR="00D5064A" w:rsidRPr="00812509" w:rsidRDefault="00D5064A" w:rsidP="00D5064A">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2D8192D5" w14:textId="77777777" w:rsidR="00D5064A" w:rsidRPr="00812509" w:rsidRDefault="00D5064A" w:rsidP="00D5064A">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5EEAC1E1" w14:textId="77777777" w:rsidR="00D5064A" w:rsidRPr="00B927C4" w:rsidRDefault="00D5064A" w:rsidP="00D5064A">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6F1CC008" w14:textId="77777777" w:rsidR="00D5064A" w:rsidRPr="00812509" w:rsidRDefault="00D5064A" w:rsidP="00D5064A">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CFFF74E" w14:textId="77777777" w:rsidR="00D5064A" w:rsidRDefault="00D5064A" w:rsidP="00D5064A">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Very poor; does not satisfy criteria in many major area.</w:t>
      </w:r>
    </w:p>
    <w:sectPr w:rsidR="00D5064A"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1B63" w14:textId="77777777" w:rsidR="00CB38AD" w:rsidRDefault="00CB38AD" w:rsidP="00D37B04">
      <w:r>
        <w:separator/>
      </w:r>
    </w:p>
  </w:endnote>
  <w:endnote w:type="continuationSeparator" w:id="0">
    <w:p w14:paraId="6A63820E" w14:textId="77777777" w:rsidR="00CB38AD" w:rsidRDefault="00CB38A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AD3D" w14:textId="5AC144AA" w:rsidR="00230777" w:rsidRPr="00FC322F" w:rsidRDefault="00230777" w:rsidP="00FC322F">
    <w:pPr>
      <w:pStyle w:val="Footer"/>
      <w:rPr>
        <w:b/>
      </w:rPr>
    </w:pPr>
    <w:r w:rsidRPr="00FC322F">
      <w:rPr>
        <w:b/>
        <w:noProof/>
        <w:lang w:val="en-AU" w:eastAsia="en-AU"/>
      </w:rPr>
      <w:drawing>
        <wp:inline distT="0" distB="0" distL="0" distR="0" wp14:anchorId="78825D62" wp14:editId="3C4572E3">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@DFAT</w:t>
    </w:r>
    <w:r w:rsidR="005B7393">
      <w:rPr>
        <w:b/>
      </w:rPr>
      <w:t xml:space="preserve">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7796"/>
      <w:docPartObj>
        <w:docPartGallery w:val="Page Numbers (Bottom of Page)"/>
        <w:docPartUnique/>
      </w:docPartObj>
    </w:sdtPr>
    <w:sdtEndPr>
      <w:rPr>
        <w:noProof/>
      </w:rPr>
    </w:sdtEndPr>
    <w:sdtContent>
      <w:p w14:paraId="039558FF" w14:textId="7DD74763" w:rsidR="003F1097" w:rsidRDefault="003F1097">
        <w:pPr>
          <w:pStyle w:val="Footer"/>
          <w:jc w:val="center"/>
        </w:pPr>
        <w:r>
          <w:fldChar w:fldCharType="begin"/>
        </w:r>
        <w:r>
          <w:instrText xml:space="preserve"> PAGE   \* MERGEFORMAT </w:instrText>
        </w:r>
        <w:r>
          <w:fldChar w:fldCharType="separate"/>
        </w:r>
        <w:r w:rsidR="00F51385">
          <w:rPr>
            <w:noProof/>
          </w:rPr>
          <w:t>1</w:t>
        </w:r>
        <w:r>
          <w:rPr>
            <w:noProof/>
          </w:rPr>
          <w:fldChar w:fldCharType="end"/>
        </w:r>
      </w:p>
    </w:sdtContent>
  </w:sdt>
  <w:p w14:paraId="2F1EE839" w14:textId="4DD1C592"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322440"/>
      <w:docPartObj>
        <w:docPartGallery w:val="Page Numbers (Bottom of Page)"/>
        <w:docPartUnique/>
      </w:docPartObj>
    </w:sdtPr>
    <w:sdtEndPr>
      <w:rPr>
        <w:noProof/>
      </w:rPr>
    </w:sdtEndPr>
    <w:sdtContent>
      <w:p w14:paraId="1A8857DC" w14:textId="062A702B" w:rsidR="00DD246D" w:rsidRDefault="00DD246D">
        <w:pPr>
          <w:pStyle w:val="Footer"/>
          <w:jc w:val="center"/>
        </w:pPr>
        <w:r>
          <w:fldChar w:fldCharType="begin"/>
        </w:r>
        <w:r>
          <w:instrText xml:space="preserve"> PAGE   \* MERGEFORMAT </w:instrText>
        </w:r>
        <w:r>
          <w:fldChar w:fldCharType="separate"/>
        </w:r>
        <w:r w:rsidR="00F51385">
          <w:rPr>
            <w:noProof/>
          </w:rPr>
          <w:t>4</w:t>
        </w:r>
        <w:r>
          <w:rPr>
            <w:noProof/>
          </w:rPr>
          <w:fldChar w:fldCharType="end"/>
        </w:r>
      </w:p>
    </w:sdtContent>
  </w:sdt>
  <w:p w14:paraId="4E0E606B" w14:textId="635A28D9"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CC96" w14:textId="22F09885" w:rsidR="00FC322F" w:rsidRPr="00FC322F" w:rsidRDefault="00FC322F" w:rsidP="00FC322F">
    <w:pPr>
      <w:pStyle w:val="Footer"/>
      <w:rPr>
        <w:b/>
      </w:rPr>
    </w:pPr>
    <w:r w:rsidRPr="00FC322F">
      <w:rPr>
        <w:b/>
        <w:noProof/>
        <w:lang w:val="en-AU" w:eastAsia="en-AU"/>
      </w:rPr>
      <w:drawing>
        <wp:inline distT="0" distB="0" distL="0" distR="0" wp14:anchorId="682D6B47" wp14:editId="3179609B">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@DFAT</w:t>
    </w:r>
    <w:r w:rsidR="005B7393">
      <w:rPr>
        <w:b/>
      </w:rPr>
      <w:t xml:space="preserve">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615127"/>
      <w:docPartObj>
        <w:docPartGallery w:val="Page Numbers (Bottom of Page)"/>
        <w:docPartUnique/>
      </w:docPartObj>
    </w:sdtPr>
    <w:sdtEndPr>
      <w:rPr>
        <w:noProof/>
      </w:rPr>
    </w:sdtEndPr>
    <w:sdtContent>
      <w:p w14:paraId="3C97E0D0" w14:textId="54F83265" w:rsidR="003F1097" w:rsidRDefault="003F1097">
        <w:pPr>
          <w:pStyle w:val="Footer"/>
          <w:jc w:val="center"/>
        </w:pPr>
        <w:r>
          <w:fldChar w:fldCharType="begin"/>
        </w:r>
        <w:r>
          <w:instrText xml:space="preserve"> PAGE   \* MERGEFORMAT </w:instrText>
        </w:r>
        <w:r>
          <w:fldChar w:fldCharType="separate"/>
        </w:r>
        <w:r w:rsidR="00F51385">
          <w:rPr>
            <w:noProof/>
          </w:rPr>
          <w:t>2</w:t>
        </w:r>
        <w:r>
          <w:rPr>
            <w:noProof/>
          </w:rPr>
          <w:fldChar w:fldCharType="end"/>
        </w:r>
      </w:p>
    </w:sdtContent>
  </w:sdt>
  <w:p w14:paraId="0486A6DD" w14:textId="5ABDC0BC"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A5AA3" w14:textId="77777777" w:rsidR="00CB38AD" w:rsidRPr="008C5A0E" w:rsidRDefault="00CB38AD" w:rsidP="00D37B04">
      <w:pPr>
        <w:pStyle w:val="Footer"/>
      </w:pPr>
    </w:p>
  </w:footnote>
  <w:footnote w:type="continuationSeparator" w:id="0">
    <w:p w14:paraId="06719D1B" w14:textId="77777777" w:rsidR="00CB38AD" w:rsidRDefault="00CB38AD"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5F3A"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603C5104" wp14:editId="2B1F1D7C">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7382"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4F5532B9" wp14:editId="63BAE454">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7F26C79A" wp14:editId="13D652E5">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40D96E1B" wp14:editId="2036CFA5">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84A8"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744D67A6" wp14:editId="71C8A61C">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59CF" w14:textId="4FA883A3"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28557E">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74005474" wp14:editId="399970B7">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7579F533" wp14:editId="4E85EFBA">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16102C1" wp14:editId="034A84D8">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6F1A" w14:textId="77777777" w:rsidR="00B637DD" w:rsidRDefault="00B637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F211"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3E3D3583" wp14:editId="07D00BC5">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E7FC"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60058905" wp14:editId="536043BB">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32A"/>
    <w:multiLevelType w:val="hybridMultilevel"/>
    <w:tmpl w:val="03D66B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7C78A3"/>
    <w:multiLevelType w:val="hybridMultilevel"/>
    <w:tmpl w:val="63088046"/>
    <w:lvl w:ilvl="0" w:tplc="91E68B38">
      <w:start w:val="1"/>
      <w:numFmt w:val="decimal"/>
      <w:lvlText w:val="%1."/>
      <w:lvlJc w:val="left"/>
      <w:pPr>
        <w:ind w:left="1080" w:hanging="360"/>
      </w:pPr>
      <w:rPr>
        <w:rFonts w:cs="Times New Roman"/>
        <w:color w:val="44546A"/>
        <w:sz w:val="24"/>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3" w15:restartNumberingAfterBreak="0">
    <w:nsid w:val="0D9F2C07"/>
    <w:multiLevelType w:val="hybridMultilevel"/>
    <w:tmpl w:val="B7FAA954"/>
    <w:lvl w:ilvl="0" w:tplc="6B2272C0">
      <w:start w:val="23"/>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875B4B"/>
    <w:multiLevelType w:val="hybridMultilevel"/>
    <w:tmpl w:val="742426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5075FDD"/>
    <w:multiLevelType w:val="hybridMultilevel"/>
    <w:tmpl w:val="F4B088A8"/>
    <w:lvl w:ilvl="0" w:tplc="0C09000F">
      <w:start w:val="1"/>
      <w:numFmt w:val="decimal"/>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DA91A96"/>
    <w:multiLevelType w:val="hybridMultilevel"/>
    <w:tmpl w:val="63088046"/>
    <w:lvl w:ilvl="0" w:tplc="91E68B38">
      <w:start w:val="1"/>
      <w:numFmt w:val="decimal"/>
      <w:lvlText w:val="%1."/>
      <w:lvlJc w:val="left"/>
      <w:pPr>
        <w:ind w:left="1080" w:hanging="360"/>
      </w:pPr>
      <w:rPr>
        <w:color w:val="44546A"/>
        <w:sz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1851DB2"/>
    <w:multiLevelType w:val="hybridMultilevel"/>
    <w:tmpl w:val="F5CC4E28"/>
    <w:lvl w:ilvl="0" w:tplc="68D66CF8">
      <w:start w:val="23"/>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576096"/>
    <w:multiLevelType w:val="hybridMultilevel"/>
    <w:tmpl w:val="742426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402512C0"/>
    <w:multiLevelType w:val="hybridMultilevel"/>
    <w:tmpl w:val="0372A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4A148B"/>
    <w:multiLevelType w:val="hybridMultilevel"/>
    <w:tmpl w:val="FC90C7DA"/>
    <w:lvl w:ilvl="0" w:tplc="59463C12">
      <w:start w:val="6"/>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2553D9F"/>
    <w:multiLevelType w:val="multilevel"/>
    <w:tmpl w:val="A6FA45D0"/>
    <w:numStyleLink w:val="BulletsList"/>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46120B6"/>
    <w:multiLevelType w:val="hybridMultilevel"/>
    <w:tmpl w:val="28B2897A"/>
    <w:lvl w:ilvl="0" w:tplc="7DBE6250">
      <w:numFmt w:val="bullet"/>
      <w:lvlText w:val="-"/>
      <w:lvlJc w:val="left"/>
      <w:pPr>
        <w:ind w:left="1080" w:hanging="360"/>
      </w:pPr>
      <w:rPr>
        <w:rFonts w:ascii="Calibri Light" w:eastAsiaTheme="minorHAnsi"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52E67BE"/>
    <w:multiLevelType w:val="hybridMultilevel"/>
    <w:tmpl w:val="F3E8C302"/>
    <w:lvl w:ilvl="0" w:tplc="7DBE6250">
      <w:numFmt w:val="bullet"/>
      <w:lvlText w:val="-"/>
      <w:lvlJc w:val="left"/>
      <w:pPr>
        <w:ind w:left="786" w:hanging="360"/>
      </w:pPr>
      <w:rPr>
        <w:rFonts w:ascii="Calibri Light" w:eastAsiaTheme="minorHAnsi"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F8635C4"/>
    <w:multiLevelType w:val="hybridMultilevel"/>
    <w:tmpl w:val="DB6EBB7E"/>
    <w:lvl w:ilvl="0" w:tplc="2FE6F984">
      <w:numFmt w:val="bullet"/>
      <w:lvlText w:val="-"/>
      <w:lvlJc w:val="left"/>
      <w:pPr>
        <w:ind w:left="720" w:hanging="360"/>
      </w:pPr>
      <w:rPr>
        <w:rFonts w:ascii="Calibri" w:eastAsia="Calibri" w:hAnsi="Calibri" w:cs="Calibri" w:hint="default"/>
        <w:sz w:val="1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E194DA5"/>
    <w:multiLevelType w:val="hybridMultilevel"/>
    <w:tmpl w:val="63088046"/>
    <w:lvl w:ilvl="0" w:tplc="91E68B38">
      <w:start w:val="1"/>
      <w:numFmt w:val="decimal"/>
      <w:lvlText w:val="%1."/>
      <w:lvlJc w:val="left"/>
      <w:pPr>
        <w:ind w:left="1080" w:hanging="360"/>
      </w:pPr>
      <w:rPr>
        <w:color w:val="44546A"/>
        <w:sz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20"/>
  </w:num>
  <w:num w:numId="2">
    <w:abstractNumId w:val="1"/>
  </w:num>
  <w:num w:numId="3">
    <w:abstractNumId w:val="11"/>
  </w:num>
  <w:num w:numId="4">
    <w:abstractNumId w:val="15"/>
  </w:num>
  <w:num w:numId="5">
    <w:abstractNumId w:val="16"/>
  </w:num>
  <w:num w:numId="6">
    <w:abstractNumId w:val="11"/>
  </w:num>
  <w:num w:numId="7">
    <w:abstractNumId w:val="1"/>
  </w:num>
  <w:num w:numId="8">
    <w:abstractNumId w:val="6"/>
  </w:num>
  <w:num w:numId="9">
    <w:abstractNumId w:val="21"/>
  </w:num>
  <w:num w:numId="10">
    <w:abstractNumId w:val="14"/>
  </w:num>
  <w:num w:numId="11">
    <w:abstractNumId w:val="10"/>
  </w:num>
  <w:num w:numId="12">
    <w:abstractNumId w:val="12"/>
  </w:num>
  <w:num w:numId="13">
    <w:abstractNumId w:val="5"/>
  </w:num>
  <w:num w:numId="14">
    <w:abstractNumId w:val="3"/>
  </w:num>
  <w:num w:numId="15">
    <w:abstractNumId w:val="8"/>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2"/>
  </w:num>
  <w:num w:numId="28">
    <w:abstractNumId w:val="19"/>
  </w:num>
  <w:num w:numId="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2A9F"/>
    <w:rsid w:val="00015783"/>
    <w:rsid w:val="0002080A"/>
    <w:rsid w:val="0002782F"/>
    <w:rsid w:val="00035BBF"/>
    <w:rsid w:val="00040DF1"/>
    <w:rsid w:val="00050806"/>
    <w:rsid w:val="000546D9"/>
    <w:rsid w:val="00054AAA"/>
    <w:rsid w:val="00054E4D"/>
    <w:rsid w:val="00060073"/>
    <w:rsid w:val="0006067F"/>
    <w:rsid w:val="000616C6"/>
    <w:rsid w:val="00071788"/>
    <w:rsid w:val="00075322"/>
    <w:rsid w:val="00076E8C"/>
    <w:rsid w:val="000846B9"/>
    <w:rsid w:val="000854FD"/>
    <w:rsid w:val="000A04EF"/>
    <w:rsid w:val="000A3256"/>
    <w:rsid w:val="000B1EB2"/>
    <w:rsid w:val="000B37F5"/>
    <w:rsid w:val="000C186E"/>
    <w:rsid w:val="000C34D3"/>
    <w:rsid w:val="000C5205"/>
    <w:rsid w:val="000D2FA0"/>
    <w:rsid w:val="000D66D6"/>
    <w:rsid w:val="000F7455"/>
    <w:rsid w:val="00110C81"/>
    <w:rsid w:val="00113288"/>
    <w:rsid w:val="001170AC"/>
    <w:rsid w:val="001214BE"/>
    <w:rsid w:val="0013101C"/>
    <w:rsid w:val="00135AFC"/>
    <w:rsid w:val="00142219"/>
    <w:rsid w:val="001461D6"/>
    <w:rsid w:val="001541EA"/>
    <w:rsid w:val="001616D0"/>
    <w:rsid w:val="00162B51"/>
    <w:rsid w:val="001815B0"/>
    <w:rsid w:val="001907AA"/>
    <w:rsid w:val="001962F2"/>
    <w:rsid w:val="001A7ED5"/>
    <w:rsid w:val="001B1DA7"/>
    <w:rsid w:val="001C50B3"/>
    <w:rsid w:val="001D01A6"/>
    <w:rsid w:val="001D663E"/>
    <w:rsid w:val="001E1DC0"/>
    <w:rsid w:val="00203277"/>
    <w:rsid w:val="00205B2E"/>
    <w:rsid w:val="002068B7"/>
    <w:rsid w:val="002069F7"/>
    <w:rsid w:val="00213A46"/>
    <w:rsid w:val="0022631C"/>
    <w:rsid w:val="00230777"/>
    <w:rsid w:val="00233385"/>
    <w:rsid w:val="0023370D"/>
    <w:rsid w:val="00235EAB"/>
    <w:rsid w:val="00252C04"/>
    <w:rsid w:val="002646C3"/>
    <w:rsid w:val="00265C05"/>
    <w:rsid w:val="00265DDB"/>
    <w:rsid w:val="00276A54"/>
    <w:rsid w:val="0028557E"/>
    <w:rsid w:val="0028602A"/>
    <w:rsid w:val="00294BF3"/>
    <w:rsid w:val="002A7F56"/>
    <w:rsid w:val="002B5E10"/>
    <w:rsid w:val="002C793D"/>
    <w:rsid w:val="002C7F1E"/>
    <w:rsid w:val="002D5B25"/>
    <w:rsid w:val="002F4F2B"/>
    <w:rsid w:val="003002C0"/>
    <w:rsid w:val="00301144"/>
    <w:rsid w:val="003031C6"/>
    <w:rsid w:val="00304984"/>
    <w:rsid w:val="00312BF8"/>
    <w:rsid w:val="003148B7"/>
    <w:rsid w:val="003158C3"/>
    <w:rsid w:val="00315EB4"/>
    <w:rsid w:val="00322060"/>
    <w:rsid w:val="00322D01"/>
    <w:rsid w:val="003274CD"/>
    <w:rsid w:val="00327E82"/>
    <w:rsid w:val="00330E12"/>
    <w:rsid w:val="00331E78"/>
    <w:rsid w:val="00333501"/>
    <w:rsid w:val="003365E4"/>
    <w:rsid w:val="003457C4"/>
    <w:rsid w:val="003500CF"/>
    <w:rsid w:val="0035119D"/>
    <w:rsid w:val="00365569"/>
    <w:rsid w:val="00372FC5"/>
    <w:rsid w:val="003753EF"/>
    <w:rsid w:val="00384D40"/>
    <w:rsid w:val="00390828"/>
    <w:rsid w:val="0039344A"/>
    <w:rsid w:val="00395163"/>
    <w:rsid w:val="003A3F96"/>
    <w:rsid w:val="003B4F12"/>
    <w:rsid w:val="003B5F47"/>
    <w:rsid w:val="003D1732"/>
    <w:rsid w:val="003D4C6F"/>
    <w:rsid w:val="003E2FD2"/>
    <w:rsid w:val="003E4BCA"/>
    <w:rsid w:val="003E7048"/>
    <w:rsid w:val="003E729C"/>
    <w:rsid w:val="003F1097"/>
    <w:rsid w:val="003F2041"/>
    <w:rsid w:val="00402ACC"/>
    <w:rsid w:val="00406849"/>
    <w:rsid w:val="004120EC"/>
    <w:rsid w:val="00423F31"/>
    <w:rsid w:val="00431899"/>
    <w:rsid w:val="004407FB"/>
    <w:rsid w:val="00442055"/>
    <w:rsid w:val="00452298"/>
    <w:rsid w:val="00480ADD"/>
    <w:rsid w:val="00482AE8"/>
    <w:rsid w:val="0048492D"/>
    <w:rsid w:val="00486804"/>
    <w:rsid w:val="004939C4"/>
    <w:rsid w:val="00494F98"/>
    <w:rsid w:val="004A1F83"/>
    <w:rsid w:val="004A258D"/>
    <w:rsid w:val="004A78C0"/>
    <w:rsid w:val="004B1618"/>
    <w:rsid w:val="004B3053"/>
    <w:rsid w:val="004B3775"/>
    <w:rsid w:val="004C5598"/>
    <w:rsid w:val="004C6342"/>
    <w:rsid w:val="004C7206"/>
    <w:rsid w:val="004D0BA0"/>
    <w:rsid w:val="004E058F"/>
    <w:rsid w:val="004E3B87"/>
    <w:rsid w:val="004E4251"/>
    <w:rsid w:val="004E7565"/>
    <w:rsid w:val="004F08FE"/>
    <w:rsid w:val="00505577"/>
    <w:rsid w:val="00510921"/>
    <w:rsid w:val="00510AD3"/>
    <w:rsid w:val="00513348"/>
    <w:rsid w:val="00513AD8"/>
    <w:rsid w:val="005204D2"/>
    <w:rsid w:val="00522396"/>
    <w:rsid w:val="00526859"/>
    <w:rsid w:val="00533B5D"/>
    <w:rsid w:val="0054728C"/>
    <w:rsid w:val="005613C7"/>
    <w:rsid w:val="00591B5F"/>
    <w:rsid w:val="005A20F6"/>
    <w:rsid w:val="005B55E8"/>
    <w:rsid w:val="005B7393"/>
    <w:rsid w:val="005C663B"/>
    <w:rsid w:val="005D06B1"/>
    <w:rsid w:val="005D3655"/>
    <w:rsid w:val="005D5120"/>
    <w:rsid w:val="005E4830"/>
    <w:rsid w:val="005F1553"/>
    <w:rsid w:val="005F2F27"/>
    <w:rsid w:val="005F42E6"/>
    <w:rsid w:val="00622B86"/>
    <w:rsid w:val="00623BA1"/>
    <w:rsid w:val="006246BD"/>
    <w:rsid w:val="006310FC"/>
    <w:rsid w:val="006346BC"/>
    <w:rsid w:val="00647E7A"/>
    <w:rsid w:val="00651213"/>
    <w:rsid w:val="00660121"/>
    <w:rsid w:val="0066605A"/>
    <w:rsid w:val="0066652A"/>
    <w:rsid w:val="00667907"/>
    <w:rsid w:val="006719C3"/>
    <w:rsid w:val="0067788C"/>
    <w:rsid w:val="00680522"/>
    <w:rsid w:val="00682167"/>
    <w:rsid w:val="006C3302"/>
    <w:rsid w:val="006C42AF"/>
    <w:rsid w:val="006E716D"/>
    <w:rsid w:val="006F1E14"/>
    <w:rsid w:val="006F7ED0"/>
    <w:rsid w:val="007031B5"/>
    <w:rsid w:val="00705A82"/>
    <w:rsid w:val="00711163"/>
    <w:rsid w:val="00711D8E"/>
    <w:rsid w:val="00712672"/>
    <w:rsid w:val="00715351"/>
    <w:rsid w:val="007170A0"/>
    <w:rsid w:val="00720E58"/>
    <w:rsid w:val="00734E3F"/>
    <w:rsid w:val="00736985"/>
    <w:rsid w:val="0074157D"/>
    <w:rsid w:val="007439CA"/>
    <w:rsid w:val="00745DF5"/>
    <w:rsid w:val="00757324"/>
    <w:rsid w:val="0075756A"/>
    <w:rsid w:val="0076250F"/>
    <w:rsid w:val="007706B8"/>
    <w:rsid w:val="00774EE4"/>
    <w:rsid w:val="007753A5"/>
    <w:rsid w:val="00780FA5"/>
    <w:rsid w:val="00790171"/>
    <w:rsid w:val="0079361F"/>
    <w:rsid w:val="007A5328"/>
    <w:rsid w:val="007A6663"/>
    <w:rsid w:val="007B06DC"/>
    <w:rsid w:val="007B59BC"/>
    <w:rsid w:val="007B6200"/>
    <w:rsid w:val="007E0361"/>
    <w:rsid w:val="007E3FF9"/>
    <w:rsid w:val="007E4969"/>
    <w:rsid w:val="007F3395"/>
    <w:rsid w:val="00801B9F"/>
    <w:rsid w:val="0080204D"/>
    <w:rsid w:val="00805B9C"/>
    <w:rsid w:val="00810213"/>
    <w:rsid w:val="00817DE6"/>
    <w:rsid w:val="00823B7F"/>
    <w:rsid w:val="00826DDF"/>
    <w:rsid w:val="0083052F"/>
    <w:rsid w:val="008475F0"/>
    <w:rsid w:val="0085137D"/>
    <w:rsid w:val="00854659"/>
    <w:rsid w:val="008557A7"/>
    <w:rsid w:val="008651A2"/>
    <w:rsid w:val="00870928"/>
    <w:rsid w:val="00880AFF"/>
    <w:rsid w:val="00885A62"/>
    <w:rsid w:val="0089405C"/>
    <w:rsid w:val="00897FA2"/>
    <w:rsid w:val="008A18E9"/>
    <w:rsid w:val="008A5AFE"/>
    <w:rsid w:val="008B3B52"/>
    <w:rsid w:val="008C37AA"/>
    <w:rsid w:val="008C48F9"/>
    <w:rsid w:val="008C5A0E"/>
    <w:rsid w:val="008F0C1D"/>
    <w:rsid w:val="00901C05"/>
    <w:rsid w:val="00922D92"/>
    <w:rsid w:val="00927172"/>
    <w:rsid w:val="009278D2"/>
    <w:rsid w:val="00935ABC"/>
    <w:rsid w:val="00943730"/>
    <w:rsid w:val="0095053A"/>
    <w:rsid w:val="00961E72"/>
    <w:rsid w:val="00975CA5"/>
    <w:rsid w:val="00977676"/>
    <w:rsid w:val="00980574"/>
    <w:rsid w:val="00983AED"/>
    <w:rsid w:val="00986590"/>
    <w:rsid w:val="00992C76"/>
    <w:rsid w:val="009969D6"/>
    <w:rsid w:val="009A0908"/>
    <w:rsid w:val="009A3DD2"/>
    <w:rsid w:val="009B12DA"/>
    <w:rsid w:val="009B3DA5"/>
    <w:rsid w:val="009B4D3B"/>
    <w:rsid w:val="009B7942"/>
    <w:rsid w:val="009D57C0"/>
    <w:rsid w:val="009D7407"/>
    <w:rsid w:val="009E0866"/>
    <w:rsid w:val="009E273C"/>
    <w:rsid w:val="009F1350"/>
    <w:rsid w:val="009F6423"/>
    <w:rsid w:val="009F713D"/>
    <w:rsid w:val="00A11C2D"/>
    <w:rsid w:val="00A175B3"/>
    <w:rsid w:val="00A20E4F"/>
    <w:rsid w:val="00A24A62"/>
    <w:rsid w:val="00A31C9F"/>
    <w:rsid w:val="00A35285"/>
    <w:rsid w:val="00A4144F"/>
    <w:rsid w:val="00A61B4D"/>
    <w:rsid w:val="00A63917"/>
    <w:rsid w:val="00A76BF1"/>
    <w:rsid w:val="00A80F95"/>
    <w:rsid w:val="00A91795"/>
    <w:rsid w:val="00A940CA"/>
    <w:rsid w:val="00A97BF1"/>
    <w:rsid w:val="00AA14F8"/>
    <w:rsid w:val="00AA298A"/>
    <w:rsid w:val="00AA315B"/>
    <w:rsid w:val="00AB01C9"/>
    <w:rsid w:val="00AB376E"/>
    <w:rsid w:val="00AB4389"/>
    <w:rsid w:val="00AC164A"/>
    <w:rsid w:val="00AC68FC"/>
    <w:rsid w:val="00AD309B"/>
    <w:rsid w:val="00AE448A"/>
    <w:rsid w:val="00AF2050"/>
    <w:rsid w:val="00B01342"/>
    <w:rsid w:val="00B0385D"/>
    <w:rsid w:val="00B03CA8"/>
    <w:rsid w:val="00B05089"/>
    <w:rsid w:val="00B06354"/>
    <w:rsid w:val="00B120ED"/>
    <w:rsid w:val="00B14C5B"/>
    <w:rsid w:val="00B16FE3"/>
    <w:rsid w:val="00B33C0A"/>
    <w:rsid w:val="00B55E19"/>
    <w:rsid w:val="00B637DD"/>
    <w:rsid w:val="00B6495A"/>
    <w:rsid w:val="00B66722"/>
    <w:rsid w:val="00B70B50"/>
    <w:rsid w:val="00B824D7"/>
    <w:rsid w:val="00B84037"/>
    <w:rsid w:val="00B927C4"/>
    <w:rsid w:val="00B94758"/>
    <w:rsid w:val="00BA0538"/>
    <w:rsid w:val="00BA4B6D"/>
    <w:rsid w:val="00BA7642"/>
    <w:rsid w:val="00BB26C5"/>
    <w:rsid w:val="00BC31BD"/>
    <w:rsid w:val="00BD2CB3"/>
    <w:rsid w:val="00BE705D"/>
    <w:rsid w:val="00BF3436"/>
    <w:rsid w:val="00BF4DE6"/>
    <w:rsid w:val="00C05382"/>
    <w:rsid w:val="00C06B13"/>
    <w:rsid w:val="00C203C4"/>
    <w:rsid w:val="00C22490"/>
    <w:rsid w:val="00C27D25"/>
    <w:rsid w:val="00C32299"/>
    <w:rsid w:val="00C42541"/>
    <w:rsid w:val="00C42CDE"/>
    <w:rsid w:val="00C43CDB"/>
    <w:rsid w:val="00C5182A"/>
    <w:rsid w:val="00C63EE9"/>
    <w:rsid w:val="00C91A0D"/>
    <w:rsid w:val="00C93A6C"/>
    <w:rsid w:val="00CA16F3"/>
    <w:rsid w:val="00CA37B1"/>
    <w:rsid w:val="00CB1959"/>
    <w:rsid w:val="00CB2B71"/>
    <w:rsid w:val="00CB38AD"/>
    <w:rsid w:val="00CB6402"/>
    <w:rsid w:val="00CC741B"/>
    <w:rsid w:val="00CD0E4B"/>
    <w:rsid w:val="00CE4728"/>
    <w:rsid w:val="00CE4C89"/>
    <w:rsid w:val="00CF07BA"/>
    <w:rsid w:val="00CF6C83"/>
    <w:rsid w:val="00D00153"/>
    <w:rsid w:val="00D012D2"/>
    <w:rsid w:val="00D0296C"/>
    <w:rsid w:val="00D0727D"/>
    <w:rsid w:val="00D32D6F"/>
    <w:rsid w:val="00D37560"/>
    <w:rsid w:val="00D37B04"/>
    <w:rsid w:val="00D5064A"/>
    <w:rsid w:val="00D540C6"/>
    <w:rsid w:val="00D64BD1"/>
    <w:rsid w:val="00D65749"/>
    <w:rsid w:val="00D75D4C"/>
    <w:rsid w:val="00D813DF"/>
    <w:rsid w:val="00D84D14"/>
    <w:rsid w:val="00D92254"/>
    <w:rsid w:val="00D93BC6"/>
    <w:rsid w:val="00DB7781"/>
    <w:rsid w:val="00DD246D"/>
    <w:rsid w:val="00DE084C"/>
    <w:rsid w:val="00E00921"/>
    <w:rsid w:val="00E05082"/>
    <w:rsid w:val="00E056FF"/>
    <w:rsid w:val="00E14F51"/>
    <w:rsid w:val="00E16165"/>
    <w:rsid w:val="00E357B7"/>
    <w:rsid w:val="00E53800"/>
    <w:rsid w:val="00E55262"/>
    <w:rsid w:val="00E56058"/>
    <w:rsid w:val="00E6081F"/>
    <w:rsid w:val="00E655FE"/>
    <w:rsid w:val="00E8296D"/>
    <w:rsid w:val="00E8457B"/>
    <w:rsid w:val="00E871BD"/>
    <w:rsid w:val="00EA04B2"/>
    <w:rsid w:val="00EA20F3"/>
    <w:rsid w:val="00EB1DE5"/>
    <w:rsid w:val="00EB398C"/>
    <w:rsid w:val="00EB43D4"/>
    <w:rsid w:val="00EC3C2D"/>
    <w:rsid w:val="00EC53BA"/>
    <w:rsid w:val="00ED2831"/>
    <w:rsid w:val="00ED43D1"/>
    <w:rsid w:val="00ED76AD"/>
    <w:rsid w:val="00EE1027"/>
    <w:rsid w:val="00EE25F4"/>
    <w:rsid w:val="00EE4EE1"/>
    <w:rsid w:val="00EF4574"/>
    <w:rsid w:val="00EF5FB3"/>
    <w:rsid w:val="00F14B65"/>
    <w:rsid w:val="00F21860"/>
    <w:rsid w:val="00F25A93"/>
    <w:rsid w:val="00F2684E"/>
    <w:rsid w:val="00F30087"/>
    <w:rsid w:val="00F366DB"/>
    <w:rsid w:val="00F4607F"/>
    <w:rsid w:val="00F51385"/>
    <w:rsid w:val="00F5404C"/>
    <w:rsid w:val="00F617F9"/>
    <w:rsid w:val="00F6463C"/>
    <w:rsid w:val="00F729EF"/>
    <w:rsid w:val="00F744A2"/>
    <w:rsid w:val="00F74546"/>
    <w:rsid w:val="00F77CAE"/>
    <w:rsid w:val="00F82271"/>
    <w:rsid w:val="00F83428"/>
    <w:rsid w:val="00F950F7"/>
    <w:rsid w:val="00F96BB9"/>
    <w:rsid w:val="00FA69AF"/>
    <w:rsid w:val="00FA7833"/>
    <w:rsid w:val="00FB2753"/>
    <w:rsid w:val="00FB34D0"/>
    <w:rsid w:val="00FB6D8C"/>
    <w:rsid w:val="00FC322F"/>
    <w:rsid w:val="00FD7A86"/>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AACC80"/>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C7F1E"/>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91A0D"/>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91A0D"/>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91A0D"/>
    <w:pPr>
      <w:spacing w:before="0" w:after="0" w:line="240" w:lineRule="exact"/>
      <w:ind w:left="284" w:right="284"/>
    </w:pPr>
    <w:rPr>
      <w:color w:val="auto"/>
    </w:rPr>
  </w:style>
  <w:style w:type="character" w:customStyle="1" w:styleId="FooterChar">
    <w:name w:val="Footer Char"/>
    <w:basedOn w:val="DefaultParagraphFont"/>
    <w:link w:val="Footer"/>
    <w:uiPriority w:val="99"/>
    <w:rsid w:val="00C91A0D"/>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C91A0D"/>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BE705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E705D"/>
    <w:rPr>
      <w:color w:val="495965" w:themeColor="text2"/>
      <w:sz w:val="20"/>
      <w:szCs w:val="20"/>
      <w:lang w:val="en-GB"/>
    </w:rPr>
  </w:style>
  <w:style w:type="character" w:styleId="EndnoteReference">
    <w:name w:val="endnote reference"/>
    <w:basedOn w:val="DefaultParagraphFont"/>
    <w:uiPriority w:val="99"/>
    <w:semiHidden/>
    <w:unhideWhenUsed/>
    <w:rsid w:val="00BE7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134222562">
      <w:bodyDiv w:val="1"/>
      <w:marLeft w:val="0"/>
      <w:marRight w:val="0"/>
      <w:marTop w:val="0"/>
      <w:marBottom w:val="0"/>
      <w:divBdr>
        <w:top w:val="none" w:sz="0" w:space="0" w:color="auto"/>
        <w:left w:val="none" w:sz="0" w:space="0" w:color="auto"/>
        <w:bottom w:val="none" w:sz="0" w:space="0" w:color="auto"/>
        <w:right w:val="none" w:sz="0" w:space="0" w:color="auto"/>
      </w:divBdr>
    </w:div>
    <w:div w:id="143546832">
      <w:bodyDiv w:val="1"/>
      <w:marLeft w:val="0"/>
      <w:marRight w:val="0"/>
      <w:marTop w:val="0"/>
      <w:marBottom w:val="0"/>
      <w:divBdr>
        <w:top w:val="none" w:sz="0" w:space="0" w:color="auto"/>
        <w:left w:val="none" w:sz="0" w:space="0" w:color="auto"/>
        <w:bottom w:val="none" w:sz="0" w:space="0" w:color="auto"/>
        <w:right w:val="none" w:sz="0" w:space="0" w:color="auto"/>
      </w:divBdr>
    </w:div>
    <w:div w:id="207378788">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13693394">
      <w:bodyDiv w:val="1"/>
      <w:marLeft w:val="0"/>
      <w:marRight w:val="0"/>
      <w:marTop w:val="0"/>
      <w:marBottom w:val="0"/>
      <w:divBdr>
        <w:top w:val="none" w:sz="0" w:space="0" w:color="auto"/>
        <w:left w:val="none" w:sz="0" w:space="0" w:color="auto"/>
        <w:bottom w:val="none" w:sz="0" w:space="0" w:color="auto"/>
        <w:right w:val="none" w:sz="0" w:space="0" w:color="auto"/>
      </w:divBdr>
    </w:div>
    <w:div w:id="851838107">
      <w:bodyDiv w:val="1"/>
      <w:marLeft w:val="0"/>
      <w:marRight w:val="0"/>
      <w:marTop w:val="0"/>
      <w:marBottom w:val="0"/>
      <w:divBdr>
        <w:top w:val="none" w:sz="0" w:space="0" w:color="auto"/>
        <w:left w:val="none" w:sz="0" w:space="0" w:color="auto"/>
        <w:bottom w:val="none" w:sz="0" w:space="0" w:color="auto"/>
        <w:right w:val="none" w:sz="0" w:space="0" w:color="auto"/>
      </w:divBdr>
    </w:div>
    <w:div w:id="867107895">
      <w:bodyDiv w:val="1"/>
      <w:marLeft w:val="0"/>
      <w:marRight w:val="0"/>
      <w:marTop w:val="0"/>
      <w:marBottom w:val="0"/>
      <w:divBdr>
        <w:top w:val="none" w:sz="0" w:space="0" w:color="auto"/>
        <w:left w:val="none" w:sz="0" w:space="0" w:color="auto"/>
        <w:bottom w:val="none" w:sz="0" w:space="0" w:color="auto"/>
        <w:right w:val="none" w:sz="0" w:space="0" w:color="auto"/>
      </w:divBdr>
    </w:div>
    <w:div w:id="915289052">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189685504">
      <w:bodyDiv w:val="1"/>
      <w:marLeft w:val="0"/>
      <w:marRight w:val="0"/>
      <w:marTop w:val="0"/>
      <w:marBottom w:val="0"/>
      <w:divBdr>
        <w:top w:val="none" w:sz="0" w:space="0" w:color="auto"/>
        <w:left w:val="none" w:sz="0" w:space="0" w:color="auto"/>
        <w:bottom w:val="none" w:sz="0" w:space="0" w:color="auto"/>
        <w:right w:val="none" w:sz="0" w:space="0" w:color="auto"/>
      </w:divBdr>
    </w:div>
    <w:div w:id="119553765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344429617">
      <w:bodyDiv w:val="1"/>
      <w:marLeft w:val="0"/>
      <w:marRight w:val="0"/>
      <w:marTop w:val="0"/>
      <w:marBottom w:val="0"/>
      <w:divBdr>
        <w:top w:val="none" w:sz="0" w:space="0" w:color="auto"/>
        <w:left w:val="none" w:sz="0" w:space="0" w:color="auto"/>
        <w:bottom w:val="none" w:sz="0" w:space="0" w:color="auto"/>
        <w:right w:val="none" w:sz="0" w:space="0" w:color="auto"/>
      </w:divBdr>
    </w:div>
    <w:div w:id="1512453904">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8350488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906185555">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8091545">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0326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4B631-7640-4A17-8550-BEE8955DE750}">
  <ds:schemaRefs>
    <ds:schemaRef ds:uri="http://schemas.microsoft.com/office/2006/documentManagement/types"/>
    <ds:schemaRef ds:uri="http://purl.org/dc/dcmitype/"/>
    <ds:schemaRef ds:uri="http://schemas.microsoft.com/office/infopath/2007/PartnerControls"/>
    <ds:schemaRef ds:uri="6b894c73-1921-4299-aefc-49f5a4cb1310"/>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746353-B208-4923-9E0D-12F98EEE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2020-09-16T00:46:00Z</cp:lastPrinted>
  <dcterms:created xsi:type="dcterms:W3CDTF">2020-11-03T06:08:00Z</dcterms:created>
  <dcterms:modified xsi:type="dcterms:W3CDTF">2020-11-17T05:10:00Z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d2138555-719a-445a-82cc-41802035ac5d</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