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65B" w:rsidRPr="009201BE" w:rsidRDefault="00CF17D8" w:rsidP="00823AD4">
      <w:pPr>
        <w:pStyle w:val="Title"/>
        <w:spacing w:before="240"/>
        <w:ind w:right="-703"/>
        <w:rPr>
          <w:color w:val="AD495D"/>
        </w:rPr>
      </w:pPr>
      <w:r>
        <w:rPr>
          <w:noProof/>
          <w:color w:val="AD495D"/>
          <w:lang w:val="en-US" w:eastAsia="en-US"/>
        </w:rPr>
        <w:drawing>
          <wp:anchor distT="0" distB="0" distL="114300" distR="114300" simplePos="0" relativeHeight="251656192" behindDoc="1" locked="0" layoutInCell="1" allowOverlap="1">
            <wp:simplePos x="0" y="0"/>
            <wp:positionH relativeFrom="page">
              <wp:posOffset>0</wp:posOffset>
            </wp:positionH>
            <wp:positionV relativeFrom="page">
              <wp:posOffset>0</wp:posOffset>
            </wp:positionV>
            <wp:extent cx="7560310" cy="3024505"/>
            <wp:effectExtent l="0" t="0" r="2540" b="4445"/>
            <wp:wrapNone/>
            <wp:docPr id="10" name="Picture 2" descr="Australian Government logo. Aus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0310" cy="3024505"/>
                    </a:xfrm>
                    <a:prstGeom prst="rect">
                      <a:avLst/>
                    </a:prstGeom>
                    <a:noFill/>
                    <a:ln>
                      <a:noFill/>
                    </a:ln>
                  </pic:spPr>
                </pic:pic>
              </a:graphicData>
            </a:graphic>
            <wp14:sizeRelH relativeFrom="page">
              <wp14:pctWidth>0</wp14:pctWidth>
            </wp14:sizeRelH>
            <wp14:sizeRelV relativeFrom="page">
              <wp14:pctHeight>0</wp14:pctHeight>
            </wp14:sizeRelV>
          </wp:anchor>
        </w:drawing>
      </w:r>
      <w:r w:rsidR="009445F8">
        <w:rPr>
          <w:color w:val="AD495D"/>
        </w:rPr>
        <w:t>Fiji</w:t>
      </w:r>
      <w:r w:rsidR="0035177E">
        <w:rPr>
          <w:color w:val="AD495D"/>
        </w:rPr>
        <w:t xml:space="preserve"> Development Cooperation Report 2010</w:t>
      </w:r>
    </w:p>
    <w:p w:rsidR="0094365B" w:rsidRPr="009201BE" w:rsidRDefault="0035177E">
      <w:pPr>
        <w:pStyle w:val="Date"/>
        <w:rPr>
          <w:color w:val="AD495D"/>
        </w:rPr>
      </w:pPr>
      <w:r>
        <w:rPr>
          <w:color w:val="AD495D"/>
        </w:rPr>
        <w:t>August 2011</w:t>
      </w:r>
    </w:p>
    <w:p w:rsidR="003F04D6" w:rsidRDefault="003F04D6">
      <w:pPr>
        <w:pStyle w:val="TOCHeading"/>
      </w:pPr>
      <w:r>
        <w:t>Contents</w:t>
      </w:r>
    </w:p>
    <w:p w:rsidR="003F04D6" w:rsidRDefault="003F04D6">
      <w:pPr>
        <w:pStyle w:val="TOC1"/>
        <w:rPr>
          <w:rFonts w:ascii="Calibri" w:hAnsi="Calibri" w:cs="Arial"/>
          <w:noProof/>
          <w:color w:val="auto"/>
          <w:sz w:val="22"/>
          <w:szCs w:val="22"/>
          <w:lang w:val="en-US" w:eastAsia="en-US"/>
        </w:rPr>
      </w:pPr>
      <w:r>
        <w:fldChar w:fldCharType="begin"/>
      </w:r>
      <w:r>
        <w:instrText xml:space="preserve"> TOC \o "1-3" \h \z \u </w:instrText>
      </w:r>
      <w:r>
        <w:fldChar w:fldCharType="separate"/>
      </w:r>
      <w:hyperlink w:anchor="_Toc360976509" w:history="1">
        <w:r w:rsidRPr="00D54922">
          <w:rPr>
            <w:rStyle w:val="Hyperlink"/>
            <w:noProof/>
          </w:rPr>
          <w:t>Summary</w:t>
        </w:r>
        <w:r>
          <w:rPr>
            <w:noProof/>
            <w:webHidden/>
          </w:rPr>
          <w:tab/>
        </w:r>
        <w:r>
          <w:rPr>
            <w:rStyle w:val="Hyperlink"/>
            <w:noProof/>
            <w:rtl/>
          </w:rPr>
          <w:fldChar w:fldCharType="begin"/>
        </w:r>
        <w:r>
          <w:rPr>
            <w:noProof/>
            <w:webHidden/>
          </w:rPr>
          <w:instrText xml:space="preserve"> PAGEREF _Toc360976509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rsidR="003F04D6" w:rsidRDefault="003F04D6">
      <w:pPr>
        <w:pStyle w:val="TOC1"/>
        <w:rPr>
          <w:rFonts w:ascii="Calibri" w:hAnsi="Calibri" w:cs="Arial"/>
          <w:noProof/>
          <w:color w:val="auto"/>
          <w:sz w:val="22"/>
          <w:szCs w:val="22"/>
          <w:lang w:val="en-US" w:eastAsia="en-US"/>
        </w:rPr>
      </w:pPr>
      <w:hyperlink w:anchor="_Toc360976510" w:history="1">
        <w:r w:rsidRPr="00D54922">
          <w:rPr>
            <w:rStyle w:val="Hyperlink"/>
            <w:noProof/>
          </w:rPr>
          <w:t>Context</w:t>
        </w:r>
        <w:r>
          <w:rPr>
            <w:noProof/>
            <w:webHidden/>
          </w:rPr>
          <w:tab/>
        </w:r>
        <w:r>
          <w:rPr>
            <w:rStyle w:val="Hyperlink"/>
            <w:noProof/>
            <w:rtl/>
          </w:rPr>
          <w:fldChar w:fldCharType="begin"/>
        </w:r>
        <w:r>
          <w:rPr>
            <w:noProof/>
            <w:webHidden/>
          </w:rPr>
          <w:instrText xml:space="preserve"> PAGEREF _Toc360976510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rsidR="003F04D6" w:rsidRDefault="003F04D6">
      <w:pPr>
        <w:pStyle w:val="TOC1"/>
        <w:rPr>
          <w:rFonts w:ascii="Calibri" w:hAnsi="Calibri" w:cs="Arial"/>
          <w:noProof/>
          <w:color w:val="auto"/>
          <w:sz w:val="22"/>
          <w:szCs w:val="22"/>
          <w:lang w:val="en-US" w:eastAsia="en-US"/>
        </w:rPr>
      </w:pPr>
      <w:hyperlink w:anchor="_Toc360976511" w:history="1">
        <w:r w:rsidRPr="00D54922">
          <w:rPr>
            <w:rStyle w:val="Hyperlink"/>
            <w:noProof/>
          </w:rPr>
          <w:t>Program objectives</w:t>
        </w:r>
        <w:r>
          <w:rPr>
            <w:noProof/>
            <w:webHidden/>
          </w:rPr>
          <w:tab/>
        </w:r>
        <w:r>
          <w:rPr>
            <w:rStyle w:val="Hyperlink"/>
            <w:noProof/>
            <w:rtl/>
          </w:rPr>
          <w:fldChar w:fldCharType="begin"/>
        </w:r>
        <w:r>
          <w:rPr>
            <w:noProof/>
            <w:webHidden/>
          </w:rPr>
          <w:instrText xml:space="preserve"> PAGEREF _Toc360976511 \h </w:instrText>
        </w:r>
        <w:r>
          <w:rPr>
            <w:rStyle w:val="Hyperlink"/>
            <w:noProof/>
            <w:rtl/>
          </w:rPr>
        </w:r>
        <w:r>
          <w:rPr>
            <w:rStyle w:val="Hyperlink"/>
            <w:noProof/>
            <w:rtl/>
          </w:rPr>
          <w:fldChar w:fldCharType="separate"/>
        </w:r>
        <w:r>
          <w:rPr>
            <w:noProof/>
            <w:webHidden/>
          </w:rPr>
          <w:t>2</w:t>
        </w:r>
        <w:r>
          <w:rPr>
            <w:rStyle w:val="Hyperlink"/>
            <w:noProof/>
            <w:rtl/>
          </w:rPr>
          <w:fldChar w:fldCharType="end"/>
        </w:r>
      </w:hyperlink>
    </w:p>
    <w:p w:rsidR="003F04D6" w:rsidRDefault="003F04D6">
      <w:pPr>
        <w:pStyle w:val="TOC2"/>
        <w:rPr>
          <w:rFonts w:ascii="Calibri" w:hAnsi="Calibri" w:cs="Arial"/>
          <w:noProof/>
          <w:color w:val="auto"/>
          <w:sz w:val="22"/>
          <w:szCs w:val="22"/>
          <w:lang w:val="en-US" w:eastAsia="en-US"/>
        </w:rPr>
      </w:pPr>
      <w:hyperlink w:anchor="_Toc360976512" w:history="1">
        <w:r w:rsidRPr="00D54922">
          <w:rPr>
            <w:rStyle w:val="Hyperlink"/>
            <w:noProof/>
          </w:rPr>
          <w:t>Expenditure</w:t>
        </w:r>
        <w:r>
          <w:rPr>
            <w:noProof/>
            <w:webHidden/>
          </w:rPr>
          <w:tab/>
        </w:r>
        <w:r>
          <w:rPr>
            <w:rStyle w:val="Hyperlink"/>
            <w:noProof/>
            <w:rtl/>
          </w:rPr>
          <w:fldChar w:fldCharType="begin"/>
        </w:r>
        <w:r>
          <w:rPr>
            <w:noProof/>
            <w:webHidden/>
          </w:rPr>
          <w:instrText xml:space="preserve"> PAGEREF _Toc360976512 \h </w:instrText>
        </w:r>
        <w:r>
          <w:rPr>
            <w:rStyle w:val="Hyperlink"/>
            <w:noProof/>
            <w:rtl/>
          </w:rPr>
        </w:r>
        <w:r>
          <w:rPr>
            <w:rStyle w:val="Hyperlink"/>
            <w:noProof/>
            <w:rtl/>
          </w:rPr>
          <w:fldChar w:fldCharType="separate"/>
        </w:r>
        <w:r>
          <w:rPr>
            <w:noProof/>
            <w:webHidden/>
          </w:rPr>
          <w:t>2</w:t>
        </w:r>
        <w:r>
          <w:rPr>
            <w:rStyle w:val="Hyperlink"/>
            <w:noProof/>
            <w:rtl/>
          </w:rPr>
          <w:fldChar w:fldCharType="end"/>
        </w:r>
      </w:hyperlink>
    </w:p>
    <w:p w:rsidR="003F04D6" w:rsidRDefault="003F04D6">
      <w:pPr>
        <w:pStyle w:val="TOC1"/>
        <w:rPr>
          <w:rFonts w:ascii="Calibri" w:hAnsi="Calibri" w:cs="Arial"/>
          <w:noProof/>
          <w:color w:val="auto"/>
          <w:sz w:val="22"/>
          <w:szCs w:val="22"/>
          <w:lang w:val="en-US" w:eastAsia="en-US"/>
        </w:rPr>
      </w:pPr>
      <w:hyperlink w:anchor="_Toc360976513" w:history="1">
        <w:r w:rsidRPr="00D54922">
          <w:rPr>
            <w:rStyle w:val="Hyperlink"/>
            <w:noProof/>
          </w:rPr>
          <w:t>Progress against objectives</w:t>
        </w:r>
        <w:r>
          <w:rPr>
            <w:noProof/>
            <w:webHidden/>
          </w:rPr>
          <w:tab/>
        </w:r>
        <w:r>
          <w:rPr>
            <w:rStyle w:val="Hyperlink"/>
            <w:noProof/>
            <w:rtl/>
          </w:rPr>
          <w:fldChar w:fldCharType="begin"/>
        </w:r>
        <w:r>
          <w:rPr>
            <w:noProof/>
            <w:webHidden/>
          </w:rPr>
          <w:instrText xml:space="preserve"> PAGEREF _Toc360976513 \h </w:instrText>
        </w:r>
        <w:r>
          <w:rPr>
            <w:rStyle w:val="Hyperlink"/>
            <w:noProof/>
            <w:rtl/>
          </w:rPr>
        </w:r>
        <w:r>
          <w:rPr>
            <w:rStyle w:val="Hyperlink"/>
            <w:noProof/>
            <w:rtl/>
          </w:rPr>
          <w:fldChar w:fldCharType="separate"/>
        </w:r>
        <w:r>
          <w:rPr>
            <w:noProof/>
            <w:webHidden/>
          </w:rPr>
          <w:t>2</w:t>
        </w:r>
        <w:r>
          <w:rPr>
            <w:rStyle w:val="Hyperlink"/>
            <w:noProof/>
            <w:rtl/>
          </w:rPr>
          <w:fldChar w:fldCharType="end"/>
        </w:r>
      </w:hyperlink>
    </w:p>
    <w:p w:rsidR="003F04D6" w:rsidRDefault="003F04D6">
      <w:pPr>
        <w:pStyle w:val="TOC2"/>
        <w:rPr>
          <w:rFonts w:ascii="Calibri" w:hAnsi="Calibri" w:cs="Arial"/>
          <w:noProof/>
          <w:color w:val="auto"/>
          <w:sz w:val="22"/>
          <w:szCs w:val="22"/>
          <w:lang w:val="en-US" w:eastAsia="en-US"/>
        </w:rPr>
      </w:pPr>
      <w:hyperlink w:anchor="_Toc360976514" w:history="1">
        <w:r w:rsidRPr="00D54922">
          <w:rPr>
            <w:rStyle w:val="Hyperlink"/>
            <w:noProof/>
          </w:rPr>
          <w:t>Objective 1: Improving access to quality education</w:t>
        </w:r>
        <w:r>
          <w:rPr>
            <w:noProof/>
            <w:webHidden/>
          </w:rPr>
          <w:tab/>
        </w:r>
        <w:r>
          <w:rPr>
            <w:rStyle w:val="Hyperlink"/>
            <w:noProof/>
            <w:rtl/>
          </w:rPr>
          <w:fldChar w:fldCharType="begin"/>
        </w:r>
        <w:r>
          <w:rPr>
            <w:noProof/>
            <w:webHidden/>
          </w:rPr>
          <w:instrText xml:space="preserve"> PAGEREF _Toc360976514 \h </w:instrText>
        </w:r>
        <w:r>
          <w:rPr>
            <w:rStyle w:val="Hyperlink"/>
            <w:noProof/>
            <w:rtl/>
          </w:rPr>
        </w:r>
        <w:r>
          <w:rPr>
            <w:rStyle w:val="Hyperlink"/>
            <w:noProof/>
            <w:rtl/>
          </w:rPr>
          <w:fldChar w:fldCharType="separate"/>
        </w:r>
        <w:r>
          <w:rPr>
            <w:noProof/>
            <w:webHidden/>
          </w:rPr>
          <w:t>3</w:t>
        </w:r>
        <w:r>
          <w:rPr>
            <w:rStyle w:val="Hyperlink"/>
            <w:noProof/>
            <w:rtl/>
          </w:rPr>
          <w:fldChar w:fldCharType="end"/>
        </w:r>
      </w:hyperlink>
    </w:p>
    <w:p w:rsidR="003F04D6" w:rsidRDefault="003F04D6">
      <w:pPr>
        <w:pStyle w:val="TOC3"/>
        <w:rPr>
          <w:rFonts w:ascii="Calibri" w:hAnsi="Calibri" w:cs="Arial"/>
          <w:noProof/>
          <w:sz w:val="22"/>
          <w:szCs w:val="22"/>
          <w:lang w:val="en-US" w:eastAsia="en-US"/>
        </w:rPr>
      </w:pPr>
      <w:hyperlink w:anchor="_Toc360976515" w:history="1">
        <w:r w:rsidRPr="00D54922">
          <w:rPr>
            <w:rStyle w:val="Hyperlink"/>
            <w:noProof/>
          </w:rPr>
          <w:t>New Access to Quality Education Program</w:t>
        </w:r>
        <w:r>
          <w:rPr>
            <w:noProof/>
            <w:webHidden/>
          </w:rPr>
          <w:tab/>
        </w:r>
        <w:r>
          <w:rPr>
            <w:rStyle w:val="Hyperlink"/>
            <w:noProof/>
            <w:rtl/>
          </w:rPr>
          <w:fldChar w:fldCharType="begin"/>
        </w:r>
        <w:r>
          <w:rPr>
            <w:noProof/>
            <w:webHidden/>
          </w:rPr>
          <w:instrText xml:space="preserve"> PAGEREF _Toc360976515 \h </w:instrText>
        </w:r>
        <w:r>
          <w:rPr>
            <w:rStyle w:val="Hyperlink"/>
            <w:noProof/>
            <w:rtl/>
          </w:rPr>
        </w:r>
        <w:r>
          <w:rPr>
            <w:rStyle w:val="Hyperlink"/>
            <w:noProof/>
            <w:rtl/>
          </w:rPr>
          <w:fldChar w:fldCharType="separate"/>
        </w:r>
        <w:r>
          <w:rPr>
            <w:noProof/>
            <w:webHidden/>
          </w:rPr>
          <w:t>4</w:t>
        </w:r>
        <w:r>
          <w:rPr>
            <w:rStyle w:val="Hyperlink"/>
            <w:noProof/>
            <w:rtl/>
          </w:rPr>
          <w:fldChar w:fldCharType="end"/>
        </w:r>
      </w:hyperlink>
    </w:p>
    <w:p w:rsidR="003F04D6" w:rsidRDefault="003F04D6">
      <w:pPr>
        <w:pStyle w:val="TOC2"/>
        <w:rPr>
          <w:rFonts w:ascii="Calibri" w:hAnsi="Calibri" w:cs="Arial"/>
          <w:noProof/>
          <w:color w:val="auto"/>
          <w:sz w:val="22"/>
          <w:szCs w:val="22"/>
          <w:lang w:val="en-US" w:eastAsia="en-US"/>
        </w:rPr>
      </w:pPr>
      <w:hyperlink w:anchor="_Toc360976516" w:history="1">
        <w:r w:rsidRPr="00D54922">
          <w:rPr>
            <w:rStyle w:val="Hyperlink"/>
            <w:noProof/>
          </w:rPr>
          <w:t>Objective 2: Strengthening primary health services</w:t>
        </w:r>
        <w:r>
          <w:rPr>
            <w:noProof/>
            <w:webHidden/>
          </w:rPr>
          <w:tab/>
        </w:r>
        <w:r>
          <w:rPr>
            <w:rStyle w:val="Hyperlink"/>
            <w:noProof/>
            <w:rtl/>
          </w:rPr>
          <w:fldChar w:fldCharType="begin"/>
        </w:r>
        <w:r>
          <w:rPr>
            <w:noProof/>
            <w:webHidden/>
          </w:rPr>
          <w:instrText xml:space="preserve"> PAGEREF _Toc360976516 \h </w:instrText>
        </w:r>
        <w:r>
          <w:rPr>
            <w:rStyle w:val="Hyperlink"/>
            <w:noProof/>
            <w:rtl/>
          </w:rPr>
        </w:r>
        <w:r>
          <w:rPr>
            <w:rStyle w:val="Hyperlink"/>
            <w:noProof/>
            <w:rtl/>
          </w:rPr>
          <w:fldChar w:fldCharType="separate"/>
        </w:r>
        <w:r>
          <w:rPr>
            <w:noProof/>
            <w:webHidden/>
          </w:rPr>
          <w:t>4</w:t>
        </w:r>
        <w:r>
          <w:rPr>
            <w:rStyle w:val="Hyperlink"/>
            <w:noProof/>
            <w:rtl/>
          </w:rPr>
          <w:fldChar w:fldCharType="end"/>
        </w:r>
      </w:hyperlink>
    </w:p>
    <w:p w:rsidR="003F04D6" w:rsidRDefault="003F04D6">
      <w:pPr>
        <w:pStyle w:val="TOC3"/>
        <w:rPr>
          <w:rFonts w:ascii="Calibri" w:hAnsi="Calibri" w:cs="Arial"/>
          <w:noProof/>
          <w:sz w:val="22"/>
          <w:szCs w:val="22"/>
          <w:lang w:val="en-US" w:eastAsia="en-US"/>
        </w:rPr>
      </w:pPr>
      <w:hyperlink w:anchor="_Toc360976517" w:history="1">
        <w:r w:rsidRPr="00D54922">
          <w:rPr>
            <w:rStyle w:val="Hyperlink"/>
            <w:noProof/>
          </w:rPr>
          <w:t>New health program</w:t>
        </w:r>
        <w:r>
          <w:rPr>
            <w:noProof/>
            <w:webHidden/>
          </w:rPr>
          <w:tab/>
        </w:r>
        <w:r>
          <w:rPr>
            <w:rStyle w:val="Hyperlink"/>
            <w:noProof/>
            <w:rtl/>
          </w:rPr>
          <w:fldChar w:fldCharType="begin"/>
        </w:r>
        <w:r>
          <w:rPr>
            <w:noProof/>
            <w:webHidden/>
          </w:rPr>
          <w:instrText xml:space="preserve"> PAGEREF _Toc360976517 \h </w:instrText>
        </w:r>
        <w:r>
          <w:rPr>
            <w:rStyle w:val="Hyperlink"/>
            <w:noProof/>
            <w:rtl/>
          </w:rPr>
        </w:r>
        <w:r>
          <w:rPr>
            <w:rStyle w:val="Hyperlink"/>
            <w:noProof/>
            <w:rtl/>
          </w:rPr>
          <w:fldChar w:fldCharType="separate"/>
        </w:r>
        <w:r>
          <w:rPr>
            <w:noProof/>
            <w:webHidden/>
          </w:rPr>
          <w:t>5</w:t>
        </w:r>
        <w:r>
          <w:rPr>
            <w:rStyle w:val="Hyperlink"/>
            <w:noProof/>
            <w:rtl/>
          </w:rPr>
          <w:fldChar w:fldCharType="end"/>
        </w:r>
      </w:hyperlink>
    </w:p>
    <w:p w:rsidR="003F04D6" w:rsidRDefault="003F04D6">
      <w:pPr>
        <w:pStyle w:val="TOC2"/>
        <w:rPr>
          <w:rFonts w:ascii="Calibri" w:hAnsi="Calibri" w:cs="Arial"/>
          <w:noProof/>
          <w:color w:val="auto"/>
          <w:sz w:val="22"/>
          <w:szCs w:val="22"/>
          <w:lang w:val="en-US" w:eastAsia="en-US"/>
        </w:rPr>
      </w:pPr>
      <w:hyperlink w:anchor="_Toc360976518" w:history="1">
        <w:r w:rsidRPr="00D54922">
          <w:rPr>
            <w:rStyle w:val="Hyperlink"/>
            <w:noProof/>
          </w:rPr>
          <w:t>Objective 3: Building resilience and economic opportunities in disadvantaged communities</w:t>
        </w:r>
        <w:r>
          <w:rPr>
            <w:noProof/>
            <w:webHidden/>
          </w:rPr>
          <w:tab/>
        </w:r>
        <w:r>
          <w:rPr>
            <w:rStyle w:val="Hyperlink"/>
            <w:noProof/>
            <w:rtl/>
          </w:rPr>
          <w:fldChar w:fldCharType="begin"/>
        </w:r>
        <w:r>
          <w:rPr>
            <w:noProof/>
            <w:webHidden/>
          </w:rPr>
          <w:instrText xml:space="preserve"> PAGEREF _Toc360976518 \h </w:instrText>
        </w:r>
        <w:r>
          <w:rPr>
            <w:rStyle w:val="Hyperlink"/>
            <w:noProof/>
            <w:rtl/>
          </w:rPr>
        </w:r>
        <w:r>
          <w:rPr>
            <w:rStyle w:val="Hyperlink"/>
            <w:noProof/>
            <w:rtl/>
          </w:rPr>
          <w:fldChar w:fldCharType="separate"/>
        </w:r>
        <w:r>
          <w:rPr>
            <w:noProof/>
            <w:webHidden/>
          </w:rPr>
          <w:t>5</w:t>
        </w:r>
        <w:r>
          <w:rPr>
            <w:rStyle w:val="Hyperlink"/>
            <w:noProof/>
            <w:rtl/>
          </w:rPr>
          <w:fldChar w:fldCharType="end"/>
        </w:r>
      </w:hyperlink>
    </w:p>
    <w:p w:rsidR="003F04D6" w:rsidRDefault="003F04D6">
      <w:pPr>
        <w:pStyle w:val="TOC2"/>
        <w:rPr>
          <w:rFonts w:ascii="Calibri" w:hAnsi="Calibri" w:cs="Arial"/>
          <w:noProof/>
          <w:color w:val="auto"/>
          <w:sz w:val="22"/>
          <w:szCs w:val="22"/>
          <w:lang w:val="en-US" w:eastAsia="en-US"/>
        </w:rPr>
      </w:pPr>
      <w:hyperlink w:anchor="_Toc360976519" w:history="1">
        <w:r w:rsidRPr="00D54922">
          <w:rPr>
            <w:rStyle w:val="Hyperlink"/>
            <w:noProof/>
          </w:rPr>
          <w:t>Other key results: Crosscutting priorities</w:t>
        </w:r>
        <w:r>
          <w:rPr>
            <w:noProof/>
            <w:webHidden/>
          </w:rPr>
          <w:tab/>
        </w:r>
        <w:r>
          <w:rPr>
            <w:rStyle w:val="Hyperlink"/>
            <w:noProof/>
            <w:rtl/>
          </w:rPr>
          <w:fldChar w:fldCharType="begin"/>
        </w:r>
        <w:r>
          <w:rPr>
            <w:noProof/>
            <w:webHidden/>
          </w:rPr>
          <w:instrText xml:space="preserve"> PAGEREF _Toc360976519 \h </w:instrText>
        </w:r>
        <w:r>
          <w:rPr>
            <w:rStyle w:val="Hyperlink"/>
            <w:noProof/>
            <w:rtl/>
          </w:rPr>
        </w:r>
        <w:r>
          <w:rPr>
            <w:rStyle w:val="Hyperlink"/>
            <w:noProof/>
            <w:rtl/>
          </w:rPr>
          <w:fldChar w:fldCharType="separate"/>
        </w:r>
        <w:r>
          <w:rPr>
            <w:noProof/>
            <w:webHidden/>
          </w:rPr>
          <w:t>6</w:t>
        </w:r>
        <w:r>
          <w:rPr>
            <w:rStyle w:val="Hyperlink"/>
            <w:noProof/>
            <w:rtl/>
          </w:rPr>
          <w:fldChar w:fldCharType="end"/>
        </w:r>
      </w:hyperlink>
    </w:p>
    <w:p w:rsidR="003F04D6" w:rsidRDefault="003F04D6">
      <w:pPr>
        <w:pStyle w:val="TOC3"/>
        <w:rPr>
          <w:rFonts w:ascii="Calibri" w:hAnsi="Calibri" w:cs="Arial"/>
          <w:noProof/>
          <w:sz w:val="22"/>
          <w:szCs w:val="22"/>
          <w:lang w:val="en-US" w:eastAsia="en-US"/>
        </w:rPr>
      </w:pPr>
      <w:hyperlink w:anchor="_Toc360976520" w:history="1">
        <w:r w:rsidRPr="00D54922">
          <w:rPr>
            <w:rStyle w:val="Hyperlink"/>
            <w:noProof/>
          </w:rPr>
          <w:t>Poverty analysis and mapping</w:t>
        </w:r>
        <w:r>
          <w:rPr>
            <w:noProof/>
            <w:webHidden/>
          </w:rPr>
          <w:tab/>
        </w:r>
        <w:r>
          <w:rPr>
            <w:rStyle w:val="Hyperlink"/>
            <w:noProof/>
            <w:rtl/>
          </w:rPr>
          <w:fldChar w:fldCharType="begin"/>
        </w:r>
        <w:r>
          <w:rPr>
            <w:noProof/>
            <w:webHidden/>
          </w:rPr>
          <w:instrText xml:space="preserve"> PAGEREF _Toc360976520 \h </w:instrText>
        </w:r>
        <w:r>
          <w:rPr>
            <w:rStyle w:val="Hyperlink"/>
            <w:noProof/>
            <w:rtl/>
          </w:rPr>
        </w:r>
        <w:r>
          <w:rPr>
            <w:rStyle w:val="Hyperlink"/>
            <w:noProof/>
            <w:rtl/>
          </w:rPr>
          <w:fldChar w:fldCharType="separate"/>
        </w:r>
        <w:r>
          <w:rPr>
            <w:noProof/>
            <w:webHidden/>
          </w:rPr>
          <w:t>6</w:t>
        </w:r>
        <w:r>
          <w:rPr>
            <w:rStyle w:val="Hyperlink"/>
            <w:noProof/>
            <w:rtl/>
          </w:rPr>
          <w:fldChar w:fldCharType="end"/>
        </w:r>
      </w:hyperlink>
    </w:p>
    <w:p w:rsidR="003F04D6" w:rsidRDefault="003F04D6">
      <w:pPr>
        <w:pStyle w:val="TOC3"/>
        <w:rPr>
          <w:rFonts w:ascii="Calibri" w:hAnsi="Calibri" w:cs="Arial"/>
          <w:noProof/>
          <w:sz w:val="22"/>
          <w:szCs w:val="22"/>
          <w:lang w:val="en-US" w:eastAsia="en-US"/>
        </w:rPr>
      </w:pPr>
      <w:hyperlink w:anchor="_Toc360976521" w:history="1">
        <w:r w:rsidRPr="00D54922">
          <w:rPr>
            <w:rStyle w:val="Hyperlink"/>
            <w:noProof/>
          </w:rPr>
          <w:t>Gender and disability</w:t>
        </w:r>
        <w:r>
          <w:rPr>
            <w:noProof/>
            <w:webHidden/>
          </w:rPr>
          <w:tab/>
        </w:r>
        <w:r>
          <w:rPr>
            <w:rStyle w:val="Hyperlink"/>
            <w:noProof/>
            <w:rtl/>
          </w:rPr>
          <w:fldChar w:fldCharType="begin"/>
        </w:r>
        <w:r>
          <w:rPr>
            <w:noProof/>
            <w:webHidden/>
          </w:rPr>
          <w:instrText xml:space="preserve"> PAGEREF _Toc360976521 \h </w:instrText>
        </w:r>
        <w:r>
          <w:rPr>
            <w:rStyle w:val="Hyperlink"/>
            <w:noProof/>
            <w:rtl/>
          </w:rPr>
        </w:r>
        <w:r>
          <w:rPr>
            <w:rStyle w:val="Hyperlink"/>
            <w:noProof/>
            <w:rtl/>
          </w:rPr>
          <w:fldChar w:fldCharType="separate"/>
        </w:r>
        <w:r>
          <w:rPr>
            <w:noProof/>
            <w:webHidden/>
          </w:rPr>
          <w:t>6</w:t>
        </w:r>
        <w:r>
          <w:rPr>
            <w:rStyle w:val="Hyperlink"/>
            <w:noProof/>
            <w:rtl/>
          </w:rPr>
          <w:fldChar w:fldCharType="end"/>
        </w:r>
      </w:hyperlink>
    </w:p>
    <w:p w:rsidR="003F04D6" w:rsidRDefault="003F04D6">
      <w:pPr>
        <w:pStyle w:val="TOC3"/>
        <w:rPr>
          <w:rFonts w:ascii="Calibri" w:hAnsi="Calibri" w:cs="Arial"/>
          <w:noProof/>
          <w:sz w:val="22"/>
          <w:szCs w:val="22"/>
          <w:lang w:val="en-US" w:eastAsia="en-US"/>
        </w:rPr>
      </w:pPr>
      <w:hyperlink w:anchor="_Toc360976522" w:history="1">
        <w:r w:rsidRPr="00D54922">
          <w:rPr>
            <w:rStyle w:val="Hyperlink"/>
            <w:noProof/>
          </w:rPr>
          <w:t>Support to civil society organisations</w:t>
        </w:r>
        <w:r>
          <w:rPr>
            <w:noProof/>
            <w:webHidden/>
          </w:rPr>
          <w:tab/>
        </w:r>
        <w:r>
          <w:rPr>
            <w:rStyle w:val="Hyperlink"/>
            <w:noProof/>
            <w:rtl/>
          </w:rPr>
          <w:fldChar w:fldCharType="begin"/>
        </w:r>
        <w:r>
          <w:rPr>
            <w:noProof/>
            <w:webHidden/>
          </w:rPr>
          <w:instrText xml:space="preserve"> PAGEREF _Toc360976522 \h </w:instrText>
        </w:r>
        <w:r>
          <w:rPr>
            <w:rStyle w:val="Hyperlink"/>
            <w:noProof/>
            <w:rtl/>
          </w:rPr>
        </w:r>
        <w:r>
          <w:rPr>
            <w:rStyle w:val="Hyperlink"/>
            <w:noProof/>
            <w:rtl/>
          </w:rPr>
          <w:fldChar w:fldCharType="separate"/>
        </w:r>
        <w:r>
          <w:rPr>
            <w:noProof/>
            <w:webHidden/>
          </w:rPr>
          <w:t>7</w:t>
        </w:r>
        <w:r>
          <w:rPr>
            <w:rStyle w:val="Hyperlink"/>
            <w:noProof/>
            <w:rtl/>
          </w:rPr>
          <w:fldChar w:fldCharType="end"/>
        </w:r>
      </w:hyperlink>
    </w:p>
    <w:p w:rsidR="003F04D6" w:rsidRDefault="003F04D6">
      <w:pPr>
        <w:pStyle w:val="TOC3"/>
        <w:rPr>
          <w:rFonts w:ascii="Calibri" w:hAnsi="Calibri" w:cs="Arial"/>
          <w:noProof/>
          <w:sz w:val="22"/>
          <w:szCs w:val="22"/>
          <w:lang w:val="en-US" w:eastAsia="en-US"/>
        </w:rPr>
      </w:pPr>
      <w:hyperlink w:anchor="_Toc360976523" w:history="1">
        <w:r w:rsidRPr="00D54922">
          <w:rPr>
            <w:rStyle w:val="Hyperlink"/>
            <w:noProof/>
          </w:rPr>
          <w:t>People-to-people links</w:t>
        </w:r>
        <w:r>
          <w:rPr>
            <w:noProof/>
            <w:webHidden/>
          </w:rPr>
          <w:tab/>
        </w:r>
        <w:r>
          <w:rPr>
            <w:rStyle w:val="Hyperlink"/>
            <w:noProof/>
            <w:rtl/>
          </w:rPr>
          <w:fldChar w:fldCharType="begin"/>
        </w:r>
        <w:r>
          <w:rPr>
            <w:noProof/>
            <w:webHidden/>
          </w:rPr>
          <w:instrText xml:space="preserve"> PAGEREF _Toc360976523 \h </w:instrText>
        </w:r>
        <w:r>
          <w:rPr>
            <w:rStyle w:val="Hyperlink"/>
            <w:noProof/>
            <w:rtl/>
          </w:rPr>
        </w:r>
        <w:r>
          <w:rPr>
            <w:rStyle w:val="Hyperlink"/>
            <w:noProof/>
            <w:rtl/>
          </w:rPr>
          <w:fldChar w:fldCharType="separate"/>
        </w:r>
        <w:r>
          <w:rPr>
            <w:noProof/>
            <w:webHidden/>
          </w:rPr>
          <w:t>7</w:t>
        </w:r>
        <w:r>
          <w:rPr>
            <w:rStyle w:val="Hyperlink"/>
            <w:noProof/>
            <w:rtl/>
          </w:rPr>
          <w:fldChar w:fldCharType="end"/>
        </w:r>
      </w:hyperlink>
    </w:p>
    <w:p w:rsidR="003F04D6" w:rsidRDefault="003F04D6">
      <w:pPr>
        <w:pStyle w:val="TOC3"/>
        <w:rPr>
          <w:rFonts w:ascii="Calibri" w:hAnsi="Calibri" w:cs="Arial"/>
          <w:noProof/>
          <w:sz w:val="22"/>
          <w:szCs w:val="22"/>
          <w:lang w:val="en-US" w:eastAsia="en-US"/>
        </w:rPr>
      </w:pPr>
      <w:hyperlink w:anchor="_Toc360976524" w:history="1">
        <w:r w:rsidRPr="00D54922">
          <w:rPr>
            <w:rStyle w:val="Hyperlink"/>
            <w:noProof/>
          </w:rPr>
          <w:t>Disaster risk reduction</w:t>
        </w:r>
        <w:r>
          <w:rPr>
            <w:noProof/>
            <w:webHidden/>
          </w:rPr>
          <w:tab/>
        </w:r>
        <w:r>
          <w:rPr>
            <w:rStyle w:val="Hyperlink"/>
            <w:noProof/>
            <w:rtl/>
          </w:rPr>
          <w:fldChar w:fldCharType="begin"/>
        </w:r>
        <w:r>
          <w:rPr>
            <w:noProof/>
            <w:webHidden/>
          </w:rPr>
          <w:instrText xml:space="preserve"> PAGEREF _Toc360976524 \h </w:instrText>
        </w:r>
        <w:r>
          <w:rPr>
            <w:rStyle w:val="Hyperlink"/>
            <w:noProof/>
            <w:rtl/>
          </w:rPr>
        </w:r>
        <w:r>
          <w:rPr>
            <w:rStyle w:val="Hyperlink"/>
            <w:noProof/>
            <w:rtl/>
          </w:rPr>
          <w:fldChar w:fldCharType="separate"/>
        </w:r>
        <w:r>
          <w:rPr>
            <w:noProof/>
            <w:webHidden/>
          </w:rPr>
          <w:t>8</w:t>
        </w:r>
        <w:r>
          <w:rPr>
            <w:rStyle w:val="Hyperlink"/>
            <w:noProof/>
            <w:rtl/>
          </w:rPr>
          <w:fldChar w:fldCharType="end"/>
        </w:r>
      </w:hyperlink>
    </w:p>
    <w:p w:rsidR="003F04D6" w:rsidRDefault="003F04D6">
      <w:pPr>
        <w:pStyle w:val="TOC3"/>
        <w:rPr>
          <w:rFonts w:ascii="Calibri" w:hAnsi="Calibri" w:cs="Arial"/>
          <w:noProof/>
          <w:sz w:val="22"/>
          <w:szCs w:val="22"/>
          <w:lang w:val="en-US" w:eastAsia="en-US"/>
        </w:rPr>
      </w:pPr>
      <w:hyperlink w:anchor="_Toc360976525" w:history="1">
        <w:r w:rsidRPr="00D54922">
          <w:rPr>
            <w:rStyle w:val="Hyperlink"/>
            <w:noProof/>
          </w:rPr>
          <w:t>Public diplomacy</w:t>
        </w:r>
        <w:r>
          <w:rPr>
            <w:noProof/>
            <w:webHidden/>
          </w:rPr>
          <w:tab/>
        </w:r>
        <w:r>
          <w:rPr>
            <w:rStyle w:val="Hyperlink"/>
            <w:noProof/>
            <w:rtl/>
          </w:rPr>
          <w:fldChar w:fldCharType="begin"/>
        </w:r>
        <w:r>
          <w:rPr>
            <w:noProof/>
            <w:webHidden/>
          </w:rPr>
          <w:instrText xml:space="preserve"> PAGEREF _Toc360976525 \h </w:instrText>
        </w:r>
        <w:r>
          <w:rPr>
            <w:rStyle w:val="Hyperlink"/>
            <w:noProof/>
            <w:rtl/>
          </w:rPr>
        </w:r>
        <w:r>
          <w:rPr>
            <w:rStyle w:val="Hyperlink"/>
            <w:noProof/>
            <w:rtl/>
          </w:rPr>
          <w:fldChar w:fldCharType="separate"/>
        </w:r>
        <w:r>
          <w:rPr>
            <w:noProof/>
            <w:webHidden/>
          </w:rPr>
          <w:t>9</w:t>
        </w:r>
        <w:r>
          <w:rPr>
            <w:rStyle w:val="Hyperlink"/>
            <w:noProof/>
            <w:rtl/>
          </w:rPr>
          <w:fldChar w:fldCharType="end"/>
        </w:r>
      </w:hyperlink>
    </w:p>
    <w:p w:rsidR="003F04D6" w:rsidRDefault="003F04D6">
      <w:pPr>
        <w:pStyle w:val="TOC1"/>
        <w:rPr>
          <w:rFonts w:ascii="Calibri" w:hAnsi="Calibri" w:cs="Arial"/>
          <w:noProof/>
          <w:color w:val="auto"/>
          <w:sz w:val="22"/>
          <w:szCs w:val="22"/>
          <w:lang w:val="en-US" w:eastAsia="en-US"/>
        </w:rPr>
      </w:pPr>
      <w:hyperlink w:anchor="_Toc360976526" w:history="1">
        <w:r w:rsidRPr="00D54922">
          <w:rPr>
            <w:rStyle w:val="Hyperlink"/>
            <w:noProof/>
          </w:rPr>
          <w:t>Program quality</w:t>
        </w:r>
        <w:r>
          <w:rPr>
            <w:noProof/>
            <w:webHidden/>
          </w:rPr>
          <w:tab/>
        </w:r>
        <w:r>
          <w:rPr>
            <w:rStyle w:val="Hyperlink"/>
            <w:noProof/>
            <w:rtl/>
          </w:rPr>
          <w:fldChar w:fldCharType="begin"/>
        </w:r>
        <w:r>
          <w:rPr>
            <w:noProof/>
            <w:webHidden/>
          </w:rPr>
          <w:instrText xml:space="preserve"> PAGEREF _Toc360976526 \h </w:instrText>
        </w:r>
        <w:r>
          <w:rPr>
            <w:rStyle w:val="Hyperlink"/>
            <w:noProof/>
            <w:rtl/>
          </w:rPr>
        </w:r>
        <w:r>
          <w:rPr>
            <w:rStyle w:val="Hyperlink"/>
            <w:noProof/>
            <w:rtl/>
          </w:rPr>
          <w:fldChar w:fldCharType="separate"/>
        </w:r>
        <w:r>
          <w:rPr>
            <w:noProof/>
            <w:webHidden/>
          </w:rPr>
          <w:t>9</w:t>
        </w:r>
        <w:r>
          <w:rPr>
            <w:rStyle w:val="Hyperlink"/>
            <w:noProof/>
            <w:rtl/>
          </w:rPr>
          <w:fldChar w:fldCharType="end"/>
        </w:r>
      </w:hyperlink>
    </w:p>
    <w:p w:rsidR="003F04D6" w:rsidRDefault="003F04D6">
      <w:pPr>
        <w:pStyle w:val="TOC1"/>
        <w:rPr>
          <w:rFonts w:ascii="Calibri" w:hAnsi="Calibri" w:cs="Arial"/>
          <w:noProof/>
          <w:color w:val="auto"/>
          <w:sz w:val="22"/>
          <w:szCs w:val="22"/>
          <w:lang w:val="en-US" w:eastAsia="en-US"/>
        </w:rPr>
      </w:pPr>
      <w:hyperlink w:anchor="_Toc360976527" w:history="1">
        <w:r w:rsidRPr="00D54922">
          <w:rPr>
            <w:rStyle w:val="Hyperlink"/>
            <w:noProof/>
          </w:rPr>
          <w:t>Next steps</w:t>
        </w:r>
        <w:r>
          <w:rPr>
            <w:noProof/>
            <w:webHidden/>
          </w:rPr>
          <w:tab/>
        </w:r>
        <w:r>
          <w:rPr>
            <w:rStyle w:val="Hyperlink"/>
            <w:noProof/>
            <w:rtl/>
          </w:rPr>
          <w:fldChar w:fldCharType="begin"/>
        </w:r>
        <w:r>
          <w:rPr>
            <w:noProof/>
            <w:webHidden/>
          </w:rPr>
          <w:instrText xml:space="preserve"> PAGEREF _Toc360976527 \h </w:instrText>
        </w:r>
        <w:r>
          <w:rPr>
            <w:rStyle w:val="Hyperlink"/>
            <w:noProof/>
            <w:rtl/>
          </w:rPr>
        </w:r>
        <w:r>
          <w:rPr>
            <w:rStyle w:val="Hyperlink"/>
            <w:noProof/>
            <w:rtl/>
          </w:rPr>
          <w:fldChar w:fldCharType="separate"/>
        </w:r>
        <w:r>
          <w:rPr>
            <w:noProof/>
            <w:webHidden/>
          </w:rPr>
          <w:t>10</w:t>
        </w:r>
        <w:r>
          <w:rPr>
            <w:rStyle w:val="Hyperlink"/>
            <w:noProof/>
            <w:rtl/>
          </w:rPr>
          <w:fldChar w:fldCharType="end"/>
        </w:r>
      </w:hyperlink>
    </w:p>
    <w:p w:rsidR="003F04D6" w:rsidRDefault="003F04D6">
      <w:r>
        <w:fldChar w:fldCharType="end"/>
      </w:r>
    </w:p>
    <w:p w:rsidR="003F04D6" w:rsidRPr="00C75E50" w:rsidRDefault="003F04D6" w:rsidP="003F04D6">
      <w:pPr>
        <w:pStyle w:val="H1"/>
      </w:pPr>
      <w:bookmarkStart w:id="0" w:name="_Toc360976509"/>
      <w:r>
        <w:br w:type="page"/>
      </w:r>
      <w:r w:rsidR="00D04DD6" w:rsidRPr="003F04D6">
        <w:lastRenderedPageBreak/>
        <w:t>Summary</w:t>
      </w:r>
      <w:bookmarkEnd w:id="0"/>
    </w:p>
    <w:p w:rsidR="009445F8" w:rsidRPr="00C75E50" w:rsidRDefault="009445F8" w:rsidP="00C75E50">
      <w:pPr>
        <w:pStyle w:val="BodyText"/>
      </w:pPr>
      <w:r w:rsidRPr="00C75E50">
        <w:t xml:space="preserve">This report summarises the aid program’s progress in 2010 towards mitigating the </w:t>
      </w:r>
      <w:r w:rsidR="00F60C2C" w:rsidRPr="00C75E50">
        <w:t xml:space="preserve">social </w:t>
      </w:r>
      <w:r w:rsidRPr="00C75E50">
        <w:t>and economic hardships of the people of Fiji following the coup in 2006 and the global financial crisis in 2009.</w:t>
      </w:r>
    </w:p>
    <w:p w:rsidR="00E02AF8" w:rsidRPr="003F04D6" w:rsidRDefault="004F32A0" w:rsidP="00CF17D8">
      <w:pPr>
        <w:pStyle w:val="H1"/>
        <w:spacing w:before="240"/>
      </w:pPr>
      <w:bookmarkStart w:id="1" w:name="_Toc360976510"/>
      <w:r w:rsidRPr="003F04D6">
        <w:t>C</w:t>
      </w:r>
      <w:r w:rsidR="00BC36DE" w:rsidRPr="003F04D6">
        <w:t>ontext</w:t>
      </w:r>
      <w:bookmarkEnd w:id="1"/>
      <w:r w:rsidR="00E02AF8" w:rsidRPr="003F04D6">
        <w:t xml:space="preserve"> </w:t>
      </w:r>
    </w:p>
    <w:p w:rsidR="009445F8" w:rsidRDefault="009445F8" w:rsidP="009445F8">
      <w:pPr>
        <w:pStyle w:val="BodyText"/>
      </w:pPr>
      <w:r w:rsidRPr="000216E2">
        <w:t xml:space="preserve">The political, economic and social context in </w:t>
      </w:r>
      <w:smartTag w:uri="urn:schemas-microsoft-com:office:smarttags" w:element="place">
        <w:smartTag w:uri="urn:schemas-microsoft-com:office:smarttags" w:element="country-region">
          <w:r w:rsidRPr="000216E2">
            <w:t>Fiji</w:t>
          </w:r>
        </w:smartTag>
      </w:smartTag>
      <w:r w:rsidRPr="000216E2">
        <w:t xml:space="preserve"> post-2006 coup continued to deteriorate</w:t>
      </w:r>
      <w:r>
        <w:t xml:space="preserve"> in 2010</w:t>
      </w:r>
      <w:r w:rsidR="001B3612">
        <w:t>,</w:t>
      </w:r>
      <w:r w:rsidR="001B3612" w:rsidRPr="001B3612">
        <w:t xml:space="preserve"> </w:t>
      </w:r>
      <w:r w:rsidR="001B3612">
        <w:t>exacerbated by a spate of natural disasters in 2009 and 2010</w:t>
      </w:r>
      <w:r>
        <w:t>.</w:t>
      </w:r>
      <w:r w:rsidRPr="000216E2">
        <w:t xml:space="preserve"> </w:t>
      </w:r>
      <w:r w:rsidRPr="00792316">
        <w:t>Public Emergency Regulations and media censorship</w:t>
      </w:r>
      <w:r>
        <w:t xml:space="preserve"> remained in force, as well as tight</w:t>
      </w:r>
      <w:r w:rsidR="00FC6444">
        <w:t>,</w:t>
      </w:r>
      <w:r w:rsidRPr="00792316">
        <w:t xml:space="preserve"> short-term fiscal measures on the civil service</w:t>
      </w:r>
      <w:r w:rsidR="00E15346">
        <w:t xml:space="preserve">. </w:t>
      </w:r>
      <w:r>
        <w:t>P</w:t>
      </w:r>
      <w:r w:rsidRPr="00792316">
        <w:t xml:space="preserve">olitical instability has resulted in widespread migration overseas, especially among the educated and professional groups responsible for </w:t>
      </w:r>
      <w:r>
        <w:t xml:space="preserve">generating investment and </w:t>
      </w:r>
      <w:r w:rsidRPr="00792316">
        <w:t xml:space="preserve">delivering essential services in </w:t>
      </w:r>
      <w:smartTag w:uri="urn:schemas-microsoft-com:office:smarttags" w:element="country-region">
        <w:smartTag w:uri="urn:schemas-microsoft-com:office:smarttags" w:element="place">
          <w:r w:rsidRPr="00792316">
            <w:t>Fiji</w:t>
          </w:r>
        </w:smartTag>
      </w:smartTag>
      <w:r w:rsidR="00E15346">
        <w:t xml:space="preserve">. </w:t>
      </w:r>
      <w:smartTag w:uri="urn:schemas-microsoft-com:office:smarttags" w:element="country-region">
        <w:smartTag w:uri="urn:schemas-microsoft-com:office:smarttags" w:element="place">
          <w:r w:rsidRPr="00792316">
            <w:t>Fiji</w:t>
          </w:r>
        </w:smartTag>
      </w:smartTag>
      <w:r w:rsidRPr="00792316">
        <w:t xml:space="preserve">’s economy </w:t>
      </w:r>
      <w:r>
        <w:t>grew by</w:t>
      </w:r>
      <w:r w:rsidRPr="00792316">
        <w:t xml:space="preserve"> </w:t>
      </w:r>
      <w:r>
        <w:t xml:space="preserve">just </w:t>
      </w:r>
      <w:r w:rsidRPr="00792316">
        <w:t>0.1 per cent</w:t>
      </w:r>
      <w:r>
        <w:t xml:space="preserve"> in 2010</w:t>
      </w:r>
      <w:r w:rsidR="00665608">
        <w:rPr>
          <w:rStyle w:val="FootnoteReference"/>
        </w:rPr>
        <w:footnoteReference w:id="2"/>
      </w:r>
      <w:r w:rsidRPr="00FF30A6">
        <w:t xml:space="preserve"> </w:t>
      </w:r>
      <w:r>
        <w:t>and</w:t>
      </w:r>
      <w:r w:rsidR="00FC6444">
        <w:t>,</w:t>
      </w:r>
      <w:r>
        <w:t xml:space="preserve"> in an </w:t>
      </w:r>
      <w:r w:rsidRPr="00792316">
        <w:t>uncertain regulatory environment</w:t>
      </w:r>
      <w:r>
        <w:t>,</w:t>
      </w:r>
      <w:r w:rsidRPr="00792316">
        <w:t xml:space="preserve"> local and foreign investors </w:t>
      </w:r>
      <w:r>
        <w:t>held</w:t>
      </w:r>
      <w:r w:rsidRPr="00792316">
        <w:t xml:space="preserve"> back, reducing opportunities to create employment</w:t>
      </w:r>
      <w:r w:rsidR="00E15346">
        <w:t xml:space="preserve">. </w:t>
      </w:r>
      <w:r w:rsidRPr="00792316">
        <w:t>In the absence of significant structural reforms</w:t>
      </w:r>
      <w:r>
        <w:t xml:space="preserve"> to address long-term challenges in state owned enterprises and the public service</w:t>
      </w:r>
      <w:r w:rsidRPr="00792316">
        <w:t xml:space="preserve">, </w:t>
      </w:r>
      <w:smartTag w:uri="urn:schemas-microsoft-com:office:smarttags" w:element="place">
        <w:smartTag w:uri="urn:schemas-microsoft-com:office:smarttags" w:element="country-region">
          <w:r w:rsidRPr="00792316">
            <w:t>Fiji</w:t>
          </w:r>
        </w:smartTag>
      </w:smartTag>
      <w:r w:rsidRPr="00792316">
        <w:t>’s economy remains at risk</w:t>
      </w:r>
      <w:r w:rsidR="00E15346">
        <w:t xml:space="preserve">. </w:t>
      </w:r>
    </w:p>
    <w:p w:rsidR="001B3612" w:rsidRDefault="009445F8" w:rsidP="009445F8">
      <w:pPr>
        <w:pStyle w:val="BodyText"/>
      </w:pPr>
      <w:r>
        <w:t xml:space="preserve">Political events in 2009, which resulted in the abrogation of the Constitution and the deferral of elections to 2014, led the aid program to shift </w:t>
      </w:r>
      <w:r w:rsidR="0071180A">
        <w:t>to a stronger focus on improving service delivery</w:t>
      </w:r>
      <w:r w:rsidR="00E15346">
        <w:t xml:space="preserve">. </w:t>
      </w:r>
      <w:r>
        <w:t>2010 was</w:t>
      </w:r>
      <w:r w:rsidR="0071180A">
        <w:t xml:space="preserve"> </w:t>
      </w:r>
      <w:r>
        <w:t xml:space="preserve">a year of transition for the Australian aid program to </w:t>
      </w:r>
      <w:smartTag w:uri="urn:schemas-microsoft-com:office:smarttags" w:element="country-region">
        <w:smartTag w:uri="urn:schemas-microsoft-com:office:smarttags" w:element="place">
          <w:r>
            <w:t>Fiji</w:t>
          </w:r>
        </w:smartTag>
      </w:smartTag>
      <w:r w:rsidR="0071180A">
        <w:t>, marked by a strong commitment to humanitarian response</w:t>
      </w:r>
      <w:r w:rsidR="00FC6444">
        <w:t>. This included the</w:t>
      </w:r>
      <w:r w:rsidR="0071180A">
        <w:t xml:space="preserve"> major response to Cyclone Tomas in March 2010</w:t>
      </w:r>
      <w:r w:rsidR="00E15346">
        <w:t xml:space="preserve">. </w:t>
      </w:r>
      <w:r>
        <w:t xml:space="preserve">The 2010 Pacific </w:t>
      </w:r>
      <w:r w:rsidR="00A53C0C">
        <w:t xml:space="preserve">Regional </w:t>
      </w:r>
      <w:r>
        <w:t>Millennium Development Goal (</w:t>
      </w:r>
      <w:r w:rsidRPr="0034399C">
        <w:t>MDG) Tracking</w:t>
      </w:r>
      <w:r>
        <w:t xml:space="preserve"> Report</w:t>
      </w:r>
      <w:r w:rsidR="00B1041B">
        <w:rPr>
          <w:rStyle w:val="FootnoteReference"/>
        </w:rPr>
        <w:footnoteReference w:id="3"/>
      </w:r>
      <w:r w:rsidR="001B028A">
        <w:t xml:space="preserve"> </w:t>
      </w:r>
      <w:r>
        <w:t xml:space="preserve">recorded that </w:t>
      </w:r>
      <w:smartTag w:uri="urn:schemas-microsoft-com:office:smarttags" w:element="country-region">
        <w:r>
          <w:t>Fiji</w:t>
        </w:r>
      </w:smartTag>
      <w:r>
        <w:t xml:space="preserve">’s progress against the health and education MDGs had </w:t>
      </w:r>
      <w:r w:rsidR="00A87B67">
        <w:t xml:space="preserve">regressed and that </w:t>
      </w:r>
      <w:smartTag w:uri="urn:schemas-microsoft-com:office:smarttags" w:element="country-region">
        <w:smartTag w:uri="urn:schemas-microsoft-com:office:smarttags" w:element="place">
          <w:r w:rsidR="00A87B67">
            <w:t>Fiji</w:t>
          </w:r>
        </w:smartTag>
      </w:smartTag>
      <w:r w:rsidR="00A87B67">
        <w:t xml:space="preserve"> was unlikely to meet the 2015 targets in these areas</w:t>
      </w:r>
      <w:r w:rsidR="00E15346">
        <w:t xml:space="preserve">. </w:t>
      </w:r>
      <w:r w:rsidR="00A87B67">
        <w:t>P</w:t>
      </w:r>
      <w:r w:rsidR="00A87B67" w:rsidRPr="00792316">
        <w:t>overty analyses</w:t>
      </w:r>
      <w:r w:rsidR="00A87B67">
        <w:rPr>
          <w:rStyle w:val="FootnoteReference"/>
        </w:rPr>
        <w:footnoteReference w:id="4"/>
      </w:r>
      <w:r w:rsidR="00A87B67" w:rsidRPr="00792316">
        <w:t xml:space="preserve"> estimate</w:t>
      </w:r>
      <w:r w:rsidR="00665608">
        <w:t>d that 26 per</w:t>
      </w:r>
      <w:r w:rsidR="00B31196">
        <w:t xml:space="preserve"> </w:t>
      </w:r>
      <w:r w:rsidR="00A87B67" w:rsidRPr="00792316">
        <w:t>cent</w:t>
      </w:r>
      <w:r w:rsidR="00665608">
        <w:t xml:space="preserve"> of urban households and 43 per</w:t>
      </w:r>
      <w:r w:rsidR="00B31196">
        <w:t xml:space="preserve"> </w:t>
      </w:r>
      <w:r w:rsidR="00A87B67" w:rsidRPr="00792316">
        <w:t xml:space="preserve">cent of rural households in </w:t>
      </w:r>
      <w:smartTag w:uri="urn:schemas-microsoft-com:office:smarttags" w:element="country-region">
        <w:smartTag w:uri="urn:schemas-microsoft-com:office:smarttags" w:element="place">
          <w:r w:rsidR="00A87B67" w:rsidRPr="00792316">
            <w:t>Fiji</w:t>
          </w:r>
        </w:smartTag>
      </w:smartTag>
      <w:r w:rsidR="00A87B67" w:rsidRPr="00792316">
        <w:t xml:space="preserve"> are living below the international poverty line.</w:t>
      </w:r>
      <w:r w:rsidR="00A87B67">
        <w:t xml:space="preserve"> Noting that MDGs </w:t>
      </w:r>
      <w:r w:rsidR="00665608">
        <w:t>we</w:t>
      </w:r>
      <w:r w:rsidR="00A87B67">
        <w:t xml:space="preserve">re now off track </w:t>
      </w:r>
      <w:r>
        <w:t>and that poverty in rural areas</w:t>
      </w:r>
      <w:r w:rsidR="00A87B67">
        <w:t xml:space="preserve"> ha</w:t>
      </w:r>
      <w:r w:rsidR="00665608">
        <w:t>d</w:t>
      </w:r>
      <w:r>
        <w:t xml:space="preserve"> increased, the aid program refocused </w:t>
      </w:r>
      <w:r w:rsidR="001B3612">
        <w:t>its support toward</w:t>
      </w:r>
      <w:r w:rsidR="00DF4FEE">
        <w:t>s</w:t>
      </w:r>
      <w:r w:rsidR="001B3612">
        <w:t xml:space="preserve"> </w:t>
      </w:r>
      <w:smartTag w:uri="urn:schemas-microsoft-com:office:smarttags" w:element="place">
        <w:smartTag w:uri="urn:schemas-microsoft-com:office:smarttags" w:element="country-region">
          <w:r>
            <w:t>Fiji</w:t>
          </w:r>
        </w:smartTag>
      </w:smartTag>
      <w:r>
        <w:t>’s vulnerable communities</w:t>
      </w:r>
      <w:r w:rsidR="00E15346">
        <w:t xml:space="preserve">. </w:t>
      </w:r>
    </w:p>
    <w:p w:rsidR="00AF0C56" w:rsidRDefault="009445F8" w:rsidP="009445F8">
      <w:pPr>
        <w:pStyle w:val="BodyText"/>
      </w:pPr>
      <w:smartTag w:uri="urn:schemas-microsoft-com:office:smarttags" w:element="country-region">
        <w:r>
          <w:t>Australia</w:t>
        </w:r>
      </w:smartTag>
      <w:r>
        <w:t xml:space="preserve"> retained its position as the largest bilateral donor to </w:t>
      </w:r>
      <w:smartTag w:uri="urn:schemas-microsoft-com:office:smarttags" w:element="country-region">
        <w:r>
          <w:t>Fiji</w:t>
        </w:r>
      </w:smartTag>
      <w:r w:rsidR="003F25A7">
        <w:t>—</w:t>
      </w:r>
      <w:r>
        <w:t>$17.89 million in 2009</w:t>
      </w:r>
      <w:r w:rsidR="003F25A7">
        <w:t>–</w:t>
      </w:r>
      <w:r>
        <w:t xml:space="preserve">10, and maintained continuous support in the areas that matter the most to the people of </w:t>
      </w:r>
      <w:smartTag w:uri="urn:schemas-microsoft-com:office:smarttags" w:element="country-region">
        <w:smartTag w:uri="urn:schemas-microsoft-com:office:smarttags" w:element="place">
          <w:r>
            <w:t>Fiji</w:t>
          </w:r>
        </w:smartTag>
      </w:smartTag>
      <w:r w:rsidR="003F25A7">
        <w:t>—</w:t>
      </w:r>
      <w:r>
        <w:t>basic health and education</w:t>
      </w:r>
      <w:r w:rsidR="00E15346">
        <w:t xml:space="preserve">. </w:t>
      </w:r>
      <w:r w:rsidR="0071180A">
        <w:t>T</w:t>
      </w:r>
      <w:r>
        <w:t xml:space="preserve">he </w:t>
      </w:r>
      <w:smartTag w:uri="urn:schemas-microsoft-com:office:smarttags" w:element="place">
        <w:smartTag w:uri="urn:schemas-microsoft-com:office:smarttags" w:element="country-region">
          <w:r>
            <w:t>Fiji</w:t>
          </w:r>
        </w:smartTag>
      </w:smartTag>
      <w:r>
        <w:t xml:space="preserve"> bilateral program stayed on track in 2010 through the provision of good quality assistance at the activity level</w:t>
      </w:r>
      <w:r w:rsidR="00FC6444">
        <w:t>. A</w:t>
      </w:r>
      <w:r w:rsidR="00A87B67">
        <w:t xml:space="preserve">t the same time, </w:t>
      </w:r>
      <w:r>
        <w:t>flexible</w:t>
      </w:r>
      <w:r w:rsidR="0071180A">
        <w:t>,</w:t>
      </w:r>
      <w:r>
        <w:t xml:space="preserve"> long</w:t>
      </w:r>
      <w:r w:rsidR="001B028A">
        <w:t>-</w:t>
      </w:r>
      <w:r>
        <w:t>term programs were being designed and tendered.</w:t>
      </w:r>
    </w:p>
    <w:p w:rsidR="00DF1246" w:rsidRPr="003F04D6" w:rsidRDefault="00130109" w:rsidP="00CF17D8">
      <w:pPr>
        <w:pStyle w:val="H1"/>
        <w:spacing w:before="240"/>
      </w:pPr>
      <w:bookmarkStart w:id="2" w:name="_Toc360976511"/>
      <w:r w:rsidRPr="003F04D6">
        <w:t>Program objectives</w:t>
      </w:r>
      <w:bookmarkEnd w:id="2"/>
    </w:p>
    <w:p w:rsidR="00776961" w:rsidRDefault="00F83722" w:rsidP="00F83722">
      <w:pPr>
        <w:pStyle w:val="BodyText"/>
      </w:pPr>
      <w:r>
        <w:t xml:space="preserve">The </w:t>
      </w:r>
      <w:smartTag w:uri="urn:schemas-microsoft-com:office:smarttags" w:element="country-region">
        <w:r w:rsidR="00DA5B15">
          <w:t>Fiji</w:t>
        </w:r>
      </w:smartTag>
      <w:r w:rsidR="00DA5B15">
        <w:t xml:space="preserve"> bilateral </w:t>
      </w:r>
      <w:r>
        <w:t>program is structured around three objectives and four cross</w:t>
      </w:r>
      <w:r w:rsidR="005425A7">
        <w:t>-</w:t>
      </w:r>
      <w:r>
        <w:t xml:space="preserve">cutting </w:t>
      </w:r>
      <w:r w:rsidR="00F60C2C">
        <w:t xml:space="preserve">priorities </w:t>
      </w:r>
      <w:r>
        <w:t xml:space="preserve">that characterise </w:t>
      </w:r>
      <w:smartTag w:uri="urn:schemas-microsoft-com:office:smarttags" w:element="country-region">
        <w:r>
          <w:t>Australia</w:t>
        </w:r>
      </w:smartTag>
      <w:r>
        <w:t xml:space="preserve">’s approach for the foreseeable future to achieving the central </w:t>
      </w:r>
      <w:r w:rsidR="00DA5B15">
        <w:t>aim of the program</w:t>
      </w:r>
      <w:r w:rsidR="00E06C68">
        <w:t xml:space="preserve">, which remains </w:t>
      </w:r>
      <w:r w:rsidR="00E06C68" w:rsidRPr="00E06C68">
        <w:rPr>
          <w:i/>
        </w:rPr>
        <w:t xml:space="preserve">to </w:t>
      </w:r>
      <w:r w:rsidR="00E06C68" w:rsidRPr="00DA5B15">
        <w:rPr>
          <w:i/>
        </w:rPr>
        <w:t xml:space="preserve">mitigate the social and economic hardships of the people of </w:t>
      </w:r>
      <w:smartTag w:uri="urn:schemas-microsoft-com:office:smarttags" w:element="country-region">
        <w:smartTag w:uri="urn:schemas-microsoft-com:office:smarttags" w:element="place">
          <w:r w:rsidR="00E06C68" w:rsidRPr="00DA5B15">
            <w:rPr>
              <w:i/>
            </w:rPr>
            <w:t>Fiji</w:t>
          </w:r>
        </w:smartTag>
      </w:smartTag>
      <w:r w:rsidR="00E06C68" w:rsidRPr="00DA5B15">
        <w:rPr>
          <w:i/>
        </w:rPr>
        <w:t xml:space="preserve"> </w:t>
      </w:r>
      <w:r w:rsidR="00E06C68" w:rsidRPr="00E06C68">
        <w:rPr>
          <w:i/>
        </w:rPr>
        <w:t>following the coup in 2006 and the global financial crisis in 2009</w:t>
      </w:r>
      <w:r w:rsidR="00DA5B15">
        <w:t>:</w:t>
      </w:r>
      <w:r>
        <w:t xml:space="preserve">  </w:t>
      </w:r>
    </w:p>
    <w:p w:rsidR="00776961" w:rsidRDefault="002A460C" w:rsidP="00F83722">
      <w:pPr>
        <w:pStyle w:val="BodyText"/>
      </w:pPr>
      <w:r>
        <w:t xml:space="preserve">Objective 1: </w:t>
      </w:r>
      <w:r w:rsidR="00DA5B15">
        <w:t>Improving access to quality education</w:t>
      </w:r>
    </w:p>
    <w:p w:rsidR="00DA5B15" w:rsidRDefault="00DA5B15" w:rsidP="00F83722">
      <w:pPr>
        <w:pStyle w:val="BodyText"/>
      </w:pPr>
      <w:r>
        <w:t>Objective 2: Strengthening primary health services</w:t>
      </w:r>
    </w:p>
    <w:p w:rsidR="00DA5B15" w:rsidRDefault="00DA5B15" w:rsidP="00F83722">
      <w:pPr>
        <w:pStyle w:val="BodyText"/>
      </w:pPr>
      <w:r>
        <w:t>Objective 3: Building resilience and economic opportunities in disadvantaged communities.</w:t>
      </w:r>
    </w:p>
    <w:p w:rsidR="00F83722" w:rsidRPr="00F83722" w:rsidRDefault="00F83722" w:rsidP="00F83722">
      <w:pPr>
        <w:pStyle w:val="BodyText"/>
      </w:pPr>
      <w:r>
        <w:lastRenderedPageBreak/>
        <w:t xml:space="preserve">The four crosscutting themes are: </w:t>
      </w:r>
      <w:r w:rsidR="00DA5B15" w:rsidRPr="008E4C24">
        <w:t xml:space="preserve">poverty analysis and </w:t>
      </w:r>
      <w:proofErr w:type="gramStart"/>
      <w:r w:rsidR="00E06C68" w:rsidRPr="008E4C24">
        <w:t>mapping</w:t>
      </w:r>
      <w:r w:rsidR="00E06C68">
        <w:t>,</w:t>
      </w:r>
      <w:proofErr w:type="gramEnd"/>
      <w:r w:rsidR="00DA5B15" w:rsidRPr="008E4C24">
        <w:t xml:space="preserve"> support to civil society, people</w:t>
      </w:r>
      <w:r w:rsidR="00FC6444">
        <w:t>-</w:t>
      </w:r>
      <w:r w:rsidR="00DA5B15" w:rsidRPr="008E4C24">
        <w:t>to</w:t>
      </w:r>
      <w:r w:rsidR="00FC6444">
        <w:t>-</w:t>
      </w:r>
      <w:r w:rsidR="00DA5B15" w:rsidRPr="008E4C24">
        <w:t>people links and disaster risk reduction</w:t>
      </w:r>
      <w:r>
        <w:t>.</w:t>
      </w:r>
    </w:p>
    <w:p w:rsidR="00842196" w:rsidRDefault="00842196" w:rsidP="00CF17D8">
      <w:pPr>
        <w:pStyle w:val="Heading2"/>
        <w:keepNext/>
        <w:tabs>
          <w:tab w:val="left" w:pos="1920"/>
        </w:tabs>
        <w:spacing w:before="240" w:after="120" w:line="320" w:lineRule="atLeast"/>
        <w:ind w:left="0"/>
      </w:pPr>
      <w:bookmarkStart w:id="3" w:name="_Toc360976512"/>
      <w:r w:rsidRPr="00A6320C">
        <w:t>Expenditure</w:t>
      </w:r>
      <w:bookmarkEnd w:id="3"/>
    </w:p>
    <w:p w:rsidR="00842196" w:rsidRPr="003E4C57" w:rsidRDefault="00842196" w:rsidP="00842196">
      <w:pPr>
        <w:pStyle w:val="Caption"/>
        <w:rPr>
          <w:highlight w:val="magenta"/>
        </w:rPr>
      </w:pPr>
      <w:r w:rsidRPr="00E271CD">
        <w:t xml:space="preserve">Table </w:t>
      </w:r>
      <w:r w:rsidR="006207C0">
        <w:t>1</w:t>
      </w:r>
      <w:r w:rsidRPr="00E271CD">
        <w:t xml:space="preserve">: </w:t>
      </w:r>
      <w:r>
        <w:t>Estimated e</w:t>
      </w:r>
      <w:r w:rsidRPr="00E271CD">
        <w:t>xpenditure</w:t>
      </w:r>
      <w:r>
        <w:t xml:space="preserve"> in 2010</w:t>
      </w:r>
      <w:r w:rsidR="0034399C">
        <w:t>–</w:t>
      </w:r>
      <w:r>
        <w:t xml:space="preserve">11 </w:t>
      </w:r>
    </w:p>
    <w:tbl>
      <w:tblPr>
        <w:tblW w:w="7800" w:type="dxa"/>
        <w:tblInd w:w="57" w:type="dxa"/>
        <w:tblLayout w:type="fixed"/>
        <w:tblLook w:val="0000" w:firstRow="0" w:lastRow="0" w:firstColumn="0" w:lastColumn="0" w:noHBand="0" w:noVBand="0"/>
      </w:tblPr>
      <w:tblGrid>
        <w:gridCol w:w="4080"/>
        <w:gridCol w:w="240"/>
        <w:gridCol w:w="2160"/>
        <w:gridCol w:w="1320"/>
      </w:tblGrid>
      <w:tr w:rsidR="00842196" w:rsidRPr="003E4C57" w:rsidTr="003F04D6">
        <w:trPr>
          <w:cantSplit/>
          <w:tblHeader/>
        </w:trPr>
        <w:tc>
          <w:tcPr>
            <w:tcW w:w="4080" w:type="dxa"/>
            <w:tcBorders>
              <w:top w:val="single" w:sz="12" w:space="0" w:color="auto"/>
              <w:bottom w:val="single" w:sz="2" w:space="0" w:color="auto"/>
            </w:tcBorders>
            <w:shd w:val="clear" w:color="auto" w:fill="auto"/>
            <w:tcMar>
              <w:left w:w="57" w:type="dxa"/>
              <w:right w:w="57" w:type="dxa"/>
            </w:tcMar>
          </w:tcPr>
          <w:p w:rsidR="00842196" w:rsidRDefault="001E22CB" w:rsidP="007A2365">
            <w:pPr>
              <w:pStyle w:val="TableDataColumnHeading"/>
              <w:jc w:val="left"/>
            </w:pPr>
            <w:r>
              <w:t>Objective</w:t>
            </w:r>
          </w:p>
        </w:tc>
        <w:tc>
          <w:tcPr>
            <w:tcW w:w="240" w:type="dxa"/>
            <w:tcBorders>
              <w:top w:val="single" w:sz="12" w:space="0" w:color="auto"/>
              <w:bottom w:val="single" w:sz="2" w:space="0" w:color="auto"/>
            </w:tcBorders>
          </w:tcPr>
          <w:p w:rsidR="00842196" w:rsidRDefault="00842196" w:rsidP="007A2365">
            <w:pPr>
              <w:pStyle w:val="TableDataColumnHeading"/>
            </w:pPr>
          </w:p>
        </w:tc>
        <w:tc>
          <w:tcPr>
            <w:tcW w:w="2160" w:type="dxa"/>
            <w:tcBorders>
              <w:top w:val="single" w:sz="12" w:space="0" w:color="auto"/>
              <w:bottom w:val="single" w:sz="2" w:space="0" w:color="auto"/>
            </w:tcBorders>
            <w:shd w:val="clear" w:color="auto" w:fill="auto"/>
            <w:tcMar>
              <w:left w:w="57" w:type="dxa"/>
              <w:right w:w="57" w:type="dxa"/>
            </w:tcMar>
          </w:tcPr>
          <w:p w:rsidR="00842196" w:rsidRDefault="00842196" w:rsidP="007A2365">
            <w:pPr>
              <w:pStyle w:val="TableDataColumnHeading"/>
            </w:pPr>
            <w:r>
              <w:t>$ million</w:t>
            </w:r>
          </w:p>
        </w:tc>
        <w:tc>
          <w:tcPr>
            <w:tcW w:w="1320" w:type="dxa"/>
            <w:tcBorders>
              <w:top w:val="single" w:sz="12" w:space="0" w:color="auto"/>
              <w:bottom w:val="single" w:sz="2" w:space="0" w:color="auto"/>
            </w:tcBorders>
            <w:shd w:val="clear" w:color="auto" w:fill="auto"/>
            <w:tcMar>
              <w:left w:w="57" w:type="dxa"/>
              <w:right w:w="57" w:type="dxa"/>
            </w:tcMar>
          </w:tcPr>
          <w:p w:rsidR="00842196" w:rsidRDefault="00842196" w:rsidP="007A2365">
            <w:pPr>
              <w:pStyle w:val="TableDataColumnHeading"/>
            </w:pPr>
            <w:r>
              <w:t>% of bilateral program</w:t>
            </w:r>
          </w:p>
        </w:tc>
      </w:tr>
      <w:tr w:rsidR="00842196" w:rsidRPr="002452D0" w:rsidTr="00CF17D8">
        <w:trPr>
          <w:cantSplit/>
        </w:trPr>
        <w:tc>
          <w:tcPr>
            <w:tcW w:w="4080" w:type="dxa"/>
            <w:shd w:val="clear" w:color="auto" w:fill="auto"/>
            <w:tcMar>
              <w:left w:w="57" w:type="dxa"/>
              <w:right w:w="57" w:type="dxa"/>
            </w:tcMar>
          </w:tcPr>
          <w:p w:rsidR="00842196" w:rsidRPr="00706F9F" w:rsidRDefault="00AB1623" w:rsidP="0082625E">
            <w:pPr>
              <w:pStyle w:val="TableTextEntries"/>
              <w:rPr>
                <w:b/>
              </w:rPr>
            </w:pPr>
            <w:r>
              <w:t>Improving access to</w:t>
            </w:r>
            <w:r w:rsidR="0082625E">
              <w:t xml:space="preserve"> quality education</w:t>
            </w:r>
          </w:p>
        </w:tc>
        <w:tc>
          <w:tcPr>
            <w:tcW w:w="240" w:type="dxa"/>
          </w:tcPr>
          <w:p w:rsidR="00842196" w:rsidRDefault="00842196" w:rsidP="007A2365">
            <w:pPr>
              <w:pStyle w:val="TableDataEntries"/>
            </w:pPr>
          </w:p>
        </w:tc>
        <w:tc>
          <w:tcPr>
            <w:tcW w:w="2160" w:type="dxa"/>
            <w:shd w:val="clear" w:color="auto" w:fill="auto"/>
            <w:tcMar>
              <w:left w:w="57" w:type="dxa"/>
              <w:right w:w="57" w:type="dxa"/>
            </w:tcMar>
          </w:tcPr>
          <w:p w:rsidR="00842196" w:rsidRPr="002452D0" w:rsidRDefault="0082625E" w:rsidP="007A2365">
            <w:pPr>
              <w:pStyle w:val="TableDataEntries"/>
            </w:pPr>
            <w:r>
              <w:t>2.716</w:t>
            </w:r>
          </w:p>
        </w:tc>
        <w:tc>
          <w:tcPr>
            <w:tcW w:w="1320" w:type="dxa"/>
            <w:shd w:val="clear" w:color="auto" w:fill="auto"/>
            <w:tcMar>
              <w:left w:w="57" w:type="dxa"/>
              <w:right w:w="57" w:type="dxa"/>
            </w:tcMar>
          </w:tcPr>
          <w:p w:rsidR="00842196" w:rsidRPr="002452D0" w:rsidRDefault="0082625E" w:rsidP="003F25A7">
            <w:pPr>
              <w:pStyle w:val="TableDataEntries"/>
            </w:pPr>
            <w:r>
              <w:t>15</w:t>
            </w:r>
          </w:p>
        </w:tc>
      </w:tr>
      <w:tr w:rsidR="00842196" w:rsidRPr="002452D0" w:rsidTr="00CF17D8">
        <w:trPr>
          <w:cantSplit/>
        </w:trPr>
        <w:tc>
          <w:tcPr>
            <w:tcW w:w="4080" w:type="dxa"/>
            <w:shd w:val="clear" w:color="auto" w:fill="auto"/>
            <w:tcMar>
              <w:left w:w="57" w:type="dxa"/>
              <w:right w:w="57" w:type="dxa"/>
            </w:tcMar>
          </w:tcPr>
          <w:p w:rsidR="0082625E" w:rsidRDefault="0082625E" w:rsidP="0082625E">
            <w:pPr>
              <w:pStyle w:val="TableTextEntries"/>
            </w:pPr>
            <w:r>
              <w:t>Strengthening primary health services</w:t>
            </w:r>
          </w:p>
        </w:tc>
        <w:tc>
          <w:tcPr>
            <w:tcW w:w="240" w:type="dxa"/>
          </w:tcPr>
          <w:p w:rsidR="00842196" w:rsidRDefault="00842196" w:rsidP="007A2365">
            <w:pPr>
              <w:pStyle w:val="TableDataEntries"/>
            </w:pPr>
          </w:p>
        </w:tc>
        <w:tc>
          <w:tcPr>
            <w:tcW w:w="2160" w:type="dxa"/>
            <w:shd w:val="clear" w:color="auto" w:fill="auto"/>
            <w:tcMar>
              <w:left w:w="57" w:type="dxa"/>
              <w:right w:w="57" w:type="dxa"/>
            </w:tcMar>
          </w:tcPr>
          <w:p w:rsidR="0082625E" w:rsidRDefault="0082625E" w:rsidP="0082625E">
            <w:pPr>
              <w:pStyle w:val="TableDataEntries"/>
            </w:pPr>
            <w:r>
              <w:t>5.479</w:t>
            </w:r>
          </w:p>
        </w:tc>
        <w:tc>
          <w:tcPr>
            <w:tcW w:w="1320" w:type="dxa"/>
            <w:shd w:val="clear" w:color="auto" w:fill="auto"/>
            <w:tcMar>
              <w:left w:w="57" w:type="dxa"/>
              <w:right w:w="57" w:type="dxa"/>
            </w:tcMar>
          </w:tcPr>
          <w:p w:rsidR="00842196" w:rsidRDefault="0082625E" w:rsidP="007A2365">
            <w:pPr>
              <w:pStyle w:val="TableDataEntries"/>
            </w:pPr>
            <w:r>
              <w:t>31</w:t>
            </w:r>
          </w:p>
        </w:tc>
      </w:tr>
      <w:tr w:rsidR="00842196" w:rsidRPr="002452D0" w:rsidTr="00CF17D8">
        <w:trPr>
          <w:cantSplit/>
        </w:trPr>
        <w:tc>
          <w:tcPr>
            <w:tcW w:w="4080" w:type="dxa"/>
            <w:shd w:val="clear" w:color="auto" w:fill="auto"/>
            <w:tcMar>
              <w:left w:w="57" w:type="dxa"/>
              <w:right w:w="57" w:type="dxa"/>
            </w:tcMar>
          </w:tcPr>
          <w:p w:rsidR="00842196" w:rsidRPr="0082625E" w:rsidRDefault="0082625E" w:rsidP="00842196">
            <w:pPr>
              <w:pStyle w:val="TableTextEntries"/>
            </w:pPr>
            <w:r w:rsidRPr="0082625E">
              <w:t>Building resilience and economic opportunities in disadvantaged communities</w:t>
            </w:r>
          </w:p>
        </w:tc>
        <w:tc>
          <w:tcPr>
            <w:tcW w:w="240" w:type="dxa"/>
          </w:tcPr>
          <w:p w:rsidR="00842196" w:rsidRDefault="00842196" w:rsidP="007A2365">
            <w:pPr>
              <w:pStyle w:val="TableDataEntries"/>
            </w:pPr>
          </w:p>
        </w:tc>
        <w:tc>
          <w:tcPr>
            <w:tcW w:w="2160" w:type="dxa"/>
            <w:shd w:val="clear" w:color="auto" w:fill="auto"/>
            <w:tcMar>
              <w:left w:w="57" w:type="dxa"/>
              <w:right w:w="57" w:type="dxa"/>
            </w:tcMar>
          </w:tcPr>
          <w:p w:rsidR="00842196" w:rsidRPr="002452D0" w:rsidRDefault="0082625E" w:rsidP="007A2365">
            <w:pPr>
              <w:pStyle w:val="TableDataEntries"/>
            </w:pPr>
            <w:r>
              <w:t>1.726</w:t>
            </w:r>
          </w:p>
        </w:tc>
        <w:tc>
          <w:tcPr>
            <w:tcW w:w="1320" w:type="dxa"/>
            <w:shd w:val="clear" w:color="auto" w:fill="auto"/>
            <w:tcMar>
              <w:left w:w="57" w:type="dxa"/>
              <w:right w:w="57" w:type="dxa"/>
            </w:tcMar>
          </w:tcPr>
          <w:p w:rsidR="00842196" w:rsidRPr="002452D0" w:rsidRDefault="0082625E" w:rsidP="007A2365">
            <w:pPr>
              <w:pStyle w:val="TableDataEntries"/>
            </w:pPr>
            <w:r>
              <w:t>10</w:t>
            </w:r>
          </w:p>
        </w:tc>
      </w:tr>
      <w:tr w:rsidR="0082625E" w:rsidRPr="002452D0" w:rsidTr="00CF17D8">
        <w:trPr>
          <w:cantSplit/>
        </w:trPr>
        <w:tc>
          <w:tcPr>
            <w:tcW w:w="4080" w:type="dxa"/>
            <w:tcBorders>
              <w:bottom w:val="single" w:sz="12" w:space="0" w:color="auto"/>
            </w:tcBorders>
            <w:shd w:val="clear" w:color="auto" w:fill="auto"/>
            <w:tcMar>
              <w:left w:w="57" w:type="dxa"/>
              <w:right w:w="57" w:type="dxa"/>
            </w:tcMar>
          </w:tcPr>
          <w:p w:rsidR="0082625E" w:rsidRPr="0082625E" w:rsidRDefault="0082625E" w:rsidP="005425A7">
            <w:pPr>
              <w:pStyle w:val="TableTextEntries"/>
            </w:pPr>
            <w:r>
              <w:t>Crosscutting priorities</w:t>
            </w:r>
          </w:p>
        </w:tc>
        <w:tc>
          <w:tcPr>
            <w:tcW w:w="240" w:type="dxa"/>
            <w:tcBorders>
              <w:bottom w:val="single" w:sz="12" w:space="0" w:color="auto"/>
            </w:tcBorders>
          </w:tcPr>
          <w:p w:rsidR="0082625E" w:rsidRDefault="0082625E" w:rsidP="007A2365">
            <w:pPr>
              <w:pStyle w:val="TableDataEntries"/>
            </w:pPr>
          </w:p>
        </w:tc>
        <w:tc>
          <w:tcPr>
            <w:tcW w:w="2160" w:type="dxa"/>
            <w:tcBorders>
              <w:bottom w:val="single" w:sz="12" w:space="0" w:color="auto"/>
            </w:tcBorders>
            <w:shd w:val="clear" w:color="auto" w:fill="auto"/>
            <w:tcMar>
              <w:left w:w="57" w:type="dxa"/>
              <w:right w:w="57" w:type="dxa"/>
            </w:tcMar>
          </w:tcPr>
          <w:p w:rsidR="0082625E" w:rsidRDefault="0082625E" w:rsidP="007A2365">
            <w:pPr>
              <w:pStyle w:val="TableDataEntries"/>
            </w:pPr>
            <w:r>
              <w:t>6.311</w:t>
            </w:r>
          </w:p>
        </w:tc>
        <w:tc>
          <w:tcPr>
            <w:tcW w:w="1320" w:type="dxa"/>
            <w:tcBorders>
              <w:bottom w:val="single" w:sz="12" w:space="0" w:color="auto"/>
            </w:tcBorders>
            <w:shd w:val="clear" w:color="auto" w:fill="auto"/>
            <w:tcMar>
              <w:left w:w="57" w:type="dxa"/>
              <w:right w:w="57" w:type="dxa"/>
            </w:tcMar>
          </w:tcPr>
          <w:p w:rsidR="0082625E" w:rsidRDefault="003F25A7" w:rsidP="007A2365">
            <w:pPr>
              <w:pStyle w:val="TableDataEntries"/>
            </w:pPr>
            <w:r>
              <w:t>36</w:t>
            </w:r>
          </w:p>
        </w:tc>
      </w:tr>
      <w:tr w:rsidR="0082625E" w:rsidRPr="0082625E" w:rsidTr="00CF17D8">
        <w:trPr>
          <w:cantSplit/>
        </w:trPr>
        <w:tc>
          <w:tcPr>
            <w:tcW w:w="4080" w:type="dxa"/>
            <w:tcBorders>
              <w:top w:val="single" w:sz="12" w:space="0" w:color="auto"/>
              <w:bottom w:val="single" w:sz="12" w:space="0" w:color="auto"/>
            </w:tcBorders>
            <w:shd w:val="clear" w:color="auto" w:fill="auto"/>
            <w:tcMar>
              <w:left w:w="57" w:type="dxa"/>
              <w:right w:w="57" w:type="dxa"/>
            </w:tcMar>
          </w:tcPr>
          <w:p w:rsidR="0082625E" w:rsidRPr="0082625E" w:rsidRDefault="0082625E" w:rsidP="00842196">
            <w:pPr>
              <w:pStyle w:val="TableTextEntries"/>
              <w:rPr>
                <w:b/>
              </w:rPr>
            </w:pPr>
            <w:r w:rsidRPr="0082625E">
              <w:rPr>
                <w:b/>
              </w:rPr>
              <w:t>TOTAL</w:t>
            </w:r>
          </w:p>
        </w:tc>
        <w:tc>
          <w:tcPr>
            <w:tcW w:w="240" w:type="dxa"/>
            <w:tcBorders>
              <w:top w:val="single" w:sz="12" w:space="0" w:color="auto"/>
              <w:bottom w:val="single" w:sz="12" w:space="0" w:color="auto"/>
            </w:tcBorders>
          </w:tcPr>
          <w:p w:rsidR="0082625E" w:rsidRPr="0082625E" w:rsidRDefault="0082625E" w:rsidP="007A2365">
            <w:pPr>
              <w:pStyle w:val="TableDataEntries"/>
              <w:rPr>
                <w:b/>
              </w:rPr>
            </w:pPr>
          </w:p>
        </w:tc>
        <w:tc>
          <w:tcPr>
            <w:tcW w:w="2160" w:type="dxa"/>
            <w:tcBorders>
              <w:top w:val="single" w:sz="12" w:space="0" w:color="auto"/>
              <w:bottom w:val="single" w:sz="12" w:space="0" w:color="auto"/>
            </w:tcBorders>
            <w:shd w:val="clear" w:color="auto" w:fill="auto"/>
            <w:tcMar>
              <w:left w:w="57" w:type="dxa"/>
              <w:right w:w="57" w:type="dxa"/>
            </w:tcMar>
          </w:tcPr>
          <w:p w:rsidR="0082625E" w:rsidRPr="0082625E" w:rsidRDefault="0082625E" w:rsidP="007A2365">
            <w:pPr>
              <w:pStyle w:val="TableDataEntries"/>
              <w:rPr>
                <w:b/>
              </w:rPr>
            </w:pPr>
            <w:r>
              <w:rPr>
                <w:b/>
              </w:rPr>
              <w:t>16.031</w:t>
            </w:r>
          </w:p>
        </w:tc>
        <w:tc>
          <w:tcPr>
            <w:tcW w:w="1320" w:type="dxa"/>
            <w:tcBorders>
              <w:top w:val="single" w:sz="12" w:space="0" w:color="auto"/>
              <w:bottom w:val="single" w:sz="12" w:space="0" w:color="auto"/>
            </w:tcBorders>
            <w:shd w:val="clear" w:color="auto" w:fill="auto"/>
            <w:tcMar>
              <w:left w:w="57" w:type="dxa"/>
              <w:right w:w="57" w:type="dxa"/>
            </w:tcMar>
          </w:tcPr>
          <w:p w:rsidR="0082625E" w:rsidRPr="0082625E" w:rsidRDefault="0082625E" w:rsidP="007A2365">
            <w:pPr>
              <w:pStyle w:val="TableDataEntries"/>
              <w:rPr>
                <w:b/>
              </w:rPr>
            </w:pPr>
            <w:r>
              <w:rPr>
                <w:b/>
              </w:rPr>
              <w:t>92</w:t>
            </w:r>
          </w:p>
        </w:tc>
      </w:tr>
    </w:tbl>
    <w:p w:rsidR="00130109" w:rsidRPr="003F04D6" w:rsidRDefault="00130109" w:rsidP="00CF17D8">
      <w:pPr>
        <w:pStyle w:val="H1"/>
        <w:spacing w:before="240"/>
      </w:pPr>
      <w:bookmarkStart w:id="4" w:name="_Toc360976513"/>
      <w:r w:rsidRPr="003F04D6">
        <w:t>Progress against objectives</w:t>
      </w:r>
      <w:bookmarkEnd w:id="4"/>
    </w:p>
    <w:p w:rsidR="00E06C68" w:rsidRDefault="00E06C68" w:rsidP="00E06C68">
      <w:pPr>
        <w:spacing w:before="80" w:after="80" w:line="280" w:lineRule="atLeast"/>
        <w:rPr>
          <w:rFonts w:ascii="Georgia" w:hAnsi="Georgia"/>
          <w:sz w:val="19"/>
          <w:szCs w:val="19"/>
        </w:rPr>
      </w:pPr>
      <w:r w:rsidRPr="00F83722">
        <w:rPr>
          <w:rFonts w:ascii="Georgia" w:hAnsi="Georgia"/>
          <w:sz w:val="19"/>
          <w:szCs w:val="19"/>
        </w:rPr>
        <w:t xml:space="preserve">The aid program’s ability </w:t>
      </w:r>
      <w:r w:rsidRPr="00E06C68">
        <w:rPr>
          <w:rFonts w:ascii="Georgia" w:hAnsi="Georgia"/>
          <w:sz w:val="19"/>
          <w:szCs w:val="19"/>
        </w:rPr>
        <w:t>to achieve its objectives is c</w:t>
      </w:r>
      <w:r w:rsidRPr="00F83722">
        <w:rPr>
          <w:rFonts w:ascii="Georgia" w:hAnsi="Georgia"/>
          <w:sz w:val="19"/>
          <w:szCs w:val="19"/>
        </w:rPr>
        <w:t>onstrained by the current political environment and the relatively small size of the program</w:t>
      </w:r>
      <w:r w:rsidR="00E15346">
        <w:rPr>
          <w:rFonts w:ascii="Georgia" w:hAnsi="Georgia"/>
          <w:sz w:val="19"/>
          <w:szCs w:val="19"/>
        </w:rPr>
        <w:t xml:space="preserve">. </w:t>
      </w:r>
      <w:r>
        <w:rPr>
          <w:rFonts w:ascii="Georgia" w:hAnsi="Georgia"/>
          <w:sz w:val="19"/>
          <w:szCs w:val="19"/>
        </w:rPr>
        <w:t xml:space="preserve">The program cannot engage fully with government in the same way that </w:t>
      </w:r>
      <w:smartTag w:uri="urn:schemas-microsoft-com:office:smarttags" w:element="country-region">
        <w:smartTag w:uri="urn:schemas-microsoft-com:office:smarttags" w:element="place">
          <w:r>
            <w:rPr>
              <w:rFonts w:ascii="Georgia" w:hAnsi="Georgia"/>
              <w:sz w:val="19"/>
              <w:szCs w:val="19"/>
            </w:rPr>
            <w:t>Australia</w:t>
          </w:r>
        </w:smartTag>
      </w:smartTag>
      <w:r>
        <w:rPr>
          <w:rFonts w:ascii="Georgia" w:hAnsi="Georgia"/>
          <w:sz w:val="19"/>
          <w:szCs w:val="19"/>
        </w:rPr>
        <w:t xml:space="preserve"> can in most other countries and the challenge is not to undermine the work of the Ministries of Health and Education by working in parallel</w:t>
      </w:r>
      <w:r w:rsidR="0071180A">
        <w:rPr>
          <w:rFonts w:ascii="Georgia" w:hAnsi="Georgia"/>
          <w:sz w:val="19"/>
          <w:szCs w:val="19"/>
        </w:rPr>
        <w:t>,</w:t>
      </w:r>
      <w:r>
        <w:rPr>
          <w:rFonts w:ascii="Georgia" w:hAnsi="Georgia"/>
          <w:sz w:val="19"/>
          <w:szCs w:val="19"/>
        </w:rPr>
        <w:t xml:space="preserve"> or duplicati</w:t>
      </w:r>
      <w:r w:rsidR="001C0D12">
        <w:rPr>
          <w:rFonts w:ascii="Georgia" w:hAnsi="Georgia"/>
          <w:sz w:val="19"/>
          <w:szCs w:val="19"/>
        </w:rPr>
        <w:t>ng</w:t>
      </w:r>
      <w:r>
        <w:rPr>
          <w:rFonts w:ascii="Georgia" w:hAnsi="Georgia"/>
          <w:sz w:val="19"/>
          <w:szCs w:val="19"/>
        </w:rPr>
        <w:t xml:space="preserve"> effort</w:t>
      </w:r>
      <w:r w:rsidR="00E15346">
        <w:rPr>
          <w:rFonts w:ascii="Georgia" w:hAnsi="Georgia"/>
          <w:sz w:val="19"/>
          <w:szCs w:val="19"/>
        </w:rPr>
        <w:t xml:space="preserve">. </w:t>
      </w:r>
      <w:r>
        <w:rPr>
          <w:rFonts w:ascii="Georgia" w:hAnsi="Georgia"/>
          <w:sz w:val="19"/>
          <w:szCs w:val="19"/>
        </w:rPr>
        <w:t>The Fiji bilateral aid program has continued to work with relevant line agencies to ensure Australia’s aid programs are as targeted and effective as possible, aligned with existing systems, and support broader development objectives to maintain basic social services, particularly in health and education.</w:t>
      </w:r>
    </w:p>
    <w:p w:rsidR="00776961" w:rsidRDefault="0071180A" w:rsidP="00E06C68">
      <w:pPr>
        <w:spacing w:before="80" w:after="80" w:line="280" w:lineRule="atLeast"/>
        <w:rPr>
          <w:rFonts w:ascii="Georgia" w:hAnsi="Georgia"/>
          <w:sz w:val="19"/>
          <w:szCs w:val="19"/>
        </w:rPr>
      </w:pPr>
      <w:r>
        <w:rPr>
          <w:rFonts w:ascii="Georgia" w:hAnsi="Georgia"/>
          <w:sz w:val="19"/>
          <w:szCs w:val="19"/>
        </w:rPr>
        <w:t>Given the deteriora</w:t>
      </w:r>
      <w:r w:rsidR="001B028A">
        <w:rPr>
          <w:rFonts w:ascii="Georgia" w:hAnsi="Georgia"/>
          <w:sz w:val="19"/>
          <w:szCs w:val="19"/>
        </w:rPr>
        <w:t>t</w:t>
      </w:r>
      <w:r>
        <w:rPr>
          <w:rFonts w:ascii="Georgia" w:hAnsi="Georgia"/>
          <w:sz w:val="19"/>
          <w:szCs w:val="19"/>
        </w:rPr>
        <w:t xml:space="preserve">ing social and economic environment in </w:t>
      </w:r>
      <w:smartTag w:uri="urn:schemas-microsoft-com:office:smarttags" w:element="country-region">
        <w:smartTag w:uri="urn:schemas-microsoft-com:office:smarttags" w:element="place">
          <w:r>
            <w:rPr>
              <w:rFonts w:ascii="Georgia" w:hAnsi="Georgia"/>
              <w:sz w:val="19"/>
              <w:szCs w:val="19"/>
            </w:rPr>
            <w:t>Fiji</w:t>
          </w:r>
        </w:smartTag>
      </w:smartTag>
      <w:r>
        <w:rPr>
          <w:rFonts w:ascii="Georgia" w:hAnsi="Georgia"/>
          <w:sz w:val="19"/>
          <w:szCs w:val="19"/>
        </w:rPr>
        <w:t>, the s</w:t>
      </w:r>
      <w:r w:rsidR="00776961">
        <w:rPr>
          <w:rFonts w:ascii="Georgia" w:hAnsi="Georgia"/>
          <w:sz w:val="19"/>
          <w:szCs w:val="19"/>
        </w:rPr>
        <w:t xml:space="preserve">uccess </w:t>
      </w:r>
      <w:r w:rsidR="00E06C68" w:rsidRPr="00E06C68">
        <w:rPr>
          <w:rFonts w:ascii="Georgia" w:hAnsi="Georgia"/>
          <w:sz w:val="19"/>
          <w:szCs w:val="19"/>
        </w:rPr>
        <w:t>of</w:t>
      </w:r>
      <w:r w:rsidR="00776961">
        <w:rPr>
          <w:rFonts w:ascii="Georgia" w:hAnsi="Georgia"/>
          <w:sz w:val="19"/>
          <w:szCs w:val="19"/>
        </w:rPr>
        <w:t xml:space="preserve"> the </w:t>
      </w:r>
      <w:r w:rsidR="00E06C68" w:rsidRPr="00E06C68">
        <w:rPr>
          <w:rFonts w:ascii="Georgia" w:hAnsi="Georgia"/>
          <w:sz w:val="19"/>
          <w:szCs w:val="19"/>
        </w:rPr>
        <w:t xml:space="preserve">program in 2010 </w:t>
      </w:r>
      <w:r w:rsidR="001C0D12">
        <w:rPr>
          <w:rFonts w:ascii="Georgia" w:hAnsi="Georgia"/>
          <w:sz w:val="19"/>
          <w:szCs w:val="19"/>
        </w:rPr>
        <w:t>was</w:t>
      </w:r>
      <w:r w:rsidR="00776961">
        <w:rPr>
          <w:rFonts w:ascii="Georgia" w:hAnsi="Georgia"/>
          <w:sz w:val="19"/>
          <w:szCs w:val="19"/>
        </w:rPr>
        <w:t xml:space="preserve"> judged primarily on the impacts of individual activities at sector level, rather than their contribution towards higher</w:t>
      </w:r>
      <w:r w:rsidR="001C0D12">
        <w:rPr>
          <w:rFonts w:ascii="Georgia" w:hAnsi="Georgia"/>
          <w:sz w:val="19"/>
          <w:szCs w:val="19"/>
        </w:rPr>
        <w:t>-</w:t>
      </w:r>
      <w:r w:rsidR="00776961">
        <w:rPr>
          <w:rFonts w:ascii="Georgia" w:hAnsi="Georgia"/>
          <w:sz w:val="19"/>
          <w:szCs w:val="19"/>
        </w:rPr>
        <w:t>level national development outcomes.</w:t>
      </w:r>
    </w:p>
    <w:p w:rsidR="00AB1623" w:rsidRPr="00E06C68" w:rsidRDefault="00AB1623" w:rsidP="00E06C68">
      <w:pPr>
        <w:spacing w:before="80" w:after="80" w:line="280" w:lineRule="atLeast"/>
        <w:rPr>
          <w:rFonts w:ascii="Georgia" w:hAnsi="Georgia"/>
          <w:sz w:val="19"/>
          <w:szCs w:val="19"/>
        </w:rPr>
      </w:pPr>
      <w:r>
        <w:rPr>
          <w:rFonts w:ascii="Georgia" w:hAnsi="Georgia"/>
          <w:sz w:val="19"/>
          <w:szCs w:val="19"/>
        </w:rPr>
        <w:br w:type="page"/>
      </w:r>
    </w:p>
    <w:p w:rsidR="00F83722" w:rsidRDefault="00F83722" w:rsidP="00F83722">
      <w:pPr>
        <w:pStyle w:val="TableHeading1"/>
        <w:spacing w:before="240"/>
      </w:pPr>
      <w:r>
        <w:lastRenderedPageBreak/>
        <w:t xml:space="preserve">Table </w:t>
      </w:r>
      <w:fldSimple w:instr=" SEQ Table \* MERGEFORMAT ">
        <w:r w:rsidR="005C77CF">
          <w:rPr>
            <w:noProof/>
          </w:rPr>
          <w:t>1</w:t>
        </w:r>
      </w:fldSimple>
      <w:r>
        <w:t xml:space="preserve">: Ratings of the program’s progress in 2010 </w:t>
      </w:r>
    </w:p>
    <w:tbl>
      <w:tblPr>
        <w:tblW w:w="8812" w:type="dxa"/>
        <w:tblInd w:w="57" w:type="dxa"/>
        <w:tblLook w:val="01E0" w:firstRow="1" w:lastRow="1" w:firstColumn="1" w:lastColumn="1" w:noHBand="0" w:noVBand="0"/>
      </w:tblPr>
      <w:tblGrid>
        <w:gridCol w:w="6600"/>
        <w:gridCol w:w="896"/>
        <w:gridCol w:w="1316"/>
      </w:tblGrid>
      <w:tr w:rsidR="00F83722" w:rsidRPr="00D81B5B" w:rsidTr="003F04D6">
        <w:trPr>
          <w:cantSplit/>
          <w:tblHeader/>
        </w:trPr>
        <w:tc>
          <w:tcPr>
            <w:tcW w:w="6600" w:type="dxa"/>
            <w:tcBorders>
              <w:top w:val="single" w:sz="12" w:space="0" w:color="auto"/>
              <w:bottom w:val="single" w:sz="2" w:space="0" w:color="auto"/>
            </w:tcBorders>
            <w:shd w:val="clear" w:color="auto" w:fill="auto"/>
            <w:tcMar>
              <w:left w:w="57" w:type="dxa"/>
              <w:right w:w="57" w:type="dxa"/>
            </w:tcMar>
          </w:tcPr>
          <w:p w:rsidR="00F83722" w:rsidRPr="00D81B5B" w:rsidRDefault="00F83722" w:rsidP="0074372C">
            <w:pPr>
              <w:pStyle w:val="TableTextColumnHeading"/>
            </w:pPr>
            <w:r w:rsidRPr="00D81B5B">
              <w:t>Objective</w:t>
            </w:r>
          </w:p>
        </w:tc>
        <w:tc>
          <w:tcPr>
            <w:tcW w:w="896" w:type="dxa"/>
            <w:tcBorders>
              <w:top w:val="single" w:sz="12" w:space="0" w:color="auto"/>
              <w:bottom w:val="single" w:sz="2" w:space="0" w:color="auto"/>
            </w:tcBorders>
            <w:shd w:val="clear" w:color="auto" w:fill="auto"/>
            <w:tcMar>
              <w:left w:w="57" w:type="dxa"/>
              <w:right w:w="57" w:type="dxa"/>
            </w:tcMar>
          </w:tcPr>
          <w:p w:rsidR="00F83722" w:rsidRDefault="00F83722" w:rsidP="0074372C">
            <w:pPr>
              <w:pStyle w:val="TableTextColumnHeading"/>
              <w:jc w:val="center"/>
            </w:pPr>
            <w:r w:rsidRPr="00D81B5B">
              <w:t>Rating</w:t>
            </w:r>
            <w:r>
              <w:t xml:space="preserve"> in 2010</w:t>
            </w:r>
          </w:p>
        </w:tc>
        <w:tc>
          <w:tcPr>
            <w:tcW w:w="1316" w:type="dxa"/>
            <w:tcBorders>
              <w:top w:val="single" w:sz="12" w:space="0" w:color="auto"/>
              <w:bottom w:val="single" w:sz="2" w:space="0" w:color="auto"/>
            </w:tcBorders>
            <w:shd w:val="clear" w:color="auto" w:fill="auto"/>
            <w:tcMar>
              <w:left w:w="57" w:type="dxa"/>
              <w:right w:w="57" w:type="dxa"/>
            </w:tcMar>
          </w:tcPr>
          <w:p w:rsidR="00F83722" w:rsidRDefault="00F83722" w:rsidP="0074372C">
            <w:pPr>
              <w:pStyle w:val="TableTextColumnHeading"/>
              <w:jc w:val="center"/>
            </w:pPr>
            <w:r>
              <w:t>Relative to</w:t>
            </w:r>
            <w:r w:rsidRPr="00D81B5B">
              <w:t xml:space="preserve"> </w:t>
            </w:r>
            <w:r>
              <w:br/>
            </w:r>
            <w:r w:rsidRPr="00D81B5B">
              <w:t>previous rating</w:t>
            </w:r>
          </w:p>
        </w:tc>
      </w:tr>
      <w:tr w:rsidR="00F83722" w:rsidRPr="00D81B5B" w:rsidTr="0074372C">
        <w:trPr>
          <w:cantSplit/>
        </w:trPr>
        <w:tc>
          <w:tcPr>
            <w:tcW w:w="6600" w:type="dxa"/>
            <w:tcBorders>
              <w:top w:val="single" w:sz="2" w:space="0" w:color="auto"/>
            </w:tcBorders>
            <w:tcMar>
              <w:left w:w="57" w:type="dxa"/>
              <w:right w:w="57" w:type="dxa"/>
            </w:tcMar>
            <w:vAlign w:val="center"/>
          </w:tcPr>
          <w:p w:rsidR="00F83722" w:rsidRPr="0058729F" w:rsidRDefault="00F83722" w:rsidP="0074372C">
            <w:pPr>
              <w:pStyle w:val="TableTextEntries"/>
            </w:pPr>
            <w:r>
              <w:t>Objective 1: Improving access to quality education</w:t>
            </w:r>
          </w:p>
        </w:tc>
        <w:tc>
          <w:tcPr>
            <w:tcW w:w="896" w:type="dxa"/>
            <w:tcBorders>
              <w:top w:val="single" w:sz="2" w:space="0" w:color="auto"/>
            </w:tcBorders>
            <w:shd w:val="clear" w:color="auto" w:fill="auto"/>
            <w:tcMar>
              <w:left w:w="57" w:type="dxa"/>
              <w:right w:w="57" w:type="dxa"/>
            </w:tcMar>
            <w:vAlign w:val="center"/>
          </w:tcPr>
          <w:p w:rsidR="00F83722" w:rsidRPr="0058729F" w:rsidRDefault="00CF17D8" w:rsidP="0074372C">
            <w:pPr>
              <w:pStyle w:val="Ratingbullet"/>
            </w:pPr>
            <w:r>
              <w:rPr>
                <w:noProof/>
                <w:lang w:val="en-US"/>
              </w:rPr>
              <mc:AlternateContent>
                <mc:Choice Requires="wps">
                  <w:drawing>
                    <wp:anchor distT="0" distB="0" distL="114300" distR="114300" simplePos="0" relativeHeight="251657216" behindDoc="0" locked="0" layoutInCell="1" allowOverlap="1">
                      <wp:simplePos x="0" y="0"/>
                      <wp:positionH relativeFrom="column">
                        <wp:posOffset>193675</wp:posOffset>
                      </wp:positionH>
                      <wp:positionV relativeFrom="paragraph">
                        <wp:posOffset>36830</wp:posOffset>
                      </wp:positionV>
                      <wp:extent cx="127000" cy="119380"/>
                      <wp:effectExtent l="12700" t="8255" r="12700" b="5715"/>
                      <wp:wrapNone/>
                      <wp:docPr id="9" name="Rectangle 3" descr="Amber colo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9380"/>
                              </a:xfrm>
                              <a:prstGeom prst="rect">
                                <a:avLst/>
                              </a:prstGeom>
                              <a:solidFill>
                                <a:srgbClr val="FF9900"/>
                              </a:solidFill>
                              <a:ln w="9525">
                                <a:solidFill>
                                  <a:srgbClr val="FF99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alt="Amber color" style="position:absolute;margin-left:15.25pt;margin-top:2.9pt;width:10pt;height: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" fillcolor="#f90" strokecolor="#f90"/>
                  </w:pict>
                </mc:Fallback>
              </mc:AlternateContent>
            </w:r>
          </w:p>
        </w:tc>
        <w:tc>
          <w:tcPr>
            <w:tcW w:w="1316" w:type="dxa"/>
            <w:tcBorders>
              <w:top w:val="single" w:sz="2" w:space="0" w:color="auto"/>
            </w:tcBorders>
            <w:tcMar>
              <w:left w:w="57" w:type="dxa"/>
              <w:right w:w="57" w:type="dxa"/>
            </w:tcMar>
            <w:vAlign w:val="center"/>
          </w:tcPr>
          <w:p w:rsidR="00F83722" w:rsidRPr="0058729F" w:rsidRDefault="00F83722" w:rsidP="0074372C">
            <w:pPr>
              <w:pStyle w:val="TableTextEntries"/>
              <w:jc w:val="center"/>
            </w:pPr>
            <w:r>
              <w:rPr>
                <w:bCs/>
              </w:rPr>
              <w:fldChar w:fldCharType="begin"/>
            </w:r>
            <w:r>
              <w:rPr>
                <w:bCs/>
              </w:rPr>
              <w:instrText xml:space="preserve"> AUTOTEXTLIST  \s "Table Text Entries"\t "Right click to choose a response" \* MERGEFORMAT </w:instrText>
            </w:r>
            <w:r>
              <w:rPr>
                <w:bCs/>
              </w:rPr>
              <w:fldChar w:fldCharType="separate"/>
            </w:r>
            <w:r w:rsidRPr="00365593">
              <w:rPr>
                <w:bCs/>
              </w:rPr>
              <w:t>Improved</w:t>
            </w:r>
            <w:r>
              <w:rPr>
                <w:bCs/>
              </w:rPr>
              <w:fldChar w:fldCharType="end"/>
            </w:r>
          </w:p>
        </w:tc>
      </w:tr>
      <w:tr w:rsidR="00F83722" w:rsidRPr="00D81B5B" w:rsidTr="0074372C">
        <w:trPr>
          <w:cantSplit/>
        </w:trPr>
        <w:tc>
          <w:tcPr>
            <w:tcW w:w="6600" w:type="dxa"/>
            <w:tcMar>
              <w:left w:w="57" w:type="dxa"/>
              <w:right w:w="57" w:type="dxa"/>
            </w:tcMar>
            <w:vAlign w:val="center"/>
          </w:tcPr>
          <w:p w:rsidR="00F83722" w:rsidRPr="0058729F" w:rsidRDefault="00F83722" w:rsidP="0074372C">
            <w:pPr>
              <w:pStyle w:val="TableTextEntries"/>
            </w:pPr>
            <w:r>
              <w:t>Objective 2: Strengthening primary health services</w:t>
            </w:r>
          </w:p>
        </w:tc>
        <w:tc>
          <w:tcPr>
            <w:tcW w:w="896" w:type="dxa"/>
            <w:shd w:val="clear" w:color="auto" w:fill="auto"/>
            <w:tcMar>
              <w:left w:w="57" w:type="dxa"/>
              <w:right w:w="57" w:type="dxa"/>
            </w:tcMar>
            <w:vAlign w:val="center"/>
          </w:tcPr>
          <w:p w:rsidR="00F83722" w:rsidRPr="0058729F" w:rsidRDefault="00CF17D8" w:rsidP="0074372C">
            <w:pPr>
              <w:pStyle w:val="Ratingbullet"/>
            </w:pPr>
            <w:r>
              <w:rPr>
                <w:noProof/>
                <w:lang w:val="en-US"/>
              </w:rPr>
              <mc:AlternateContent>
                <mc:Choice Requires="wps">
                  <w:drawing>
                    <wp:anchor distT="0" distB="0" distL="114300" distR="114300" simplePos="0" relativeHeight="251658240" behindDoc="0" locked="0" layoutInCell="1" allowOverlap="1">
                      <wp:simplePos x="0" y="0"/>
                      <wp:positionH relativeFrom="column">
                        <wp:posOffset>194310</wp:posOffset>
                      </wp:positionH>
                      <wp:positionV relativeFrom="paragraph">
                        <wp:posOffset>-5080</wp:posOffset>
                      </wp:positionV>
                      <wp:extent cx="127000" cy="119380"/>
                      <wp:effectExtent l="13335" t="13970" r="12065" b="9525"/>
                      <wp:wrapNone/>
                      <wp:docPr id="8" name="Rectangle 4" descr="Amber colo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9380"/>
                              </a:xfrm>
                              <a:prstGeom prst="rect">
                                <a:avLst/>
                              </a:prstGeom>
                              <a:solidFill>
                                <a:srgbClr val="FF9900"/>
                              </a:solidFill>
                              <a:ln w="9525">
                                <a:solidFill>
                                  <a:srgbClr val="FF99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alt="Amber color" style="position:absolute;margin-left:15.3pt;margin-top:-.4pt;width:10pt;height: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" fillcolor="#f90" strokecolor="#f90"/>
                  </w:pict>
                </mc:Fallback>
              </mc:AlternateContent>
            </w:r>
            <w:r>
              <w:rPr>
                <w:noProof/>
                <w:lang w:val="en-US"/>
              </w:rPr>
              <mc:AlternateContent>
                <mc:Choice Requires="wps">
                  <w:drawing>
                    <wp:anchor distT="0" distB="0" distL="114300" distR="114300" simplePos="0" relativeHeight="251659264" behindDoc="0" locked="0" layoutInCell="1" allowOverlap="1">
                      <wp:simplePos x="0" y="0"/>
                      <wp:positionH relativeFrom="column">
                        <wp:posOffset>194310</wp:posOffset>
                      </wp:positionH>
                      <wp:positionV relativeFrom="paragraph">
                        <wp:posOffset>186690</wp:posOffset>
                      </wp:positionV>
                      <wp:extent cx="127000" cy="119380"/>
                      <wp:effectExtent l="13335" t="5715" r="12065" b="8255"/>
                      <wp:wrapNone/>
                      <wp:docPr id="7" name="Rectangle 5" descr="Amber colo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9380"/>
                              </a:xfrm>
                              <a:prstGeom prst="rect">
                                <a:avLst/>
                              </a:prstGeom>
                              <a:solidFill>
                                <a:srgbClr val="FF9900"/>
                              </a:solidFill>
                              <a:ln w="9525">
                                <a:solidFill>
                                  <a:srgbClr val="FF99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alt="Amber color" style="position:absolute;margin-left:15.3pt;margin-top:14.7pt;width:10pt;height: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" fillcolor="#f90" strokecolor="#f90"/>
                  </w:pict>
                </mc:Fallback>
              </mc:AlternateContent>
            </w:r>
          </w:p>
        </w:tc>
        <w:tc>
          <w:tcPr>
            <w:tcW w:w="1316" w:type="dxa"/>
            <w:tcMar>
              <w:left w:w="57" w:type="dxa"/>
              <w:right w:w="57" w:type="dxa"/>
            </w:tcMar>
            <w:vAlign w:val="center"/>
          </w:tcPr>
          <w:p w:rsidR="00F83722" w:rsidRPr="0058729F" w:rsidRDefault="00F83722" w:rsidP="0074372C">
            <w:pPr>
              <w:pStyle w:val="TableTextEntries"/>
              <w:jc w:val="center"/>
            </w:pPr>
            <w:r>
              <w:rPr>
                <w:bCs/>
              </w:rPr>
              <w:fldChar w:fldCharType="begin"/>
            </w:r>
            <w:r>
              <w:rPr>
                <w:bCs/>
              </w:rPr>
              <w:instrText xml:space="preserve"> AUTOTEXTLIST  \s "Table Text Entries"\t "Right click to choose a response" \* MERGEFORMAT </w:instrText>
            </w:r>
            <w:r>
              <w:rPr>
                <w:bCs/>
              </w:rPr>
              <w:fldChar w:fldCharType="separate"/>
            </w:r>
            <w:r w:rsidRPr="00365593">
              <w:rPr>
                <w:bCs/>
              </w:rPr>
              <w:t>Improved</w:t>
            </w:r>
            <w:r>
              <w:rPr>
                <w:bCs/>
              </w:rPr>
              <w:fldChar w:fldCharType="end"/>
            </w:r>
          </w:p>
        </w:tc>
      </w:tr>
      <w:tr w:rsidR="00F83722" w:rsidRPr="00D81B5B" w:rsidTr="0074372C">
        <w:trPr>
          <w:cantSplit/>
        </w:trPr>
        <w:tc>
          <w:tcPr>
            <w:tcW w:w="6600" w:type="dxa"/>
            <w:tcBorders>
              <w:bottom w:val="single" w:sz="12" w:space="0" w:color="auto"/>
            </w:tcBorders>
            <w:tcMar>
              <w:left w:w="57" w:type="dxa"/>
              <w:right w:w="57" w:type="dxa"/>
            </w:tcMar>
            <w:vAlign w:val="center"/>
          </w:tcPr>
          <w:p w:rsidR="00F83722" w:rsidRPr="0058729F" w:rsidRDefault="00F83722" w:rsidP="0074372C">
            <w:pPr>
              <w:pStyle w:val="TableTextEntries"/>
            </w:pPr>
            <w:r>
              <w:t>Objective 3: Building resilience and economic opportunities in disadvantaged communities</w:t>
            </w:r>
          </w:p>
        </w:tc>
        <w:tc>
          <w:tcPr>
            <w:tcW w:w="896" w:type="dxa"/>
            <w:tcBorders>
              <w:bottom w:val="single" w:sz="12" w:space="0" w:color="auto"/>
            </w:tcBorders>
            <w:shd w:val="clear" w:color="auto" w:fill="auto"/>
            <w:tcMar>
              <w:left w:w="57" w:type="dxa"/>
              <w:right w:w="57" w:type="dxa"/>
            </w:tcMar>
            <w:vAlign w:val="center"/>
          </w:tcPr>
          <w:p w:rsidR="00F83722" w:rsidRPr="0058729F" w:rsidRDefault="00F83722" w:rsidP="0074372C">
            <w:pPr>
              <w:pStyle w:val="Ratingbullet"/>
            </w:pPr>
          </w:p>
        </w:tc>
        <w:tc>
          <w:tcPr>
            <w:tcW w:w="1316" w:type="dxa"/>
            <w:tcBorders>
              <w:bottom w:val="single" w:sz="12" w:space="0" w:color="auto"/>
            </w:tcBorders>
            <w:tcMar>
              <w:left w:w="57" w:type="dxa"/>
              <w:right w:w="57" w:type="dxa"/>
            </w:tcMar>
            <w:vAlign w:val="center"/>
          </w:tcPr>
          <w:p w:rsidR="00F83722" w:rsidRPr="0058729F" w:rsidRDefault="00F83722" w:rsidP="0074372C">
            <w:pPr>
              <w:pStyle w:val="TableTextEntries"/>
              <w:jc w:val="center"/>
            </w:pPr>
            <w:r>
              <w:rPr>
                <w:bCs/>
              </w:rPr>
              <w:fldChar w:fldCharType="begin"/>
            </w:r>
            <w:r>
              <w:rPr>
                <w:bCs/>
              </w:rPr>
              <w:instrText xml:space="preserve"> AUTOTEXTLIST  \s "Table Text Entries"\t "Right click to choose a response" \* MERGEFORMAT </w:instrText>
            </w:r>
            <w:r>
              <w:rPr>
                <w:bCs/>
              </w:rPr>
              <w:fldChar w:fldCharType="separate"/>
            </w:r>
            <w:r w:rsidRPr="00365593">
              <w:rPr>
                <w:bCs/>
              </w:rPr>
              <w:t>Improved</w:t>
            </w:r>
            <w:r>
              <w:rPr>
                <w:bCs/>
              </w:rPr>
              <w:fldChar w:fldCharType="end"/>
            </w:r>
          </w:p>
        </w:tc>
      </w:tr>
    </w:tbl>
    <w:p w:rsidR="00674BE2" w:rsidRDefault="00F83722" w:rsidP="00674BE2">
      <w:pPr>
        <w:pStyle w:val="Note"/>
        <w:keepNext/>
      </w:pPr>
      <w:r>
        <w:t>Ratings key</w:t>
      </w:r>
      <w:r w:rsidRPr="00D33DDE">
        <w:t xml:space="preserve">: </w:t>
      </w:r>
    </w:p>
    <w:p w:rsidR="00F83722" w:rsidRPr="006D2818" w:rsidRDefault="00674BE2" w:rsidP="00674BE2">
      <w:pPr>
        <w:pStyle w:val="Note"/>
        <w:keepNext/>
      </w:pPr>
      <w:r>
        <w:rPr>
          <w:color w:val="99CC00"/>
          <w:sz w:val="18"/>
          <w:szCs w:val="18"/>
        </w:rPr>
        <w:t xml:space="preserve"> </w:t>
      </w:r>
      <w:r w:rsidR="00CF17D8">
        <w:rPr>
          <w:noProof/>
          <w:color w:val="99CC00"/>
          <w:sz w:val="18"/>
          <w:szCs w:val="18"/>
          <w:lang w:val="en-US"/>
        </w:rPr>
        <w:drawing>
          <wp:inline distT="0" distB="0" distL="0" distR="0">
            <wp:extent cx="95250" cy="95250"/>
            <wp:effectExtent l="0" t="0" r="0" b="0"/>
            <wp:docPr id="6" name="Picture 1" descr="Green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 colo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F83722">
        <w:rPr>
          <w:rFonts w:ascii="Arial Unicode MS" w:eastAsia="Arial Unicode MS" w:hAnsi="Arial Unicode MS" w:cs="Arial Unicode MS"/>
        </w:rPr>
        <w:t xml:space="preserve"> </w:t>
      </w:r>
      <w:r w:rsidR="00F83722" w:rsidRPr="006D2818">
        <w:t>The objective will be fully achieved within the timeframe of the strategy.</w:t>
      </w:r>
    </w:p>
    <w:p w:rsidR="00F83722" w:rsidRPr="006D2818" w:rsidRDefault="00674BE2" w:rsidP="00F83722">
      <w:pPr>
        <w:pStyle w:val="Note"/>
        <w:keepNext/>
        <w:spacing w:before="0"/>
      </w:pPr>
      <w:r>
        <w:rPr>
          <w:color w:val="FF9900"/>
          <w:sz w:val="18"/>
          <w:szCs w:val="18"/>
        </w:rPr>
        <w:t xml:space="preserve"> </w:t>
      </w:r>
      <w:r w:rsidR="00CF17D8">
        <w:rPr>
          <w:noProof/>
          <w:color w:val="FF9900"/>
          <w:sz w:val="18"/>
          <w:szCs w:val="18"/>
          <w:lang w:val="en-US"/>
        </w:rPr>
        <w:drawing>
          <wp:inline distT="0" distB="0" distL="0" distR="0">
            <wp:extent cx="95250" cy="95250"/>
            <wp:effectExtent l="0" t="0" r="0" b="0"/>
            <wp:docPr id="5" name="Picture 2" descr="Amber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ber colo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F83722">
        <w:rPr>
          <w:rFonts w:ascii="Arial Unicode MS" w:eastAsia="Arial Unicode MS" w:hAnsi="Arial Unicode MS" w:cs="Arial Unicode MS"/>
        </w:rPr>
        <w:t xml:space="preserve"> </w:t>
      </w:r>
      <w:r>
        <w:t xml:space="preserve"> </w:t>
      </w:r>
      <w:r w:rsidR="00F83722" w:rsidRPr="006D2818">
        <w:t>The objective will be partly achieved within the timeframe of the strategy.</w:t>
      </w:r>
    </w:p>
    <w:p w:rsidR="00F83722" w:rsidRPr="006D2818" w:rsidRDefault="00674BE2" w:rsidP="00F83722">
      <w:pPr>
        <w:pStyle w:val="Note"/>
        <w:spacing w:before="0"/>
      </w:pPr>
      <w:r>
        <w:rPr>
          <w:color w:val="FF0000"/>
          <w:sz w:val="18"/>
          <w:szCs w:val="18"/>
        </w:rPr>
        <w:t xml:space="preserve"> </w:t>
      </w:r>
      <w:r w:rsidR="00CF17D8">
        <w:rPr>
          <w:noProof/>
          <w:color w:val="FF0000"/>
          <w:sz w:val="18"/>
          <w:szCs w:val="18"/>
          <w:lang w:val="en-US"/>
        </w:rPr>
        <w:drawing>
          <wp:inline distT="0" distB="0" distL="0" distR="0">
            <wp:extent cx="95250" cy="95250"/>
            <wp:effectExtent l="0" t="0" r="0" b="0"/>
            <wp:docPr id="4" name="Picture 3" descr="Red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d colo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F83722">
        <w:rPr>
          <w:rFonts w:ascii="Arial Unicode MS" w:eastAsia="Arial Unicode MS" w:hAnsi="Arial Unicode MS" w:cs="Arial Unicode MS"/>
        </w:rPr>
        <w:t xml:space="preserve"> </w:t>
      </w:r>
      <w:r w:rsidR="00F83722" w:rsidRPr="006D2818">
        <w:t>The objective is unlikely to be achieved within the timeframe of the strategy.</w:t>
      </w:r>
    </w:p>
    <w:p w:rsidR="006409FF" w:rsidRPr="00D40A86" w:rsidRDefault="006409FF" w:rsidP="00CF17D8">
      <w:pPr>
        <w:pStyle w:val="Heading2"/>
        <w:keepNext/>
        <w:tabs>
          <w:tab w:val="left" w:pos="1920"/>
        </w:tabs>
        <w:spacing w:before="240" w:after="120" w:line="320" w:lineRule="atLeast"/>
        <w:ind w:left="0"/>
      </w:pPr>
      <w:bookmarkStart w:id="5" w:name="_Toc360976514"/>
      <w:r>
        <w:t>Objective</w:t>
      </w:r>
      <w:r w:rsidR="00E02AF8">
        <w:t xml:space="preserve"> </w:t>
      </w:r>
      <w:r w:rsidR="00AB1623">
        <w:t>1</w:t>
      </w:r>
      <w:r>
        <w:t>:</w:t>
      </w:r>
      <w:r w:rsidR="00AB1623">
        <w:t xml:space="preserve"> </w:t>
      </w:r>
      <w:r w:rsidR="00794DA1">
        <w:t>Improving access to quality education</w:t>
      </w:r>
      <w:bookmarkEnd w:id="5"/>
      <w:r>
        <w:t xml:space="preserve"> </w:t>
      </w:r>
    </w:p>
    <w:p w:rsidR="00794DA1" w:rsidRDefault="00794DA1" w:rsidP="00794DA1">
      <w:pPr>
        <w:spacing w:before="240" w:after="80" w:line="280" w:lineRule="atLeast"/>
        <w:rPr>
          <w:rFonts w:ascii="Georgia" w:hAnsi="Georgia"/>
          <w:sz w:val="19"/>
          <w:szCs w:val="19"/>
        </w:rPr>
      </w:pPr>
      <w:smartTag w:uri="urn:schemas-microsoft-com:office:smarttags" w:element="country-region">
        <w:r>
          <w:rPr>
            <w:rFonts w:ascii="Georgia" w:hAnsi="Georgia"/>
            <w:sz w:val="19"/>
            <w:szCs w:val="19"/>
          </w:rPr>
          <w:t>Australia</w:t>
        </w:r>
      </w:smartTag>
      <w:r>
        <w:rPr>
          <w:rFonts w:ascii="Georgia" w:hAnsi="Georgia"/>
          <w:sz w:val="19"/>
          <w:szCs w:val="19"/>
        </w:rPr>
        <w:t xml:space="preserve">’s education program in </w:t>
      </w:r>
      <w:smartTag w:uri="urn:schemas-microsoft-com:office:smarttags" w:element="place">
        <w:smartTag w:uri="urn:schemas-microsoft-com:office:smarttags" w:element="country-region">
          <w:r>
            <w:rPr>
              <w:rFonts w:ascii="Georgia" w:hAnsi="Georgia"/>
              <w:sz w:val="19"/>
              <w:szCs w:val="19"/>
            </w:rPr>
            <w:t>Fiji</w:t>
          </w:r>
        </w:smartTag>
      </w:smartTag>
      <w:r>
        <w:rPr>
          <w:rFonts w:ascii="Georgia" w:hAnsi="Georgia"/>
          <w:sz w:val="19"/>
          <w:szCs w:val="19"/>
        </w:rPr>
        <w:t xml:space="preserve"> achieved positive results in 2010 despite operating in a difficult political and economic environment. The program increased access to education services through the implementation of recovery and reconstruction of school services after the 2009 floods and Cyclone Tomas in 2010</w:t>
      </w:r>
      <w:r w:rsidR="00E15346">
        <w:rPr>
          <w:rFonts w:ascii="Georgia" w:hAnsi="Georgia"/>
          <w:sz w:val="19"/>
          <w:szCs w:val="19"/>
        </w:rPr>
        <w:t xml:space="preserve">. </w:t>
      </w:r>
      <w:r>
        <w:rPr>
          <w:rFonts w:ascii="Georgia" w:hAnsi="Georgia"/>
          <w:sz w:val="19"/>
          <w:szCs w:val="19"/>
        </w:rPr>
        <w:t>Assistance to 31 schools was provided</w:t>
      </w:r>
      <w:r w:rsidR="00E15346">
        <w:rPr>
          <w:rFonts w:ascii="Georgia" w:hAnsi="Georgia"/>
          <w:sz w:val="19"/>
          <w:szCs w:val="19"/>
        </w:rPr>
        <w:t xml:space="preserve">. </w:t>
      </w:r>
      <w:r>
        <w:rPr>
          <w:rFonts w:ascii="Georgia" w:hAnsi="Georgia"/>
          <w:sz w:val="19"/>
          <w:szCs w:val="19"/>
        </w:rPr>
        <w:t>The quality of education was also aided with the start of innovative work in the Ministry of Education to include financial literacy education and management</w:t>
      </w:r>
      <w:r w:rsidR="00F60C2C">
        <w:rPr>
          <w:rFonts w:ascii="Georgia" w:hAnsi="Georgia"/>
          <w:sz w:val="19"/>
          <w:szCs w:val="19"/>
        </w:rPr>
        <w:t>,</w:t>
      </w:r>
      <w:r>
        <w:rPr>
          <w:rFonts w:ascii="Georgia" w:hAnsi="Georgia"/>
          <w:sz w:val="19"/>
          <w:szCs w:val="19"/>
        </w:rPr>
        <w:t xml:space="preserve"> in curriculums for all levels of primary and secondary school in </w:t>
      </w:r>
      <w:smartTag w:uri="urn:schemas-microsoft-com:office:smarttags" w:element="country-region">
        <w:smartTag w:uri="urn:schemas-microsoft-com:office:smarttags" w:element="place">
          <w:r>
            <w:rPr>
              <w:rFonts w:ascii="Georgia" w:hAnsi="Georgia"/>
              <w:sz w:val="19"/>
              <w:szCs w:val="19"/>
            </w:rPr>
            <w:t>Fiji</w:t>
          </w:r>
        </w:smartTag>
      </w:smartTag>
      <w:r>
        <w:rPr>
          <w:rFonts w:ascii="Georgia" w:hAnsi="Georgia"/>
          <w:sz w:val="19"/>
          <w:szCs w:val="19"/>
        </w:rPr>
        <w:t xml:space="preserve">. </w:t>
      </w:r>
    </w:p>
    <w:p w:rsidR="00794DA1" w:rsidRPr="00C4272B" w:rsidRDefault="00794DA1" w:rsidP="00794DA1">
      <w:pPr>
        <w:spacing w:before="80" w:after="80" w:line="280" w:lineRule="atLeast"/>
        <w:rPr>
          <w:rFonts w:ascii="Georgia" w:hAnsi="Georgia"/>
          <w:sz w:val="19"/>
          <w:szCs w:val="19"/>
        </w:rPr>
      </w:pPr>
      <w:r>
        <w:rPr>
          <w:rFonts w:ascii="Georgia" w:hAnsi="Georgia"/>
          <w:sz w:val="19"/>
          <w:szCs w:val="19"/>
        </w:rPr>
        <w:t>Interim programs increased education access and improved the quality of learning environments for children with disabilit</w:t>
      </w:r>
      <w:r w:rsidR="00B31196">
        <w:rPr>
          <w:rFonts w:ascii="Georgia" w:hAnsi="Georgia"/>
          <w:sz w:val="19"/>
          <w:szCs w:val="19"/>
        </w:rPr>
        <w:t>y</w:t>
      </w:r>
      <w:r>
        <w:rPr>
          <w:rFonts w:ascii="Georgia" w:hAnsi="Georgia"/>
          <w:sz w:val="19"/>
          <w:szCs w:val="19"/>
        </w:rPr>
        <w:t xml:space="preserve">, through assistance to three of the 17 special schools in </w:t>
      </w:r>
      <w:smartTag w:uri="urn:schemas-microsoft-com:office:smarttags" w:element="country-region">
        <w:r>
          <w:rPr>
            <w:rFonts w:ascii="Georgia" w:hAnsi="Georgia"/>
            <w:sz w:val="19"/>
            <w:szCs w:val="19"/>
          </w:rPr>
          <w:t>Fiji</w:t>
        </w:r>
      </w:smartTag>
      <w:r>
        <w:rPr>
          <w:rFonts w:ascii="Georgia" w:hAnsi="Georgia"/>
          <w:sz w:val="19"/>
          <w:szCs w:val="19"/>
        </w:rPr>
        <w:t xml:space="preserve">, </w:t>
      </w:r>
      <w:smartTag w:uri="urn:schemas-microsoft-com:office:smarttags" w:element="PlaceName">
        <w:r>
          <w:rPr>
            <w:rFonts w:ascii="Georgia" w:hAnsi="Georgia"/>
            <w:sz w:val="19"/>
            <w:szCs w:val="19"/>
          </w:rPr>
          <w:t>Gospel</w:t>
        </w:r>
      </w:smartTag>
      <w:r>
        <w:rPr>
          <w:rFonts w:ascii="Georgia" w:hAnsi="Georgia"/>
          <w:sz w:val="19"/>
          <w:szCs w:val="19"/>
        </w:rPr>
        <w:t xml:space="preserve"> </w:t>
      </w:r>
      <w:smartTag w:uri="urn:schemas-microsoft-com:office:smarttags" w:element="PlaceType">
        <w:r>
          <w:rPr>
            <w:rFonts w:ascii="Georgia" w:hAnsi="Georgia"/>
            <w:sz w:val="19"/>
            <w:szCs w:val="19"/>
          </w:rPr>
          <w:t>High School</w:t>
        </w:r>
      </w:smartTag>
      <w:r>
        <w:rPr>
          <w:rFonts w:ascii="Georgia" w:hAnsi="Georgia"/>
          <w:sz w:val="19"/>
          <w:szCs w:val="19"/>
        </w:rPr>
        <w:t xml:space="preserve"> for the Deaf, </w:t>
      </w:r>
      <w:smartTag w:uri="urn:schemas-microsoft-com:office:smarttags" w:element="place">
        <w:smartTag w:uri="urn:schemas-microsoft-com:office:smarttags" w:element="PlaceName">
          <w:r>
            <w:rPr>
              <w:rFonts w:ascii="Georgia" w:hAnsi="Georgia"/>
              <w:sz w:val="19"/>
              <w:szCs w:val="19"/>
            </w:rPr>
            <w:t>Hilton</w:t>
          </w:r>
        </w:smartTag>
        <w:r>
          <w:rPr>
            <w:rFonts w:ascii="Georgia" w:hAnsi="Georgia"/>
            <w:sz w:val="19"/>
            <w:szCs w:val="19"/>
          </w:rPr>
          <w:t xml:space="preserve"> </w:t>
        </w:r>
        <w:smartTag w:uri="urn:schemas-microsoft-com:office:smarttags" w:element="PlaceName">
          <w:r>
            <w:rPr>
              <w:rFonts w:ascii="Georgia" w:hAnsi="Georgia"/>
              <w:sz w:val="19"/>
              <w:szCs w:val="19"/>
            </w:rPr>
            <w:t>Special</w:t>
          </w:r>
        </w:smartTag>
        <w:r>
          <w:rPr>
            <w:rFonts w:ascii="Georgia" w:hAnsi="Georgia"/>
            <w:sz w:val="19"/>
            <w:szCs w:val="19"/>
          </w:rPr>
          <w:t xml:space="preserve"> </w:t>
        </w:r>
        <w:smartTag w:uri="urn:schemas-microsoft-com:office:smarttags" w:element="PlaceType">
          <w:r>
            <w:rPr>
              <w:rFonts w:ascii="Georgia" w:hAnsi="Georgia"/>
              <w:sz w:val="19"/>
              <w:szCs w:val="19"/>
            </w:rPr>
            <w:t>School</w:t>
          </w:r>
        </w:smartTag>
      </w:smartTag>
      <w:r w:rsidR="001C0D12">
        <w:rPr>
          <w:rFonts w:ascii="Georgia" w:hAnsi="Georgia"/>
          <w:sz w:val="19"/>
          <w:szCs w:val="19"/>
        </w:rPr>
        <w:t xml:space="preserve"> and the Society for the Blind</w:t>
      </w:r>
      <w:r w:rsidR="003F25A7">
        <w:rPr>
          <w:rFonts w:ascii="Georgia" w:hAnsi="Georgia"/>
          <w:sz w:val="19"/>
          <w:szCs w:val="19"/>
        </w:rPr>
        <w:t>.</w:t>
      </w:r>
      <w:r>
        <w:rPr>
          <w:rStyle w:val="FootnoteReference"/>
        </w:rPr>
        <w:footnoteReference w:id="5"/>
      </w:r>
      <w:r w:rsidR="003F25A7">
        <w:rPr>
          <w:rFonts w:ascii="Georgia" w:hAnsi="Georgia"/>
          <w:sz w:val="19"/>
          <w:szCs w:val="19"/>
        </w:rPr>
        <w:t xml:space="preserve"> </w:t>
      </w:r>
      <w:r>
        <w:rPr>
          <w:rFonts w:ascii="Georgia" w:hAnsi="Georgia"/>
          <w:sz w:val="19"/>
          <w:szCs w:val="19"/>
        </w:rPr>
        <w:t xml:space="preserve">Results include:  </w:t>
      </w:r>
    </w:p>
    <w:p w:rsidR="00794DA1" w:rsidRPr="00C4272B" w:rsidRDefault="00794DA1" w:rsidP="00794DA1">
      <w:pPr>
        <w:pStyle w:val="BodyText"/>
      </w:pPr>
      <w:smartTag w:uri="urn:schemas-microsoft-com:office:smarttags" w:element="place">
        <w:smartTag w:uri="urn:schemas-microsoft-com:office:smarttags" w:element="PlaceName">
          <w:r w:rsidRPr="00C4272B">
            <w:t>Hilton</w:t>
          </w:r>
        </w:smartTag>
        <w:r w:rsidRPr="00C4272B">
          <w:t xml:space="preserve"> </w:t>
        </w:r>
        <w:smartTag w:uri="urn:schemas-microsoft-com:office:smarttags" w:element="PlaceName">
          <w:r w:rsidRPr="00C4272B">
            <w:t>Special</w:t>
          </w:r>
        </w:smartTag>
        <w:r w:rsidRPr="00C4272B">
          <w:t xml:space="preserve"> </w:t>
        </w:r>
        <w:smartTag w:uri="urn:schemas-microsoft-com:office:smarttags" w:element="PlaceType">
          <w:r w:rsidRPr="00C4272B">
            <w:t>School</w:t>
          </w:r>
        </w:smartTag>
      </w:smartTag>
    </w:p>
    <w:p w:rsidR="00794DA1" w:rsidRPr="00C4272B" w:rsidRDefault="00794DA1" w:rsidP="00794DA1">
      <w:pPr>
        <w:numPr>
          <w:ilvl w:val="0"/>
          <w:numId w:val="18"/>
        </w:numPr>
        <w:spacing w:before="80" w:after="80" w:line="280" w:lineRule="atLeast"/>
        <w:rPr>
          <w:rFonts w:ascii="Georgia" w:hAnsi="Georgia"/>
          <w:sz w:val="19"/>
          <w:szCs w:val="19"/>
        </w:rPr>
      </w:pPr>
      <w:r w:rsidRPr="00C4272B">
        <w:rPr>
          <w:rFonts w:ascii="Georgia" w:hAnsi="Georgia"/>
          <w:sz w:val="19"/>
          <w:szCs w:val="19"/>
        </w:rPr>
        <w:t xml:space="preserve">Improved access and learning environments for </w:t>
      </w:r>
      <w:r w:rsidR="00746C05">
        <w:rPr>
          <w:rFonts w:ascii="Georgia" w:hAnsi="Georgia"/>
          <w:sz w:val="19"/>
          <w:szCs w:val="19"/>
        </w:rPr>
        <w:t>144</w:t>
      </w:r>
      <w:r w:rsidRPr="00C4272B">
        <w:rPr>
          <w:rFonts w:ascii="Georgia" w:hAnsi="Georgia"/>
          <w:sz w:val="19"/>
          <w:szCs w:val="19"/>
        </w:rPr>
        <w:t xml:space="preserve"> students at </w:t>
      </w:r>
      <w:smartTag w:uri="urn:schemas-microsoft-com:office:smarttags" w:element="place">
        <w:smartTag w:uri="urn:schemas-microsoft-com:office:smarttags" w:element="PlaceName">
          <w:r w:rsidRPr="00C4272B">
            <w:rPr>
              <w:rFonts w:ascii="Georgia" w:hAnsi="Georgia"/>
              <w:sz w:val="19"/>
              <w:szCs w:val="19"/>
            </w:rPr>
            <w:t>Hilton</w:t>
          </w:r>
        </w:smartTag>
        <w:r w:rsidRPr="00C4272B">
          <w:rPr>
            <w:rFonts w:ascii="Georgia" w:hAnsi="Georgia"/>
            <w:sz w:val="19"/>
            <w:szCs w:val="19"/>
          </w:rPr>
          <w:t xml:space="preserve"> </w:t>
        </w:r>
        <w:smartTag w:uri="urn:schemas-microsoft-com:office:smarttags" w:element="PlaceName">
          <w:r w:rsidRPr="00C4272B">
            <w:rPr>
              <w:rFonts w:ascii="Georgia" w:hAnsi="Georgia"/>
              <w:sz w:val="19"/>
              <w:szCs w:val="19"/>
            </w:rPr>
            <w:t>Special</w:t>
          </w:r>
        </w:smartTag>
        <w:r w:rsidRPr="00C4272B">
          <w:rPr>
            <w:rFonts w:ascii="Georgia" w:hAnsi="Georgia"/>
            <w:sz w:val="19"/>
            <w:szCs w:val="19"/>
          </w:rPr>
          <w:t xml:space="preserve"> </w:t>
        </w:r>
        <w:smartTag w:uri="urn:schemas-microsoft-com:office:smarttags" w:element="PlaceType">
          <w:r w:rsidRPr="00C4272B">
            <w:rPr>
              <w:rFonts w:ascii="Georgia" w:hAnsi="Georgia"/>
              <w:sz w:val="19"/>
              <w:szCs w:val="19"/>
            </w:rPr>
            <w:t>School</w:t>
          </w:r>
        </w:smartTag>
      </w:smartTag>
      <w:r w:rsidRPr="00C4272B">
        <w:rPr>
          <w:rFonts w:ascii="Georgia" w:hAnsi="Georgia"/>
          <w:sz w:val="19"/>
          <w:szCs w:val="19"/>
        </w:rPr>
        <w:t xml:space="preserve">. The new school bus provided by </w:t>
      </w:r>
      <w:r w:rsidR="0034399C">
        <w:rPr>
          <w:rFonts w:ascii="Georgia" w:hAnsi="Georgia"/>
          <w:sz w:val="19"/>
          <w:szCs w:val="19"/>
        </w:rPr>
        <w:t xml:space="preserve">the </w:t>
      </w:r>
      <w:r w:rsidR="0034399C" w:rsidRPr="0034399C">
        <w:rPr>
          <w:rFonts w:ascii="Georgia" w:hAnsi="Georgia"/>
          <w:sz w:val="19"/>
          <w:szCs w:val="19"/>
        </w:rPr>
        <w:t xml:space="preserve">Australian Agency for International Development </w:t>
      </w:r>
      <w:r w:rsidR="0034399C">
        <w:rPr>
          <w:rFonts w:ascii="Georgia" w:hAnsi="Georgia"/>
          <w:sz w:val="19"/>
          <w:szCs w:val="19"/>
        </w:rPr>
        <w:t>(</w:t>
      </w:r>
      <w:r w:rsidRPr="00C4272B">
        <w:rPr>
          <w:rFonts w:ascii="Georgia" w:hAnsi="Georgia"/>
          <w:sz w:val="19"/>
          <w:szCs w:val="19"/>
        </w:rPr>
        <w:t>AusAID</w:t>
      </w:r>
      <w:r w:rsidR="0034399C">
        <w:rPr>
          <w:rFonts w:ascii="Georgia" w:hAnsi="Georgia"/>
          <w:sz w:val="19"/>
          <w:szCs w:val="19"/>
        </w:rPr>
        <w:t>)</w:t>
      </w:r>
      <w:r w:rsidRPr="00C4272B">
        <w:rPr>
          <w:rFonts w:ascii="Georgia" w:hAnsi="Georgia"/>
          <w:sz w:val="19"/>
          <w:szCs w:val="19"/>
        </w:rPr>
        <w:t xml:space="preserve"> has improved the timeliness and regularity of school attendance. The 20</w:t>
      </w:r>
      <w:r w:rsidR="001C0D12">
        <w:rPr>
          <w:rFonts w:ascii="Georgia" w:hAnsi="Georgia"/>
          <w:sz w:val="19"/>
          <w:szCs w:val="19"/>
        </w:rPr>
        <w:t>-</w:t>
      </w:r>
      <w:r w:rsidRPr="00C4272B">
        <w:rPr>
          <w:rFonts w:ascii="Georgia" w:hAnsi="Georgia"/>
          <w:sz w:val="19"/>
          <w:szCs w:val="19"/>
        </w:rPr>
        <w:t xml:space="preserve"> year old bus used previously regularly broke down, which meant students could miss up to two weeks of school while the bus was </w:t>
      </w:r>
      <w:r w:rsidR="009464C7">
        <w:rPr>
          <w:rFonts w:ascii="Georgia" w:hAnsi="Georgia"/>
          <w:sz w:val="19"/>
          <w:szCs w:val="19"/>
        </w:rPr>
        <w:t xml:space="preserve">being </w:t>
      </w:r>
      <w:r w:rsidRPr="00C4272B">
        <w:rPr>
          <w:rFonts w:ascii="Georgia" w:hAnsi="Georgia"/>
          <w:sz w:val="19"/>
          <w:szCs w:val="19"/>
        </w:rPr>
        <w:t xml:space="preserve">repaired. </w:t>
      </w:r>
    </w:p>
    <w:p w:rsidR="00794DA1" w:rsidRPr="00C4272B" w:rsidRDefault="00794DA1" w:rsidP="00794DA1">
      <w:pPr>
        <w:pStyle w:val="BodyText"/>
      </w:pPr>
      <w:smartTag w:uri="urn:schemas-microsoft-com:office:smarttags" w:element="place">
        <w:smartTag w:uri="urn:schemas-microsoft-com:office:smarttags" w:element="country-region">
          <w:r w:rsidRPr="00C4272B">
            <w:t>Fiji</w:t>
          </w:r>
        </w:smartTag>
      </w:smartTag>
      <w:r w:rsidRPr="00C4272B">
        <w:t xml:space="preserve"> Society for the Blind</w:t>
      </w:r>
    </w:p>
    <w:p w:rsidR="00794DA1" w:rsidRPr="00C4272B" w:rsidRDefault="00794DA1" w:rsidP="00794DA1">
      <w:pPr>
        <w:numPr>
          <w:ilvl w:val="0"/>
          <w:numId w:val="18"/>
        </w:numPr>
        <w:spacing w:before="80" w:after="80" w:line="280" w:lineRule="atLeast"/>
        <w:rPr>
          <w:rFonts w:ascii="Georgia" w:hAnsi="Georgia"/>
          <w:sz w:val="19"/>
          <w:szCs w:val="19"/>
        </w:rPr>
      </w:pPr>
      <w:r w:rsidRPr="00C4272B">
        <w:rPr>
          <w:rFonts w:ascii="Georgia" w:hAnsi="Georgia"/>
          <w:sz w:val="19"/>
          <w:szCs w:val="19"/>
        </w:rPr>
        <w:t>Increase</w:t>
      </w:r>
      <w:r>
        <w:rPr>
          <w:rFonts w:ascii="Georgia" w:hAnsi="Georgia"/>
          <w:sz w:val="19"/>
          <w:szCs w:val="19"/>
        </w:rPr>
        <w:t>d</w:t>
      </w:r>
      <w:r w:rsidRPr="00C4272B">
        <w:rPr>
          <w:rFonts w:ascii="Georgia" w:hAnsi="Georgia"/>
          <w:sz w:val="19"/>
          <w:szCs w:val="19"/>
        </w:rPr>
        <w:t xml:space="preserve"> access and opportunities for 59 visually impaired children to complete their education and increase their employment prospects.</w:t>
      </w:r>
    </w:p>
    <w:p w:rsidR="00794DA1" w:rsidRPr="00C4272B" w:rsidRDefault="00794DA1" w:rsidP="00794DA1">
      <w:pPr>
        <w:numPr>
          <w:ilvl w:val="0"/>
          <w:numId w:val="18"/>
        </w:numPr>
        <w:spacing w:before="80" w:after="80" w:line="280" w:lineRule="atLeast"/>
        <w:rPr>
          <w:rFonts w:ascii="Georgia" w:hAnsi="Georgia"/>
          <w:sz w:val="19"/>
          <w:szCs w:val="19"/>
        </w:rPr>
      </w:pPr>
      <w:r>
        <w:rPr>
          <w:rFonts w:ascii="Georgia" w:hAnsi="Georgia"/>
          <w:sz w:val="19"/>
          <w:szCs w:val="19"/>
        </w:rPr>
        <w:t>C</w:t>
      </w:r>
      <w:r w:rsidRPr="00C4272B">
        <w:rPr>
          <w:rFonts w:ascii="Georgia" w:hAnsi="Georgia"/>
          <w:sz w:val="19"/>
          <w:szCs w:val="19"/>
        </w:rPr>
        <w:t xml:space="preserve">ontinuation of the </w:t>
      </w:r>
      <w:r w:rsidR="001C0D12">
        <w:rPr>
          <w:rFonts w:ascii="Georgia" w:hAnsi="Georgia"/>
          <w:sz w:val="19"/>
          <w:szCs w:val="19"/>
        </w:rPr>
        <w:t>c</w:t>
      </w:r>
      <w:r w:rsidRPr="00C4272B">
        <w:rPr>
          <w:rFonts w:ascii="Georgia" w:hAnsi="Georgia"/>
          <w:sz w:val="19"/>
          <w:szCs w:val="19"/>
        </w:rPr>
        <w:t>ommunity-based rehabilitation outreach program to approximately 15 village communities, benefitting up to 400 individuals.</w:t>
      </w:r>
    </w:p>
    <w:p w:rsidR="00794DA1" w:rsidRPr="00C4272B" w:rsidRDefault="00794DA1" w:rsidP="00794DA1">
      <w:pPr>
        <w:numPr>
          <w:ilvl w:val="0"/>
          <w:numId w:val="18"/>
        </w:numPr>
        <w:spacing w:before="80" w:after="80" w:line="280" w:lineRule="atLeast"/>
        <w:rPr>
          <w:rFonts w:ascii="Georgia" w:hAnsi="Georgia"/>
          <w:sz w:val="19"/>
          <w:szCs w:val="19"/>
        </w:rPr>
      </w:pPr>
      <w:r w:rsidRPr="00C4272B">
        <w:rPr>
          <w:rFonts w:ascii="Georgia" w:hAnsi="Georgia"/>
          <w:sz w:val="19"/>
          <w:szCs w:val="19"/>
        </w:rPr>
        <w:t>Improved physical learning environments for children</w:t>
      </w:r>
      <w:r>
        <w:rPr>
          <w:rFonts w:ascii="Georgia" w:hAnsi="Georgia"/>
          <w:sz w:val="19"/>
          <w:szCs w:val="19"/>
        </w:rPr>
        <w:t>.</w:t>
      </w:r>
    </w:p>
    <w:p w:rsidR="00794DA1" w:rsidRPr="00A53C0C" w:rsidRDefault="0071180A" w:rsidP="00A53C0C">
      <w:pPr>
        <w:spacing w:before="80" w:after="80" w:line="280" w:lineRule="atLeast"/>
        <w:rPr>
          <w:rFonts w:ascii="Georgia" w:hAnsi="Georgia"/>
          <w:sz w:val="19"/>
          <w:szCs w:val="19"/>
        </w:rPr>
      </w:pPr>
      <w:r>
        <w:rPr>
          <w:rFonts w:ascii="Georgia" w:hAnsi="Georgia"/>
          <w:sz w:val="19"/>
          <w:szCs w:val="19"/>
        </w:rPr>
        <w:t>T</w:t>
      </w:r>
      <w:r w:rsidRPr="00C4272B">
        <w:rPr>
          <w:rFonts w:ascii="Georgia" w:hAnsi="Georgia"/>
          <w:sz w:val="19"/>
          <w:szCs w:val="19"/>
        </w:rPr>
        <w:t>he previous Fiji Education Sector Program concluded at the end of 2009</w:t>
      </w:r>
      <w:r w:rsidR="00E15346">
        <w:rPr>
          <w:rFonts w:ascii="Georgia" w:hAnsi="Georgia"/>
          <w:sz w:val="19"/>
          <w:szCs w:val="19"/>
        </w:rPr>
        <w:t xml:space="preserve">. </w:t>
      </w:r>
      <w:r>
        <w:rPr>
          <w:rFonts w:ascii="Georgia" w:hAnsi="Georgia"/>
          <w:sz w:val="19"/>
          <w:szCs w:val="19"/>
        </w:rPr>
        <w:t>T</w:t>
      </w:r>
      <w:r w:rsidRPr="00C4272B">
        <w:rPr>
          <w:rFonts w:ascii="Georgia" w:hAnsi="Georgia"/>
          <w:sz w:val="19"/>
          <w:szCs w:val="19"/>
        </w:rPr>
        <w:t xml:space="preserve">he next phase of </w:t>
      </w:r>
      <w:smartTag w:uri="urn:schemas-microsoft-com:office:smarttags" w:element="country-region">
        <w:smartTag w:uri="urn:schemas-microsoft-com:office:smarttags" w:element="place">
          <w:r w:rsidRPr="00C4272B">
            <w:rPr>
              <w:rFonts w:ascii="Georgia" w:hAnsi="Georgia"/>
              <w:sz w:val="19"/>
              <w:szCs w:val="19"/>
            </w:rPr>
            <w:t>Australia</w:t>
          </w:r>
        </w:smartTag>
      </w:smartTag>
      <w:r w:rsidRPr="00C4272B">
        <w:rPr>
          <w:rFonts w:ascii="Georgia" w:hAnsi="Georgia"/>
          <w:sz w:val="19"/>
          <w:szCs w:val="19"/>
        </w:rPr>
        <w:t>’s support</w:t>
      </w:r>
      <w:r>
        <w:rPr>
          <w:rFonts w:ascii="Georgia" w:hAnsi="Georgia"/>
          <w:sz w:val="19"/>
          <w:szCs w:val="19"/>
        </w:rPr>
        <w:t>,</w:t>
      </w:r>
      <w:r w:rsidRPr="00C4272B">
        <w:rPr>
          <w:rFonts w:ascii="Georgia" w:hAnsi="Georgia"/>
          <w:sz w:val="19"/>
          <w:szCs w:val="19"/>
        </w:rPr>
        <w:t xml:space="preserve"> the new Access to Quality Education Program</w:t>
      </w:r>
      <w:r>
        <w:rPr>
          <w:rFonts w:ascii="Georgia" w:hAnsi="Georgia"/>
          <w:sz w:val="19"/>
          <w:szCs w:val="19"/>
        </w:rPr>
        <w:t>,</w:t>
      </w:r>
      <w:r w:rsidRPr="00C4272B">
        <w:rPr>
          <w:rFonts w:ascii="Georgia" w:hAnsi="Georgia"/>
          <w:sz w:val="19"/>
          <w:szCs w:val="19"/>
        </w:rPr>
        <w:t xml:space="preserve"> </w:t>
      </w:r>
      <w:r>
        <w:rPr>
          <w:rFonts w:ascii="Georgia" w:hAnsi="Georgia"/>
          <w:sz w:val="19"/>
          <w:szCs w:val="19"/>
        </w:rPr>
        <w:t>was planned</w:t>
      </w:r>
      <w:r w:rsidRPr="00C4272B">
        <w:rPr>
          <w:rFonts w:ascii="Georgia" w:hAnsi="Georgia"/>
          <w:sz w:val="19"/>
          <w:szCs w:val="19"/>
        </w:rPr>
        <w:t xml:space="preserve"> to </w:t>
      </w:r>
      <w:r w:rsidR="001C0D12">
        <w:rPr>
          <w:rFonts w:ascii="Georgia" w:hAnsi="Georgia"/>
          <w:sz w:val="19"/>
          <w:szCs w:val="19"/>
        </w:rPr>
        <w:t xml:space="preserve">start </w:t>
      </w:r>
      <w:r w:rsidR="00E547A3">
        <w:rPr>
          <w:rFonts w:ascii="Georgia" w:hAnsi="Georgia"/>
          <w:sz w:val="19"/>
          <w:szCs w:val="19"/>
        </w:rPr>
        <w:t>mid-</w:t>
      </w:r>
      <w:r w:rsidRPr="00C4272B">
        <w:rPr>
          <w:rFonts w:ascii="Georgia" w:hAnsi="Georgia"/>
          <w:sz w:val="19"/>
          <w:szCs w:val="19"/>
        </w:rPr>
        <w:t xml:space="preserve">2011, </w:t>
      </w:r>
      <w:r w:rsidR="001B028A">
        <w:rPr>
          <w:rFonts w:ascii="Georgia" w:hAnsi="Georgia"/>
          <w:sz w:val="19"/>
          <w:szCs w:val="19"/>
        </w:rPr>
        <w:t xml:space="preserve">so </w:t>
      </w:r>
      <w:r w:rsidRPr="00C4272B">
        <w:rPr>
          <w:rFonts w:ascii="Georgia" w:hAnsi="Georgia"/>
          <w:sz w:val="19"/>
          <w:szCs w:val="19"/>
        </w:rPr>
        <w:t xml:space="preserve">there </w:t>
      </w:r>
      <w:r>
        <w:rPr>
          <w:rFonts w:ascii="Georgia" w:hAnsi="Georgia"/>
          <w:sz w:val="19"/>
          <w:szCs w:val="19"/>
        </w:rPr>
        <w:t>was no</w:t>
      </w:r>
      <w:r w:rsidRPr="00C4272B">
        <w:rPr>
          <w:rFonts w:ascii="Georgia" w:hAnsi="Georgia"/>
          <w:sz w:val="19"/>
          <w:szCs w:val="19"/>
        </w:rPr>
        <w:t xml:space="preserve"> </w:t>
      </w:r>
      <w:r>
        <w:rPr>
          <w:rFonts w:ascii="Georgia" w:hAnsi="Georgia"/>
          <w:sz w:val="19"/>
          <w:szCs w:val="19"/>
        </w:rPr>
        <w:t>large-scale bilateral</w:t>
      </w:r>
      <w:r w:rsidRPr="00C4272B">
        <w:rPr>
          <w:rFonts w:ascii="Georgia" w:hAnsi="Georgia"/>
          <w:sz w:val="19"/>
          <w:szCs w:val="19"/>
        </w:rPr>
        <w:t xml:space="preserve"> education program in place</w:t>
      </w:r>
      <w:r w:rsidR="001B028A">
        <w:rPr>
          <w:rFonts w:ascii="Georgia" w:hAnsi="Georgia"/>
          <w:sz w:val="19"/>
          <w:szCs w:val="19"/>
        </w:rPr>
        <w:t xml:space="preserve"> in 2010</w:t>
      </w:r>
      <w:r w:rsidR="00E15346">
        <w:rPr>
          <w:rFonts w:ascii="Georgia" w:hAnsi="Georgia"/>
          <w:sz w:val="19"/>
          <w:szCs w:val="19"/>
        </w:rPr>
        <w:t xml:space="preserve">. </w:t>
      </w:r>
      <w:r w:rsidR="001B028A" w:rsidRPr="00A53C0C">
        <w:rPr>
          <w:rFonts w:ascii="Georgia" w:hAnsi="Georgia"/>
          <w:sz w:val="19"/>
          <w:szCs w:val="19"/>
        </w:rPr>
        <w:t>Instead,</w:t>
      </w:r>
      <w:r w:rsidR="00794DA1" w:rsidRPr="00A53C0C">
        <w:rPr>
          <w:rFonts w:ascii="Georgia" w:hAnsi="Georgia"/>
          <w:sz w:val="19"/>
          <w:szCs w:val="19"/>
        </w:rPr>
        <w:t xml:space="preserve"> interim package</w:t>
      </w:r>
      <w:r w:rsidRPr="00A53C0C">
        <w:rPr>
          <w:rFonts w:ascii="Georgia" w:hAnsi="Georgia"/>
          <w:sz w:val="19"/>
          <w:szCs w:val="19"/>
        </w:rPr>
        <w:t>s</w:t>
      </w:r>
      <w:r w:rsidR="00794DA1" w:rsidRPr="00A53C0C">
        <w:rPr>
          <w:rFonts w:ascii="Georgia" w:hAnsi="Georgia"/>
          <w:sz w:val="19"/>
          <w:szCs w:val="19"/>
        </w:rPr>
        <w:t xml:space="preserve"> of assistance </w:t>
      </w:r>
      <w:r w:rsidRPr="00A53C0C">
        <w:rPr>
          <w:rFonts w:ascii="Georgia" w:hAnsi="Georgia"/>
          <w:sz w:val="19"/>
          <w:szCs w:val="19"/>
        </w:rPr>
        <w:t>were put in place</w:t>
      </w:r>
      <w:r w:rsidR="00E15346">
        <w:rPr>
          <w:rFonts w:ascii="Georgia" w:hAnsi="Georgia"/>
          <w:sz w:val="19"/>
          <w:szCs w:val="19"/>
        </w:rPr>
        <w:t xml:space="preserve">. </w:t>
      </w:r>
      <w:r w:rsidRPr="00A53C0C">
        <w:rPr>
          <w:rFonts w:ascii="Georgia" w:hAnsi="Georgia"/>
          <w:sz w:val="19"/>
          <w:szCs w:val="19"/>
        </w:rPr>
        <w:t xml:space="preserve">Despite this change, </w:t>
      </w:r>
      <w:smartTag w:uri="urn:schemas-microsoft-com:office:smarttags" w:element="country-region">
        <w:r w:rsidR="00794DA1" w:rsidRPr="00A53C0C">
          <w:rPr>
            <w:rFonts w:ascii="Georgia" w:hAnsi="Georgia"/>
            <w:sz w:val="19"/>
            <w:szCs w:val="19"/>
          </w:rPr>
          <w:t>Australia</w:t>
        </w:r>
      </w:smartTag>
      <w:r w:rsidR="00794DA1" w:rsidRPr="00A53C0C">
        <w:rPr>
          <w:rFonts w:ascii="Georgia" w:hAnsi="Georgia"/>
          <w:sz w:val="19"/>
          <w:szCs w:val="19"/>
        </w:rPr>
        <w:t xml:space="preserve"> remained the major donor</w:t>
      </w:r>
      <w:r w:rsidRPr="00A53C0C">
        <w:rPr>
          <w:rFonts w:ascii="Georgia" w:hAnsi="Georgia"/>
          <w:sz w:val="19"/>
          <w:szCs w:val="19"/>
        </w:rPr>
        <w:t xml:space="preserve"> to</w:t>
      </w:r>
      <w:r w:rsidR="00794DA1" w:rsidRPr="00A53C0C">
        <w:rPr>
          <w:rFonts w:ascii="Georgia" w:hAnsi="Georgia"/>
          <w:sz w:val="19"/>
          <w:szCs w:val="19"/>
        </w:rPr>
        <w:t xml:space="preserve"> the </w:t>
      </w:r>
      <w:smartTag w:uri="urn:schemas-microsoft-com:office:smarttags" w:element="country-region">
        <w:smartTag w:uri="urn:schemas-microsoft-com:office:smarttags" w:element="place">
          <w:r w:rsidR="00794DA1" w:rsidRPr="00A53C0C">
            <w:rPr>
              <w:rFonts w:ascii="Georgia" w:hAnsi="Georgia"/>
              <w:sz w:val="19"/>
              <w:szCs w:val="19"/>
            </w:rPr>
            <w:t>Fiji</w:t>
          </w:r>
        </w:smartTag>
      </w:smartTag>
      <w:r w:rsidR="00794DA1" w:rsidRPr="00A53C0C">
        <w:rPr>
          <w:rFonts w:ascii="Georgia" w:hAnsi="Georgia"/>
          <w:sz w:val="19"/>
          <w:szCs w:val="19"/>
        </w:rPr>
        <w:t xml:space="preserve"> education sector, as overall development resources reduced</w:t>
      </w:r>
      <w:r w:rsidR="00E15346">
        <w:rPr>
          <w:rFonts w:ascii="Georgia" w:hAnsi="Georgia"/>
          <w:sz w:val="19"/>
          <w:szCs w:val="19"/>
        </w:rPr>
        <w:t xml:space="preserve">. </w:t>
      </w:r>
    </w:p>
    <w:p w:rsidR="0071180A" w:rsidRPr="00A53C0C" w:rsidRDefault="00A53C0C" w:rsidP="00A53C0C">
      <w:pPr>
        <w:pStyle w:val="Heading3"/>
        <w:keepNext/>
        <w:spacing w:before="240"/>
      </w:pPr>
      <w:bookmarkStart w:id="6" w:name="_Toc360976515"/>
      <w:r>
        <w:lastRenderedPageBreak/>
        <w:t xml:space="preserve">New </w:t>
      </w:r>
      <w:r w:rsidR="00F60C2C">
        <w:t>A</w:t>
      </w:r>
      <w:r w:rsidR="00F60C2C" w:rsidRPr="00A53C0C">
        <w:t xml:space="preserve">ccess </w:t>
      </w:r>
      <w:r w:rsidR="0071180A" w:rsidRPr="00A53C0C">
        <w:t>to Quality Education</w:t>
      </w:r>
      <w:r>
        <w:t xml:space="preserve"> Program</w:t>
      </w:r>
      <w:bookmarkEnd w:id="6"/>
    </w:p>
    <w:p w:rsidR="00794DA1" w:rsidRDefault="00794DA1" w:rsidP="00794DA1">
      <w:pPr>
        <w:spacing w:before="80" w:after="80" w:line="280" w:lineRule="atLeast"/>
        <w:rPr>
          <w:rFonts w:ascii="Georgia" w:hAnsi="Georgia"/>
          <w:sz w:val="19"/>
          <w:szCs w:val="19"/>
        </w:rPr>
      </w:pPr>
      <w:r w:rsidRPr="00255AFB">
        <w:rPr>
          <w:rFonts w:ascii="Georgia" w:hAnsi="Georgia"/>
          <w:sz w:val="19"/>
          <w:szCs w:val="19"/>
        </w:rPr>
        <w:t>Education remain</w:t>
      </w:r>
      <w:r w:rsidR="001C0D12">
        <w:rPr>
          <w:rFonts w:ascii="Georgia" w:hAnsi="Georgia"/>
          <w:sz w:val="19"/>
          <w:szCs w:val="19"/>
        </w:rPr>
        <w:t>s</w:t>
      </w:r>
      <w:r w:rsidRPr="00255AFB">
        <w:rPr>
          <w:rFonts w:ascii="Georgia" w:hAnsi="Georgia"/>
          <w:sz w:val="19"/>
          <w:szCs w:val="19"/>
        </w:rPr>
        <w:t xml:space="preserve"> a key priority of the bilateral aid program</w:t>
      </w:r>
      <w:r w:rsidR="0071180A">
        <w:rPr>
          <w:rFonts w:ascii="Georgia" w:hAnsi="Georgia"/>
          <w:sz w:val="19"/>
          <w:szCs w:val="19"/>
        </w:rPr>
        <w:t>,</w:t>
      </w:r>
      <w:r w:rsidRPr="00255AFB">
        <w:rPr>
          <w:rFonts w:ascii="Georgia" w:hAnsi="Georgia"/>
          <w:sz w:val="19"/>
          <w:szCs w:val="19"/>
        </w:rPr>
        <w:t xml:space="preserve"> </w:t>
      </w:r>
      <w:r w:rsidR="0071180A">
        <w:rPr>
          <w:rFonts w:ascii="Georgia" w:hAnsi="Georgia"/>
          <w:sz w:val="19"/>
          <w:szCs w:val="19"/>
        </w:rPr>
        <w:t xml:space="preserve">particularly as </w:t>
      </w:r>
      <w:smartTag w:uri="urn:schemas-microsoft-com:office:smarttags" w:element="country-region">
        <w:smartTag w:uri="urn:schemas-microsoft-com:office:smarttags" w:element="place">
          <w:r>
            <w:rPr>
              <w:rFonts w:ascii="Georgia" w:hAnsi="Georgia"/>
              <w:sz w:val="19"/>
              <w:szCs w:val="19"/>
            </w:rPr>
            <w:t>Fiji</w:t>
          </w:r>
        </w:smartTag>
      </w:smartTag>
      <w:r>
        <w:rPr>
          <w:rFonts w:ascii="Georgia" w:hAnsi="Georgia"/>
          <w:sz w:val="19"/>
          <w:szCs w:val="19"/>
        </w:rPr>
        <w:t xml:space="preserve"> is now off-track to meet MDG2</w:t>
      </w:r>
      <w:r w:rsidR="001C0D12">
        <w:rPr>
          <w:rFonts w:ascii="Georgia" w:hAnsi="Georgia"/>
          <w:sz w:val="19"/>
          <w:szCs w:val="19"/>
        </w:rPr>
        <w:t xml:space="preserve">, </w:t>
      </w:r>
      <w:r w:rsidR="0026128E">
        <w:rPr>
          <w:rFonts w:ascii="Georgia" w:hAnsi="Georgia"/>
          <w:sz w:val="19"/>
          <w:szCs w:val="19"/>
        </w:rPr>
        <w:t>achieving universal primary education</w:t>
      </w:r>
      <w:r w:rsidR="001C0D12">
        <w:rPr>
          <w:rFonts w:ascii="Georgia" w:hAnsi="Georgia"/>
          <w:sz w:val="19"/>
          <w:szCs w:val="19"/>
        </w:rPr>
        <w:t>. T</w:t>
      </w:r>
      <w:r>
        <w:rPr>
          <w:rFonts w:ascii="Georgia" w:hAnsi="Georgia"/>
          <w:sz w:val="19"/>
          <w:szCs w:val="19"/>
        </w:rPr>
        <w:t>he objective moving forward is to arrest this decline as far as possible</w:t>
      </w:r>
      <w:r w:rsidR="00E15346">
        <w:rPr>
          <w:rFonts w:ascii="Georgia" w:hAnsi="Georgia"/>
          <w:sz w:val="19"/>
          <w:szCs w:val="19"/>
        </w:rPr>
        <w:t xml:space="preserve">. </w:t>
      </w:r>
      <w:r w:rsidRPr="00255AFB">
        <w:rPr>
          <w:rFonts w:ascii="Georgia" w:hAnsi="Georgia"/>
          <w:sz w:val="19"/>
          <w:szCs w:val="19"/>
        </w:rPr>
        <w:t>Th</w:t>
      </w:r>
      <w:r w:rsidR="0071180A">
        <w:rPr>
          <w:rFonts w:ascii="Georgia" w:hAnsi="Georgia"/>
          <w:sz w:val="19"/>
          <w:szCs w:val="19"/>
        </w:rPr>
        <w:t>is</w:t>
      </w:r>
      <w:r w:rsidRPr="00255AFB">
        <w:rPr>
          <w:rFonts w:ascii="Georgia" w:hAnsi="Georgia"/>
          <w:sz w:val="19"/>
          <w:szCs w:val="19"/>
        </w:rPr>
        <w:t xml:space="preserve"> new </w:t>
      </w:r>
      <w:r w:rsidR="001C0D12">
        <w:rPr>
          <w:rFonts w:ascii="Georgia" w:hAnsi="Georgia"/>
          <w:sz w:val="19"/>
          <w:szCs w:val="19"/>
        </w:rPr>
        <w:t xml:space="preserve">program </w:t>
      </w:r>
      <w:r w:rsidRPr="00255AFB">
        <w:rPr>
          <w:rFonts w:ascii="Georgia" w:hAnsi="Georgia"/>
          <w:sz w:val="19"/>
          <w:szCs w:val="19"/>
        </w:rPr>
        <w:t>design focuses on practical</w:t>
      </w:r>
      <w:r w:rsidR="001C0D12">
        <w:rPr>
          <w:rFonts w:ascii="Georgia" w:hAnsi="Georgia"/>
          <w:sz w:val="19"/>
          <w:szCs w:val="19"/>
        </w:rPr>
        <w:t>,</w:t>
      </w:r>
      <w:r w:rsidRPr="00255AFB">
        <w:rPr>
          <w:rFonts w:ascii="Georgia" w:hAnsi="Georgia"/>
          <w:sz w:val="19"/>
          <w:szCs w:val="19"/>
        </w:rPr>
        <w:t xml:space="preserve"> direct support to families and schools, 98 per</w:t>
      </w:r>
      <w:r>
        <w:rPr>
          <w:rFonts w:ascii="Georgia" w:hAnsi="Georgia"/>
          <w:sz w:val="19"/>
          <w:szCs w:val="19"/>
        </w:rPr>
        <w:t xml:space="preserve"> </w:t>
      </w:r>
      <w:r w:rsidRPr="00255AFB">
        <w:rPr>
          <w:rFonts w:ascii="Georgia" w:hAnsi="Georgia"/>
          <w:sz w:val="19"/>
          <w:szCs w:val="19"/>
        </w:rPr>
        <w:t>cent of which are managed by community boards</w:t>
      </w:r>
      <w:r w:rsidR="00E15346">
        <w:rPr>
          <w:rFonts w:ascii="Georgia" w:hAnsi="Georgia"/>
          <w:sz w:val="19"/>
          <w:szCs w:val="19"/>
        </w:rPr>
        <w:t xml:space="preserve">. </w:t>
      </w:r>
      <w:r w:rsidR="001C0D12">
        <w:rPr>
          <w:rFonts w:ascii="Georgia" w:hAnsi="Georgia"/>
          <w:sz w:val="19"/>
          <w:szCs w:val="19"/>
        </w:rPr>
        <w:t>The new design enables</w:t>
      </w:r>
      <w:r w:rsidRPr="00255AFB">
        <w:rPr>
          <w:rFonts w:ascii="Georgia" w:hAnsi="Georgia"/>
          <w:sz w:val="19"/>
          <w:szCs w:val="19"/>
        </w:rPr>
        <w:t xml:space="preserve"> </w:t>
      </w:r>
      <w:r w:rsidR="0071180A">
        <w:rPr>
          <w:rFonts w:ascii="Georgia" w:hAnsi="Georgia"/>
          <w:sz w:val="19"/>
          <w:szCs w:val="19"/>
        </w:rPr>
        <w:t xml:space="preserve">development assistance </w:t>
      </w:r>
      <w:r w:rsidR="001C0D12">
        <w:rPr>
          <w:rFonts w:ascii="Georgia" w:hAnsi="Georgia"/>
          <w:sz w:val="19"/>
          <w:szCs w:val="19"/>
        </w:rPr>
        <w:t xml:space="preserve">to </w:t>
      </w:r>
      <w:r w:rsidR="0071180A">
        <w:rPr>
          <w:rFonts w:ascii="Georgia" w:hAnsi="Georgia"/>
          <w:sz w:val="19"/>
          <w:szCs w:val="19"/>
        </w:rPr>
        <w:t xml:space="preserve">be </w:t>
      </w:r>
      <w:r w:rsidRPr="00255AFB">
        <w:rPr>
          <w:rFonts w:ascii="Georgia" w:hAnsi="Georgia"/>
          <w:sz w:val="19"/>
          <w:szCs w:val="19"/>
        </w:rPr>
        <w:t xml:space="preserve">directed </w:t>
      </w:r>
      <w:r w:rsidR="0071180A">
        <w:rPr>
          <w:rFonts w:ascii="Georgia" w:hAnsi="Georgia"/>
          <w:sz w:val="19"/>
          <w:szCs w:val="19"/>
        </w:rPr>
        <w:t>straight to schools across the country</w:t>
      </w:r>
      <w:r w:rsidR="00E15346">
        <w:rPr>
          <w:rFonts w:ascii="Georgia" w:hAnsi="Georgia"/>
          <w:sz w:val="19"/>
          <w:szCs w:val="19"/>
        </w:rPr>
        <w:t xml:space="preserve">. </w:t>
      </w:r>
      <w:r w:rsidR="001C0D12">
        <w:rPr>
          <w:rFonts w:ascii="Georgia" w:hAnsi="Georgia"/>
          <w:sz w:val="19"/>
          <w:szCs w:val="19"/>
        </w:rPr>
        <w:t>It</w:t>
      </w:r>
      <w:r w:rsidR="0071180A">
        <w:rPr>
          <w:rFonts w:ascii="Georgia" w:hAnsi="Georgia"/>
          <w:sz w:val="19"/>
          <w:szCs w:val="19"/>
        </w:rPr>
        <w:t xml:space="preserve"> also provide</w:t>
      </w:r>
      <w:r w:rsidR="001C0D12">
        <w:rPr>
          <w:rFonts w:ascii="Georgia" w:hAnsi="Georgia"/>
          <w:sz w:val="19"/>
          <w:szCs w:val="19"/>
        </w:rPr>
        <w:t>s</w:t>
      </w:r>
      <w:r w:rsidR="0071180A">
        <w:rPr>
          <w:rFonts w:ascii="Georgia" w:hAnsi="Georgia"/>
          <w:sz w:val="19"/>
          <w:szCs w:val="19"/>
        </w:rPr>
        <w:t xml:space="preserve"> opportunities to highlight the presence and work of the Australian </w:t>
      </w:r>
      <w:r w:rsidR="001C0D12">
        <w:rPr>
          <w:rFonts w:ascii="Georgia" w:hAnsi="Georgia"/>
          <w:sz w:val="19"/>
          <w:szCs w:val="19"/>
        </w:rPr>
        <w:t>a</w:t>
      </w:r>
      <w:r w:rsidR="0071180A">
        <w:rPr>
          <w:rFonts w:ascii="Georgia" w:hAnsi="Georgia"/>
          <w:sz w:val="19"/>
          <w:szCs w:val="19"/>
        </w:rPr>
        <w:t xml:space="preserve">id </w:t>
      </w:r>
      <w:r w:rsidR="001C0D12">
        <w:rPr>
          <w:rFonts w:ascii="Georgia" w:hAnsi="Georgia"/>
          <w:sz w:val="19"/>
          <w:szCs w:val="19"/>
        </w:rPr>
        <w:t>pr</w:t>
      </w:r>
      <w:r w:rsidR="0071180A">
        <w:rPr>
          <w:rFonts w:ascii="Georgia" w:hAnsi="Georgia"/>
          <w:sz w:val="19"/>
          <w:szCs w:val="19"/>
        </w:rPr>
        <w:t xml:space="preserve">ogram, through local public diplomacy. </w:t>
      </w:r>
      <w:r w:rsidR="00055A2F">
        <w:rPr>
          <w:rFonts w:ascii="Georgia" w:hAnsi="Georgia"/>
          <w:sz w:val="19"/>
          <w:szCs w:val="19"/>
        </w:rPr>
        <w:t>As past experience shows, t</w:t>
      </w:r>
      <w:r w:rsidRPr="00255AFB">
        <w:rPr>
          <w:rFonts w:ascii="Georgia" w:hAnsi="Georgia"/>
          <w:sz w:val="19"/>
          <w:szCs w:val="19"/>
        </w:rPr>
        <w:t>he reconstruction work rebuilding schools directly affected by natural disasters will be high</w:t>
      </w:r>
      <w:r w:rsidR="0071180A">
        <w:rPr>
          <w:rFonts w:ascii="Georgia" w:hAnsi="Georgia"/>
          <w:sz w:val="19"/>
          <w:szCs w:val="19"/>
        </w:rPr>
        <w:t>ly appreciated by schools and their communities, and highlight Australia’s visible commitment to Fiji</w:t>
      </w:r>
      <w:r w:rsidR="00E15346">
        <w:rPr>
          <w:rFonts w:ascii="Georgia" w:hAnsi="Georgia"/>
          <w:sz w:val="19"/>
          <w:szCs w:val="19"/>
        </w:rPr>
        <w:t xml:space="preserve">. </w:t>
      </w:r>
    </w:p>
    <w:p w:rsidR="00EE4B94" w:rsidRPr="00EE4B94" w:rsidRDefault="00EE4B94" w:rsidP="00CF17D8">
      <w:pPr>
        <w:pStyle w:val="Heading2"/>
        <w:keepNext/>
        <w:tabs>
          <w:tab w:val="left" w:pos="1920"/>
        </w:tabs>
        <w:spacing w:before="240" w:after="120" w:line="320" w:lineRule="atLeast"/>
        <w:ind w:left="0"/>
      </w:pPr>
      <w:bookmarkStart w:id="7" w:name="_Toc360976516"/>
      <w:r>
        <w:t>Objective 2:</w:t>
      </w:r>
      <w:r w:rsidRPr="00EE4B94">
        <w:t xml:space="preserve"> </w:t>
      </w:r>
      <w:r w:rsidR="00794DA1">
        <w:t>Strengthening primary health services</w:t>
      </w:r>
      <w:bookmarkEnd w:id="7"/>
    </w:p>
    <w:p w:rsidR="0026128E" w:rsidRDefault="0026128E" w:rsidP="0026128E">
      <w:pPr>
        <w:spacing w:before="80" w:after="80" w:line="280" w:lineRule="atLeast"/>
        <w:rPr>
          <w:rFonts w:ascii="Georgia" w:hAnsi="Georgia"/>
          <w:sz w:val="19"/>
          <w:szCs w:val="19"/>
        </w:rPr>
      </w:pPr>
      <w:r>
        <w:rPr>
          <w:rFonts w:ascii="Georgia" w:hAnsi="Georgia"/>
          <w:sz w:val="19"/>
          <w:szCs w:val="19"/>
        </w:rPr>
        <w:t>Cuts to the national health budget, policy commitments focused on the development of specialist surgical capacity</w:t>
      </w:r>
      <w:r w:rsidR="00F769BF">
        <w:rPr>
          <w:rFonts w:ascii="Georgia" w:hAnsi="Georgia"/>
          <w:sz w:val="19"/>
          <w:szCs w:val="19"/>
        </w:rPr>
        <w:t xml:space="preserve"> (</w:t>
      </w:r>
      <w:r>
        <w:rPr>
          <w:rFonts w:ascii="Georgia" w:hAnsi="Georgia"/>
          <w:sz w:val="19"/>
          <w:szCs w:val="19"/>
        </w:rPr>
        <w:t>such as cardiac surgery</w:t>
      </w:r>
      <w:r w:rsidR="00F769BF">
        <w:rPr>
          <w:rFonts w:ascii="Georgia" w:hAnsi="Georgia"/>
          <w:sz w:val="19"/>
          <w:szCs w:val="19"/>
        </w:rPr>
        <w:t xml:space="preserve">), </w:t>
      </w:r>
      <w:r>
        <w:rPr>
          <w:rFonts w:ascii="Georgia" w:hAnsi="Georgia"/>
          <w:sz w:val="19"/>
          <w:szCs w:val="19"/>
        </w:rPr>
        <w:t>rising medical costs</w:t>
      </w:r>
      <w:r w:rsidR="00F769BF">
        <w:rPr>
          <w:rFonts w:ascii="Georgia" w:hAnsi="Georgia"/>
          <w:sz w:val="19"/>
          <w:szCs w:val="19"/>
        </w:rPr>
        <w:t xml:space="preserve"> and</w:t>
      </w:r>
      <w:r>
        <w:rPr>
          <w:rFonts w:ascii="Georgia" w:hAnsi="Georgia"/>
          <w:sz w:val="19"/>
          <w:szCs w:val="19"/>
        </w:rPr>
        <w:t xml:space="preserve"> fewer staff to respond to growing</w:t>
      </w:r>
      <w:r w:rsidR="00F769BF">
        <w:rPr>
          <w:rFonts w:ascii="Georgia" w:hAnsi="Georgia"/>
          <w:sz w:val="19"/>
          <w:szCs w:val="19"/>
        </w:rPr>
        <w:t xml:space="preserve"> health</w:t>
      </w:r>
      <w:r>
        <w:rPr>
          <w:rFonts w:ascii="Georgia" w:hAnsi="Georgia"/>
          <w:sz w:val="19"/>
          <w:szCs w:val="19"/>
        </w:rPr>
        <w:t xml:space="preserve"> needs in peri-urban areas have all impacted</w:t>
      </w:r>
      <w:r w:rsidR="00F769BF">
        <w:rPr>
          <w:rFonts w:ascii="Georgia" w:hAnsi="Georgia"/>
          <w:sz w:val="19"/>
          <w:szCs w:val="19"/>
        </w:rPr>
        <w:t xml:space="preserve"> on</w:t>
      </w:r>
      <w:r>
        <w:rPr>
          <w:rFonts w:ascii="Georgia" w:hAnsi="Georgia"/>
          <w:sz w:val="19"/>
          <w:szCs w:val="19"/>
        </w:rPr>
        <w:t xml:space="preserve"> Fiji’s ability to meet the maternal and child health MDGs</w:t>
      </w:r>
      <w:r w:rsidR="00E15346">
        <w:rPr>
          <w:rFonts w:ascii="Georgia" w:hAnsi="Georgia"/>
          <w:sz w:val="19"/>
          <w:szCs w:val="19"/>
        </w:rPr>
        <w:t xml:space="preserve">. </w:t>
      </w:r>
      <w:r>
        <w:rPr>
          <w:rFonts w:ascii="Georgia" w:hAnsi="Georgia"/>
          <w:sz w:val="19"/>
          <w:szCs w:val="19"/>
        </w:rPr>
        <w:t>Staff cuts and attrition due to the regime’s retirement policy at 55 years ha</w:t>
      </w:r>
      <w:r w:rsidR="00F769BF">
        <w:rPr>
          <w:rFonts w:ascii="Georgia" w:hAnsi="Georgia"/>
          <w:sz w:val="19"/>
          <w:szCs w:val="19"/>
        </w:rPr>
        <w:t>ve</w:t>
      </w:r>
      <w:r>
        <w:rPr>
          <w:rFonts w:ascii="Georgia" w:hAnsi="Georgia"/>
          <w:sz w:val="19"/>
          <w:szCs w:val="19"/>
        </w:rPr>
        <w:t xml:space="preserve"> resulted in a high turnover of staff (approximately 1000 since 2009, </w:t>
      </w:r>
      <w:r w:rsidRPr="00681B5B">
        <w:rPr>
          <w:rFonts w:ascii="Georgia" w:hAnsi="Georgia"/>
          <w:sz w:val="19"/>
          <w:szCs w:val="19"/>
        </w:rPr>
        <w:t>many consultants and nurses</w:t>
      </w:r>
      <w:r>
        <w:rPr>
          <w:rFonts w:ascii="Georgia" w:hAnsi="Georgia"/>
          <w:sz w:val="19"/>
          <w:szCs w:val="19"/>
        </w:rPr>
        <w:t>), poor staff motivation and employment insecurity</w:t>
      </w:r>
      <w:r w:rsidR="00E15346">
        <w:rPr>
          <w:rFonts w:ascii="Georgia" w:hAnsi="Georgia"/>
          <w:sz w:val="19"/>
          <w:szCs w:val="19"/>
        </w:rPr>
        <w:t xml:space="preserve">. </w:t>
      </w:r>
      <w:r>
        <w:rPr>
          <w:rFonts w:ascii="Georgia" w:hAnsi="Georgia"/>
          <w:sz w:val="19"/>
          <w:szCs w:val="19"/>
        </w:rPr>
        <w:t xml:space="preserve">In response to the need to address critical staffing issues, the health sector transition program supported </w:t>
      </w:r>
      <w:r w:rsidR="00F769BF">
        <w:rPr>
          <w:rFonts w:ascii="Georgia" w:hAnsi="Georgia"/>
          <w:sz w:val="19"/>
          <w:szCs w:val="19"/>
        </w:rPr>
        <w:t>f</w:t>
      </w:r>
      <w:r>
        <w:rPr>
          <w:rFonts w:ascii="Georgia" w:hAnsi="Georgia"/>
          <w:sz w:val="19"/>
          <w:szCs w:val="19"/>
        </w:rPr>
        <w:t xml:space="preserve">ront </w:t>
      </w:r>
      <w:r w:rsidR="00F769BF">
        <w:rPr>
          <w:rFonts w:ascii="Georgia" w:hAnsi="Georgia"/>
          <w:sz w:val="19"/>
          <w:szCs w:val="19"/>
        </w:rPr>
        <w:t>l</w:t>
      </w:r>
      <w:r>
        <w:rPr>
          <w:rFonts w:ascii="Georgia" w:hAnsi="Georgia"/>
          <w:sz w:val="19"/>
          <w:szCs w:val="19"/>
        </w:rPr>
        <w:t xml:space="preserve">ine </w:t>
      </w:r>
      <w:r w:rsidR="00F769BF">
        <w:rPr>
          <w:rFonts w:ascii="Georgia" w:hAnsi="Georgia"/>
          <w:sz w:val="19"/>
          <w:szCs w:val="19"/>
        </w:rPr>
        <w:t>m</w:t>
      </w:r>
      <w:r>
        <w:rPr>
          <w:rFonts w:ascii="Georgia" w:hAnsi="Georgia"/>
          <w:sz w:val="19"/>
          <w:szCs w:val="19"/>
        </w:rPr>
        <w:t xml:space="preserve">anagement </w:t>
      </w:r>
      <w:r w:rsidR="00F769BF">
        <w:rPr>
          <w:rFonts w:ascii="Georgia" w:hAnsi="Georgia"/>
          <w:sz w:val="19"/>
          <w:szCs w:val="19"/>
        </w:rPr>
        <w:t>t</w:t>
      </w:r>
      <w:r>
        <w:rPr>
          <w:rFonts w:ascii="Georgia" w:hAnsi="Georgia"/>
          <w:sz w:val="19"/>
          <w:szCs w:val="19"/>
        </w:rPr>
        <w:t xml:space="preserve">raining, </w:t>
      </w:r>
      <w:r w:rsidR="00F769BF">
        <w:rPr>
          <w:rFonts w:ascii="Georgia" w:hAnsi="Georgia"/>
          <w:sz w:val="19"/>
          <w:szCs w:val="19"/>
        </w:rPr>
        <w:t>t</w:t>
      </w:r>
      <w:r>
        <w:rPr>
          <w:rFonts w:ascii="Georgia" w:hAnsi="Georgia"/>
          <w:sz w:val="19"/>
          <w:szCs w:val="19"/>
        </w:rPr>
        <w:t xml:space="preserve">riage </w:t>
      </w:r>
      <w:r w:rsidR="00F769BF">
        <w:rPr>
          <w:rFonts w:ascii="Georgia" w:hAnsi="Georgia"/>
          <w:sz w:val="19"/>
          <w:szCs w:val="19"/>
        </w:rPr>
        <w:t>t</w:t>
      </w:r>
      <w:r>
        <w:rPr>
          <w:rFonts w:ascii="Georgia" w:hAnsi="Georgia"/>
          <w:sz w:val="19"/>
          <w:szCs w:val="19"/>
        </w:rPr>
        <w:t xml:space="preserve">raining for nurses in subdivisional hospitals, and the documentation of </w:t>
      </w:r>
      <w:r w:rsidR="00F769BF">
        <w:rPr>
          <w:rFonts w:ascii="Georgia" w:hAnsi="Georgia"/>
          <w:sz w:val="19"/>
          <w:szCs w:val="19"/>
        </w:rPr>
        <w:t>c</w:t>
      </w:r>
      <w:r>
        <w:rPr>
          <w:rFonts w:ascii="Georgia" w:hAnsi="Georgia"/>
          <w:sz w:val="19"/>
          <w:szCs w:val="19"/>
        </w:rPr>
        <w:t xml:space="preserve">linical </w:t>
      </w:r>
      <w:r w:rsidR="00F769BF">
        <w:rPr>
          <w:rFonts w:ascii="Georgia" w:hAnsi="Georgia"/>
          <w:sz w:val="19"/>
          <w:szCs w:val="19"/>
        </w:rPr>
        <w:t>p</w:t>
      </w:r>
      <w:r>
        <w:rPr>
          <w:rFonts w:ascii="Georgia" w:hAnsi="Georgia"/>
          <w:sz w:val="19"/>
          <w:szCs w:val="19"/>
        </w:rPr>
        <w:t xml:space="preserve">ractice </w:t>
      </w:r>
      <w:r w:rsidR="00F769BF">
        <w:rPr>
          <w:rFonts w:ascii="Georgia" w:hAnsi="Georgia"/>
          <w:sz w:val="19"/>
          <w:szCs w:val="19"/>
        </w:rPr>
        <w:t>g</w:t>
      </w:r>
      <w:r>
        <w:rPr>
          <w:rFonts w:ascii="Georgia" w:hAnsi="Georgia"/>
          <w:sz w:val="19"/>
          <w:szCs w:val="19"/>
        </w:rPr>
        <w:t>uidelines</w:t>
      </w:r>
      <w:r w:rsidR="00F769BF">
        <w:rPr>
          <w:rFonts w:ascii="Georgia" w:hAnsi="Georgia"/>
          <w:sz w:val="19"/>
          <w:szCs w:val="19"/>
        </w:rPr>
        <w:t xml:space="preserve"> and a n</w:t>
      </w:r>
      <w:r>
        <w:rPr>
          <w:rFonts w:ascii="Georgia" w:hAnsi="Georgia"/>
          <w:sz w:val="19"/>
          <w:szCs w:val="19"/>
        </w:rPr>
        <w:t xml:space="preserve">ursing </w:t>
      </w:r>
      <w:r w:rsidR="00F769BF">
        <w:rPr>
          <w:rFonts w:ascii="Georgia" w:hAnsi="Georgia"/>
          <w:sz w:val="19"/>
          <w:szCs w:val="19"/>
        </w:rPr>
        <w:t>p</w:t>
      </w:r>
      <w:r>
        <w:rPr>
          <w:rFonts w:ascii="Georgia" w:hAnsi="Georgia"/>
          <w:sz w:val="19"/>
          <w:szCs w:val="19"/>
        </w:rPr>
        <w:t xml:space="preserve">rocedures </w:t>
      </w:r>
      <w:r w:rsidR="00F769BF">
        <w:rPr>
          <w:rFonts w:ascii="Georgia" w:hAnsi="Georgia"/>
          <w:sz w:val="19"/>
          <w:szCs w:val="19"/>
        </w:rPr>
        <w:t>m</w:t>
      </w:r>
      <w:r>
        <w:rPr>
          <w:rFonts w:ascii="Georgia" w:hAnsi="Georgia"/>
          <w:sz w:val="19"/>
          <w:szCs w:val="19"/>
        </w:rPr>
        <w:t>anual</w:t>
      </w:r>
      <w:r w:rsidR="00E15346">
        <w:rPr>
          <w:rFonts w:ascii="Georgia" w:hAnsi="Georgia"/>
          <w:sz w:val="19"/>
          <w:szCs w:val="19"/>
        </w:rPr>
        <w:t xml:space="preserve">. </w:t>
      </w:r>
      <w:r>
        <w:rPr>
          <w:rFonts w:ascii="Georgia" w:hAnsi="Georgia"/>
          <w:sz w:val="19"/>
          <w:szCs w:val="19"/>
        </w:rPr>
        <w:t>These important contributions support</w:t>
      </w:r>
      <w:r w:rsidR="00F769BF">
        <w:rPr>
          <w:rFonts w:ascii="Georgia" w:hAnsi="Georgia"/>
          <w:sz w:val="19"/>
          <w:szCs w:val="19"/>
        </w:rPr>
        <w:t>ed</w:t>
      </w:r>
      <w:r>
        <w:rPr>
          <w:rFonts w:ascii="Georgia" w:hAnsi="Georgia"/>
          <w:sz w:val="19"/>
          <w:szCs w:val="19"/>
        </w:rPr>
        <w:t xml:space="preserve"> the maintenance of quality clinical services in </w:t>
      </w:r>
      <w:smartTag w:uri="urn:schemas-microsoft-com:office:smarttags" w:element="country-region">
        <w:smartTag w:uri="urn:schemas-microsoft-com:office:smarttags" w:element="place">
          <w:r>
            <w:rPr>
              <w:rFonts w:ascii="Georgia" w:hAnsi="Georgia"/>
              <w:sz w:val="19"/>
              <w:szCs w:val="19"/>
            </w:rPr>
            <w:t>Fiji</w:t>
          </w:r>
        </w:smartTag>
      </w:smartTag>
      <w:r>
        <w:rPr>
          <w:rFonts w:ascii="Georgia" w:hAnsi="Georgia"/>
          <w:sz w:val="19"/>
          <w:szCs w:val="19"/>
        </w:rPr>
        <w:t xml:space="preserve">, at a time when the Ministry of Health </w:t>
      </w:r>
      <w:r w:rsidR="009464C7">
        <w:rPr>
          <w:rFonts w:ascii="Georgia" w:hAnsi="Georgia"/>
          <w:sz w:val="19"/>
          <w:szCs w:val="19"/>
        </w:rPr>
        <w:t>wa</w:t>
      </w:r>
      <w:r>
        <w:rPr>
          <w:rFonts w:ascii="Georgia" w:hAnsi="Georgia"/>
          <w:sz w:val="19"/>
          <w:szCs w:val="19"/>
        </w:rPr>
        <w:t xml:space="preserve">s under increasing pressure. </w:t>
      </w:r>
    </w:p>
    <w:p w:rsidR="0026128E" w:rsidRPr="00AF568E" w:rsidRDefault="0026128E" w:rsidP="0026128E">
      <w:pPr>
        <w:spacing w:before="80" w:after="80" w:line="280" w:lineRule="atLeast"/>
        <w:rPr>
          <w:rFonts w:ascii="Georgia" w:hAnsi="Georgia"/>
          <w:sz w:val="19"/>
          <w:szCs w:val="19"/>
        </w:rPr>
      </w:pPr>
      <w:r w:rsidRPr="00AF568E">
        <w:rPr>
          <w:rFonts w:ascii="Georgia" w:hAnsi="Georgia"/>
          <w:sz w:val="19"/>
          <w:szCs w:val="19"/>
        </w:rPr>
        <w:t xml:space="preserve">The strategic intentions of the transition phase </w:t>
      </w:r>
      <w:r>
        <w:rPr>
          <w:rFonts w:ascii="Georgia" w:hAnsi="Georgia"/>
          <w:sz w:val="19"/>
          <w:szCs w:val="19"/>
        </w:rPr>
        <w:t>were to</w:t>
      </w:r>
      <w:r w:rsidRPr="00AF568E">
        <w:rPr>
          <w:rFonts w:ascii="Georgia" w:hAnsi="Georgia"/>
          <w:sz w:val="19"/>
          <w:szCs w:val="19"/>
        </w:rPr>
        <w:t xml:space="preserve">: </w:t>
      </w:r>
    </w:p>
    <w:p w:rsidR="0026128E" w:rsidRPr="00AF568E" w:rsidRDefault="0026128E" w:rsidP="003F04D6">
      <w:pPr>
        <w:numPr>
          <w:ilvl w:val="0"/>
          <w:numId w:val="23"/>
        </w:numPr>
        <w:spacing w:line="280" w:lineRule="atLeast"/>
        <w:rPr>
          <w:rFonts w:ascii="Georgia" w:hAnsi="Georgia"/>
          <w:sz w:val="19"/>
          <w:szCs w:val="19"/>
        </w:rPr>
      </w:pPr>
      <w:r w:rsidRPr="00AF568E">
        <w:rPr>
          <w:rFonts w:ascii="Georgia" w:hAnsi="Georgia"/>
          <w:sz w:val="19"/>
          <w:szCs w:val="19"/>
        </w:rPr>
        <w:t xml:space="preserve">maintain gains in the health sector made with Australian support over the last decade </w:t>
      </w:r>
    </w:p>
    <w:p w:rsidR="0026128E" w:rsidRPr="00AF568E" w:rsidRDefault="0026128E" w:rsidP="003F04D6">
      <w:pPr>
        <w:numPr>
          <w:ilvl w:val="0"/>
          <w:numId w:val="23"/>
        </w:numPr>
        <w:spacing w:line="280" w:lineRule="atLeast"/>
        <w:rPr>
          <w:rFonts w:ascii="Georgia" w:hAnsi="Georgia"/>
          <w:sz w:val="19"/>
          <w:szCs w:val="19"/>
        </w:rPr>
      </w:pPr>
      <w:r w:rsidRPr="00AF568E">
        <w:rPr>
          <w:rFonts w:ascii="Georgia" w:hAnsi="Georgia"/>
          <w:sz w:val="19"/>
          <w:szCs w:val="19"/>
        </w:rPr>
        <w:t>support the delivery of essential health service</w:t>
      </w:r>
      <w:r>
        <w:rPr>
          <w:rFonts w:ascii="Georgia" w:hAnsi="Georgia"/>
          <w:sz w:val="19"/>
          <w:szCs w:val="19"/>
        </w:rPr>
        <w:t>,</w:t>
      </w:r>
      <w:r w:rsidRPr="00AF568E">
        <w:rPr>
          <w:rFonts w:ascii="Georgia" w:hAnsi="Georgia"/>
          <w:sz w:val="19"/>
          <w:szCs w:val="19"/>
        </w:rPr>
        <w:t xml:space="preserve"> </w:t>
      </w:r>
      <w:r>
        <w:rPr>
          <w:rFonts w:ascii="Georgia" w:hAnsi="Georgia"/>
          <w:sz w:val="19"/>
          <w:szCs w:val="19"/>
        </w:rPr>
        <w:t>for example</w:t>
      </w:r>
      <w:r w:rsidRPr="00AF568E">
        <w:rPr>
          <w:rFonts w:ascii="Georgia" w:hAnsi="Georgia"/>
          <w:sz w:val="19"/>
          <w:szCs w:val="19"/>
        </w:rPr>
        <w:t xml:space="preserve"> immuni</w:t>
      </w:r>
      <w:r w:rsidR="00F769BF">
        <w:rPr>
          <w:rFonts w:ascii="Georgia" w:hAnsi="Georgia"/>
          <w:sz w:val="19"/>
          <w:szCs w:val="19"/>
        </w:rPr>
        <w:t>s</w:t>
      </w:r>
      <w:r w:rsidRPr="00AF568E">
        <w:rPr>
          <w:rFonts w:ascii="Georgia" w:hAnsi="Georgia"/>
          <w:sz w:val="19"/>
          <w:szCs w:val="19"/>
        </w:rPr>
        <w:t>ation services</w:t>
      </w:r>
    </w:p>
    <w:p w:rsidR="0026128E" w:rsidRPr="00AF568E" w:rsidRDefault="0026128E" w:rsidP="003F04D6">
      <w:pPr>
        <w:numPr>
          <w:ilvl w:val="0"/>
          <w:numId w:val="23"/>
        </w:numPr>
        <w:spacing w:line="280" w:lineRule="atLeast"/>
        <w:rPr>
          <w:rFonts w:ascii="Georgia" w:hAnsi="Georgia"/>
          <w:sz w:val="19"/>
          <w:szCs w:val="19"/>
        </w:rPr>
      </w:pPr>
      <w:proofErr w:type="gramStart"/>
      <w:r w:rsidRPr="00AF568E">
        <w:rPr>
          <w:rFonts w:ascii="Georgia" w:hAnsi="Georgia"/>
          <w:sz w:val="19"/>
          <w:szCs w:val="19"/>
        </w:rPr>
        <w:t>strengthen</w:t>
      </w:r>
      <w:proofErr w:type="gramEnd"/>
      <w:r w:rsidRPr="00AF568E">
        <w:rPr>
          <w:rFonts w:ascii="Georgia" w:hAnsi="Georgia"/>
          <w:sz w:val="19"/>
          <w:szCs w:val="19"/>
        </w:rPr>
        <w:t xml:space="preserve"> M</w:t>
      </w:r>
      <w:r>
        <w:rPr>
          <w:rFonts w:ascii="Georgia" w:hAnsi="Georgia"/>
          <w:sz w:val="19"/>
          <w:szCs w:val="19"/>
        </w:rPr>
        <w:t xml:space="preserve">inistry of Health </w:t>
      </w:r>
      <w:r w:rsidRPr="00AF568E">
        <w:rPr>
          <w:rFonts w:ascii="Georgia" w:hAnsi="Georgia"/>
          <w:sz w:val="19"/>
          <w:szCs w:val="19"/>
        </w:rPr>
        <w:t>ownership and program management role</w:t>
      </w:r>
      <w:r w:rsidR="00E15346">
        <w:rPr>
          <w:rFonts w:ascii="Georgia" w:hAnsi="Georgia"/>
          <w:sz w:val="19"/>
          <w:szCs w:val="19"/>
        </w:rPr>
        <w:t xml:space="preserve">. </w:t>
      </w:r>
    </w:p>
    <w:p w:rsidR="00794DA1" w:rsidRDefault="00794DA1" w:rsidP="00794DA1">
      <w:pPr>
        <w:spacing w:before="240" w:after="80" w:line="280" w:lineRule="atLeast"/>
        <w:rPr>
          <w:rFonts w:ascii="Georgia" w:hAnsi="Georgia"/>
          <w:sz w:val="19"/>
          <w:szCs w:val="19"/>
        </w:rPr>
      </w:pPr>
      <w:r>
        <w:rPr>
          <w:rFonts w:ascii="Georgia" w:hAnsi="Georgia"/>
          <w:sz w:val="19"/>
          <w:szCs w:val="19"/>
        </w:rPr>
        <w:t xml:space="preserve">The assistance on immunisation, medical boats and rural health infrastructure strengthened basic health service delivery through increased skills for staff, and practical assistance to improve operations in front-line health facilities. </w:t>
      </w:r>
    </w:p>
    <w:p w:rsidR="00794DA1" w:rsidRDefault="00794DA1" w:rsidP="00794DA1">
      <w:pPr>
        <w:spacing w:before="80" w:after="80" w:line="280" w:lineRule="atLeast"/>
        <w:rPr>
          <w:rFonts w:ascii="Georgia" w:hAnsi="Georgia"/>
          <w:sz w:val="19"/>
          <w:szCs w:val="19"/>
        </w:rPr>
      </w:pPr>
      <w:r>
        <w:rPr>
          <w:rFonts w:ascii="Georgia" w:hAnsi="Georgia"/>
          <w:sz w:val="19"/>
          <w:szCs w:val="19"/>
        </w:rPr>
        <w:t xml:space="preserve">The major achievement for the year was the typhoid vaccination campaign implemented in response to the declaration of a public health emergency in Keyasi, Navosa District, in the highlands of </w:t>
      </w:r>
      <w:smartTag w:uri="urn:schemas-microsoft-com:office:smarttags" w:element="place">
        <w:r>
          <w:rPr>
            <w:rFonts w:ascii="Georgia" w:hAnsi="Georgia"/>
            <w:sz w:val="19"/>
            <w:szCs w:val="19"/>
          </w:rPr>
          <w:t>Viti Levu</w:t>
        </w:r>
      </w:smartTag>
      <w:r>
        <w:rPr>
          <w:rFonts w:ascii="Georgia" w:hAnsi="Georgia"/>
          <w:sz w:val="19"/>
          <w:szCs w:val="19"/>
        </w:rPr>
        <w:t>. This saw 69</w:t>
      </w:r>
      <w:r w:rsidR="003F25A7">
        <w:rPr>
          <w:rFonts w:ascii="Georgia" w:hAnsi="Georgia"/>
          <w:sz w:val="19"/>
          <w:szCs w:val="19"/>
        </w:rPr>
        <w:t> </w:t>
      </w:r>
      <w:r>
        <w:rPr>
          <w:rFonts w:ascii="Georgia" w:hAnsi="Georgia"/>
          <w:sz w:val="19"/>
          <w:szCs w:val="19"/>
        </w:rPr>
        <w:t xml:space="preserve">000 doses of typhoid vaccine administered in typhoid hotspots across the country, both large urban settlements in Suva, remote rural areas and the entire island population on Taveuni. Typhoid had been endemic in </w:t>
      </w:r>
      <w:smartTag w:uri="urn:schemas-microsoft-com:office:smarttags" w:element="place">
        <w:smartTag w:uri="urn:schemas-microsoft-com:office:smarttags" w:element="country-region">
          <w:r>
            <w:rPr>
              <w:rFonts w:ascii="Georgia" w:hAnsi="Georgia"/>
              <w:sz w:val="19"/>
              <w:szCs w:val="19"/>
            </w:rPr>
            <w:t>Fiji</w:t>
          </w:r>
        </w:smartTag>
      </w:smartTag>
      <w:r>
        <w:rPr>
          <w:rFonts w:ascii="Georgia" w:hAnsi="Georgia"/>
          <w:sz w:val="19"/>
          <w:szCs w:val="19"/>
        </w:rPr>
        <w:t>. Village water and sanitation awareness campaigns were also implemented, with strong support from community leaders and a national media campaign</w:t>
      </w:r>
      <w:r w:rsidR="00E15346">
        <w:rPr>
          <w:rFonts w:ascii="Georgia" w:hAnsi="Georgia"/>
          <w:sz w:val="19"/>
          <w:szCs w:val="19"/>
        </w:rPr>
        <w:t xml:space="preserve">. </w:t>
      </w:r>
    </w:p>
    <w:p w:rsidR="00794DA1" w:rsidRDefault="00A72A37" w:rsidP="00794DA1">
      <w:pPr>
        <w:spacing w:before="80" w:after="80" w:line="280" w:lineRule="atLeast"/>
        <w:rPr>
          <w:rFonts w:ascii="Georgia" w:hAnsi="Georgia"/>
          <w:sz w:val="19"/>
          <w:szCs w:val="19"/>
        </w:rPr>
      </w:pPr>
      <w:r>
        <w:rPr>
          <w:rFonts w:ascii="Georgia" w:hAnsi="Georgia"/>
          <w:sz w:val="19"/>
          <w:szCs w:val="19"/>
        </w:rPr>
        <w:t xml:space="preserve">Despite the difficult </w:t>
      </w:r>
      <w:smartTag w:uri="urn:schemas-microsoft-com:office:smarttags" w:element="place">
        <w:smartTag w:uri="urn:schemas-microsoft-com:office:smarttags" w:element="country-region">
          <w:r>
            <w:rPr>
              <w:rFonts w:ascii="Georgia" w:hAnsi="Georgia"/>
              <w:sz w:val="19"/>
              <w:szCs w:val="19"/>
            </w:rPr>
            <w:t>Fiji</w:t>
          </w:r>
        </w:smartTag>
      </w:smartTag>
      <w:r>
        <w:rPr>
          <w:rFonts w:ascii="Georgia" w:hAnsi="Georgia"/>
          <w:sz w:val="19"/>
          <w:szCs w:val="19"/>
        </w:rPr>
        <w:t xml:space="preserve"> context, t</w:t>
      </w:r>
      <w:r w:rsidR="00794DA1">
        <w:rPr>
          <w:rFonts w:ascii="Georgia" w:hAnsi="Georgia"/>
          <w:sz w:val="19"/>
          <w:szCs w:val="19"/>
        </w:rPr>
        <w:t xml:space="preserve">he typhoid campaign demonstrated the effectiveness of </w:t>
      </w:r>
      <w:r>
        <w:rPr>
          <w:rFonts w:ascii="Georgia" w:hAnsi="Georgia"/>
          <w:sz w:val="19"/>
          <w:szCs w:val="19"/>
        </w:rPr>
        <w:t xml:space="preserve">the program’s </w:t>
      </w:r>
      <w:r w:rsidR="00794DA1">
        <w:rPr>
          <w:rFonts w:ascii="Georgia" w:hAnsi="Georgia"/>
          <w:sz w:val="19"/>
          <w:szCs w:val="19"/>
        </w:rPr>
        <w:t>aid engagement model at the activity level</w:t>
      </w:r>
      <w:r>
        <w:rPr>
          <w:rFonts w:ascii="Georgia" w:hAnsi="Georgia"/>
          <w:sz w:val="19"/>
          <w:szCs w:val="19"/>
        </w:rPr>
        <w:t>.</w:t>
      </w:r>
      <w:r w:rsidR="00794DA1">
        <w:rPr>
          <w:rFonts w:ascii="Georgia" w:hAnsi="Georgia"/>
          <w:sz w:val="19"/>
          <w:szCs w:val="19"/>
        </w:rPr>
        <w:t xml:space="preserve"> </w:t>
      </w:r>
      <w:r w:rsidR="00665608">
        <w:rPr>
          <w:rFonts w:ascii="Georgia" w:hAnsi="Georgia"/>
          <w:sz w:val="19"/>
          <w:szCs w:val="19"/>
        </w:rPr>
        <w:t>This assistance</w:t>
      </w:r>
      <w:r w:rsidR="00F769BF">
        <w:rPr>
          <w:rFonts w:ascii="Georgia" w:hAnsi="Georgia"/>
          <w:sz w:val="19"/>
          <w:szCs w:val="19"/>
        </w:rPr>
        <w:t xml:space="preserve"> is</w:t>
      </w:r>
      <w:r w:rsidR="00665608">
        <w:rPr>
          <w:rFonts w:ascii="Georgia" w:hAnsi="Georgia"/>
          <w:sz w:val="19"/>
          <w:szCs w:val="19"/>
        </w:rPr>
        <w:t xml:space="preserve"> delivered through AusAID-funded private contractors, but based on close and long</w:t>
      </w:r>
      <w:r w:rsidR="00F769BF">
        <w:rPr>
          <w:rFonts w:ascii="Georgia" w:hAnsi="Georgia"/>
          <w:sz w:val="19"/>
          <w:szCs w:val="19"/>
        </w:rPr>
        <w:t>-</w:t>
      </w:r>
      <w:r w:rsidR="00665608">
        <w:rPr>
          <w:rFonts w:ascii="Georgia" w:hAnsi="Georgia"/>
          <w:sz w:val="19"/>
          <w:szCs w:val="19"/>
        </w:rPr>
        <w:t>term work</w:t>
      </w:r>
      <w:r w:rsidR="00FD03D5">
        <w:rPr>
          <w:rFonts w:ascii="Georgia" w:hAnsi="Georgia"/>
          <w:sz w:val="19"/>
          <w:szCs w:val="19"/>
        </w:rPr>
        <w:t>ing</w:t>
      </w:r>
      <w:r w:rsidR="00665608">
        <w:rPr>
          <w:rFonts w:ascii="Georgia" w:hAnsi="Georgia"/>
          <w:sz w:val="19"/>
          <w:szCs w:val="19"/>
        </w:rPr>
        <w:t xml:space="preserve"> relationships with the Ministry of Health</w:t>
      </w:r>
      <w:r w:rsidR="00E15346">
        <w:rPr>
          <w:rFonts w:ascii="Georgia" w:hAnsi="Georgia"/>
          <w:sz w:val="19"/>
          <w:szCs w:val="19"/>
        </w:rPr>
        <w:t xml:space="preserve">. </w:t>
      </w:r>
    </w:p>
    <w:p w:rsidR="00794DA1" w:rsidRPr="008703B2" w:rsidRDefault="00794DA1" w:rsidP="00794DA1">
      <w:pPr>
        <w:pStyle w:val="Heading3"/>
        <w:keepNext/>
        <w:spacing w:before="240"/>
      </w:pPr>
      <w:bookmarkStart w:id="8" w:name="_Toc360976517"/>
      <w:r w:rsidRPr="008703B2">
        <w:t>New health program</w:t>
      </w:r>
      <w:bookmarkEnd w:id="8"/>
    </w:p>
    <w:p w:rsidR="00794DA1" w:rsidRDefault="00794DA1" w:rsidP="00794DA1">
      <w:pPr>
        <w:spacing w:before="80" w:after="80" w:line="280" w:lineRule="atLeast"/>
        <w:rPr>
          <w:rFonts w:ascii="Georgia" w:hAnsi="Georgia"/>
          <w:sz w:val="19"/>
          <w:szCs w:val="19"/>
        </w:rPr>
      </w:pPr>
      <w:r>
        <w:rPr>
          <w:rFonts w:ascii="Georgia" w:hAnsi="Georgia"/>
          <w:sz w:val="19"/>
          <w:szCs w:val="19"/>
        </w:rPr>
        <w:t xml:space="preserve">The design for a new health program, </w:t>
      </w:r>
      <w:r w:rsidRPr="00055A2F">
        <w:rPr>
          <w:rFonts w:ascii="Georgia" w:hAnsi="Georgia"/>
          <w:sz w:val="19"/>
          <w:szCs w:val="19"/>
        </w:rPr>
        <w:t>Fiji Health Sector Support Program 2011</w:t>
      </w:r>
      <w:r w:rsidR="003F25A7" w:rsidRPr="00055A2F">
        <w:rPr>
          <w:rFonts w:ascii="Georgia" w:hAnsi="Georgia"/>
          <w:sz w:val="19"/>
          <w:szCs w:val="19"/>
        </w:rPr>
        <w:t>–</w:t>
      </w:r>
      <w:r w:rsidRPr="00055A2F">
        <w:rPr>
          <w:rFonts w:ascii="Georgia" w:hAnsi="Georgia"/>
          <w:sz w:val="19"/>
          <w:szCs w:val="19"/>
        </w:rPr>
        <w:t>15</w:t>
      </w:r>
      <w:r w:rsidRPr="00F769BF">
        <w:rPr>
          <w:rFonts w:ascii="Georgia" w:hAnsi="Georgia"/>
          <w:sz w:val="19"/>
          <w:szCs w:val="19"/>
        </w:rPr>
        <w:t>,</w:t>
      </w:r>
      <w:r>
        <w:rPr>
          <w:rFonts w:ascii="Georgia" w:hAnsi="Georgia"/>
          <w:sz w:val="19"/>
          <w:szCs w:val="19"/>
        </w:rPr>
        <w:t xml:space="preserve"> was finalised in 2010</w:t>
      </w:r>
      <w:r w:rsidR="0026128E">
        <w:rPr>
          <w:rFonts w:ascii="Georgia" w:hAnsi="Georgia"/>
          <w:sz w:val="19"/>
          <w:szCs w:val="19"/>
        </w:rPr>
        <w:t xml:space="preserve"> and will </w:t>
      </w:r>
      <w:r w:rsidR="00F769BF">
        <w:rPr>
          <w:rFonts w:ascii="Georgia" w:hAnsi="Georgia"/>
          <w:sz w:val="19"/>
          <w:szCs w:val="19"/>
        </w:rPr>
        <w:t xml:space="preserve">start </w:t>
      </w:r>
      <w:r w:rsidR="0026128E">
        <w:rPr>
          <w:rFonts w:ascii="Georgia" w:hAnsi="Georgia"/>
          <w:sz w:val="19"/>
          <w:szCs w:val="19"/>
        </w:rPr>
        <w:t>in the second half of 2011</w:t>
      </w:r>
      <w:r w:rsidR="00E15346">
        <w:rPr>
          <w:rFonts w:ascii="Georgia" w:hAnsi="Georgia"/>
          <w:sz w:val="19"/>
          <w:szCs w:val="19"/>
        </w:rPr>
        <w:t xml:space="preserve">. </w:t>
      </w:r>
      <w:r>
        <w:rPr>
          <w:rFonts w:ascii="Georgia" w:hAnsi="Georgia"/>
          <w:sz w:val="19"/>
          <w:szCs w:val="19"/>
        </w:rPr>
        <w:t xml:space="preserve">The prevailing political environment </w:t>
      </w:r>
      <w:r>
        <w:rPr>
          <w:rFonts w:ascii="Georgia" w:hAnsi="Georgia"/>
          <w:sz w:val="19"/>
          <w:szCs w:val="19"/>
        </w:rPr>
        <w:lastRenderedPageBreak/>
        <w:t>was a key consideration in the development of the new program</w:t>
      </w:r>
      <w:r w:rsidR="00E15346">
        <w:rPr>
          <w:rFonts w:ascii="Georgia" w:hAnsi="Georgia"/>
          <w:sz w:val="19"/>
          <w:szCs w:val="19"/>
        </w:rPr>
        <w:t xml:space="preserve">. </w:t>
      </w:r>
      <w:r w:rsidR="00FD03D5">
        <w:rPr>
          <w:rFonts w:ascii="Georgia" w:hAnsi="Georgia"/>
          <w:sz w:val="19"/>
          <w:szCs w:val="19"/>
        </w:rPr>
        <w:t>This</w:t>
      </w:r>
      <w:r>
        <w:rPr>
          <w:rFonts w:ascii="Georgia" w:hAnsi="Georgia"/>
          <w:sz w:val="19"/>
          <w:szCs w:val="19"/>
        </w:rPr>
        <w:t xml:space="preserve"> new bilateral health program </w:t>
      </w:r>
      <w:r w:rsidR="00FD03D5">
        <w:rPr>
          <w:rFonts w:ascii="Georgia" w:hAnsi="Georgia"/>
          <w:sz w:val="19"/>
          <w:szCs w:val="19"/>
        </w:rPr>
        <w:t xml:space="preserve">will </w:t>
      </w:r>
      <w:r>
        <w:rPr>
          <w:rFonts w:ascii="Georgia" w:hAnsi="Georgia"/>
          <w:sz w:val="19"/>
          <w:szCs w:val="19"/>
        </w:rPr>
        <w:t>focus on basic services</w:t>
      </w:r>
      <w:r w:rsidR="00FD03D5">
        <w:rPr>
          <w:rFonts w:ascii="Georgia" w:hAnsi="Georgia"/>
          <w:sz w:val="19"/>
          <w:szCs w:val="19"/>
        </w:rPr>
        <w:t xml:space="preserve"> for maternal and child health, diabetes and primary heath care. This will provide the Australian </w:t>
      </w:r>
      <w:r w:rsidR="00F769BF">
        <w:rPr>
          <w:rFonts w:ascii="Georgia" w:hAnsi="Georgia"/>
          <w:sz w:val="19"/>
          <w:szCs w:val="19"/>
        </w:rPr>
        <w:t>a</w:t>
      </w:r>
      <w:r w:rsidR="00FD03D5">
        <w:rPr>
          <w:rFonts w:ascii="Georgia" w:hAnsi="Georgia"/>
          <w:sz w:val="19"/>
          <w:szCs w:val="19"/>
        </w:rPr>
        <w:t xml:space="preserve">id </w:t>
      </w:r>
      <w:r w:rsidR="00F769BF">
        <w:rPr>
          <w:rFonts w:ascii="Georgia" w:hAnsi="Georgia"/>
          <w:sz w:val="19"/>
          <w:szCs w:val="19"/>
        </w:rPr>
        <w:t>p</w:t>
      </w:r>
      <w:r w:rsidR="00FD03D5">
        <w:rPr>
          <w:rFonts w:ascii="Georgia" w:hAnsi="Georgia"/>
          <w:sz w:val="19"/>
          <w:szCs w:val="19"/>
        </w:rPr>
        <w:t xml:space="preserve">rogram with the </w:t>
      </w:r>
      <w:r>
        <w:rPr>
          <w:rFonts w:ascii="Georgia" w:hAnsi="Georgia"/>
          <w:sz w:val="19"/>
          <w:szCs w:val="19"/>
        </w:rPr>
        <w:t>opportunity to have an impact at grassroots level</w:t>
      </w:r>
      <w:r w:rsidR="00E15346">
        <w:rPr>
          <w:rFonts w:ascii="Georgia" w:hAnsi="Georgia"/>
          <w:sz w:val="19"/>
          <w:szCs w:val="19"/>
        </w:rPr>
        <w:t xml:space="preserve">. </w:t>
      </w:r>
      <w:r>
        <w:rPr>
          <w:rFonts w:ascii="Georgia" w:hAnsi="Georgia"/>
          <w:sz w:val="19"/>
          <w:szCs w:val="19"/>
        </w:rPr>
        <w:t>The new program seeks to add value at the service delivery point, encourage and support engagement at the divisional level, assist with infrastructure development and increase the rate and efficiency of responses to emergencies.</w:t>
      </w:r>
    </w:p>
    <w:p w:rsidR="006409FF" w:rsidRPr="00EE4B94" w:rsidRDefault="00EE4B94" w:rsidP="00CF17D8">
      <w:pPr>
        <w:pStyle w:val="Heading2"/>
        <w:keepNext/>
        <w:tabs>
          <w:tab w:val="left" w:pos="1920"/>
        </w:tabs>
        <w:spacing w:before="240" w:after="120" w:line="320" w:lineRule="atLeast"/>
        <w:ind w:left="0"/>
      </w:pPr>
      <w:bookmarkStart w:id="9" w:name="_Toc360976518"/>
      <w:r>
        <w:t xml:space="preserve">Objective </w:t>
      </w:r>
      <w:r w:rsidR="006409FF" w:rsidRPr="005771DB">
        <w:t>3</w:t>
      </w:r>
      <w:r w:rsidR="00794DA1">
        <w:t>: Building resilience and economic opportunities in disadvantaged communities</w:t>
      </w:r>
      <w:bookmarkEnd w:id="9"/>
    </w:p>
    <w:p w:rsidR="00794DA1" w:rsidRDefault="00794DA1" w:rsidP="00794DA1">
      <w:pPr>
        <w:spacing w:before="80" w:after="80" w:line="280" w:lineRule="atLeast"/>
        <w:rPr>
          <w:rFonts w:ascii="Georgia" w:hAnsi="Georgia"/>
          <w:sz w:val="19"/>
          <w:szCs w:val="19"/>
        </w:rPr>
      </w:pPr>
      <w:r w:rsidRPr="00970BA3">
        <w:rPr>
          <w:rFonts w:ascii="Georgia" w:hAnsi="Georgia"/>
          <w:sz w:val="19"/>
          <w:szCs w:val="19"/>
        </w:rPr>
        <w:t xml:space="preserve">Almost half of </w:t>
      </w:r>
      <w:smartTag w:uri="urn:schemas-microsoft-com:office:smarttags" w:element="country-region">
        <w:r w:rsidRPr="00970BA3">
          <w:rPr>
            <w:rFonts w:ascii="Georgia" w:hAnsi="Georgia"/>
            <w:sz w:val="19"/>
            <w:szCs w:val="19"/>
          </w:rPr>
          <w:t>Fiji</w:t>
        </w:r>
      </w:smartTag>
      <w:r w:rsidRPr="00970BA3">
        <w:rPr>
          <w:rFonts w:ascii="Georgia" w:hAnsi="Georgia"/>
          <w:sz w:val="19"/>
          <w:szCs w:val="19"/>
        </w:rPr>
        <w:t xml:space="preserve">’s population live in rural areas and 70 per cent of them are </w:t>
      </w:r>
      <w:smartTag w:uri="urn:schemas-microsoft-com:office:smarttags" w:element="place">
        <w:smartTag w:uri="urn:schemas-microsoft-com:office:smarttags" w:element="country-region">
          <w:r w:rsidRPr="00970BA3">
            <w:rPr>
              <w:rFonts w:ascii="Georgia" w:hAnsi="Georgia"/>
              <w:sz w:val="19"/>
              <w:szCs w:val="19"/>
            </w:rPr>
            <w:t>Fiji</w:t>
          </w:r>
        </w:smartTag>
      </w:smartTag>
      <w:r w:rsidRPr="00970BA3">
        <w:rPr>
          <w:rFonts w:ascii="Georgia" w:hAnsi="Georgia"/>
          <w:sz w:val="19"/>
          <w:szCs w:val="19"/>
        </w:rPr>
        <w:t>’s poorest</w:t>
      </w:r>
      <w:r w:rsidR="00E15346">
        <w:rPr>
          <w:rFonts w:ascii="Georgia" w:hAnsi="Georgia"/>
          <w:sz w:val="19"/>
          <w:szCs w:val="19"/>
        </w:rPr>
        <w:t xml:space="preserve">. </w:t>
      </w:r>
      <w:r w:rsidRPr="00970BA3">
        <w:rPr>
          <w:rFonts w:ascii="Georgia" w:hAnsi="Georgia"/>
          <w:sz w:val="19"/>
          <w:szCs w:val="19"/>
        </w:rPr>
        <w:t xml:space="preserve">Even though most of </w:t>
      </w:r>
      <w:smartTag w:uri="urn:schemas-microsoft-com:office:smarttags" w:element="country-region">
        <w:r w:rsidRPr="00970BA3">
          <w:rPr>
            <w:rFonts w:ascii="Georgia" w:hAnsi="Georgia"/>
            <w:sz w:val="19"/>
            <w:szCs w:val="19"/>
          </w:rPr>
          <w:t>Fiji</w:t>
        </w:r>
      </w:smartTag>
      <w:r w:rsidRPr="00970BA3">
        <w:rPr>
          <w:rFonts w:ascii="Georgia" w:hAnsi="Georgia"/>
          <w:sz w:val="19"/>
          <w:szCs w:val="19"/>
        </w:rPr>
        <w:t>’s exports are rural based</w:t>
      </w:r>
      <w:r w:rsidR="003F25A7">
        <w:rPr>
          <w:rFonts w:ascii="Georgia" w:hAnsi="Georgia"/>
          <w:sz w:val="19"/>
          <w:szCs w:val="19"/>
        </w:rPr>
        <w:t>—</w:t>
      </w:r>
      <w:r w:rsidRPr="00970BA3">
        <w:rPr>
          <w:rFonts w:ascii="Georgia" w:hAnsi="Georgia"/>
          <w:sz w:val="19"/>
          <w:szCs w:val="19"/>
        </w:rPr>
        <w:t>agriculture, tourism, forestry and fisheries</w:t>
      </w:r>
      <w:r w:rsidR="00F769BF">
        <w:rPr>
          <w:rFonts w:ascii="Georgia" w:hAnsi="Georgia"/>
          <w:sz w:val="19"/>
          <w:szCs w:val="19"/>
        </w:rPr>
        <w:t>—</w:t>
      </w:r>
      <w:r w:rsidRPr="00970BA3">
        <w:rPr>
          <w:rFonts w:ascii="Georgia" w:hAnsi="Georgia"/>
          <w:sz w:val="19"/>
          <w:szCs w:val="19"/>
        </w:rPr>
        <w:t xml:space="preserve">the Preliminary Report on Poverty and Household Incomes in </w:t>
      </w:r>
      <w:smartTag w:uri="urn:schemas-microsoft-com:office:smarttags" w:element="country-region">
        <w:r w:rsidRPr="00970BA3">
          <w:rPr>
            <w:rFonts w:ascii="Georgia" w:hAnsi="Georgia"/>
            <w:sz w:val="19"/>
            <w:szCs w:val="19"/>
          </w:rPr>
          <w:t>Fiji</w:t>
        </w:r>
      </w:smartTag>
      <w:r w:rsidRPr="00970BA3">
        <w:rPr>
          <w:rFonts w:ascii="Georgia" w:hAnsi="Georgia"/>
          <w:sz w:val="19"/>
          <w:szCs w:val="19"/>
        </w:rPr>
        <w:t xml:space="preserve"> in 2008</w:t>
      </w:r>
      <w:r w:rsidR="003F25A7">
        <w:rPr>
          <w:rFonts w:ascii="Georgia" w:hAnsi="Georgia"/>
          <w:sz w:val="19"/>
          <w:szCs w:val="19"/>
        </w:rPr>
        <w:t>–</w:t>
      </w:r>
      <w:r w:rsidRPr="00970BA3">
        <w:rPr>
          <w:rFonts w:ascii="Georgia" w:hAnsi="Georgia"/>
          <w:sz w:val="19"/>
          <w:szCs w:val="19"/>
        </w:rPr>
        <w:t xml:space="preserve">09 shows a dramatic drop in available income and increasing poverty in rural </w:t>
      </w:r>
      <w:smartTag w:uri="urn:schemas-microsoft-com:office:smarttags" w:element="country-region">
        <w:smartTag w:uri="urn:schemas-microsoft-com:office:smarttags" w:element="place">
          <w:r w:rsidRPr="00970BA3">
            <w:rPr>
              <w:rFonts w:ascii="Georgia" w:hAnsi="Georgia"/>
              <w:sz w:val="19"/>
              <w:szCs w:val="19"/>
            </w:rPr>
            <w:t>Fiji</w:t>
          </w:r>
        </w:smartTag>
      </w:smartTag>
      <w:r w:rsidR="00E15346">
        <w:rPr>
          <w:rFonts w:ascii="Georgia" w:hAnsi="Georgia"/>
          <w:sz w:val="19"/>
          <w:szCs w:val="19"/>
        </w:rPr>
        <w:t xml:space="preserve">. </w:t>
      </w:r>
    </w:p>
    <w:p w:rsidR="00794DA1" w:rsidRDefault="00794DA1" w:rsidP="00794DA1">
      <w:pPr>
        <w:spacing w:before="80" w:after="80" w:line="280" w:lineRule="atLeast"/>
        <w:rPr>
          <w:rFonts w:ascii="Georgia" w:hAnsi="Georgia"/>
          <w:sz w:val="19"/>
          <w:szCs w:val="19"/>
        </w:rPr>
      </w:pPr>
      <w:r>
        <w:rPr>
          <w:rFonts w:ascii="Georgia" w:hAnsi="Georgia"/>
          <w:sz w:val="19"/>
          <w:szCs w:val="19"/>
        </w:rPr>
        <w:t xml:space="preserve">In 2010 </w:t>
      </w:r>
      <w:smartTag w:uri="urn:schemas-microsoft-com:office:smarttags" w:element="country-region">
        <w:smartTag w:uri="urn:schemas-microsoft-com:office:smarttags" w:element="place">
          <w:r w:rsidRPr="00970BA3">
            <w:rPr>
              <w:rFonts w:ascii="Georgia" w:hAnsi="Georgia"/>
              <w:sz w:val="19"/>
              <w:szCs w:val="19"/>
            </w:rPr>
            <w:t>Australia</w:t>
          </w:r>
        </w:smartTag>
      </w:smartTag>
      <w:r w:rsidRPr="00970BA3">
        <w:rPr>
          <w:rFonts w:ascii="Georgia" w:hAnsi="Georgia"/>
          <w:sz w:val="19"/>
          <w:szCs w:val="19"/>
        </w:rPr>
        <w:t>’s approach was to</w:t>
      </w:r>
      <w:r>
        <w:rPr>
          <w:rFonts w:ascii="Georgia" w:hAnsi="Georgia"/>
          <w:sz w:val="19"/>
          <w:szCs w:val="19"/>
        </w:rPr>
        <w:t xml:space="preserve"> </w:t>
      </w:r>
      <w:r w:rsidRPr="00970BA3">
        <w:rPr>
          <w:rFonts w:ascii="Georgia" w:hAnsi="Georgia"/>
          <w:sz w:val="19"/>
          <w:szCs w:val="19"/>
        </w:rPr>
        <w:t xml:space="preserve">explore </w:t>
      </w:r>
      <w:r>
        <w:rPr>
          <w:rFonts w:ascii="Georgia" w:hAnsi="Georgia"/>
          <w:sz w:val="19"/>
          <w:szCs w:val="19"/>
        </w:rPr>
        <w:t>activities</w:t>
      </w:r>
      <w:r w:rsidRPr="00970BA3">
        <w:rPr>
          <w:rFonts w:ascii="Georgia" w:hAnsi="Georgia"/>
          <w:sz w:val="19"/>
          <w:szCs w:val="19"/>
        </w:rPr>
        <w:t xml:space="preserve"> that could be implemented in cooperation </w:t>
      </w:r>
      <w:r w:rsidR="00055A2F">
        <w:rPr>
          <w:rFonts w:ascii="Georgia" w:hAnsi="Georgia"/>
          <w:sz w:val="19"/>
          <w:szCs w:val="19"/>
        </w:rPr>
        <w:t xml:space="preserve">with </w:t>
      </w:r>
      <w:r>
        <w:rPr>
          <w:rFonts w:ascii="Georgia" w:hAnsi="Georgia"/>
          <w:sz w:val="19"/>
          <w:szCs w:val="19"/>
        </w:rPr>
        <w:t>non</w:t>
      </w:r>
      <w:r w:rsidR="00F769BF">
        <w:rPr>
          <w:rFonts w:ascii="Georgia" w:hAnsi="Georgia"/>
          <w:sz w:val="19"/>
          <w:szCs w:val="19"/>
        </w:rPr>
        <w:t>-</w:t>
      </w:r>
      <w:r>
        <w:rPr>
          <w:rFonts w:ascii="Georgia" w:hAnsi="Georgia"/>
          <w:sz w:val="19"/>
          <w:szCs w:val="19"/>
        </w:rPr>
        <w:t xml:space="preserve">government organisations, </w:t>
      </w:r>
      <w:r w:rsidRPr="00970BA3">
        <w:rPr>
          <w:rFonts w:ascii="Georgia" w:hAnsi="Georgia"/>
          <w:sz w:val="19"/>
          <w:szCs w:val="19"/>
        </w:rPr>
        <w:t xml:space="preserve">with </w:t>
      </w:r>
      <w:r>
        <w:rPr>
          <w:rFonts w:ascii="Georgia" w:hAnsi="Georgia"/>
          <w:sz w:val="19"/>
          <w:szCs w:val="19"/>
        </w:rPr>
        <w:t xml:space="preserve">regional partners and </w:t>
      </w:r>
      <w:r w:rsidRPr="00970BA3">
        <w:rPr>
          <w:rFonts w:ascii="Georgia" w:hAnsi="Georgia"/>
          <w:sz w:val="19"/>
          <w:szCs w:val="19"/>
        </w:rPr>
        <w:t>other donors outside of government systems</w:t>
      </w:r>
      <w:r w:rsidR="00E15346">
        <w:rPr>
          <w:rFonts w:ascii="Georgia" w:hAnsi="Georgia"/>
          <w:sz w:val="19"/>
          <w:szCs w:val="19"/>
        </w:rPr>
        <w:t xml:space="preserve">. </w:t>
      </w:r>
      <w:r>
        <w:rPr>
          <w:rFonts w:ascii="Georgia" w:hAnsi="Georgia"/>
          <w:sz w:val="19"/>
          <w:szCs w:val="19"/>
        </w:rPr>
        <w:t xml:space="preserve">The results achieved against this objective are therefore less coherent than for education and health, as they covered a broad range of </w:t>
      </w:r>
      <w:r w:rsidRPr="00970BA3">
        <w:rPr>
          <w:rFonts w:ascii="Georgia" w:hAnsi="Georgia"/>
          <w:sz w:val="19"/>
          <w:szCs w:val="19"/>
        </w:rPr>
        <w:t xml:space="preserve">activities </w:t>
      </w:r>
      <w:r>
        <w:rPr>
          <w:rFonts w:ascii="Georgia" w:hAnsi="Georgia"/>
          <w:sz w:val="19"/>
          <w:szCs w:val="19"/>
        </w:rPr>
        <w:t xml:space="preserve">supporting </w:t>
      </w:r>
      <w:r w:rsidRPr="00970BA3">
        <w:rPr>
          <w:rFonts w:ascii="Georgia" w:hAnsi="Georgia"/>
          <w:sz w:val="19"/>
          <w:szCs w:val="19"/>
        </w:rPr>
        <w:t>rural enterprise development, financial inclusion, social protection, partnering with civil society organisations, eliminating violence against women</w:t>
      </w:r>
      <w:r w:rsidR="0034399C">
        <w:rPr>
          <w:rFonts w:ascii="Georgia" w:hAnsi="Georgia"/>
          <w:sz w:val="19"/>
          <w:szCs w:val="19"/>
        </w:rPr>
        <w:t xml:space="preserve"> (VAW)</w:t>
      </w:r>
      <w:r>
        <w:rPr>
          <w:rFonts w:ascii="Georgia" w:hAnsi="Georgia"/>
          <w:sz w:val="19"/>
          <w:szCs w:val="19"/>
        </w:rPr>
        <w:t>, and disaster risk reduction</w:t>
      </w:r>
      <w:r w:rsidR="00E15346">
        <w:rPr>
          <w:rFonts w:ascii="Georgia" w:hAnsi="Georgia"/>
          <w:sz w:val="19"/>
          <w:szCs w:val="19"/>
        </w:rPr>
        <w:t xml:space="preserve">. </w:t>
      </w:r>
      <w:r>
        <w:rPr>
          <w:rFonts w:ascii="Georgia" w:hAnsi="Georgia"/>
          <w:sz w:val="19"/>
          <w:szCs w:val="19"/>
        </w:rPr>
        <w:t>Some of these activities could be considered suitable for more extensive support brought to scale at a national level</w:t>
      </w:r>
      <w:r w:rsidR="005425A7">
        <w:rPr>
          <w:rFonts w:ascii="Georgia" w:hAnsi="Georgia"/>
          <w:sz w:val="19"/>
          <w:szCs w:val="19"/>
        </w:rPr>
        <w:t>;</w:t>
      </w:r>
      <w:r>
        <w:rPr>
          <w:rFonts w:ascii="Georgia" w:hAnsi="Georgia"/>
          <w:sz w:val="19"/>
          <w:szCs w:val="19"/>
        </w:rPr>
        <w:t xml:space="preserve"> others not so</w:t>
      </w:r>
      <w:r w:rsidR="00E15346">
        <w:rPr>
          <w:rFonts w:ascii="Georgia" w:hAnsi="Georgia"/>
          <w:sz w:val="19"/>
          <w:szCs w:val="19"/>
        </w:rPr>
        <w:t xml:space="preserve">. </w:t>
      </w:r>
    </w:p>
    <w:p w:rsidR="00794DA1" w:rsidRPr="00970BA3" w:rsidRDefault="00794DA1" w:rsidP="00794DA1">
      <w:pPr>
        <w:spacing w:before="80" w:after="80" w:line="280" w:lineRule="atLeast"/>
        <w:rPr>
          <w:rFonts w:ascii="Georgia" w:hAnsi="Georgia"/>
          <w:sz w:val="19"/>
          <w:szCs w:val="19"/>
        </w:rPr>
      </w:pPr>
      <w:r>
        <w:rPr>
          <w:rFonts w:ascii="Georgia" w:hAnsi="Georgia"/>
          <w:sz w:val="19"/>
          <w:szCs w:val="19"/>
        </w:rPr>
        <w:t>Key results included:</w:t>
      </w:r>
    </w:p>
    <w:p w:rsidR="00794DA1" w:rsidRPr="00114DF0" w:rsidRDefault="00794DA1" w:rsidP="00794DA1">
      <w:pPr>
        <w:pStyle w:val="BodyText"/>
        <w:numPr>
          <w:ilvl w:val="0"/>
          <w:numId w:val="19"/>
        </w:numPr>
      </w:pPr>
      <w:r>
        <w:t xml:space="preserve">Significant Australian support has influenced the introduction of </w:t>
      </w:r>
      <w:r w:rsidR="00637B1B">
        <w:t>Mobile-</w:t>
      </w:r>
      <w:r>
        <w:t>Money technology to ensure mobile phone subscribers in rural areas have access to banking services</w:t>
      </w:r>
      <w:r w:rsidR="00E15346">
        <w:t xml:space="preserve">. </w:t>
      </w:r>
      <w:r>
        <w:t xml:space="preserve">In a first for the Pacific region, Vodafone and Digicel in </w:t>
      </w:r>
      <w:smartTag w:uri="urn:schemas-microsoft-com:office:smarttags" w:element="country-region">
        <w:smartTag w:uri="urn:schemas-microsoft-com:office:smarttags" w:element="place">
          <w:r>
            <w:t>Fiji</w:t>
          </w:r>
        </w:smartTag>
      </w:smartTag>
      <w:r>
        <w:t xml:space="preserve"> allow</w:t>
      </w:r>
      <w:r w:rsidRPr="009928C8">
        <w:t xml:space="preserve"> users</w:t>
      </w:r>
      <w:r>
        <w:t xml:space="preserve"> to send,</w:t>
      </w:r>
      <w:r w:rsidRPr="009928C8">
        <w:t xml:space="preserve"> receive and save money on their mobile phones</w:t>
      </w:r>
      <w:r w:rsidR="00E15346">
        <w:t xml:space="preserve">. </w:t>
      </w:r>
      <w:r w:rsidR="003F25A7">
        <w:t xml:space="preserve">A total of </w:t>
      </w:r>
      <w:r w:rsidRPr="00114DF0">
        <w:t>360</w:t>
      </w:r>
      <w:r w:rsidR="003F25A7">
        <w:t> </w:t>
      </w:r>
      <w:r w:rsidRPr="00114DF0">
        <w:t>000 people have subscribed to this service since June 2010, of which 42</w:t>
      </w:r>
      <w:r w:rsidR="003F25A7">
        <w:t> </w:t>
      </w:r>
      <w:r w:rsidRPr="00114DF0">
        <w:t>000 were previously unbanked clients.</w:t>
      </w:r>
      <w:r>
        <w:rPr>
          <w:rStyle w:val="FootnoteReference"/>
        </w:rPr>
        <w:footnoteReference w:id="6"/>
      </w:r>
      <w:r w:rsidRPr="003D7264">
        <w:t xml:space="preserve"> </w:t>
      </w:r>
    </w:p>
    <w:p w:rsidR="00794DA1" w:rsidRDefault="00A72A37" w:rsidP="00794DA1">
      <w:pPr>
        <w:pStyle w:val="BodyText"/>
        <w:numPr>
          <w:ilvl w:val="0"/>
          <w:numId w:val="19"/>
        </w:numPr>
      </w:pPr>
      <w:r>
        <w:t xml:space="preserve">The Fiji Textile Clothing and Footwear </w:t>
      </w:r>
      <w:r w:rsidRPr="00114DF0">
        <w:t>Training and Productivity Support</w:t>
      </w:r>
      <w:r>
        <w:t xml:space="preserve"> Program provided excellent outcomes for the </w:t>
      </w:r>
      <w:r w:rsidR="005425A7">
        <w:t xml:space="preserve">12 </w:t>
      </w:r>
      <w:r>
        <w:t xml:space="preserve">participating </w:t>
      </w:r>
      <w:r w:rsidRPr="00114DF0">
        <w:t xml:space="preserve">garment factories </w:t>
      </w:r>
      <w:r>
        <w:t>to the point where</w:t>
      </w:r>
      <w:r w:rsidR="005425A7">
        <w:t>,</w:t>
      </w:r>
      <w:r>
        <w:t xml:space="preserve"> in early 2011</w:t>
      </w:r>
      <w:r w:rsidR="005425A7">
        <w:t>, implementation of the</w:t>
      </w:r>
      <w:r>
        <w:t xml:space="preserve"> Make it in Fiji fair trade campaign saw wage increases for workers in the sector of between FJD 5</w:t>
      </w:r>
      <w:r w:rsidR="003F25A7">
        <w:t>–</w:t>
      </w:r>
      <w:r>
        <w:t xml:space="preserve">20 cents per hour. The </w:t>
      </w:r>
      <w:r w:rsidR="005425A7">
        <w:t xml:space="preserve">12 </w:t>
      </w:r>
      <w:r>
        <w:t xml:space="preserve">factories </w:t>
      </w:r>
      <w:r w:rsidR="00794DA1">
        <w:t>increased</w:t>
      </w:r>
      <w:r w:rsidR="00794DA1" w:rsidRPr="00114DF0">
        <w:t xml:space="preserve"> </w:t>
      </w:r>
      <w:proofErr w:type="gramStart"/>
      <w:r w:rsidR="00794DA1" w:rsidRPr="00114DF0">
        <w:t>production,</w:t>
      </w:r>
      <w:proofErr w:type="gramEnd"/>
      <w:r w:rsidR="00794DA1" w:rsidRPr="00114DF0">
        <w:t xml:space="preserve"> quality</w:t>
      </w:r>
      <w:r w:rsidR="00794DA1">
        <w:t xml:space="preserve"> and</w:t>
      </w:r>
      <w:r w:rsidR="00794DA1" w:rsidRPr="00114DF0">
        <w:t xml:space="preserve"> market reach </w:t>
      </w:r>
      <w:r w:rsidR="00794DA1">
        <w:t>as well as</w:t>
      </w:r>
      <w:r w:rsidR="00794DA1" w:rsidRPr="00114DF0">
        <w:t xml:space="preserve"> improved human resources management</w:t>
      </w:r>
      <w:r w:rsidR="00E15346">
        <w:t xml:space="preserve">. </w:t>
      </w:r>
      <w:r w:rsidR="00794DA1" w:rsidRPr="00114DF0">
        <w:t>Unintended benefits were improvements in the working conditions and salaries of the 3500 factory workers, 78 per</w:t>
      </w:r>
      <w:r w:rsidR="003F25A7">
        <w:t xml:space="preserve"> </w:t>
      </w:r>
      <w:r w:rsidR="00794DA1" w:rsidRPr="00114DF0">
        <w:t xml:space="preserve">cent of whom are women, </w:t>
      </w:r>
      <w:r w:rsidR="005425A7" w:rsidRPr="00114DF0">
        <w:t>impacting</w:t>
      </w:r>
      <w:r w:rsidR="005425A7">
        <w:t xml:space="preserve"> on</w:t>
      </w:r>
      <w:r w:rsidR="00794DA1" w:rsidRPr="00114DF0">
        <w:t xml:space="preserve">the livelihoods of </w:t>
      </w:r>
      <w:r w:rsidR="00794DA1">
        <w:t xml:space="preserve">around </w:t>
      </w:r>
      <w:r w:rsidR="00794DA1" w:rsidRPr="00114DF0">
        <w:t>8000 people</w:t>
      </w:r>
      <w:r w:rsidR="00E15346">
        <w:t xml:space="preserve">. </w:t>
      </w:r>
    </w:p>
    <w:p w:rsidR="00794DA1" w:rsidRPr="00114DF0" w:rsidRDefault="00794DA1" w:rsidP="00794DA1">
      <w:pPr>
        <w:pStyle w:val="BodyText"/>
        <w:numPr>
          <w:ilvl w:val="0"/>
          <w:numId w:val="19"/>
        </w:numPr>
        <w:tabs>
          <w:tab w:val="num" w:pos="720"/>
        </w:tabs>
      </w:pPr>
      <w:r w:rsidRPr="001705BB">
        <w:t>As a result of Australian interventions in</w:t>
      </w:r>
      <w:r>
        <w:t xml:space="preserve"> </w:t>
      </w:r>
      <w:r w:rsidR="005425A7">
        <w:t>r</w:t>
      </w:r>
      <w:r>
        <w:t xml:space="preserve">ural </w:t>
      </w:r>
      <w:r w:rsidR="005425A7">
        <w:t>e</w:t>
      </w:r>
      <w:r>
        <w:t xml:space="preserve">nterprise </w:t>
      </w:r>
      <w:r w:rsidR="005425A7">
        <w:t>d</w:t>
      </w:r>
      <w:r>
        <w:t>evelopment</w:t>
      </w:r>
      <w:r>
        <w:rPr>
          <w:i/>
        </w:rPr>
        <w:t>,</w:t>
      </w:r>
      <w:r w:rsidR="005425A7">
        <w:t xml:space="preserve"> the</w:t>
      </w:r>
      <w:r>
        <w:rPr>
          <w:i/>
        </w:rPr>
        <w:t xml:space="preserve"> </w:t>
      </w:r>
      <w:r w:rsidRPr="00114DF0">
        <w:t xml:space="preserve">Sariswati Bee Keeping Project has grown from 65 farmers in 2008 to </w:t>
      </w:r>
      <w:r w:rsidR="00B31196">
        <w:t>more than</w:t>
      </w:r>
      <w:r w:rsidRPr="00114DF0">
        <w:t xml:space="preserve"> 800 farmers (67</w:t>
      </w:r>
      <w:r w:rsidR="005425A7">
        <w:t> </w:t>
      </w:r>
      <w:r>
        <w:t>per cent</w:t>
      </w:r>
      <w:r w:rsidRPr="00114DF0">
        <w:t xml:space="preserve"> </w:t>
      </w:r>
      <w:r>
        <w:t>female</w:t>
      </w:r>
      <w:r w:rsidRPr="00114DF0">
        <w:t xml:space="preserve"> farmers) on </w:t>
      </w:r>
      <w:smartTag w:uri="urn:schemas-microsoft-com:office:smarttags" w:element="place">
        <w:r w:rsidRPr="00114DF0">
          <w:t>Viti Levu</w:t>
        </w:r>
      </w:smartTag>
      <w:r w:rsidRPr="00114DF0">
        <w:t xml:space="preserve"> in 2011</w:t>
      </w:r>
      <w:r w:rsidR="00E15346">
        <w:t xml:space="preserve">. </w:t>
      </w:r>
      <w:r w:rsidRPr="00114DF0">
        <w:t xml:space="preserve">Through this project beneficiaries have </w:t>
      </w:r>
      <w:r w:rsidRPr="00114DF0">
        <w:lastRenderedPageBreak/>
        <w:t>produce</w:t>
      </w:r>
      <w:r w:rsidR="005425A7">
        <w:t>d</w:t>
      </w:r>
      <w:r w:rsidRPr="00114DF0">
        <w:t xml:space="preserve"> honey to supplement their wage and farm income by an ad</w:t>
      </w:r>
      <w:r>
        <w:t>ditional FJ$35</w:t>
      </w:r>
      <w:r w:rsidR="003F25A7">
        <w:t>–</w:t>
      </w:r>
      <w:r>
        <w:t>$65/per week.</w:t>
      </w:r>
    </w:p>
    <w:p w:rsidR="00EE4B94" w:rsidRDefault="00794DA1" w:rsidP="00A72A37">
      <w:pPr>
        <w:pStyle w:val="BodyText"/>
        <w:numPr>
          <w:ilvl w:val="0"/>
          <w:numId w:val="19"/>
        </w:numPr>
        <w:tabs>
          <w:tab w:val="num" w:pos="720"/>
        </w:tabs>
      </w:pPr>
      <w:r w:rsidRPr="00114DF0">
        <w:t xml:space="preserve">Support to the Tutu Rural Training Centre on </w:t>
      </w:r>
      <w:smartTag w:uri="urn:schemas-microsoft-com:office:smarttags" w:element="place">
        <w:smartTag w:uri="urn:schemas-microsoft-com:office:smarttags" w:element="PlaceName">
          <w:r w:rsidRPr="00114DF0">
            <w:t>Taveuni</w:t>
          </w:r>
        </w:smartTag>
        <w:r w:rsidRPr="00114DF0">
          <w:t xml:space="preserve"> </w:t>
        </w:r>
        <w:smartTag w:uri="urn:schemas-microsoft-com:office:smarttags" w:element="PlaceType">
          <w:r w:rsidRPr="00114DF0">
            <w:t>Island</w:t>
          </w:r>
        </w:smartTag>
      </w:smartTag>
      <w:r w:rsidRPr="00114DF0">
        <w:t xml:space="preserve"> provide</w:t>
      </w:r>
      <w:r>
        <w:t>d</w:t>
      </w:r>
      <w:r w:rsidRPr="00114DF0">
        <w:t xml:space="preserve"> </w:t>
      </w:r>
      <w:r>
        <w:t xml:space="preserve">48 </w:t>
      </w:r>
      <w:r w:rsidRPr="00114DF0">
        <w:t>young farmers with the skills to be commercially successful in their own rural settings</w:t>
      </w:r>
      <w:r w:rsidR="00E15346">
        <w:t xml:space="preserve">. </w:t>
      </w:r>
      <w:r>
        <w:t>E</w:t>
      </w:r>
      <w:r w:rsidRPr="00114DF0">
        <w:t xml:space="preserve">ach </w:t>
      </w:r>
      <w:r>
        <w:t xml:space="preserve">will be able to </w:t>
      </w:r>
      <w:r w:rsidRPr="00114DF0">
        <w:t>build their own homes and have individual savings of between FJ$8000 to FJ$20</w:t>
      </w:r>
      <w:r w:rsidR="003F25A7">
        <w:t> </w:t>
      </w:r>
      <w:r w:rsidRPr="00114DF0">
        <w:t>000.</w:t>
      </w:r>
    </w:p>
    <w:p w:rsidR="00AD2710" w:rsidRDefault="00AD2710" w:rsidP="00CF17D8">
      <w:pPr>
        <w:pStyle w:val="Heading2"/>
        <w:keepNext/>
        <w:spacing w:before="480"/>
        <w:ind w:left="0"/>
      </w:pPr>
      <w:bookmarkStart w:id="10" w:name="_Toc360976519"/>
      <w:r>
        <w:t xml:space="preserve">Other </w:t>
      </w:r>
      <w:r w:rsidR="00E15346">
        <w:t>k</w:t>
      </w:r>
      <w:r>
        <w:t xml:space="preserve">ey </w:t>
      </w:r>
      <w:r w:rsidR="00E15346">
        <w:t>r</w:t>
      </w:r>
      <w:r>
        <w:t>esults: Cross</w:t>
      </w:r>
      <w:r w:rsidR="00E15346">
        <w:t>c</w:t>
      </w:r>
      <w:r>
        <w:t xml:space="preserve">utting </w:t>
      </w:r>
      <w:r w:rsidR="00E15346">
        <w:t>p</w:t>
      </w:r>
      <w:r>
        <w:t>riorities</w:t>
      </w:r>
      <w:bookmarkEnd w:id="10"/>
    </w:p>
    <w:p w:rsidR="00AD2710" w:rsidRPr="008E4C24" w:rsidRDefault="00AD2710" w:rsidP="00AD2710">
      <w:pPr>
        <w:spacing w:before="80" w:after="80" w:line="280" w:lineRule="atLeast"/>
        <w:rPr>
          <w:rFonts w:ascii="Georgia" w:hAnsi="Georgia"/>
          <w:sz w:val="19"/>
          <w:szCs w:val="19"/>
        </w:rPr>
      </w:pPr>
      <w:r w:rsidRPr="008E4C24">
        <w:rPr>
          <w:rFonts w:ascii="Georgia" w:hAnsi="Georgia"/>
          <w:sz w:val="19"/>
          <w:szCs w:val="19"/>
        </w:rPr>
        <w:t>The crosscutting priorities (poverty analysis and mapping, support to civil society, people</w:t>
      </w:r>
      <w:r w:rsidR="005425A7">
        <w:rPr>
          <w:rFonts w:ascii="Georgia" w:hAnsi="Georgia"/>
          <w:sz w:val="19"/>
          <w:szCs w:val="19"/>
        </w:rPr>
        <w:t>-</w:t>
      </w:r>
      <w:r w:rsidRPr="008E4C24">
        <w:rPr>
          <w:rFonts w:ascii="Georgia" w:hAnsi="Georgia"/>
          <w:sz w:val="19"/>
          <w:szCs w:val="19"/>
        </w:rPr>
        <w:t>to people</w:t>
      </w:r>
      <w:r w:rsidR="005425A7">
        <w:rPr>
          <w:rFonts w:ascii="Georgia" w:hAnsi="Georgia"/>
          <w:sz w:val="19"/>
          <w:szCs w:val="19"/>
        </w:rPr>
        <w:t>-</w:t>
      </w:r>
      <w:r w:rsidRPr="008E4C24">
        <w:rPr>
          <w:rFonts w:ascii="Georgia" w:hAnsi="Georgia"/>
          <w:sz w:val="19"/>
          <w:szCs w:val="19"/>
        </w:rPr>
        <w:t>links and disaster risk reduction) reinforce the focus of the aid program on poverty, vulnerability and deeper engagement with the Fijian people and communities</w:t>
      </w:r>
      <w:r w:rsidR="00E15346">
        <w:rPr>
          <w:rFonts w:ascii="Georgia" w:hAnsi="Georgia"/>
          <w:sz w:val="19"/>
          <w:szCs w:val="19"/>
        </w:rPr>
        <w:t xml:space="preserve">. </w:t>
      </w:r>
      <w:r w:rsidRPr="008E4C24">
        <w:rPr>
          <w:rFonts w:ascii="Georgia" w:hAnsi="Georgia"/>
          <w:sz w:val="19"/>
          <w:szCs w:val="19"/>
        </w:rPr>
        <w:t xml:space="preserve">Several activities in 2010 demonstrated </w:t>
      </w:r>
      <w:r w:rsidR="005425A7">
        <w:rPr>
          <w:rFonts w:ascii="Georgia" w:hAnsi="Georgia"/>
          <w:sz w:val="19"/>
          <w:szCs w:val="19"/>
        </w:rPr>
        <w:t>the</w:t>
      </w:r>
      <w:r w:rsidRPr="008E4C24">
        <w:rPr>
          <w:rFonts w:ascii="Georgia" w:hAnsi="Georgia"/>
          <w:sz w:val="19"/>
          <w:szCs w:val="19"/>
        </w:rPr>
        <w:t xml:space="preserve"> considerable value to be gained from integrating these crosscutting priorities into the design of major programs and highlighted that more work needs to be done to maximise effectiveness</w:t>
      </w:r>
      <w:r>
        <w:rPr>
          <w:rFonts w:ascii="Georgia" w:hAnsi="Georgia"/>
          <w:sz w:val="19"/>
          <w:szCs w:val="19"/>
        </w:rPr>
        <w:t xml:space="preserve">, particularly to ensure program coherence and monitoring and evaluation. </w:t>
      </w:r>
    </w:p>
    <w:p w:rsidR="00AD2710" w:rsidRPr="005762C7" w:rsidRDefault="00AD2710" w:rsidP="00AD2710">
      <w:pPr>
        <w:pStyle w:val="Heading3"/>
        <w:keepNext/>
        <w:spacing w:before="240"/>
      </w:pPr>
      <w:bookmarkStart w:id="11" w:name="_Toc360976520"/>
      <w:r w:rsidRPr="005762C7">
        <w:t>Poverty analysis and mapping</w:t>
      </w:r>
      <w:bookmarkEnd w:id="11"/>
    </w:p>
    <w:p w:rsidR="00AD2710" w:rsidRDefault="00AD2710" w:rsidP="00AD2710">
      <w:pPr>
        <w:spacing w:before="80" w:after="80" w:line="280" w:lineRule="atLeast"/>
        <w:rPr>
          <w:rFonts w:ascii="Georgia" w:hAnsi="Georgia"/>
          <w:sz w:val="19"/>
          <w:szCs w:val="19"/>
        </w:rPr>
      </w:pPr>
      <w:r w:rsidRPr="008E4C24">
        <w:rPr>
          <w:rFonts w:ascii="Georgia" w:hAnsi="Georgia"/>
          <w:sz w:val="19"/>
          <w:szCs w:val="19"/>
        </w:rPr>
        <w:t>Targeting poverty without reducing vulnerability (</w:t>
      </w:r>
      <w:r w:rsidR="00E15346">
        <w:rPr>
          <w:rFonts w:ascii="Georgia" w:hAnsi="Georgia"/>
          <w:sz w:val="19"/>
          <w:szCs w:val="19"/>
        </w:rPr>
        <w:t>for example,</w:t>
      </w:r>
      <w:r w:rsidRPr="008E4C24">
        <w:rPr>
          <w:rFonts w:ascii="Georgia" w:hAnsi="Georgia"/>
          <w:sz w:val="19"/>
          <w:szCs w:val="19"/>
        </w:rPr>
        <w:t xml:space="preserve"> to floods and cyclones, to economic shocks and political instability, to social and economic exclusion and exploitation) has reduced aid effectiveness in </w:t>
      </w:r>
      <w:smartTag w:uri="urn:schemas-microsoft-com:office:smarttags" w:element="country-region">
        <w:smartTag w:uri="urn:schemas-microsoft-com:office:smarttags" w:element="place">
          <w:r w:rsidRPr="008E4C24">
            <w:rPr>
              <w:rFonts w:ascii="Georgia" w:hAnsi="Georgia"/>
              <w:sz w:val="19"/>
              <w:szCs w:val="19"/>
            </w:rPr>
            <w:t>Fiji</w:t>
          </w:r>
        </w:smartTag>
      </w:smartTag>
      <w:r w:rsidR="00E15346">
        <w:rPr>
          <w:rFonts w:ascii="Georgia" w:hAnsi="Georgia"/>
          <w:sz w:val="19"/>
          <w:szCs w:val="19"/>
        </w:rPr>
        <w:t xml:space="preserve">. </w:t>
      </w:r>
      <w:r w:rsidRPr="008E4C24">
        <w:rPr>
          <w:rFonts w:ascii="Georgia" w:hAnsi="Georgia"/>
          <w:sz w:val="19"/>
          <w:szCs w:val="19"/>
        </w:rPr>
        <w:t xml:space="preserve">Vulnerability of women and girls </w:t>
      </w:r>
      <w:r w:rsidR="000935F3">
        <w:rPr>
          <w:rFonts w:ascii="Georgia" w:hAnsi="Georgia"/>
          <w:sz w:val="19"/>
          <w:szCs w:val="19"/>
        </w:rPr>
        <w:t>is</w:t>
      </w:r>
      <w:r w:rsidR="000935F3" w:rsidRPr="008E4C24">
        <w:rPr>
          <w:rFonts w:ascii="Georgia" w:hAnsi="Georgia"/>
          <w:sz w:val="19"/>
          <w:szCs w:val="19"/>
        </w:rPr>
        <w:t xml:space="preserve"> </w:t>
      </w:r>
      <w:r w:rsidRPr="008E4C24">
        <w:rPr>
          <w:rFonts w:ascii="Georgia" w:hAnsi="Georgia"/>
          <w:sz w:val="19"/>
          <w:szCs w:val="19"/>
        </w:rPr>
        <w:t>particularly acute and in need of attention</w:t>
      </w:r>
      <w:r w:rsidR="00E15346">
        <w:rPr>
          <w:rFonts w:ascii="Georgia" w:hAnsi="Georgia"/>
          <w:sz w:val="19"/>
          <w:szCs w:val="19"/>
        </w:rPr>
        <w:t xml:space="preserve">. </w:t>
      </w:r>
      <w:r w:rsidRPr="008E4C24">
        <w:rPr>
          <w:rFonts w:ascii="Georgia" w:hAnsi="Georgia"/>
          <w:sz w:val="19"/>
          <w:szCs w:val="19"/>
        </w:rPr>
        <w:t>Through partnerships with the World Bank</w:t>
      </w:r>
      <w:r>
        <w:rPr>
          <w:rFonts w:ascii="Georgia" w:hAnsi="Georgia"/>
          <w:sz w:val="19"/>
          <w:szCs w:val="19"/>
        </w:rPr>
        <w:t xml:space="preserve">, </w:t>
      </w:r>
      <w:r w:rsidR="0034399C" w:rsidRPr="0034399C">
        <w:rPr>
          <w:rFonts w:ascii="Georgia" w:hAnsi="Georgia"/>
          <w:sz w:val="19"/>
          <w:szCs w:val="19"/>
        </w:rPr>
        <w:t>Uni</w:t>
      </w:r>
      <w:r w:rsidR="0034399C">
        <w:rPr>
          <w:rFonts w:ascii="Georgia" w:hAnsi="Georgia"/>
          <w:sz w:val="19"/>
          <w:szCs w:val="19"/>
        </w:rPr>
        <w:t>ted Nations Development Programme</w:t>
      </w:r>
      <w:r>
        <w:rPr>
          <w:rFonts w:ascii="Georgia" w:hAnsi="Georgia"/>
          <w:sz w:val="19"/>
          <w:szCs w:val="19"/>
        </w:rPr>
        <w:t xml:space="preserve">, University of the South Pacific, </w:t>
      </w:r>
      <w:r w:rsidRPr="008E4C24">
        <w:rPr>
          <w:rFonts w:ascii="Georgia" w:hAnsi="Georgia"/>
          <w:sz w:val="19"/>
          <w:szCs w:val="19"/>
        </w:rPr>
        <w:t>Fiji’s Department of Social Welfare</w:t>
      </w:r>
      <w:r>
        <w:rPr>
          <w:rFonts w:ascii="Georgia" w:hAnsi="Georgia"/>
          <w:sz w:val="19"/>
          <w:szCs w:val="19"/>
        </w:rPr>
        <w:t xml:space="preserve"> </w:t>
      </w:r>
      <w:r w:rsidR="0034399C">
        <w:rPr>
          <w:rFonts w:ascii="Georgia" w:hAnsi="Georgia"/>
          <w:sz w:val="19"/>
          <w:szCs w:val="19"/>
        </w:rPr>
        <w:t>and Fiji’s Bureau of Statistics</w:t>
      </w:r>
      <w:r w:rsidRPr="008E4C24">
        <w:rPr>
          <w:rFonts w:ascii="Georgia" w:hAnsi="Georgia"/>
          <w:sz w:val="19"/>
          <w:szCs w:val="19"/>
        </w:rPr>
        <w:t>, Australia has supported additional poverty analysis and mapping to</w:t>
      </w:r>
      <w:r>
        <w:rPr>
          <w:rFonts w:ascii="Georgia" w:hAnsi="Georgia"/>
          <w:sz w:val="19"/>
          <w:szCs w:val="19"/>
        </w:rPr>
        <w:t xml:space="preserve"> </w:t>
      </w:r>
      <w:r w:rsidR="0034399C" w:rsidRPr="0034399C">
        <w:rPr>
          <w:rFonts w:ascii="Georgia" w:hAnsi="Georgia"/>
          <w:sz w:val="19"/>
          <w:szCs w:val="19"/>
        </w:rPr>
        <w:t xml:space="preserve">University of the South Pacific </w:t>
      </w:r>
      <w:r>
        <w:rPr>
          <w:rFonts w:ascii="Georgia" w:hAnsi="Georgia"/>
          <w:sz w:val="19"/>
          <w:szCs w:val="19"/>
        </w:rPr>
        <w:t xml:space="preserve">and </w:t>
      </w:r>
      <w:r w:rsidR="0034399C">
        <w:rPr>
          <w:rFonts w:ascii="Georgia" w:hAnsi="Georgia"/>
          <w:sz w:val="19"/>
          <w:szCs w:val="19"/>
        </w:rPr>
        <w:t>Fiji’s Bureau of Statistics</w:t>
      </w:r>
      <w:r w:rsidR="000935F3">
        <w:rPr>
          <w:rFonts w:ascii="Georgia" w:hAnsi="Georgia"/>
          <w:sz w:val="19"/>
          <w:szCs w:val="19"/>
        </w:rPr>
        <w:t>. This support also helped</w:t>
      </w:r>
      <w:r>
        <w:rPr>
          <w:rFonts w:ascii="Georgia" w:hAnsi="Georgia"/>
          <w:sz w:val="19"/>
          <w:szCs w:val="19"/>
        </w:rPr>
        <w:t xml:space="preserve"> the World Bank</w:t>
      </w:r>
      <w:r w:rsidR="000935F3">
        <w:rPr>
          <w:rFonts w:ascii="Georgia" w:hAnsi="Georgia"/>
          <w:sz w:val="19"/>
          <w:szCs w:val="19"/>
        </w:rPr>
        <w:t xml:space="preserve"> to</w:t>
      </w:r>
      <w:r>
        <w:rPr>
          <w:rFonts w:ascii="Georgia" w:hAnsi="Georgia"/>
          <w:sz w:val="19"/>
          <w:szCs w:val="19"/>
        </w:rPr>
        <w:t xml:space="preserve"> </w:t>
      </w:r>
      <w:r w:rsidRPr="008E4C24">
        <w:rPr>
          <w:rFonts w:ascii="Georgia" w:hAnsi="Georgia"/>
          <w:sz w:val="19"/>
          <w:szCs w:val="19"/>
        </w:rPr>
        <w:t>compl</w:t>
      </w:r>
      <w:r>
        <w:rPr>
          <w:rFonts w:ascii="Georgia" w:hAnsi="Georgia"/>
          <w:sz w:val="19"/>
          <w:szCs w:val="19"/>
        </w:rPr>
        <w:t>ete</w:t>
      </w:r>
      <w:r w:rsidRPr="008E4C24">
        <w:rPr>
          <w:rFonts w:ascii="Georgia" w:hAnsi="Georgia"/>
          <w:sz w:val="19"/>
          <w:szCs w:val="19"/>
        </w:rPr>
        <w:t xml:space="preserve"> the </w:t>
      </w:r>
      <w:r w:rsidRPr="00E270C5">
        <w:rPr>
          <w:rFonts w:ascii="Georgia" w:hAnsi="Georgia"/>
          <w:sz w:val="19"/>
          <w:szCs w:val="19"/>
        </w:rPr>
        <w:t>2008</w:t>
      </w:r>
      <w:r w:rsidR="003F25A7">
        <w:rPr>
          <w:rFonts w:ascii="Georgia" w:hAnsi="Georgia"/>
          <w:sz w:val="19"/>
          <w:szCs w:val="19"/>
        </w:rPr>
        <w:t>–</w:t>
      </w:r>
      <w:r w:rsidRPr="00E270C5">
        <w:rPr>
          <w:rFonts w:ascii="Georgia" w:hAnsi="Georgia"/>
          <w:sz w:val="19"/>
          <w:szCs w:val="19"/>
        </w:rPr>
        <w:t>09 Household Income and Expenditure Survey</w:t>
      </w:r>
      <w:r w:rsidR="000935F3">
        <w:rPr>
          <w:rFonts w:ascii="Georgia" w:hAnsi="Georgia"/>
          <w:sz w:val="19"/>
          <w:szCs w:val="19"/>
        </w:rPr>
        <w:t>, which guides</w:t>
      </w:r>
      <w:r w:rsidRPr="005342FD">
        <w:rPr>
          <w:rFonts w:ascii="Georgia" w:hAnsi="Georgia"/>
          <w:sz w:val="19"/>
          <w:szCs w:val="19"/>
        </w:rPr>
        <w:t xml:space="preserve"> policy makers on targeting poverty assistance</w:t>
      </w:r>
      <w:r w:rsidR="00E15346">
        <w:rPr>
          <w:rFonts w:ascii="Georgia" w:hAnsi="Georgia"/>
          <w:sz w:val="19"/>
          <w:szCs w:val="19"/>
        </w:rPr>
        <w:t xml:space="preserve">. </w:t>
      </w:r>
      <w:r>
        <w:rPr>
          <w:rFonts w:ascii="Georgia" w:hAnsi="Georgia"/>
          <w:sz w:val="19"/>
          <w:szCs w:val="19"/>
        </w:rPr>
        <w:t>This work will s</w:t>
      </w:r>
      <w:r w:rsidRPr="005342FD">
        <w:rPr>
          <w:rFonts w:ascii="Georgia" w:hAnsi="Georgia"/>
          <w:sz w:val="19"/>
          <w:szCs w:val="19"/>
        </w:rPr>
        <w:t xml:space="preserve">trengthen the evidence base for poverty focused work </w:t>
      </w:r>
      <w:r>
        <w:rPr>
          <w:rFonts w:ascii="Georgia" w:hAnsi="Georgia"/>
          <w:sz w:val="19"/>
          <w:szCs w:val="19"/>
        </w:rPr>
        <w:t xml:space="preserve">and allow for increased efficiencies in </w:t>
      </w:r>
      <w:smartTag w:uri="urn:schemas-microsoft-com:office:smarttags" w:element="country-region">
        <w:smartTag w:uri="urn:schemas-microsoft-com:office:smarttags" w:element="place">
          <w:r w:rsidR="0034399C" w:rsidRPr="0034399C">
            <w:rPr>
              <w:rFonts w:ascii="Georgia" w:hAnsi="Georgia"/>
              <w:sz w:val="19"/>
              <w:szCs w:val="19"/>
            </w:rPr>
            <w:t>Fiji</w:t>
          </w:r>
        </w:smartTag>
      </w:smartTag>
      <w:r w:rsidR="0034399C" w:rsidRPr="0034399C">
        <w:rPr>
          <w:rFonts w:ascii="Georgia" w:hAnsi="Georgia"/>
          <w:sz w:val="19"/>
          <w:szCs w:val="19"/>
        </w:rPr>
        <w:t xml:space="preserve">’s Department of Social Welfare </w:t>
      </w:r>
      <w:r w:rsidRPr="005342FD">
        <w:rPr>
          <w:rFonts w:ascii="Georgia" w:hAnsi="Georgia"/>
          <w:sz w:val="19"/>
          <w:szCs w:val="19"/>
        </w:rPr>
        <w:t>programs and operational procedures</w:t>
      </w:r>
      <w:r w:rsidR="00E15346">
        <w:rPr>
          <w:rFonts w:ascii="Georgia" w:hAnsi="Georgia"/>
          <w:sz w:val="19"/>
          <w:szCs w:val="19"/>
        </w:rPr>
        <w:t xml:space="preserve">. </w:t>
      </w:r>
    </w:p>
    <w:p w:rsidR="00AD2710" w:rsidRPr="00580BA8" w:rsidRDefault="00AD2710" w:rsidP="00AD2710">
      <w:pPr>
        <w:pStyle w:val="Heading3"/>
        <w:keepNext/>
        <w:spacing w:before="240"/>
      </w:pPr>
      <w:bookmarkStart w:id="12" w:name="_Toc360976521"/>
      <w:r w:rsidRPr="00580BA8">
        <w:t xml:space="preserve">Gender and </w:t>
      </w:r>
      <w:r w:rsidR="00E15346">
        <w:t>d</w:t>
      </w:r>
      <w:r w:rsidRPr="00580BA8">
        <w:t>isability</w:t>
      </w:r>
      <w:bookmarkEnd w:id="12"/>
    </w:p>
    <w:p w:rsidR="00AD2710" w:rsidRDefault="00AD2710" w:rsidP="00AD2710">
      <w:pPr>
        <w:spacing w:before="80" w:after="80" w:line="280" w:lineRule="atLeast"/>
        <w:rPr>
          <w:rFonts w:ascii="Georgia" w:hAnsi="Georgia"/>
          <w:sz w:val="19"/>
          <w:szCs w:val="19"/>
        </w:rPr>
      </w:pPr>
      <w:r>
        <w:rPr>
          <w:rFonts w:ascii="Georgia" w:hAnsi="Georgia"/>
          <w:sz w:val="19"/>
          <w:szCs w:val="19"/>
        </w:rPr>
        <w:t>The interim activities in 2010 have had a strong gender equality focus, with an emphasis on women and children and p</w:t>
      </w:r>
      <w:r w:rsidR="00B31196">
        <w:rPr>
          <w:rFonts w:ascii="Georgia" w:hAnsi="Georgia"/>
          <w:sz w:val="19"/>
          <w:szCs w:val="19"/>
        </w:rPr>
        <w:t>eople</w:t>
      </w:r>
      <w:r>
        <w:rPr>
          <w:rFonts w:ascii="Georgia" w:hAnsi="Georgia"/>
          <w:sz w:val="19"/>
          <w:szCs w:val="19"/>
        </w:rPr>
        <w:t xml:space="preserve"> with disability</w:t>
      </w:r>
      <w:r w:rsidR="00E15346">
        <w:rPr>
          <w:rFonts w:ascii="Georgia" w:hAnsi="Georgia"/>
          <w:sz w:val="19"/>
          <w:szCs w:val="19"/>
        </w:rPr>
        <w:t xml:space="preserve">. </w:t>
      </w:r>
      <w:r>
        <w:rPr>
          <w:rFonts w:ascii="Georgia" w:hAnsi="Georgia"/>
          <w:sz w:val="19"/>
          <w:szCs w:val="19"/>
        </w:rPr>
        <w:t>Further analysis is required for developing a gender and disability action plan across the program</w:t>
      </w:r>
      <w:r w:rsidR="00637B1B">
        <w:rPr>
          <w:rFonts w:ascii="Georgia" w:hAnsi="Georgia"/>
          <w:sz w:val="19"/>
          <w:szCs w:val="19"/>
        </w:rPr>
        <w:t>.</w:t>
      </w:r>
      <w:r w:rsidR="00E15346">
        <w:rPr>
          <w:rFonts w:ascii="Georgia" w:hAnsi="Georgia"/>
          <w:sz w:val="19"/>
          <w:szCs w:val="19"/>
        </w:rPr>
        <w:t xml:space="preserve"> </w:t>
      </w:r>
      <w:r w:rsidR="00637B1B">
        <w:rPr>
          <w:rFonts w:ascii="Georgia" w:hAnsi="Georgia"/>
          <w:sz w:val="19"/>
          <w:szCs w:val="19"/>
        </w:rPr>
        <w:t>The n</w:t>
      </w:r>
      <w:r>
        <w:rPr>
          <w:rFonts w:ascii="Georgia" w:hAnsi="Georgia"/>
          <w:sz w:val="19"/>
          <w:szCs w:val="19"/>
        </w:rPr>
        <w:t>ew programs have these components built in to their designs as well as reporting indicators on impacts.</w:t>
      </w:r>
    </w:p>
    <w:p w:rsidR="00AD2710" w:rsidRPr="006340FA" w:rsidRDefault="00AD2710" w:rsidP="00AD2710">
      <w:pPr>
        <w:pStyle w:val="BodyText"/>
      </w:pPr>
      <w:r>
        <w:t xml:space="preserve">An ongoing program has been support </w:t>
      </w:r>
      <w:r w:rsidRPr="0012658A">
        <w:t>to the Fiji Women’</w:t>
      </w:r>
      <w:r>
        <w:t>s Crisis Cent</w:t>
      </w:r>
      <w:r w:rsidRPr="0012658A">
        <w:t>r</w:t>
      </w:r>
      <w:r>
        <w:t>e</w:t>
      </w:r>
      <w:r w:rsidRPr="0012658A">
        <w:t xml:space="preserve"> to </w:t>
      </w:r>
      <w:r>
        <w:t>steadily advance</w:t>
      </w:r>
      <w:r w:rsidRPr="0012658A">
        <w:t xml:space="preserve"> the </w:t>
      </w:r>
      <w:r w:rsidRPr="0034399C">
        <w:t xml:space="preserve">elimination of VAW in </w:t>
      </w:r>
      <w:smartTag w:uri="urn:schemas-microsoft-com:office:smarttags" w:element="country-region">
        <w:smartTag w:uri="urn:schemas-microsoft-com:office:smarttags" w:element="place">
          <w:r w:rsidRPr="0034399C">
            <w:t>Fiji</w:t>
          </w:r>
        </w:smartTag>
      </w:smartTag>
      <w:r w:rsidR="00E15346" w:rsidRPr="0034399C">
        <w:t>.</w:t>
      </w:r>
      <w:r w:rsidR="00E15346">
        <w:t xml:space="preserve"> </w:t>
      </w:r>
      <w:r w:rsidRPr="00887DF3">
        <w:t xml:space="preserve">The </w:t>
      </w:r>
      <w:r w:rsidR="000935F3">
        <w:t>c</w:t>
      </w:r>
      <w:r w:rsidR="00637B1B">
        <w:t>e</w:t>
      </w:r>
      <w:r w:rsidRPr="00887DF3">
        <w:t>ntre works with men and boys to address the root causes and challenges of VAW and is the first to pilot a training program for men as advocates</w:t>
      </w:r>
      <w:r w:rsidR="00E15346">
        <w:t xml:space="preserve">. </w:t>
      </w:r>
      <w:r w:rsidRPr="006340FA">
        <w:t>The program has</w:t>
      </w:r>
      <w:r>
        <w:t xml:space="preserve"> also</w:t>
      </w:r>
      <w:r w:rsidRPr="006340FA">
        <w:t xml:space="preserve"> </w:t>
      </w:r>
      <w:r w:rsidR="000935F3">
        <w:t>supported</w:t>
      </w:r>
      <w:r w:rsidR="000935F3" w:rsidRPr="006340FA">
        <w:t xml:space="preserve"> </w:t>
      </w:r>
      <w:r w:rsidRPr="006340FA">
        <w:t>the poorest and most vulnerable women in urban and rural island communities by providing direct assistance; lobbying and training to women seeking help to address VAW; and reducing women’s vulnerability to poverty by working to eliminate violence</w:t>
      </w:r>
      <w:r w:rsidR="00E15346">
        <w:t xml:space="preserve">. </w:t>
      </w:r>
      <w:r w:rsidRPr="00114DF0">
        <w:t xml:space="preserve">In 2010 the Fiji Women’s Crisis Centre provided counselling and support services to 3784 women who </w:t>
      </w:r>
      <w:r>
        <w:t>had been subjected to violence.</w:t>
      </w:r>
    </w:p>
    <w:p w:rsidR="00AD2710" w:rsidRPr="005762C7" w:rsidRDefault="00AD2710" w:rsidP="00AD2710">
      <w:pPr>
        <w:pStyle w:val="Heading3"/>
        <w:keepNext/>
        <w:spacing w:before="240"/>
      </w:pPr>
      <w:bookmarkStart w:id="13" w:name="_Toc360976522"/>
      <w:r w:rsidRPr="005762C7">
        <w:lastRenderedPageBreak/>
        <w:t xml:space="preserve">Support to </w:t>
      </w:r>
      <w:r w:rsidR="000935F3">
        <w:t>c</w:t>
      </w:r>
      <w:r w:rsidRPr="005762C7">
        <w:t xml:space="preserve">ivil </w:t>
      </w:r>
      <w:r w:rsidR="000935F3">
        <w:t>s</w:t>
      </w:r>
      <w:r w:rsidRPr="005762C7">
        <w:t>ociety</w:t>
      </w:r>
      <w:r w:rsidR="000935F3">
        <w:t xml:space="preserve"> organisations</w:t>
      </w:r>
      <w:bookmarkEnd w:id="13"/>
    </w:p>
    <w:p w:rsidR="00AD2710" w:rsidRDefault="00CB3718" w:rsidP="00AD2710">
      <w:pPr>
        <w:pStyle w:val="BodyText"/>
      </w:pPr>
      <w:r>
        <w:t xml:space="preserve">Civil society organisations are operating in a difficult </w:t>
      </w:r>
      <w:r w:rsidR="00AD2710">
        <w:t xml:space="preserve">environment </w:t>
      </w:r>
      <w:r>
        <w:t xml:space="preserve">and performing </w:t>
      </w:r>
      <w:r w:rsidR="00AD2710" w:rsidRPr="009B7F82">
        <w:t>below their potential due to the limited geographical reach of the sector, variable capacities, lack of sectoral leadership, weak governance</w:t>
      </w:r>
      <w:r w:rsidR="004A1A58">
        <w:rPr>
          <w:rStyle w:val="FootnoteReference"/>
        </w:rPr>
        <w:footnoteReference w:id="7"/>
      </w:r>
      <w:r w:rsidR="00AD2710" w:rsidRPr="009B7F82">
        <w:t xml:space="preserve"> and poor coordination</w:t>
      </w:r>
      <w:r w:rsidR="00E15346">
        <w:t xml:space="preserve">. </w:t>
      </w:r>
      <w:r w:rsidR="00AD2710" w:rsidRPr="009B7F82">
        <w:t xml:space="preserve">Within the current political climate, </w:t>
      </w:r>
      <w:r>
        <w:t>civil society</w:t>
      </w:r>
      <w:r w:rsidR="00AD2710" w:rsidRPr="009B7F82">
        <w:t xml:space="preserve"> overwhelmingly focus</w:t>
      </w:r>
      <w:r w:rsidR="000935F3">
        <w:t>e</w:t>
      </w:r>
      <w:r w:rsidR="00AD2710" w:rsidRPr="009B7F82">
        <w:t>s on charitable acts and the delivery of welfare and basic services</w:t>
      </w:r>
      <w:r w:rsidR="000935F3">
        <w:t>. There is little room for</w:t>
      </w:r>
      <w:r w:rsidR="00AD2710" w:rsidRPr="009B7F82">
        <w:t xml:space="preserve"> them to engage in advocacy and governance processes</w:t>
      </w:r>
      <w:r w:rsidR="00E15346">
        <w:t xml:space="preserve">. </w:t>
      </w:r>
    </w:p>
    <w:p w:rsidR="00AD2710" w:rsidRDefault="00AD2710" w:rsidP="00AD2710">
      <w:pPr>
        <w:spacing w:before="80" w:after="80" w:line="280" w:lineRule="atLeast"/>
        <w:rPr>
          <w:rFonts w:ascii="Georgia" w:hAnsi="Georgia"/>
          <w:sz w:val="19"/>
          <w:szCs w:val="19"/>
        </w:rPr>
      </w:pPr>
      <w:smartTag w:uri="urn:schemas-microsoft-com:office:smarttags" w:element="place">
        <w:smartTag w:uri="urn:schemas-microsoft-com:office:smarttags" w:element="country-region">
          <w:r w:rsidRPr="00C84D0E">
            <w:rPr>
              <w:rFonts w:ascii="Georgia" w:hAnsi="Georgia"/>
              <w:sz w:val="19"/>
              <w:szCs w:val="19"/>
            </w:rPr>
            <w:t>Australia</w:t>
          </w:r>
        </w:smartTag>
      </w:smartTag>
      <w:r w:rsidRPr="00C84D0E">
        <w:rPr>
          <w:rFonts w:ascii="Georgia" w:hAnsi="Georgia"/>
          <w:sz w:val="19"/>
          <w:szCs w:val="19"/>
        </w:rPr>
        <w:t xml:space="preserve"> was the largest donor to civil society in 2010</w:t>
      </w:r>
      <w:r w:rsidR="00E15346">
        <w:rPr>
          <w:rFonts w:ascii="Georgia" w:hAnsi="Georgia"/>
          <w:sz w:val="19"/>
          <w:szCs w:val="19"/>
        </w:rPr>
        <w:t xml:space="preserve">. </w:t>
      </w:r>
      <w:r w:rsidR="00FD03D5">
        <w:rPr>
          <w:rFonts w:ascii="Georgia" w:hAnsi="Georgia"/>
          <w:sz w:val="19"/>
          <w:szCs w:val="19"/>
        </w:rPr>
        <w:t>T</w:t>
      </w:r>
      <w:r w:rsidRPr="00C84D0E">
        <w:rPr>
          <w:rFonts w:ascii="Georgia" w:hAnsi="Georgia"/>
          <w:sz w:val="19"/>
          <w:szCs w:val="19"/>
        </w:rPr>
        <w:t>his support was mainly in the form of grants for projects and core funding</w:t>
      </w:r>
      <w:r w:rsidR="00037354">
        <w:rPr>
          <w:rFonts w:ascii="Georgia" w:hAnsi="Georgia"/>
          <w:sz w:val="19"/>
          <w:szCs w:val="19"/>
        </w:rPr>
        <w:t xml:space="preserve"> under the </w:t>
      </w:r>
      <w:r w:rsidR="00A31A51" w:rsidRPr="009464C7">
        <w:rPr>
          <w:rFonts w:ascii="Georgia" w:hAnsi="Georgia"/>
          <w:sz w:val="19"/>
          <w:szCs w:val="19"/>
        </w:rPr>
        <w:t xml:space="preserve">Australia Civil Society Support Program in </w:t>
      </w:r>
      <w:smartTag w:uri="urn:schemas-microsoft-com:office:smarttags" w:element="country-region">
        <w:smartTag w:uri="urn:schemas-microsoft-com:office:smarttags" w:element="place">
          <w:r w:rsidR="00A31A51" w:rsidRPr="009464C7">
            <w:rPr>
              <w:rFonts w:ascii="Georgia" w:hAnsi="Georgia"/>
              <w:sz w:val="19"/>
              <w:szCs w:val="19"/>
            </w:rPr>
            <w:t>Fiji</w:t>
          </w:r>
        </w:smartTag>
      </w:smartTag>
      <w:r w:rsidR="00A53C0C">
        <w:rPr>
          <w:rFonts w:ascii="Georgia" w:hAnsi="Georgia"/>
          <w:sz w:val="19"/>
          <w:szCs w:val="19"/>
        </w:rPr>
        <w:t>,</w:t>
      </w:r>
      <w:r w:rsidR="00A31A51">
        <w:rPr>
          <w:rFonts w:ascii="Georgia" w:hAnsi="Georgia"/>
          <w:sz w:val="19"/>
          <w:szCs w:val="19"/>
        </w:rPr>
        <w:t xml:space="preserve"> which completed in 2010</w:t>
      </w:r>
      <w:r w:rsidR="00E15346">
        <w:rPr>
          <w:rFonts w:ascii="Georgia" w:hAnsi="Georgia"/>
          <w:sz w:val="19"/>
          <w:szCs w:val="19"/>
        </w:rPr>
        <w:t xml:space="preserve">. </w:t>
      </w:r>
      <w:r w:rsidR="000835FD">
        <w:rPr>
          <w:rFonts w:ascii="Georgia" w:hAnsi="Georgia"/>
          <w:sz w:val="19"/>
          <w:szCs w:val="19"/>
        </w:rPr>
        <w:t xml:space="preserve">In July a design process </w:t>
      </w:r>
      <w:r w:rsidR="000935F3">
        <w:rPr>
          <w:rFonts w:ascii="Georgia" w:hAnsi="Georgia"/>
          <w:sz w:val="19"/>
          <w:szCs w:val="19"/>
        </w:rPr>
        <w:t xml:space="preserve">started </w:t>
      </w:r>
      <w:r w:rsidR="000835FD">
        <w:rPr>
          <w:rFonts w:ascii="Georgia" w:hAnsi="Georgia"/>
          <w:sz w:val="19"/>
          <w:szCs w:val="19"/>
        </w:rPr>
        <w:t xml:space="preserve">on a new </w:t>
      </w:r>
      <w:r w:rsidR="00A31A51" w:rsidRPr="00CB3718">
        <w:rPr>
          <w:rFonts w:ascii="Georgia" w:hAnsi="Georgia"/>
          <w:sz w:val="19"/>
          <w:szCs w:val="19"/>
        </w:rPr>
        <w:t>community development pro</w:t>
      </w:r>
      <w:r w:rsidR="00A31A51">
        <w:rPr>
          <w:rFonts w:ascii="Georgia" w:hAnsi="Georgia"/>
          <w:sz w:val="19"/>
          <w:szCs w:val="19"/>
        </w:rPr>
        <w:t>gram</w:t>
      </w:r>
      <w:r w:rsidR="000835FD">
        <w:rPr>
          <w:rFonts w:ascii="Georgia" w:hAnsi="Georgia"/>
          <w:sz w:val="19"/>
          <w:szCs w:val="19"/>
        </w:rPr>
        <w:t xml:space="preserve"> in </w:t>
      </w:r>
      <w:smartTag w:uri="urn:schemas-microsoft-com:office:smarttags" w:element="country-region">
        <w:smartTag w:uri="urn:schemas-microsoft-com:office:smarttags" w:element="place">
          <w:r w:rsidR="000835FD">
            <w:rPr>
              <w:rFonts w:ascii="Georgia" w:hAnsi="Georgia"/>
              <w:sz w:val="19"/>
              <w:szCs w:val="19"/>
            </w:rPr>
            <w:t>Fiji</w:t>
          </w:r>
        </w:smartTag>
      </w:smartTag>
      <w:r w:rsidR="00A31A51">
        <w:rPr>
          <w:rFonts w:ascii="Georgia" w:hAnsi="Georgia"/>
          <w:sz w:val="19"/>
          <w:szCs w:val="19"/>
        </w:rPr>
        <w:t xml:space="preserve">. </w:t>
      </w:r>
      <w:r w:rsidR="00FD03D5">
        <w:rPr>
          <w:rFonts w:ascii="Georgia" w:hAnsi="Georgia"/>
          <w:sz w:val="19"/>
          <w:szCs w:val="19"/>
        </w:rPr>
        <w:t>A</w:t>
      </w:r>
      <w:r>
        <w:rPr>
          <w:rFonts w:ascii="Georgia" w:hAnsi="Georgia"/>
          <w:sz w:val="19"/>
          <w:szCs w:val="19"/>
        </w:rPr>
        <w:t xml:space="preserve">ctivities supported </w:t>
      </w:r>
      <w:r w:rsidR="00A31A51">
        <w:rPr>
          <w:rFonts w:ascii="Georgia" w:hAnsi="Georgia"/>
          <w:sz w:val="19"/>
          <w:szCs w:val="19"/>
        </w:rPr>
        <w:t>under</w:t>
      </w:r>
      <w:r w:rsidR="000935F3">
        <w:rPr>
          <w:rFonts w:ascii="Georgia" w:hAnsi="Georgia"/>
          <w:sz w:val="19"/>
          <w:szCs w:val="19"/>
        </w:rPr>
        <w:t xml:space="preserve"> the</w:t>
      </w:r>
      <w:r w:rsidR="00A31A51">
        <w:rPr>
          <w:rFonts w:ascii="Georgia" w:hAnsi="Georgia"/>
          <w:sz w:val="19"/>
          <w:szCs w:val="19"/>
        </w:rPr>
        <w:t xml:space="preserve"> </w:t>
      </w:r>
      <w:r w:rsidR="0034399C" w:rsidRPr="009464C7">
        <w:rPr>
          <w:rFonts w:ascii="Georgia" w:hAnsi="Georgia"/>
          <w:sz w:val="19"/>
          <w:szCs w:val="19"/>
        </w:rPr>
        <w:t xml:space="preserve">Australia Civil Society Support Program </w:t>
      </w:r>
      <w:r>
        <w:rPr>
          <w:rFonts w:ascii="Georgia" w:hAnsi="Georgia"/>
          <w:sz w:val="19"/>
          <w:szCs w:val="19"/>
        </w:rPr>
        <w:t>have made important contributions to local communities</w:t>
      </w:r>
      <w:r w:rsidR="00E15346">
        <w:rPr>
          <w:rFonts w:ascii="Georgia" w:hAnsi="Georgia"/>
          <w:sz w:val="19"/>
          <w:szCs w:val="19"/>
        </w:rPr>
        <w:t xml:space="preserve">. </w:t>
      </w:r>
      <w:r w:rsidR="00A31A51">
        <w:rPr>
          <w:rFonts w:ascii="Georgia" w:hAnsi="Georgia"/>
          <w:sz w:val="19"/>
          <w:szCs w:val="19"/>
        </w:rPr>
        <w:t>F</w:t>
      </w:r>
      <w:r>
        <w:rPr>
          <w:rFonts w:ascii="Georgia" w:hAnsi="Georgia"/>
          <w:sz w:val="19"/>
          <w:szCs w:val="19"/>
        </w:rPr>
        <w:t>or example,</w:t>
      </w:r>
      <w:r w:rsidRPr="00C84D0E">
        <w:rPr>
          <w:rFonts w:ascii="Georgia" w:hAnsi="Georgia"/>
          <w:sz w:val="19"/>
          <w:szCs w:val="19"/>
        </w:rPr>
        <w:t xml:space="preserve"> </w:t>
      </w:r>
      <w:r w:rsidRPr="00754B9A">
        <w:rPr>
          <w:rFonts w:ascii="Georgia" w:hAnsi="Georgia"/>
          <w:sz w:val="19"/>
          <w:szCs w:val="19"/>
        </w:rPr>
        <w:t xml:space="preserve">638 families </w:t>
      </w:r>
      <w:r>
        <w:rPr>
          <w:rFonts w:ascii="Georgia" w:hAnsi="Georgia"/>
          <w:sz w:val="19"/>
          <w:szCs w:val="19"/>
        </w:rPr>
        <w:t xml:space="preserve">now </w:t>
      </w:r>
      <w:r w:rsidRPr="00754B9A">
        <w:rPr>
          <w:rFonts w:ascii="Georgia" w:hAnsi="Georgia"/>
          <w:sz w:val="19"/>
          <w:szCs w:val="19"/>
        </w:rPr>
        <w:t xml:space="preserve">have access to additional income as a result of </w:t>
      </w:r>
      <w:smartTag w:uri="urn:schemas-microsoft-com:office:smarttags" w:element="place">
        <w:smartTag w:uri="urn:schemas-microsoft-com:office:smarttags" w:element="country-region">
          <w:r w:rsidRPr="00754B9A">
            <w:rPr>
              <w:rFonts w:ascii="Georgia" w:hAnsi="Georgia"/>
              <w:sz w:val="19"/>
              <w:szCs w:val="19"/>
            </w:rPr>
            <w:t>Australia</w:t>
          </w:r>
        </w:smartTag>
      </w:smartTag>
      <w:r w:rsidRPr="00754B9A">
        <w:rPr>
          <w:rFonts w:ascii="Georgia" w:hAnsi="Georgia"/>
          <w:sz w:val="19"/>
          <w:szCs w:val="19"/>
        </w:rPr>
        <w:t>’s support to civil society organisations and rural training institutions</w:t>
      </w:r>
      <w:r w:rsidR="00E15346">
        <w:rPr>
          <w:rFonts w:ascii="Georgia" w:hAnsi="Georgia"/>
          <w:sz w:val="19"/>
          <w:szCs w:val="19"/>
        </w:rPr>
        <w:t xml:space="preserve">. </w:t>
      </w:r>
      <w:r w:rsidRPr="00754B9A">
        <w:rPr>
          <w:rFonts w:ascii="Georgia" w:hAnsi="Georgia"/>
          <w:sz w:val="19"/>
          <w:szCs w:val="19"/>
        </w:rPr>
        <w:t>Income-generating activities have included food production, crafts, paintings and other finished goods (average income generation to beneficiaries of between FJ$70</w:t>
      </w:r>
      <w:r w:rsidR="003F25A7">
        <w:rPr>
          <w:rFonts w:ascii="Georgia" w:hAnsi="Georgia"/>
          <w:sz w:val="19"/>
          <w:szCs w:val="19"/>
        </w:rPr>
        <w:t>–F</w:t>
      </w:r>
      <w:r w:rsidRPr="00754B9A">
        <w:rPr>
          <w:rFonts w:ascii="Georgia" w:hAnsi="Georgia"/>
          <w:sz w:val="19"/>
          <w:szCs w:val="19"/>
        </w:rPr>
        <w:t>J$200</w:t>
      </w:r>
      <w:r w:rsidR="000935F3">
        <w:rPr>
          <w:rFonts w:ascii="Georgia" w:hAnsi="Georgia"/>
          <w:sz w:val="19"/>
          <w:szCs w:val="19"/>
        </w:rPr>
        <w:t xml:space="preserve"> a</w:t>
      </w:r>
      <w:r w:rsidRPr="00754B9A">
        <w:rPr>
          <w:rFonts w:ascii="Georgia" w:hAnsi="Georgia"/>
          <w:sz w:val="19"/>
          <w:szCs w:val="19"/>
        </w:rPr>
        <w:t xml:space="preserve"> week).</w:t>
      </w:r>
    </w:p>
    <w:p w:rsidR="00AD2710" w:rsidRPr="00C84D0E" w:rsidRDefault="00AD2710" w:rsidP="00AD2710">
      <w:pPr>
        <w:spacing w:before="80" w:after="80" w:line="280" w:lineRule="atLeast"/>
        <w:rPr>
          <w:rFonts w:ascii="Georgia" w:hAnsi="Georgia"/>
          <w:sz w:val="19"/>
          <w:szCs w:val="19"/>
        </w:rPr>
      </w:pPr>
      <w:r>
        <w:rPr>
          <w:rFonts w:ascii="Georgia" w:hAnsi="Georgia"/>
          <w:sz w:val="19"/>
          <w:szCs w:val="19"/>
        </w:rPr>
        <w:t>Other key results include:</w:t>
      </w:r>
    </w:p>
    <w:p w:rsidR="00AD2710" w:rsidRDefault="00AD2710" w:rsidP="00AD2710">
      <w:pPr>
        <w:numPr>
          <w:ilvl w:val="0"/>
          <w:numId w:val="18"/>
        </w:numPr>
        <w:spacing w:before="80" w:after="80" w:line="280" w:lineRule="atLeast"/>
        <w:rPr>
          <w:rFonts w:ascii="Georgia" w:hAnsi="Georgia"/>
          <w:sz w:val="19"/>
          <w:szCs w:val="19"/>
        </w:rPr>
      </w:pPr>
      <w:r>
        <w:rPr>
          <w:rFonts w:ascii="Georgia" w:hAnsi="Georgia"/>
          <w:sz w:val="19"/>
          <w:szCs w:val="19"/>
        </w:rPr>
        <w:t>P</w:t>
      </w:r>
      <w:r w:rsidRPr="008710E9">
        <w:rPr>
          <w:rFonts w:ascii="Georgia" w:hAnsi="Georgia"/>
          <w:sz w:val="19"/>
          <w:szCs w:val="19"/>
        </w:rPr>
        <w:t xml:space="preserve">rovision of refuges/shelters for victims of domestic violence in </w:t>
      </w:r>
      <w:smartTag w:uri="urn:schemas-microsoft-com:office:smarttags" w:element="City">
        <w:smartTag w:uri="urn:schemas-microsoft-com:office:smarttags" w:element="place">
          <w:r w:rsidRPr="008710E9">
            <w:rPr>
              <w:rFonts w:ascii="Georgia" w:hAnsi="Georgia"/>
              <w:sz w:val="19"/>
              <w:szCs w:val="19"/>
            </w:rPr>
            <w:t>Suva</w:t>
          </w:r>
        </w:smartTag>
      </w:smartTag>
      <w:r w:rsidRPr="008710E9">
        <w:rPr>
          <w:rFonts w:ascii="Georgia" w:hAnsi="Georgia"/>
          <w:sz w:val="19"/>
          <w:szCs w:val="19"/>
        </w:rPr>
        <w:t xml:space="preserve">, Labasa and Lautoka, as a major support service to provide an enabling environment for the elimination of </w:t>
      </w:r>
      <w:r w:rsidR="0034399C">
        <w:rPr>
          <w:rFonts w:ascii="Georgia" w:hAnsi="Georgia"/>
          <w:sz w:val="19"/>
          <w:szCs w:val="19"/>
        </w:rPr>
        <w:t>VAW</w:t>
      </w:r>
      <w:r w:rsidRPr="008710E9">
        <w:rPr>
          <w:rFonts w:ascii="Georgia" w:hAnsi="Georgia"/>
          <w:sz w:val="19"/>
          <w:szCs w:val="19"/>
        </w:rPr>
        <w:t xml:space="preserve"> (Salvation Army)</w:t>
      </w:r>
      <w:r>
        <w:rPr>
          <w:rFonts w:ascii="Georgia" w:hAnsi="Georgia"/>
          <w:sz w:val="19"/>
          <w:szCs w:val="19"/>
        </w:rPr>
        <w:t>.</w:t>
      </w:r>
    </w:p>
    <w:p w:rsidR="00AD2710" w:rsidRDefault="00AD2710" w:rsidP="00AD2710">
      <w:pPr>
        <w:numPr>
          <w:ilvl w:val="0"/>
          <w:numId w:val="18"/>
        </w:numPr>
        <w:spacing w:before="80" w:after="80" w:line="280" w:lineRule="atLeast"/>
        <w:rPr>
          <w:rFonts w:ascii="Georgia" w:hAnsi="Georgia"/>
          <w:sz w:val="19"/>
          <w:szCs w:val="19"/>
        </w:rPr>
      </w:pPr>
      <w:r>
        <w:rPr>
          <w:rFonts w:ascii="Georgia" w:hAnsi="Georgia"/>
          <w:sz w:val="19"/>
          <w:szCs w:val="19"/>
        </w:rPr>
        <w:t>C</w:t>
      </w:r>
      <w:r w:rsidRPr="008710E9">
        <w:rPr>
          <w:rFonts w:ascii="Georgia" w:hAnsi="Georgia"/>
          <w:sz w:val="19"/>
          <w:szCs w:val="19"/>
        </w:rPr>
        <w:t>ontinued decline in reoffending rates of ex-prisoners</w:t>
      </w:r>
      <w:r w:rsidR="00E15346">
        <w:rPr>
          <w:rFonts w:ascii="Georgia" w:hAnsi="Georgia"/>
          <w:sz w:val="19"/>
          <w:szCs w:val="19"/>
        </w:rPr>
        <w:t xml:space="preserve">. </w:t>
      </w:r>
      <w:r>
        <w:rPr>
          <w:rFonts w:ascii="Georgia" w:hAnsi="Georgia"/>
          <w:sz w:val="19"/>
          <w:szCs w:val="19"/>
        </w:rPr>
        <w:t>T</w:t>
      </w:r>
      <w:r w:rsidRPr="008710E9">
        <w:rPr>
          <w:rFonts w:ascii="Georgia" w:hAnsi="Georgia"/>
          <w:sz w:val="19"/>
          <w:szCs w:val="19"/>
        </w:rPr>
        <w:t>hrough effective rehabilitation and community reintegration programs</w:t>
      </w:r>
      <w:r>
        <w:rPr>
          <w:rFonts w:ascii="Georgia" w:hAnsi="Georgia"/>
          <w:sz w:val="19"/>
          <w:szCs w:val="19"/>
        </w:rPr>
        <w:t xml:space="preserve"> run by </w:t>
      </w:r>
      <w:r w:rsidRPr="008710E9">
        <w:rPr>
          <w:rFonts w:ascii="Georgia" w:hAnsi="Georgia"/>
          <w:sz w:val="19"/>
          <w:szCs w:val="19"/>
        </w:rPr>
        <w:t>Pacific C</w:t>
      </w:r>
      <w:r>
        <w:rPr>
          <w:rFonts w:ascii="Georgia" w:hAnsi="Georgia"/>
          <w:sz w:val="19"/>
          <w:szCs w:val="19"/>
        </w:rPr>
        <w:t xml:space="preserve">ounselling and Social Services, </w:t>
      </w:r>
      <w:r w:rsidRPr="008710E9">
        <w:rPr>
          <w:rFonts w:ascii="Georgia" w:hAnsi="Georgia"/>
          <w:sz w:val="19"/>
          <w:szCs w:val="19"/>
        </w:rPr>
        <w:t xml:space="preserve">316 </w:t>
      </w:r>
      <w:r>
        <w:rPr>
          <w:rFonts w:ascii="Georgia" w:hAnsi="Georgia"/>
          <w:sz w:val="19"/>
          <w:szCs w:val="19"/>
        </w:rPr>
        <w:t xml:space="preserve">male </w:t>
      </w:r>
      <w:r w:rsidRPr="008710E9">
        <w:rPr>
          <w:rFonts w:ascii="Georgia" w:hAnsi="Georgia"/>
          <w:sz w:val="19"/>
          <w:szCs w:val="19"/>
        </w:rPr>
        <w:t xml:space="preserve">inmates in Natabua and Ba prisons </w:t>
      </w:r>
      <w:r>
        <w:rPr>
          <w:rFonts w:ascii="Georgia" w:hAnsi="Georgia"/>
          <w:sz w:val="19"/>
          <w:szCs w:val="19"/>
        </w:rPr>
        <w:t>joined the rehabilitation plan</w:t>
      </w:r>
      <w:r w:rsidR="00E15346">
        <w:rPr>
          <w:rFonts w:ascii="Georgia" w:hAnsi="Georgia"/>
          <w:sz w:val="19"/>
          <w:szCs w:val="19"/>
        </w:rPr>
        <w:t xml:space="preserve">. </w:t>
      </w:r>
      <w:r w:rsidRPr="008710E9">
        <w:rPr>
          <w:rFonts w:ascii="Georgia" w:hAnsi="Georgia"/>
          <w:sz w:val="19"/>
          <w:szCs w:val="19"/>
        </w:rPr>
        <w:t xml:space="preserve">This is </w:t>
      </w:r>
      <w:r w:rsidR="00FD03D5">
        <w:rPr>
          <w:rFonts w:ascii="Georgia" w:hAnsi="Georgia"/>
          <w:sz w:val="19"/>
          <w:szCs w:val="19"/>
        </w:rPr>
        <w:t>important</w:t>
      </w:r>
      <w:r w:rsidR="00FD03D5" w:rsidRPr="008710E9">
        <w:rPr>
          <w:rFonts w:ascii="Georgia" w:hAnsi="Georgia"/>
          <w:sz w:val="19"/>
          <w:szCs w:val="19"/>
        </w:rPr>
        <w:t xml:space="preserve"> </w:t>
      </w:r>
      <w:r w:rsidRPr="008710E9">
        <w:rPr>
          <w:rFonts w:ascii="Georgia" w:hAnsi="Georgia"/>
          <w:sz w:val="19"/>
          <w:szCs w:val="19"/>
        </w:rPr>
        <w:t xml:space="preserve">given concerns over increased crime rates as a result of the poor economic situation in </w:t>
      </w:r>
      <w:smartTag w:uri="urn:schemas-microsoft-com:office:smarttags" w:element="country-region">
        <w:smartTag w:uri="urn:schemas-microsoft-com:office:smarttags" w:element="place">
          <w:r w:rsidRPr="008710E9">
            <w:rPr>
              <w:rFonts w:ascii="Georgia" w:hAnsi="Georgia"/>
              <w:sz w:val="19"/>
              <w:szCs w:val="19"/>
            </w:rPr>
            <w:t>Fiji</w:t>
          </w:r>
        </w:smartTag>
      </w:smartTag>
      <w:r w:rsidR="00E15346">
        <w:rPr>
          <w:rFonts w:ascii="Georgia" w:hAnsi="Georgia"/>
          <w:sz w:val="19"/>
          <w:szCs w:val="19"/>
        </w:rPr>
        <w:t xml:space="preserve">. </w:t>
      </w:r>
    </w:p>
    <w:p w:rsidR="00AD2710" w:rsidRPr="005762C7" w:rsidRDefault="00AD2710" w:rsidP="00AD2710">
      <w:pPr>
        <w:pStyle w:val="Heading3"/>
        <w:keepNext/>
        <w:spacing w:before="240"/>
      </w:pPr>
      <w:bookmarkStart w:id="14" w:name="_Toc360976523"/>
      <w:r w:rsidRPr="005762C7">
        <w:t>People</w:t>
      </w:r>
      <w:r>
        <w:t>-</w:t>
      </w:r>
      <w:r w:rsidRPr="005762C7">
        <w:t>to</w:t>
      </w:r>
      <w:r>
        <w:t>-</w:t>
      </w:r>
      <w:r w:rsidRPr="005762C7">
        <w:t>people links</w:t>
      </w:r>
      <w:bookmarkEnd w:id="14"/>
    </w:p>
    <w:p w:rsidR="00AD2710" w:rsidRDefault="00AD2710" w:rsidP="00AD2710">
      <w:pPr>
        <w:pStyle w:val="BodyText"/>
      </w:pPr>
      <w:r w:rsidRPr="0037772E">
        <w:t xml:space="preserve">In the context of the current political situation in </w:t>
      </w:r>
      <w:smartTag w:uri="urn:schemas-microsoft-com:office:smarttags" w:element="place">
        <w:smartTag w:uri="urn:schemas-microsoft-com:office:smarttags" w:element="country-region">
          <w:r w:rsidRPr="0037772E">
            <w:t>Fiji</w:t>
          </w:r>
        </w:smartTag>
      </w:smartTag>
      <w:r w:rsidRPr="0037772E">
        <w:t xml:space="preserve">, the </w:t>
      </w:r>
      <w:r>
        <w:t>value</w:t>
      </w:r>
      <w:r w:rsidRPr="0037772E">
        <w:t xml:space="preserve"> of building people</w:t>
      </w:r>
      <w:r>
        <w:t>-</w:t>
      </w:r>
      <w:r w:rsidRPr="0037772E">
        <w:t>to</w:t>
      </w:r>
      <w:r>
        <w:t>-</w:t>
      </w:r>
      <w:r w:rsidRPr="0037772E">
        <w:t>people links cannot be underestimated or understated</w:t>
      </w:r>
      <w:r w:rsidR="00E15346">
        <w:t xml:space="preserve">. </w:t>
      </w:r>
      <w:r w:rsidRPr="0037772E">
        <w:t>The aid program, through its scholarships and volunteers, has played a crucial role in bringing together the Australian and Fijian people through shared learning opportunities</w:t>
      </w:r>
      <w:r w:rsidR="00E15346">
        <w:t xml:space="preserve">. </w:t>
      </w:r>
      <w:r w:rsidRPr="0037772E">
        <w:t>Scholarships and volunteers build the capacity and skills of the Fijian people and promote longer</w:t>
      </w:r>
      <w:r w:rsidR="000935F3">
        <w:t>-</w:t>
      </w:r>
      <w:r w:rsidRPr="0037772E">
        <w:t>term benefits when these skills are transferred to the workplace</w:t>
      </w:r>
      <w:r w:rsidR="00E15346">
        <w:t xml:space="preserve">. </w:t>
      </w:r>
      <w:r>
        <w:t xml:space="preserve">Among the goals </w:t>
      </w:r>
      <w:r w:rsidR="000935F3">
        <w:t xml:space="preserve">of Australia’s aid program </w:t>
      </w:r>
      <w:r>
        <w:t>is to develop a cadre of leaders and champions who can initiate, lead and support change and development.</w:t>
      </w:r>
    </w:p>
    <w:p w:rsidR="00AD2710" w:rsidRDefault="00AD2710" w:rsidP="00AD2710">
      <w:pPr>
        <w:pStyle w:val="BodyText"/>
      </w:pPr>
      <w:r>
        <w:t>In 2010 the number of Australian Development Scholarships for the 2011 intake increased from 10 to 40</w:t>
      </w:r>
      <w:r w:rsidR="000935F3">
        <w:t>. The number of</w:t>
      </w:r>
      <w:r>
        <w:t xml:space="preserve"> Australian Regional Development Scholarship awards </w:t>
      </w:r>
      <w:r w:rsidR="000935F3">
        <w:t xml:space="preserve">was </w:t>
      </w:r>
      <w:r>
        <w:t>reduced</w:t>
      </w:r>
      <w:r w:rsidR="00E15346">
        <w:t xml:space="preserve">. </w:t>
      </w:r>
      <w:r>
        <w:t>This was a re-allocation based in large part on an assessment of opportunities available to students in Fiji, as well as the benefit of stronger people</w:t>
      </w:r>
      <w:r w:rsidR="000935F3">
        <w:t>-</w:t>
      </w:r>
      <w:r>
        <w:t>to</w:t>
      </w:r>
      <w:r w:rsidR="000935F3">
        <w:t>-</w:t>
      </w:r>
      <w:r>
        <w:t>people links generated through opportunities to study in Australia</w:t>
      </w:r>
      <w:r w:rsidR="00E15346">
        <w:t xml:space="preserve">. </w:t>
      </w:r>
      <w:r>
        <w:t>Candidates from Fiji are academically strong and have good professional experience</w:t>
      </w:r>
      <w:r w:rsidR="00E15346">
        <w:t xml:space="preserve">. </w:t>
      </w:r>
      <w:r>
        <w:t>On return, graduates are in high demand and tracer studies</w:t>
      </w:r>
      <w:r>
        <w:rPr>
          <w:rStyle w:val="FootnoteReference"/>
        </w:rPr>
        <w:footnoteReference w:id="8"/>
      </w:r>
      <w:r>
        <w:t xml:space="preserve"> show they experience significant personal and professional benefit from their </w:t>
      </w:r>
      <w:r>
        <w:lastRenderedPageBreak/>
        <w:t>scholarship</w:t>
      </w:r>
      <w:r w:rsidR="00E15346">
        <w:t xml:space="preserve">. </w:t>
      </w:r>
      <w:r w:rsidR="00154A26">
        <w:t>A</w:t>
      </w:r>
      <w:r>
        <w:t xml:space="preserve"> Fiji</w:t>
      </w:r>
      <w:r w:rsidR="000935F3">
        <w:t xml:space="preserve"> – </w:t>
      </w:r>
      <w:r>
        <w:t>Australia Scholarships Alumni Association was successfully launched in Fiji in 2010, bringing together scholars spanning 30</w:t>
      </w:r>
      <w:r w:rsidR="000935F3">
        <w:t> </w:t>
      </w:r>
      <w:r>
        <w:t xml:space="preserve">years. </w:t>
      </w:r>
    </w:p>
    <w:p w:rsidR="00AD2710" w:rsidRPr="00AA130F" w:rsidRDefault="00AD2710" w:rsidP="00AD2710">
      <w:pPr>
        <w:pStyle w:val="BodyText"/>
      </w:pPr>
      <w:r>
        <w:t xml:space="preserve">The volunteers program </w:t>
      </w:r>
      <w:r w:rsidR="005659FE">
        <w:t>is another way to build</w:t>
      </w:r>
      <w:r>
        <w:t xml:space="preserve"> capacity through in-country transfer of knowledge, particularly to people in organisations not otherwise able to study overseas or learn from international experience</w:t>
      </w:r>
      <w:r w:rsidR="00E15346">
        <w:t xml:space="preserve">. </w:t>
      </w:r>
      <w:r>
        <w:t xml:space="preserve">In 2010, </w:t>
      </w:r>
      <w:r w:rsidR="00E15346">
        <w:t xml:space="preserve">a total of </w:t>
      </w:r>
      <w:r>
        <w:t>58 volunteers worked primarily with civil society organisations in health, education, livelihoods, vocational training, social services, counselling, sports with a focus on gender equality (</w:t>
      </w:r>
      <w:r w:rsidR="00E15346">
        <w:t>for example,</w:t>
      </w:r>
      <w:r>
        <w:t xml:space="preserve"> Fiji women’s cricket) and </w:t>
      </w:r>
      <w:r w:rsidR="005659FE">
        <w:t>disability</w:t>
      </w:r>
      <w:r w:rsidR="00E15346">
        <w:t xml:space="preserve">. </w:t>
      </w:r>
      <w:r>
        <w:t xml:space="preserve">The volunteer program is cost effective and guarantees direct support at the grassroots level where volunteers </w:t>
      </w:r>
      <w:r w:rsidR="005659FE">
        <w:t>can</w:t>
      </w:r>
      <w:r>
        <w:t xml:space="preserve"> build community links and advoca</w:t>
      </w:r>
      <w:r w:rsidR="005659FE">
        <w:t>te</w:t>
      </w:r>
      <w:r>
        <w:t xml:space="preserve"> for better health and education services and human rights.</w:t>
      </w:r>
    </w:p>
    <w:p w:rsidR="00AD2710" w:rsidRPr="005762C7" w:rsidRDefault="00AD2710" w:rsidP="00AD2710">
      <w:pPr>
        <w:pStyle w:val="Heading3"/>
        <w:keepNext/>
        <w:spacing w:before="240"/>
      </w:pPr>
      <w:bookmarkStart w:id="15" w:name="_Toc360976524"/>
      <w:r w:rsidRPr="005762C7">
        <w:t xml:space="preserve">Disaster </w:t>
      </w:r>
      <w:r w:rsidR="00E15346">
        <w:t>r</w:t>
      </w:r>
      <w:r w:rsidRPr="005762C7">
        <w:t xml:space="preserve">isk </w:t>
      </w:r>
      <w:r w:rsidR="00E15346">
        <w:t>r</w:t>
      </w:r>
      <w:r w:rsidRPr="005762C7">
        <w:t>eduction</w:t>
      </w:r>
      <w:bookmarkEnd w:id="15"/>
    </w:p>
    <w:p w:rsidR="00154A26" w:rsidRDefault="00AD2710" w:rsidP="00AD2710">
      <w:pPr>
        <w:pStyle w:val="BodyText"/>
        <w:ind w:right="-102"/>
      </w:pPr>
      <w:smartTag w:uri="urn:schemas-microsoft-com:office:smarttags" w:element="place">
        <w:smartTag w:uri="urn:schemas-microsoft-com:office:smarttags" w:element="country-region">
          <w:r>
            <w:t>Fiji</w:t>
          </w:r>
        </w:smartTag>
      </w:smartTag>
      <w:r>
        <w:t xml:space="preserve"> is prone to natural disasters, and experienced several natural disasters in 2009 and 2010</w:t>
      </w:r>
      <w:r w:rsidR="00E15346">
        <w:t xml:space="preserve">. </w:t>
      </w:r>
      <w:r w:rsidR="00154A26">
        <w:t xml:space="preserve">The spate of disasters triggered a more proactive approach in 2010 to allocate funds </w:t>
      </w:r>
      <w:r w:rsidR="005659FE">
        <w:t>before</w:t>
      </w:r>
      <w:r w:rsidR="00154A26">
        <w:t xml:space="preserve"> each cyclone season towards local disaster preparedness, awareness, and pre-positioned supplies, for more prompt action and deployment of assistance without the need to locate funds from already allocated program</w:t>
      </w:r>
      <w:r w:rsidR="005659FE">
        <w:t>m</w:t>
      </w:r>
      <w:r w:rsidR="00154A26">
        <w:t>ing</w:t>
      </w:r>
      <w:r w:rsidR="00E15346">
        <w:t xml:space="preserve">. </w:t>
      </w:r>
      <w:r w:rsidR="00154A26">
        <w:t>It also triggered the integration of disaster response and risk reduction in</w:t>
      </w:r>
      <w:r w:rsidR="005659FE">
        <w:t xml:space="preserve"> </w:t>
      </w:r>
      <w:r w:rsidR="00154A26">
        <w:t xml:space="preserve">both health and education designs. </w:t>
      </w:r>
    </w:p>
    <w:p w:rsidR="00154A26" w:rsidRDefault="00154A26" w:rsidP="00AD2710">
      <w:pPr>
        <w:pStyle w:val="BodyText"/>
        <w:ind w:right="-102"/>
      </w:pPr>
      <w:r>
        <w:t xml:space="preserve">In 2010 </w:t>
      </w:r>
      <w:r w:rsidR="00AD2710">
        <w:t xml:space="preserve">Australia responded by providing </w:t>
      </w:r>
      <w:r w:rsidR="00B31196">
        <w:t>more than</w:t>
      </w:r>
      <w:r w:rsidR="00AD2710">
        <w:t xml:space="preserve"> $</w:t>
      </w:r>
      <w:r w:rsidR="00FD03D5">
        <w:t xml:space="preserve">2 </w:t>
      </w:r>
      <w:r w:rsidR="00AD2710">
        <w:t xml:space="preserve">million to </w:t>
      </w:r>
      <w:r w:rsidR="009464C7">
        <w:t>disaster</w:t>
      </w:r>
      <w:r w:rsidR="00AD2710">
        <w:t xml:space="preserve"> relief effort</w:t>
      </w:r>
      <w:r w:rsidR="009464C7">
        <w:t>s</w:t>
      </w:r>
      <w:r w:rsidR="005659FE">
        <w:t xml:space="preserve"> in Fiji, including</w:t>
      </w:r>
      <w:r>
        <w:t>:</w:t>
      </w:r>
    </w:p>
    <w:p w:rsidR="00154A26" w:rsidRPr="009D0BC8" w:rsidRDefault="00154A26" w:rsidP="009D0BC8">
      <w:pPr>
        <w:numPr>
          <w:ilvl w:val="0"/>
          <w:numId w:val="18"/>
        </w:numPr>
        <w:spacing w:before="80" w:after="80" w:line="280" w:lineRule="atLeast"/>
        <w:rPr>
          <w:rFonts w:ascii="Georgia" w:hAnsi="Georgia"/>
          <w:sz w:val="19"/>
          <w:szCs w:val="19"/>
        </w:rPr>
      </w:pPr>
      <w:r w:rsidRPr="009D0BC8">
        <w:rPr>
          <w:rFonts w:ascii="Georgia" w:hAnsi="Georgia"/>
          <w:sz w:val="19"/>
          <w:szCs w:val="19"/>
        </w:rPr>
        <w:t>a recovery package w</w:t>
      </w:r>
      <w:r w:rsidR="00AD2710" w:rsidRPr="009D0BC8">
        <w:rPr>
          <w:rFonts w:ascii="Georgia" w:hAnsi="Georgia"/>
          <w:sz w:val="19"/>
          <w:szCs w:val="19"/>
        </w:rPr>
        <w:t xml:space="preserve">hen Cyclone Tomas hit Fiji in March 2010, including a </w:t>
      </w:r>
      <w:r w:rsidR="0034399C" w:rsidRPr="0034399C">
        <w:rPr>
          <w:rFonts w:ascii="Georgia" w:hAnsi="Georgia"/>
          <w:sz w:val="19"/>
          <w:szCs w:val="19"/>
        </w:rPr>
        <w:t xml:space="preserve">Royal Australian Air Force </w:t>
      </w:r>
      <w:r w:rsidR="00AD2710" w:rsidRPr="009D0BC8">
        <w:rPr>
          <w:rFonts w:ascii="Georgia" w:hAnsi="Georgia"/>
          <w:sz w:val="19"/>
          <w:szCs w:val="19"/>
        </w:rPr>
        <w:t xml:space="preserve">flight with basic humanitarian supplies, buckets, water purification tablets, blankets and tarpaulins  </w:t>
      </w:r>
    </w:p>
    <w:p w:rsidR="00154A26" w:rsidRPr="009D0BC8" w:rsidRDefault="005659FE" w:rsidP="009D0BC8">
      <w:pPr>
        <w:numPr>
          <w:ilvl w:val="0"/>
          <w:numId w:val="18"/>
        </w:numPr>
        <w:spacing w:before="80" w:after="80" w:line="280" w:lineRule="atLeast"/>
        <w:rPr>
          <w:rFonts w:ascii="Georgia" w:hAnsi="Georgia"/>
          <w:sz w:val="19"/>
          <w:szCs w:val="19"/>
        </w:rPr>
      </w:pPr>
      <w:r>
        <w:rPr>
          <w:rFonts w:ascii="Georgia" w:hAnsi="Georgia"/>
          <w:sz w:val="19"/>
          <w:szCs w:val="19"/>
        </w:rPr>
        <w:t>r</w:t>
      </w:r>
      <w:r w:rsidR="00AD2710" w:rsidRPr="009D0BC8">
        <w:rPr>
          <w:rFonts w:ascii="Georgia" w:hAnsi="Georgia"/>
          <w:sz w:val="19"/>
          <w:szCs w:val="19"/>
        </w:rPr>
        <w:t>epair</w:t>
      </w:r>
      <w:r w:rsidR="00154A26" w:rsidRPr="009D0BC8">
        <w:rPr>
          <w:rFonts w:ascii="Georgia" w:hAnsi="Georgia"/>
          <w:sz w:val="19"/>
          <w:szCs w:val="19"/>
        </w:rPr>
        <w:t>s to</w:t>
      </w:r>
      <w:r w:rsidR="00AD2710" w:rsidRPr="009D0BC8">
        <w:rPr>
          <w:rFonts w:ascii="Georgia" w:hAnsi="Georgia"/>
          <w:sz w:val="19"/>
          <w:szCs w:val="19"/>
        </w:rPr>
        <w:t xml:space="preserve"> four heavily damaged schools in remote areas in the far north of Vanua Levu</w:t>
      </w:r>
      <w:r w:rsidR="00FD03D5" w:rsidRPr="009D0BC8">
        <w:rPr>
          <w:rFonts w:ascii="Georgia" w:hAnsi="Georgia"/>
          <w:sz w:val="19"/>
          <w:szCs w:val="19"/>
        </w:rPr>
        <w:t xml:space="preserve"> and Taveuni</w:t>
      </w:r>
      <w:r w:rsidR="00AD2710" w:rsidRPr="009D0BC8">
        <w:rPr>
          <w:rFonts w:ascii="Georgia" w:hAnsi="Georgia"/>
          <w:sz w:val="19"/>
          <w:szCs w:val="19"/>
        </w:rPr>
        <w:t xml:space="preserve"> in the Northern Division</w:t>
      </w:r>
      <w:r w:rsidR="00FD03D5" w:rsidRPr="009D0BC8">
        <w:rPr>
          <w:rFonts w:ascii="Georgia" w:hAnsi="Georgia"/>
          <w:sz w:val="19"/>
          <w:szCs w:val="19"/>
        </w:rPr>
        <w:t xml:space="preserve">, </w:t>
      </w:r>
      <w:r w:rsidR="00154A26" w:rsidRPr="009D0BC8">
        <w:rPr>
          <w:rFonts w:ascii="Georgia" w:hAnsi="Georgia"/>
          <w:sz w:val="19"/>
          <w:szCs w:val="19"/>
        </w:rPr>
        <w:t xml:space="preserve">and </w:t>
      </w:r>
      <w:r w:rsidR="00AD2710" w:rsidRPr="009D0BC8">
        <w:rPr>
          <w:rFonts w:ascii="Georgia" w:hAnsi="Georgia"/>
          <w:sz w:val="19"/>
          <w:szCs w:val="19"/>
        </w:rPr>
        <w:t>minor repairs and reconstruction of health facilities</w:t>
      </w:r>
    </w:p>
    <w:p w:rsidR="00AD2710" w:rsidRPr="009D0BC8" w:rsidRDefault="005659FE" w:rsidP="009D0BC8">
      <w:pPr>
        <w:numPr>
          <w:ilvl w:val="0"/>
          <w:numId w:val="18"/>
        </w:numPr>
        <w:spacing w:before="80" w:after="80" w:line="280" w:lineRule="atLeast"/>
        <w:rPr>
          <w:rFonts w:ascii="Georgia" w:hAnsi="Georgia"/>
          <w:sz w:val="19"/>
          <w:szCs w:val="19"/>
        </w:rPr>
      </w:pPr>
      <w:proofErr w:type="gramStart"/>
      <w:r>
        <w:rPr>
          <w:rFonts w:ascii="Georgia" w:hAnsi="Georgia"/>
          <w:sz w:val="19"/>
          <w:szCs w:val="19"/>
        </w:rPr>
        <w:t>r</w:t>
      </w:r>
      <w:r w:rsidR="00154A26" w:rsidRPr="009D0BC8">
        <w:rPr>
          <w:rFonts w:ascii="Georgia" w:hAnsi="Georgia"/>
          <w:sz w:val="19"/>
          <w:szCs w:val="19"/>
        </w:rPr>
        <w:t>ebuilding</w:t>
      </w:r>
      <w:proofErr w:type="gramEnd"/>
      <w:r w:rsidR="00154A26" w:rsidRPr="009D0BC8">
        <w:rPr>
          <w:rFonts w:ascii="Georgia" w:hAnsi="Georgia"/>
          <w:sz w:val="19"/>
          <w:szCs w:val="19"/>
        </w:rPr>
        <w:t xml:space="preserve"> the </w:t>
      </w:r>
      <w:r w:rsidR="00AD2710" w:rsidRPr="009D0BC8">
        <w:rPr>
          <w:rFonts w:ascii="Georgia" w:hAnsi="Georgia"/>
          <w:sz w:val="19"/>
          <w:szCs w:val="19"/>
        </w:rPr>
        <w:t>LomaLoma Sub-Divisional Hospital, Mualevu Health Centre and Ono-I-Lau Health Clinic</w:t>
      </w:r>
      <w:r w:rsidR="00E15346">
        <w:rPr>
          <w:rFonts w:ascii="Georgia" w:hAnsi="Georgia"/>
          <w:sz w:val="19"/>
          <w:szCs w:val="19"/>
        </w:rPr>
        <w:t xml:space="preserve">. </w:t>
      </w:r>
    </w:p>
    <w:p w:rsidR="00AD2710" w:rsidRPr="008C177A" w:rsidRDefault="00AD2710" w:rsidP="00AD2710">
      <w:pPr>
        <w:pStyle w:val="Heading3"/>
        <w:keepNext/>
        <w:spacing w:before="240"/>
      </w:pPr>
      <w:bookmarkStart w:id="16" w:name="_Toc360976525"/>
      <w:r w:rsidRPr="008C177A">
        <w:t xml:space="preserve">Public </w:t>
      </w:r>
      <w:r w:rsidR="00E15346">
        <w:t>d</w:t>
      </w:r>
      <w:r w:rsidRPr="008C177A">
        <w:t>iplomacy</w:t>
      </w:r>
      <w:bookmarkEnd w:id="16"/>
    </w:p>
    <w:p w:rsidR="00AD2710" w:rsidRDefault="00AD2710" w:rsidP="00AD2710">
      <w:pPr>
        <w:pStyle w:val="BodyText"/>
      </w:pPr>
      <w:r>
        <w:t>Public diplomacy efforts increased significantly in 2010</w:t>
      </w:r>
      <w:r w:rsidR="00154A26">
        <w:t xml:space="preserve"> with the appoi</w:t>
      </w:r>
      <w:r>
        <w:t>ntment of a regional communications officer at the Australian High Commission</w:t>
      </w:r>
      <w:r w:rsidR="00E15346">
        <w:t xml:space="preserve">. </w:t>
      </w:r>
      <w:r>
        <w:t xml:space="preserve">You-tube videos, </w:t>
      </w:r>
      <w:r w:rsidR="00FD03D5">
        <w:t xml:space="preserve">regular </w:t>
      </w:r>
      <w:r>
        <w:t xml:space="preserve">media </w:t>
      </w:r>
      <w:r w:rsidR="00FD03D5">
        <w:t>events</w:t>
      </w:r>
      <w:r w:rsidR="005659FE">
        <w:t xml:space="preserve"> and</w:t>
      </w:r>
      <w:r>
        <w:t xml:space="preserve"> media mentions in the local press </w:t>
      </w:r>
      <w:r w:rsidR="005659FE">
        <w:t>increased</w:t>
      </w:r>
      <w:r>
        <w:t xml:space="preserve"> exposure </w:t>
      </w:r>
      <w:r w:rsidR="005659FE">
        <w:t xml:space="preserve">to </w:t>
      </w:r>
      <w:r w:rsidR="002217F4">
        <w:t xml:space="preserve">information on the impact of </w:t>
      </w:r>
      <w:r w:rsidR="00037354">
        <w:t>Australian aid on the people of Fiji</w:t>
      </w:r>
      <w:r>
        <w:t xml:space="preserve">. </w:t>
      </w:r>
    </w:p>
    <w:p w:rsidR="00FF5B06" w:rsidRPr="003F04D6" w:rsidRDefault="004323E1" w:rsidP="00CF17D8">
      <w:pPr>
        <w:pStyle w:val="H1"/>
        <w:spacing w:before="240"/>
      </w:pPr>
      <w:bookmarkStart w:id="17" w:name="_Toc360976526"/>
      <w:r w:rsidRPr="003F04D6">
        <w:t xml:space="preserve">Program </w:t>
      </w:r>
      <w:r w:rsidR="00E15346" w:rsidRPr="003F04D6">
        <w:t>q</w:t>
      </w:r>
      <w:r w:rsidRPr="003F04D6">
        <w:t>uality</w:t>
      </w:r>
      <w:bookmarkEnd w:id="17"/>
    </w:p>
    <w:p w:rsidR="004867E8" w:rsidRDefault="004867E8" w:rsidP="004867E8">
      <w:pPr>
        <w:pStyle w:val="BodyText"/>
      </w:pPr>
      <w:r>
        <w:t>The cornerstone programs of the existing strategy in health, education, civil society, private sector and rural enterprise development were all completed in 2009 or early 2010</w:t>
      </w:r>
      <w:r w:rsidR="00E15346">
        <w:t xml:space="preserve">. </w:t>
      </w:r>
      <w:r>
        <w:t>Plans to have seamless transitions from the health and education programs to the next phases were not realised</w:t>
      </w:r>
      <w:r w:rsidR="00E15346">
        <w:t xml:space="preserve">. </w:t>
      </w:r>
      <w:r>
        <w:t>This gap in the program</w:t>
      </w:r>
      <w:r w:rsidR="005659FE">
        <w:t>,</w:t>
      </w:r>
      <w:r>
        <w:t xml:space="preserve"> and the possibility of losing momentum in the sectors where the aid program had achieved good outcomes and developed good relations</w:t>
      </w:r>
      <w:r w:rsidR="005659FE">
        <w:t>,</w:t>
      </w:r>
      <w:r>
        <w:t xml:space="preserve"> was a major concern in 2010</w:t>
      </w:r>
      <w:r w:rsidR="00E15346">
        <w:t xml:space="preserve">. </w:t>
      </w:r>
      <w:r>
        <w:t>To address this concern, interim or transition programs were developed across all key sectors in parallel with new design and tender processes for larger</w:t>
      </w:r>
      <w:r w:rsidR="005659FE">
        <w:t xml:space="preserve">, </w:t>
      </w:r>
      <w:r>
        <w:t>long</w:t>
      </w:r>
      <w:r w:rsidR="005659FE">
        <w:t>-</w:t>
      </w:r>
      <w:r>
        <w:t xml:space="preserve">term programs. </w:t>
      </w:r>
    </w:p>
    <w:p w:rsidR="004867E8" w:rsidRDefault="009464C7" w:rsidP="004867E8">
      <w:pPr>
        <w:pStyle w:val="BodyText"/>
      </w:pPr>
      <w:r>
        <w:t>A</w:t>
      </w:r>
      <w:r w:rsidR="004867E8">
        <w:t xml:space="preserve">fter the abrogation of the </w:t>
      </w:r>
      <w:r w:rsidR="005659FE">
        <w:t>C</w:t>
      </w:r>
      <w:r w:rsidR="004867E8">
        <w:t>onstitution in April 2009, the program’s approach for assistance to Fiji in these circumstances was to maintain a significance presence in</w:t>
      </w:r>
      <w:r w:rsidR="005659FE">
        <w:t>-country</w:t>
      </w:r>
      <w:r w:rsidR="00E15346">
        <w:t xml:space="preserve">. </w:t>
      </w:r>
      <w:r w:rsidR="004A1A58">
        <w:t xml:space="preserve">This was </w:t>
      </w:r>
      <w:r w:rsidR="004A1A58">
        <w:lastRenderedPageBreak/>
        <w:t>achieved</w:t>
      </w:r>
      <w:r w:rsidR="004867E8">
        <w:t xml:space="preserve"> by developing flexible</w:t>
      </w:r>
      <w:r w:rsidR="005659FE">
        <w:t>,</w:t>
      </w:r>
      <w:r w:rsidR="004867E8">
        <w:t xml:space="preserve"> long</w:t>
      </w:r>
      <w:r w:rsidR="005659FE">
        <w:t>-</w:t>
      </w:r>
      <w:r w:rsidR="004867E8">
        <w:t>term programs, assessing the effectiveness of previous assistance, investing in analysis required for targeting assistance and establishing interim or transition activities</w:t>
      </w:r>
      <w:r w:rsidR="00E15346">
        <w:t xml:space="preserve">. </w:t>
      </w:r>
      <w:r w:rsidR="004867E8">
        <w:t>This assessment of program quality therefore needs to note risks to coherence of the program from the many interim activities</w:t>
      </w:r>
      <w:r w:rsidR="005659FE">
        <w:t xml:space="preserve"> implemented</w:t>
      </w:r>
      <w:r w:rsidR="004867E8">
        <w:t>, in terms of the</w:t>
      </w:r>
      <w:r w:rsidR="005659FE">
        <w:t>ir</w:t>
      </w:r>
      <w:r w:rsidR="004867E8">
        <w:t xml:space="preserve"> ability to contribute to higher</w:t>
      </w:r>
      <w:r w:rsidR="005659FE">
        <w:t>-</w:t>
      </w:r>
      <w:r w:rsidR="004867E8">
        <w:t>level strategic objectives, coherence within and between the three objectives, and the four crosscutting themes.</w:t>
      </w:r>
    </w:p>
    <w:p w:rsidR="004867E8" w:rsidRDefault="004867E8" w:rsidP="004867E8">
      <w:pPr>
        <w:pStyle w:val="BodyText"/>
      </w:pPr>
      <w:r>
        <w:t xml:space="preserve">The interim activities chosen for 2010 </w:t>
      </w:r>
      <w:r w:rsidR="009F3A4B">
        <w:t>we</w:t>
      </w:r>
      <w:r>
        <w:t xml:space="preserve">re aligned to national development priorities and </w:t>
      </w:r>
      <w:r w:rsidR="00BC1C36">
        <w:t xml:space="preserve">well </w:t>
      </w:r>
      <w:r>
        <w:t xml:space="preserve">targeted to address increasing poverty and </w:t>
      </w:r>
      <w:r w:rsidR="005659FE">
        <w:t xml:space="preserve">progress towards </w:t>
      </w:r>
      <w:r>
        <w:t>achievement of the MDG</w:t>
      </w:r>
      <w:r w:rsidR="00637B1B">
        <w:t>s</w:t>
      </w:r>
      <w:r w:rsidR="00E15346">
        <w:t xml:space="preserve">. </w:t>
      </w:r>
      <w:r>
        <w:t>The interim activities also provided an opportunity to trial potential approaches, especially in the area of disability</w:t>
      </w:r>
      <w:r w:rsidR="00E15346">
        <w:t xml:space="preserve">. </w:t>
      </w:r>
      <w:r>
        <w:t>Looking forward, the main challenge will be to build coherence in the program and focus on long</w:t>
      </w:r>
      <w:r w:rsidR="009464C7">
        <w:t>er</w:t>
      </w:r>
      <w:r>
        <w:t>-term objectives</w:t>
      </w:r>
      <w:r w:rsidR="00E15346">
        <w:t xml:space="preserve">. </w:t>
      </w:r>
      <w:r>
        <w:t xml:space="preserve">At the level of program management, a big challenge is to implement active monitoring, and actively address the potential proliferation of </w:t>
      </w:r>
      <w:r w:rsidR="005659FE">
        <w:t xml:space="preserve">individual </w:t>
      </w:r>
      <w:r>
        <w:t xml:space="preserve">activities. </w:t>
      </w:r>
    </w:p>
    <w:p w:rsidR="004867E8" w:rsidRDefault="004867E8" w:rsidP="004867E8">
      <w:pPr>
        <w:pStyle w:val="BodyText"/>
      </w:pPr>
      <w:r>
        <w:t>With the absence of a full country strategy, there was also no whole</w:t>
      </w:r>
      <w:r w:rsidR="005659FE">
        <w:t>-</w:t>
      </w:r>
      <w:r>
        <w:t>of</w:t>
      </w:r>
      <w:r w:rsidR="005659FE">
        <w:t>-</w:t>
      </w:r>
      <w:r>
        <w:t>program quality framework in place to measure</w:t>
      </w:r>
      <w:r w:rsidR="005659FE">
        <w:t xml:space="preserve"> the</w:t>
      </w:r>
      <w:r>
        <w:t xml:space="preserve"> performance of the aid program in 2010</w:t>
      </w:r>
      <w:r w:rsidR="00E15346">
        <w:t xml:space="preserve">. </w:t>
      </w:r>
      <w:r>
        <w:t>Many activities were small in scale and low budget</w:t>
      </w:r>
      <w:r w:rsidR="00E15346">
        <w:t xml:space="preserve">. </w:t>
      </w:r>
      <w:r>
        <w:t>The majority of this work is still in progress; however there is sufficient early evidence to suggest that the value gained</w:t>
      </w:r>
      <w:r w:rsidR="005659FE">
        <w:t>,</w:t>
      </w:r>
      <w:r>
        <w:t xml:space="preserve"> in proportion to the funding</w:t>
      </w:r>
      <w:r w:rsidR="005659FE">
        <w:t>,</w:t>
      </w:r>
      <w:r>
        <w:t xml:space="preserve"> is high</w:t>
      </w:r>
      <w:r w:rsidR="00E15346">
        <w:t xml:space="preserve">. </w:t>
      </w:r>
      <w:r>
        <w:t>The interim activities have also presented numerous opportunities to proactively promote the aid program in the media.</w:t>
      </w:r>
    </w:p>
    <w:p w:rsidR="004867E8" w:rsidRDefault="004867E8" w:rsidP="00BC1C36">
      <w:pPr>
        <w:pStyle w:val="BodyText"/>
        <w:spacing w:after="0"/>
      </w:pPr>
      <w:r>
        <w:t xml:space="preserve">The strongest performing programs were the </w:t>
      </w:r>
      <w:r w:rsidR="00637B1B">
        <w:t>Australian S</w:t>
      </w:r>
      <w:r>
        <w:t>cholarships and Fiji Women’s Crisis Centre initiatives.</w:t>
      </w:r>
      <w:r w:rsidRPr="00D36C5B">
        <w:t xml:space="preserve"> </w:t>
      </w:r>
    </w:p>
    <w:p w:rsidR="00EE4B94" w:rsidRPr="009D0BC8" w:rsidRDefault="00EE4B94" w:rsidP="009D0BC8">
      <w:pPr>
        <w:pStyle w:val="BodyText"/>
        <w:spacing w:before="0" w:after="0"/>
      </w:pPr>
    </w:p>
    <w:p w:rsidR="00210F50" w:rsidRPr="003F04D6" w:rsidRDefault="00E547A3" w:rsidP="003F04D6">
      <w:pPr>
        <w:pStyle w:val="H1"/>
      </w:pPr>
      <w:r>
        <w:br w:type="page"/>
      </w:r>
      <w:bookmarkStart w:id="18" w:name="_Toc360976527"/>
      <w:r w:rsidR="009D3F08" w:rsidRPr="003F04D6">
        <w:lastRenderedPageBreak/>
        <w:t xml:space="preserve">Next </w:t>
      </w:r>
      <w:r w:rsidR="00E15346" w:rsidRPr="003F04D6">
        <w:t>s</w:t>
      </w:r>
      <w:r w:rsidR="009D3F08" w:rsidRPr="003F04D6">
        <w:t>teps</w:t>
      </w:r>
      <w:bookmarkEnd w:id="18"/>
    </w:p>
    <w:p w:rsidR="00B040E9" w:rsidRPr="00B040E9" w:rsidRDefault="008B4937" w:rsidP="00446E37">
      <w:pPr>
        <w:pStyle w:val="SingleParagraph"/>
        <w:spacing w:before="80" w:after="80" w:line="280" w:lineRule="exact"/>
        <w:rPr>
          <w:rFonts w:ascii="Georgia" w:hAnsi="Georgia"/>
          <w:sz w:val="19"/>
          <w:szCs w:val="19"/>
        </w:rPr>
      </w:pPr>
      <w:r w:rsidRPr="00446E37">
        <w:rPr>
          <w:rFonts w:ascii="Georgia" w:hAnsi="Georgia"/>
          <w:sz w:val="19"/>
          <w:szCs w:val="19"/>
        </w:rPr>
        <w:t xml:space="preserve">It is critical that the </w:t>
      </w:r>
      <w:smartTag w:uri="urn:schemas-microsoft-com:office:smarttags" w:element="place">
        <w:smartTag w:uri="urn:schemas-microsoft-com:office:smarttags" w:element="country-region">
          <w:r w:rsidR="00B040E9" w:rsidRPr="00446E37">
            <w:rPr>
              <w:rFonts w:ascii="Georgia" w:hAnsi="Georgia"/>
              <w:sz w:val="19"/>
              <w:szCs w:val="19"/>
            </w:rPr>
            <w:t>Fiji</w:t>
          </w:r>
        </w:smartTag>
      </w:smartTag>
      <w:r w:rsidR="00B040E9" w:rsidRPr="00446E37">
        <w:rPr>
          <w:rFonts w:ascii="Georgia" w:hAnsi="Georgia"/>
          <w:sz w:val="19"/>
          <w:szCs w:val="19"/>
        </w:rPr>
        <w:t xml:space="preserve"> </w:t>
      </w:r>
      <w:r w:rsidRPr="00446E37">
        <w:rPr>
          <w:rFonts w:ascii="Georgia" w:hAnsi="Georgia"/>
          <w:sz w:val="19"/>
          <w:szCs w:val="19"/>
        </w:rPr>
        <w:t>bilateral program is prepared to respond quickly to changes in the political and economic environment</w:t>
      </w:r>
      <w:r w:rsidR="00E15346">
        <w:rPr>
          <w:rFonts w:ascii="Georgia" w:hAnsi="Georgia"/>
          <w:sz w:val="19"/>
          <w:szCs w:val="19"/>
        </w:rPr>
        <w:t xml:space="preserve">. </w:t>
      </w:r>
      <w:r w:rsidR="00446E37" w:rsidRPr="00446E37">
        <w:rPr>
          <w:rFonts w:ascii="Georgia" w:hAnsi="Georgia"/>
          <w:sz w:val="19"/>
          <w:szCs w:val="19"/>
        </w:rPr>
        <w:t xml:space="preserve">Key to </w:t>
      </w:r>
      <w:r w:rsidR="005659FE">
        <w:rPr>
          <w:rFonts w:ascii="Georgia" w:hAnsi="Georgia"/>
          <w:sz w:val="19"/>
          <w:szCs w:val="19"/>
        </w:rPr>
        <w:t>this</w:t>
      </w:r>
      <w:r w:rsidR="005659FE" w:rsidRPr="00446E37">
        <w:rPr>
          <w:rFonts w:ascii="Georgia" w:hAnsi="Georgia"/>
          <w:sz w:val="19"/>
          <w:szCs w:val="19"/>
        </w:rPr>
        <w:t xml:space="preserve"> </w:t>
      </w:r>
      <w:r w:rsidR="00446E37" w:rsidRPr="00446E37">
        <w:rPr>
          <w:rFonts w:ascii="Georgia" w:hAnsi="Georgia"/>
          <w:sz w:val="19"/>
          <w:szCs w:val="19"/>
        </w:rPr>
        <w:t>will be</w:t>
      </w:r>
      <w:r w:rsidR="005659FE">
        <w:rPr>
          <w:rFonts w:ascii="Georgia" w:hAnsi="Georgia"/>
          <w:sz w:val="19"/>
          <w:szCs w:val="19"/>
        </w:rPr>
        <w:t xml:space="preserve"> the need</w:t>
      </w:r>
      <w:r w:rsidR="00446E37" w:rsidRPr="00446E37">
        <w:rPr>
          <w:rFonts w:ascii="Georgia" w:hAnsi="Georgia"/>
          <w:sz w:val="19"/>
          <w:szCs w:val="19"/>
        </w:rPr>
        <w:t xml:space="preserve"> to make the program more coherent by reducing the proliferation of activities, designing flexible programs that can be increased </w:t>
      </w:r>
      <w:r w:rsidR="00637B1B">
        <w:rPr>
          <w:rFonts w:ascii="Georgia" w:hAnsi="Georgia"/>
          <w:sz w:val="19"/>
          <w:szCs w:val="19"/>
        </w:rPr>
        <w:t xml:space="preserve">quickly </w:t>
      </w:r>
      <w:r w:rsidR="00446E37" w:rsidRPr="00446E37">
        <w:rPr>
          <w:rFonts w:ascii="Georgia" w:hAnsi="Georgia"/>
          <w:sz w:val="19"/>
          <w:szCs w:val="19"/>
        </w:rPr>
        <w:t xml:space="preserve">or decreased as required, putting in place a robust monitoring and evaluation system and strengthening cooperation with other donors. </w:t>
      </w:r>
    </w:p>
    <w:p w:rsidR="00446E37" w:rsidRPr="00FA4E71" w:rsidRDefault="00B040E9" w:rsidP="00446E37">
      <w:pPr>
        <w:pStyle w:val="SingleParagraph"/>
        <w:spacing w:before="80" w:after="80" w:line="280" w:lineRule="exact"/>
        <w:rPr>
          <w:rFonts w:ascii="Georgia" w:hAnsi="Georgia"/>
          <w:sz w:val="19"/>
          <w:szCs w:val="19"/>
        </w:rPr>
      </w:pPr>
      <w:r w:rsidRPr="00FA4E71">
        <w:rPr>
          <w:rFonts w:ascii="Georgia" w:hAnsi="Georgia"/>
          <w:sz w:val="19"/>
          <w:szCs w:val="19"/>
        </w:rPr>
        <w:t xml:space="preserve">In 2011 </w:t>
      </w:r>
      <w:r w:rsidR="00446E37">
        <w:rPr>
          <w:rFonts w:ascii="Georgia" w:hAnsi="Georgia"/>
          <w:sz w:val="19"/>
          <w:szCs w:val="19"/>
        </w:rPr>
        <w:t>t</w:t>
      </w:r>
      <w:r w:rsidR="00446E37" w:rsidRPr="00FA4E71">
        <w:rPr>
          <w:rFonts w:ascii="Georgia" w:hAnsi="Georgia"/>
          <w:sz w:val="19"/>
          <w:szCs w:val="19"/>
        </w:rPr>
        <w:t>he program will invest in</w:t>
      </w:r>
      <w:r w:rsidR="005659FE">
        <w:rPr>
          <w:rFonts w:ascii="Georgia" w:hAnsi="Georgia"/>
          <w:sz w:val="19"/>
          <w:szCs w:val="19"/>
        </w:rPr>
        <w:t>,</w:t>
      </w:r>
      <w:r w:rsidR="00446E37" w:rsidRPr="00FA4E71">
        <w:rPr>
          <w:rFonts w:ascii="Georgia" w:hAnsi="Georgia"/>
          <w:sz w:val="19"/>
          <w:szCs w:val="19"/>
        </w:rPr>
        <w:t xml:space="preserve"> and undertake analysis on</w:t>
      </w:r>
      <w:r w:rsidR="005659FE">
        <w:rPr>
          <w:rFonts w:ascii="Georgia" w:hAnsi="Georgia"/>
          <w:sz w:val="19"/>
          <w:szCs w:val="19"/>
        </w:rPr>
        <w:t>,</w:t>
      </w:r>
      <w:r w:rsidR="00446E37" w:rsidRPr="00FA4E71">
        <w:rPr>
          <w:rFonts w:ascii="Georgia" w:hAnsi="Georgia"/>
          <w:sz w:val="19"/>
          <w:szCs w:val="19"/>
        </w:rPr>
        <w:t xml:space="preserve"> poverty trends</w:t>
      </w:r>
      <w:r w:rsidR="00FD03D5">
        <w:rPr>
          <w:rFonts w:ascii="Georgia" w:hAnsi="Georgia"/>
          <w:sz w:val="19"/>
          <w:szCs w:val="19"/>
        </w:rPr>
        <w:t xml:space="preserve"> and </w:t>
      </w:r>
      <w:r w:rsidR="0034399C">
        <w:rPr>
          <w:rFonts w:ascii="Georgia" w:hAnsi="Georgia"/>
          <w:sz w:val="19"/>
          <w:szCs w:val="19"/>
        </w:rPr>
        <w:t>VAW</w:t>
      </w:r>
      <w:r w:rsidR="00E15346">
        <w:rPr>
          <w:rFonts w:ascii="Georgia" w:hAnsi="Georgia"/>
          <w:sz w:val="19"/>
          <w:szCs w:val="19"/>
        </w:rPr>
        <w:t xml:space="preserve">. </w:t>
      </w:r>
      <w:r w:rsidR="00446E37" w:rsidRPr="00FA4E71">
        <w:rPr>
          <w:rFonts w:ascii="Georgia" w:hAnsi="Georgia"/>
          <w:sz w:val="19"/>
          <w:szCs w:val="19"/>
        </w:rPr>
        <w:t>A</w:t>
      </w:r>
      <w:r w:rsidR="005659FE">
        <w:rPr>
          <w:rFonts w:ascii="Georgia" w:hAnsi="Georgia"/>
          <w:sz w:val="19"/>
          <w:szCs w:val="19"/>
        </w:rPr>
        <w:t> </w:t>
      </w:r>
      <w:r w:rsidR="00446E37" w:rsidRPr="00FA4E71">
        <w:rPr>
          <w:rFonts w:ascii="Georgia" w:hAnsi="Georgia"/>
          <w:sz w:val="19"/>
          <w:szCs w:val="19"/>
        </w:rPr>
        <w:t xml:space="preserve">gender stocktake will be undertaken to ensure new programs are positioned effectively to report on their work promoting gender equality, and the impact of the deteriorating social, economic and political climate on vulnerable groups. </w:t>
      </w:r>
    </w:p>
    <w:p w:rsidR="00A52090" w:rsidRDefault="00446E37" w:rsidP="00A52090">
      <w:pPr>
        <w:pStyle w:val="SingleParagraph"/>
        <w:spacing w:before="80" w:after="80" w:line="280" w:lineRule="exact"/>
        <w:rPr>
          <w:rFonts w:ascii="Georgia" w:hAnsi="Georgia"/>
          <w:sz w:val="19"/>
          <w:szCs w:val="19"/>
        </w:rPr>
      </w:pPr>
      <w:r w:rsidRPr="00FA4E71">
        <w:rPr>
          <w:rFonts w:ascii="Georgia" w:hAnsi="Georgia"/>
          <w:sz w:val="19"/>
          <w:szCs w:val="19"/>
        </w:rPr>
        <w:t>Managing public diplomacy in 2011 will be a priority. This requires good planning and careful management of relationships with the local media within the confines of the</w:t>
      </w:r>
      <w:r w:rsidR="00637B1B">
        <w:rPr>
          <w:rFonts w:ascii="Georgia" w:hAnsi="Georgia"/>
          <w:sz w:val="19"/>
          <w:szCs w:val="19"/>
        </w:rPr>
        <w:t xml:space="preserve"> interim government’s</w:t>
      </w:r>
      <w:r w:rsidRPr="00FA4E71">
        <w:rPr>
          <w:rFonts w:ascii="Georgia" w:hAnsi="Georgia"/>
          <w:sz w:val="19"/>
          <w:szCs w:val="19"/>
        </w:rPr>
        <w:t xml:space="preserve"> 2010 Media Decree, </w:t>
      </w:r>
      <w:r w:rsidR="00637B1B">
        <w:rPr>
          <w:rFonts w:ascii="Georgia" w:hAnsi="Georgia"/>
          <w:sz w:val="19"/>
          <w:szCs w:val="19"/>
        </w:rPr>
        <w:t xml:space="preserve">the </w:t>
      </w:r>
      <w:r w:rsidRPr="00FA4E71">
        <w:rPr>
          <w:rFonts w:ascii="Georgia" w:hAnsi="Georgia"/>
          <w:sz w:val="19"/>
          <w:szCs w:val="19"/>
        </w:rPr>
        <w:t>Public Emergency Regulations and the active censorship of local media</w:t>
      </w:r>
      <w:r w:rsidR="00E15346">
        <w:rPr>
          <w:rFonts w:ascii="Georgia" w:hAnsi="Georgia"/>
          <w:sz w:val="19"/>
          <w:szCs w:val="19"/>
        </w:rPr>
        <w:t xml:space="preserve">. </w:t>
      </w:r>
      <w:r w:rsidRPr="00FA4E71">
        <w:rPr>
          <w:rFonts w:ascii="Georgia" w:hAnsi="Georgia"/>
          <w:sz w:val="19"/>
          <w:szCs w:val="19"/>
        </w:rPr>
        <w:t xml:space="preserve">Work within the program is required to increase public diplomacy opportunities, to look for other communication tools and to track media </w:t>
      </w:r>
      <w:r w:rsidR="001938B1">
        <w:rPr>
          <w:rFonts w:ascii="Georgia" w:hAnsi="Georgia"/>
          <w:sz w:val="19"/>
          <w:szCs w:val="19"/>
        </w:rPr>
        <w:t>coverage of the Australian aid program</w:t>
      </w:r>
      <w:r w:rsidR="001938B1" w:rsidRPr="00FA4E71">
        <w:rPr>
          <w:rFonts w:ascii="Georgia" w:hAnsi="Georgia"/>
          <w:sz w:val="19"/>
          <w:szCs w:val="19"/>
        </w:rPr>
        <w:t xml:space="preserve"> </w:t>
      </w:r>
      <w:r w:rsidRPr="00FA4E71">
        <w:rPr>
          <w:rFonts w:ascii="Georgia" w:hAnsi="Georgia"/>
          <w:sz w:val="19"/>
          <w:szCs w:val="19"/>
        </w:rPr>
        <w:t>to demonstrate both the reach and effectiveness of communications outreach activities.</w:t>
      </w:r>
      <w:r w:rsidR="00A52090" w:rsidRPr="00A52090">
        <w:rPr>
          <w:rFonts w:ascii="Georgia" w:hAnsi="Georgia"/>
          <w:sz w:val="19"/>
          <w:szCs w:val="19"/>
        </w:rPr>
        <w:t xml:space="preserve"> </w:t>
      </w:r>
    </w:p>
    <w:p w:rsidR="00A52090" w:rsidRPr="00FA4E71" w:rsidRDefault="00A52090" w:rsidP="00A52090">
      <w:pPr>
        <w:pStyle w:val="SingleParagraph"/>
        <w:spacing w:before="80" w:after="80" w:line="280" w:lineRule="exact"/>
        <w:rPr>
          <w:rFonts w:ascii="Georgia" w:hAnsi="Georgia"/>
          <w:sz w:val="19"/>
          <w:szCs w:val="19"/>
        </w:rPr>
      </w:pPr>
      <w:r>
        <w:rPr>
          <w:rFonts w:ascii="Georgia" w:hAnsi="Georgia"/>
          <w:sz w:val="19"/>
          <w:szCs w:val="19"/>
        </w:rPr>
        <w:t>To implement changes to the program in 2011 and beyond</w:t>
      </w:r>
      <w:r w:rsidR="00C42971">
        <w:rPr>
          <w:rFonts w:ascii="Georgia" w:hAnsi="Georgia"/>
          <w:sz w:val="19"/>
          <w:szCs w:val="19"/>
        </w:rPr>
        <w:t>,</w:t>
      </w:r>
      <w:r>
        <w:rPr>
          <w:rFonts w:ascii="Georgia" w:hAnsi="Georgia"/>
          <w:sz w:val="19"/>
          <w:szCs w:val="19"/>
        </w:rPr>
        <w:t xml:space="preserve"> including the </w:t>
      </w:r>
      <w:r w:rsidR="00C42971">
        <w:rPr>
          <w:rFonts w:ascii="Georgia" w:hAnsi="Georgia"/>
          <w:sz w:val="19"/>
          <w:szCs w:val="19"/>
        </w:rPr>
        <w:t xml:space="preserve">start </w:t>
      </w:r>
      <w:r>
        <w:rPr>
          <w:rFonts w:ascii="Georgia" w:hAnsi="Georgia"/>
          <w:sz w:val="19"/>
          <w:szCs w:val="19"/>
        </w:rPr>
        <w:t>of large scale</w:t>
      </w:r>
      <w:r w:rsidR="00C42971">
        <w:rPr>
          <w:rFonts w:ascii="Georgia" w:hAnsi="Georgia"/>
          <w:sz w:val="19"/>
          <w:szCs w:val="19"/>
        </w:rPr>
        <w:t>,</w:t>
      </w:r>
      <w:r>
        <w:rPr>
          <w:rFonts w:ascii="Georgia" w:hAnsi="Georgia"/>
          <w:sz w:val="19"/>
          <w:szCs w:val="19"/>
        </w:rPr>
        <w:t xml:space="preserve"> long-term initiatives, AusAID will </w:t>
      </w:r>
      <w:r w:rsidRPr="00FA4E71">
        <w:rPr>
          <w:rFonts w:ascii="Georgia" w:hAnsi="Georgia"/>
          <w:sz w:val="19"/>
          <w:szCs w:val="19"/>
        </w:rPr>
        <w:t xml:space="preserve">invest in building </w:t>
      </w:r>
      <w:r>
        <w:rPr>
          <w:rFonts w:ascii="Georgia" w:hAnsi="Georgia"/>
          <w:sz w:val="19"/>
          <w:szCs w:val="19"/>
        </w:rPr>
        <w:t xml:space="preserve">its </w:t>
      </w:r>
      <w:r w:rsidRPr="00FA4E71">
        <w:rPr>
          <w:rFonts w:ascii="Georgia" w:hAnsi="Georgia"/>
          <w:sz w:val="19"/>
          <w:szCs w:val="19"/>
        </w:rPr>
        <w:t xml:space="preserve">systems and </w:t>
      </w:r>
      <w:r>
        <w:rPr>
          <w:rFonts w:ascii="Georgia" w:hAnsi="Georgia"/>
          <w:sz w:val="19"/>
          <w:szCs w:val="19"/>
        </w:rPr>
        <w:t xml:space="preserve">the capacity of its </w:t>
      </w:r>
      <w:r w:rsidRPr="00FA4E71">
        <w:rPr>
          <w:rFonts w:ascii="Georgia" w:hAnsi="Georgia"/>
          <w:sz w:val="19"/>
          <w:szCs w:val="19"/>
        </w:rPr>
        <w:t>staff</w:t>
      </w:r>
      <w:r>
        <w:rPr>
          <w:rFonts w:ascii="Georgia" w:hAnsi="Georgia"/>
          <w:sz w:val="19"/>
          <w:szCs w:val="19"/>
        </w:rPr>
        <w:t>,</w:t>
      </w:r>
      <w:r w:rsidRPr="00FA4E71">
        <w:rPr>
          <w:rFonts w:ascii="Georgia" w:hAnsi="Georgia"/>
          <w:sz w:val="19"/>
          <w:szCs w:val="19"/>
        </w:rPr>
        <w:t xml:space="preserve"> </w:t>
      </w:r>
      <w:r>
        <w:rPr>
          <w:rFonts w:ascii="Georgia" w:hAnsi="Georgia"/>
          <w:sz w:val="19"/>
          <w:szCs w:val="19"/>
        </w:rPr>
        <w:t>and ensure that adequate resources are applied.</w:t>
      </w:r>
      <w:bookmarkStart w:id="19" w:name="_GoBack"/>
      <w:bookmarkEnd w:id="19"/>
    </w:p>
    <w:sectPr w:rsidR="00A52090" w:rsidRPr="00FA4E71" w:rsidSect="00E77D0C">
      <w:headerReference w:type="even" r:id="rId17"/>
      <w:footerReference w:type="even" r:id="rId18"/>
      <w:footerReference w:type="default" r:id="rId19"/>
      <w:footerReference w:type="first" r:id="rId20"/>
      <w:pgSz w:w="11907" w:h="16840" w:code="9"/>
      <w:pgMar w:top="2381" w:right="2155" w:bottom="851" w:left="1814" w:header="851"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DD6" w:rsidRDefault="003A5DD6">
      <w:r>
        <w:separator/>
      </w:r>
    </w:p>
    <w:p w:rsidR="003A5DD6" w:rsidRDefault="003A5DD6"/>
  </w:endnote>
  <w:endnote w:type="continuationSeparator" w:id="0">
    <w:p w:rsidR="003A5DD6" w:rsidRDefault="003A5DD6">
      <w:r>
        <w:continuationSeparator/>
      </w:r>
    </w:p>
    <w:p w:rsidR="003A5DD6" w:rsidRDefault="003A5D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Book">
    <w:altName w:val="Franklin Gothic Medium"/>
    <w:charset w:val="00"/>
    <w:family w:val="swiss"/>
    <w:pitch w:val="variable"/>
    <w:sig w:usb0="00000001"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Demi">
    <w:altName w:val="Franklin Gothic Medium"/>
    <w:charset w:val="00"/>
    <w:family w:val="swiss"/>
    <w:pitch w:val="variable"/>
    <w:sig w:usb0="00000001"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B1B" w:rsidRPr="00AD612A" w:rsidRDefault="00CF17D8">
    <w:pPr>
      <w:pStyle w:val="Footer"/>
    </w:pPr>
    <w:r>
      <w:rPr>
        <w:noProof/>
        <w:color w:val="54534A"/>
        <w:lang w:val="en-US" w:eastAsia="en-US"/>
      </w:rPr>
      <w:drawing>
        <wp:anchor distT="0" distB="0" distL="114300" distR="114300" simplePos="0" relativeHeight="251656704" behindDoc="1" locked="0" layoutInCell="0" allowOverlap="1" wp14:anchorId="618B3181" wp14:editId="33F70691">
          <wp:simplePos x="0" y="0"/>
          <wp:positionH relativeFrom="page">
            <wp:posOffset>0</wp:posOffset>
          </wp:positionH>
          <wp:positionV relativeFrom="page">
            <wp:posOffset>8821420</wp:posOffset>
          </wp:positionV>
          <wp:extent cx="396240" cy="1508125"/>
          <wp:effectExtent l="0" t="0" r="3810" b="0"/>
          <wp:wrapNone/>
          <wp:docPr id="1" name="Picture 1" descr="AusAID_MDG_2_factsheet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AID_MDG_2_factsheet_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 cy="1508125"/>
                  </a:xfrm>
                  <a:prstGeom prst="rect">
                    <a:avLst/>
                  </a:prstGeom>
                  <a:noFill/>
                  <a:ln>
                    <a:noFill/>
                  </a:ln>
                </pic:spPr>
              </pic:pic>
            </a:graphicData>
          </a:graphic>
          <wp14:sizeRelH relativeFrom="page">
            <wp14:pctWidth>0</wp14:pctWidth>
          </wp14:sizeRelH>
          <wp14:sizeRelV relativeFrom="page">
            <wp14:pctHeight>0</wp14:pctHeight>
          </wp14:sizeRelV>
        </wp:anchor>
      </w:drawing>
    </w:r>
    <w:r w:rsidR="00637B1B" w:rsidRPr="007C1ECE">
      <w:tab/>
    </w:r>
    <w:r w:rsidR="00637B1B">
      <w:tab/>
    </w:r>
    <w:r w:rsidR="00637B1B">
      <w:tab/>
    </w:r>
    <w:r w:rsidR="00637B1B">
      <w:rPr>
        <w:rStyle w:val="PageNumber"/>
      </w:rPr>
      <w:fldChar w:fldCharType="begin"/>
    </w:r>
    <w:r w:rsidR="00637B1B">
      <w:rPr>
        <w:rStyle w:val="PageNumber"/>
      </w:rPr>
      <w:instrText xml:space="preserve"> PAGE </w:instrText>
    </w:r>
    <w:r w:rsidR="00637B1B">
      <w:rPr>
        <w:rStyle w:val="PageNumber"/>
      </w:rPr>
      <w:fldChar w:fldCharType="separate"/>
    </w:r>
    <w:r w:rsidR="00637B1B">
      <w:rPr>
        <w:rStyle w:val="PageNumber"/>
        <w:noProof/>
      </w:rPr>
      <w:t>2</w:t>
    </w:r>
    <w:r w:rsidR="00637B1B">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B1B" w:rsidRPr="004A4B6B" w:rsidRDefault="00CF17D8" w:rsidP="001260C2">
    <w:pPr>
      <w:pStyle w:val="Footer"/>
    </w:pPr>
    <w:r>
      <w:rPr>
        <w:noProof/>
        <w:lang w:val="en-US" w:eastAsia="en-US"/>
      </w:rPr>
      <w:drawing>
        <wp:anchor distT="0" distB="0" distL="114300" distR="114300" simplePos="0" relativeHeight="251658752" behindDoc="1" locked="0" layoutInCell="1" allowOverlap="1" wp14:anchorId="26C3C750" wp14:editId="3FC20B59">
          <wp:simplePos x="0" y="0"/>
          <wp:positionH relativeFrom="page">
            <wp:posOffset>0</wp:posOffset>
          </wp:positionH>
          <wp:positionV relativeFrom="page">
            <wp:posOffset>0</wp:posOffset>
          </wp:positionV>
          <wp:extent cx="7560310" cy="10694035"/>
          <wp:effectExtent l="0" t="0" r="2540" b="0"/>
          <wp:wrapNone/>
          <wp:docPr id="3" name="Picture 3" descr="AusAID_facsheet_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sAID_facsheet_D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60310" cy="10694035"/>
                  </a:xfrm>
                  <a:prstGeom prst="rect">
                    <a:avLst/>
                  </a:prstGeom>
                  <a:noFill/>
                  <a:ln>
                    <a:noFill/>
                  </a:ln>
                </pic:spPr>
              </pic:pic>
            </a:graphicData>
          </a:graphic>
          <wp14:sizeRelH relativeFrom="page">
            <wp14:pctWidth>0</wp14:pctWidth>
          </wp14:sizeRelH>
          <wp14:sizeRelV relativeFrom="page">
            <wp14:pctHeight>0</wp14:pctHeight>
          </wp14:sizeRelV>
        </wp:anchor>
      </w:drawing>
    </w:r>
    <w:r w:rsidR="00637B1B">
      <w:tab/>
    </w:r>
    <w:r w:rsidR="00637B1B">
      <w:fldChar w:fldCharType="begin"/>
    </w:r>
    <w:r w:rsidR="00637B1B">
      <w:instrText xml:space="preserve"> STYLEREF  Title </w:instrText>
    </w:r>
    <w:r w:rsidR="00637B1B">
      <w:fldChar w:fldCharType="separate"/>
    </w:r>
    <w:r w:rsidR="00D13995">
      <w:rPr>
        <w:noProof/>
      </w:rPr>
      <w:t>Fiji Development Cooperation Report 2010</w:t>
    </w:r>
    <w:r w:rsidR="00637B1B">
      <w:fldChar w:fldCharType="end"/>
    </w:r>
    <w:r w:rsidR="00637B1B">
      <w:rPr>
        <w:rStyle w:val="PageNumber"/>
      </w:rPr>
      <w:tab/>
    </w:r>
    <w:r w:rsidR="00637B1B">
      <w:rPr>
        <w:rStyle w:val="PageNumber"/>
      </w:rPr>
      <w:tab/>
    </w:r>
    <w:r w:rsidR="00637B1B" w:rsidRPr="004A26C9">
      <w:rPr>
        <w:rStyle w:val="PageNumber"/>
      </w:rPr>
      <w:fldChar w:fldCharType="begin"/>
    </w:r>
    <w:r w:rsidR="00637B1B" w:rsidRPr="004A26C9">
      <w:rPr>
        <w:rStyle w:val="PageNumber"/>
      </w:rPr>
      <w:instrText xml:space="preserve"> PAGE </w:instrText>
    </w:r>
    <w:r w:rsidR="00637B1B" w:rsidRPr="004A26C9">
      <w:rPr>
        <w:rStyle w:val="PageNumber"/>
      </w:rPr>
      <w:fldChar w:fldCharType="separate"/>
    </w:r>
    <w:r w:rsidR="00D13995">
      <w:rPr>
        <w:rStyle w:val="PageNumber"/>
        <w:noProof/>
      </w:rPr>
      <w:t>10</w:t>
    </w:r>
    <w:r w:rsidR="00637B1B" w:rsidRPr="004A26C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B1B" w:rsidRDefault="00637B1B">
    <w:pPr>
      <w:pStyle w:val="Footer"/>
    </w:pPr>
    <w:r>
      <w:tab/>
    </w:r>
    <w:r>
      <w:tab/>
    </w:r>
    <w:r>
      <w:tab/>
    </w:r>
    <w:r>
      <w:rPr>
        <w:rStyle w:val="PageNumber"/>
      </w:rPr>
      <w:fldChar w:fldCharType="begin"/>
    </w:r>
    <w:r>
      <w:rPr>
        <w:rStyle w:val="PageNumber"/>
      </w:rPr>
      <w:instrText xml:space="preserve"> PAGE </w:instrText>
    </w:r>
    <w:r>
      <w:rPr>
        <w:rStyle w:val="PageNumber"/>
      </w:rPr>
      <w:fldChar w:fldCharType="separate"/>
    </w:r>
    <w:r w:rsidR="00D13995">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DD6" w:rsidRDefault="003A5DD6" w:rsidP="00D62AA4">
      <w:pPr>
        <w:spacing w:before="60" w:after="40" w:line="180" w:lineRule="exact"/>
      </w:pPr>
      <w:r>
        <w:continuationSeparator/>
      </w:r>
    </w:p>
  </w:footnote>
  <w:footnote w:type="continuationSeparator" w:id="0">
    <w:p w:rsidR="003A5DD6" w:rsidRDefault="003A5DD6">
      <w:r>
        <w:continuationSeparator/>
      </w:r>
    </w:p>
    <w:p w:rsidR="003A5DD6" w:rsidRDefault="003A5DD6"/>
  </w:footnote>
  <w:footnote w:type="continuationNotice" w:id="1">
    <w:p w:rsidR="003A5DD6" w:rsidRDefault="003A5DD6"/>
    <w:p w:rsidR="003A5DD6" w:rsidRDefault="003A5DD6"/>
  </w:footnote>
  <w:footnote w:id="2">
    <w:p w:rsidR="00637B1B" w:rsidRDefault="00637B1B">
      <w:pPr>
        <w:pStyle w:val="FootnoteText"/>
      </w:pPr>
      <w:r>
        <w:rPr>
          <w:rStyle w:val="FootnoteReference"/>
        </w:rPr>
        <w:footnoteRef/>
      </w:r>
      <w:r>
        <w:t xml:space="preserve"> </w:t>
      </w:r>
      <w:r w:rsidRPr="0034399C">
        <w:t xml:space="preserve">International Monetary Fund </w:t>
      </w:r>
      <w:r>
        <w:t>Article IV, Public Information Notice No 11/35, 14 March 2011.</w:t>
      </w:r>
    </w:p>
  </w:footnote>
  <w:footnote w:id="3">
    <w:p w:rsidR="00637B1B" w:rsidRDefault="00637B1B">
      <w:pPr>
        <w:pStyle w:val="FootnoteText"/>
      </w:pPr>
      <w:r>
        <w:rPr>
          <w:rStyle w:val="FootnoteReference"/>
        </w:rPr>
        <w:footnoteRef/>
      </w:r>
      <w:r>
        <w:t xml:space="preserve"> Report prepared by the Pacific Islands Forum Secretariat, July 2010.</w:t>
      </w:r>
    </w:p>
  </w:footnote>
  <w:footnote w:id="4">
    <w:p w:rsidR="00637B1B" w:rsidRDefault="00637B1B" w:rsidP="00A87B67">
      <w:pPr>
        <w:pStyle w:val="FootnoteText"/>
      </w:pPr>
      <w:r>
        <w:rPr>
          <w:rStyle w:val="FootnoteReference"/>
        </w:rPr>
        <w:footnoteRef/>
      </w:r>
      <w:r>
        <w:t xml:space="preserve"> Fiji Bureau of Statistics: 2008–09 Household Income and Expenditure Survey.</w:t>
      </w:r>
    </w:p>
  </w:footnote>
  <w:footnote w:id="5">
    <w:p w:rsidR="00637B1B" w:rsidRDefault="00637B1B" w:rsidP="00794DA1">
      <w:pPr>
        <w:pStyle w:val="FootnoteText"/>
      </w:pPr>
      <w:r>
        <w:rPr>
          <w:rStyle w:val="FootnoteReference"/>
        </w:rPr>
        <w:footnoteRef/>
      </w:r>
      <w:r>
        <w:t xml:space="preserve">  These interim activities are small in value. For example, in 2010, the agreement with the Crippled Children’s Society (for Hilton Special School and Gospel School for the Deaf) was $146 000 and the agreement with the Fiji Society for the Blind agreement was $79 000. </w:t>
      </w:r>
    </w:p>
  </w:footnote>
  <w:footnote w:id="6">
    <w:p w:rsidR="00637B1B" w:rsidRDefault="00637B1B" w:rsidP="00794DA1">
      <w:pPr>
        <w:pStyle w:val="FootnoteText"/>
      </w:pPr>
      <w:r>
        <w:rPr>
          <w:rStyle w:val="FootnoteReference"/>
        </w:rPr>
        <w:footnoteRef/>
      </w:r>
      <w:r>
        <w:t xml:space="preserve"> </w:t>
      </w:r>
      <w:smartTag w:uri="urn:schemas-microsoft-com:office:smarttags" w:element="country-region">
        <w:r w:rsidRPr="00A63165">
          <w:t>Australia</w:t>
        </w:r>
      </w:smartTag>
      <w:r w:rsidRPr="00A63165">
        <w:t xml:space="preserve"> is funding almost 50 per cent of the investment in the rural agent network by the mobile operators in Fiji</w:t>
      </w:r>
      <w:r>
        <w:t xml:space="preserve">. </w:t>
      </w:r>
      <w:r w:rsidRPr="00A63165">
        <w:t xml:space="preserve">This bilateral program contribution builds on </w:t>
      </w:r>
      <w:r>
        <w:t xml:space="preserve">the </w:t>
      </w:r>
      <w:r w:rsidRPr="00A63165">
        <w:t>earlier regional contribution to the Pacific Financial Inclusion Program for the development of the M</w:t>
      </w:r>
      <w:r>
        <w:t xml:space="preserve">obile </w:t>
      </w:r>
      <w:r w:rsidRPr="00A63165">
        <w:t>-Money service in Fiji launched by Vodafone and Digicel in 2010</w:t>
      </w:r>
      <w:r>
        <w:t xml:space="preserve">. </w:t>
      </w:r>
      <w:r w:rsidRPr="00A63165">
        <w:t>AusAID grant support of $455</w:t>
      </w:r>
      <w:r>
        <w:t> </w:t>
      </w:r>
      <w:r w:rsidRPr="00A63165">
        <w:t>000 ($227</w:t>
      </w:r>
      <w:r>
        <w:t> </w:t>
      </w:r>
      <w:r w:rsidRPr="00A63165">
        <w:t>500 to each company) under the Mobile</w:t>
      </w:r>
      <w:r>
        <w:t xml:space="preserve">- </w:t>
      </w:r>
      <w:r w:rsidRPr="00A63165">
        <w:t>Money for Rural Development Initiative is being used to catalyse investment by the mobile operators of $570</w:t>
      </w:r>
      <w:r>
        <w:t> </w:t>
      </w:r>
      <w:r w:rsidRPr="00A63165">
        <w:t>000 to set</w:t>
      </w:r>
      <w:r>
        <w:t xml:space="preserve"> </w:t>
      </w:r>
      <w:r w:rsidRPr="00A63165">
        <w:t xml:space="preserve">up 150 new M-Money rural agents to service </w:t>
      </w:r>
      <w:r>
        <w:t>more than</w:t>
      </w:r>
      <w:r w:rsidRPr="00A63165">
        <w:t xml:space="preserve"> 100</w:t>
      </w:r>
      <w:r>
        <w:t> </w:t>
      </w:r>
      <w:r w:rsidRPr="00A63165">
        <w:t xml:space="preserve">000 rural subscribers in Fiji </w:t>
      </w:r>
      <w:r>
        <w:t>who do not have</w:t>
      </w:r>
      <w:r w:rsidRPr="00A63165">
        <w:t xml:space="preserve"> access to banking services.</w:t>
      </w:r>
    </w:p>
  </w:footnote>
  <w:footnote w:id="7">
    <w:p w:rsidR="00637B1B" w:rsidRDefault="00637B1B">
      <w:pPr>
        <w:pStyle w:val="FootnoteText"/>
      </w:pPr>
      <w:r>
        <w:rPr>
          <w:rStyle w:val="FootnoteReference"/>
        </w:rPr>
        <w:footnoteRef/>
      </w:r>
      <w:r>
        <w:t xml:space="preserve"> </w:t>
      </w:r>
      <w:r w:rsidRPr="002E3D58">
        <w:t xml:space="preserve">Broadly speaking </w:t>
      </w:r>
      <w:r>
        <w:t xml:space="preserve">civil </w:t>
      </w:r>
      <w:r w:rsidRPr="000935F3">
        <w:t>society organisation govern</w:t>
      </w:r>
      <w:r w:rsidRPr="002E3D58">
        <w:t xml:space="preserve">ance is affected by high staff turnover, weak human resource management and overlapping memberships of </w:t>
      </w:r>
      <w:r>
        <w:t>b</w:t>
      </w:r>
      <w:r w:rsidRPr="002E3D58">
        <w:t xml:space="preserve">oards and </w:t>
      </w:r>
      <w:r>
        <w:t>c</w:t>
      </w:r>
      <w:r w:rsidRPr="002E3D58">
        <w:t>ommittees and</w:t>
      </w:r>
      <w:r>
        <w:t xml:space="preserve"> by</w:t>
      </w:r>
      <w:r w:rsidRPr="002E3D58">
        <w:t xml:space="preserve"> </w:t>
      </w:r>
      <w:r>
        <w:t>b</w:t>
      </w:r>
      <w:r w:rsidRPr="002E3D58">
        <w:t xml:space="preserve">oard </w:t>
      </w:r>
      <w:r>
        <w:t>m</w:t>
      </w:r>
      <w:r w:rsidRPr="002E3D58">
        <w:t>embers often unaware of their governance responsibilities</w:t>
      </w:r>
      <w:r>
        <w:t>. This results</w:t>
      </w:r>
      <w:r w:rsidRPr="002E3D58">
        <w:t xml:space="preserve"> in a default abrogation of responsibility to </w:t>
      </w:r>
      <w:r>
        <w:t>e</w:t>
      </w:r>
      <w:r w:rsidRPr="002E3D58">
        <w:t>xecutive staff.</w:t>
      </w:r>
    </w:p>
  </w:footnote>
  <w:footnote w:id="8">
    <w:p w:rsidR="00637B1B" w:rsidRDefault="00637B1B" w:rsidP="00AD2710">
      <w:pPr>
        <w:pStyle w:val="FootnoteText"/>
      </w:pPr>
      <w:r>
        <w:rPr>
          <w:rStyle w:val="FootnoteReference"/>
        </w:rPr>
        <w:footnoteRef/>
      </w:r>
      <w:r>
        <w:t xml:space="preserve"> A tracer study was undertaken in 2008 on graduates from Australian Development Scholarships and Australian Regional Development Scholarships who completed their studies between 2005 and 2007. Valuable results were obtained, however, due to the small sample size; a further impact study is planned for 2011 for an expanded sample size covering 2000–09.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B1B" w:rsidRDefault="00CF17D8" w:rsidP="00B7603F">
    <w:pPr>
      <w:pStyle w:val="Header"/>
      <w:jc w:val="left"/>
    </w:pPr>
    <w:r>
      <w:rPr>
        <w:noProof/>
        <w:lang w:val="en-US" w:eastAsia="en-US"/>
      </w:rPr>
      <w:drawing>
        <wp:anchor distT="0" distB="0" distL="114300" distR="114300" simplePos="0" relativeHeight="251657728" behindDoc="1" locked="0" layoutInCell="1" allowOverlap="1" wp14:anchorId="5D1C02A7" wp14:editId="169EB4CF">
          <wp:simplePos x="0" y="0"/>
          <wp:positionH relativeFrom="page">
            <wp:posOffset>0</wp:posOffset>
          </wp:positionH>
          <wp:positionV relativeFrom="page">
            <wp:posOffset>0</wp:posOffset>
          </wp:positionV>
          <wp:extent cx="7560310" cy="10694035"/>
          <wp:effectExtent l="0" t="0" r="2540" b="0"/>
          <wp:wrapNone/>
          <wp:docPr id="2" name="Picture 2" descr="AusAID_facsheet_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AID_facsheet_D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60310" cy="106940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73AD"/>
    <w:multiLevelType w:val="hybridMultilevel"/>
    <w:tmpl w:val="2C7282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F602B"/>
    <w:multiLevelType w:val="hybridMultilevel"/>
    <w:tmpl w:val="FD9837B8"/>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nsid w:val="14621CE7"/>
    <w:multiLevelType w:val="hybridMultilevel"/>
    <w:tmpl w:val="0D18B67E"/>
    <w:lvl w:ilvl="0" w:tplc="ACFA6F56">
      <w:start w:val="1"/>
      <w:numFmt w:val="bullet"/>
      <w:pStyle w:val="TableListBullet2"/>
      <w:lvlText w:val="–"/>
      <w:lvlJc w:val="left"/>
      <w:pPr>
        <w:tabs>
          <w:tab w:val="num" w:pos="454"/>
        </w:tabs>
        <w:ind w:left="454" w:hanging="22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77B7DD8"/>
    <w:multiLevelType w:val="hybridMultilevel"/>
    <w:tmpl w:val="3EA6F6DE"/>
    <w:lvl w:ilvl="0">
      <w:start w:val="1"/>
      <w:numFmt w:val="lowerLetter"/>
      <w:pStyle w:val="TableListNumber2"/>
      <w:lvlText w:val="%1."/>
      <w:lvlJc w:val="left"/>
      <w:pPr>
        <w:tabs>
          <w:tab w:val="num" w:pos="454"/>
        </w:tabs>
        <w:ind w:left="454" w:hanging="22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80665BC"/>
    <w:multiLevelType w:val="hybridMultilevel"/>
    <w:tmpl w:val="4DC601BA"/>
    <w:lvl w:ilvl="0" w:tplc="5D98112C">
      <w:start w:val="1"/>
      <w:numFmt w:val="decimal"/>
      <w:pStyle w:val="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80F2D49"/>
    <w:multiLevelType w:val="hybridMultilevel"/>
    <w:tmpl w:val="7CA2BE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9B02A7"/>
    <w:multiLevelType w:val="singleLevel"/>
    <w:tmpl w:val="38C655C0"/>
    <w:lvl w:ilvl="0">
      <w:start w:val="1"/>
      <w:numFmt w:val="bullet"/>
      <w:pStyle w:val="ListBullet2"/>
      <w:lvlText w:val="–"/>
      <w:lvlJc w:val="left"/>
      <w:pPr>
        <w:tabs>
          <w:tab w:val="num" w:pos="567"/>
        </w:tabs>
        <w:ind w:left="567" w:hanging="283"/>
      </w:pPr>
      <w:rPr>
        <w:rFonts w:cs="Times New Roman" w:hint="default"/>
        <w:color w:val="auto"/>
        <w:sz w:val="21"/>
        <w:szCs w:val="21"/>
      </w:rPr>
    </w:lvl>
  </w:abstractNum>
  <w:abstractNum w:abstractNumId="7">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9233F6B"/>
    <w:multiLevelType w:val="hybridMultilevel"/>
    <w:tmpl w:val="53929CB2"/>
    <w:lvl w:ilvl="0">
      <w:start w:val="1"/>
      <w:numFmt w:val="lowerLetter"/>
      <w:pStyle w:val="BoxListNumber2"/>
      <w:lvlText w:val="%1."/>
      <w:lvlJc w:val="left"/>
      <w:pPr>
        <w:tabs>
          <w:tab w:val="num" w:pos="567"/>
        </w:tabs>
        <w:ind w:left="567" w:hanging="28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46CD579B"/>
    <w:multiLevelType w:val="hybridMultilevel"/>
    <w:tmpl w:val="36F2514A"/>
    <w:lvl w:ilvl="0">
      <w:start w:val="1"/>
      <w:numFmt w:val="bullet"/>
      <w:pStyle w:val="BoxListBullet"/>
      <w:lvlText w:val="&gt;"/>
      <w:lvlJc w:val="left"/>
      <w:pPr>
        <w:tabs>
          <w:tab w:val="num" w:pos="284"/>
        </w:tabs>
        <w:ind w:left="284" w:hanging="284"/>
      </w:pPr>
      <w:rPr>
        <w:rFonts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4E7D6A51"/>
    <w:multiLevelType w:val="hybridMultilevel"/>
    <w:tmpl w:val="5AAE5EF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nsid w:val="52B943C2"/>
    <w:multiLevelType w:val="hybridMultilevel"/>
    <w:tmpl w:val="5A18D8E8"/>
    <w:lvl w:ilvl="0" w:tplc="F036122A">
      <w:start w:val="1"/>
      <w:numFmt w:val="bullet"/>
      <w:pStyle w:val="Ratingamber"/>
      <w:lvlText w:val=""/>
      <w:lvlJc w:val="left"/>
      <w:pPr>
        <w:tabs>
          <w:tab w:val="num" w:pos="567"/>
        </w:tabs>
        <w:ind w:left="567" w:hanging="567"/>
      </w:pPr>
      <w:rPr>
        <w:rFonts w:ascii="Webdings" w:hAnsi="Webdings" w:hint="default"/>
        <w:color w:val="FF99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3692D64"/>
    <w:multiLevelType w:val="hybridMultilevel"/>
    <w:tmpl w:val="3544D402"/>
    <w:lvl w:ilvl="0" w:tplc="49BABBDA">
      <w:start w:val="1"/>
      <w:numFmt w:val="bullet"/>
      <w:pStyle w:val="BoxListBullet2"/>
      <w:lvlText w:val="–"/>
      <w:lvlJc w:val="left"/>
      <w:pPr>
        <w:tabs>
          <w:tab w:val="num" w:pos="567"/>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55C1118E"/>
    <w:multiLevelType w:val="hybridMultilevel"/>
    <w:tmpl w:val="48A4378E"/>
    <w:lvl w:ilvl="0" w:tplc="5EC892DC">
      <w:start w:val="1"/>
      <w:numFmt w:val="bullet"/>
      <w:lvlText w:val="-"/>
      <w:lvlJc w:val="left"/>
      <w:pPr>
        <w:tabs>
          <w:tab w:val="num" w:pos="510"/>
        </w:tabs>
        <w:ind w:left="510" w:hanging="510"/>
      </w:pPr>
      <w:rPr>
        <w:rFonts w:ascii="Courier New" w:hAnsi="Courier New"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4">
    <w:nsid w:val="598A5214"/>
    <w:multiLevelType w:val="hybridMultilevel"/>
    <w:tmpl w:val="0B5AC610"/>
    <w:lvl w:ilvl="0">
      <w:start w:val="1"/>
      <w:numFmt w:val="decimal"/>
      <w:pStyle w:val="TableListNumber"/>
      <w:lvlText w:val="%1."/>
      <w:lvlJc w:val="left"/>
      <w:pPr>
        <w:tabs>
          <w:tab w:val="num" w:pos="227"/>
        </w:tabs>
        <w:ind w:left="227" w:hanging="227"/>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63EC277D"/>
    <w:multiLevelType w:val="hybridMultilevel"/>
    <w:tmpl w:val="5622DCD2"/>
    <w:lvl w:ilvl="0" w:tplc="F280E2B4">
      <w:start w:val="1"/>
      <w:numFmt w:val="bullet"/>
      <w:pStyle w:val="QuoteBullet"/>
      <w:lvlText w:val="•"/>
      <w:lvlJc w:val="left"/>
      <w:pPr>
        <w:tabs>
          <w:tab w:val="num" w:pos="567"/>
        </w:tabs>
        <w:ind w:left="567" w:hanging="283"/>
      </w:pPr>
      <w:rPr>
        <w:rFonts w:ascii="Garamond" w:hAnsi="Garamond"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4F264CF"/>
    <w:multiLevelType w:val="multilevel"/>
    <w:tmpl w:val="DD5A44F4"/>
    <w:lvl w:ilvl="0">
      <w:start w:val="1"/>
      <w:numFmt w:val="none"/>
      <w:suff w:val="nothing"/>
      <w:lvlText w:val=""/>
      <w:lvlJc w:val="left"/>
      <w:pPr>
        <w:ind w:left="-32767" w:firstLine="0"/>
      </w:pPr>
      <w:rPr>
        <w:rFonts w:hint="default"/>
        <w:b w:val="0"/>
        <w:i w:val="0"/>
        <w:color w:val="54534A"/>
      </w:rPr>
    </w:lvl>
    <w:lvl w:ilvl="1">
      <w:start w:val="1"/>
      <w:numFmt w:val="none"/>
      <w:pStyle w:val="Heading2"/>
      <w:suff w:val="nothing"/>
      <w:lvlText w:val=""/>
      <w:lvlJc w:val="left"/>
      <w:pPr>
        <w:ind w:left="-32767" w:firstLine="0"/>
      </w:pPr>
      <w:rPr>
        <w:rFonts w:hint="default"/>
      </w:rPr>
    </w:lvl>
    <w:lvl w:ilvl="2">
      <w:start w:val="1"/>
      <w:numFmt w:val="none"/>
      <w:lvlRestart w:val="0"/>
      <w:pStyle w:val="Heading3"/>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pStyle w:val="Heading7"/>
      <w:suff w:val="nothing"/>
      <w:lvlText w:val=""/>
      <w:lvlJc w:val="left"/>
      <w:pPr>
        <w:ind w:left="0" w:firstLine="0"/>
      </w:pPr>
      <w:rPr>
        <w:rFonts w:hint="default"/>
        <w:caps/>
        <w:sz w:val="22"/>
        <w:szCs w:val="22"/>
      </w:rPr>
    </w:lvl>
    <w:lvl w:ilvl="7">
      <w:start w:val="1"/>
      <w:numFmt w:val="none"/>
      <w:lvlRestart w:val="0"/>
      <w:pStyle w:val="Heading8"/>
      <w:suff w:val="nothing"/>
      <w:lvlText w:val=""/>
      <w:lvlJc w:val="left"/>
      <w:pPr>
        <w:ind w:left="0" w:firstLine="0"/>
      </w:pPr>
      <w:rPr>
        <w:rFonts w:hint="default"/>
      </w:rPr>
    </w:lvl>
    <w:lvl w:ilvl="8">
      <w:start w:val="1"/>
      <w:numFmt w:val="none"/>
      <w:lvlRestart w:val="0"/>
      <w:pStyle w:val="Heading9"/>
      <w:suff w:val="nothing"/>
      <w:lvlText w:val=""/>
      <w:lvlJc w:val="left"/>
      <w:pPr>
        <w:ind w:left="0" w:firstLine="0"/>
      </w:pPr>
      <w:rPr>
        <w:rFonts w:hint="default"/>
      </w:rPr>
    </w:lvl>
  </w:abstractNum>
  <w:abstractNum w:abstractNumId="17">
    <w:nsid w:val="66C55035"/>
    <w:multiLevelType w:val="hybridMultilevel"/>
    <w:tmpl w:val="A0C89EE8"/>
    <w:lvl w:ilvl="0" w:tplc="D3782208">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6CA95AF5"/>
    <w:multiLevelType w:val="multilevel"/>
    <w:tmpl w:val="AA96A81E"/>
    <w:lvl w:ilvl="0">
      <w:start w:val="1"/>
      <w:numFmt w:val="lowerLetter"/>
      <w:lvlRestart w:val="0"/>
      <w:pStyle w:val="NoteNumber"/>
      <w:lvlText w:val="%1"/>
      <w:lvlJc w:val="left"/>
      <w:pPr>
        <w:tabs>
          <w:tab w:val="num" w:pos="170"/>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19">
    <w:nsid w:val="6CF363E8"/>
    <w:multiLevelType w:val="hybridMultilevel"/>
    <w:tmpl w:val="663688F2"/>
    <w:lvl w:ilvl="0" w:tplc="02A4C866">
      <w:start w:val="1"/>
      <w:numFmt w:val="bullet"/>
      <w:pStyle w:val="Ratinggreen"/>
      <w:lvlText w:val=""/>
      <w:lvlJc w:val="left"/>
      <w:pPr>
        <w:tabs>
          <w:tab w:val="num" w:pos="567"/>
        </w:tabs>
        <w:ind w:left="567" w:hanging="567"/>
      </w:pPr>
      <w:rPr>
        <w:rFonts w:ascii="Webdings" w:hAnsi="Webdings" w:hint="default"/>
        <w:color w:val="99CC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9E1124E"/>
    <w:multiLevelType w:val="hybridMultilevel"/>
    <w:tmpl w:val="6D42E656"/>
    <w:lvl w:ilvl="0">
      <w:start w:val="1"/>
      <w:numFmt w:val="lowerLetter"/>
      <w:pStyle w:val="ListNumber2"/>
      <w:lvlText w:val="%1."/>
      <w:lvlJc w:val="left"/>
      <w:pPr>
        <w:tabs>
          <w:tab w:val="num" w:pos="567"/>
        </w:tabs>
        <w:ind w:left="567" w:hanging="28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7F7A528B"/>
    <w:multiLevelType w:val="hybridMultilevel"/>
    <w:tmpl w:val="4ADC517C"/>
    <w:lvl w:ilvl="0">
      <w:start w:val="1"/>
      <w:numFmt w:val="bullet"/>
      <w:pStyle w:val="ListBullet"/>
      <w:lvlText w:val="&gt;"/>
      <w:lvlJc w:val="left"/>
      <w:pPr>
        <w:tabs>
          <w:tab w:val="num" w:pos="284"/>
        </w:tabs>
        <w:ind w:left="284" w:hanging="284"/>
      </w:pPr>
      <w:rPr>
        <w:rFonts w:hint="default"/>
        <w:color w:val="auto"/>
        <w:position w:val="3"/>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
  </w:num>
  <w:num w:numId="3">
    <w:abstractNumId w:val="8"/>
  </w:num>
  <w:num w:numId="4">
    <w:abstractNumId w:val="12"/>
  </w:num>
  <w:num w:numId="5">
    <w:abstractNumId w:val="9"/>
  </w:num>
  <w:num w:numId="6">
    <w:abstractNumId w:val="7"/>
  </w:num>
  <w:num w:numId="7">
    <w:abstractNumId w:val="16"/>
  </w:num>
  <w:num w:numId="8">
    <w:abstractNumId w:val="17"/>
  </w:num>
  <w:num w:numId="9">
    <w:abstractNumId w:val="2"/>
  </w:num>
  <w:num w:numId="10">
    <w:abstractNumId w:val="11"/>
  </w:num>
  <w:num w:numId="11">
    <w:abstractNumId w:val="19"/>
  </w:num>
  <w:num w:numId="12">
    <w:abstractNumId w:val="6"/>
  </w:num>
  <w:num w:numId="13">
    <w:abstractNumId w:val="4"/>
  </w:num>
  <w:num w:numId="14">
    <w:abstractNumId w:val="20"/>
  </w:num>
  <w:num w:numId="15">
    <w:abstractNumId w:val="21"/>
  </w:num>
  <w:num w:numId="16">
    <w:abstractNumId w:val="18"/>
  </w:num>
  <w:num w:numId="17">
    <w:abstractNumId w:val="15"/>
  </w:num>
  <w:num w:numId="18">
    <w:abstractNumId w:val="10"/>
  </w:num>
  <w:num w:numId="19">
    <w:abstractNumId w:val="1"/>
  </w:num>
  <w:num w:numId="20">
    <w:abstractNumId w:val="13"/>
  </w:num>
  <w:num w:numId="21">
    <w:abstractNumId w:val="16"/>
  </w:num>
  <w:num w:numId="22">
    <w:abstractNumId w:val="16"/>
  </w:num>
  <w:num w:numId="23">
    <w:abstractNumId w:val="0"/>
  </w:num>
  <w:num w:numId="24">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clickAndTypeStyle w:val="BodyText"/>
  <w:drawingGridHorizontalSpacing w:val="120"/>
  <w:displayHorizontalDrawingGridEvery w:val="2"/>
  <w:displayVerticalDrawingGridEvery w:val="2"/>
  <w:noPunctuationKerning/>
  <w:characterSpacingControl w:val="doNotCompress"/>
  <w:hdrShapeDefaults>
    <o:shapedefaults v:ext="edit" spidmax="2049">
      <o:colormru v:ext="edit" colors="#f90,#ddcf56,#ad495d,#ab9c8f,#b5d3d2,#7e6d5f,#f26631,#54534a"/>
    </o:shapedefaults>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77E"/>
    <w:rsid w:val="00002939"/>
    <w:rsid w:val="00004368"/>
    <w:rsid w:val="00011550"/>
    <w:rsid w:val="0001170C"/>
    <w:rsid w:val="000129D7"/>
    <w:rsid w:val="0001356A"/>
    <w:rsid w:val="00014038"/>
    <w:rsid w:val="0001508D"/>
    <w:rsid w:val="00015DBC"/>
    <w:rsid w:val="00016771"/>
    <w:rsid w:val="00016CBA"/>
    <w:rsid w:val="00017D33"/>
    <w:rsid w:val="00017E33"/>
    <w:rsid w:val="000211DA"/>
    <w:rsid w:val="0002235F"/>
    <w:rsid w:val="00022D41"/>
    <w:rsid w:val="000257E7"/>
    <w:rsid w:val="00030588"/>
    <w:rsid w:val="0003385B"/>
    <w:rsid w:val="00034B41"/>
    <w:rsid w:val="00034E45"/>
    <w:rsid w:val="00035E2A"/>
    <w:rsid w:val="00037354"/>
    <w:rsid w:val="00037673"/>
    <w:rsid w:val="000433AB"/>
    <w:rsid w:val="00044EDD"/>
    <w:rsid w:val="000452A6"/>
    <w:rsid w:val="0004636D"/>
    <w:rsid w:val="00046974"/>
    <w:rsid w:val="00050C29"/>
    <w:rsid w:val="000513B2"/>
    <w:rsid w:val="00053BB3"/>
    <w:rsid w:val="00053D8A"/>
    <w:rsid w:val="00055A2F"/>
    <w:rsid w:val="00060A32"/>
    <w:rsid w:val="00061389"/>
    <w:rsid w:val="00063C90"/>
    <w:rsid w:val="000655EB"/>
    <w:rsid w:val="00065C12"/>
    <w:rsid w:val="00067F6E"/>
    <w:rsid w:val="00070BAE"/>
    <w:rsid w:val="00070F05"/>
    <w:rsid w:val="000722A1"/>
    <w:rsid w:val="00074C9B"/>
    <w:rsid w:val="00075C1B"/>
    <w:rsid w:val="00075E37"/>
    <w:rsid w:val="00075F52"/>
    <w:rsid w:val="000765D3"/>
    <w:rsid w:val="000766F0"/>
    <w:rsid w:val="00076703"/>
    <w:rsid w:val="000805B2"/>
    <w:rsid w:val="00082E97"/>
    <w:rsid w:val="000833A0"/>
    <w:rsid w:val="000835FD"/>
    <w:rsid w:val="00085585"/>
    <w:rsid w:val="00085E50"/>
    <w:rsid w:val="00086164"/>
    <w:rsid w:val="000863C3"/>
    <w:rsid w:val="00090C8C"/>
    <w:rsid w:val="00092F37"/>
    <w:rsid w:val="000935F3"/>
    <w:rsid w:val="00097A76"/>
    <w:rsid w:val="000A0794"/>
    <w:rsid w:val="000A3437"/>
    <w:rsid w:val="000A4433"/>
    <w:rsid w:val="000A5BCC"/>
    <w:rsid w:val="000A7400"/>
    <w:rsid w:val="000A7708"/>
    <w:rsid w:val="000A7AD4"/>
    <w:rsid w:val="000B0232"/>
    <w:rsid w:val="000B0750"/>
    <w:rsid w:val="000B108C"/>
    <w:rsid w:val="000B13AB"/>
    <w:rsid w:val="000B146D"/>
    <w:rsid w:val="000B4054"/>
    <w:rsid w:val="000B4271"/>
    <w:rsid w:val="000B56CF"/>
    <w:rsid w:val="000B5B55"/>
    <w:rsid w:val="000B6330"/>
    <w:rsid w:val="000B7FF7"/>
    <w:rsid w:val="000C0125"/>
    <w:rsid w:val="000C0807"/>
    <w:rsid w:val="000C0D83"/>
    <w:rsid w:val="000C45A2"/>
    <w:rsid w:val="000C6046"/>
    <w:rsid w:val="000D074E"/>
    <w:rsid w:val="000D32D5"/>
    <w:rsid w:val="000D444F"/>
    <w:rsid w:val="000D47A5"/>
    <w:rsid w:val="000E0333"/>
    <w:rsid w:val="000E2E8A"/>
    <w:rsid w:val="000E595E"/>
    <w:rsid w:val="000E5C21"/>
    <w:rsid w:val="000F5F51"/>
    <w:rsid w:val="000F706A"/>
    <w:rsid w:val="000F7DB9"/>
    <w:rsid w:val="000F7EBB"/>
    <w:rsid w:val="0010001A"/>
    <w:rsid w:val="001020A5"/>
    <w:rsid w:val="00104CCC"/>
    <w:rsid w:val="00106259"/>
    <w:rsid w:val="00106B64"/>
    <w:rsid w:val="001104EF"/>
    <w:rsid w:val="00115A8C"/>
    <w:rsid w:val="00115D91"/>
    <w:rsid w:val="001204E2"/>
    <w:rsid w:val="001250BF"/>
    <w:rsid w:val="001260C2"/>
    <w:rsid w:val="00127B7F"/>
    <w:rsid w:val="00130109"/>
    <w:rsid w:val="00132E41"/>
    <w:rsid w:val="00135A4C"/>
    <w:rsid w:val="001360A4"/>
    <w:rsid w:val="00136E47"/>
    <w:rsid w:val="00136FF9"/>
    <w:rsid w:val="00137BA1"/>
    <w:rsid w:val="0014049B"/>
    <w:rsid w:val="00141818"/>
    <w:rsid w:val="0014252B"/>
    <w:rsid w:val="0014282B"/>
    <w:rsid w:val="00142A4D"/>
    <w:rsid w:val="00142E47"/>
    <w:rsid w:val="00143525"/>
    <w:rsid w:val="001436A7"/>
    <w:rsid w:val="00144611"/>
    <w:rsid w:val="00144B1B"/>
    <w:rsid w:val="0014787F"/>
    <w:rsid w:val="00152D98"/>
    <w:rsid w:val="00154A26"/>
    <w:rsid w:val="001564B4"/>
    <w:rsid w:val="00156521"/>
    <w:rsid w:val="00156A18"/>
    <w:rsid w:val="0016217F"/>
    <w:rsid w:val="001644AA"/>
    <w:rsid w:val="00165C4D"/>
    <w:rsid w:val="00166BE1"/>
    <w:rsid w:val="001702D7"/>
    <w:rsid w:val="001707ED"/>
    <w:rsid w:val="00170B04"/>
    <w:rsid w:val="00172093"/>
    <w:rsid w:val="0017313D"/>
    <w:rsid w:val="00174585"/>
    <w:rsid w:val="001756DD"/>
    <w:rsid w:val="00175CFE"/>
    <w:rsid w:val="00176846"/>
    <w:rsid w:val="001772C7"/>
    <w:rsid w:val="00177AE1"/>
    <w:rsid w:val="00180E63"/>
    <w:rsid w:val="00180EC6"/>
    <w:rsid w:val="00182E7D"/>
    <w:rsid w:val="001840DC"/>
    <w:rsid w:val="00184C6E"/>
    <w:rsid w:val="00187D56"/>
    <w:rsid w:val="00190A25"/>
    <w:rsid w:val="00192474"/>
    <w:rsid w:val="00193384"/>
    <w:rsid w:val="001938B1"/>
    <w:rsid w:val="001957F2"/>
    <w:rsid w:val="0019627A"/>
    <w:rsid w:val="00197485"/>
    <w:rsid w:val="001A0653"/>
    <w:rsid w:val="001A157D"/>
    <w:rsid w:val="001A4314"/>
    <w:rsid w:val="001A4CB0"/>
    <w:rsid w:val="001A4F3D"/>
    <w:rsid w:val="001A64D6"/>
    <w:rsid w:val="001A676A"/>
    <w:rsid w:val="001A76CD"/>
    <w:rsid w:val="001A7A00"/>
    <w:rsid w:val="001B028A"/>
    <w:rsid w:val="001B0BC3"/>
    <w:rsid w:val="001B11EB"/>
    <w:rsid w:val="001B1559"/>
    <w:rsid w:val="001B35CF"/>
    <w:rsid w:val="001B3612"/>
    <w:rsid w:val="001B3A25"/>
    <w:rsid w:val="001B40B6"/>
    <w:rsid w:val="001B7441"/>
    <w:rsid w:val="001B7D36"/>
    <w:rsid w:val="001C0D12"/>
    <w:rsid w:val="001C1650"/>
    <w:rsid w:val="001C18A5"/>
    <w:rsid w:val="001C27DD"/>
    <w:rsid w:val="001C54D5"/>
    <w:rsid w:val="001C557B"/>
    <w:rsid w:val="001C68A6"/>
    <w:rsid w:val="001C6E03"/>
    <w:rsid w:val="001C6E25"/>
    <w:rsid w:val="001C7FAB"/>
    <w:rsid w:val="001D0D54"/>
    <w:rsid w:val="001D0D75"/>
    <w:rsid w:val="001D21D0"/>
    <w:rsid w:val="001D24B1"/>
    <w:rsid w:val="001D2D04"/>
    <w:rsid w:val="001D36AE"/>
    <w:rsid w:val="001D5233"/>
    <w:rsid w:val="001D5666"/>
    <w:rsid w:val="001D65A4"/>
    <w:rsid w:val="001E22CB"/>
    <w:rsid w:val="001E521E"/>
    <w:rsid w:val="001E5458"/>
    <w:rsid w:val="001E61C0"/>
    <w:rsid w:val="001E77A7"/>
    <w:rsid w:val="001E7C2A"/>
    <w:rsid w:val="001F0E53"/>
    <w:rsid w:val="001F0E62"/>
    <w:rsid w:val="001F1365"/>
    <w:rsid w:val="001F353B"/>
    <w:rsid w:val="001F39C9"/>
    <w:rsid w:val="001F4CD3"/>
    <w:rsid w:val="001F4E51"/>
    <w:rsid w:val="001F5AA9"/>
    <w:rsid w:val="0020245F"/>
    <w:rsid w:val="002028B6"/>
    <w:rsid w:val="00203160"/>
    <w:rsid w:val="0020410B"/>
    <w:rsid w:val="00205552"/>
    <w:rsid w:val="00205AA6"/>
    <w:rsid w:val="0021017E"/>
    <w:rsid w:val="00210F50"/>
    <w:rsid w:val="00212975"/>
    <w:rsid w:val="00213176"/>
    <w:rsid w:val="00214C9D"/>
    <w:rsid w:val="002178C9"/>
    <w:rsid w:val="002217F4"/>
    <w:rsid w:val="00222F3B"/>
    <w:rsid w:val="0022404F"/>
    <w:rsid w:val="00226029"/>
    <w:rsid w:val="00226880"/>
    <w:rsid w:val="0022688E"/>
    <w:rsid w:val="002274D0"/>
    <w:rsid w:val="00227783"/>
    <w:rsid w:val="00227D6B"/>
    <w:rsid w:val="00230BD1"/>
    <w:rsid w:val="00230F10"/>
    <w:rsid w:val="00231CB6"/>
    <w:rsid w:val="00232097"/>
    <w:rsid w:val="00233570"/>
    <w:rsid w:val="00233D7A"/>
    <w:rsid w:val="00234583"/>
    <w:rsid w:val="00234D37"/>
    <w:rsid w:val="00236C53"/>
    <w:rsid w:val="00237451"/>
    <w:rsid w:val="0024071E"/>
    <w:rsid w:val="00240A07"/>
    <w:rsid w:val="00243468"/>
    <w:rsid w:val="0024348E"/>
    <w:rsid w:val="00244F96"/>
    <w:rsid w:val="002452D0"/>
    <w:rsid w:val="0024542D"/>
    <w:rsid w:val="0024630C"/>
    <w:rsid w:val="00247D70"/>
    <w:rsid w:val="00247F6A"/>
    <w:rsid w:val="002505BE"/>
    <w:rsid w:val="00250D70"/>
    <w:rsid w:val="002515F6"/>
    <w:rsid w:val="0025173D"/>
    <w:rsid w:val="002523FA"/>
    <w:rsid w:val="00253146"/>
    <w:rsid w:val="00253B3E"/>
    <w:rsid w:val="00254E43"/>
    <w:rsid w:val="00254E51"/>
    <w:rsid w:val="00257199"/>
    <w:rsid w:val="002600C7"/>
    <w:rsid w:val="00260CE2"/>
    <w:rsid w:val="0026128E"/>
    <w:rsid w:val="0026347A"/>
    <w:rsid w:val="00263B78"/>
    <w:rsid w:val="00266A89"/>
    <w:rsid w:val="00266B56"/>
    <w:rsid w:val="00266C05"/>
    <w:rsid w:val="002702DD"/>
    <w:rsid w:val="00272699"/>
    <w:rsid w:val="0027351E"/>
    <w:rsid w:val="0027441E"/>
    <w:rsid w:val="0027483C"/>
    <w:rsid w:val="00281D52"/>
    <w:rsid w:val="002820D7"/>
    <w:rsid w:val="00286E03"/>
    <w:rsid w:val="00287F57"/>
    <w:rsid w:val="00291B3A"/>
    <w:rsid w:val="00292656"/>
    <w:rsid w:val="00292C3C"/>
    <w:rsid w:val="00294AA6"/>
    <w:rsid w:val="00294D4C"/>
    <w:rsid w:val="00296270"/>
    <w:rsid w:val="00297DF9"/>
    <w:rsid w:val="002A1D2F"/>
    <w:rsid w:val="002A1DE3"/>
    <w:rsid w:val="002A2305"/>
    <w:rsid w:val="002A460C"/>
    <w:rsid w:val="002A477C"/>
    <w:rsid w:val="002A4BB1"/>
    <w:rsid w:val="002A561C"/>
    <w:rsid w:val="002A6CE4"/>
    <w:rsid w:val="002B02EA"/>
    <w:rsid w:val="002B1624"/>
    <w:rsid w:val="002B1C3F"/>
    <w:rsid w:val="002B1D0E"/>
    <w:rsid w:val="002B2514"/>
    <w:rsid w:val="002B3053"/>
    <w:rsid w:val="002B33AD"/>
    <w:rsid w:val="002B3E15"/>
    <w:rsid w:val="002B4651"/>
    <w:rsid w:val="002B7D4C"/>
    <w:rsid w:val="002C018F"/>
    <w:rsid w:val="002C0F44"/>
    <w:rsid w:val="002C159E"/>
    <w:rsid w:val="002C23D1"/>
    <w:rsid w:val="002C257C"/>
    <w:rsid w:val="002C5AF0"/>
    <w:rsid w:val="002C7822"/>
    <w:rsid w:val="002C79E4"/>
    <w:rsid w:val="002D0510"/>
    <w:rsid w:val="002D468F"/>
    <w:rsid w:val="002D5DED"/>
    <w:rsid w:val="002D657C"/>
    <w:rsid w:val="002D6E19"/>
    <w:rsid w:val="002D7A0A"/>
    <w:rsid w:val="002E000E"/>
    <w:rsid w:val="002E0115"/>
    <w:rsid w:val="002E1AC2"/>
    <w:rsid w:val="002E2CDD"/>
    <w:rsid w:val="002E499B"/>
    <w:rsid w:val="002E626C"/>
    <w:rsid w:val="002E7F6A"/>
    <w:rsid w:val="002F056E"/>
    <w:rsid w:val="002F1AB4"/>
    <w:rsid w:val="002F3393"/>
    <w:rsid w:val="002F36D2"/>
    <w:rsid w:val="002F3C1A"/>
    <w:rsid w:val="002F3E97"/>
    <w:rsid w:val="002F4300"/>
    <w:rsid w:val="002F489A"/>
    <w:rsid w:val="003023FD"/>
    <w:rsid w:val="0030414F"/>
    <w:rsid w:val="00305213"/>
    <w:rsid w:val="00305565"/>
    <w:rsid w:val="00310C02"/>
    <w:rsid w:val="0031131B"/>
    <w:rsid w:val="00312B95"/>
    <w:rsid w:val="00312E50"/>
    <w:rsid w:val="003144F9"/>
    <w:rsid w:val="003147DD"/>
    <w:rsid w:val="00315D84"/>
    <w:rsid w:val="00316AAC"/>
    <w:rsid w:val="00321C81"/>
    <w:rsid w:val="00322444"/>
    <w:rsid w:val="003225AB"/>
    <w:rsid w:val="00323965"/>
    <w:rsid w:val="00330A76"/>
    <w:rsid w:val="00330D74"/>
    <w:rsid w:val="00332945"/>
    <w:rsid w:val="00333127"/>
    <w:rsid w:val="003341A9"/>
    <w:rsid w:val="00334B60"/>
    <w:rsid w:val="003360B5"/>
    <w:rsid w:val="003368B5"/>
    <w:rsid w:val="003369D5"/>
    <w:rsid w:val="00336FAC"/>
    <w:rsid w:val="003379F3"/>
    <w:rsid w:val="00337AAE"/>
    <w:rsid w:val="003405D1"/>
    <w:rsid w:val="00341566"/>
    <w:rsid w:val="00342A5A"/>
    <w:rsid w:val="0034399C"/>
    <w:rsid w:val="00345C2F"/>
    <w:rsid w:val="0034794C"/>
    <w:rsid w:val="00347D10"/>
    <w:rsid w:val="00347E04"/>
    <w:rsid w:val="0035098F"/>
    <w:rsid w:val="0035177E"/>
    <w:rsid w:val="003522B0"/>
    <w:rsid w:val="00352A66"/>
    <w:rsid w:val="00353B7B"/>
    <w:rsid w:val="00354CF6"/>
    <w:rsid w:val="003557A9"/>
    <w:rsid w:val="0035655A"/>
    <w:rsid w:val="00357879"/>
    <w:rsid w:val="00360C27"/>
    <w:rsid w:val="0036152B"/>
    <w:rsid w:val="00361A07"/>
    <w:rsid w:val="00362300"/>
    <w:rsid w:val="00362945"/>
    <w:rsid w:val="00363DA6"/>
    <w:rsid w:val="003643A3"/>
    <w:rsid w:val="00364555"/>
    <w:rsid w:val="0036493C"/>
    <w:rsid w:val="00365BED"/>
    <w:rsid w:val="00365ECE"/>
    <w:rsid w:val="00366135"/>
    <w:rsid w:val="00366EAE"/>
    <w:rsid w:val="0037000D"/>
    <w:rsid w:val="00372980"/>
    <w:rsid w:val="00372C90"/>
    <w:rsid w:val="00373509"/>
    <w:rsid w:val="00373545"/>
    <w:rsid w:val="0037374B"/>
    <w:rsid w:val="00373D61"/>
    <w:rsid w:val="003813B0"/>
    <w:rsid w:val="00381894"/>
    <w:rsid w:val="00382BC2"/>
    <w:rsid w:val="003852FD"/>
    <w:rsid w:val="003864C0"/>
    <w:rsid w:val="00386714"/>
    <w:rsid w:val="00386BBA"/>
    <w:rsid w:val="00386D59"/>
    <w:rsid w:val="003870E2"/>
    <w:rsid w:val="003908F2"/>
    <w:rsid w:val="0039171C"/>
    <w:rsid w:val="00393C49"/>
    <w:rsid w:val="00395037"/>
    <w:rsid w:val="003950F3"/>
    <w:rsid w:val="00396AAB"/>
    <w:rsid w:val="00396E51"/>
    <w:rsid w:val="00396FEE"/>
    <w:rsid w:val="00397842"/>
    <w:rsid w:val="003A12E4"/>
    <w:rsid w:val="003A1A4E"/>
    <w:rsid w:val="003A2AFB"/>
    <w:rsid w:val="003A3E3B"/>
    <w:rsid w:val="003A437D"/>
    <w:rsid w:val="003A5DD6"/>
    <w:rsid w:val="003A5F6E"/>
    <w:rsid w:val="003B01D4"/>
    <w:rsid w:val="003B0602"/>
    <w:rsid w:val="003B3833"/>
    <w:rsid w:val="003B5B3A"/>
    <w:rsid w:val="003B669E"/>
    <w:rsid w:val="003B6AF8"/>
    <w:rsid w:val="003C4418"/>
    <w:rsid w:val="003D277A"/>
    <w:rsid w:val="003D3401"/>
    <w:rsid w:val="003D41D9"/>
    <w:rsid w:val="003D7C66"/>
    <w:rsid w:val="003E15BE"/>
    <w:rsid w:val="003E4703"/>
    <w:rsid w:val="003E4C57"/>
    <w:rsid w:val="003E4E42"/>
    <w:rsid w:val="003E6A24"/>
    <w:rsid w:val="003E74A4"/>
    <w:rsid w:val="003F04D6"/>
    <w:rsid w:val="003F0648"/>
    <w:rsid w:val="003F1405"/>
    <w:rsid w:val="003F159A"/>
    <w:rsid w:val="003F23B0"/>
    <w:rsid w:val="003F25A7"/>
    <w:rsid w:val="003F291D"/>
    <w:rsid w:val="003F2F80"/>
    <w:rsid w:val="003F4406"/>
    <w:rsid w:val="003F4998"/>
    <w:rsid w:val="003F6535"/>
    <w:rsid w:val="003F7DFD"/>
    <w:rsid w:val="004030F5"/>
    <w:rsid w:val="00403EC1"/>
    <w:rsid w:val="00404378"/>
    <w:rsid w:val="00404981"/>
    <w:rsid w:val="00404EA8"/>
    <w:rsid w:val="004069E3"/>
    <w:rsid w:val="00407CFC"/>
    <w:rsid w:val="00410D4E"/>
    <w:rsid w:val="00411191"/>
    <w:rsid w:val="00412989"/>
    <w:rsid w:val="004131F2"/>
    <w:rsid w:val="00414418"/>
    <w:rsid w:val="004146C9"/>
    <w:rsid w:val="00416765"/>
    <w:rsid w:val="004174E5"/>
    <w:rsid w:val="00420072"/>
    <w:rsid w:val="004202ED"/>
    <w:rsid w:val="0042107B"/>
    <w:rsid w:val="0042222F"/>
    <w:rsid w:val="00422524"/>
    <w:rsid w:val="00422662"/>
    <w:rsid w:val="004226D0"/>
    <w:rsid w:val="004229B0"/>
    <w:rsid w:val="00425388"/>
    <w:rsid w:val="00427DB3"/>
    <w:rsid w:val="0043018B"/>
    <w:rsid w:val="004323E1"/>
    <w:rsid w:val="00433FEB"/>
    <w:rsid w:val="0043622D"/>
    <w:rsid w:val="00441D9B"/>
    <w:rsid w:val="00442BE6"/>
    <w:rsid w:val="00442EC9"/>
    <w:rsid w:val="0044452B"/>
    <w:rsid w:val="00445908"/>
    <w:rsid w:val="00446BFE"/>
    <w:rsid w:val="00446E37"/>
    <w:rsid w:val="00447F42"/>
    <w:rsid w:val="0045116A"/>
    <w:rsid w:val="00451E60"/>
    <w:rsid w:val="00452C48"/>
    <w:rsid w:val="00452E9D"/>
    <w:rsid w:val="0045304C"/>
    <w:rsid w:val="004530AC"/>
    <w:rsid w:val="00453EB3"/>
    <w:rsid w:val="00454368"/>
    <w:rsid w:val="004547C0"/>
    <w:rsid w:val="00454AE8"/>
    <w:rsid w:val="004559D3"/>
    <w:rsid w:val="004561F5"/>
    <w:rsid w:val="00456D32"/>
    <w:rsid w:val="0045720E"/>
    <w:rsid w:val="00457853"/>
    <w:rsid w:val="00457902"/>
    <w:rsid w:val="00460B25"/>
    <w:rsid w:val="00461AD2"/>
    <w:rsid w:val="00462194"/>
    <w:rsid w:val="00462797"/>
    <w:rsid w:val="00464228"/>
    <w:rsid w:val="00467537"/>
    <w:rsid w:val="0047058E"/>
    <w:rsid w:val="00471026"/>
    <w:rsid w:val="004732C0"/>
    <w:rsid w:val="00473A93"/>
    <w:rsid w:val="00474394"/>
    <w:rsid w:val="004744D3"/>
    <w:rsid w:val="00475EFF"/>
    <w:rsid w:val="00476144"/>
    <w:rsid w:val="004770CE"/>
    <w:rsid w:val="0047786B"/>
    <w:rsid w:val="004822A1"/>
    <w:rsid w:val="00482EF4"/>
    <w:rsid w:val="0048343C"/>
    <w:rsid w:val="00483A17"/>
    <w:rsid w:val="00483DD5"/>
    <w:rsid w:val="004845F1"/>
    <w:rsid w:val="00484BC2"/>
    <w:rsid w:val="004867E8"/>
    <w:rsid w:val="00486E8C"/>
    <w:rsid w:val="004872E3"/>
    <w:rsid w:val="00487630"/>
    <w:rsid w:val="004900C1"/>
    <w:rsid w:val="00490743"/>
    <w:rsid w:val="00491178"/>
    <w:rsid w:val="004914D1"/>
    <w:rsid w:val="00492FC4"/>
    <w:rsid w:val="00493037"/>
    <w:rsid w:val="00494CD3"/>
    <w:rsid w:val="00494FB3"/>
    <w:rsid w:val="004955A5"/>
    <w:rsid w:val="00495EF4"/>
    <w:rsid w:val="00496D19"/>
    <w:rsid w:val="00496DF9"/>
    <w:rsid w:val="00497240"/>
    <w:rsid w:val="004A154E"/>
    <w:rsid w:val="004A15DE"/>
    <w:rsid w:val="004A1A58"/>
    <w:rsid w:val="004A2EFC"/>
    <w:rsid w:val="004A31C3"/>
    <w:rsid w:val="004A472E"/>
    <w:rsid w:val="004A4B6B"/>
    <w:rsid w:val="004B0361"/>
    <w:rsid w:val="004B3904"/>
    <w:rsid w:val="004B42F1"/>
    <w:rsid w:val="004B6157"/>
    <w:rsid w:val="004B7492"/>
    <w:rsid w:val="004B7C61"/>
    <w:rsid w:val="004C0E63"/>
    <w:rsid w:val="004C3546"/>
    <w:rsid w:val="004C3568"/>
    <w:rsid w:val="004C4638"/>
    <w:rsid w:val="004C60B8"/>
    <w:rsid w:val="004C7DD7"/>
    <w:rsid w:val="004D18D0"/>
    <w:rsid w:val="004D27D6"/>
    <w:rsid w:val="004D2F5D"/>
    <w:rsid w:val="004D5771"/>
    <w:rsid w:val="004D79AD"/>
    <w:rsid w:val="004E493E"/>
    <w:rsid w:val="004E5A6B"/>
    <w:rsid w:val="004E6274"/>
    <w:rsid w:val="004E63CC"/>
    <w:rsid w:val="004F096E"/>
    <w:rsid w:val="004F0BE2"/>
    <w:rsid w:val="004F256B"/>
    <w:rsid w:val="004F32A0"/>
    <w:rsid w:val="004F72C7"/>
    <w:rsid w:val="004F75A1"/>
    <w:rsid w:val="004F79BD"/>
    <w:rsid w:val="00502E98"/>
    <w:rsid w:val="005031B6"/>
    <w:rsid w:val="00506BC4"/>
    <w:rsid w:val="00507A63"/>
    <w:rsid w:val="00507D05"/>
    <w:rsid w:val="00510FCB"/>
    <w:rsid w:val="00513602"/>
    <w:rsid w:val="005157A6"/>
    <w:rsid w:val="0052067C"/>
    <w:rsid w:val="00522F30"/>
    <w:rsid w:val="00531479"/>
    <w:rsid w:val="005335EE"/>
    <w:rsid w:val="005343DE"/>
    <w:rsid w:val="005348EF"/>
    <w:rsid w:val="005351E9"/>
    <w:rsid w:val="005353FE"/>
    <w:rsid w:val="005363D4"/>
    <w:rsid w:val="005374AC"/>
    <w:rsid w:val="005425A7"/>
    <w:rsid w:val="005445D6"/>
    <w:rsid w:val="00545090"/>
    <w:rsid w:val="00546C44"/>
    <w:rsid w:val="005510FE"/>
    <w:rsid w:val="00551209"/>
    <w:rsid w:val="00556B35"/>
    <w:rsid w:val="00561EE2"/>
    <w:rsid w:val="005631AD"/>
    <w:rsid w:val="005639EA"/>
    <w:rsid w:val="00564BCE"/>
    <w:rsid w:val="005659FE"/>
    <w:rsid w:val="005667D5"/>
    <w:rsid w:val="005722A1"/>
    <w:rsid w:val="00572319"/>
    <w:rsid w:val="00572841"/>
    <w:rsid w:val="00573B43"/>
    <w:rsid w:val="00574314"/>
    <w:rsid w:val="00575350"/>
    <w:rsid w:val="00575D08"/>
    <w:rsid w:val="00577298"/>
    <w:rsid w:val="00580DC4"/>
    <w:rsid w:val="0058536F"/>
    <w:rsid w:val="00585433"/>
    <w:rsid w:val="0058729F"/>
    <w:rsid w:val="005879C7"/>
    <w:rsid w:val="0059107D"/>
    <w:rsid w:val="005910A3"/>
    <w:rsid w:val="00591DD6"/>
    <w:rsid w:val="005925E4"/>
    <w:rsid w:val="00592A83"/>
    <w:rsid w:val="00593B07"/>
    <w:rsid w:val="00593E3E"/>
    <w:rsid w:val="005942EA"/>
    <w:rsid w:val="005943A7"/>
    <w:rsid w:val="00596832"/>
    <w:rsid w:val="005A1052"/>
    <w:rsid w:val="005A341D"/>
    <w:rsid w:val="005A3AA3"/>
    <w:rsid w:val="005A3FE0"/>
    <w:rsid w:val="005B2981"/>
    <w:rsid w:val="005B522F"/>
    <w:rsid w:val="005B7710"/>
    <w:rsid w:val="005C10C7"/>
    <w:rsid w:val="005C206D"/>
    <w:rsid w:val="005C2C17"/>
    <w:rsid w:val="005C349D"/>
    <w:rsid w:val="005C4005"/>
    <w:rsid w:val="005C4BD3"/>
    <w:rsid w:val="005C6FD6"/>
    <w:rsid w:val="005C77CF"/>
    <w:rsid w:val="005C7A9F"/>
    <w:rsid w:val="005D0AF9"/>
    <w:rsid w:val="005D1E18"/>
    <w:rsid w:val="005D244B"/>
    <w:rsid w:val="005D2B37"/>
    <w:rsid w:val="005D4715"/>
    <w:rsid w:val="005D6F2C"/>
    <w:rsid w:val="005E0A0B"/>
    <w:rsid w:val="005E1812"/>
    <w:rsid w:val="005E1AF2"/>
    <w:rsid w:val="005E1D7A"/>
    <w:rsid w:val="005E2411"/>
    <w:rsid w:val="005E344F"/>
    <w:rsid w:val="005E3CEF"/>
    <w:rsid w:val="005E51D2"/>
    <w:rsid w:val="005E6A91"/>
    <w:rsid w:val="005E725C"/>
    <w:rsid w:val="005F168A"/>
    <w:rsid w:val="005F177B"/>
    <w:rsid w:val="005F1840"/>
    <w:rsid w:val="005F218A"/>
    <w:rsid w:val="005F2846"/>
    <w:rsid w:val="005F2F06"/>
    <w:rsid w:val="005F356A"/>
    <w:rsid w:val="005F5193"/>
    <w:rsid w:val="005F5C10"/>
    <w:rsid w:val="005F5C2F"/>
    <w:rsid w:val="005F710E"/>
    <w:rsid w:val="005F7879"/>
    <w:rsid w:val="006007F6"/>
    <w:rsid w:val="00600A18"/>
    <w:rsid w:val="00600B0F"/>
    <w:rsid w:val="00600D1E"/>
    <w:rsid w:val="00601D94"/>
    <w:rsid w:val="00602D21"/>
    <w:rsid w:val="00604147"/>
    <w:rsid w:val="00605815"/>
    <w:rsid w:val="00605C82"/>
    <w:rsid w:val="0060617B"/>
    <w:rsid w:val="00607978"/>
    <w:rsid w:val="00607E92"/>
    <w:rsid w:val="00614A27"/>
    <w:rsid w:val="00615247"/>
    <w:rsid w:val="006155FC"/>
    <w:rsid w:val="00615695"/>
    <w:rsid w:val="0061714E"/>
    <w:rsid w:val="006203BD"/>
    <w:rsid w:val="0062059B"/>
    <w:rsid w:val="006207C0"/>
    <w:rsid w:val="006247BA"/>
    <w:rsid w:val="00624C5C"/>
    <w:rsid w:val="00627E76"/>
    <w:rsid w:val="006323A6"/>
    <w:rsid w:val="00632B1F"/>
    <w:rsid w:val="00635A99"/>
    <w:rsid w:val="00636A86"/>
    <w:rsid w:val="00637B1B"/>
    <w:rsid w:val="006409FF"/>
    <w:rsid w:val="00645987"/>
    <w:rsid w:val="0065046E"/>
    <w:rsid w:val="006504EE"/>
    <w:rsid w:val="00650B00"/>
    <w:rsid w:val="0065259E"/>
    <w:rsid w:val="0065282A"/>
    <w:rsid w:val="00652F48"/>
    <w:rsid w:val="006536A9"/>
    <w:rsid w:val="00657C61"/>
    <w:rsid w:val="00657CB6"/>
    <w:rsid w:val="00657E00"/>
    <w:rsid w:val="00660628"/>
    <w:rsid w:val="006613A9"/>
    <w:rsid w:val="006625B4"/>
    <w:rsid w:val="006640FE"/>
    <w:rsid w:val="006650D3"/>
    <w:rsid w:val="00665608"/>
    <w:rsid w:val="00671255"/>
    <w:rsid w:val="00672BEE"/>
    <w:rsid w:val="00674467"/>
    <w:rsid w:val="0067448D"/>
    <w:rsid w:val="00674BE2"/>
    <w:rsid w:val="006762E5"/>
    <w:rsid w:val="006764C8"/>
    <w:rsid w:val="0067772C"/>
    <w:rsid w:val="006777A0"/>
    <w:rsid w:val="006813C8"/>
    <w:rsid w:val="00681A3E"/>
    <w:rsid w:val="00682A07"/>
    <w:rsid w:val="00683B97"/>
    <w:rsid w:val="00683CCF"/>
    <w:rsid w:val="00683DC7"/>
    <w:rsid w:val="00683E06"/>
    <w:rsid w:val="006846ED"/>
    <w:rsid w:val="0068568E"/>
    <w:rsid w:val="00685B51"/>
    <w:rsid w:val="00685E07"/>
    <w:rsid w:val="0069068B"/>
    <w:rsid w:val="006931D5"/>
    <w:rsid w:val="00694103"/>
    <w:rsid w:val="006974FC"/>
    <w:rsid w:val="006A0482"/>
    <w:rsid w:val="006A13BF"/>
    <w:rsid w:val="006A4046"/>
    <w:rsid w:val="006A53F6"/>
    <w:rsid w:val="006A5585"/>
    <w:rsid w:val="006B432F"/>
    <w:rsid w:val="006B7C24"/>
    <w:rsid w:val="006B7CF9"/>
    <w:rsid w:val="006C0139"/>
    <w:rsid w:val="006C111C"/>
    <w:rsid w:val="006C1AEE"/>
    <w:rsid w:val="006C27E2"/>
    <w:rsid w:val="006C3927"/>
    <w:rsid w:val="006C51F7"/>
    <w:rsid w:val="006C5261"/>
    <w:rsid w:val="006C6452"/>
    <w:rsid w:val="006C6761"/>
    <w:rsid w:val="006D0368"/>
    <w:rsid w:val="006D2333"/>
    <w:rsid w:val="006D2DEC"/>
    <w:rsid w:val="006D3DBE"/>
    <w:rsid w:val="006D571E"/>
    <w:rsid w:val="006D6CC7"/>
    <w:rsid w:val="006D70CD"/>
    <w:rsid w:val="006D7C85"/>
    <w:rsid w:val="006E1CA2"/>
    <w:rsid w:val="006E2C81"/>
    <w:rsid w:val="006E343F"/>
    <w:rsid w:val="006E42F5"/>
    <w:rsid w:val="006E4AA9"/>
    <w:rsid w:val="006E53D1"/>
    <w:rsid w:val="006E6DB3"/>
    <w:rsid w:val="006E7CC1"/>
    <w:rsid w:val="006F0B6B"/>
    <w:rsid w:val="006F1E01"/>
    <w:rsid w:val="006F47C8"/>
    <w:rsid w:val="006F4AF5"/>
    <w:rsid w:val="006F51F9"/>
    <w:rsid w:val="006F715C"/>
    <w:rsid w:val="006F7A23"/>
    <w:rsid w:val="0070010D"/>
    <w:rsid w:val="007004DA"/>
    <w:rsid w:val="00701726"/>
    <w:rsid w:val="007031E2"/>
    <w:rsid w:val="00703733"/>
    <w:rsid w:val="007111EA"/>
    <w:rsid w:val="0071180A"/>
    <w:rsid w:val="00711B43"/>
    <w:rsid w:val="007122CC"/>
    <w:rsid w:val="00716799"/>
    <w:rsid w:val="0072229D"/>
    <w:rsid w:val="007339FC"/>
    <w:rsid w:val="00733A81"/>
    <w:rsid w:val="0073548A"/>
    <w:rsid w:val="007375CF"/>
    <w:rsid w:val="00737F14"/>
    <w:rsid w:val="00740BD4"/>
    <w:rsid w:val="00742F5B"/>
    <w:rsid w:val="0074328B"/>
    <w:rsid w:val="0074372C"/>
    <w:rsid w:val="00746C05"/>
    <w:rsid w:val="007500A2"/>
    <w:rsid w:val="00751A18"/>
    <w:rsid w:val="0075426C"/>
    <w:rsid w:val="00754B6C"/>
    <w:rsid w:val="007609DE"/>
    <w:rsid w:val="00760D7B"/>
    <w:rsid w:val="00762176"/>
    <w:rsid w:val="0076664B"/>
    <w:rsid w:val="00766D48"/>
    <w:rsid w:val="00773ADD"/>
    <w:rsid w:val="00774FA0"/>
    <w:rsid w:val="00776961"/>
    <w:rsid w:val="00777A11"/>
    <w:rsid w:val="00780026"/>
    <w:rsid w:val="0078013B"/>
    <w:rsid w:val="00780E9B"/>
    <w:rsid w:val="00784027"/>
    <w:rsid w:val="007848F3"/>
    <w:rsid w:val="00784C7B"/>
    <w:rsid w:val="007857B4"/>
    <w:rsid w:val="007864C1"/>
    <w:rsid w:val="00786718"/>
    <w:rsid w:val="00791CE4"/>
    <w:rsid w:val="00794312"/>
    <w:rsid w:val="00794DA1"/>
    <w:rsid w:val="0079518B"/>
    <w:rsid w:val="00797D46"/>
    <w:rsid w:val="007A01CC"/>
    <w:rsid w:val="007A0524"/>
    <w:rsid w:val="007A2365"/>
    <w:rsid w:val="007A2597"/>
    <w:rsid w:val="007A25C9"/>
    <w:rsid w:val="007A2CC5"/>
    <w:rsid w:val="007A2D4A"/>
    <w:rsid w:val="007A32BB"/>
    <w:rsid w:val="007A4679"/>
    <w:rsid w:val="007A4C9D"/>
    <w:rsid w:val="007A5DFF"/>
    <w:rsid w:val="007B149E"/>
    <w:rsid w:val="007B19B1"/>
    <w:rsid w:val="007B1D16"/>
    <w:rsid w:val="007B2DB4"/>
    <w:rsid w:val="007B3B56"/>
    <w:rsid w:val="007B403A"/>
    <w:rsid w:val="007B4213"/>
    <w:rsid w:val="007B4677"/>
    <w:rsid w:val="007B497F"/>
    <w:rsid w:val="007B4ED1"/>
    <w:rsid w:val="007B794B"/>
    <w:rsid w:val="007C0DEC"/>
    <w:rsid w:val="007C1ECE"/>
    <w:rsid w:val="007C3820"/>
    <w:rsid w:val="007C4C18"/>
    <w:rsid w:val="007C574F"/>
    <w:rsid w:val="007C613A"/>
    <w:rsid w:val="007D1A32"/>
    <w:rsid w:val="007D3FA4"/>
    <w:rsid w:val="007D5153"/>
    <w:rsid w:val="007D620F"/>
    <w:rsid w:val="007E14BD"/>
    <w:rsid w:val="007E1E4B"/>
    <w:rsid w:val="007E31EA"/>
    <w:rsid w:val="007E3B25"/>
    <w:rsid w:val="007E3B7D"/>
    <w:rsid w:val="007E5A22"/>
    <w:rsid w:val="007E75E3"/>
    <w:rsid w:val="007E7710"/>
    <w:rsid w:val="007F2008"/>
    <w:rsid w:val="007F22AC"/>
    <w:rsid w:val="007F29E1"/>
    <w:rsid w:val="007F42E3"/>
    <w:rsid w:val="007F4388"/>
    <w:rsid w:val="007F4788"/>
    <w:rsid w:val="007F618A"/>
    <w:rsid w:val="00801104"/>
    <w:rsid w:val="00801432"/>
    <w:rsid w:val="00802290"/>
    <w:rsid w:val="00803305"/>
    <w:rsid w:val="0080375B"/>
    <w:rsid w:val="00803FCC"/>
    <w:rsid w:val="008041F5"/>
    <w:rsid w:val="00804F53"/>
    <w:rsid w:val="0081042F"/>
    <w:rsid w:val="008120AF"/>
    <w:rsid w:val="008125B6"/>
    <w:rsid w:val="00812625"/>
    <w:rsid w:val="00814DBF"/>
    <w:rsid w:val="00817759"/>
    <w:rsid w:val="00817C8F"/>
    <w:rsid w:val="00820982"/>
    <w:rsid w:val="008213C2"/>
    <w:rsid w:val="0082170D"/>
    <w:rsid w:val="0082187A"/>
    <w:rsid w:val="00822223"/>
    <w:rsid w:val="00822802"/>
    <w:rsid w:val="00823AD4"/>
    <w:rsid w:val="00825521"/>
    <w:rsid w:val="0082625E"/>
    <w:rsid w:val="00831989"/>
    <w:rsid w:val="00831EBD"/>
    <w:rsid w:val="00836BE4"/>
    <w:rsid w:val="008378B4"/>
    <w:rsid w:val="00840A1A"/>
    <w:rsid w:val="00840D02"/>
    <w:rsid w:val="00842196"/>
    <w:rsid w:val="008431E0"/>
    <w:rsid w:val="00843A16"/>
    <w:rsid w:val="00844665"/>
    <w:rsid w:val="00845E4B"/>
    <w:rsid w:val="00846735"/>
    <w:rsid w:val="00846837"/>
    <w:rsid w:val="00846E42"/>
    <w:rsid w:val="00850601"/>
    <w:rsid w:val="00852698"/>
    <w:rsid w:val="008527C1"/>
    <w:rsid w:val="00852948"/>
    <w:rsid w:val="00853065"/>
    <w:rsid w:val="00854598"/>
    <w:rsid w:val="00856BDC"/>
    <w:rsid w:val="00857CBA"/>
    <w:rsid w:val="00861C4F"/>
    <w:rsid w:val="00862D0B"/>
    <w:rsid w:val="00863D30"/>
    <w:rsid w:val="008642DF"/>
    <w:rsid w:val="0086434F"/>
    <w:rsid w:val="00864FC3"/>
    <w:rsid w:val="00865AD8"/>
    <w:rsid w:val="00866CE0"/>
    <w:rsid w:val="008721CC"/>
    <w:rsid w:val="00872226"/>
    <w:rsid w:val="0087239F"/>
    <w:rsid w:val="00872695"/>
    <w:rsid w:val="00872B47"/>
    <w:rsid w:val="00873208"/>
    <w:rsid w:val="00874730"/>
    <w:rsid w:val="008751CE"/>
    <w:rsid w:val="00875F84"/>
    <w:rsid w:val="008773C3"/>
    <w:rsid w:val="00877623"/>
    <w:rsid w:val="008824EE"/>
    <w:rsid w:val="00882B7E"/>
    <w:rsid w:val="00882D96"/>
    <w:rsid w:val="00883EFA"/>
    <w:rsid w:val="00885A80"/>
    <w:rsid w:val="008867F6"/>
    <w:rsid w:val="00887818"/>
    <w:rsid w:val="00892C54"/>
    <w:rsid w:val="00893260"/>
    <w:rsid w:val="008952E6"/>
    <w:rsid w:val="0089533A"/>
    <w:rsid w:val="00896227"/>
    <w:rsid w:val="008A063A"/>
    <w:rsid w:val="008A0CAF"/>
    <w:rsid w:val="008A146D"/>
    <w:rsid w:val="008A37E3"/>
    <w:rsid w:val="008A5294"/>
    <w:rsid w:val="008A6398"/>
    <w:rsid w:val="008A73CB"/>
    <w:rsid w:val="008A79AF"/>
    <w:rsid w:val="008A7FE6"/>
    <w:rsid w:val="008B02D1"/>
    <w:rsid w:val="008B14A2"/>
    <w:rsid w:val="008B1A8D"/>
    <w:rsid w:val="008B1C28"/>
    <w:rsid w:val="008B31F8"/>
    <w:rsid w:val="008B4937"/>
    <w:rsid w:val="008B7A52"/>
    <w:rsid w:val="008B7F12"/>
    <w:rsid w:val="008C00EC"/>
    <w:rsid w:val="008C0773"/>
    <w:rsid w:val="008C0CE5"/>
    <w:rsid w:val="008C1F78"/>
    <w:rsid w:val="008C435C"/>
    <w:rsid w:val="008C5ABC"/>
    <w:rsid w:val="008C5C88"/>
    <w:rsid w:val="008D095A"/>
    <w:rsid w:val="008D1FCD"/>
    <w:rsid w:val="008D5CE0"/>
    <w:rsid w:val="008D75EB"/>
    <w:rsid w:val="008E0A3D"/>
    <w:rsid w:val="008E0A75"/>
    <w:rsid w:val="008E0EAF"/>
    <w:rsid w:val="008E1805"/>
    <w:rsid w:val="008E6453"/>
    <w:rsid w:val="008F5BCA"/>
    <w:rsid w:val="008F6A8E"/>
    <w:rsid w:val="009027ED"/>
    <w:rsid w:val="00903409"/>
    <w:rsid w:val="00903846"/>
    <w:rsid w:val="0090525F"/>
    <w:rsid w:val="00911B9C"/>
    <w:rsid w:val="00915D0C"/>
    <w:rsid w:val="00917927"/>
    <w:rsid w:val="009201BE"/>
    <w:rsid w:val="00920B05"/>
    <w:rsid w:val="00924453"/>
    <w:rsid w:val="009254FA"/>
    <w:rsid w:val="00925BAC"/>
    <w:rsid w:val="00927A4E"/>
    <w:rsid w:val="00932EB4"/>
    <w:rsid w:val="009340B2"/>
    <w:rsid w:val="00934C7F"/>
    <w:rsid w:val="009369AB"/>
    <w:rsid w:val="00936BC3"/>
    <w:rsid w:val="009374CE"/>
    <w:rsid w:val="00940371"/>
    <w:rsid w:val="00940671"/>
    <w:rsid w:val="0094076F"/>
    <w:rsid w:val="00940ECD"/>
    <w:rsid w:val="00941A6A"/>
    <w:rsid w:val="00941C25"/>
    <w:rsid w:val="00942B42"/>
    <w:rsid w:val="0094326B"/>
    <w:rsid w:val="0094365B"/>
    <w:rsid w:val="0094415E"/>
    <w:rsid w:val="0094416B"/>
    <w:rsid w:val="009445F8"/>
    <w:rsid w:val="009464C7"/>
    <w:rsid w:val="00946625"/>
    <w:rsid w:val="00951733"/>
    <w:rsid w:val="009519FC"/>
    <w:rsid w:val="00952317"/>
    <w:rsid w:val="00953A8D"/>
    <w:rsid w:val="0095692A"/>
    <w:rsid w:val="00957D8E"/>
    <w:rsid w:val="0096040D"/>
    <w:rsid w:val="009606C6"/>
    <w:rsid w:val="00960AA9"/>
    <w:rsid w:val="00960D9D"/>
    <w:rsid w:val="00961811"/>
    <w:rsid w:val="009622C7"/>
    <w:rsid w:val="009663D4"/>
    <w:rsid w:val="00970F6A"/>
    <w:rsid w:val="009712C8"/>
    <w:rsid w:val="0097190C"/>
    <w:rsid w:val="009765DD"/>
    <w:rsid w:val="009775E7"/>
    <w:rsid w:val="0098097B"/>
    <w:rsid w:val="00981906"/>
    <w:rsid w:val="00982E10"/>
    <w:rsid w:val="00984009"/>
    <w:rsid w:val="00985129"/>
    <w:rsid w:val="00985BC6"/>
    <w:rsid w:val="00990CCF"/>
    <w:rsid w:val="009918D7"/>
    <w:rsid w:val="009919C7"/>
    <w:rsid w:val="009932CC"/>
    <w:rsid w:val="0099432E"/>
    <w:rsid w:val="0099453D"/>
    <w:rsid w:val="009951C5"/>
    <w:rsid w:val="00996D23"/>
    <w:rsid w:val="00997A92"/>
    <w:rsid w:val="009A0A11"/>
    <w:rsid w:val="009A1504"/>
    <w:rsid w:val="009A1864"/>
    <w:rsid w:val="009A1C69"/>
    <w:rsid w:val="009A28D5"/>
    <w:rsid w:val="009A3393"/>
    <w:rsid w:val="009A43A3"/>
    <w:rsid w:val="009A5FEB"/>
    <w:rsid w:val="009A7A34"/>
    <w:rsid w:val="009B0288"/>
    <w:rsid w:val="009B077D"/>
    <w:rsid w:val="009B0FA0"/>
    <w:rsid w:val="009B5599"/>
    <w:rsid w:val="009B5BD8"/>
    <w:rsid w:val="009C0FD7"/>
    <w:rsid w:val="009C3C8C"/>
    <w:rsid w:val="009C4B4C"/>
    <w:rsid w:val="009C4C54"/>
    <w:rsid w:val="009C4FD2"/>
    <w:rsid w:val="009C7161"/>
    <w:rsid w:val="009C76C1"/>
    <w:rsid w:val="009D05EC"/>
    <w:rsid w:val="009D0BC8"/>
    <w:rsid w:val="009D11D6"/>
    <w:rsid w:val="009D3AF6"/>
    <w:rsid w:val="009D3F08"/>
    <w:rsid w:val="009D4019"/>
    <w:rsid w:val="009D628C"/>
    <w:rsid w:val="009E11BA"/>
    <w:rsid w:val="009E141B"/>
    <w:rsid w:val="009E2D6C"/>
    <w:rsid w:val="009E660D"/>
    <w:rsid w:val="009F3A4B"/>
    <w:rsid w:val="009F50D8"/>
    <w:rsid w:val="009F7E80"/>
    <w:rsid w:val="00A03535"/>
    <w:rsid w:val="00A045A2"/>
    <w:rsid w:val="00A04B6D"/>
    <w:rsid w:val="00A06DD7"/>
    <w:rsid w:val="00A12BCC"/>
    <w:rsid w:val="00A14318"/>
    <w:rsid w:val="00A14F4E"/>
    <w:rsid w:val="00A167FB"/>
    <w:rsid w:val="00A174F5"/>
    <w:rsid w:val="00A20E1D"/>
    <w:rsid w:val="00A241E3"/>
    <w:rsid w:val="00A31A51"/>
    <w:rsid w:val="00A32095"/>
    <w:rsid w:val="00A32C7A"/>
    <w:rsid w:val="00A32E70"/>
    <w:rsid w:val="00A33E33"/>
    <w:rsid w:val="00A34D08"/>
    <w:rsid w:val="00A43557"/>
    <w:rsid w:val="00A44D85"/>
    <w:rsid w:val="00A45025"/>
    <w:rsid w:val="00A45844"/>
    <w:rsid w:val="00A51006"/>
    <w:rsid w:val="00A51077"/>
    <w:rsid w:val="00A51224"/>
    <w:rsid w:val="00A52090"/>
    <w:rsid w:val="00A53A6B"/>
    <w:rsid w:val="00A53C0C"/>
    <w:rsid w:val="00A5433B"/>
    <w:rsid w:val="00A54C60"/>
    <w:rsid w:val="00A54E1A"/>
    <w:rsid w:val="00A55441"/>
    <w:rsid w:val="00A56A48"/>
    <w:rsid w:val="00A56DEC"/>
    <w:rsid w:val="00A60B48"/>
    <w:rsid w:val="00A60DE4"/>
    <w:rsid w:val="00A612FF"/>
    <w:rsid w:val="00A614D0"/>
    <w:rsid w:val="00A62BFB"/>
    <w:rsid w:val="00A6462A"/>
    <w:rsid w:val="00A65FDE"/>
    <w:rsid w:val="00A6602B"/>
    <w:rsid w:val="00A66E8A"/>
    <w:rsid w:val="00A71943"/>
    <w:rsid w:val="00A72A37"/>
    <w:rsid w:val="00A730EF"/>
    <w:rsid w:val="00A7361D"/>
    <w:rsid w:val="00A7456C"/>
    <w:rsid w:val="00A75588"/>
    <w:rsid w:val="00A772B5"/>
    <w:rsid w:val="00A778FF"/>
    <w:rsid w:val="00A77D5D"/>
    <w:rsid w:val="00A80635"/>
    <w:rsid w:val="00A82118"/>
    <w:rsid w:val="00A82EA9"/>
    <w:rsid w:val="00A87B67"/>
    <w:rsid w:val="00A87BD4"/>
    <w:rsid w:val="00A91E7F"/>
    <w:rsid w:val="00A95C14"/>
    <w:rsid w:val="00A95FAA"/>
    <w:rsid w:val="00A9666F"/>
    <w:rsid w:val="00A97BA6"/>
    <w:rsid w:val="00A97C92"/>
    <w:rsid w:val="00AA0401"/>
    <w:rsid w:val="00AA0797"/>
    <w:rsid w:val="00AA2F4F"/>
    <w:rsid w:val="00AA4BFF"/>
    <w:rsid w:val="00AB0069"/>
    <w:rsid w:val="00AB1623"/>
    <w:rsid w:val="00AB18A3"/>
    <w:rsid w:val="00AB24E1"/>
    <w:rsid w:val="00AB2AB3"/>
    <w:rsid w:val="00AB3D71"/>
    <w:rsid w:val="00AB6EAC"/>
    <w:rsid w:val="00AC07A4"/>
    <w:rsid w:val="00AC271E"/>
    <w:rsid w:val="00AC67A5"/>
    <w:rsid w:val="00AD0EF9"/>
    <w:rsid w:val="00AD1F3F"/>
    <w:rsid w:val="00AD2710"/>
    <w:rsid w:val="00AD2944"/>
    <w:rsid w:val="00AD35EF"/>
    <w:rsid w:val="00AD4A4D"/>
    <w:rsid w:val="00AD57B1"/>
    <w:rsid w:val="00AD612A"/>
    <w:rsid w:val="00AD7A2D"/>
    <w:rsid w:val="00AE2F42"/>
    <w:rsid w:val="00AE33A9"/>
    <w:rsid w:val="00AE4335"/>
    <w:rsid w:val="00AE4666"/>
    <w:rsid w:val="00AE5255"/>
    <w:rsid w:val="00AF0C56"/>
    <w:rsid w:val="00AF140A"/>
    <w:rsid w:val="00AF1F7E"/>
    <w:rsid w:val="00AF2CDB"/>
    <w:rsid w:val="00AF4251"/>
    <w:rsid w:val="00AF4AEB"/>
    <w:rsid w:val="00AF539D"/>
    <w:rsid w:val="00AF59B9"/>
    <w:rsid w:val="00AF5A5E"/>
    <w:rsid w:val="00AF7241"/>
    <w:rsid w:val="00AF7DA3"/>
    <w:rsid w:val="00B001E4"/>
    <w:rsid w:val="00B0153A"/>
    <w:rsid w:val="00B0169A"/>
    <w:rsid w:val="00B03CE1"/>
    <w:rsid w:val="00B040E9"/>
    <w:rsid w:val="00B045F0"/>
    <w:rsid w:val="00B04889"/>
    <w:rsid w:val="00B04DC4"/>
    <w:rsid w:val="00B05CA8"/>
    <w:rsid w:val="00B06013"/>
    <w:rsid w:val="00B06CAC"/>
    <w:rsid w:val="00B07049"/>
    <w:rsid w:val="00B1041B"/>
    <w:rsid w:val="00B1380A"/>
    <w:rsid w:val="00B13902"/>
    <w:rsid w:val="00B13FA7"/>
    <w:rsid w:val="00B14244"/>
    <w:rsid w:val="00B1506B"/>
    <w:rsid w:val="00B238AA"/>
    <w:rsid w:val="00B24B2E"/>
    <w:rsid w:val="00B24DB2"/>
    <w:rsid w:val="00B251E2"/>
    <w:rsid w:val="00B25570"/>
    <w:rsid w:val="00B2579E"/>
    <w:rsid w:val="00B25DA5"/>
    <w:rsid w:val="00B260DF"/>
    <w:rsid w:val="00B31196"/>
    <w:rsid w:val="00B31660"/>
    <w:rsid w:val="00B3394C"/>
    <w:rsid w:val="00B33AC0"/>
    <w:rsid w:val="00B34081"/>
    <w:rsid w:val="00B35386"/>
    <w:rsid w:val="00B353F4"/>
    <w:rsid w:val="00B356C3"/>
    <w:rsid w:val="00B35BF4"/>
    <w:rsid w:val="00B362C6"/>
    <w:rsid w:val="00B378A5"/>
    <w:rsid w:val="00B37E3B"/>
    <w:rsid w:val="00B40BE8"/>
    <w:rsid w:val="00B41994"/>
    <w:rsid w:val="00B42655"/>
    <w:rsid w:val="00B44BDA"/>
    <w:rsid w:val="00B4503B"/>
    <w:rsid w:val="00B453F2"/>
    <w:rsid w:val="00B462E6"/>
    <w:rsid w:val="00B46EBD"/>
    <w:rsid w:val="00B51489"/>
    <w:rsid w:val="00B5163B"/>
    <w:rsid w:val="00B51651"/>
    <w:rsid w:val="00B525EE"/>
    <w:rsid w:val="00B55021"/>
    <w:rsid w:val="00B562C4"/>
    <w:rsid w:val="00B571D5"/>
    <w:rsid w:val="00B57273"/>
    <w:rsid w:val="00B6012E"/>
    <w:rsid w:val="00B6112C"/>
    <w:rsid w:val="00B61C6C"/>
    <w:rsid w:val="00B622E7"/>
    <w:rsid w:val="00B62C96"/>
    <w:rsid w:val="00B6380C"/>
    <w:rsid w:val="00B63F64"/>
    <w:rsid w:val="00B641A3"/>
    <w:rsid w:val="00B6545B"/>
    <w:rsid w:val="00B6556C"/>
    <w:rsid w:val="00B6734D"/>
    <w:rsid w:val="00B67AA9"/>
    <w:rsid w:val="00B72B76"/>
    <w:rsid w:val="00B72F4B"/>
    <w:rsid w:val="00B73DAC"/>
    <w:rsid w:val="00B744B2"/>
    <w:rsid w:val="00B7597A"/>
    <w:rsid w:val="00B75E8C"/>
    <w:rsid w:val="00B7603F"/>
    <w:rsid w:val="00B76E5E"/>
    <w:rsid w:val="00B77EF4"/>
    <w:rsid w:val="00B815E2"/>
    <w:rsid w:val="00B846D4"/>
    <w:rsid w:val="00B84A71"/>
    <w:rsid w:val="00B8544D"/>
    <w:rsid w:val="00B871A9"/>
    <w:rsid w:val="00B878CE"/>
    <w:rsid w:val="00B87B22"/>
    <w:rsid w:val="00B87F9C"/>
    <w:rsid w:val="00B906FF"/>
    <w:rsid w:val="00B9211C"/>
    <w:rsid w:val="00B92EEC"/>
    <w:rsid w:val="00B950A5"/>
    <w:rsid w:val="00B95C83"/>
    <w:rsid w:val="00B97541"/>
    <w:rsid w:val="00BA0EF4"/>
    <w:rsid w:val="00BA1CA0"/>
    <w:rsid w:val="00BA455A"/>
    <w:rsid w:val="00BA5528"/>
    <w:rsid w:val="00BA688E"/>
    <w:rsid w:val="00BB0742"/>
    <w:rsid w:val="00BB07E9"/>
    <w:rsid w:val="00BB1B0D"/>
    <w:rsid w:val="00BB1DFD"/>
    <w:rsid w:val="00BB6818"/>
    <w:rsid w:val="00BC013C"/>
    <w:rsid w:val="00BC0541"/>
    <w:rsid w:val="00BC0C96"/>
    <w:rsid w:val="00BC1C36"/>
    <w:rsid w:val="00BC328D"/>
    <w:rsid w:val="00BC36DE"/>
    <w:rsid w:val="00BC395B"/>
    <w:rsid w:val="00BC3F67"/>
    <w:rsid w:val="00BC45BA"/>
    <w:rsid w:val="00BC5F4E"/>
    <w:rsid w:val="00BC5FDE"/>
    <w:rsid w:val="00BC7297"/>
    <w:rsid w:val="00BC72EA"/>
    <w:rsid w:val="00BD0240"/>
    <w:rsid w:val="00BD0822"/>
    <w:rsid w:val="00BD1E79"/>
    <w:rsid w:val="00BD2C19"/>
    <w:rsid w:val="00BD5E01"/>
    <w:rsid w:val="00BD799F"/>
    <w:rsid w:val="00BE0125"/>
    <w:rsid w:val="00BE0A98"/>
    <w:rsid w:val="00BE13D4"/>
    <w:rsid w:val="00BE1867"/>
    <w:rsid w:val="00BE5FB6"/>
    <w:rsid w:val="00BE79DB"/>
    <w:rsid w:val="00BF11D7"/>
    <w:rsid w:val="00BF467C"/>
    <w:rsid w:val="00BF59B0"/>
    <w:rsid w:val="00BF7D62"/>
    <w:rsid w:val="00C0130E"/>
    <w:rsid w:val="00C0272E"/>
    <w:rsid w:val="00C02B41"/>
    <w:rsid w:val="00C04D36"/>
    <w:rsid w:val="00C04DB4"/>
    <w:rsid w:val="00C05EB3"/>
    <w:rsid w:val="00C06FCE"/>
    <w:rsid w:val="00C07C03"/>
    <w:rsid w:val="00C10747"/>
    <w:rsid w:val="00C10EB5"/>
    <w:rsid w:val="00C12025"/>
    <w:rsid w:val="00C133C8"/>
    <w:rsid w:val="00C1447E"/>
    <w:rsid w:val="00C15F7E"/>
    <w:rsid w:val="00C21159"/>
    <w:rsid w:val="00C21650"/>
    <w:rsid w:val="00C265C0"/>
    <w:rsid w:val="00C27482"/>
    <w:rsid w:val="00C27872"/>
    <w:rsid w:val="00C30595"/>
    <w:rsid w:val="00C30AAD"/>
    <w:rsid w:val="00C311B3"/>
    <w:rsid w:val="00C33D9D"/>
    <w:rsid w:val="00C350B8"/>
    <w:rsid w:val="00C35637"/>
    <w:rsid w:val="00C3576B"/>
    <w:rsid w:val="00C36AC4"/>
    <w:rsid w:val="00C418FA"/>
    <w:rsid w:val="00C423C3"/>
    <w:rsid w:val="00C42971"/>
    <w:rsid w:val="00C44424"/>
    <w:rsid w:val="00C44FA7"/>
    <w:rsid w:val="00C472A4"/>
    <w:rsid w:val="00C537EB"/>
    <w:rsid w:val="00C61A21"/>
    <w:rsid w:val="00C62EDF"/>
    <w:rsid w:val="00C630B4"/>
    <w:rsid w:val="00C654F4"/>
    <w:rsid w:val="00C66654"/>
    <w:rsid w:val="00C706EC"/>
    <w:rsid w:val="00C7185F"/>
    <w:rsid w:val="00C71F95"/>
    <w:rsid w:val="00C72C64"/>
    <w:rsid w:val="00C73585"/>
    <w:rsid w:val="00C73C0D"/>
    <w:rsid w:val="00C7436B"/>
    <w:rsid w:val="00C7586A"/>
    <w:rsid w:val="00C75E50"/>
    <w:rsid w:val="00C76480"/>
    <w:rsid w:val="00C77547"/>
    <w:rsid w:val="00C778E6"/>
    <w:rsid w:val="00C81B64"/>
    <w:rsid w:val="00C81E07"/>
    <w:rsid w:val="00C8388D"/>
    <w:rsid w:val="00C839A9"/>
    <w:rsid w:val="00C83FB4"/>
    <w:rsid w:val="00C849C6"/>
    <w:rsid w:val="00C85D6A"/>
    <w:rsid w:val="00C874E9"/>
    <w:rsid w:val="00C9040A"/>
    <w:rsid w:val="00C90AFC"/>
    <w:rsid w:val="00C94693"/>
    <w:rsid w:val="00C94898"/>
    <w:rsid w:val="00CA2D32"/>
    <w:rsid w:val="00CA3FE6"/>
    <w:rsid w:val="00CA6414"/>
    <w:rsid w:val="00CA70A4"/>
    <w:rsid w:val="00CA74DC"/>
    <w:rsid w:val="00CB2AB7"/>
    <w:rsid w:val="00CB3718"/>
    <w:rsid w:val="00CC0083"/>
    <w:rsid w:val="00CC27F3"/>
    <w:rsid w:val="00CC3194"/>
    <w:rsid w:val="00CC3562"/>
    <w:rsid w:val="00CC4D63"/>
    <w:rsid w:val="00CC5E5B"/>
    <w:rsid w:val="00CC61A5"/>
    <w:rsid w:val="00CC772A"/>
    <w:rsid w:val="00CC7E08"/>
    <w:rsid w:val="00CD14DB"/>
    <w:rsid w:val="00CD6D72"/>
    <w:rsid w:val="00CD7B93"/>
    <w:rsid w:val="00CE0348"/>
    <w:rsid w:val="00CE2E0F"/>
    <w:rsid w:val="00CE5FE4"/>
    <w:rsid w:val="00CE6283"/>
    <w:rsid w:val="00CE67AA"/>
    <w:rsid w:val="00CE6F33"/>
    <w:rsid w:val="00CE73B5"/>
    <w:rsid w:val="00CE791D"/>
    <w:rsid w:val="00CE79D7"/>
    <w:rsid w:val="00CE7CE3"/>
    <w:rsid w:val="00CF17D8"/>
    <w:rsid w:val="00CF2071"/>
    <w:rsid w:val="00CF244E"/>
    <w:rsid w:val="00CF278D"/>
    <w:rsid w:val="00CF2FE9"/>
    <w:rsid w:val="00CF37C7"/>
    <w:rsid w:val="00CF3CF8"/>
    <w:rsid w:val="00CF474D"/>
    <w:rsid w:val="00CF5A64"/>
    <w:rsid w:val="00CF6622"/>
    <w:rsid w:val="00CF749A"/>
    <w:rsid w:val="00D0089A"/>
    <w:rsid w:val="00D014C7"/>
    <w:rsid w:val="00D01548"/>
    <w:rsid w:val="00D03639"/>
    <w:rsid w:val="00D04D5F"/>
    <w:rsid w:val="00D04DD6"/>
    <w:rsid w:val="00D04DFA"/>
    <w:rsid w:val="00D0597F"/>
    <w:rsid w:val="00D05F35"/>
    <w:rsid w:val="00D06393"/>
    <w:rsid w:val="00D06E5E"/>
    <w:rsid w:val="00D06F79"/>
    <w:rsid w:val="00D10597"/>
    <w:rsid w:val="00D120A3"/>
    <w:rsid w:val="00D13288"/>
    <w:rsid w:val="00D13995"/>
    <w:rsid w:val="00D13AF8"/>
    <w:rsid w:val="00D1584B"/>
    <w:rsid w:val="00D20601"/>
    <w:rsid w:val="00D219E9"/>
    <w:rsid w:val="00D2205B"/>
    <w:rsid w:val="00D23418"/>
    <w:rsid w:val="00D23A1A"/>
    <w:rsid w:val="00D24606"/>
    <w:rsid w:val="00D2620A"/>
    <w:rsid w:val="00D3056A"/>
    <w:rsid w:val="00D3064D"/>
    <w:rsid w:val="00D30AED"/>
    <w:rsid w:val="00D30F84"/>
    <w:rsid w:val="00D31091"/>
    <w:rsid w:val="00D33CFE"/>
    <w:rsid w:val="00D33DDE"/>
    <w:rsid w:val="00D34DA4"/>
    <w:rsid w:val="00D35C1D"/>
    <w:rsid w:val="00D3752F"/>
    <w:rsid w:val="00D40DDE"/>
    <w:rsid w:val="00D42D78"/>
    <w:rsid w:val="00D43970"/>
    <w:rsid w:val="00D43CA5"/>
    <w:rsid w:val="00D44CA5"/>
    <w:rsid w:val="00D46E12"/>
    <w:rsid w:val="00D50734"/>
    <w:rsid w:val="00D507C0"/>
    <w:rsid w:val="00D513CC"/>
    <w:rsid w:val="00D5172A"/>
    <w:rsid w:val="00D56435"/>
    <w:rsid w:val="00D62755"/>
    <w:rsid w:val="00D62AA4"/>
    <w:rsid w:val="00D6318F"/>
    <w:rsid w:val="00D650BB"/>
    <w:rsid w:val="00D6540A"/>
    <w:rsid w:val="00D674AF"/>
    <w:rsid w:val="00D70107"/>
    <w:rsid w:val="00D70438"/>
    <w:rsid w:val="00D717AD"/>
    <w:rsid w:val="00D720AD"/>
    <w:rsid w:val="00D72D1D"/>
    <w:rsid w:val="00D74A18"/>
    <w:rsid w:val="00D74D3E"/>
    <w:rsid w:val="00D757C6"/>
    <w:rsid w:val="00D75C41"/>
    <w:rsid w:val="00D80529"/>
    <w:rsid w:val="00D80F78"/>
    <w:rsid w:val="00D81AC3"/>
    <w:rsid w:val="00D81C59"/>
    <w:rsid w:val="00D82A5B"/>
    <w:rsid w:val="00D84637"/>
    <w:rsid w:val="00D8473B"/>
    <w:rsid w:val="00D85780"/>
    <w:rsid w:val="00D925AA"/>
    <w:rsid w:val="00D9283D"/>
    <w:rsid w:val="00D930DD"/>
    <w:rsid w:val="00D9341C"/>
    <w:rsid w:val="00D938B4"/>
    <w:rsid w:val="00D94B7D"/>
    <w:rsid w:val="00DA0B1A"/>
    <w:rsid w:val="00DA1560"/>
    <w:rsid w:val="00DA3176"/>
    <w:rsid w:val="00DA4C44"/>
    <w:rsid w:val="00DA4C48"/>
    <w:rsid w:val="00DA4E21"/>
    <w:rsid w:val="00DA5B15"/>
    <w:rsid w:val="00DA71EF"/>
    <w:rsid w:val="00DA7A18"/>
    <w:rsid w:val="00DB1347"/>
    <w:rsid w:val="00DB28CE"/>
    <w:rsid w:val="00DB29BC"/>
    <w:rsid w:val="00DB2A2A"/>
    <w:rsid w:val="00DB479F"/>
    <w:rsid w:val="00DB55B6"/>
    <w:rsid w:val="00DB5EA7"/>
    <w:rsid w:val="00DB5F21"/>
    <w:rsid w:val="00DB6D7C"/>
    <w:rsid w:val="00DB7183"/>
    <w:rsid w:val="00DC090A"/>
    <w:rsid w:val="00DC0E7E"/>
    <w:rsid w:val="00DC2D72"/>
    <w:rsid w:val="00DC30EA"/>
    <w:rsid w:val="00DC46BE"/>
    <w:rsid w:val="00DC4FE9"/>
    <w:rsid w:val="00DC5918"/>
    <w:rsid w:val="00DC6C8D"/>
    <w:rsid w:val="00DC73A5"/>
    <w:rsid w:val="00DD0236"/>
    <w:rsid w:val="00DD4100"/>
    <w:rsid w:val="00DD76A4"/>
    <w:rsid w:val="00DD7C65"/>
    <w:rsid w:val="00DE03E4"/>
    <w:rsid w:val="00DE1134"/>
    <w:rsid w:val="00DE1AEB"/>
    <w:rsid w:val="00DE2247"/>
    <w:rsid w:val="00DE2A34"/>
    <w:rsid w:val="00DE37AE"/>
    <w:rsid w:val="00DE4732"/>
    <w:rsid w:val="00DE6668"/>
    <w:rsid w:val="00DE6987"/>
    <w:rsid w:val="00DE7339"/>
    <w:rsid w:val="00DF1246"/>
    <w:rsid w:val="00DF30C0"/>
    <w:rsid w:val="00DF4FEE"/>
    <w:rsid w:val="00DF5873"/>
    <w:rsid w:val="00E0080A"/>
    <w:rsid w:val="00E00F31"/>
    <w:rsid w:val="00E02242"/>
    <w:rsid w:val="00E02AF8"/>
    <w:rsid w:val="00E0300E"/>
    <w:rsid w:val="00E04AE0"/>
    <w:rsid w:val="00E06C68"/>
    <w:rsid w:val="00E070D0"/>
    <w:rsid w:val="00E11517"/>
    <w:rsid w:val="00E12834"/>
    <w:rsid w:val="00E13727"/>
    <w:rsid w:val="00E15346"/>
    <w:rsid w:val="00E15630"/>
    <w:rsid w:val="00E17AB3"/>
    <w:rsid w:val="00E20254"/>
    <w:rsid w:val="00E209F0"/>
    <w:rsid w:val="00E219EB"/>
    <w:rsid w:val="00E22C13"/>
    <w:rsid w:val="00E23129"/>
    <w:rsid w:val="00E25045"/>
    <w:rsid w:val="00E2677C"/>
    <w:rsid w:val="00E26D83"/>
    <w:rsid w:val="00E271CD"/>
    <w:rsid w:val="00E27A1E"/>
    <w:rsid w:val="00E306E9"/>
    <w:rsid w:val="00E307DC"/>
    <w:rsid w:val="00E323CF"/>
    <w:rsid w:val="00E334B9"/>
    <w:rsid w:val="00E33905"/>
    <w:rsid w:val="00E342D1"/>
    <w:rsid w:val="00E34B96"/>
    <w:rsid w:val="00E35F7D"/>
    <w:rsid w:val="00E37502"/>
    <w:rsid w:val="00E40127"/>
    <w:rsid w:val="00E43074"/>
    <w:rsid w:val="00E431C8"/>
    <w:rsid w:val="00E44926"/>
    <w:rsid w:val="00E44E09"/>
    <w:rsid w:val="00E45D53"/>
    <w:rsid w:val="00E46DBD"/>
    <w:rsid w:val="00E51708"/>
    <w:rsid w:val="00E51729"/>
    <w:rsid w:val="00E51D0A"/>
    <w:rsid w:val="00E53139"/>
    <w:rsid w:val="00E53A8F"/>
    <w:rsid w:val="00E5435E"/>
    <w:rsid w:val="00E547A3"/>
    <w:rsid w:val="00E55A81"/>
    <w:rsid w:val="00E56450"/>
    <w:rsid w:val="00E56DA8"/>
    <w:rsid w:val="00E60ACC"/>
    <w:rsid w:val="00E60C4B"/>
    <w:rsid w:val="00E60E21"/>
    <w:rsid w:val="00E6570E"/>
    <w:rsid w:val="00E66638"/>
    <w:rsid w:val="00E6706E"/>
    <w:rsid w:val="00E7211D"/>
    <w:rsid w:val="00E754C2"/>
    <w:rsid w:val="00E757CA"/>
    <w:rsid w:val="00E75D48"/>
    <w:rsid w:val="00E76750"/>
    <w:rsid w:val="00E773CD"/>
    <w:rsid w:val="00E774C9"/>
    <w:rsid w:val="00E77D0C"/>
    <w:rsid w:val="00E80964"/>
    <w:rsid w:val="00E83D43"/>
    <w:rsid w:val="00E84159"/>
    <w:rsid w:val="00E841A6"/>
    <w:rsid w:val="00E84BCB"/>
    <w:rsid w:val="00E85905"/>
    <w:rsid w:val="00E85D20"/>
    <w:rsid w:val="00E87C0D"/>
    <w:rsid w:val="00E90DC4"/>
    <w:rsid w:val="00E9163F"/>
    <w:rsid w:val="00E91CB7"/>
    <w:rsid w:val="00E955B0"/>
    <w:rsid w:val="00E956E8"/>
    <w:rsid w:val="00EA022D"/>
    <w:rsid w:val="00EA0D10"/>
    <w:rsid w:val="00EA0F2C"/>
    <w:rsid w:val="00EA19CB"/>
    <w:rsid w:val="00EA2C8F"/>
    <w:rsid w:val="00EA5045"/>
    <w:rsid w:val="00EA5D64"/>
    <w:rsid w:val="00EA613A"/>
    <w:rsid w:val="00EA6A8C"/>
    <w:rsid w:val="00EB2AD1"/>
    <w:rsid w:val="00EB2F9F"/>
    <w:rsid w:val="00EB3067"/>
    <w:rsid w:val="00EB353E"/>
    <w:rsid w:val="00EB3AA1"/>
    <w:rsid w:val="00EB56E0"/>
    <w:rsid w:val="00EB5DDF"/>
    <w:rsid w:val="00EB6E66"/>
    <w:rsid w:val="00EC0129"/>
    <w:rsid w:val="00EC3CEC"/>
    <w:rsid w:val="00EC4625"/>
    <w:rsid w:val="00ED139E"/>
    <w:rsid w:val="00ED1759"/>
    <w:rsid w:val="00ED27A5"/>
    <w:rsid w:val="00ED3ECB"/>
    <w:rsid w:val="00ED445D"/>
    <w:rsid w:val="00ED461C"/>
    <w:rsid w:val="00ED5E2B"/>
    <w:rsid w:val="00EE01C2"/>
    <w:rsid w:val="00EE2FEA"/>
    <w:rsid w:val="00EE37A2"/>
    <w:rsid w:val="00EE3B12"/>
    <w:rsid w:val="00EE4B94"/>
    <w:rsid w:val="00EE5AF3"/>
    <w:rsid w:val="00EE5E91"/>
    <w:rsid w:val="00EE5F8C"/>
    <w:rsid w:val="00EE73BC"/>
    <w:rsid w:val="00EE7AC8"/>
    <w:rsid w:val="00EF00AA"/>
    <w:rsid w:val="00EF3996"/>
    <w:rsid w:val="00F0026A"/>
    <w:rsid w:val="00F021E7"/>
    <w:rsid w:val="00F026C1"/>
    <w:rsid w:val="00F039D1"/>
    <w:rsid w:val="00F05BEC"/>
    <w:rsid w:val="00F05D0F"/>
    <w:rsid w:val="00F05DB4"/>
    <w:rsid w:val="00F13358"/>
    <w:rsid w:val="00F1456D"/>
    <w:rsid w:val="00F14DA0"/>
    <w:rsid w:val="00F15387"/>
    <w:rsid w:val="00F15D8B"/>
    <w:rsid w:val="00F15F46"/>
    <w:rsid w:val="00F17D58"/>
    <w:rsid w:val="00F228F5"/>
    <w:rsid w:val="00F23FD4"/>
    <w:rsid w:val="00F24143"/>
    <w:rsid w:val="00F241BE"/>
    <w:rsid w:val="00F24962"/>
    <w:rsid w:val="00F25038"/>
    <w:rsid w:val="00F263D9"/>
    <w:rsid w:val="00F2735C"/>
    <w:rsid w:val="00F3124A"/>
    <w:rsid w:val="00F31D41"/>
    <w:rsid w:val="00F34539"/>
    <w:rsid w:val="00F35005"/>
    <w:rsid w:val="00F359FB"/>
    <w:rsid w:val="00F364CB"/>
    <w:rsid w:val="00F36E13"/>
    <w:rsid w:val="00F37601"/>
    <w:rsid w:val="00F4058E"/>
    <w:rsid w:val="00F4220F"/>
    <w:rsid w:val="00F423B8"/>
    <w:rsid w:val="00F43F58"/>
    <w:rsid w:val="00F45507"/>
    <w:rsid w:val="00F46014"/>
    <w:rsid w:val="00F47670"/>
    <w:rsid w:val="00F51371"/>
    <w:rsid w:val="00F51AF6"/>
    <w:rsid w:val="00F551E9"/>
    <w:rsid w:val="00F55A95"/>
    <w:rsid w:val="00F56113"/>
    <w:rsid w:val="00F5640F"/>
    <w:rsid w:val="00F56735"/>
    <w:rsid w:val="00F56B3A"/>
    <w:rsid w:val="00F60C2C"/>
    <w:rsid w:val="00F60F94"/>
    <w:rsid w:val="00F61408"/>
    <w:rsid w:val="00F615F9"/>
    <w:rsid w:val="00F62055"/>
    <w:rsid w:val="00F620BE"/>
    <w:rsid w:val="00F64DC5"/>
    <w:rsid w:val="00F73938"/>
    <w:rsid w:val="00F73E87"/>
    <w:rsid w:val="00F74224"/>
    <w:rsid w:val="00F747A9"/>
    <w:rsid w:val="00F76696"/>
    <w:rsid w:val="00F769BF"/>
    <w:rsid w:val="00F77295"/>
    <w:rsid w:val="00F77A84"/>
    <w:rsid w:val="00F80438"/>
    <w:rsid w:val="00F83722"/>
    <w:rsid w:val="00F87905"/>
    <w:rsid w:val="00F91A0D"/>
    <w:rsid w:val="00F9229E"/>
    <w:rsid w:val="00F92724"/>
    <w:rsid w:val="00F92A12"/>
    <w:rsid w:val="00F942E2"/>
    <w:rsid w:val="00F9523B"/>
    <w:rsid w:val="00F9546E"/>
    <w:rsid w:val="00F9560B"/>
    <w:rsid w:val="00F95755"/>
    <w:rsid w:val="00F96E67"/>
    <w:rsid w:val="00F96E92"/>
    <w:rsid w:val="00FA0700"/>
    <w:rsid w:val="00FA13CB"/>
    <w:rsid w:val="00FA2BE9"/>
    <w:rsid w:val="00FA31AE"/>
    <w:rsid w:val="00FA4FCD"/>
    <w:rsid w:val="00FB1DA4"/>
    <w:rsid w:val="00FB2973"/>
    <w:rsid w:val="00FB42CF"/>
    <w:rsid w:val="00FB511E"/>
    <w:rsid w:val="00FB7B5E"/>
    <w:rsid w:val="00FC07DD"/>
    <w:rsid w:val="00FC2B86"/>
    <w:rsid w:val="00FC48B5"/>
    <w:rsid w:val="00FC4CA2"/>
    <w:rsid w:val="00FC6444"/>
    <w:rsid w:val="00FC6FF3"/>
    <w:rsid w:val="00FC7629"/>
    <w:rsid w:val="00FC7B2A"/>
    <w:rsid w:val="00FD03D5"/>
    <w:rsid w:val="00FD3D67"/>
    <w:rsid w:val="00FD4F56"/>
    <w:rsid w:val="00FD536A"/>
    <w:rsid w:val="00FD74FF"/>
    <w:rsid w:val="00FE3CEC"/>
    <w:rsid w:val="00FE4145"/>
    <w:rsid w:val="00FE5F2D"/>
    <w:rsid w:val="00FE607C"/>
    <w:rsid w:val="00FE6A1F"/>
    <w:rsid w:val="00FE743E"/>
    <w:rsid w:val="00FF04FB"/>
    <w:rsid w:val="00FF0810"/>
    <w:rsid w:val="00FF11E6"/>
    <w:rsid w:val="00FF32F3"/>
    <w:rsid w:val="00FF5B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colormru v:ext="edit" colors="#f90,#ddcf56,#ad495d,#ab9c8f,#b5d3d2,#7e6d5f,#f26631,#54534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BFE"/>
    <w:rPr>
      <w:szCs w:val="24"/>
      <w:lang w:val="en-AU" w:eastAsia="en-AU"/>
    </w:rPr>
  </w:style>
  <w:style w:type="paragraph" w:styleId="Heading1">
    <w:name w:val="heading 1"/>
    <w:basedOn w:val="BodyText"/>
    <w:next w:val="BodyText"/>
    <w:link w:val="Heading1Char"/>
    <w:qFormat/>
    <w:rsid w:val="00BC36DE"/>
    <w:pPr>
      <w:outlineLvl w:val="0"/>
    </w:pPr>
  </w:style>
  <w:style w:type="paragraph" w:styleId="Heading2">
    <w:name w:val="heading 2"/>
    <w:basedOn w:val="Heading1"/>
    <w:next w:val="BodyText"/>
    <w:link w:val="Heading2Char"/>
    <w:qFormat/>
    <w:rsid w:val="00A66E8A"/>
    <w:pPr>
      <w:numPr>
        <w:ilvl w:val="1"/>
        <w:numId w:val="7"/>
      </w:numPr>
      <w:spacing w:before="380" w:after="0"/>
      <w:outlineLvl w:val="1"/>
    </w:pPr>
    <w:rPr>
      <w:rFonts w:ascii="Franklin Gothic Medium" w:hAnsi="Franklin Gothic Medium"/>
      <w:color w:val="5A9A98"/>
      <w:sz w:val="24"/>
      <w:szCs w:val="24"/>
    </w:rPr>
  </w:style>
  <w:style w:type="paragraph" w:styleId="Heading3">
    <w:name w:val="heading 3"/>
    <w:basedOn w:val="Heading2"/>
    <w:next w:val="BodyText"/>
    <w:qFormat/>
    <w:rsid w:val="00A66E8A"/>
    <w:pPr>
      <w:numPr>
        <w:ilvl w:val="2"/>
      </w:numPr>
      <w:spacing w:before="300" w:line="260" w:lineRule="atLeast"/>
      <w:outlineLvl w:val="2"/>
    </w:pPr>
    <w:rPr>
      <w:color w:val="54534A"/>
      <w:sz w:val="22"/>
      <w:szCs w:val="22"/>
    </w:rPr>
  </w:style>
  <w:style w:type="paragraph" w:styleId="Heading4">
    <w:name w:val="heading 4"/>
    <w:basedOn w:val="BodyText"/>
    <w:next w:val="BodyText"/>
    <w:qFormat/>
    <w:rsid w:val="00222F3B"/>
    <w:pPr>
      <w:numPr>
        <w:ilvl w:val="3"/>
        <w:numId w:val="7"/>
      </w:numPr>
      <w:spacing w:before="320" w:after="0"/>
      <w:outlineLvl w:val="3"/>
    </w:pPr>
    <w:rPr>
      <w:b/>
      <w:color w:val="54534A"/>
      <w:sz w:val="22"/>
      <w:szCs w:val="22"/>
    </w:rPr>
  </w:style>
  <w:style w:type="paragraph" w:styleId="Heading5">
    <w:name w:val="heading 5"/>
    <w:basedOn w:val="BodyText"/>
    <w:next w:val="BodyText"/>
    <w:qFormat/>
    <w:rsid w:val="00B525EE"/>
    <w:pPr>
      <w:keepNext/>
      <w:numPr>
        <w:ilvl w:val="4"/>
        <w:numId w:val="7"/>
      </w:numPr>
      <w:spacing w:before="320" w:after="0"/>
      <w:outlineLvl w:val="4"/>
    </w:pPr>
    <w:rPr>
      <w:b/>
      <w:color w:val="54534A"/>
    </w:rPr>
  </w:style>
  <w:style w:type="paragraph" w:styleId="Heading6">
    <w:name w:val="heading 6"/>
    <w:basedOn w:val="Heading1"/>
    <w:next w:val="BodyText"/>
    <w:qFormat/>
    <w:rsid w:val="00B525EE"/>
    <w:pPr>
      <w:numPr>
        <w:ilvl w:val="5"/>
        <w:numId w:val="7"/>
      </w:numPr>
      <w:outlineLvl w:val="5"/>
    </w:pPr>
    <w:rPr>
      <w:bCs/>
    </w:rPr>
  </w:style>
  <w:style w:type="paragraph" w:styleId="Heading7">
    <w:name w:val="heading 7"/>
    <w:basedOn w:val="Heading2"/>
    <w:next w:val="BodyText"/>
    <w:qFormat/>
    <w:rsid w:val="00B525EE"/>
    <w:pPr>
      <w:numPr>
        <w:ilvl w:val="6"/>
      </w:numPr>
      <w:outlineLvl w:val="6"/>
    </w:pPr>
    <w:rPr>
      <w:rFonts w:ascii="Franklin Gothic Demi" w:hAnsi="Franklin Gothic Demi"/>
      <w:sz w:val="28"/>
      <w:szCs w:val="28"/>
    </w:rPr>
  </w:style>
  <w:style w:type="paragraph" w:styleId="Heading8">
    <w:name w:val="heading 8"/>
    <w:basedOn w:val="Heading3"/>
    <w:next w:val="BodyText"/>
    <w:qFormat/>
    <w:rsid w:val="00B525EE"/>
    <w:pPr>
      <w:numPr>
        <w:ilvl w:val="7"/>
      </w:numPr>
      <w:outlineLvl w:val="7"/>
    </w:pPr>
  </w:style>
  <w:style w:type="paragraph" w:styleId="Heading9">
    <w:name w:val="heading 9"/>
    <w:basedOn w:val="Heading4"/>
    <w:next w:val="BodyText"/>
    <w:qFormat/>
    <w:rsid w:val="00B525EE"/>
    <w:pPr>
      <w:numPr>
        <w:ilvl w:val="8"/>
      </w:numPr>
      <w:outlineLvl w:val="8"/>
    </w:pPr>
  </w:style>
  <w:style w:type="character" w:default="1" w:styleId="DefaultParagraphFont">
    <w:name w:val="Default Paragraph Font"/>
    <w:aliases w:val=" Char Char6"/>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rsid w:val="0001356A"/>
    <w:pPr>
      <w:spacing w:before="80" w:after="80" w:line="280" w:lineRule="atLeast"/>
    </w:pPr>
    <w:rPr>
      <w:rFonts w:ascii="Georgia" w:hAnsi="Georgia"/>
      <w:sz w:val="19"/>
      <w:szCs w:val="19"/>
    </w:rPr>
  </w:style>
  <w:style w:type="character" w:customStyle="1" w:styleId="BodyTextChar">
    <w:name w:val="Body Text Char"/>
    <w:link w:val="BodyText"/>
    <w:rsid w:val="0001356A"/>
    <w:rPr>
      <w:rFonts w:ascii="Georgia" w:hAnsi="Georgia"/>
      <w:sz w:val="19"/>
      <w:szCs w:val="19"/>
      <w:lang w:val="en-AU" w:eastAsia="en-AU" w:bidi="ar-SA"/>
    </w:rPr>
  </w:style>
  <w:style w:type="character" w:customStyle="1" w:styleId="DraftingNote">
    <w:name w:val="Drafting Note"/>
    <w:semiHidden/>
    <w:rsid w:val="00F0026A"/>
    <w:rPr>
      <w:rFonts w:ascii="Georgia" w:hAnsi="Georgia"/>
      <w:b/>
      <w:color w:val="FF0000"/>
      <w:sz w:val="19"/>
      <w:szCs w:val="19"/>
      <w:u w:val="dotted"/>
    </w:rPr>
  </w:style>
  <w:style w:type="paragraph" w:customStyle="1" w:styleId="QuoteBullet">
    <w:name w:val="Quote Bullet"/>
    <w:basedOn w:val="Quote"/>
    <w:rsid w:val="008B14A2"/>
    <w:pPr>
      <w:numPr>
        <w:numId w:val="17"/>
      </w:numPr>
    </w:pPr>
  </w:style>
  <w:style w:type="paragraph" w:customStyle="1" w:styleId="Abbreviation">
    <w:name w:val="Abbreviation"/>
    <w:basedOn w:val="BodyText"/>
    <w:rsid w:val="00942B42"/>
    <w:pPr>
      <w:ind w:left="1418" w:hanging="1418"/>
    </w:pPr>
  </w:style>
  <w:style w:type="paragraph" w:customStyle="1" w:styleId="Ratingamber">
    <w:name w:val="Rating amber"/>
    <w:basedOn w:val="Normal"/>
    <w:semiHidden/>
    <w:rsid w:val="001C6E03"/>
    <w:pPr>
      <w:numPr>
        <w:numId w:val="10"/>
      </w:numPr>
      <w:spacing w:before="80" w:after="80" w:line="280" w:lineRule="atLeast"/>
    </w:pPr>
    <w:rPr>
      <w:rFonts w:ascii="Georgia" w:hAnsi="Georgia"/>
      <w:sz w:val="19"/>
      <w:szCs w:val="19"/>
    </w:rPr>
  </w:style>
  <w:style w:type="paragraph" w:styleId="ListBullet">
    <w:name w:val="List Bullet"/>
    <w:basedOn w:val="BodyText"/>
    <w:rsid w:val="002C5AF0"/>
    <w:pPr>
      <w:numPr>
        <w:numId w:val="15"/>
      </w:numPr>
    </w:pPr>
  </w:style>
  <w:style w:type="paragraph" w:styleId="ListBullet2">
    <w:name w:val="List Bullet 2"/>
    <w:basedOn w:val="ListBullet"/>
    <w:rsid w:val="00D42D78"/>
    <w:pPr>
      <w:numPr>
        <w:numId w:val="12"/>
      </w:numPr>
      <w:spacing w:before="0"/>
      <w:ind w:left="568" w:hanging="284"/>
    </w:pPr>
  </w:style>
  <w:style w:type="paragraph" w:styleId="ListNumber">
    <w:name w:val="List Number"/>
    <w:basedOn w:val="ListBullet"/>
    <w:rsid w:val="00D42D78"/>
    <w:pPr>
      <w:numPr>
        <w:numId w:val="13"/>
      </w:numPr>
    </w:pPr>
  </w:style>
  <w:style w:type="paragraph" w:styleId="ListNumber2">
    <w:name w:val="List Number 2"/>
    <w:basedOn w:val="ListNumber"/>
    <w:rsid w:val="00D42D78"/>
    <w:pPr>
      <w:numPr>
        <w:numId w:val="14"/>
      </w:numPr>
      <w:spacing w:before="0"/>
      <w:ind w:left="568" w:hanging="284"/>
    </w:pPr>
  </w:style>
  <w:style w:type="paragraph" w:styleId="Quote">
    <w:name w:val="Quote"/>
    <w:basedOn w:val="BodyText"/>
    <w:next w:val="BodyText"/>
    <w:qFormat/>
    <w:rsid w:val="00B84A71"/>
    <w:pPr>
      <w:spacing w:before="0" w:line="260" w:lineRule="atLeast"/>
      <w:ind w:left="284"/>
    </w:pPr>
    <w:rPr>
      <w:sz w:val="17"/>
      <w:szCs w:val="17"/>
    </w:rPr>
  </w:style>
  <w:style w:type="paragraph" w:customStyle="1" w:styleId="Ratinggreen">
    <w:name w:val="Rating green"/>
    <w:basedOn w:val="Ratingamber"/>
    <w:semiHidden/>
    <w:rsid w:val="001C6E03"/>
    <w:pPr>
      <w:numPr>
        <w:numId w:val="11"/>
      </w:numPr>
    </w:pPr>
  </w:style>
  <w:style w:type="paragraph" w:customStyle="1" w:styleId="Reference">
    <w:name w:val="Reference"/>
    <w:basedOn w:val="BodyText"/>
    <w:semiHidden/>
    <w:rsid w:val="00F0026A"/>
    <w:pPr>
      <w:keepLines/>
      <w:spacing w:before="60" w:after="60" w:line="260" w:lineRule="atLeast"/>
      <w:ind w:left="284" w:hanging="284"/>
    </w:pPr>
    <w:rPr>
      <w:sz w:val="17"/>
      <w:szCs w:val="17"/>
    </w:rPr>
  </w:style>
  <w:style w:type="paragraph" w:styleId="Title">
    <w:name w:val="Title"/>
    <w:basedOn w:val="Normal"/>
    <w:next w:val="Subtitle"/>
    <w:link w:val="TitleChar"/>
    <w:qFormat/>
    <w:rsid w:val="00E77D0C"/>
    <w:pPr>
      <w:pageBreakBefore/>
      <w:spacing w:line="540" w:lineRule="atLeast"/>
    </w:pPr>
    <w:rPr>
      <w:rFonts w:ascii="Franklin Gothic Book" w:hAnsi="Franklin Gothic Book"/>
      <w:color w:val="FFFFFF"/>
      <w:spacing w:val="-10"/>
      <w:kern w:val="28"/>
      <w:sz w:val="46"/>
      <w:szCs w:val="46"/>
    </w:rPr>
  </w:style>
  <w:style w:type="paragraph" w:styleId="Subtitle">
    <w:name w:val="Subtitle"/>
    <w:basedOn w:val="Title"/>
    <w:next w:val="Date"/>
    <w:link w:val="SubtitleChar"/>
    <w:qFormat/>
    <w:rsid w:val="005B522F"/>
    <w:pPr>
      <w:pageBreakBefore w:val="0"/>
      <w:spacing w:before="120" w:line="380" w:lineRule="atLeast"/>
    </w:pPr>
    <w:rPr>
      <w:sz w:val="32"/>
      <w:szCs w:val="32"/>
    </w:rPr>
  </w:style>
  <w:style w:type="paragraph" w:customStyle="1" w:styleId="Contents">
    <w:name w:val="Contents"/>
    <w:basedOn w:val="Normal"/>
    <w:next w:val="BodyText"/>
    <w:semiHidden/>
    <w:rsid w:val="00DE7339"/>
    <w:pPr>
      <w:spacing w:before="460" w:after="100" w:line="320" w:lineRule="atLeast"/>
    </w:pPr>
    <w:rPr>
      <w:rFonts w:ascii="Franklin Gothic Demi" w:hAnsi="Franklin Gothic Demi"/>
      <w:color w:val="AD495D"/>
      <w:kern w:val="28"/>
      <w:sz w:val="28"/>
      <w:szCs w:val="28"/>
    </w:rPr>
  </w:style>
  <w:style w:type="paragraph" w:styleId="Date">
    <w:name w:val="Date"/>
    <w:basedOn w:val="Subtitle"/>
    <w:next w:val="Author"/>
    <w:link w:val="DateChar"/>
    <w:semiHidden/>
    <w:rsid w:val="00A53A6B"/>
    <w:pPr>
      <w:spacing w:after="1000"/>
    </w:pPr>
    <w:rPr>
      <w:sz w:val="24"/>
      <w:szCs w:val="24"/>
    </w:rPr>
  </w:style>
  <w:style w:type="paragraph" w:styleId="Footer">
    <w:name w:val="footer"/>
    <w:basedOn w:val="Normal"/>
    <w:semiHidden/>
    <w:rsid w:val="00F23FD4"/>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paragraph" w:styleId="Header">
    <w:name w:val="header"/>
    <w:basedOn w:val="Normal"/>
    <w:semiHidden/>
    <w:rsid w:val="0073548A"/>
    <w:pPr>
      <w:spacing w:line="180" w:lineRule="exact"/>
      <w:jc w:val="right"/>
    </w:pPr>
    <w:rPr>
      <w:rFonts w:ascii="Franklin Gothic Medium" w:hAnsi="Franklin Gothic Medium"/>
      <w:sz w:val="14"/>
      <w:szCs w:val="14"/>
    </w:rPr>
  </w:style>
  <w:style w:type="character" w:styleId="PageNumber">
    <w:name w:val="page number"/>
    <w:semiHidden/>
    <w:rsid w:val="007A2D4A"/>
    <w:rPr>
      <w:rFonts w:ascii="Franklin Gothic Medium" w:hAnsi="Franklin Gothic Medium"/>
      <w:color w:val="54534A"/>
      <w:sz w:val="14"/>
      <w:szCs w:val="14"/>
    </w:rPr>
  </w:style>
  <w:style w:type="paragraph" w:styleId="TOC1">
    <w:name w:val="toc 1"/>
    <w:basedOn w:val="BodyText"/>
    <w:next w:val="BodyText"/>
    <w:uiPriority w:val="39"/>
    <w:rsid w:val="00DE7339"/>
    <w:pPr>
      <w:tabs>
        <w:tab w:val="left" w:pos="397"/>
        <w:tab w:val="right" w:pos="7938"/>
      </w:tabs>
      <w:spacing w:before="180" w:after="0"/>
      <w:ind w:left="397" w:right="567" w:hanging="397"/>
    </w:pPr>
    <w:rPr>
      <w:rFonts w:ascii="Franklin Gothic Medium" w:hAnsi="Franklin Gothic Medium"/>
      <w:color w:val="54534A"/>
      <w:sz w:val="24"/>
      <w:szCs w:val="24"/>
    </w:rPr>
  </w:style>
  <w:style w:type="paragraph" w:styleId="TOC2">
    <w:name w:val="toc 2"/>
    <w:basedOn w:val="TOC1"/>
    <w:next w:val="TOC1"/>
    <w:uiPriority w:val="39"/>
    <w:rsid w:val="00DE7339"/>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F15D8B"/>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basedOn w:val="Normal"/>
    <w:next w:val="BodyText"/>
    <w:qFormat/>
    <w:rsid w:val="00227783"/>
    <w:pPr>
      <w:keepNext/>
      <w:spacing w:before="320" w:after="80" w:line="230" w:lineRule="exact"/>
    </w:pPr>
    <w:rPr>
      <w:rFonts w:ascii="Franklin Gothic Demi" w:hAnsi="Franklin Gothic Demi"/>
      <w:color w:val="7E6D5F"/>
      <w:sz w:val="19"/>
      <w:szCs w:val="19"/>
    </w:rPr>
  </w:style>
  <w:style w:type="paragraph" w:customStyle="1" w:styleId="BoxListBullet">
    <w:name w:val="Box List Bullet"/>
    <w:basedOn w:val="BoxText"/>
    <w:rsid w:val="006C6761"/>
    <w:pPr>
      <w:keepLines/>
      <w:numPr>
        <w:numId w:val="5"/>
      </w:numPr>
      <w:spacing w:before="0"/>
    </w:pPr>
    <w:rPr>
      <w:szCs w:val="20"/>
    </w:rPr>
  </w:style>
  <w:style w:type="character" w:customStyle="1" w:styleId="NoteLabel">
    <w:name w:val="Note Label"/>
    <w:rsid w:val="0073548A"/>
    <w:rPr>
      <w:rFonts w:ascii="Franklin Gothic Medium" w:hAnsi="Franklin Gothic Medium"/>
      <w:color w:val="auto"/>
      <w:position w:val="4"/>
      <w:sz w:val="14"/>
      <w:szCs w:val="14"/>
    </w:rPr>
  </w:style>
  <w:style w:type="paragraph" w:customStyle="1" w:styleId="Note">
    <w:name w:val="Note"/>
    <w:basedOn w:val="TableTextEntries"/>
    <w:next w:val="Source"/>
    <w:link w:val="NoteCharChar"/>
    <w:rsid w:val="008D75EB"/>
    <w:pPr>
      <w:spacing w:after="0" w:line="180" w:lineRule="atLeast"/>
    </w:pPr>
    <w:rPr>
      <w:sz w:val="14"/>
      <w:szCs w:val="14"/>
    </w:rPr>
  </w:style>
  <w:style w:type="paragraph" w:customStyle="1" w:styleId="TableTextEntries">
    <w:name w:val="Table Text Entries"/>
    <w:basedOn w:val="Normal"/>
    <w:rsid w:val="00F021E7"/>
    <w:pPr>
      <w:keepLines/>
      <w:spacing w:before="40" w:after="40" w:line="200" w:lineRule="atLeast"/>
    </w:pPr>
    <w:rPr>
      <w:rFonts w:ascii="Franklin Gothic Book" w:hAnsi="Franklin Gothic Book"/>
      <w:sz w:val="17"/>
      <w:szCs w:val="17"/>
      <w:lang w:eastAsia="en-US"/>
    </w:rPr>
  </w:style>
  <w:style w:type="paragraph" w:customStyle="1" w:styleId="Source">
    <w:name w:val="Source"/>
    <w:basedOn w:val="Note"/>
    <w:next w:val="BodyText"/>
    <w:rsid w:val="00ED5E2B"/>
    <w:pPr>
      <w:spacing w:after="240"/>
    </w:pPr>
  </w:style>
  <w:style w:type="paragraph" w:customStyle="1" w:styleId="BoxHeading1">
    <w:name w:val="Box Heading 1"/>
    <w:basedOn w:val="BoxText"/>
    <w:next w:val="BoxText"/>
    <w:rsid w:val="00FC7629"/>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2C23D1"/>
    <w:pPr>
      <w:spacing w:before="140"/>
    </w:pPr>
    <w:rPr>
      <w:rFonts w:ascii="Franklin Gothic Book" w:hAnsi="Franklin Gothic Book"/>
      <w:i/>
      <w:color w:val="auto"/>
    </w:rPr>
  </w:style>
  <w:style w:type="paragraph" w:customStyle="1" w:styleId="TableListBullet">
    <w:name w:val="Table List Bullet"/>
    <w:basedOn w:val="TableTextEntries"/>
    <w:rsid w:val="00FA0700"/>
    <w:pPr>
      <w:numPr>
        <w:numId w:val="8"/>
      </w:numPr>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uiPriority w:val="39"/>
    <w:rsid w:val="00F9523B"/>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B622E7"/>
    <w:pPr>
      <w:jc w:val="right"/>
    </w:pPr>
  </w:style>
  <w:style w:type="paragraph" w:customStyle="1" w:styleId="Recommendation">
    <w:name w:val="Recommendation"/>
    <w:basedOn w:val="BodyText"/>
    <w:next w:val="BodyText"/>
    <w:semiHidden/>
    <w:rsid w:val="00671255"/>
    <w:pPr>
      <w:tabs>
        <w:tab w:val="left" w:pos="284"/>
      </w:tabs>
      <w:ind w:left="284" w:hanging="284"/>
    </w:pPr>
    <w:rPr>
      <w:rFonts w:eastAsia="MS Mincho" w:cs="MS Mincho"/>
      <w:b/>
    </w:rPr>
  </w:style>
  <w:style w:type="paragraph" w:styleId="TOC6">
    <w:name w:val="toc 6"/>
    <w:basedOn w:val="BodyText"/>
    <w:next w:val="BodyText"/>
    <w:semiHidden/>
    <w:rsid w:val="00671255"/>
    <w:pPr>
      <w:tabs>
        <w:tab w:val="left" w:pos="284"/>
        <w:tab w:val="right" w:pos="8222"/>
      </w:tabs>
      <w:ind w:left="284" w:right="567" w:hanging="284"/>
    </w:pPr>
  </w:style>
  <w:style w:type="character" w:styleId="CommentReference">
    <w:name w:val="annotation reference"/>
    <w:semiHidden/>
    <w:rsid w:val="007A2D4A"/>
    <w:rPr>
      <w:rFonts w:ascii="Franklin Gothic Medium" w:hAnsi="Franklin Gothic Medium"/>
      <w:vanish/>
      <w:color w:val="FF00FF"/>
      <w:sz w:val="16"/>
      <w:szCs w:val="16"/>
    </w:rPr>
  </w:style>
  <w:style w:type="paragraph" w:styleId="CommentText">
    <w:name w:val="annotation text"/>
    <w:basedOn w:val="BodyText"/>
    <w:semiHidden/>
    <w:rsid w:val="008527C1"/>
    <w:pPr>
      <w:spacing w:line="240" w:lineRule="atLeast"/>
    </w:pPr>
    <w:rPr>
      <w:rFonts w:ascii="Calibri" w:hAnsi="Calibri"/>
      <w:sz w:val="18"/>
      <w:szCs w:val="18"/>
    </w:rPr>
  </w:style>
  <w:style w:type="character" w:styleId="FootnoteReference">
    <w:name w:val="footnote reference"/>
    <w:semiHidden/>
    <w:rsid w:val="00FB1DA4"/>
    <w:rPr>
      <w:rFonts w:ascii="Franklin Gothic Book" w:hAnsi="Franklin Gothic Book"/>
      <w:w w:val="100"/>
      <w:position w:val="6"/>
      <w:sz w:val="12"/>
      <w:szCs w:val="12"/>
      <w:vertAlign w:val="baseline"/>
    </w:rPr>
  </w:style>
  <w:style w:type="paragraph" w:styleId="FootnoteText">
    <w:name w:val="footnote text"/>
    <w:basedOn w:val="BodyText"/>
    <w:semiHidden/>
    <w:rsid w:val="00281D52"/>
    <w:pPr>
      <w:spacing w:before="0" w:after="0" w:line="180" w:lineRule="atLeast"/>
      <w:ind w:left="284" w:hanging="284"/>
    </w:pPr>
    <w:rPr>
      <w:rFonts w:ascii="Franklin Gothic Book" w:hAnsi="Franklin Gothic Book"/>
      <w:sz w:val="14"/>
      <w:szCs w:val="14"/>
    </w:rPr>
  </w:style>
  <w:style w:type="character" w:styleId="Hyperlink">
    <w:name w:val="Hyperlink"/>
    <w:uiPriority w:val="99"/>
    <w:rsid w:val="00254E43"/>
    <w:rPr>
      <w:color w:val="00467F"/>
      <w:sz w:val="20"/>
      <w:szCs w:val="20"/>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97190C"/>
    <w:pPr>
      <w:tabs>
        <w:tab w:val="left" w:pos="1418"/>
      </w:tabs>
      <w:ind w:left="1418" w:hanging="1418"/>
    </w:pPr>
  </w:style>
  <w:style w:type="paragraph" w:customStyle="1" w:styleId="Author">
    <w:name w:val="Author"/>
    <w:basedOn w:val="Date"/>
    <w:next w:val="Position"/>
    <w:link w:val="AuthorCharChar"/>
    <w:semiHidden/>
    <w:rsid w:val="0075426C"/>
    <w:pPr>
      <w:spacing w:before="180" w:after="0" w:line="260" w:lineRule="atLeast"/>
    </w:pPr>
    <w:rPr>
      <w:rFonts w:ascii="Franklin Gothic Medium" w:hAnsi="Franklin Gothic Medium"/>
      <w:spacing w:val="-2"/>
    </w:rPr>
  </w:style>
  <w:style w:type="paragraph" w:customStyle="1" w:styleId="Position">
    <w:name w:val="Position"/>
    <w:basedOn w:val="Author"/>
    <w:next w:val="Author"/>
    <w:link w:val="PositionCharChar"/>
    <w:semiHidden/>
    <w:rsid w:val="0075426C"/>
    <w:pPr>
      <w:spacing w:before="0"/>
    </w:pPr>
    <w:rPr>
      <w:rFonts w:ascii="Franklin Gothic Book" w:hAnsi="Franklin Gothic Book"/>
    </w:rPr>
  </w:style>
  <w:style w:type="paragraph" w:customStyle="1" w:styleId="CharChar">
    <w:name w:val="Char Char"/>
    <w:basedOn w:val="BoxText"/>
    <w:semiHidden/>
    <w:rsid w:val="001E5458"/>
  </w:style>
  <w:style w:type="paragraph" w:customStyle="1" w:styleId="Client">
    <w:name w:val="Client"/>
    <w:basedOn w:val="Author"/>
    <w:semiHidden/>
    <w:rsid w:val="00AD1F3F"/>
  </w:style>
  <w:style w:type="paragraph" w:customStyle="1" w:styleId="TableDataEntries">
    <w:name w:val="Table Data Entries"/>
    <w:basedOn w:val="TableTextEntries"/>
    <w:rsid w:val="009B0288"/>
    <w:pPr>
      <w:jc w:val="right"/>
    </w:pPr>
  </w:style>
  <w:style w:type="paragraph" w:customStyle="1" w:styleId="TableDataColumnHeading">
    <w:name w:val="Table Data Column Heading"/>
    <w:basedOn w:val="TableDataEntries"/>
    <w:rsid w:val="008E6453"/>
    <w:pPr>
      <w:spacing w:before="80" w:after="80"/>
    </w:pPr>
    <w:rPr>
      <w:rFonts w:ascii="Franklin Gothic Medium" w:hAnsi="Franklin Gothic Medium"/>
    </w:rPr>
  </w:style>
  <w:style w:type="paragraph" w:customStyle="1" w:styleId="TableHeading1">
    <w:name w:val="Table Heading 1"/>
    <w:basedOn w:val="TableTextEntries"/>
    <w:next w:val="TableTextEntries"/>
    <w:rsid w:val="008E6453"/>
    <w:pPr>
      <w:spacing w:before="80" w:after="80"/>
    </w:pPr>
    <w:rPr>
      <w:rFonts w:ascii="Franklin Gothic Medium" w:hAnsi="Franklin Gothic Medium"/>
    </w:rPr>
  </w:style>
  <w:style w:type="paragraph" w:customStyle="1" w:styleId="TableHeading2">
    <w:name w:val="Table Heading 2"/>
    <w:basedOn w:val="TableHeading1"/>
    <w:next w:val="TableTextEntries"/>
    <w:rsid w:val="008E6453"/>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FA0700"/>
    <w:pPr>
      <w:numPr>
        <w:numId w:val="9"/>
      </w:numPr>
    </w:pPr>
  </w:style>
  <w:style w:type="paragraph" w:customStyle="1" w:styleId="TableListNumber">
    <w:name w:val="Table List Number"/>
    <w:basedOn w:val="TableTextEntries"/>
    <w:rsid w:val="008C0773"/>
    <w:pPr>
      <w:numPr>
        <w:numId w:val="1"/>
      </w:numPr>
    </w:pPr>
  </w:style>
  <w:style w:type="paragraph" w:customStyle="1" w:styleId="TableListNumber2">
    <w:name w:val="Table List Number 2"/>
    <w:basedOn w:val="TableListNumber"/>
    <w:rsid w:val="00396E51"/>
    <w:pPr>
      <w:numPr>
        <w:numId w:val="2"/>
      </w:numPr>
    </w:pPr>
  </w:style>
  <w:style w:type="paragraph" w:customStyle="1" w:styleId="TableTextColumnHeading">
    <w:name w:val="Table Text Column Heading"/>
    <w:basedOn w:val="TableDataColumnHeading"/>
    <w:rsid w:val="008E6453"/>
    <w:pPr>
      <w:jc w:val="left"/>
    </w:pPr>
  </w:style>
  <w:style w:type="paragraph" w:customStyle="1" w:styleId="TableUnit">
    <w:name w:val="Table Unit"/>
    <w:basedOn w:val="TableDataColumnHeading"/>
    <w:next w:val="TableDataEntries"/>
    <w:semiHidden/>
    <w:rsid w:val="008E6453"/>
    <w:pPr>
      <w:keepNext/>
    </w:pPr>
    <w:rPr>
      <w:rFonts w:ascii="Franklin Gothic Book" w:hAnsi="Franklin Gothic Book"/>
    </w:rPr>
  </w:style>
  <w:style w:type="paragraph" w:customStyle="1" w:styleId="NoteNumber">
    <w:name w:val="Note Number"/>
    <w:basedOn w:val="TableTextEntries"/>
    <w:link w:val="NoteNumberCharChar"/>
    <w:rsid w:val="00EE7AC8"/>
    <w:pPr>
      <w:numPr>
        <w:numId w:val="16"/>
      </w:numPr>
      <w:spacing w:after="0" w:line="180" w:lineRule="atLeast"/>
    </w:pPr>
    <w:rPr>
      <w:sz w:val="14"/>
      <w:szCs w:val="14"/>
    </w:rPr>
  </w:style>
  <w:style w:type="character" w:styleId="FollowedHyperlink">
    <w:name w:val="FollowedHyperlink"/>
    <w:semiHidden/>
    <w:rsid w:val="00085585"/>
    <w:rPr>
      <w:color w:val="333399"/>
      <w:u w:val="none"/>
    </w:rPr>
  </w:style>
  <w:style w:type="paragraph" w:customStyle="1" w:styleId="Blurb">
    <w:name w:val="Blurb"/>
    <w:basedOn w:val="Caption"/>
    <w:semiHidden/>
    <w:rsid w:val="0075426C"/>
    <w:pPr>
      <w:spacing w:before="180" w:after="0" w:line="280" w:lineRule="atLeast"/>
    </w:pPr>
    <w:rPr>
      <w:color w:val="FFFFFF"/>
    </w:rPr>
  </w:style>
  <w:style w:type="paragraph" w:customStyle="1" w:styleId="Figure">
    <w:name w:val="Figure"/>
    <w:basedOn w:val="BodyText"/>
    <w:next w:val="BodyText"/>
    <w:semiHidden/>
    <w:rsid w:val="00EA0F2C"/>
    <w:pPr>
      <w:spacing w:before="0" w:line="200" w:lineRule="atLeast"/>
    </w:pPr>
    <w:rPr>
      <w:sz w:val="18"/>
      <w:szCs w:val="18"/>
    </w:rPr>
  </w:style>
  <w:style w:type="paragraph" w:customStyle="1" w:styleId="BoxListBullet2">
    <w:name w:val="Box List Bullet 2"/>
    <w:basedOn w:val="BoxListBullet"/>
    <w:rsid w:val="006C6761"/>
    <w:pPr>
      <w:numPr>
        <w:numId w:val="4"/>
      </w:numPr>
    </w:pPr>
    <w:rPr>
      <w:szCs w:val="18"/>
    </w:rPr>
  </w:style>
  <w:style w:type="paragraph" w:customStyle="1" w:styleId="BoxText">
    <w:name w:val="Box Text"/>
    <w:basedOn w:val="Normal"/>
    <w:link w:val="BoxTextChar"/>
    <w:rsid w:val="009A28D5"/>
    <w:pPr>
      <w:spacing w:before="60" w:after="60" w:line="260" w:lineRule="atLeast"/>
    </w:pPr>
    <w:rPr>
      <w:rFonts w:ascii="Franklin Gothic Book" w:hAnsi="Franklin Gothic Book"/>
      <w:sz w:val="18"/>
      <w:szCs w:val="18"/>
    </w:rPr>
  </w:style>
  <w:style w:type="paragraph" w:customStyle="1" w:styleId="BoxListNumber">
    <w:name w:val="Box List Number"/>
    <w:basedOn w:val="BoxText"/>
    <w:rsid w:val="00165C4D"/>
    <w:pPr>
      <w:numPr>
        <w:numId w:val="6"/>
      </w:numPr>
      <w:spacing w:before="0"/>
    </w:pPr>
  </w:style>
  <w:style w:type="paragraph" w:customStyle="1" w:styleId="BoxListNumber2">
    <w:name w:val="Box List Number 2"/>
    <w:basedOn w:val="BoxListNumber"/>
    <w:rsid w:val="006C6761"/>
    <w:pPr>
      <w:numPr>
        <w:numId w:val="3"/>
      </w:numPr>
    </w:pPr>
  </w:style>
  <w:style w:type="paragraph" w:customStyle="1" w:styleId="BoxNoteSource">
    <w:name w:val="Box Note/Source"/>
    <w:basedOn w:val="BoxText"/>
    <w:rsid w:val="006C6761"/>
    <w:pPr>
      <w:spacing w:before="100" w:after="100" w:line="180" w:lineRule="atLeast"/>
    </w:pPr>
    <w:rPr>
      <w:sz w:val="14"/>
      <w:szCs w:val="14"/>
    </w:rPr>
  </w:style>
  <w:style w:type="paragraph" w:customStyle="1" w:styleId="BoxQuote">
    <w:name w:val="Box Quote"/>
    <w:basedOn w:val="BoxText"/>
    <w:next w:val="BoxText"/>
    <w:rsid w:val="00A60B48"/>
    <w:pPr>
      <w:spacing w:before="0" w:line="240" w:lineRule="atLeast"/>
      <w:ind w:left="284"/>
    </w:pPr>
    <w:rPr>
      <w:sz w:val="16"/>
      <w:szCs w:val="16"/>
    </w:rPr>
  </w:style>
  <w:style w:type="character" w:customStyle="1" w:styleId="TableListBullet2CharChar">
    <w:name w:val="Table List Bullet 2 Char Char"/>
    <w:link w:val="TableListBullet2"/>
    <w:rsid w:val="00C05EB3"/>
    <w:rPr>
      <w:rFonts w:ascii="Franklin Gothic Book" w:hAnsi="Franklin Gothic Book"/>
      <w:sz w:val="17"/>
      <w:szCs w:val="17"/>
      <w:lang w:val="en-AU" w:eastAsia="en-US" w:bidi="ar-SA"/>
    </w:rPr>
  </w:style>
  <w:style w:type="character" w:customStyle="1" w:styleId="NoteCharChar">
    <w:name w:val="Note Char Char"/>
    <w:link w:val="Note"/>
    <w:rsid w:val="008D75EB"/>
    <w:rPr>
      <w:rFonts w:ascii="Franklin Gothic Book" w:hAnsi="Franklin Gothic Book"/>
      <w:sz w:val="14"/>
      <w:szCs w:val="14"/>
      <w:lang w:val="en-AU" w:eastAsia="en-US" w:bidi="ar-SA"/>
    </w:rPr>
  </w:style>
  <w:style w:type="character" w:customStyle="1" w:styleId="NoteNumberCharChar">
    <w:name w:val="Note Number Char Char"/>
    <w:link w:val="NoteNumber"/>
    <w:rsid w:val="00EE7AC8"/>
    <w:rPr>
      <w:rFonts w:ascii="Franklin Gothic Book" w:hAnsi="Franklin Gothic Book"/>
      <w:sz w:val="14"/>
      <w:szCs w:val="14"/>
      <w:lang w:val="en-AU" w:eastAsia="en-US" w:bidi="ar-SA"/>
    </w:rPr>
  </w:style>
  <w:style w:type="character" w:customStyle="1" w:styleId="TitleChar">
    <w:name w:val="Title Char"/>
    <w:link w:val="Title"/>
    <w:rsid w:val="00E77D0C"/>
    <w:rPr>
      <w:rFonts w:ascii="Franklin Gothic Book" w:hAnsi="Franklin Gothic Book"/>
      <w:color w:val="FFFFFF"/>
      <w:spacing w:val="-10"/>
      <w:kern w:val="28"/>
      <w:sz w:val="46"/>
      <w:szCs w:val="46"/>
      <w:lang w:val="en-AU" w:eastAsia="en-AU" w:bidi="ar-SA"/>
    </w:rPr>
  </w:style>
  <w:style w:type="character" w:customStyle="1" w:styleId="SubtitleChar">
    <w:name w:val="Subtitle Char"/>
    <w:link w:val="Subtitle"/>
    <w:rsid w:val="005B522F"/>
    <w:rPr>
      <w:rFonts w:ascii="Franklin Gothic Book" w:hAnsi="Franklin Gothic Book"/>
      <w:color w:val="FFFFFF"/>
      <w:spacing w:val="-10"/>
      <w:kern w:val="28"/>
      <w:sz w:val="32"/>
      <w:szCs w:val="32"/>
      <w:lang w:val="en-AU" w:eastAsia="en-AU" w:bidi="ar-SA"/>
    </w:rPr>
  </w:style>
  <w:style w:type="character" w:customStyle="1" w:styleId="DateChar">
    <w:name w:val="Date Char"/>
    <w:link w:val="Date"/>
    <w:rsid w:val="00A53A6B"/>
    <w:rPr>
      <w:rFonts w:ascii="Franklin Gothic Book" w:hAnsi="Franklin Gothic Book"/>
      <w:color w:val="FFFFFF"/>
      <w:spacing w:val="-10"/>
      <w:kern w:val="28"/>
      <w:sz w:val="24"/>
      <w:szCs w:val="24"/>
      <w:lang w:val="en-AU" w:eastAsia="en-AU" w:bidi="ar-SA"/>
    </w:rPr>
  </w:style>
  <w:style w:type="character" w:customStyle="1" w:styleId="AuthorCharChar">
    <w:name w:val="Author Char Char"/>
    <w:link w:val="Author"/>
    <w:rsid w:val="0075426C"/>
    <w:rPr>
      <w:rFonts w:ascii="Franklin Gothic Medium" w:hAnsi="Franklin Gothic Medium"/>
      <w:color w:val="FFFFFF"/>
      <w:spacing w:val="-2"/>
      <w:kern w:val="28"/>
      <w:sz w:val="24"/>
      <w:szCs w:val="24"/>
      <w:lang w:val="en-AU" w:eastAsia="en-AU" w:bidi="ar-SA"/>
    </w:rPr>
  </w:style>
  <w:style w:type="character" w:customStyle="1" w:styleId="PositionCharChar">
    <w:name w:val="Position Char Char"/>
    <w:link w:val="Position"/>
    <w:rsid w:val="0075426C"/>
    <w:rPr>
      <w:rFonts w:ascii="Franklin Gothic Book" w:hAnsi="Franklin Gothic Book"/>
      <w:color w:val="FFFFFF"/>
      <w:spacing w:val="-2"/>
      <w:kern w:val="28"/>
      <w:sz w:val="24"/>
      <w:szCs w:val="24"/>
      <w:lang w:val="en-AU" w:eastAsia="en-AU" w:bidi="ar-SA"/>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semiHidden/>
    <w:rsid w:val="00187D56"/>
    <w:pPr>
      <w:spacing w:before="140" w:after="240" w:line="180" w:lineRule="exact"/>
    </w:pPr>
    <w:rPr>
      <w:rFonts w:ascii="Franklin Gothic Medium" w:hAnsi="Franklin Gothic Medium"/>
      <w:color w:val="54534A"/>
      <w:sz w:val="14"/>
      <w:szCs w:val="14"/>
    </w:rPr>
  </w:style>
  <w:style w:type="paragraph" w:customStyle="1" w:styleId="a">
    <w:basedOn w:val="Normal"/>
    <w:semiHidden/>
    <w:rsid w:val="00953A8D"/>
    <w:pPr>
      <w:spacing w:before="180" w:line="280" w:lineRule="atLeast"/>
    </w:pPr>
    <w:rPr>
      <w:rFonts w:ascii="Arial" w:hAnsi="Arial"/>
      <w:sz w:val="22"/>
      <w:szCs w:val="20"/>
      <w:lang w:eastAsia="en-US"/>
    </w:rPr>
  </w:style>
  <w:style w:type="table" w:styleId="TableGrid">
    <w:name w:val="Table Grid"/>
    <w:basedOn w:val="TableNormal"/>
    <w:semiHidden/>
    <w:rsid w:val="005C4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1C6E03"/>
  </w:style>
  <w:style w:type="paragraph" w:customStyle="1" w:styleId="Ratingbullet">
    <w:name w:val="Rating bullet"/>
    <w:basedOn w:val="TableTextEntries"/>
    <w:semiHidden/>
    <w:rsid w:val="001C6E03"/>
    <w:pPr>
      <w:jc w:val="center"/>
    </w:pPr>
    <w:rPr>
      <w:sz w:val="22"/>
      <w:szCs w:val="22"/>
    </w:rPr>
  </w:style>
  <w:style w:type="paragraph" w:styleId="CommentSubject">
    <w:name w:val="annotation subject"/>
    <w:basedOn w:val="CommentText"/>
    <w:next w:val="CommentText"/>
    <w:semiHidden/>
    <w:rsid w:val="00911B9C"/>
    <w:pPr>
      <w:spacing w:before="0" w:after="0" w:line="240" w:lineRule="auto"/>
    </w:pPr>
    <w:rPr>
      <w:rFonts w:ascii="Times New Roman" w:hAnsi="Times New Roman"/>
      <w:b/>
      <w:bCs/>
      <w:sz w:val="20"/>
      <w:szCs w:val="20"/>
    </w:rPr>
  </w:style>
  <w:style w:type="paragraph" w:styleId="BalloonText">
    <w:name w:val="Balloon Text"/>
    <w:basedOn w:val="Normal"/>
    <w:semiHidden/>
    <w:rsid w:val="00911B9C"/>
    <w:rPr>
      <w:rFonts w:ascii="Tahoma" w:hAnsi="Tahoma" w:cs="Tahoma"/>
      <w:sz w:val="16"/>
      <w:szCs w:val="16"/>
    </w:rPr>
  </w:style>
  <w:style w:type="paragraph" w:customStyle="1" w:styleId="Rating">
    <w:name w:val="Rating"/>
    <w:basedOn w:val="BodyText"/>
    <w:next w:val="BodyText"/>
    <w:semiHidden/>
    <w:rsid w:val="00230BD1"/>
    <w:pPr>
      <w:tabs>
        <w:tab w:val="left" w:pos="567"/>
      </w:tabs>
    </w:pPr>
  </w:style>
  <w:style w:type="paragraph" w:customStyle="1" w:styleId="GuidanceText">
    <w:name w:val="Guidance Text"/>
    <w:basedOn w:val="BodyText"/>
    <w:semiHidden/>
    <w:rsid w:val="001B11EB"/>
    <w:pPr>
      <w:spacing w:before="60" w:after="60" w:line="240" w:lineRule="atLeast"/>
    </w:pPr>
    <w:rPr>
      <w:rFonts w:ascii="Calibri" w:hAnsi="Calibri"/>
      <w:color w:val="0000FF"/>
      <w:sz w:val="20"/>
      <w:szCs w:val="20"/>
    </w:rPr>
  </w:style>
  <w:style w:type="character" w:customStyle="1" w:styleId="CharChar4">
    <w:name w:val=" Char Char4"/>
    <w:rsid w:val="0035177E"/>
    <w:rPr>
      <w:rFonts w:ascii="Georgia" w:hAnsi="Georgia"/>
      <w:sz w:val="19"/>
      <w:szCs w:val="19"/>
      <w:lang w:val="en-AU" w:eastAsia="en-AU" w:bidi="ar-SA"/>
    </w:rPr>
  </w:style>
  <w:style w:type="character" w:customStyle="1" w:styleId="BoxTextChar">
    <w:name w:val="Box Text Char"/>
    <w:link w:val="BoxText"/>
    <w:rsid w:val="00CA6414"/>
    <w:rPr>
      <w:rFonts w:ascii="Franklin Gothic Book" w:hAnsi="Franklin Gothic Book"/>
      <w:sz w:val="18"/>
      <w:szCs w:val="18"/>
      <w:lang w:val="en-AU" w:eastAsia="en-AU" w:bidi="ar-SA"/>
    </w:rPr>
  </w:style>
  <w:style w:type="character" w:customStyle="1" w:styleId="Heading1Char">
    <w:name w:val="Heading 1 Char"/>
    <w:link w:val="Heading1"/>
    <w:rsid w:val="00BC36DE"/>
    <w:rPr>
      <w:rFonts w:ascii="Georgia" w:hAnsi="Georgia"/>
      <w:sz w:val="19"/>
      <w:szCs w:val="19"/>
      <w:lang w:val="en-AU" w:eastAsia="en-AU" w:bidi="ar-SA"/>
    </w:rPr>
  </w:style>
  <w:style w:type="character" w:customStyle="1" w:styleId="Heading2Char">
    <w:name w:val="Heading 2 Char"/>
    <w:link w:val="Heading2"/>
    <w:rsid w:val="00BC36DE"/>
    <w:rPr>
      <w:rFonts w:ascii="Franklin Gothic Medium" w:hAnsi="Franklin Gothic Medium"/>
      <w:color w:val="5A9A98"/>
      <w:sz w:val="24"/>
      <w:szCs w:val="24"/>
      <w:lang w:val="en-AU" w:eastAsia="en-AU" w:bidi="ar-SA"/>
    </w:rPr>
  </w:style>
  <w:style w:type="character" w:customStyle="1" w:styleId="CharChar1">
    <w:name w:val="Char Char1"/>
    <w:locked/>
    <w:rsid w:val="00F263D9"/>
    <w:rPr>
      <w:rFonts w:ascii="Georgia" w:hAnsi="Georgia"/>
      <w:sz w:val="19"/>
      <w:szCs w:val="19"/>
      <w:lang w:val="en-AU" w:eastAsia="en-AU" w:bidi="ar-SA"/>
    </w:rPr>
  </w:style>
  <w:style w:type="character" w:customStyle="1" w:styleId="CharChar40">
    <w:name w:val="Char Char4"/>
    <w:locked/>
    <w:rsid w:val="00F263D9"/>
    <w:rPr>
      <w:rFonts w:ascii="Georgia" w:hAnsi="Georgia"/>
      <w:sz w:val="19"/>
      <w:szCs w:val="19"/>
      <w:lang w:val="en-AU" w:eastAsia="en-AU" w:bidi="ar-SA"/>
    </w:rPr>
  </w:style>
  <w:style w:type="character" w:customStyle="1" w:styleId="CharChar9">
    <w:name w:val=" Char Char9"/>
    <w:rsid w:val="00794DA1"/>
    <w:rPr>
      <w:rFonts w:ascii="Georgia" w:hAnsi="Georgia"/>
      <w:sz w:val="19"/>
      <w:szCs w:val="19"/>
      <w:lang w:val="en-AU" w:eastAsia="en-AU" w:bidi="ar-SA"/>
    </w:rPr>
  </w:style>
  <w:style w:type="paragraph" w:customStyle="1" w:styleId="SingleParagraph">
    <w:name w:val="Single Paragraph"/>
    <w:basedOn w:val="Normal"/>
    <w:rsid w:val="008B4937"/>
    <w:pPr>
      <w:spacing w:line="320" w:lineRule="exact"/>
    </w:pPr>
    <w:rPr>
      <w:rFonts w:ascii="Palatino" w:hAnsi="Palatino"/>
      <w:color w:val="000000"/>
      <w:sz w:val="22"/>
      <w:szCs w:val="22"/>
    </w:rPr>
  </w:style>
  <w:style w:type="paragraph" w:styleId="NormalWeb">
    <w:name w:val="Normal (Web)"/>
    <w:basedOn w:val="Normal"/>
    <w:rsid w:val="00B040E9"/>
    <w:pPr>
      <w:spacing w:before="105" w:after="118"/>
    </w:pPr>
    <w:rPr>
      <w:sz w:val="24"/>
    </w:rPr>
  </w:style>
  <w:style w:type="paragraph" w:customStyle="1" w:styleId="H1">
    <w:name w:val="H1"/>
    <w:basedOn w:val="Normal"/>
    <w:qFormat/>
    <w:rsid w:val="003F04D6"/>
    <w:pPr>
      <w:keepNext/>
      <w:spacing w:after="100" w:line="320" w:lineRule="atLeast"/>
      <w:outlineLvl w:val="0"/>
    </w:pPr>
    <w:rPr>
      <w:rFonts w:ascii="Franklin Gothic Demi" w:hAnsi="Franklin Gothic Demi"/>
      <w:color w:val="AD495D"/>
      <w:kern w:val="28"/>
      <w:sz w:val="28"/>
      <w:szCs w:val="28"/>
    </w:rPr>
  </w:style>
  <w:style w:type="paragraph" w:styleId="TOCHeading">
    <w:name w:val="TOC Heading"/>
    <w:basedOn w:val="Heading1"/>
    <w:next w:val="Normal"/>
    <w:uiPriority w:val="39"/>
    <w:semiHidden/>
    <w:unhideWhenUsed/>
    <w:qFormat/>
    <w:rsid w:val="003F04D6"/>
    <w:pPr>
      <w:keepNext/>
      <w:keepLines/>
      <w:spacing w:before="480" w:after="0" w:line="276" w:lineRule="auto"/>
      <w:outlineLvl w:val="9"/>
    </w:pPr>
    <w:rPr>
      <w:rFonts w:ascii="Cambria" w:hAnsi="Cambria"/>
      <w:b/>
      <w:bCs/>
      <w:color w:val="365F91"/>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BFE"/>
    <w:rPr>
      <w:szCs w:val="24"/>
      <w:lang w:val="en-AU" w:eastAsia="en-AU"/>
    </w:rPr>
  </w:style>
  <w:style w:type="paragraph" w:styleId="Heading1">
    <w:name w:val="heading 1"/>
    <w:basedOn w:val="BodyText"/>
    <w:next w:val="BodyText"/>
    <w:link w:val="Heading1Char"/>
    <w:qFormat/>
    <w:rsid w:val="00BC36DE"/>
    <w:pPr>
      <w:outlineLvl w:val="0"/>
    </w:pPr>
  </w:style>
  <w:style w:type="paragraph" w:styleId="Heading2">
    <w:name w:val="heading 2"/>
    <w:basedOn w:val="Heading1"/>
    <w:next w:val="BodyText"/>
    <w:link w:val="Heading2Char"/>
    <w:qFormat/>
    <w:rsid w:val="00A66E8A"/>
    <w:pPr>
      <w:numPr>
        <w:ilvl w:val="1"/>
        <w:numId w:val="7"/>
      </w:numPr>
      <w:spacing w:before="380" w:after="0"/>
      <w:outlineLvl w:val="1"/>
    </w:pPr>
    <w:rPr>
      <w:rFonts w:ascii="Franklin Gothic Medium" w:hAnsi="Franklin Gothic Medium"/>
      <w:color w:val="5A9A98"/>
      <w:sz w:val="24"/>
      <w:szCs w:val="24"/>
    </w:rPr>
  </w:style>
  <w:style w:type="paragraph" w:styleId="Heading3">
    <w:name w:val="heading 3"/>
    <w:basedOn w:val="Heading2"/>
    <w:next w:val="BodyText"/>
    <w:qFormat/>
    <w:rsid w:val="00A66E8A"/>
    <w:pPr>
      <w:numPr>
        <w:ilvl w:val="2"/>
      </w:numPr>
      <w:spacing w:before="300" w:line="260" w:lineRule="atLeast"/>
      <w:outlineLvl w:val="2"/>
    </w:pPr>
    <w:rPr>
      <w:color w:val="54534A"/>
      <w:sz w:val="22"/>
      <w:szCs w:val="22"/>
    </w:rPr>
  </w:style>
  <w:style w:type="paragraph" w:styleId="Heading4">
    <w:name w:val="heading 4"/>
    <w:basedOn w:val="BodyText"/>
    <w:next w:val="BodyText"/>
    <w:qFormat/>
    <w:rsid w:val="00222F3B"/>
    <w:pPr>
      <w:numPr>
        <w:ilvl w:val="3"/>
        <w:numId w:val="7"/>
      </w:numPr>
      <w:spacing w:before="320" w:after="0"/>
      <w:outlineLvl w:val="3"/>
    </w:pPr>
    <w:rPr>
      <w:b/>
      <w:color w:val="54534A"/>
      <w:sz w:val="22"/>
      <w:szCs w:val="22"/>
    </w:rPr>
  </w:style>
  <w:style w:type="paragraph" w:styleId="Heading5">
    <w:name w:val="heading 5"/>
    <w:basedOn w:val="BodyText"/>
    <w:next w:val="BodyText"/>
    <w:qFormat/>
    <w:rsid w:val="00B525EE"/>
    <w:pPr>
      <w:keepNext/>
      <w:numPr>
        <w:ilvl w:val="4"/>
        <w:numId w:val="7"/>
      </w:numPr>
      <w:spacing w:before="320" w:after="0"/>
      <w:outlineLvl w:val="4"/>
    </w:pPr>
    <w:rPr>
      <w:b/>
      <w:color w:val="54534A"/>
    </w:rPr>
  </w:style>
  <w:style w:type="paragraph" w:styleId="Heading6">
    <w:name w:val="heading 6"/>
    <w:basedOn w:val="Heading1"/>
    <w:next w:val="BodyText"/>
    <w:qFormat/>
    <w:rsid w:val="00B525EE"/>
    <w:pPr>
      <w:numPr>
        <w:ilvl w:val="5"/>
        <w:numId w:val="7"/>
      </w:numPr>
      <w:outlineLvl w:val="5"/>
    </w:pPr>
    <w:rPr>
      <w:bCs/>
    </w:rPr>
  </w:style>
  <w:style w:type="paragraph" w:styleId="Heading7">
    <w:name w:val="heading 7"/>
    <w:basedOn w:val="Heading2"/>
    <w:next w:val="BodyText"/>
    <w:qFormat/>
    <w:rsid w:val="00B525EE"/>
    <w:pPr>
      <w:numPr>
        <w:ilvl w:val="6"/>
      </w:numPr>
      <w:outlineLvl w:val="6"/>
    </w:pPr>
    <w:rPr>
      <w:rFonts w:ascii="Franklin Gothic Demi" w:hAnsi="Franklin Gothic Demi"/>
      <w:sz w:val="28"/>
      <w:szCs w:val="28"/>
    </w:rPr>
  </w:style>
  <w:style w:type="paragraph" w:styleId="Heading8">
    <w:name w:val="heading 8"/>
    <w:basedOn w:val="Heading3"/>
    <w:next w:val="BodyText"/>
    <w:qFormat/>
    <w:rsid w:val="00B525EE"/>
    <w:pPr>
      <w:numPr>
        <w:ilvl w:val="7"/>
      </w:numPr>
      <w:outlineLvl w:val="7"/>
    </w:pPr>
  </w:style>
  <w:style w:type="paragraph" w:styleId="Heading9">
    <w:name w:val="heading 9"/>
    <w:basedOn w:val="Heading4"/>
    <w:next w:val="BodyText"/>
    <w:qFormat/>
    <w:rsid w:val="00B525EE"/>
    <w:pPr>
      <w:numPr>
        <w:ilvl w:val="8"/>
      </w:numPr>
      <w:outlineLvl w:val="8"/>
    </w:pPr>
  </w:style>
  <w:style w:type="character" w:default="1" w:styleId="DefaultParagraphFont">
    <w:name w:val="Default Paragraph Font"/>
    <w:aliases w:val=" Char Char6"/>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rsid w:val="0001356A"/>
    <w:pPr>
      <w:spacing w:before="80" w:after="80" w:line="280" w:lineRule="atLeast"/>
    </w:pPr>
    <w:rPr>
      <w:rFonts w:ascii="Georgia" w:hAnsi="Georgia"/>
      <w:sz w:val="19"/>
      <w:szCs w:val="19"/>
    </w:rPr>
  </w:style>
  <w:style w:type="character" w:customStyle="1" w:styleId="BodyTextChar">
    <w:name w:val="Body Text Char"/>
    <w:link w:val="BodyText"/>
    <w:rsid w:val="0001356A"/>
    <w:rPr>
      <w:rFonts w:ascii="Georgia" w:hAnsi="Georgia"/>
      <w:sz w:val="19"/>
      <w:szCs w:val="19"/>
      <w:lang w:val="en-AU" w:eastAsia="en-AU" w:bidi="ar-SA"/>
    </w:rPr>
  </w:style>
  <w:style w:type="character" w:customStyle="1" w:styleId="DraftingNote">
    <w:name w:val="Drafting Note"/>
    <w:semiHidden/>
    <w:rsid w:val="00F0026A"/>
    <w:rPr>
      <w:rFonts w:ascii="Georgia" w:hAnsi="Georgia"/>
      <w:b/>
      <w:color w:val="FF0000"/>
      <w:sz w:val="19"/>
      <w:szCs w:val="19"/>
      <w:u w:val="dotted"/>
    </w:rPr>
  </w:style>
  <w:style w:type="paragraph" w:customStyle="1" w:styleId="QuoteBullet">
    <w:name w:val="Quote Bullet"/>
    <w:basedOn w:val="Quote"/>
    <w:rsid w:val="008B14A2"/>
    <w:pPr>
      <w:numPr>
        <w:numId w:val="17"/>
      </w:numPr>
    </w:pPr>
  </w:style>
  <w:style w:type="paragraph" w:customStyle="1" w:styleId="Abbreviation">
    <w:name w:val="Abbreviation"/>
    <w:basedOn w:val="BodyText"/>
    <w:rsid w:val="00942B42"/>
    <w:pPr>
      <w:ind w:left="1418" w:hanging="1418"/>
    </w:pPr>
  </w:style>
  <w:style w:type="paragraph" w:customStyle="1" w:styleId="Ratingamber">
    <w:name w:val="Rating amber"/>
    <w:basedOn w:val="Normal"/>
    <w:semiHidden/>
    <w:rsid w:val="001C6E03"/>
    <w:pPr>
      <w:numPr>
        <w:numId w:val="10"/>
      </w:numPr>
      <w:spacing w:before="80" w:after="80" w:line="280" w:lineRule="atLeast"/>
    </w:pPr>
    <w:rPr>
      <w:rFonts w:ascii="Georgia" w:hAnsi="Georgia"/>
      <w:sz w:val="19"/>
      <w:szCs w:val="19"/>
    </w:rPr>
  </w:style>
  <w:style w:type="paragraph" w:styleId="ListBullet">
    <w:name w:val="List Bullet"/>
    <w:basedOn w:val="BodyText"/>
    <w:rsid w:val="002C5AF0"/>
    <w:pPr>
      <w:numPr>
        <w:numId w:val="15"/>
      </w:numPr>
    </w:pPr>
  </w:style>
  <w:style w:type="paragraph" w:styleId="ListBullet2">
    <w:name w:val="List Bullet 2"/>
    <w:basedOn w:val="ListBullet"/>
    <w:rsid w:val="00D42D78"/>
    <w:pPr>
      <w:numPr>
        <w:numId w:val="12"/>
      </w:numPr>
      <w:spacing w:before="0"/>
      <w:ind w:left="568" w:hanging="284"/>
    </w:pPr>
  </w:style>
  <w:style w:type="paragraph" w:styleId="ListNumber">
    <w:name w:val="List Number"/>
    <w:basedOn w:val="ListBullet"/>
    <w:rsid w:val="00D42D78"/>
    <w:pPr>
      <w:numPr>
        <w:numId w:val="13"/>
      </w:numPr>
    </w:pPr>
  </w:style>
  <w:style w:type="paragraph" w:styleId="ListNumber2">
    <w:name w:val="List Number 2"/>
    <w:basedOn w:val="ListNumber"/>
    <w:rsid w:val="00D42D78"/>
    <w:pPr>
      <w:numPr>
        <w:numId w:val="14"/>
      </w:numPr>
      <w:spacing w:before="0"/>
      <w:ind w:left="568" w:hanging="284"/>
    </w:pPr>
  </w:style>
  <w:style w:type="paragraph" w:styleId="Quote">
    <w:name w:val="Quote"/>
    <w:basedOn w:val="BodyText"/>
    <w:next w:val="BodyText"/>
    <w:qFormat/>
    <w:rsid w:val="00B84A71"/>
    <w:pPr>
      <w:spacing w:before="0" w:line="260" w:lineRule="atLeast"/>
      <w:ind w:left="284"/>
    </w:pPr>
    <w:rPr>
      <w:sz w:val="17"/>
      <w:szCs w:val="17"/>
    </w:rPr>
  </w:style>
  <w:style w:type="paragraph" w:customStyle="1" w:styleId="Ratinggreen">
    <w:name w:val="Rating green"/>
    <w:basedOn w:val="Ratingamber"/>
    <w:semiHidden/>
    <w:rsid w:val="001C6E03"/>
    <w:pPr>
      <w:numPr>
        <w:numId w:val="11"/>
      </w:numPr>
    </w:pPr>
  </w:style>
  <w:style w:type="paragraph" w:customStyle="1" w:styleId="Reference">
    <w:name w:val="Reference"/>
    <w:basedOn w:val="BodyText"/>
    <w:semiHidden/>
    <w:rsid w:val="00F0026A"/>
    <w:pPr>
      <w:keepLines/>
      <w:spacing w:before="60" w:after="60" w:line="260" w:lineRule="atLeast"/>
      <w:ind w:left="284" w:hanging="284"/>
    </w:pPr>
    <w:rPr>
      <w:sz w:val="17"/>
      <w:szCs w:val="17"/>
    </w:rPr>
  </w:style>
  <w:style w:type="paragraph" w:styleId="Title">
    <w:name w:val="Title"/>
    <w:basedOn w:val="Normal"/>
    <w:next w:val="Subtitle"/>
    <w:link w:val="TitleChar"/>
    <w:qFormat/>
    <w:rsid w:val="00E77D0C"/>
    <w:pPr>
      <w:pageBreakBefore/>
      <w:spacing w:line="540" w:lineRule="atLeast"/>
    </w:pPr>
    <w:rPr>
      <w:rFonts w:ascii="Franklin Gothic Book" w:hAnsi="Franklin Gothic Book"/>
      <w:color w:val="FFFFFF"/>
      <w:spacing w:val="-10"/>
      <w:kern w:val="28"/>
      <w:sz w:val="46"/>
      <w:szCs w:val="46"/>
    </w:rPr>
  </w:style>
  <w:style w:type="paragraph" w:styleId="Subtitle">
    <w:name w:val="Subtitle"/>
    <w:basedOn w:val="Title"/>
    <w:next w:val="Date"/>
    <w:link w:val="SubtitleChar"/>
    <w:qFormat/>
    <w:rsid w:val="005B522F"/>
    <w:pPr>
      <w:pageBreakBefore w:val="0"/>
      <w:spacing w:before="120" w:line="380" w:lineRule="atLeast"/>
    </w:pPr>
    <w:rPr>
      <w:sz w:val="32"/>
      <w:szCs w:val="32"/>
    </w:rPr>
  </w:style>
  <w:style w:type="paragraph" w:customStyle="1" w:styleId="Contents">
    <w:name w:val="Contents"/>
    <w:basedOn w:val="Normal"/>
    <w:next w:val="BodyText"/>
    <w:semiHidden/>
    <w:rsid w:val="00DE7339"/>
    <w:pPr>
      <w:spacing w:before="460" w:after="100" w:line="320" w:lineRule="atLeast"/>
    </w:pPr>
    <w:rPr>
      <w:rFonts w:ascii="Franklin Gothic Demi" w:hAnsi="Franklin Gothic Demi"/>
      <w:color w:val="AD495D"/>
      <w:kern w:val="28"/>
      <w:sz w:val="28"/>
      <w:szCs w:val="28"/>
    </w:rPr>
  </w:style>
  <w:style w:type="paragraph" w:styleId="Date">
    <w:name w:val="Date"/>
    <w:basedOn w:val="Subtitle"/>
    <w:next w:val="Author"/>
    <w:link w:val="DateChar"/>
    <w:semiHidden/>
    <w:rsid w:val="00A53A6B"/>
    <w:pPr>
      <w:spacing w:after="1000"/>
    </w:pPr>
    <w:rPr>
      <w:sz w:val="24"/>
      <w:szCs w:val="24"/>
    </w:rPr>
  </w:style>
  <w:style w:type="paragraph" w:styleId="Footer">
    <w:name w:val="footer"/>
    <w:basedOn w:val="Normal"/>
    <w:semiHidden/>
    <w:rsid w:val="00F23FD4"/>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paragraph" w:styleId="Header">
    <w:name w:val="header"/>
    <w:basedOn w:val="Normal"/>
    <w:semiHidden/>
    <w:rsid w:val="0073548A"/>
    <w:pPr>
      <w:spacing w:line="180" w:lineRule="exact"/>
      <w:jc w:val="right"/>
    </w:pPr>
    <w:rPr>
      <w:rFonts w:ascii="Franklin Gothic Medium" w:hAnsi="Franklin Gothic Medium"/>
      <w:sz w:val="14"/>
      <w:szCs w:val="14"/>
    </w:rPr>
  </w:style>
  <w:style w:type="character" w:styleId="PageNumber">
    <w:name w:val="page number"/>
    <w:semiHidden/>
    <w:rsid w:val="007A2D4A"/>
    <w:rPr>
      <w:rFonts w:ascii="Franklin Gothic Medium" w:hAnsi="Franklin Gothic Medium"/>
      <w:color w:val="54534A"/>
      <w:sz w:val="14"/>
      <w:szCs w:val="14"/>
    </w:rPr>
  </w:style>
  <w:style w:type="paragraph" w:styleId="TOC1">
    <w:name w:val="toc 1"/>
    <w:basedOn w:val="BodyText"/>
    <w:next w:val="BodyText"/>
    <w:uiPriority w:val="39"/>
    <w:rsid w:val="00DE7339"/>
    <w:pPr>
      <w:tabs>
        <w:tab w:val="left" w:pos="397"/>
        <w:tab w:val="right" w:pos="7938"/>
      </w:tabs>
      <w:spacing w:before="180" w:after="0"/>
      <w:ind w:left="397" w:right="567" w:hanging="397"/>
    </w:pPr>
    <w:rPr>
      <w:rFonts w:ascii="Franklin Gothic Medium" w:hAnsi="Franklin Gothic Medium"/>
      <w:color w:val="54534A"/>
      <w:sz w:val="24"/>
      <w:szCs w:val="24"/>
    </w:rPr>
  </w:style>
  <w:style w:type="paragraph" w:styleId="TOC2">
    <w:name w:val="toc 2"/>
    <w:basedOn w:val="TOC1"/>
    <w:next w:val="TOC1"/>
    <w:uiPriority w:val="39"/>
    <w:rsid w:val="00DE7339"/>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F15D8B"/>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basedOn w:val="Normal"/>
    <w:next w:val="BodyText"/>
    <w:qFormat/>
    <w:rsid w:val="00227783"/>
    <w:pPr>
      <w:keepNext/>
      <w:spacing w:before="320" w:after="80" w:line="230" w:lineRule="exact"/>
    </w:pPr>
    <w:rPr>
      <w:rFonts w:ascii="Franklin Gothic Demi" w:hAnsi="Franklin Gothic Demi"/>
      <w:color w:val="7E6D5F"/>
      <w:sz w:val="19"/>
      <w:szCs w:val="19"/>
    </w:rPr>
  </w:style>
  <w:style w:type="paragraph" w:customStyle="1" w:styleId="BoxListBullet">
    <w:name w:val="Box List Bullet"/>
    <w:basedOn w:val="BoxText"/>
    <w:rsid w:val="006C6761"/>
    <w:pPr>
      <w:keepLines/>
      <w:numPr>
        <w:numId w:val="5"/>
      </w:numPr>
      <w:spacing w:before="0"/>
    </w:pPr>
    <w:rPr>
      <w:szCs w:val="20"/>
    </w:rPr>
  </w:style>
  <w:style w:type="character" w:customStyle="1" w:styleId="NoteLabel">
    <w:name w:val="Note Label"/>
    <w:rsid w:val="0073548A"/>
    <w:rPr>
      <w:rFonts w:ascii="Franklin Gothic Medium" w:hAnsi="Franklin Gothic Medium"/>
      <w:color w:val="auto"/>
      <w:position w:val="4"/>
      <w:sz w:val="14"/>
      <w:szCs w:val="14"/>
    </w:rPr>
  </w:style>
  <w:style w:type="paragraph" w:customStyle="1" w:styleId="Note">
    <w:name w:val="Note"/>
    <w:basedOn w:val="TableTextEntries"/>
    <w:next w:val="Source"/>
    <w:link w:val="NoteCharChar"/>
    <w:rsid w:val="008D75EB"/>
    <w:pPr>
      <w:spacing w:after="0" w:line="180" w:lineRule="atLeast"/>
    </w:pPr>
    <w:rPr>
      <w:sz w:val="14"/>
      <w:szCs w:val="14"/>
    </w:rPr>
  </w:style>
  <w:style w:type="paragraph" w:customStyle="1" w:styleId="TableTextEntries">
    <w:name w:val="Table Text Entries"/>
    <w:basedOn w:val="Normal"/>
    <w:rsid w:val="00F021E7"/>
    <w:pPr>
      <w:keepLines/>
      <w:spacing w:before="40" w:after="40" w:line="200" w:lineRule="atLeast"/>
    </w:pPr>
    <w:rPr>
      <w:rFonts w:ascii="Franklin Gothic Book" w:hAnsi="Franklin Gothic Book"/>
      <w:sz w:val="17"/>
      <w:szCs w:val="17"/>
      <w:lang w:eastAsia="en-US"/>
    </w:rPr>
  </w:style>
  <w:style w:type="paragraph" w:customStyle="1" w:styleId="Source">
    <w:name w:val="Source"/>
    <w:basedOn w:val="Note"/>
    <w:next w:val="BodyText"/>
    <w:rsid w:val="00ED5E2B"/>
    <w:pPr>
      <w:spacing w:after="240"/>
    </w:pPr>
  </w:style>
  <w:style w:type="paragraph" w:customStyle="1" w:styleId="BoxHeading1">
    <w:name w:val="Box Heading 1"/>
    <w:basedOn w:val="BoxText"/>
    <w:next w:val="BoxText"/>
    <w:rsid w:val="00FC7629"/>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2C23D1"/>
    <w:pPr>
      <w:spacing w:before="140"/>
    </w:pPr>
    <w:rPr>
      <w:rFonts w:ascii="Franklin Gothic Book" w:hAnsi="Franklin Gothic Book"/>
      <w:i/>
      <w:color w:val="auto"/>
    </w:rPr>
  </w:style>
  <w:style w:type="paragraph" w:customStyle="1" w:styleId="TableListBullet">
    <w:name w:val="Table List Bullet"/>
    <w:basedOn w:val="TableTextEntries"/>
    <w:rsid w:val="00FA0700"/>
    <w:pPr>
      <w:numPr>
        <w:numId w:val="8"/>
      </w:numPr>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uiPriority w:val="39"/>
    <w:rsid w:val="00F9523B"/>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B622E7"/>
    <w:pPr>
      <w:jc w:val="right"/>
    </w:pPr>
  </w:style>
  <w:style w:type="paragraph" w:customStyle="1" w:styleId="Recommendation">
    <w:name w:val="Recommendation"/>
    <w:basedOn w:val="BodyText"/>
    <w:next w:val="BodyText"/>
    <w:semiHidden/>
    <w:rsid w:val="00671255"/>
    <w:pPr>
      <w:tabs>
        <w:tab w:val="left" w:pos="284"/>
      </w:tabs>
      <w:ind w:left="284" w:hanging="284"/>
    </w:pPr>
    <w:rPr>
      <w:rFonts w:eastAsia="MS Mincho" w:cs="MS Mincho"/>
      <w:b/>
    </w:rPr>
  </w:style>
  <w:style w:type="paragraph" w:styleId="TOC6">
    <w:name w:val="toc 6"/>
    <w:basedOn w:val="BodyText"/>
    <w:next w:val="BodyText"/>
    <w:semiHidden/>
    <w:rsid w:val="00671255"/>
    <w:pPr>
      <w:tabs>
        <w:tab w:val="left" w:pos="284"/>
        <w:tab w:val="right" w:pos="8222"/>
      </w:tabs>
      <w:ind w:left="284" w:right="567" w:hanging="284"/>
    </w:pPr>
  </w:style>
  <w:style w:type="character" w:styleId="CommentReference">
    <w:name w:val="annotation reference"/>
    <w:semiHidden/>
    <w:rsid w:val="007A2D4A"/>
    <w:rPr>
      <w:rFonts w:ascii="Franklin Gothic Medium" w:hAnsi="Franklin Gothic Medium"/>
      <w:vanish/>
      <w:color w:val="FF00FF"/>
      <w:sz w:val="16"/>
      <w:szCs w:val="16"/>
    </w:rPr>
  </w:style>
  <w:style w:type="paragraph" w:styleId="CommentText">
    <w:name w:val="annotation text"/>
    <w:basedOn w:val="BodyText"/>
    <w:semiHidden/>
    <w:rsid w:val="008527C1"/>
    <w:pPr>
      <w:spacing w:line="240" w:lineRule="atLeast"/>
    </w:pPr>
    <w:rPr>
      <w:rFonts w:ascii="Calibri" w:hAnsi="Calibri"/>
      <w:sz w:val="18"/>
      <w:szCs w:val="18"/>
    </w:rPr>
  </w:style>
  <w:style w:type="character" w:styleId="FootnoteReference">
    <w:name w:val="footnote reference"/>
    <w:semiHidden/>
    <w:rsid w:val="00FB1DA4"/>
    <w:rPr>
      <w:rFonts w:ascii="Franklin Gothic Book" w:hAnsi="Franklin Gothic Book"/>
      <w:w w:val="100"/>
      <w:position w:val="6"/>
      <w:sz w:val="12"/>
      <w:szCs w:val="12"/>
      <w:vertAlign w:val="baseline"/>
    </w:rPr>
  </w:style>
  <w:style w:type="paragraph" w:styleId="FootnoteText">
    <w:name w:val="footnote text"/>
    <w:basedOn w:val="BodyText"/>
    <w:semiHidden/>
    <w:rsid w:val="00281D52"/>
    <w:pPr>
      <w:spacing w:before="0" w:after="0" w:line="180" w:lineRule="atLeast"/>
      <w:ind w:left="284" w:hanging="284"/>
    </w:pPr>
    <w:rPr>
      <w:rFonts w:ascii="Franklin Gothic Book" w:hAnsi="Franklin Gothic Book"/>
      <w:sz w:val="14"/>
      <w:szCs w:val="14"/>
    </w:rPr>
  </w:style>
  <w:style w:type="character" w:styleId="Hyperlink">
    <w:name w:val="Hyperlink"/>
    <w:uiPriority w:val="99"/>
    <w:rsid w:val="00254E43"/>
    <w:rPr>
      <w:color w:val="00467F"/>
      <w:sz w:val="20"/>
      <w:szCs w:val="20"/>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97190C"/>
    <w:pPr>
      <w:tabs>
        <w:tab w:val="left" w:pos="1418"/>
      </w:tabs>
      <w:ind w:left="1418" w:hanging="1418"/>
    </w:pPr>
  </w:style>
  <w:style w:type="paragraph" w:customStyle="1" w:styleId="Author">
    <w:name w:val="Author"/>
    <w:basedOn w:val="Date"/>
    <w:next w:val="Position"/>
    <w:link w:val="AuthorCharChar"/>
    <w:semiHidden/>
    <w:rsid w:val="0075426C"/>
    <w:pPr>
      <w:spacing w:before="180" w:after="0" w:line="260" w:lineRule="atLeast"/>
    </w:pPr>
    <w:rPr>
      <w:rFonts w:ascii="Franklin Gothic Medium" w:hAnsi="Franklin Gothic Medium"/>
      <w:spacing w:val="-2"/>
    </w:rPr>
  </w:style>
  <w:style w:type="paragraph" w:customStyle="1" w:styleId="Position">
    <w:name w:val="Position"/>
    <w:basedOn w:val="Author"/>
    <w:next w:val="Author"/>
    <w:link w:val="PositionCharChar"/>
    <w:semiHidden/>
    <w:rsid w:val="0075426C"/>
    <w:pPr>
      <w:spacing w:before="0"/>
    </w:pPr>
    <w:rPr>
      <w:rFonts w:ascii="Franklin Gothic Book" w:hAnsi="Franklin Gothic Book"/>
    </w:rPr>
  </w:style>
  <w:style w:type="paragraph" w:customStyle="1" w:styleId="CharChar">
    <w:name w:val="Char Char"/>
    <w:basedOn w:val="BoxText"/>
    <w:semiHidden/>
    <w:rsid w:val="001E5458"/>
  </w:style>
  <w:style w:type="paragraph" w:customStyle="1" w:styleId="Client">
    <w:name w:val="Client"/>
    <w:basedOn w:val="Author"/>
    <w:semiHidden/>
    <w:rsid w:val="00AD1F3F"/>
  </w:style>
  <w:style w:type="paragraph" w:customStyle="1" w:styleId="TableDataEntries">
    <w:name w:val="Table Data Entries"/>
    <w:basedOn w:val="TableTextEntries"/>
    <w:rsid w:val="009B0288"/>
    <w:pPr>
      <w:jc w:val="right"/>
    </w:pPr>
  </w:style>
  <w:style w:type="paragraph" w:customStyle="1" w:styleId="TableDataColumnHeading">
    <w:name w:val="Table Data Column Heading"/>
    <w:basedOn w:val="TableDataEntries"/>
    <w:rsid w:val="008E6453"/>
    <w:pPr>
      <w:spacing w:before="80" w:after="80"/>
    </w:pPr>
    <w:rPr>
      <w:rFonts w:ascii="Franklin Gothic Medium" w:hAnsi="Franklin Gothic Medium"/>
    </w:rPr>
  </w:style>
  <w:style w:type="paragraph" w:customStyle="1" w:styleId="TableHeading1">
    <w:name w:val="Table Heading 1"/>
    <w:basedOn w:val="TableTextEntries"/>
    <w:next w:val="TableTextEntries"/>
    <w:rsid w:val="008E6453"/>
    <w:pPr>
      <w:spacing w:before="80" w:after="80"/>
    </w:pPr>
    <w:rPr>
      <w:rFonts w:ascii="Franklin Gothic Medium" w:hAnsi="Franklin Gothic Medium"/>
    </w:rPr>
  </w:style>
  <w:style w:type="paragraph" w:customStyle="1" w:styleId="TableHeading2">
    <w:name w:val="Table Heading 2"/>
    <w:basedOn w:val="TableHeading1"/>
    <w:next w:val="TableTextEntries"/>
    <w:rsid w:val="008E6453"/>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FA0700"/>
    <w:pPr>
      <w:numPr>
        <w:numId w:val="9"/>
      </w:numPr>
    </w:pPr>
  </w:style>
  <w:style w:type="paragraph" w:customStyle="1" w:styleId="TableListNumber">
    <w:name w:val="Table List Number"/>
    <w:basedOn w:val="TableTextEntries"/>
    <w:rsid w:val="008C0773"/>
    <w:pPr>
      <w:numPr>
        <w:numId w:val="1"/>
      </w:numPr>
    </w:pPr>
  </w:style>
  <w:style w:type="paragraph" w:customStyle="1" w:styleId="TableListNumber2">
    <w:name w:val="Table List Number 2"/>
    <w:basedOn w:val="TableListNumber"/>
    <w:rsid w:val="00396E51"/>
    <w:pPr>
      <w:numPr>
        <w:numId w:val="2"/>
      </w:numPr>
    </w:pPr>
  </w:style>
  <w:style w:type="paragraph" w:customStyle="1" w:styleId="TableTextColumnHeading">
    <w:name w:val="Table Text Column Heading"/>
    <w:basedOn w:val="TableDataColumnHeading"/>
    <w:rsid w:val="008E6453"/>
    <w:pPr>
      <w:jc w:val="left"/>
    </w:pPr>
  </w:style>
  <w:style w:type="paragraph" w:customStyle="1" w:styleId="TableUnit">
    <w:name w:val="Table Unit"/>
    <w:basedOn w:val="TableDataColumnHeading"/>
    <w:next w:val="TableDataEntries"/>
    <w:semiHidden/>
    <w:rsid w:val="008E6453"/>
    <w:pPr>
      <w:keepNext/>
    </w:pPr>
    <w:rPr>
      <w:rFonts w:ascii="Franklin Gothic Book" w:hAnsi="Franklin Gothic Book"/>
    </w:rPr>
  </w:style>
  <w:style w:type="paragraph" w:customStyle="1" w:styleId="NoteNumber">
    <w:name w:val="Note Number"/>
    <w:basedOn w:val="TableTextEntries"/>
    <w:link w:val="NoteNumberCharChar"/>
    <w:rsid w:val="00EE7AC8"/>
    <w:pPr>
      <w:numPr>
        <w:numId w:val="16"/>
      </w:numPr>
      <w:spacing w:after="0" w:line="180" w:lineRule="atLeast"/>
    </w:pPr>
    <w:rPr>
      <w:sz w:val="14"/>
      <w:szCs w:val="14"/>
    </w:rPr>
  </w:style>
  <w:style w:type="character" w:styleId="FollowedHyperlink">
    <w:name w:val="FollowedHyperlink"/>
    <w:semiHidden/>
    <w:rsid w:val="00085585"/>
    <w:rPr>
      <w:color w:val="333399"/>
      <w:u w:val="none"/>
    </w:rPr>
  </w:style>
  <w:style w:type="paragraph" w:customStyle="1" w:styleId="Blurb">
    <w:name w:val="Blurb"/>
    <w:basedOn w:val="Caption"/>
    <w:semiHidden/>
    <w:rsid w:val="0075426C"/>
    <w:pPr>
      <w:spacing w:before="180" w:after="0" w:line="280" w:lineRule="atLeast"/>
    </w:pPr>
    <w:rPr>
      <w:color w:val="FFFFFF"/>
    </w:rPr>
  </w:style>
  <w:style w:type="paragraph" w:customStyle="1" w:styleId="Figure">
    <w:name w:val="Figure"/>
    <w:basedOn w:val="BodyText"/>
    <w:next w:val="BodyText"/>
    <w:semiHidden/>
    <w:rsid w:val="00EA0F2C"/>
    <w:pPr>
      <w:spacing w:before="0" w:line="200" w:lineRule="atLeast"/>
    </w:pPr>
    <w:rPr>
      <w:sz w:val="18"/>
      <w:szCs w:val="18"/>
    </w:rPr>
  </w:style>
  <w:style w:type="paragraph" w:customStyle="1" w:styleId="BoxListBullet2">
    <w:name w:val="Box List Bullet 2"/>
    <w:basedOn w:val="BoxListBullet"/>
    <w:rsid w:val="006C6761"/>
    <w:pPr>
      <w:numPr>
        <w:numId w:val="4"/>
      </w:numPr>
    </w:pPr>
    <w:rPr>
      <w:szCs w:val="18"/>
    </w:rPr>
  </w:style>
  <w:style w:type="paragraph" w:customStyle="1" w:styleId="BoxText">
    <w:name w:val="Box Text"/>
    <w:basedOn w:val="Normal"/>
    <w:link w:val="BoxTextChar"/>
    <w:rsid w:val="009A28D5"/>
    <w:pPr>
      <w:spacing w:before="60" w:after="60" w:line="260" w:lineRule="atLeast"/>
    </w:pPr>
    <w:rPr>
      <w:rFonts w:ascii="Franklin Gothic Book" w:hAnsi="Franklin Gothic Book"/>
      <w:sz w:val="18"/>
      <w:szCs w:val="18"/>
    </w:rPr>
  </w:style>
  <w:style w:type="paragraph" w:customStyle="1" w:styleId="BoxListNumber">
    <w:name w:val="Box List Number"/>
    <w:basedOn w:val="BoxText"/>
    <w:rsid w:val="00165C4D"/>
    <w:pPr>
      <w:numPr>
        <w:numId w:val="6"/>
      </w:numPr>
      <w:spacing w:before="0"/>
    </w:pPr>
  </w:style>
  <w:style w:type="paragraph" w:customStyle="1" w:styleId="BoxListNumber2">
    <w:name w:val="Box List Number 2"/>
    <w:basedOn w:val="BoxListNumber"/>
    <w:rsid w:val="006C6761"/>
    <w:pPr>
      <w:numPr>
        <w:numId w:val="3"/>
      </w:numPr>
    </w:pPr>
  </w:style>
  <w:style w:type="paragraph" w:customStyle="1" w:styleId="BoxNoteSource">
    <w:name w:val="Box Note/Source"/>
    <w:basedOn w:val="BoxText"/>
    <w:rsid w:val="006C6761"/>
    <w:pPr>
      <w:spacing w:before="100" w:after="100" w:line="180" w:lineRule="atLeast"/>
    </w:pPr>
    <w:rPr>
      <w:sz w:val="14"/>
      <w:szCs w:val="14"/>
    </w:rPr>
  </w:style>
  <w:style w:type="paragraph" w:customStyle="1" w:styleId="BoxQuote">
    <w:name w:val="Box Quote"/>
    <w:basedOn w:val="BoxText"/>
    <w:next w:val="BoxText"/>
    <w:rsid w:val="00A60B48"/>
    <w:pPr>
      <w:spacing w:before="0" w:line="240" w:lineRule="atLeast"/>
      <w:ind w:left="284"/>
    </w:pPr>
    <w:rPr>
      <w:sz w:val="16"/>
      <w:szCs w:val="16"/>
    </w:rPr>
  </w:style>
  <w:style w:type="character" w:customStyle="1" w:styleId="TableListBullet2CharChar">
    <w:name w:val="Table List Bullet 2 Char Char"/>
    <w:link w:val="TableListBullet2"/>
    <w:rsid w:val="00C05EB3"/>
    <w:rPr>
      <w:rFonts w:ascii="Franklin Gothic Book" w:hAnsi="Franklin Gothic Book"/>
      <w:sz w:val="17"/>
      <w:szCs w:val="17"/>
      <w:lang w:val="en-AU" w:eastAsia="en-US" w:bidi="ar-SA"/>
    </w:rPr>
  </w:style>
  <w:style w:type="character" w:customStyle="1" w:styleId="NoteCharChar">
    <w:name w:val="Note Char Char"/>
    <w:link w:val="Note"/>
    <w:rsid w:val="008D75EB"/>
    <w:rPr>
      <w:rFonts w:ascii="Franklin Gothic Book" w:hAnsi="Franklin Gothic Book"/>
      <w:sz w:val="14"/>
      <w:szCs w:val="14"/>
      <w:lang w:val="en-AU" w:eastAsia="en-US" w:bidi="ar-SA"/>
    </w:rPr>
  </w:style>
  <w:style w:type="character" w:customStyle="1" w:styleId="NoteNumberCharChar">
    <w:name w:val="Note Number Char Char"/>
    <w:link w:val="NoteNumber"/>
    <w:rsid w:val="00EE7AC8"/>
    <w:rPr>
      <w:rFonts w:ascii="Franklin Gothic Book" w:hAnsi="Franklin Gothic Book"/>
      <w:sz w:val="14"/>
      <w:szCs w:val="14"/>
      <w:lang w:val="en-AU" w:eastAsia="en-US" w:bidi="ar-SA"/>
    </w:rPr>
  </w:style>
  <w:style w:type="character" w:customStyle="1" w:styleId="TitleChar">
    <w:name w:val="Title Char"/>
    <w:link w:val="Title"/>
    <w:rsid w:val="00E77D0C"/>
    <w:rPr>
      <w:rFonts w:ascii="Franklin Gothic Book" w:hAnsi="Franklin Gothic Book"/>
      <w:color w:val="FFFFFF"/>
      <w:spacing w:val="-10"/>
      <w:kern w:val="28"/>
      <w:sz w:val="46"/>
      <w:szCs w:val="46"/>
      <w:lang w:val="en-AU" w:eastAsia="en-AU" w:bidi="ar-SA"/>
    </w:rPr>
  </w:style>
  <w:style w:type="character" w:customStyle="1" w:styleId="SubtitleChar">
    <w:name w:val="Subtitle Char"/>
    <w:link w:val="Subtitle"/>
    <w:rsid w:val="005B522F"/>
    <w:rPr>
      <w:rFonts w:ascii="Franklin Gothic Book" w:hAnsi="Franklin Gothic Book"/>
      <w:color w:val="FFFFFF"/>
      <w:spacing w:val="-10"/>
      <w:kern w:val="28"/>
      <w:sz w:val="32"/>
      <w:szCs w:val="32"/>
      <w:lang w:val="en-AU" w:eastAsia="en-AU" w:bidi="ar-SA"/>
    </w:rPr>
  </w:style>
  <w:style w:type="character" w:customStyle="1" w:styleId="DateChar">
    <w:name w:val="Date Char"/>
    <w:link w:val="Date"/>
    <w:rsid w:val="00A53A6B"/>
    <w:rPr>
      <w:rFonts w:ascii="Franklin Gothic Book" w:hAnsi="Franklin Gothic Book"/>
      <w:color w:val="FFFFFF"/>
      <w:spacing w:val="-10"/>
      <w:kern w:val="28"/>
      <w:sz w:val="24"/>
      <w:szCs w:val="24"/>
      <w:lang w:val="en-AU" w:eastAsia="en-AU" w:bidi="ar-SA"/>
    </w:rPr>
  </w:style>
  <w:style w:type="character" w:customStyle="1" w:styleId="AuthorCharChar">
    <w:name w:val="Author Char Char"/>
    <w:link w:val="Author"/>
    <w:rsid w:val="0075426C"/>
    <w:rPr>
      <w:rFonts w:ascii="Franklin Gothic Medium" w:hAnsi="Franklin Gothic Medium"/>
      <w:color w:val="FFFFFF"/>
      <w:spacing w:val="-2"/>
      <w:kern w:val="28"/>
      <w:sz w:val="24"/>
      <w:szCs w:val="24"/>
      <w:lang w:val="en-AU" w:eastAsia="en-AU" w:bidi="ar-SA"/>
    </w:rPr>
  </w:style>
  <w:style w:type="character" w:customStyle="1" w:styleId="PositionCharChar">
    <w:name w:val="Position Char Char"/>
    <w:link w:val="Position"/>
    <w:rsid w:val="0075426C"/>
    <w:rPr>
      <w:rFonts w:ascii="Franklin Gothic Book" w:hAnsi="Franklin Gothic Book"/>
      <w:color w:val="FFFFFF"/>
      <w:spacing w:val="-2"/>
      <w:kern w:val="28"/>
      <w:sz w:val="24"/>
      <w:szCs w:val="24"/>
      <w:lang w:val="en-AU" w:eastAsia="en-AU" w:bidi="ar-SA"/>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semiHidden/>
    <w:rsid w:val="00187D56"/>
    <w:pPr>
      <w:spacing w:before="140" w:after="240" w:line="180" w:lineRule="exact"/>
    </w:pPr>
    <w:rPr>
      <w:rFonts w:ascii="Franklin Gothic Medium" w:hAnsi="Franklin Gothic Medium"/>
      <w:color w:val="54534A"/>
      <w:sz w:val="14"/>
      <w:szCs w:val="14"/>
    </w:rPr>
  </w:style>
  <w:style w:type="paragraph" w:customStyle="1" w:styleId="a">
    <w:basedOn w:val="Normal"/>
    <w:semiHidden/>
    <w:rsid w:val="00953A8D"/>
    <w:pPr>
      <w:spacing w:before="180" w:line="280" w:lineRule="atLeast"/>
    </w:pPr>
    <w:rPr>
      <w:rFonts w:ascii="Arial" w:hAnsi="Arial"/>
      <w:sz w:val="22"/>
      <w:szCs w:val="20"/>
      <w:lang w:eastAsia="en-US"/>
    </w:rPr>
  </w:style>
  <w:style w:type="table" w:styleId="TableGrid">
    <w:name w:val="Table Grid"/>
    <w:basedOn w:val="TableNormal"/>
    <w:semiHidden/>
    <w:rsid w:val="005C4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1C6E03"/>
  </w:style>
  <w:style w:type="paragraph" w:customStyle="1" w:styleId="Ratingbullet">
    <w:name w:val="Rating bullet"/>
    <w:basedOn w:val="TableTextEntries"/>
    <w:semiHidden/>
    <w:rsid w:val="001C6E03"/>
    <w:pPr>
      <w:jc w:val="center"/>
    </w:pPr>
    <w:rPr>
      <w:sz w:val="22"/>
      <w:szCs w:val="22"/>
    </w:rPr>
  </w:style>
  <w:style w:type="paragraph" w:styleId="CommentSubject">
    <w:name w:val="annotation subject"/>
    <w:basedOn w:val="CommentText"/>
    <w:next w:val="CommentText"/>
    <w:semiHidden/>
    <w:rsid w:val="00911B9C"/>
    <w:pPr>
      <w:spacing w:before="0" w:after="0" w:line="240" w:lineRule="auto"/>
    </w:pPr>
    <w:rPr>
      <w:rFonts w:ascii="Times New Roman" w:hAnsi="Times New Roman"/>
      <w:b/>
      <w:bCs/>
      <w:sz w:val="20"/>
      <w:szCs w:val="20"/>
    </w:rPr>
  </w:style>
  <w:style w:type="paragraph" w:styleId="BalloonText">
    <w:name w:val="Balloon Text"/>
    <w:basedOn w:val="Normal"/>
    <w:semiHidden/>
    <w:rsid w:val="00911B9C"/>
    <w:rPr>
      <w:rFonts w:ascii="Tahoma" w:hAnsi="Tahoma" w:cs="Tahoma"/>
      <w:sz w:val="16"/>
      <w:szCs w:val="16"/>
    </w:rPr>
  </w:style>
  <w:style w:type="paragraph" w:customStyle="1" w:styleId="Rating">
    <w:name w:val="Rating"/>
    <w:basedOn w:val="BodyText"/>
    <w:next w:val="BodyText"/>
    <w:semiHidden/>
    <w:rsid w:val="00230BD1"/>
    <w:pPr>
      <w:tabs>
        <w:tab w:val="left" w:pos="567"/>
      </w:tabs>
    </w:pPr>
  </w:style>
  <w:style w:type="paragraph" w:customStyle="1" w:styleId="GuidanceText">
    <w:name w:val="Guidance Text"/>
    <w:basedOn w:val="BodyText"/>
    <w:semiHidden/>
    <w:rsid w:val="001B11EB"/>
    <w:pPr>
      <w:spacing w:before="60" w:after="60" w:line="240" w:lineRule="atLeast"/>
    </w:pPr>
    <w:rPr>
      <w:rFonts w:ascii="Calibri" w:hAnsi="Calibri"/>
      <w:color w:val="0000FF"/>
      <w:sz w:val="20"/>
      <w:szCs w:val="20"/>
    </w:rPr>
  </w:style>
  <w:style w:type="character" w:customStyle="1" w:styleId="CharChar4">
    <w:name w:val=" Char Char4"/>
    <w:rsid w:val="0035177E"/>
    <w:rPr>
      <w:rFonts w:ascii="Georgia" w:hAnsi="Georgia"/>
      <w:sz w:val="19"/>
      <w:szCs w:val="19"/>
      <w:lang w:val="en-AU" w:eastAsia="en-AU" w:bidi="ar-SA"/>
    </w:rPr>
  </w:style>
  <w:style w:type="character" w:customStyle="1" w:styleId="BoxTextChar">
    <w:name w:val="Box Text Char"/>
    <w:link w:val="BoxText"/>
    <w:rsid w:val="00CA6414"/>
    <w:rPr>
      <w:rFonts w:ascii="Franklin Gothic Book" w:hAnsi="Franklin Gothic Book"/>
      <w:sz w:val="18"/>
      <w:szCs w:val="18"/>
      <w:lang w:val="en-AU" w:eastAsia="en-AU" w:bidi="ar-SA"/>
    </w:rPr>
  </w:style>
  <w:style w:type="character" w:customStyle="1" w:styleId="Heading1Char">
    <w:name w:val="Heading 1 Char"/>
    <w:link w:val="Heading1"/>
    <w:rsid w:val="00BC36DE"/>
    <w:rPr>
      <w:rFonts w:ascii="Georgia" w:hAnsi="Georgia"/>
      <w:sz w:val="19"/>
      <w:szCs w:val="19"/>
      <w:lang w:val="en-AU" w:eastAsia="en-AU" w:bidi="ar-SA"/>
    </w:rPr>
  </w:style>
  <w:style w:type="character" w:customStyle="1" w:styleId="Heading2Char">
    <w:name w:val="Heading 2 Char"/>
    <w:link w:val="Heading2"/>
    <w:rsid w:val="00BC36DE"/>
    <w:rPr>
      <w:rFonts w:ascii="Franklin Gothic Medium" w:hAnsi="Franklin Gothic Medium"/>
      <w:color w:val="5A9A98"/>
      <w:sz w:val="24"/>
      <w:szCs w:val="24"/>
      <w:lang w:val="en-AU" w:eastAsia="en-AU" w:bidi="ar-SA"/>
    </w:rPr>
  </w:style>
  <w:style w:type="character" w:customStyle="1" w:styleId="CharChar1">
    <w:name w:val="Char Char1"/>
    <w:locked/>
    <w:rsid w:val="00F263D9"/>
    <w:rPr>
      <w:rFonts w:ascii="Georgia" w:hAnsi="Georgia"/>
      <w:sz w:val="19"/>
      <w:szCs w:val="19"/>
      <w:lang w:val="en-AU" w:eastAsia="en-AU" w:bidi="ar-SA"/>
    </w:rPr>
  </w:style>
  <w:style w:type="character" w:customStyle="1" w:styleId="CharChar40">
    <w:name w:val="Char Char4"/>
    <w:locked/>
    <w:rsid w:val="00F263D9"/>
    <w:rPr>
      <w:rFonts w:ascii="Georgia" w:hAnsi="Georgia"/>
      <w:sz w:val="19"/>
      <w:szCs w:val="19"/>
      <w:lang w:val="en-AU" w:eastAsia="en-AU" w:bidi="ar-SA"/>
    </w:rPr>
  </w:style>
  <w:style w:type="character" w:customStyle="1" w:styleId="CharChar9">
    <w:name w:val=" Char Char9"/>
    <w:rsid w:val="00794DA1"/>
    <w:rPr>
      <w:rFonts w:ascii="Georgia" w:hAnsi="Georgia"/>
      <w:sz w:val="19"/>
      <w:szCs w:val="19"/>
      <w:lang w:val="en-AU" w:eastAsia="en-AU" w:bidi="ar-SA"/>
    </w:rPr>
  </w:style>
  <w:style w:type="paragraph" w:customStyle="1" w:styleId="SingleParagraph">
    <w:name w:val="Single Paragraph"/>
    <w:basedOn w:val="Normal"/>
    <w:rsid w:val="008B4937"/>
    <w:pPr>
      <w:spacing w:line="320" w:lineRule="exact"/>
    </w:pPr>
    <w:rPr>
      <w:rFonts w:ascii="Palatino" w:hAnsi="Palatino"/>
      <w:color w:val="000000"/>
      <w:sz w:val="22"/>
      <w:szCs w:val="22"/>
    </w:rPr>
  </w:style>
  <w:style w:type="paragraph" w:styleId="NormalWeb">
    <w:name w:val="Normal (Web)"/>
    <w:basedOn w:val="Normal"/>
    <w:rsid w:val="00B040E9"/>
    <w:pPr>
      <w:spacing w:before="105" w:after="118"/>
    </w:pPr>
    <w:rPr>
      <w:sz w:val="24"/>
    </w:rPr>
  </w:style>
  <w:style w:type="paragraph" w:customStyle="1" w:styleId="H1">
    <w:name w:val="H1"/>
    <w:basedOn w:val="Normal"/>
    <w:qFormat/>
    <w:rsid w:val="003F04D6"/>
    <w:pPr>
      <w:keepNext/>
      <w:spacing w:after="100" w:line="320" w:lineRule="atLeast"/>
      <w:outlineLvl w:val="0"/>
    </w:pPr>
    <w:rPr>
      <w:rFonts w:ascii="Franklin Gothic Demi" w:hAnsi="Franklin Gothic Demi"/>
      <w:color w:val="AD495D"/>
      <w:kern w:val="28"/>
      <w:sz w:val="28"/>
      <w:szCs w:val="28"/>
    </w:rPr>
  </w:style>
  <w:style w:type="paragraph" w:styleId="TOCHeading">
    <w:name w:val="TOC Heading"/>
    <w:basedOn w:val="Heading1"/>
    <w:next w:val="Normal"/>
    <w:uiPriority w:val="39"/>
    <w:semiHidden/>
    <w:unhideWhenUsed/>
    <w:qFormat/>
    <w:rsid w:val="003F04D6"/>
    <w:pPr>
      <w:keepNext/>
      <w:keepLines/>
      <w:spacing w:before="480" w:after="0" w:line="276" w:lineRule="auto"/>
      <w:outlineLvl w:val="9"/>
    </w:pPr>
    <w:rPr>
      <w:rFonts w:ascii="Cambria" w:hAnsi="Cambria"/>
      <w:b/>
      <w:bCs/>
      <w:color w:val="365F91"/>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28083">
      <w:bodyDiv w:val="1"/>
      <w:marLeft w:val="0"/>
      <w:marRight w:val="0"/>
      <w:marTop w:val="0"/>
      <w:marBottom w:val="0"/>
      <w:divBdr>
        <w:top w:val="none" w:sz="0" w:space="0" w:color="auto"/>
        <w:left w:val="none" w:sz="0" w:space="0" w:color="auto"/>
        <w:bottom w:val="none" w:sz="0" w:space="0" w:color="auto"/>
        <w:right w:val="none" w:sz="0" w:space="0" w:color="auto"/>
      </w:divBdr>
    </w:div>
    <w:div w:id="62265797">
      <w:bodyDiv w:val="1"/>
      <w:marLeft w:val="0"/>
      <w:marRight w:val="0"/>
      <w:marTop w:val="0"/>
      <w:marBottom w:val="0"/>
      <w:divBdr>
        <w:top w:val="none" w:sz="0" w:space="0" w:color="auto"/>
        <w:left w:val="none" w:sz="0" w:space="0" w:color="auto"/>
        <w:bottom w:val="none" w:sz="0" w:space="0" w:color="auto"/>
        <w:right w:val="none" w:sz="0" w:space="0" w:color="auto"/>
      </w:divBdr>
    </w:div>
    <w:div w:id="264196946">
      <w:bodyDiv w:val="1"/>
      <w:marLeft w:val="0"/>
      <w:marRight w:val="0"/>
      <w:marTop w:val="0"/>
      <w:marBottom w:val="0"/>
      <w:divBdr>
        <w:top w:val="none" w:sz="0" w:space="0" w:color="auto"/>
        <w:left w:val="none" w:sz="0" w:space="0" w:color="auto"/>
        <w:bottom w:val="none" w:sz="0" w:space="0" w:color="auto"/>
        <w:right w:val="none" w:sz="0" w:space="0" w:color="auto"/>
      </w:divBdr>
    </w:div>
    <w:div w:id="291593840">
      <w:bodyDiv w:val="1"/>
      <w:marLeft w:val="0"/>
      <w:marRight w:val="0"/>
      <w:marTop w:val="0"/>
      <w:marBottom w:val="0"/>
      <w:divBdr>
        <w:top w:val="none" w:sz="0" w:space="0" w:color="auto"/>
        <w:left w:val="none" w:sz="0" w:space="0" w:color="auto"/>
        <w:bottom w:val="none" w:sz="0" w:space="0" w:color="auto"/>
        <w:right w:val="none" w:sz="0" w:space="0" w:color="auto"/>
      </w:divBdr>
    </w:div>
    <w:div w:id="355934845">
      <w:bodyDiv w:val="1"/>
      <w:marLeft w:val="0"/>
      <w:marRight w:val="0"/>
      <w:marTop w:val="0"/>
      <w:marBottom w:val="0"/>
      <w:divBdr>
        <w:top w:val="none" w:sz="0" w:space="0" w:color="auto"/>
        <w:left w:val="none" w:sz="0" w:space="0" w:color="auto"/>
        <w:bottom w:val="none" w:sz="0" w:space="0" w:color="auto"/>
        <w:right w:val="none" w:sz="0" w:space="0" w:color="auto"/>
      </w:divBdr>
    </w:div>
    <w:div w:id="377051932">
      <w:bodyDiv w:val="1"/>
      <w:marLeft w:val="0"/>
      <w:marRight w:val="0"/>
      <w:marTop w:val="0"/>
      <w:marBottom w:val="0"/>
      <w:divBdr>
        <w:top w:val="none" w:sz="0" w:space="0" w:color="auto"/>
        <w:left w:val="none" w:sz="0" w:space="0" w:color="auto"/>
        <w:bottom w:val="none" w:sz="0" w:space="0" w:color="auto"/>
        <w:right w:val="none" w:sz="0" w:space="0" w:color="auto"/>
      </w:divBdr>
    </w:div>
    <w:div w:id="378364197">
      <w:bodyDiv w:val="1"/>
      <w:marLeft w:val="0"/>
      <w:marRight w:val="0"/>
      <w:marTop w:val="0"/>
      <w:marBottom w:val="0"/>
      <w:divBdr>
        <w:top w:val="none" w:sz="0" w:space="0" w:color="auto"/>
        <w:left w:val="none" w:sz="0" w:space="0" w:color="auto"/>
        <w:bottom w:val="none" w:sz="0" w:space="0" w:color="auto"/>
        <w:right w:val="none" w:sz="0" w:space="0" w:color="auto"/>
      </w:divBdr>
    </w:div>
    <w:div w:id="466047702">
      <w:bodyDiv w:val="1"/>
      <w:marLeft w:val="0"/>
      <w:marRight w:val="0"/>
      <w:marTop w:val="0"/>
      <w:marBottom w:val="0"/>
      <w:divBdr>
        <w:top w:val="none" w:sz="0" w:space="0" w:color="auto"/>
        <w:left w:val="none" w:sz="0" w:space="0" w:color="auto"/>
        <w:bottom w:val="none" w:sz="0" w:space="0" w:color="auto"/>
        <w:right w:val="none" w:sz="0" w:space="0" w:color="auto"/>
      </w:divBdr>
    </w:div>
    <w:div w:id="483543232">
      <w:bodyDiv w:val="1"/>
      <w:marLeft w:val="0"/>
      <w:marRight w:val="0"/>
      <w:marTop w:val="0"/>
      <w:marBottom w:val="0"/>
      <w:divBdr>
        <w:top w:val="none" w:sz="0" w:space="0" w:color="auto"/>
        <w:left w:val="none" w:sz="0" w:space="0" w:color="auto"/>
        <w:bottom w:val="none" w:sz="0" w:space="0" w:color="auto"/>
        <w:right w:val="none" w:sz="0" w:space="0" w:color="auto"/>
      </w:divBdr>
    </w:div>
    <w:div w:id="521632396">
      <w:bodyDiv w:val="1"/>
      <w:marLeft w:val="0"/>
      <w:marRight w:val="0"/>
      <w:marTop w:val="0"/>
      <w:marBottom w:val="0"/>
      <w:divBdr>
        <w:top w:val="none" w:sz="0" w:space="0" w:color="auto"/>
        <w:left w:val="none" w:sz="0" w:space="0" w:color="auto"/>
        <w:bottom w:val="none" w:sz="0" w:space="0" w:color="auto"/>
        <w:right w:val="none" w:sz="0" w:space="0" w:color="auto"/>
      </w:divBdr>
    </w:div>
    <w:div w:id="560215215">
      <w:bodyDiv w:val="1"/>
      <w:marLeft w:val="0"/>
      <w:marRight w:val="0"/>
      <w:marTop w:val="0"/>
      <w:marBottom w:val="0"/>
      <w:divBdr>
        <w:top w:val="none" w:sz="0" w:space="0" w:color="auto"/>
        <w:left w:val="none" w:sz="0" w:space="0" w:color="auto"/>
        <w:bottom w:val="none" w:sz="0" w:space="0" w:color="auto"/>
        <w:right w:val="none" w:sz="0" w:space="0" w:color="auto"/>
      </w:divBdr>
    </w:div>
    <w:div w:id="565797914">
      <w:bodyDiv w:val="1"/>
      <w:marLeft w:val="0"/>
      <w:marRight w:val="0"/>
      <w:marTop w:val="0"/>
      <w:marBottom w:val="0"/>
      <w:divBdr>
        <w:top w:val="none" w:sz="0" w:space="0" w:color="auto"/>
        <w:left w:val="none" w:sz="0" w:space="0" w:color="auto"/>
        <w:bottom w:val="none" w:sz="0" w:space="0" w:color="auto"/>
        <w:right w:val="none" w:sz="0" w:space="0" w:color="auto"/>
      </w:divBdr>
    </w:div>
    <w:div w:id="583608175">
      <w:bodyDiv w:val="1"/>
      <w:marLeft w:val="0"/>
      <w:marRight w:val="0"/>
      <w:marTop w:val="0"/>
      <w:marBottom w:val="0"/>
      <w:divBdr>
        <w:top w:val="none" w:sz="0" w:space="0" w:color="auto"/>
        <w:left w:val="none" w:sz="0" w:space="0" w:color="auto"/>
        <w:bottom w:val="none" w:sz="0" w:space="0" w:color="auto"/>
        <w:right w:val="none" w:sz="0" w:space="0" w:color="auto"/>
      </w:divBdr>
    </w:div>
    <w:div w:id="685056218">
      <w:bodyDiv w:val="1"/>
      <w:marLeft w:val="0"/>
      <w:marRight w:val="0"/>
      <w:marTop w:val="0"/>
      <w:marBottom w:val="0"/>
      <w:divBdr>
        <w:top w:val="none" w:sz="0" w:space="0" w:color="auto"/>
        <w:left w:val="none" w:sz="0" w:space="0" w:color="auto"/>
        <w:bottom w:val="none" w:sz="0" w:space="0" w:color="auto"/>
        <w:right w:val="none" w:sz="0" w:space="0" w:color="auto"/>
      </w:divBdr>
    </w:div>
    <w:div w:id="750854806">
      <w:bodyDiv w:val="1"/>
      <w:marLeft w:val="0"/>
      <w:marRight w:val="0"/>
      <w:marTop w:val="0"/>
      <w:marBottom w:val="0"/>
      <w:divBdr>
        <w:top w:val="none" w:sz="0" w:space="0" w:color="auto"/>
        <w:left w:val="none" w:sz="0" w:space="0" w:color="auto"/>
        <w:bottom w:val="none" w:sz="0" w:space="0" w:color="auto"/>
        <w:right w:val="none" w:sz="0" w:space="0" w:color="auto"/>
      </w:divBdr>
    </w:div>
    <w:div w:id="818116789">
      <w:bodyDiv w:val="1"/>
      <w:marLeft w:val="0"/>
      <w:marRight w:val="0"/>
      <w:marTop w:val="0"/>
      <w:marBottom w:val="0"/>
      <w:divBdr>
        <w:top w:val="none" w:sz="0" w:space="0" w:color="auto"/>
        <w:left w:val="none" w:sz="0" w:space="0" w:color="auto"/>
        <w:bottom w:val="none" w:sz="0" w:space="0" w:color="auto"/>
        <w:right w:val="none" w:sz="0" w:space="0" w:color="auto"/>
      </w:divBdr>
    </w:div>
    <w:div w:id="869804593">
      <w:bodyDiv w:val="1"/>
      <w:marLeft w:val="0"/>
      <w:marRight w:val="0"/>
      <w:marTop w:val="0"/>
      <w:marBottom w:val="0"/>
      <w:divBdr>
        <w:top w:val="none" w:sz="0" w:space="0" w:color="auto"/>
        <w:left w:val="none" w:sz="0" w:space="0" w:color="auto"/>
        <w:bottom w:val="none" w:sz="0" w:space="0" w:color="auto"/>
        <w:right w:val="none" w:sz="0" w:space="0" w:color="auto"/>
      </w:divBdr>
    </w:div>
    <w:div w:id="903099310">
      <w:bodyDiv w:val="1"/>
      <w:marLeft w:val="0"/>
      <w:marRight w:val="0"/>
      <w:marTop w:val="0"/>
      <w:marBottom w:val="0"/>
      <w:divBdr>
        <w:top w:val="none" w:sz="0" w:space="0" w:color="auto"/>
        <w:left w:val="none" w:sz="0" w:space="0" w:color="auto"/>
        <w:bottom w:val="none" w:sz="0" w:space="0" w:color="auto"/>
        <w:right w:val="none" w:sz="0" w:space="0" w:color="auto"/>
      </w:divBdr>
    </w:div>
    <w:div w:id="1048799523">
      <w:bodyDiv w:val="1"/>
      <w:marLeft w:val="0"/>
      <w:marRight w:val="0"/>
      <w:marTop w:val="0"/>
      <w:marBottom w:val="0"/>
      <w:divBdr>
        <w:top w:val="none" w:sz="0" w:space="0" w:color="auto"/>
        <w:left w:val="none" w:sz="0" w:space="0" w:color="auto"/>
        <w:bottom w:val="none" w:sz="0" w:space="0" w:color="auto"/>
        <w:right w:val="none" w:sz="0" w:space="0" w:color="auto"/>
      </w:divBdr>
    </w:div>
    <w:div w:id="1091703294">
      <w:bodyDiv w:val="1"/>
      <w:marLeft w:val="0"/>
      <w:marRight w:val="0"/>
      <w:marTop w:val="0"/>
      <w:marBottom w:val="0"/>
      <w:divBdr>
        <w:top w:val="none" w:sz="0" w:space="0" w:color="auto"/>
        <w:left w:val="none" w:sz="0" w:space="0" w:color="auto"/>
        <w:bottom w:val="none" w:sz="0" w:space="0" w:color="auto"/>
        <w:right w:val="none" w:sz="0" w:space="0" w:color="auto"/>
      </w:divBdr>
    </w:div>
    <w:div w:id="1188327524">
      <w:bodyDiv w:val="1"/>
      <w:marLeft w:val="0"/>
      <w:marRight w:val="0"/>
      <w:marTop w:val="0"/>
      <w:marBottom w:val="0"/>
      <w:divBdr>
        <w:top w:val="none" w:sz="0" w:space="0" w:color="auto"/>
        <w:left w:val="none" w:sz="0" w:space="0" w:color="auto"/>
        <w:bottom w:val="none" w:sz="0" w:space="0" w:color="auto"/>
        <w:right w:val="none" w:sz="0" w:space="0" w:color="auto"/>
      </w:divBdr>
    </w:div>
    <w:div w:id="1189026679">
      <w:bodyDiv w:val="1"/>
      <w:marLeft w:val="0"/>
      <w:marRight w:val="0"/>
      <w:marTop w:val="0"/>
      <w:marBottom w:val="0"/>
      <w:divBdr>
        <w:top w:val="none" w:sz="0" w:space="0" w:color="auto"/>
        <w:left w:val="none" w:sz="0" w:space="0" w:color="auto"/>
        <w:bottom w:val="none" w:sz="0" w:space="0" w:color="auto"/>
        <w:right w:val="none" w:sz="0" w:space="0" w:color="auto"/>
      </w:divBdr>
    </w:div>
    <w:div w:id="1216818753">
      <w:bodyDiv w:val="1"/>
      <w:marLeft w:val="0"/>
      <w:marRight w:val="0"/>
      <w:marTop w:val="0"/>
      <w:marBottom w:val="0"/>
      <w:divBdr>
        <w:top w:val="none" w:sz="0" w:space="0" w:color="auto"/>
        <w:left w:val="none" w:sz="0" w:space="0" w:color="auto"/>
        <w:bottom w:val="none" w:sz="0" w:space="0" w:color="auto"/>
        <w:right w:val="none" w:sz="0" w:space="0" w:color="auto"/>
      </w:divBdr>
    </w:div>
    <w:div w:id="1219978370">
      <w:bodyDiv w:val="1"/>
      <w:marLeft w:val="0"/>
      <w:marRight w:val="0"/>
      <w:marTop w:val="0"/>
      <w:marBottom w:val="0"/>
      <w:divBdr>
        <w:top w:val="none" w:sz="0" w:space="0" w:color="auto"/>
        <w:left w:val="none" w:sz="0" w:space="0" w:color="auto"/>
        <w:bottom w:val="none" w:sz="0" w:space="0" w:color="auto"/>
        <w:right w:val="none" w:sz="0" w:space="0" w:color="auto"/>
      </w:divBdr>
    </w:div>
    <w:div w:id="1257785965">
      <w:bodyDiv w:val="1"/>
      <w:marLeft w:val="0"/>
      <w:marRight w:val="0"/>
      <w:marTop w:val="0"/>
      <w:marBottom w:val="0"/>
      <w:divBdr>
        <w:top w:val="none" w:sz="0" w:space="0" w:color="auto"/>
        <w:left w:val="none" w:sz="0" w:space="0" w:color="auto"/>
        <w:bottom w:val="none" w:sz="0" w:space="0" w:color="auto"/>
        <w:right w:val="none" w:sz="0" w:space="0" w:color="auto"/>
      </w:divBdr>
    </w:div>
    <w:div w:id="1301306478">
      <w:bodyDiv w:val="1"/>
      <w:marLeft w:val="0"/>
      <w:marRight w:val="0"/>
      <w:marTop w:val="0"/>
      <w:marBottom w:val="0"/>
      <w:divBdr>
        <w:top w:val="none" w:sz="0" w:space="0" w:color="auto"/>
        <w:left w:val="none" w:sz="0" w:space="0" w:color="auto"/>
        <w:bottom w:val="none" w:sz="0" w:space="0" w:color="auto"/>
        <w:right w:val="none" w:sz="0" w:space="0" w:color="auto"/>
      </w:divBdr>
    </w:div>
    <w:div w:id="1343583592">
      <w:bodyDiv w:val="1"/>
      <w:marLeft w:val="0"/>
      <w:marRight w:val="0"/>
      <w:marTop w:val="0"/>
      <w:marBottom w:val="0"/>
      <w:divBdr>
        <w:top w:val="none" w:sz="0" w:space="0" w:color="auto"/>
        <w:left w:val="none" w:sz="0" w:space="0" w:color="auto"/>
        <w:bottom w:val="none" w:sz="0" w:space="0" w:color="auto"/>
        <w:right w:val="none" w:sz="0" w:space="0" w:color="auto"/>
      </w:divBdr>
    </w:div>
    <w:div w:id="1490823488">
      <w:bodyDiv w:val="1"/>
      <w:marLeft w:val="0"/>
      <w:marRight w:val="0"/>
      <w:marTop w:val="0"/>
      <w:marBottom w:val="0"/>
      <w:divBdr>
        <w:top w:val="none" w:sz="0" w:space="0" w:color="auto"/>
        <w:left w:val="none" w:sz="0" w:space="0" w:color="auto"/>
        <w:bottom w:val="none" w:sz="0" w:space="0" w:color="auto"/>
        <w:right w:val="none" w:sz="0" w:space="0" w:color="auto"/>
      </w:divBdr>
    </w:div>
    <w:div w:id="1571040680">
      <w:bodyDiv w:val="1"/>
      <w:marLeft w:val="0"/>
      <w:marRight w:val="0"/>
      <w:marTop w:val="0"/>
      <w:marBottom w:val="0"/>
      <w:divBdr>
        <w:top w:val="none" w:sz="0" w:space="0" w:color="auto"/>
        <w:left w:val="none" w:sz="0" w:space="0" w:color="auto"/>
        <w:bottom w:val="none" w:sz="0" w:space="0" w:color="auto"/>
        <w:right w:val="none" w:sz="0" w:space="0" w:color="auto"/>
      </w:divBdr>
    </w:div>
    <w:div w:id="1576474156">
      <w:bodyDiv w:val="1"/>
      <w:marLeft w:val="0"/>
      <w:marRight w:val="0"/>
      <w:marTop w:val="0"/>
      <w:marBottom w:val="0"/>
      <w:divBdr>
        <w:top w:val="none" w:sz="0" w:space="0" w:color="auto"/>
        <w:left w:val="none" w:sz="0" w:space="0" w:color="auto"/>
        <w:bottom w:val="none" w:sz="0" w:space="0" w:color="auto"/>
        <w:right w:val="none" w:sz="0" w:space="0" w:color="auto"/>
      </w:divBdr>
    </w:div>
    <w:div w:id="1633050328">
      <w:bodyDiv w:val="1"/>
      <w:marLeft w:val="0"/>
      <w:marRight w:val="0"/>
      <w:marTop w:val="0"/>
      <w:marBottom w:val="0"/>
      <w:divBdr>
        <w:top w:val="none" w:sz="0" w:space="0" w:color="auto"/>
        <w:left w:val="none" w:sz="0" w:space="0" w:color="auto"/>
        <w:bottom w:val="none" w:sz="0" w:space="0" w:color="auto"/>
        <w:right w:val="none" w:sz="0" w:space="0" w:color="auto"/>
      </w:divBdr>
    </w:div>
    <w:div w:id="1660767104">
      <w:bodyDiv w:val="1"/>
      <w:marLeft w:val="0"/>
      <w:marRight w:val="0"/>
      <w:marTop w:val="0"/>
      <w:marBottom w:val="0"/>
      <w:divBdr>
        <w:top w:val="none" w:sz="0" w:space="0" w:color="auto"/>
        <w:left w:val="none" w:sz="0" w:space="0" w:color="auto"/>
        <w:bottom w:val="none" w:sz="0" w:space="0" w:color="auto"/>
        <w:right w:val="none" w:sz="0" w:space="0" w:color="auto"/>
      </w:divBdr>
    </w:div>
    <w:div w:id="1784030778">
      <w:bodyDiv w:val="1"/>
      <w:marLeft w:val="0"/>
      <w:marRight w:val="0"/>
      <w:marTop w:val="0"/>
      <w:marBottom w:val="0"/>
      <w:divBdr>
        <w:top w:val="none" w:sz="0" w:space="0" w:color="auto"/>
        <w:left w:val="none" w:sz="0" w:space="0" w:color="auto"/>
        <w:bottom w:val="none" w:sz="0" w:space="0" w:color="auto"/>
        <w:right w:val="none" w:sz="0" w:space="0" w:color="auto"/>
      </w:divBdr>
    </w:div>
    <w:div w:id="188077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rroc\Local%20Settings\Temporary%20Internet%20Files\OLK5\APPR%20Public%20Report%20Template-12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D144684-9145-4BAA-B607-D6EBC639E2DC}"/>
</file>

<file path=customXml/itemProps2.xml><?xml version="1.0" encoding="utf-8"?>
<ds:datastoreItem xmlns:ds="http://schemas.openxmlformats.org/officeDocument/2006/customXml" ds:itemID="{6E698419-ADF5-4EA7-ADA3-46A7E54B1213}"/>
</file>

<file path=customXml/itemProps3.xml><?xml version="1.0" encoding="utf-8"?>
<ds:datastoreItem xmlns:ds="http://schemas.openxmlformats.org/officeDocument/2006/customXml" ds:itemID="{1E9CD1C1-3A84-4822-AE38-0B2A0374B041}"/>
</file>

<file path=customXml/itemProps4.xml><?xml version="1.0" encoding="utf-8"?>
<ds:datastoreItem xmlns:ds="http://schemas.openxmlformats.org/officeDocument/2006/customXml" ds:itemID="{4B38DD11-9CF5-4217-804A-684723BA47C4}"/>
</file>

<file path=customXml/itemProps5.xml><?xml version="1.0" encoding="utf-8"?>
<ds:datastoreItem xmlns:ds="http://schemas.openxmlformats.org/officeDocument/2006/customXml" ds:itemID="{3A21B016-9D7E-4578-9EC0-3FD7D6120F53}"/>
</file>

<file path=docProps/app.xml><?xml version="1.0" encoding="utf-8"?>
<Properties xmlns="http://schemas.openxmlformats.org/officeDocument/2006/extended-properties" xmlns:vt="http://schemas.openxmlformats.org/officeDocument/2006/docPropsVTypes">
  <Template>APPR Public Report Template-123</Template>
  <TotalTime>1</TotalTime>
  <Pages>11</Pages>
  <Words>4256</Words>
  <Characters>24263</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Fiji Development Cooperation Report 2010</vt:lpstr>
    </vt:vector>
  </TitlesOfParts>
  <Manager>AusAID ADG OPS</Manager>
  <Company>AusAID</Company>
  <LinksUpToDate>false</LinksUpToDate>
  <CharactersWithSpaces>28463</CharactersWithSpaces>
  <SharedDoc>false</SharedDoc>
  <HLinks>
    <vt:vector size="114" baseType="variant">
      <vt:variant>
        <vt:i4>1835057</vt:i4>
      </vt:variant>
      <vt:variant>
        <vt:i4>110</vt:i4>
      </vt:variant>
      <vt:variant>
        <vt:i4>0</vt:i4>
      </vt:variant>
      <vt:variant>
        <vt:i4>5</vt:i4>
      </vt:variant>
      <vt:variant>
        <vt:lpwstr/>
      </vt:variant>
      <vt:variant>
        <vt:lpwstr>_Toc360976527</vt:lpwstr>
      </vt:variant>
      <vt:variant>
        <vt:i4>1835057</vt:i4>
      </vt:variant>
      <vt:variant>
        <vt:i4>104</vt:i4>
      </vt:variant>
      <vt:variant>
        <vt:i4>0</vt:i4>
      </vt:variant>
      <vt:variant>
        <vt:i4>5</vt:i4>
      </vt:variant>
      <vt:variant>
        <vt:lpwstr/>
      </vt:variant>
      <vt:variant>
        <vt:lpwstr>_Toc360976526</vt:lpwstr>
      </vt:variant>
      <vt:variant>
        <vt:i4>1835057</vt:i4>
      </vt:variant>
      <vt:variant>
        <vt:i4>98</vt:i4>
      </vt:variant>
      <vt:variant>
        <vt:i4>0</vt:i4>
      </vt:variant>
      <vt:variant>
        <vt:i4>5</vt:i4>
      </vt:variant>
      <vt:variant>
        <vt:lpwstr/>
      </vt:variant>
      <vt:variant>
        <vt:lpwstr>_Toc360976525</vt:lpwstr>
      </vt:variant>
      <vt:variant>
        <vt:i4>1835057</vt:i4>
      </vt:variant>
      <vt:variant>
        <vt:i4>92</vt:i4>
      </vt:variant>
      <vt:variant>
        <vt:i4>0</vt:i4>
      </vt:variant>
      <vt:variant>
        <vt:i4>5</vt:i4>
      </vt:variant>
      <vt:variant>
        <vt:lpwstr/>
      </vt:variant>
      <vt:variant>
        <vt:lpwstr>_Toc360976524</vt:lpwstr>
      </vt:variant>
      <vt:variant>
        <vt:i4>1835057</vt:i4>
      </vt:variant>
      <vt:variant>
        <vt:i4>86</vt:i4>
      </vt:variant>
      <vt:variant>
        <vt:i4>0</vt:i4>
      </vt:variant>
      <vt:variant>
        <vt:i4>5</vt:i4>
      </vt:variant>
      <vt:variant>
        <vt:lpwstr/>
      </vt:variant>
      <vt:variant>
        <vt:lpwstr>_Toc360976523</vt:lpwstr>
      </vt:variant>
      <vt:variant>
        <vt:i4>1835057</vt:i4>
      </vt:variant>
      <vt:variant>
        <vt:i4>80</vt:i4>
      </vt:variant>
      <vt:variant>
        <vt:i4>0</vt:i4>
      </vt:variant>
      <vt:variant>
        <vt:i4>5</vt:i4>
      </vt:variant>
      <vt:variant>
        <vt:lpwstr/>
      </vt:variant>
      <vt:variant>
        <vt:lpwstr>_Toc360976522</vt:lpwstr>
      </vt:variant>
      <vt:variant>
        <vt:i4>1835057</vt:i4>
      </vt:variant>
      <vt:variant>
        <vt:i4>74</vt:i4>
      </vt:variant>
      <vt:variant>
        <vt:i4>0</vt:i4>
      </vt:variant>
      <vt:variant>
        <vt:i4>5</vt:i4>
      </vt:variant>
      <vt:variant>
        <vt:lpwstr/>
      </vt:variant>
      <vt:variant>
        <vt:lpwstr>_Toc360976521</vt:lpwstr>
      </vt:variant>
      <vt:variant>
        <vt:i4>1835057</vt:i4>
      </vt:variant>
      <vt:variant>
        <vt:i4>68</vt:i4>
      </vt:variant>
      <vt:variant>
        <vt:i4>0</vt:i4>
      </vt:variant>
      <vt:variant>
        <vt:i4>5</vt:i4>
      </vt:variant>
      <vt:variant>
        <vt:lpwstr/>
      </vt:variant>
      <vt:variant>
        <vt:lpwstr>_Toc360976520</vt:lpwstr>
      </vt:variant>
      <vt:variant>
        <vt:i4>2031665</vt:i4>
      </vt:variant>
      <vt:variant>
        <vt:i4>62</vt:i4>
      </vt:variant>
      <vt:variant>
        <vt:i4>0</vt:i4>
      </vt:variant>
      <vt:variant>
        <vt:i4>5</vt:i4>
      </vt:variant>
      <vt:variant>
        <vt:lpwstr/>
      </vt:variant>
      <vt:variant>
        <vt:lpwstr>_Toc360976519</vt:lpwstr>
      </vt:variant>
      <vt:variant>
        <vt:i4>2031665</vt:i4>
      </vt:variant>
      <vt:variant>
        <vt:i4>56</vt:i4>
      </vt:variant>
      <vt:variant>
        <vt:i4>0</vt:i4>
      </vt:variant>
      <vt:variant>
        <vt:i4>5</vt:i4>
      </vt:variant>
      <vt:variant>
        <vt:lpwstr/>
      </vt:variant>
      <vt:variant>
        <vt:lpwstr>_Toc360976518</vt:lpwstr>
      </vt:variant>
      <vt:variant>
        <vt:i4>2031665</vt:i4>
      </vt:variant>
      <vt:variant>
        <vt:i4>50</vt:i4>
      </vt:variant>
      <vt:variant>
        <vt:i4>0</vt:i4>
      </vt:variant>
      <vt:variant>
        <vt:i4>5</vt:i4>
      </vt:variant>
      <vt:variant>
        <vt:lpwstr/>
      </vt:variant>
      <vt:variant>
        <vt:lpwstr>_Toc360976517</vt:lpwstr>
      </vt:variant>
      <vt:variant>
        <vt:i4>2031665</vt:i4>
      </vt:variant>
      <vt:variant>
        <vt:i4>44</vt:i4>
      </vt:variant>
      <vt:variant>
        <vt:i4>0</vt:i4>
      </vt:variant>
      <vt:variant>
        <vt:i4>5</vt:i4>
      </vt:variant>
      <vt:variant>
        <vt:lpwstr/>
      </vt:variant>
      <vt:variant>
        <vt:lpwstr>_Toc360976516</vt:lpwstr>
      </vt:variant>
      <vt:variant>
        <vt:i4>2031665</vt:i4>
      </vt:variant>
      <vt:variant>
        <vt:i4>38</vt:i4>
      </vt:variant>
      <vt:variant>
        <vt:i4>0</vt:i4>
      </vt:variant>
      <vt:variant>
        <vt:i4>5</vt:i4>
      </vt:variant>
      <vt:variant>
        <vt:lpwstr/>
      </vt:variant>
      <vt:variant>
        <vt:lpwstr>_Toc360976515</vt:lpwstr>
      </vt:variant>
      <vt:variant>
        <vt:i4>2031665</vt:i4>
      </vt:variant>
      <vt:variant>
        <vt:i4>32</vt:i4>
      </vt:variant>
      <vt:variant>
        <vt:i4>0</vt:i4>
      </vt:variant>
      <vt:variant>
        <vt:i4>5</vt:i4>
      </vt:variant>
      <vt:variant>
        <vt:lpwstr/>
      </vt:variant>
      <vt:variant>
        <vt:lpwstr>_Toc360976514</vt:lpwstr>
      </vt:variant>
      <vt:variant>
        <vt:i4>2031665</vt:i4>
      </vt:variant>
      <vt:variant>
        <vt:i4>26</vt:i4>
      </vt:variant>
      <vt:variant>
        <vt:i4>0</vt:i4>
      </vt:variant>
      <vt:variant>
        <vt:i4>5</vt:i4>
      </vt:variant>
      <vt:variant>
        <vt:lpwstr/>
      </vt:variant>
      <vt:variant>
        <vt:lpwstr>_Toc360976513</vt:lpwstr>
      </vt:variant>
      <vt:variant>
        <vt:i4>2031665</vt:i4>
      </vt:variant>
      <vt:variant>
        <vt:i4>20</vt:i4>
      </vt:variant>
      <vt:variant>
        <vt:i4>0</vt:i4>
      </vt:variant>
      <vt:variant>
        <vt:i4>5</vt:i4>
      </vt:variant>
      <vt:variant>
        <vt:lpwstr/>
      </vt:variant>
      <vt:variant>
        <vt:lpwstr>_Toc360976512</vt:lpwstr>
      </vt:variant>
      <vt:variant>
        <vt:i4>2031665</vt:i4>
      </vt:variant>
      <vt:variant>
        <vt:i4>14</vt:i4>
      </vt:variant>
      <vt:variant>
        <vt:i4>0</vt:i4>
      </vt:variant>
      <vt:variant>
        <vt:i4>5</vt:i4>
      </vt:variant>
      <vt:variant>
        <vt:lpwstr/>
      </vt:variant>
      <vt:variant>
        <vt:lpwstr>_Toc360976511</vt:lpwstr>
      </vt:variant>
      <vt:variant>
        <vt:i4>2031665</vt:i4>
      </vt:variant>
      <vt:variant>
        <vt:i4>8</vt:i4>
      </vt:variant>
      <vt:variant>
        <vt:i4>0</vt:i4>
      </vt:variant>
      <vt:variant>
        <vt:i4>5</vt:i4>
      </vt:variant>
      <vt:variant>
        <vt:lpwstr/>
      </vt:variant>
      <vt:variant>
        <vt:lpwstr>_Toc360976510</vt:lpwstr>
      </vt:variant>
      <vt:variant>
        <vt:i4>1966129</vt:i4>
      </vt:variant>
      <vt:variant>
        <vt:i4>2</vt:i4>
      </vt:variant>
      <vt:variant>
        <vt:i4>0</vt:i4>
      </vt:variant>
      <vt:variant>
        <vt:i4>5</vt:i4>
      </vt:variant>
      <vt:variant>
        <vt:lpwstr/>
      </vt:variant>
      <vt:variant>
        <vt:lpwstr>_Toc360976509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Fiji Development Cooperation Report 2010</dc:title>
  <dc:creator>AusAID</dc:creator>
  <cp:keywords>APPR</cp:keywords>
  <dc:description>Current to August 2011</dc:description>
  <cp:lastModifiedBy>MKhattab</cp:lastModifiedBy>
  <cp:revision>3</cp:revision>
  <cp:lastPrinted>2011-08-10T14:07:00Z</cp:lastPrinted>
  <dcterms:created xsi:type="dcterms:W3CDTF">2013-07-09T14:40:00Z</dcterms:created>
  <dcterms:modified xsi:type="dcterms:W3CDTF">2013-07-09T14:41:00Z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Order">
    <vt:r8>128800</vt:r8>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_SourceUrl">
    <vt:lpwstr/>
  </property>
  <property fmtid="{D5CDD505-2E9C-101B-9397-08002B2CF9AE}" pid="9" name="_SharedFileIndex">
    <vt:lpwstr/>
  </property>
  <property fmtid="{D5CDD505-2E9C-101B-9397-08002B2CF9AE}" pid="10" name="ContentTypeId">
    <vt:lpwstr>0x01010050F19AC2165D2E47A5E6B7F563E4CF00</vt:lpwstr>
  </property>
  <property fmtid="{D5CDD505-2E9C-101B-9397-08002B2CF9AE}" pid="11" name="PublishingContact">
    <vt:lpwstr/>
  </property>
  <property fmtid="{D5CDD505-2E9C-101B-9397-08002B2CF9AE}" pid="12" name="WCMSPublicationSubCategory">
    <vt:lpwstr/>
  </property>
  <property fmtid="{D5CDD505-2E9C-101B-9397-08002B2CF9AE}" pid="13" name="WCMSIPSSubCategory">
    <vt:lpwstr/>
  </property>
  <property fmtid="{D5CDD505-2E9C-101B-9397-08002B2CF9AE}" pid="14" name="PublishingRollupImage">
    <vt:lpwstr/>
  </property>
  <property fmtid="{D5CDD505-2E9C-101B-9397-08002B2CF9AE}" pid="15" name="AusAIDAggregationLevel">
    <vt:lpwstr/>
  </property>
  <property fmtid="{D5CDD505-2E9C-101B-9397-08002B2CF9AE}" pid="16" name="WCMSStatus">
    <vt:lpwstr/>
  </property>
  <property fmtid="{D5CDD505-2E9C-101B-9397-08002B2CF9AE}" pid="17" name="PublishingContactEmail">
    <vt:lpwstr/>
  </property>
  <property fmtid="{D5CDD505-2E9C-101B-9397-08002B2CF9AE}" pid="18" name="WCMSPrintedMedia">
    <vt:bool>false</vt:bool>
  </property>
  <property fmtid="{D5CDD505-2E9C-101B-9397-08002B2CF9AE}" pid="19" name="WCMSIPSCategory">
    <vt:lpwstr/>
  </property>
  <property fmtid="{D5CDD505-2E9C-101B-9397-08002B2CF9AE}" pid="20" name="RSS Feed Link">
    <vt:lpwstr/>
  </property>
  <property fmtid="{D5CDD505-2E9C-101B-9397-08002B2CF9AE}" pid="21" name="WCMSDocumentLink">
    <vt:lpwstr/>
  </property>
  <property fmtid="{D5CDD505-2E9C-101B-9397-08002B2CF9AE}" pid="22" name="WCMSReportDisclaimer">
    <vt:bool>false</vt:bool>
  </property>
  <property fmtid="{D5CDD505-2E9C-101B-9397-08002B2CF9AE}" pid="23" name="PublishingVariationRelationshipLinkFieldID">
    <vt:lpwstr/>
  </property>
  <property fmtid="{D5CDD505-2E9C-101B-9397-08002B2CF9AE}" pid="24" name="WCMSPublicationCategory">
    <vt:lpwstr/>
  </property>
  <property fmtid="{D5CDD505-2E9C-101B-9397-08002B2CF9AE}" pid="25" name="WCMSElectronicMedia">
    <vt:bool>false</vt:bool>
  </property>
  <property fmtid="{D5CDD505-2E9C-101B-9397-08002B2CF9AE}" pid="26" name="Comments">
    <vt:lpwstr/>
  </property>
  <property fmtid="{D5CDD505-2E9C-101B-9397-08002B2CF9AE}" pid="27" name="PublishingPageLayout">
    <vt:lpwstr/>
  </property>
  <property fmtid="{D5CDD505-2E9C-101B-9397-08002B2CF9AE}" pid="28" name="WCMSCountry">
    <vt:lpwstr/>
  </property>
  <property fmtid="{D5CDD505-2E9C-101B-9397-08002B2CF9AE}" pid="29" name="WCMSSourceId">
    <vt:lpwstr/>
  </property>
  <property fmtid="{D5CDD505-2E9C-101B-9397-08002B2CF9AE}" pid="30" name="WCMSLatest">
    <vt:bool>false</vt:bool>
  </property>
  <property fmtid="{D5CDD505-2E9C-101B-9397-08002B2CF9AE}" pid="31" name="WCMSPublicationFormat">
    <vt:lpwstr/>
  </property>
  <property fmtid="{D5CDD505-2E9C-101B-9397-08002B2CF9AE}" pid="32" name="AusAIDPageSubjectMetadata">
    <vt:lpwstr/>
  </property>
  <property fmtid="{D5CDD505-2E9C-101B-9397-08002B2CF9AE}" pid="33" name="AusAIDCategoryMetadata">
    <vt:lpwstr/>
  </property>
  <property fmtid="{D5CDD505-2E9C-101B-9397-08002B2CF9AE}" pid="34" name="AusAIDDocumentTypeMetaData">
    <vt:lpwstr/>
  </property>
  <property fmtid="{D5CDD505-2E9C-101B-9397-08002B2CF9AE}" pid="35" name="WCMSLanguage">
    <vt:lpwstr/>
  </property>
  <property fmtid="{D5CDD505-2E9C-101B-9397-08002B2CF9AE}" pid="36" name="Audience">
    <vt:lpwstr/>
  </property>
  <property fmtid="{D5CDD505-2E9C-101B-9397-08002B2CF9AE}" pid="37" name="WCMSDescription">
    <vt:lpwstr/>
  </property>
  <property fmtid="{D5CDD505-2E9C-101B-9397-08002B2CF9AE}" pid="39" name="WCMSOtherCategory">
    <vt:lpwstr/>
  </property>
  <property fmtid="{D5CDD505-2E9C-101B-9397-08002B2CF9AE}" pid="40" name="AusAIDPageDescriptionMetadata">
    <vt:lpwstr/>
  </property>
  <property fmtid="{D5CDD505-2E9C-101B-9397-08002B2CF9AE}" pid="41" name="WCMSTheme">
    <vt:lpwstr/>
  </property>
  <property fmtid="{D5CDD505-2E9C-101B-9397-08002B2CF9AE}" pid="42" name="WCMSISBNISSN">
    <vt:lpwstr/>
  </property>
  <property fmtid="{D5CDD505-2E9C-101B-9397-08002B2CF9AE}" pid="43" name="PublishingContactPicture">
    <vt:lpwstr/>
  </property>
  <property fmtid="{D5CDD505-2E9C-101B-9397-08002B2CF9AE}" pid="44" name="PublishingVariationGroupID">
    <vt:lpwstr/>
  </property>
  <property fmtid="{D5CDD505-2E9C-101B-9397-08002B2CF9AE}" pid="45" name="AusAIDIdentifierMetadata">
    <vt:lpwstr/>
  </property>
  <property fmtid="{D5CDD505-2E9C-101B-9397-08002B2CF9AE}" pid="46" name="PublishingContactName">
    <vt:lpwstr/>
  </property>
  <property fmtid="{D5CDD505-2E9C-101B-9397-08002B2CF9AE}" pid="47" name="WCMSRegion">
    <vt:lpwstr/>
  </property>
  <property fmtid="{D5CDD505-2E9C-101B-9397-08002B2CF9AE}" pid="48" name="WCMSPublicationAuthor">
    <vt:lpwstr/>
  </property>
  <property fmtid="{D5CDD505-2E9C-101B-9397-08002B2CF9AE}" pid="49" name="display_urn">
    <vt:lpwstr>System Account</vt:lpwstr>
  </property>
</Properties>
</file>