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7F58C77E" wp14:editId="0BEA35AC">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3319B591" wp14:editId="7C574A59">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rsidR="00C6626C" w:rsidRPr="00D7713F" w:rsidRDefault="00C6626C" w:rsidP="002A51CA">
      <w:pPr>
        <w:pStyle w:val="Title"/>
        <w:spacing w:after="120" w:line="600" w:lineRule="exact"/>
        <w:rPr>
          <w:spacing w:val="-20"/>
          <w:sz w:val="60"/>
          <w:szCs w:val="60"/>
        </w:rPr>
      </w:pPr>
      <w:r w:rsidRPr="00D7713F">
        <w:rPr>
          <w:spacing w:val="-20"/>
          <w:sz w:val="60"/>
          <w:szCs w:val="60"/>
        </w:rPr>
        <w:t>201</w:t>
      </w:r>
      <w:r w:rsidR="00D7713F">
        <w:rPr>
          <w:spacing w:val="-20"/>
          <w:sz w:val="60"/>
          <w:szCs w:val="60"/>
        </w:rPr>
        <w:t>8-19</w:t>
      </w:r>
    </w:p>
    <w:p w:rsidR="00C6626C" w:rsidRDefault="0013337D" w:rsidP="00A56F14">
      <w:r>
        <w:rPr>
          <w:sz w:val="40"/>
        </w:rPr>
        <w:t>Fiji</w:t>
      </w:r>
    </w:p>
    <w:p w:rsidR="00C6626C" w:rsidRPr="002A51CA" w:rsidRDefault="00C6626C" w:rsidP="00A56F14">
      <w:pPr>
        <w:rPr>
          <w:sz w:val="24"/>
        </w:rPr>
      </w:pPr>
      <w:r w:rsidRPr="002A51CA">
        <w:rPr>
          <w:sz w:val="24"/>
        </w:rPr>
        <w:t>September 201</w:t>
      </w:r>
      <w:r w:rsidR="00D7713F">
        <w:rPr>
          <w:sz w:val="24"/>
        </w:rPr>
        <w:t>9</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D7713F" w:rsidRPr="00BB648A" w:rsidRDefault="001270D0" w:rsidP="00D7713F">
      <w:pPr>
        <w:pStyle w:val="Title"/>
        <w:spacing w:before="120" w:after="240" w:line="300" w:lineRule="exact"/>
        <w:contextualSpacing w:val="0"/>
        <w:rPr>
          <w:szCs w:val="38"/>
        </w:rPr>
      </w:pPr>
      <w:r w:rsidRPr="001270D0">
        <w:rPr>
          <w:szCs w:val="38"/>
        </w:rPr>
        <w:lastRenderedPageBreak/>
        <w:t>FIJI</w:t>
      </w:r>
      <w:r w:rsidR="00D7713F" w:rsidRPr="001270D0">
        <w:rPr>
          <w:szCs w:val="38"/>
        </w:rPr>
        <w:t xml:space="preserve"> </w:t>
      </w:r>
      <w:r w:rsidR="00D7713F" w:rsidRPr="00BB648A">
        <w:rPr>
          <w:szCs w:val="38"/>
        </w:rPr>
        <w:t>Aid Program Performance Information 201</w:t>
      </w:r>
      <w:r w:rsidR="00F46D79">
        <w:rPr>
          <w:szCs w:val="38"/>
        </w:rPr>
        <w:t>8-19</w:t>
      </w:r>
    </w:p>
    <w:p w:rsidR="00C6626C" w:rsidRPr="003B3CC4" w:rsidRDefault="00C6626C" w:rsidP="00D7713F">
      <w:pPr>
        <w:pStyle w:val="ListBullet"/>
        <w:tabs>
          <w:tab w:val="clear" w:pos="284"/>
        </w:tabs>
        <w:spacing w:before="360" w:line="300" w:lineRule="exact"/>
        <w:rPr>
          <w:kern w:val="28"/>
        </w:rPr>
      </w:pPr>
      <w:r w:rsidRPr="003B3CC4">
        <w:rPr>
          <w:rFonts w:asciiTheme="majorHAnsi" w:eastAsiaTheme="majorEastAsia" w:hAnsiTheme="majorHAnsi" w:cstheme="majorBidi"/>
          <w:caps/>
          <w:color w:val="495965" w:themeColor="text2"/>
          <w:sz w:val="38"/>
          <w:szCs w:val="26"/>
          <w:lang w:val="en-GB" w:eastAsia="en-US"/>
        </w:rPr>
        <w:t>Key Messages</w:t>
      </w:r>
    </w:p>
    <w:p w:rsidR="009D0857" w:rsidRPr="009D0857" w:rsidRDefault="00407EDB" w:rsidP="009D0857">
      <w:r w:rsidRPr="009D0857">
        <w:t xml:space="preserve">2018-19 </w:t>
      </w:r>
      <w:r w:rsidR="002532F3" w:rsidRPr="009D0857">
        <w:t>was a year of consolidation</w:t>
      </w:r>
      <w:r w:rsidR="002532F3">
        <w:t xml:space="preserve"> and growth</w:t>
      </w:r>
      <w:r w:rsidR="002532F3" w:rsidRPr="009D0857">
        <w:t xml:space="preserve"> </w:t>
      </w:r>
      <w:r w:rsidR="002532F3">
        <w:t xml:space="preserve">for </w:t>
      </w:r>
      <w:r w:rsidR="00961442" w:rsidRPr="009D0857">
        <w:t>Australia</w:t>
      </w:r>
      <w:r w:rsidR="002532F3">
        <w:t>’s</w:t>
      </w:r>
      <w:r w:rsidR="00961442" w:rsidRPr="009D0857">
        <w:t xml:space="preserve"> development assistance program elevating our partne</w:t>
      </w:r>
      <w:r w:rsidR="009D0857" w:rsidRPr="009D0857">
        <w:t xml:space="preserve">rship with Fiji to a new level.  </w:t>
      </w:r>
      <w:r w:rsidR="0069225D">
        <w:t xml:space="preserve">Our relationship </w:t>
      </w:r>
      <w:r w:rsidR="00AC577D">
        <w:t>was cemented</w:t>
      </w:r>
      <w:r w:rsidR="00961442" w:rsidRPr="009D0857">
        <w:t xml:space="preserve"> with </w:t>
      </w:r>
      <w:r w:rsidR="00700BEA" w:rsidRPr="009D0857">
        <w:t>Prime Minister Morrison’s bilateral visit in January 2019,</w:t>
      </w:r>
      <w:r w:rsidR="00537810">
        <w:t xml:space="preserve"> followed by Foreign Minister Payne in June.</w:t>
      </w:r>
      <w:r w:rsidR="00961442" w:rsidRPr="009D0857">
        <w:t xml:space="preserve"> </w:t>
      </w:r>
      <w:r w:rsidR="009D0857" w:rsidRPr="009D0857">
        <w:t xml:space="preserve"> </w:t>
      </w:r>
      <w:r w:rsidR="000F5CAB" w:rsidRPr="009D0857">
        <w:t xml:space="preserve">The Australian development program has bedded down an </w:t>
      </w:r>
      <w:r w:rsidRPr="009D0857">
        <w:t xml:space="preserve">education program, </w:t>
      </w:r>
      <w:r w:rsidR="000F5CAB" w:rsidRPr="009D0857">
        <w:t xml:space="preserve">progressed the </w:t>
      </w:r>
      <w:r w:rsidRPr="009D0857">
        <w:t xml:space="preserve">design </w:t>
      </w:r>
      <w:r w:rsidR="000F5CAB" w:rsidRPr="009D0857">
        <w:t xml:space="preserve">of </w:t>
      </w:r>
      <w:r w:rsidRPr="009D0857">
        <w:t xml:space="preserve">a new Governance program and </w:t>
      </w:r>
      <w:r w:rsidR="000F5CAB" w:rsidRPr="009D0857">
        <w:t xml:space="preserve">made development </w:t>
      </w:r>
      <w:r w:rsidR="008B335B" w:rsidRPr="009D0857">
        <w:t xml:space="preserve">gains in </w:t>
      </w:r>
      <w:r w:rsidR="000F5CAB" w:rsidRPr="009D0857">
        <w:t xml:space="preserve">both </w:t>
      </w:r>
      <w:r w:rsidR="00E02F2A" w:rsidRPr="009D0857">
        <w:t xml:space="preserve">health </w:t>
      </w:r>
      <w:r w:rsidR="008B335B" w:rsidRPr="009D0857">
        <w:t xml:space="preserve">and </w:t>
      </w:r>
      <w:r w:rsidR="00E02F2A" w:rsidRPr="009D0857">
        <w:t>private sector</w:t>
      </w:r>
      <w:r w:rsidR="000F5CAB" w:rsidRPr="009D0857">
        <w:t>s</w:t>
      </w:r>
      <w:r w:rsidRPr="009D0857">
        <w:t xml:space="preserve">.  </w:t>
      </w:r>
    </w:p>
    <w:p w:rsidR="007811B8" w:rsidRPr="009D0857" w:rsidRDefault="006D57F0" w:rsidP="009D0857">
      <w:r w:rsidRPr="009D0857">
        <w:rPr>
          <w:b/>
        </w:rPr>
        <w:t>Pacific Step-</w:t>
      </w:r>
      <w:r w:rsidR="003B0E44">
        <w:rPr>
          <w:b/>
        </w:rPr>
        <w:t>u</w:t>
      </w:r>
      <w:r w:rsidR="000F5CAB" w:rsidRPr="009D0857">
        <w:rPr>
          <w:b/>
        </w:rPr>
        <w:t>p</w:t>
      </w:r>
      <w:r w:rsidR="000F5CAB" w:rsidRPr="009D0857">
        <w:t xml:space="preserve"> </w:t>
      </w:r>
      <w:r w:rsidRPr="009D0857">
        <w:t xml:space="preserve">initiatives and </w:t>
      </w:r>
      <w:r w:rsidR="000F5CAB" w:rsidRPr="009D0857">
        <w:t xml:space="preserve">collaboration with the Government of Fiji (GoF) have headlined this year’s </w:t>
      </w:r>
      <w:r w:rsidR="007811B8" w:rsidRPr="009D0857">
        <w:t xml:space="preserve">aid program. The Australia Infrastructure Financing Facility for the Pacific (AIFFP) undertook a scoping mission in May 2019 to </w:t>
      </w:r>
      <w:r w:rsidRPr="009D0857">
        <w:t xml:space="preserve">prioritise </w:t>
      </w:r>
      <w:r w:rsidR="007811B8" w:rsidRPr="009D0857">
        <w:t>Fiji’s infrastructure with the Government and other stakeholders.</w:t>
      </w:r>
      <w:r w:rsidR="00700BEA" w:rsidRPr="009D0857">
        <w:t xml:space="preserve"> </w:t>
      </w:r>
      <w:r w:rsidR="007811B8" w:rsidRPr="009D0857">
        <w:t xml:space="preserve"> In April 2019 Fiji joined Australia’s </w:t>
      </w:r>
      <w:r w:rsidR="007811B8" w:rsidRPr="009D0857">
        <w:rPr>
          <w:b/>
        </w:rPr>
        <w:t>Pacific Labour Scheme</w:t>
      </w:r>
      <w:r w:rsidR="001B3A41" w:rsidRPr="009D0857">
        <w:t xml:space="preserve"> (PLS)</w:t>
      </w:r>
      <w:r w:rsidR="007811B8" w:rsidRPr="009D0857">
        <w:t xml:space="preserve">. </w:t>
      </w:r>
      <w:r w:rsidR="00877499" w:rsidRPr="009D0857">
        <w:t xml:space="preserve">Australia has provided an </w:t>
      </w:r>
      <w:r w:rsidR="007811B8" w:rsidRPr="009D0857">
        <w:t xml:space="preserve">advisor </w:t>
      </w:r>
      <w:r w:rsidR="00877499" w:rsidRPr="009D0857">
        <w:t xml:space="preserve">to </w:t>
      </w:r>
      <w:r w:rsidR="007811B8" w:rsidRPr="009D0857">
        <w:t xml:space="preserve">the </w:t>
      </w:r>
      <w:r w:rsidR="00877499" w:rsidRPr="009D0857">
        <w:t xml:space="preserve">GoF </w:t>
      </w:r>
      <w:r w:rsidR="007811B8" w:rsidRPr="009D0857">
        <w:t xml:space="preserve">Ministry of Employment to </w:t>
      </w:r>
      <w:r w:rsidR="001B3A41" w:rsidRPr="009D0857">
        <w:t xml:space="preserve">ensure the PLS can </w:t>
      </w:r>
      <w:r w:rsidR="007811B8" w:rsidRPr="009D0857">
        <w:t xml:space="preserve">maximise benefits to Fiji’s long-term economic development. The </w:t>
      </w:r>
      <w:r w:rsidR="001B3A41" w:rsidRPr="009D0857">
        <w:t xml:space="preserve">PLS </w:t>
      </w:r>
      <w:r w:rsidR="007811B8" w:rsidRPr="009D0857">
        <w:t xml:space="preserve">got off to a promising start with </w:t>
      </w:r>
      <w:r w:rsidR="00BA2A92">
        <w:t>23</w:t>
      </w:r>
      <w:r w:rsidR="00BA2A92" w:rsidRPr="009D0857">
        <w:t xml:space="preserve"> </w:t>
      </w:r>
      <w:r w:rsidR="007811B8" w:rsidRPr="009D0857">
        <w:t xml:space="preserve">Fijians </w:t>
      </w:r>
      <w:r w:rsidR="001B3A41" w:rsidRPr="009D0857">
        <w:t xml:space="preserve">engaged to </w:t>
      </w:r>
      <w:r w:rsidR="007811B8" w:rsidRPr="009D0857">
        <w:t xml:space="preserve">work in the meat works industry and in hospitality </w:t>
      </w:r>
      <w:r w:rsidR="00BA2A92">
        <w:t>by July</w:t>
      </w:r>
      <w:r w:rsidR="00700BEA" w:rsidRPr="009D0857">
        <w:t xml:space="preserve"> 2019</w:t>
      </w:r>
      <w:r w:rsidR="007811B8" w:rsidRPr="009D0857">
        <w:t>.</w:t>
      </w:r>
    </w:p>
    <w:p w:rsidR="00E02F2A" w:rsidRPr="009D0857" w:rsidRDefault="00E02F2A" w:rsidP="009D0857">
      <w:r w:rsidRPr="009D0857">
        <w:rPr>
          <w:b/>
        </w:rPr>
        <w:t>Increased Private Sector Development</w:t>
      </w:r>
      <w:r w:rsidR="001B3A41" w:rsidRPr="009D0857">
        <w:t xml:space="preserve"> </w:t>
      </w:r>
      <w:r w:rsidR="009D0857">
        <w:t>through</w:t>
      </w:r>
      <w:r w:rsidR="001B3A41" w:rsidRPr="009D0857">
        <w:t xml:space="preserve"> </w:t>
      </w:r>
      <w:r w:rsidRPr="009D0857">
        <w:t xml:space="preserve">the Market Development Facility </w:t>
      </w:r>
      <w:r w:rsidR="00D25DA0" w:rsidRPr="009D0857">
        <w:t xml:space="preserve">(MDF) </w:t>
      </w:r>
      <w:r w:rsidR="00407EDB" w:rsidRPr="009D0857">
        <w:t xml:space="preserve">continued to make progress on supporting economic opportunities for women. </w:t>
      </w:r>
      <w:r w:rsidR="009D0857">
        <w:t xml:space="preserve"> </w:t>
      </w:r>
      <w:r w:rsidR="001B3A41" w:rsidRPr="009D0857">
        <w:t xml:space="preserve">Between </w:t>
      </w:r>
      <w:r w:rsidR="00407EDB" w:rsidRPr="009D0857">
        <w:t>2011 and December 2018</w:t>
      </w:r>
      <w:r w:rsidR="001B3A41" w:rsidRPr="009D0857">
        <w:t xml:space="preserve">, </w:t>
      </w:r>
      <w:r w:rsidR="00CE421E">
        <w:t>7</w:t>
      </w:r>
      <w:r w:rsidR="00407EDB" w:rsidRPr="009D0857">
        <w:t xml:space="preserve">030 women have benefitted from additional income </w:t>
      </w:r>
      <w:r w:rsidR="001B3A41" w:rsidRPr="009D0857">
        <w:t xml:space="preserve">and/or employment </w:t>
      </w:r>
      <w:r w:rsidR="00407EDB" w:rsidRPr="009D0857">
        <w:t xml:space="preserve">through </w:t>
      </w:r>
      <w:r w:rsidR="001B3A41" w:rsidRPr="009D0857">
        <w:t xml:space="preserve">the </w:t>
      </w:r>
      <w:r w:rsidR="00407EDB" w:rsidRPr="009D0857">
        <w:t>MDF</w:t>
      </w:r>
      <w:r w:rsidR="009D0857">
        <w:t xml:space="preserve">, with </w:t>
      </w:r>
      <w:r w:rsidR="00FF5460" w:rsidRPr="009D0857">
        <w:t xml:space="preserve">2730 of these benefiting in the </w:t>
      </w:r>
      <w:r w:rsidR="00667378">
        <w:t>2018 calendar</w:t>
      </w:r>
      <w:r w:rsidR="00667378" w:rsidRPr="009D0857">
        <w:t xml:space="preserve"> </w:t>
      </w:r>
      <w:r w:rsidR="00FF5460" w:rsidRPr="009D0857">
        <w:t xml:space="preserve">year alone. </w:t>
      </w:r>
    </w:p>
    <w:p w:rsidR="00D25DA0" w:rsidRPr="009D0857" w:rsidRDefault="00E02F2A" w:rsidP="009D0857">
      <w:r w:rsidRPr="009D0857">
        <w:t>Australia</w:t>
      </w:r>
      <w:r w:rsidR="00FF5460" w:rsidRPr="009D0857">
        <w:t xml:space="preserve"> </w:t>
      </w:r>
      <w:r w:rsidRPr="009D0857">
        <w:t>support</w:t>
      </w:r>
      <w:r w:rsidR="00FF5460" w:rsidRPr="009D0857">
        <w:t>ed</w:t>
      </w:r>
      <w:r w:rsidRPr="009D0857">
        <w:t xml:space="preserve"> </w:t>
      </w:r>
      <w:r w:rsidR="00FF5460" w:rsidRPr="009D0857">
        <w:t xml:space="preserve">two </w:t>
      </w:r>
      <w:r w:rsidR="00E82B87">
        <w:t>International Finance</w:t>
      </w:r>
      <w:r w:rsidRPr="009D0857">
        <w:t xml:space="preserve"> Corpo</w:t>
      </w:r>
      <w:r w:rsidR="009D0857">
        <w:t xml:space="preserve">ration </w:t>
      </w:r>
      <w:r w:rsidR="00D25DA0" w:rsidRPr="009D0857">
        <w:t xml:space="preserve">(IFC) </w:t>
      </w:r>
      <w:r w:rsidR="00DA59BB">
        <w:t xml:space="preserve">foundational studies into </w:t>
      </w:r>
      <w:hyperlink r:id="rId16" w:history="1">
        <w:r w:rsidR="00407EDB" w:rsidRPr="009D0857">
          <w:t>domestic violence</w:t>
        </w:r>
      </w:hyperlink>
      <w:r w:rsidR="00DA59BB">
        <w:t xml:space="preserve"> </w:t>
      </w:r>
      <w:r w:rsidR="00407EDB" w:rsidRPr="009D0857">
        <w:t xml:space="preserve">and </w:t>
      </w:r>
      <w:hyperlink r:id="rId17" w:history="1">
        <w:r w:rsidR="00407EDB" w:rsidRPr="009D0857">
          <w:t>childcare</w:t>
        </w:r>
      </w:hyperlink>
      <w:r w:rsidR="00DA59BB">
        <w:t xml:space="preserve">, highlighting </w:t>
      </w:r>
      <w:r w:rsidR="00AF5B45">
        <w:t>the important role the private sector could play in these areas</w:t>
      </w:r>
      <w:r w:rsidR="00407EDB" w:rsidRPr="009D0857">
        <w:t xml:space="preserve">. </w:t>
      </w:r>
      <w:r w:rsidR="009D0857">
        <w:t xml:space="preserve"> These studies </w:t>
      </w:r>
      <w:r w:rsidR="00667378">
        <w:t>will</w:t>
      </w:r>
      <w:r w:rsidR="00FF5460" w:rsidRPr="009D0857">
        <w:t xml:space="preserve"> underpin </w:t>
      </w:r>
      <w:r w:rsidR="00407EDB" w:rsidRPr="009D0857">
        <w:t xml:space="preserve">IFC’s </w:t>
      </w:r>
      <w:r w:rsidR="00FF5460" w:rsidRPr="009D0857">
        <w:t xml:space="preserve">collaboration </w:t>
      </w:r>
      <w:r w:rsidR="00407EDB" w:rsidRPr="009D0857">
        <w:t xml:space="preserve">with Fiji’s leading businesses to </w:t>
      </w:r>
      <w:r w:rsidR="00FF5460" w:rsidRPr="009D0857">
        <w:t xml:space="preserve">implement </w:t>
      </w:r>
      <w:r w:rsidR="00407EDB" w:rsidRPr="009D0857">
        <w:t>women</w:t>
      </w:r>
      <w:r w:rsidR="00667378">
        <w:t>-</w:t>
      </w:r>
      <w:r w:rsidR="00407EDB" w:rsidRPr="009D0857">
        <w:t>friendly policies and programs</w:t>
      </w:r>
      <w:r w:rsidR="00FF5460" w:rsidRPr="009D0857">
        <w:t xml:space="preserve"> that deliver protection and market access for women while also enhancing market productivity</w:t>
      </w:r>
      <w:r w:rsidR="00407EDB" w:rsidRPr="009D0857">
        <w:t>.</w:t>
      </w:r>
      <w:r w:rsidR="00DE34FC">
        <w:t xml:space="preserve">  </w:t>
      </w:r>
      <w:r w:rsidR="00DE34FC">
        <w:rPr>
          <w:rFonts w:cstheme="minorHAnsi"/>
        </w:rPr>
        <w:t xml:space="preserve">With the IFC, Australia </w:t>
      </w:r>
      <w:r w:rsidR="00DE34FC" w:rsidRPr="00631442">
        <w:rPr>
          <w:rFonts w:cstheme="minorHAnsi"/>
        </w:rPr>
        <w:t xml:space="preserve">is </w:t>
      </w:r>
      <w:r w:rsidR="00DE34FC">
        <w:rPr>
          <w:rFonts w:cstheme="minorHAnsi"/>
        </w:rPr>
        <w:t xml:space="preserve">also </w:t>
      </w:r>
      <w:r w:rsidR="00DE34FC" w:rsidRPr="00631442">
        <w:rPr>
          <w:rFonts w:cstheme="minorHAnsi"/>
        </w:rPr>
        <w:t xml:space="preserve">helping </w:t>
      </w:r>
      <w:r w:rsidR="00DE34FC">
        <w:rPr>
          <w:rFonts w:cstheme="minorHAnsi"/>
        </w:rPr>
        <w:t xml:space="preserve">increase the climate and disaster resilience of </w:t>
      </w:r>
      <w:r w:rsidR="00DE34FC" w:rsidRPr="00631442">
        <w:rPr>
          <w:rFonts w:cstheme="minorHAnsi"/>
        </w:rPr>
        <w:t xml:space="preserve">low income families by </w:t>
      </w:r>
      <w:r w:rsidR="00BA2A92">
        <w:rPr>
          <w:rFonts w:cstheme="minorHAnsi"/>
        </w:rPr>
        <w:t xml:space="preserve">working towards </w:t>
      </w:r>
      <w:r w:rsidR="002D2697">
        <w:rPr>
          <w:rFonts w:cstheme="minorHAnsi"/>
        </w:rPr>
        <w:t>the provision of</w:t>
      </w:r>
      <w:r w:rsidR="00DE34FC" w:rsidRPr="00631442">
        <w:rPr>
          <w:rFonts w:cstheme="minorHAnsi"/>
        </w:rPr>
        <w:t xml:space="preserve"> disaster risk insurance with payments </w:t>
      </w:r>
      <w:r w:rsidR="002D2697">
        <w:rPr>
          <w:rFonts w:cstheme="minorHAnsi"/>
        </w:rPr>
        <w:t xml:space="preserve">available </w:t>
      </w:r>
      <w:r w:rsidR="00DE34FC" w:rsidRPr="00631442">
        <w:rPr>
          <w:rFonts w:cstheme="minorHAnsi"/>
        </w:rPr>
        <w:t>immediately after disasters</w:t>
      </w:r>
      <w:r w:rsidR="00DE34FC">
        <w:rPr>
          <w:rFonts w:cstheme="minorHAnsi"/>
        </w:rPr>
        <w:t>.</w:t>
      </w:r>
    </w:p>
    <w:p w:rsidR="008B335B" w:rsidRPr="009D0857" w:rsidRDefault="00667378" w:rsidP="009D0857">
      <w:r>
        <w:t>M</w:t>
      </w:r>
      <w:r w:rsidR="00FF5460" w:rsidRPr="009D0857">
        <w:t>ore work must be done to achieve</w:t>
      </w:r>
      <w:r>
        <w:t xml:space="preserve"> </w:t>
      </w:r>
      <w:r w:rsidR="00E02F2A" w:rsidRPr="009D0857">
        <w:t>disability inclusion</w:t>
      </w:r>
      <w:r w:rsidR="00FF5460" w:rsidRPr="009D0857">
        <w:t xml:space="preserve"> results</w:t>
      </w:r>
      <w:r w:rsidR="00E86D78">
        <w:t xml:space="preserve">.  This work will need to align with the important reforms by the GoF to </w:t>
      </w:r>
      <w:r w:rsidR="00CE421E">
        <w:t>fulfil it</w:t>
      </w:r>
      <w:r w:rsidR="00F24484">
        <w:t>s obligations under</w:t>
      </w:r>
      <w:r w:rsidR="00E86D78">
        <w:t xml:space="preserve"> the Convention on the Rights of Persons with Disabilities through the Rights of Persons with Disabilities Act 2018</w:t>
      </w:r>
      <w:r w:rsidR="00FF5460" w:rsidRPr="009D0857">
        <w:t>.</w:t>
      </w:r>
      <w:r w:rsidR="00D173EF">
        <w:t xml:space="preserve">  </w:t>
      </w:r>
      <w:r w:rsidR="002D2697">
        <w:t>We</w:t>
      </w:r>
      <w:r>
        <w:t xml:space="preserve"> need to </w:t>
      </w:r>
      <w:r w:rsidR="00A22848">
        <w:t xml:space="preserve">ensure our governance portfolio </w:t>
      </w:r>
      <w:r w:rsidR="00BA2A92">
        <w:t>satisfactorily</w:t>
      </w:r>
      <w:r w:rsidR="00A22848">
        <w:t xml:space="preserve"> addresses gender issues in its implementation.  </w:t>
      </w:r>
      <w:r w:rsidR="00A22848">
        <w:rPr>
          <w:rFonts w:cstheme="minorHAnsi"/>
        </w:rPr>
        <w:t xml:space="preserve">There </w:t>
      </w:r>
      <w:r w:rsidR="00F24484">
        <w:rPr>
          <w:rFonts w:cstheme="minorHAnsi"/>
        </w:rPr>
        <w:t>are also opportunities to</w:t>
      </w:r>
      <w:r w:rsidR="00A22848">
        <w:rPr>
          <w:rFonts w:cstheme="minorHAnsi"/>
        </w:rPr>
        <w:t xml:space="preserve"> </w:t>
      </w:r>
      <w:r w:rsidR="00F24484">
        <w:rPr>
          <w:rFonts w:cstheme="minorHAnsi"/>
        </w:rPr>
        <w:t>further integrate</w:t>
      </w:r>
      <w:r w:rsidR="00A22848">
        <w:rPr>
          <w:rFonts w:cstheme="minorHAnsi"/>
        </w:rPr>
        <w:t xml:space="preserve"> climate change and disaster resilience across the bilateral program.</w:t>
      </w:r>
    </w:p>
    <w:p w:rsidR="00244091" w:rsidRPr="009D0857" w:rsidRDefault="00407EDB" w:rsidP="009D0857">
      <w:r w:rsidRPr="009D0857">
        <w:t xml:space="preserve">The Institutional Partnerships Program has made good progress, with strong support from key leaders within the </w:t>
      </w:r>
      <w:r w:rsidR="00D25DA0" w:rsidRPr="009D0857">
        <w:t>GoF</w:t>
      </w:r>
      <w:r w:rsidRPr="009D0857">
        <w:t>, including the Prime Minister</w:t>
      </w:r>
      <w:r w:rsidR="00D25DA0" w:rsidRPr="009D0857">
        <w:t xml:space="preserve">. </w:t>
      </w:r>
      <w:r w:rsidR="0070785B">
        <w:t xml:space="preserve"> </w:t>
      </w:r>
      <w:r w:rsidR="00D25DA0" w:rsidRPr="009D0857">
        <w:t>R</w:t>
      </w:r>
      <w:r w:rsidRPr="009D0857">
        <w:t xml:space="preserve">eforms are on track to achieve the </w:t>
      </w:r>
      <w:r w:rsidR="00D25DA0" w:rsidRPr="009D0857">
        <w:t>GoF</w:t>
      </w:r>
      <w:r w:rsidRPr="009D0857">
        <w:t>'s desired long-term outcome of improving the services provided to</w:t>
      </w:r>
      <w:r w:rsidR="0070785B">
        <w:t xml:space="preserve"> the public by civil servants.  </w:t>
      </w:r>
      <w:r w:rsidRPr="009D0857">
        <w:t>Of particular note was Australia’s suppor</w:t>
      </w:r>
      <w:r w:rsidR="0070785B">
        <w:t>t to the 2018 Fijian election</w:t>
      </w:r>
      <w:r w:rsidR="00667378">
        <w:t xml:space="preserve">, which was </w:t>
      </w:r>
      <w:r w:rsidRPr="009D0857">
        <w:t xml:space="preserve">judged by the GoF to have </w:t>
      </w:r>
      <w:r w:rsidR="00667378">
        <w:t>been</w:t>
      </w:r>
      <w:r w:rsidR="00667378" w:rsidRPr="009D0857">
        <w:t xml:space="preserve"> </w:t>
      </w:r>
      <w:r w:rsidRPr="009D0857">
        <w:t>excellent</w:t>
      </w:r>
      <w:r w:rsidR="00667378">
        <w:t>.</w:t>
      </w:r>
      <w:r w:rsidRPr="009D0857">
        <w:t xml:space="preserve"> </w:t>
      </w:r>
    </w:p>
    <w:p w:rsidR="00D173EF" w:rsidRDefault="00667378" w:rsidP="00D173EF">
      <w:r>
        <w:rPr>
          <w:rFonts w:cstheme="minorHAnsi"/>
        </w:rPr>
        <w:t xml:space="preserve">Our investments in health and education continue to support development of a healthy, well-educated population to drive economic growth. </w:t>
      </w:r>
      <w:r w:rsidR="004D6DD6" w:rsidRPr="009D0857">
        <w:t xml:space="preserve">Australia’s support to Fiji’s </w:t>
      </w:r>
      <w:r w:rsidR="004D6DD6" w:rsidRPr="009D0857">
        <w:rPr>
          <w:b/>
        </w:rPr>
        <w:t>Education Sector</w:t>
      </w:r>
      <w:r w:rsidR="004D6DD6" w:rsidRPr="009D0857">
        <w:t xml:space="preserve"> operated flexibly, delivering a range of transitional activities which responded to Fiji’s education priorities while aw</w:t>
      </w:r>
      <w:r w:rsidR="00D25DA0" w:rsidRPr="009D0857">
        <w:t>aiting the finalisation of the four</w:t>
      </w:r>
      <w:r w:rsidR="004D6DD6" w:rsidRPr="009D0857">
        <w:t xml:space="preserve"> year plan for the new </w:t>
      </w:r>
      <w:r>
        <w:t xml:space="preserve">Education </w:t>
      </w:r>
      <w:r w:rsidR="004D6DD6" w:rsidRPr="009D0857">
        <w:t>Program which was approved in November</w:t>
      </w:r>
      <w:r w:rsidR="000572B5" w:rsidRPr="009D0857">
        <w:t xml:space="preserve"> 2018</w:t>
      </w:r>
      <w:r w:rsidR="0070785B">
        <w:t xml:space="preserve">.  </w:t>
      </w:r>
      <w:r w:rsidR="004D6DD6" w:rsidRPr="009D0857">
        <w:t xml:space="preserve">Key achievements include the Ministry of Education, Heritage and the Arts </w:t>
      </w:r>
      <w:r w:rsidR="00D25DA0" w:rsidRPr="009D0857">
        <w:t xml:space="preserve">(MEHA) </w:t>
      </w:r>
      <w:r w:rsidR="004D6DD6" w:rsidRPr="009D0857">
        <w:t xml:space="preserve">agreeing to share its </w:t>
      </w:r>
      <w:r w:rsidR="00D25DA0" w:rsidRPr="009D0857">
        <w:t xml:space="preserve">(Australian supported) </w:t>
      </w:r>
      <w:r w:rsidR="004D6DD6" w:rsidRPr="009D0857">
        <w:t>information management system Source Code with other interested Pacific countries</w:t>
      </w:r>
      <w:r w:rsidR="0070785B">
        <w:t xml:space="preserve"> </w:t>
      </w:r>
      <w:r w:rsidR="00AF5B45">
        <w:t xml:space="preserve">(including Vanuatu and Samoa). </w:t>
      </w:r>
      <w:r w:rsidR="004D6DD6" w:rsidRPr="009D0857">
        <w:t>This will facilitate consistent reporting and comparisons across the Pac</w:t>
      </w:r>
      <w:r w:rsidR="0070785B">
        <w:t>i</w:t>
      </w:r>
      <w:r w:rsidR="00AF5B45">
        <w:t>fic</w:t>
      </w:r>
      <w:r>
        <w:t xml:space="preserve"> among other stakeholders</w:t>
      </w:r>
      <w:r w:rsidR="00AF5B45">
        <w:t xml:space="preserve">. </w:t>
      </w:r>
      <w:r w:rsidR="00E02F2A" w:rsidRPr="009D0857">
        <w:t xml:space="preserve">The </w:t>
      </w:r>
      <w:r w:rsidR="00E02F2A" w:rsidRPr="0070785B">
        <w:rPr>
          <w:b/>
        </w:rPr>
        <w:t>Fiji Health Program</w:t>
      </w:r>
      <w:r w:rsidR="00E02F2A" w:rsidRPr="009D0857">
        <w:t xml:space="preserve"> </w:t>
      </w:r>
      <w:r w:rsidR="00E02F2A" w:rsidRPr="005A5659">
        <w:t xml:space="preserve">supported the </w:t>
      </w:r>
      <w:r w:rsidR="00E02F2A">
        <w:t>strengthening of maternal services in four key community hospitals to improve access and service quality for mothers and their newborns, including support to train 40 midwives locally to help address a critical shortage in Fiji.</w:t>
      </w:r>
      <w:r w:rsidR="00D173EF">
        <w:t xml:space="preserve">   </w:t>
      </w:r>
    </w:p>
    <w:p w:rsidR="00F26FB4" w:rsidRPr="00D173EF" w:rsidRDefault="00407EDB" w:rsidP="00D173EF">
      <w:r w:rsidRPr="00000066">
        <w:rPr>
          <w:rFonts w:cstheme="minorHAnsi"/>
        </w:rPr>
        <w:t>T</w:t>
      </w:r>
      <w:r w:rsidR="008B335B" w:rsidRPr="00000066">
        <w:rPr>
          <w:rFonts w:cstheme="minorHAnsi"/>
        </w:rPr>
        <w:t xml:space="preserve">hrough </w:t>
      </w:r>
      <w:r w:rsidR="00EA7EE3">
        <w:rPr>
          <w:rFonts w:cstheme="minorHAnsi"/>
        </w:rPr>
        <w:t xml:space="preserve">Australia’s </w:t>
      </w:r>
      <w:r w:rsidR="00EA7EE3" w:rsidRPr="00000066">
        <w:rPr>
          <w:rFonts w:cstheme="minorHAnsi"/>
        </w:rPr>
        <w:t>support</w:t>
      </w:r>
      <w:r w:rsidR="008B335B" w:rsidRPr="00000066">
        <w:rPr>
          <w:rFonts w:cstheme="minorHAnsi"/>
        </w:rPr>
        <w:t xml:space="preserve"> to</w:t>
      </w:r>
      <w:r w:rsidRPr="00000066">
        <w:rPr>
          <w:rFonts w:cstheme="minorHAnsi"/>
        </w:rPr>
        <w:t xml:space="preserve"> the Fiji Women’s Crisis Centre (FWCC), 1713 survivors </w:t>
      </w:r>
      <w:r w:rsidRPr="000834AE">
        <w:rPr>
          <w:rFonts w:cstheme="minorHAnsi"/>
          <w:b/>
        </w:rPr>
        <w:t>of domestic and sexual violence</w:t>
      </w:r>
      <w:r w:rsidRPr="00000066">
        <w:rPr>
          <w:rFonts w:cstheme="minorHAnsi"/>
        </w:rPr>
        <w:t xml:space="preserve"> received counselling, legal and medical support.  Of the 1713 cases, 435 were reported to the police with FWCC support</w:t>
      </w:r>
      <w:r w:rsidR="008B335B" w:rsidRPr="00000066">
        <w:rPr>
          <w:rFonts w:cstheme="minorHAnsi"/>
        </w:rPr>
        <w:t xml:space="preserve">. </w:t>
      </w:r>
      <w:r w:rsidR="0070785B">
        <w:rPr>
          <w:rFonts w:cstheme="minorHAnsi"/>
        </w:rPr>
        <w:t xml:space="preserve"> </w:t>
      </w:r>
      <w:r w:rsidR="008B335B" w:rsidRPr="00000066">
        <w:rPr>
          <w:rFonts w:cstheme="minorHAnsi"/>
        </w:rPr>
        <w:t>A</w:t>
      </w:r>
      <w:r w:rsidRPr="00000066">
        <w:rPr>
          <w:rFonts w:cstheme="minorHAnsi"/>
        </w:rPr>
        <w:t xml:space="preserve">ustralia supported the first regional dialogue between </w:t>
      </w:r>
      <w:r w:rsidR="00667378">
        <w:rPr>
          <w:rFonts w:cstheme="minorHAnsi"/>
        </w:rPr>
        <w:t xml:space="preserve">Disabled People’s Organisations </w:t>
      </w:r>
      <w:r w:rsidR="00667378">
        <w:rPr>
          <w:rFonts w:cstheme="minorHAnsi"/>
        </w:rPr>
        <w:lastRenderedPageBreak/>
        <w:t>(</w:t>
      </w:r>
      <w:r w:rsidRPr="00000066">
        <w:rPr>
          <w:rFonts w:cstheme="minorHAnsi"/>
        </w:rPr>
        <w:t>DPOs</w:t>
      </w:r>
      <w:r w:rsidR="00667378">
        <w:rPr>
          <w:rFonts w:cstheme="minorHAnsi"/>
        </w:rPr>
        <w:t>)</w:t>
      </w:r>
      <w:r w:rsidRPr="00000066">
        <w:rPr>
          <w:rFonts w:cstheme="minorHAnsi"/>
        </w:rPr>
        <w:t xml:space="preserve">, violence response service providers and government ministries on barriers to disability inclusion </w:t>
      </w:r>
      <w:r w:rsidR="00667378">
        <w:rPr>
          <w:rFonts w:cstheme="minorHAnsi"/>
        </w:rPr>
        <w:t>in</w:t>
      </w:r>
      <w:r w:rsidRPr="00000066">
        <w:rPr>
          <w:rFonts w:cstheme="minorHAnsi"/>
        </w:rPr>
        <w:t xml:space="preserve"> Ending Violence Against Women through the Pacific Women Shapi</w:t>
      </w:r>
      <w:r w:rsidR="0070785B">
        <w:rPr>
          <w:rFonts w:cstheme="minorHAnsi"/>
        </w:rPr>
        <w:t xml:space="preserve">ng Pacific Development program.  </w:t>
      </w:r>
      <w:r w:rsidRPr="00000066">
        <w:rPr>
          <w:rFonts w:cstheme="minorHAnsi"/>
        </w:rPr>
        <w:t xml:space="preserve">As a result of the dialogue, a toolkit was developed </w:t>
      </w:r>
      <w:r w:rsidR="002D2697">
        <w:rPr>
          <w:rFonts w:cstheme="minorHAnsi"/>
        </w:rPr>
        <w:t xml:space="preserve">jointly </w:t>
      </w:r>
      <w:r w:rsidRPr="00000066">
        <w:rPr>
          <w:rFonts w:cstheme="minorHAnsi"/>
        </w:rPr>
        <w:t>by the Pacific Disability Forum, its member organisation Fiji Disabled People’s Federation and UN Women</w:t>
      </w:r>
      <w:r w:rsidR="00667378">
        <w:rPr>
          <w:rFonts w:cstheme="minorHAnsi"/>
        </w:rPr>
        <w:t>.</w:t>
      </w:r>
    </w:p>
    <w:p w:rsidR="00407EDB" w:rsidRPr="00000066" w:rsidRDefault="00F26FB4" w:rsidP="009D0857">
      <w:pPr>
        <w:tabs>
          <w:tab w:val="left" w:pos="321"/>
        </w:tabs>
        <w:suppressAutoHyphens w:val="0"/>
        <w:autoSpaceDE w:val="0"/>
        <w:autoSpaceDN w:val="0"/>
        <w:adjustRightInd w:val="0"/>
        <w:spacing w:before="240" w:after="0" w:line="240" w:lineRule="auto"/>
        <w:ind w:right="518"/>
        <w:rPr>
          <w:rFonts w:cstheme="minorHAnsi"/>
        </w:rPr>
      </w:pPr>
      <w:r w:rsidRPr="00CF46F2">
        <w:rPr>
          <w:rFonts w:cstheme="minorHAnsi"/>
        </w:rPr>
        <w:t xml:space="preserve">In 2018-19, </w:t>
      </w:r>
      <w:r w:rsidR="00CF46F2" w:rsidRPr="00CF46F2">
        <w:rPr>
          <w:rFonts w:cstheme="minorHAnsi"/>
        </w:rPr>
        <w:t xml:space="preserve">progress was made </w:t>
      </w:r>
      <w:r w:rsidR="00667378">
        <w:rPr>
          <w:rFonts w:cstheme="minorHAnsi"/>
        </w:rPr>
        <w:t>o</w:t>
      </w:r>
      <w:r w:rsidR="00CF46F2" w:rsidRPr="00CF46F2">
        <w:rPr>
          <w:rFonts w:cstheme="minorHAnsi"/>
        </w:rPr>
        <w:t xml:space="preserve">n finishing the remaining elements of Australia’s $35 million package of assistance for </w:t>
      </w:r>
      <w:r w:rsidR="00CF46F2" w:rsidRPr="00CF46F2">
        <w:rPr>
          <w:rFonts w:cstheme="minorHAnsi"/>
          <w:b/>
        </w:rPr>
        <w:t>T</w:t>
      </w:r>
      <w:r w:rsidR="00667378">
        <w:rPr>
          <w:rFonts w:cstheme="minorHAnsi"/>
          <w:b/>
        </w:rPr>
        <w:t xml:space="preserve">ropical </w:t>
      </w:r>
      <w:r w:rsidR="00CF46F2" w:rsidRPr="00CF46F2">
        <w:rPr>
          <w:rFonts w:cstheme="minorHAnsi"/>
          <w:b/>
        </w:rPr>
        <w:t>C</w:t>
      </w:r>
      <w:r w:rsidR="00667378">
        <w:rPr>
          <w:rFonts w:cstheme="minorHAnsi"/>
          <w:b/>
        </w:rPr>
        <w:t>yclone (TC</w:t>
      </w:r>
      <w:r w:rsidR="007914F1">
        <w:rPr>
          <w:rFonts w:cstheme="minorHAnsi"/>
          <w:b/>
        </w:rPr>
        <w:t xml:space="preserve">) </w:t>
      </w:r>
      <w:r w:rsidR="007914F1" w:rsidRPr="00CF46F2">
        <w:rPr>
          <w:rFonts w:cstheme="minorHAnsi"/>
          <w:b/>
        </w:rPr>
        <w:t>Winston</w:t>
      </w:r>
      <w:r w:rsidR="00CF46F2" w:rsidRPr="00CF46F2">
        <w:rPr>
          <w:rFonts w:cstheme="minorHAnsi"/>
        </w:rPr>
        <w:t xml:space="preserve"> (</w:t>
      </w:r>
      <w:r w:rsidR="00667378">
        <w:rPr>
          <w:rFonts w:cstheme="minorHAnsi"/>
        </w:rPr>
        <w:t>six</w:t>
      </w:r>
      <w:r w:rsidR="00667378" w:rsidRPr="00CF46F2">
        <w:rPr>
          <w:rFonts w:cstheme="minorHAnsi"/>
        </w:rPr>
        <w:t xml:space="preserve"> </w:t>
      </w:r>
      <w:r w:rsidR="003B0E44">
        <w:rPr>
          <w:rFonts w:cstheme="minorHAnsi"/>
        </w:rPr>
        <w:t>schools on Koro I</w:t>
      </w:r>
      <w:r w:rsidR="00CF46F2" w:rsidRPr="00CF46F2">
        <w:rPr>
          <w:rFonts w:cstheme="minorHAnsi"/>
        </w:rPr>
        <w:t xml:space="preserve">sland). </w:t>
      </w:r>
      <w:r w:rsidR="0070785B">
        <w:rPr>
          <w:rFonts w:cstheme="minorHAnsi"/>
        </w:rPr>
        <w:t xml:space="preserve"> </w:t>
      </w:r>
      <w:r w:rsidR="00CF46F2" w:rsidRPr="00D173EF">
        <w:rPr>
          <w:rFonts w:cstheme="minorHAnsi"/>
        </w:rPr>
        <w:t xml:space="preserve">Finalisation, however, was </w:t>
      </w:r>
      <w:r w:rsidR="00F24484">
        <w:rPr>
          <w:rFonts w:cstheme="minorHAnsi"/>
        </w:rPr>
        <w:t>delayed</w:t>
      </w:r>
      <w:r w:rsidR="00CF46F2" w:rsidRPr="00D173EF">
        <w:rPr>
          <w:rFonts w:cstheme="minorHAnsi"/>
        </w:rPr>
        <w:t xml:space="preserve"> during the reporting period due to </w:t>
      </w:r>
      <w:r w:rsidR="00667378">
        <w:rPr>
          <w:rFonts w:cstheme="minorHAnsi"/>
        </w:rPr>
        <w:t xml:space="preserve">unanticipated </w:t>
      </w:r>
      <w:r w:rsidR="00F24484">
        <w:rPr>
          <w:rFonts w:cstheme="minorHAnsi"/>
        </w:rPr>
        <w:t xml:space="preserve">late delivery of </w:t>
      </w:r>
      <w:r w:rsidR="00667378">
        <w:rPr>
          <w:rFonts w:cstheme="minorHAnsi"/>
        </w:rPr>
        <w:t xml:space="preserve">final completion certificates. </w:t>
      </w:r>
      <w:r w:rsidR="00CF46F2" w:rsidRPr="00CF46F2">
        <w:rPr>
          <w:rFonts w:cstheme="minorHAnsi"/>
        </w:rPr>
        <w:t xml:space="preserve"> </w:t>
      </w:r>
    </w:p>
    <w:p w:rsidR="00C6626C" w:rsidRPr="00DE34FC" w:rsidRDefault="00D7713F" w:rsidP="00DE34FC">
      <w:r w:rsidRPr="00DE34FC">
        <w:rPr>
          <w:rFonts w:asciiTheme="majorHAnsi" w:eastAsiaTheme="majorEastAsia" w:hAnsiTheme="majorHAnsi" w:cstheme="majorBidi"/>
          <w:caps/>
          <w:sz w:val="38"/>
          <w:szCs w:val="26"/>
        </w:rPr>
        <w:t xml:space="preserve">Context </w:t>
      </w:r>
    </w:p>
    <w:p w:rsidR="00AC577D" w:rsidRDefault="00201FF1" w:rsidP="00AC577D">
      <w:pPr>
        <w:rPr>
          <w:rFonts w:cstheme="minorHAnsi"/>
        </w:rPr>
      </w:pPr>
      <w:r w:rsidRPr="00430439">
        <w:rPr>
          <w:rFonts w:cstheme="minorHAnsi"/>
        </w:rPr>
        <w:t xml:space="preserve">The </w:t>
      </w:r>
      <w:r w:rsidR="00B93CA6" w:rsidRPr="00430439">
        <w:rPr>
          <w:rFonts w:cstheme="minorHAnsi"/>
          <w:b/>
        </w:rPr>
        <w:t xml:space="preserve">Fiji-Australia </w:t>
      </w:r>
      <w:r w:rsidR="00B93CA6" w:rsidRPr="00430439">
        <w:rPr>
          <w:b/>
        </w:rPr>
        <w:t>Vuvale Partnership and Pacific Step-Up</w:t>
      </w:r>
      <w:r w:rsidR="00B93CA6" w:rsidRPr="00430439">
        <w:t xml:space="preserve"> </w:t>
      </w:r>
      <w:r w:rsidRPr="00430439">
        <w:t xml:space="preserve">sets an ambitious and intensified level of engagement with Fiji, and the Australian aid program is well positioned to meet the commitment </w:t>
      </w:r>
      <w:r w:rsidR="00B93CA6" w:rsidRPr="00430439">
        <w:t>for deeper economic and people-to-people links</w:t>
      </w:r>
      <w:r w:rsidRPr="00430439">
        <w:t>.</w:t>
      </w:r>
      <w:r w:rsidR="00B93CA6" w:rsidRPr="00430439">
        <w:t xml:space="preserve"> </w:t>
      </w:r>
      <w:r w:rsidRPr="00430439">
        <w:t xml:space="preserve"> </w:t>
      </w:r>
      <w:r w:rsidR="0070785B">
        <w:t>We are a</w:t>
      </w:r>
      <w:r w:rsidRPr="00430439">
        <w:t>ligned with</w:t>
      </w:r>
      <w:r>
        <w:t xml:space="preserve"> </w:t>
      </w:r>
      <w:r w:rsidR="00861E21">
        <w:t xml:space="preserve">the </w:t>
      </w:r>
      <w:r w:rsidR="00B93CA6">
        <w:t>Fiji National Development Plan</w:t>
      </w:r>
      <w:r w:rsidR="00861E21">
        <w:t xml:space="preserve"> and </w:t>
      </w:r>
      <w:r w:rsidR="00B93CA6">
        <w:t xml:space="preserve">GoF </w:t>
      </w:r>
      <w:r>
        <w:t xml:space="preserve">efforts to achieve their </w:t>
      </w:r>
      <w:r w:rsidR="00861E21">
        <w:t>2030 Sustainable Development Goals</w:t>
      </w:r>
      <w:r>
        <w:t xml:space="preserve">. Australia’s </w:t>
      </w:r>
      <w:r w:rsidR="002D2697">
        <w:rPr>
          <w:rFonts w:cstheme="minorHAnsi"/>
        </w:rPr>
        <w:t xml:space="preserve">2018 </w:t>
      </w:r>
      <w:r w:rsidR="00453F65" w:rsidRPr="00430439">
        <w:rPr>
          <w:rFonts w:cstheme="minorHAnsi"/>
        </w:rPr>
        <w:t>ODA</w:t>
      </w:r>
      <w:r w:rsidRPr="00430439">
        <w:rPr>
          <w:rFonts w:cstheme="minorHAnsi"/>
        </w:rPr>
        <w:t xml:space="preserve"> </w:t>
      </w:r>
      <w:r w:rsidR="00AF5B45">
        <w:rPr>
          <w:rFonts w:cstheme="minorHAnsi"/>
        </w:rPr>
        <w:t xml:space="preserve">investments totalled </w:t>
      </w:r>
      <w:r w:rsidRPr="00430439">
        <w:rPr>
          <w:rFonts w:cstheme="minorHAnsi"/>
        </w:rPr>
        <w:t>$51 million</w:t>
      </w:r>
      <w:r>
        <w:rPr>
          <w:rFonts w:cstheme="minorHAnsi"/>
        </w:rPr>
        <w:t xml:space="preserve"> and focus on three strategic objectives; </w:t>
      </w:r>
      <w:r w:rsidRPr="00A753B6">
        <w:rPr>
          <w:rFonts w:cstheme="minorHAnsi"/>
          <w:b/>
        </w:rPr>
        <w:t>enhancing private sector development</w:t>
      </w:r>
      <w:r>
        <w:rPr>
          <w:rFonts w:cstheme="minorHAnsi"/>
          <w:b/>
        </w:rPr>
        <w:t>,</w:t>
      </w:r>
      <w:r w:rsidRPr="00A753B6">
        <w:rPr>
          <w:rFonts w:cstheme="minorHAnsi"/>
          <w:b/>
        </w:rPr>
        <w:t xml:space="preserve"> improving human development</w:t>
      </w:r>
      <w:r>
        <w:rPr>
          <w:rFonts w:cstheme="minorHAnsi"/>
          <w:b/>
        </w:rPr>
        <w:t xml:space="preserve"> and </w:t>
      </w:r>
      <w:r w:rsidRPr="00BF2FE5">
        <w:rPr>
          <w:rFonts w:cstheme="minorHAnsi"/>
          <w:b/>
        </w:rPr>
        <w:t xml:space="preserve">supporting Fiji’s recovery from </w:t>
      </w:r>
      <w:r w:rsidR="00667378">
        <w:rPr>
          <w:rFonts w:cstheme="minorHAnsi"/>
          <w:b/>
        </w:rPr>
        <w:t>TC</w:t>
      </w:r>
      <w:r w:rsidRPr="00BF2FE5">
        <w:rPr>
          <w:rFonts w:cstheme="minorHAnsi"/>
          <w:b/>
        </w:rPr>
        <w:t xml:space="preserve"> Winston.</w:t>
      </w:r>
      <w:r>
        <w:rPr>
          <w:rFonts w:cstheme="minorHAnsi"/>
        </w:rPr>
        <w:t xml:space="preserve">  </w:t>
      </w:r>
      <w:r w:rsidR="0076701E">
        <w:rPr>
          <w:rFonts w:cstheme="minorHAnsi"/>
        </w:rPr>
        <w:t>In 2016-17 (latest available data), Fiji received USD145 million in total ODA</w:t>
      </w:r>
      <w:r w:rsidR="0076701E">
        <w:rPr>
          <w:rStyle w:val="FootnoteReference"/>
          <w:rFonts w:cstheme="minorHAnsi"/>
        </w:rPr>
        <w:footnoteReference w:id="1"/>
      </w:r>
      <w:r w:rsidR="0076701E">
        <w:rPr>
          <w:rFonts w:cstheme="minorHAnsi"/>
        </w:rPr>
        <w:t>.</w:t>
      </w:r>
      <w:r w:rsidR="0076701E" w:rsidRPr="00000066">
        <w:rPr>
          <w:rFonts w:cstheme="minorHAnsi"/>
        </w:rPr>
        <w:t xml:space="preserve"> </w:t>
      </w:r>
      <w:r w:rsidR="0076701E">
        <w:rPr>
          <w:rFonts w:cstheme="minorHAnsi"/>
        </w:rPr>
        <w:t xml:space="preserve">Australia </w:t>
      </w:r>
      <w:r w:rsidR="0076701E" w:rsidRPr="00000066">
        <w:rPr>
          <w:rFonts w:cstheme="minorHAnsi"/>
        </w:rPr>
        <w:t>provided $51 million in official development assistance (ODA) to Fiji in 2018-19,</w:t>
      </w:r>
      <w:r w:rsidR="0076701E">
        <w:rPr>
          <w:rFonts w:cstheme="minorHAnsi"/>
        </w:rPr>
        <w:t xml:space="preserve"> and is the largest donor</w:t>
      </w:r>
      <w:r w:rsidR="00CE421E">
        <w:rPr>
          <w:rFonts w:cstheme="minorHAnsi"/>
        </w:rPr>
        <w:t>,</w:t>
      </w:r>
      <w:r w:rsidR="0076701E">
        <w:rPr>
          <w:rFonts w:cstheme="minorHAnsi"/>
        </w:rPr>
        <w:t xml:space="preserve"> followed by t</w:t>
      </w:r>
      <w:r w:rsidR="00473FF1">
        <w:rPr>
          <w:rFonts w:cstheme="minorHAnsi"/>
        </w:rPr>
        <w:t>he EU institutions, New Zealand</w:t>
      </w:r>
      <w:r w:rsidR="0076701E">
        <w:rPr>
          <w:rFonts w:cstheme="minorHAnsi"/>
        </w:rPr>
        <w:t xml:space="preserve"> and Japan. </w:t>
      </w:r>
      <w:r w:rsidR="0076701E" w:rsidRPr="00000066">
        <w:rPr>
          <w:rFonts w:cstheme="minorHAnsi"/>
        </w:rPr>
        <w:t>A</w:t>
      </w:r>
      <w:r w:rsidR="0076701E" w:rsidRPr="00000066">
        <w:t xml:space="preserve">id as a </w:t>
      </w:r>
      <w:r w:rsidR="007914F1">
        <w:t>per</w:t>
      </w:r>
      <w:r w:rsidR="00AE74B6">
        <w:t>cent</w:t>
      </w:r>
      <w:r w:rsidR="0076701E" w:rsidRPr="00000066">
        <w:t>age of GNI increased from 2.5</w:t>
      </w:r>
      <w:r w:rsidR="00667378">
        <w:t xml:space="preserve"> per cent </w:t>
      </w:r>
      <w:r w:rsidR="0076701E" w:rsidRPr="00000066">
        <w:t>in 2016 to just under 3</w:t>
      </w:r>
      <w:r w:rsidR="00667378">
        <w:t xml:space="preserve"> per cent </w:t>
      </w:r>
      <w:r w:rsidR="0076701E" w:rsidRPr="00000066">
        <w:t>in 2017</w:t>
      </w:r>
      <w:r w:rsidR="00473FF1">
        <w:t xml:space="preserve"> –  reflecting slowing economic growth</w:t>
      </w:r>
      <w:r w:rsidR="0076701E">
        <w:t>.</w:t>
      </w:r>
      <w:r w:rsidR="0076701E" w:rsidRPr="00000066">
        <w:rPr>
          <w:rStyle w:val="FootnoteReference"/>
        </w:rPr>
        <w:footnoteReference w:id="2"/>
      </w:r>
      <w:r w:rsidR="0076701E" w:rsidRPr="00000066">
        <w:t xml:space="preserve">   </w:t>
      </w:r>
      <w:r w:rsidR="00473FF1">
        <w:t xml:space="preserve">However, </w:t>
      </w:r>
      <w:r w:rsidR="00BA1E92" w:rsidRPr="00473916">
        <w:rPr>
          <w:rFonts w:cstheme="minorHAnsi"/>
          <w:b/>
        </w:rPr>
        <w:t xml:space="preserve">Fiji’s economic environment remained stable, and is </w:t>
      </w:r>
      <w:r w:rsidR="008A2464">
        <w:rPr>
          <w:rFonts w:cstheme="minorHAnsi"/>
          <w:b/>
        </w:rPr>
        <w:t xml:space="preserve">entering </w:t>
      </w:r>
      <w:r w:rsidR="00BA1E92" w:rsidRPr="00473916">
        <w:rPr>
          <w:rFonts w:cstheme="minorHAnsi"/>
          <w:b/>
        </w:rPr>
        <w:t xml:space="preserve">its </w:t>
      </w:r>
      <w:r w:rsidR="008A2464">
        <w:rPr>
          <w:rFonts w:cstheme="minorHAnsi"/>
          <w:b/>
        </w:rPr>
        <w:t>tenth</w:t>
      </w:r>
      <w:r w:rsidR="00BA1E92" w:rsidRPr="00473916">
        <w:rPr>
          <w:rFonts w:cstheme="minorHAnsi"/>
          <w:b/>
        </w:rPr>
        <w:t xml:space="preserve"> year of </w:t>
      </w:r>
      <w:r w:rsidR="008A2464">
        <w:rPr>
          <w:rFonts w:cstheme="minorHAnsi"/>
          <w:b/>
        </w:rPr>
        <w:t>growth</w:t>
      </w:r>
      <w:r w:rsidR="00BA1E92" w:rsidRPr="00473916">
        <w:rPr>
          <w:rFonts w:cstheme="minorHAnsi"/>
          <w:b/>
        </w:rPr>
        <w:t>.</w:t>
      </w:r>
      <w:r w:rsidR="00505D81" w:rsidRPr="00505D81">
        <w:rPr>
          <w:rFonts w:cstheme="minorHAnsi"/>
        </w:rPr>
        <w:t xml:space="preserve"> </w:t>
      </w:r>
    </w:p>
    <w:p w:rsidR="002532F3" w:rsidRDefault="00BA2A92" w:rsidP="00BA2A92">
      <w:pPr>
        <w:rPr>
          <w:rFonts w:cstheme="minorHAnsi"/>
        </w:rPr>
      </w:pPr>
      <w:r w:rsidRPr="00FB6737">
        <w:rPr>
          <w:rFonts w:cstheme="minorHAnsi"/>
        </w:rPr>
        <w:t>Real GDP growth in 2018 is estimated to be around 3</w:t>
      </w:r>
      <w:r>
        <w:rPr>
          <w:rFonts w:cstheme="minorHAnsi"/>
        </w:rPr>
        <w:t>.5</w:t>
      </w:r>
      <w:r w:rsidRPr="00FB6737">
        <w:rPr>
          <w:rFonts w:cstheme="minorHAnsi"/>
        </w:rPr>
        <w:t xml:space="preserve"> per cent and continues to be driven by tourism. In the </w:t>
      </w:r>
      <w:r w:rsidR="00667378">
        <w:rPr>
          <w:rFonts w:cstheme="minorHAnsi"/>
        </w:rPr>
        <w:t>12</w:t>
      </w:r>
      <w:r w:rsidR="00667378" w:rsidRPr="00FB6737">
        <w:rPr>
          <w:rFonts w:cstheme="minorHAnsi"/>
        </w:rPr>
        <w:t xml:space="preserve"> </w:t>
      </w:r>
      <w:r w:rsidRPr="00FB6737">
        <w:rPr>
          <w:rFonts w:cstheme="minorHAnsi"/>
        </w:rPr>
        <w:t>months to July 2019, arrivals grew by 4.2 per cent to reach 895,000</w:t>
      </w:r>
      <w:r w:rsidR="00667378">
        <w:rPr>
          <w:rFonts w:cstheme="minorHAnsi"/>
        </w:rPr>
        <w:t xml:space="preserve"> visitors</w:t>
      </w:r>
      <w:r w:rsidRPr="00FB6737">
        <w:rPr>
          <w:rFonts w:cstheme="minorHAnsi"/>
        </w:rPr>
        <w:t xml:space="preserve">. Remittances remained the second largest earner of foreign exchange behind tourism. The contribution of agriculture, sugar and manufacturing was more modest. Many sectors of the economy experienced labour shortages across skill levels, necessitating a cautious and managed approach to Fiji’s involvement in overseas labour schemes to ensure a “brain gain” is </w:t>
      </w:r>
      <w:r w:rsidR="00CE421E">
        <w:rPr>
          <w:rFonts w:cstheme="minorHAnsi"/>
        </w:rPr>
        <w:t>achieved.</w:t>
      </w:r>
      <w:r w:rsidRPr="00FB6737">
        <w:rPr>
          <w:rFonts w:cstheme="minorHAnsi"/>
        </w:rPr>
        <w:t xml:space="preserve">  </w:t>
      </w:r>
    </w:p>
    <w:p w:rsidR="002532F3" w:rsidRDefault="002532F3" w:rsidP="002532F3">
      <w:pPr>
        <w:rPr>
          <w:rFonts w:cstheme="minorHAnsi"/>
        </w:rPr>
      </w:pPr>
      <w:r>
        <w:rPr>
          <w:rFonts w:cstheme="minorHAnsi"/>
        </w:rPr>
        <w:t xml:space="preserve">The scale up by the Multilateral Development Banks, in particular the World Bank’s </w:t>
      </w:r>
      <w:r w:rsidR="00667378">
        <w:rPr>
          <w:rFonts w:cstheme="minorHAnsi"/>
        </w:rPr>
        <w:t xml:space="preserve">(WB) </w:t>
      </w:r>
      <w:r>
        <w:rPr>
          <w:rFonts w:cstheme="minorHAnsi"/>
        </w:rPr>
        <w:t xml:space="preserve">decision </w:t>
      </w:r>
      <w:r w:rsidR="002D2697">
        <w:rPr>
          <w:rFonts w:cstheme="minorHAnsi"/>
        </w:rPr>
        <w:t xml:space="preserve">during </w:t>
      </w:r>
      <w:r>
        <w:rPr>
          <w:rFonts w:cstheme="minorHAnsi"/>
        </w:rPr>
        <w:t xml:space="preserve">the reporting period to grant Fiji access to International Development Association </w:t>
      </w:r>
      <w:r w:rsidR="00667378">
        <w:rPr>
          <w:rFonts w:cstheme="minorHAnsi"/>
        </w:rPr>
        <w:t xml:space="preserve">(IDA) </w:t>
      </w:r>
      <w:r>
        <w:rPr>
          <w:rFonts w:cstheme="minorHAnsi"/>
        </w:rPr>
        <w:t>Resources, will provide an i</w:t>
      </w:r>
      <w:r w:rsidR="00473FF1">
        <w:rPr>
          <w:rFonts w:cstheme="minorHAnsi"/>
        </w:rPr>
        <w:t>mportant source of concessional</w:t>
      </w:r>
      <w:r>
        <w:rPr>
          <w:rFonts w:cstheme="minorHAnsi"/>
        </w:rPr>
        <w:t xml:space="preserve"> finance to the Government of Fiji. Fiji is now expected to receive at least USD21 million on the most concessional terms resulting from IDA access, and is now eligible for funding through the IDA Regional Window, Crisis Response Window and Private Sector Window. The </w:t>
      </w:r>
      <w:r w:rsidR="00667378">
        <w:rPr>
          <w:rFonts w:cstheme="minorHAnsi"/>
        </w:rPr>
        <w:t>Asian Development Bank’s (</w:t>
      </w:r>
      <w:r>
        <w:rPr>
          <w:rFonts w:cstheme="minorHAnsi"/>
        </w:rPr>
        <w:t>ADB</w:t>
      </w:r>
      <w:r w:rsidR="00667378">
        <w:rPr>
          <w:rFonts w:cstheme="minorHAnsi"/>
        </w:rPr>
        <w:t>)</w:t>
      </w:r>
      <w:r>
        <w:rPr>
          <w:rFonts w:cstheme="minorHAnsi"/>
        </w:rPr>
        <w:t xml:space="preserve"> Country Partnership Strategy 2019-23 anticipates an allocation of USD600</w:t>
      </w:r>
      <w:r w:rsidR="00CE421E">
        <w:rPr>
          <w:rFonts w:cstheme="minorHAnsi"/>
        </w:rPr>
        <w:t xml:space="preserve"> </w:t>
      </w:r>
      <w:r>
        <w:rPr>
          <w:rFonts w:cstheme="minorHAnsi"/>
        </w:rPr>
        <w:t>million in sovereign and non-sovereign resource</w:t>
      </w:r>
      <w:r w:rsidR="002D2697">
        <w:rPr>
          <w:rFonts w:cstheme="minorHAnsi"/>
        </w:rPr>
        <w:t>s</w:t>
      </w:r>
      <w:r>
        <w:rPr>
          <w:rFonts w:cstheme="minorHAnsi"/>
        </w:rPr>
        <w:t xml:space="preserve"> for Fiji.</w:t>
      </w:r>
    </w:p>
    <w:p w:rsidR="00BA2A92" w:rsidRPr="00C226FD" w:rsidRDefault="00AC577D" w:rsidP="00BA2A92">
      <w:pPr>
        <w:rPr>
          <w:rFonts w:cstheme="minorHAnsi"/>
          <w:b/>
        </w:rPr>
      </w:pPr>
      <w:r>
        <w:rPr>
          <w:rFonts w:cstheme="minorHAnsi"/>
        </w:rPr>
        <w:t>The</w:t>
      </w:r>
      <w:r w:rsidR="00BA2A92" w:rsidRPr="00FB6737">
        <w:rPr>
          <w:rFonts w:cstheme="minorHAnsi"/>
          <w:b/>
        </w:rPr>
        <w:t xml:space="preserve"> </w:t>
      </w:r>
      <w:r w:rsidR="00BA2A92" w:rsidRPr="00AC577D">
        <w:rPr>
          <w:rFonts w:cstheme="minorHAnsi"/>
        </w:rPr>
        <w:t>2018-19 budget</w:t>
      </w:r>
      <w:r w:rsidR="00BA2A92" w:rsidRPr="00FB6737">
        <w:rPr>
          <w:rFonts w:cstheme="minorHAnsi"/>
          <w:b/>
        </w:rPr>
        <w:t xml:space="preserve"> signalled the </w:t>
      </w:r>
      <w:r w:rsidR="00667378">
        <w:rPr>
          <w:rFonts w:cstheme="minorHAnsi"/>
          <w:b/>
        </w:rPr>
        <w:t>GoF’s</w:t>
      </w:r>
      <w:r w:rsidR="00667378" w:rsidRPr="00FB6737">
        <w:rPr>
          <w:rFonts w:cstheme="minorHAnsi"/>
          <w:b/>
        </w:rPr>
        <w:t xml:space="preserve"> </w:t>
      </w:r>
      <w:r w:rsidR="00BA2A92" w:rsidRPr="00FB6737">
        <w:rPr>
          <w:rFonts w:cstheme="minorHAnsi"/>
          <w:b/>
        </w:rPr>
        <w:t>commitment to fiscal consolidation</w:t>
      </w:r>
      <w:r w:rsidR="00BA2A92" w:rsidRPr="00FB6737">
        <w:rPr>
          <w:rFonts w:cstheme="minorHAnsi"/>
        </w:rPr>
        <w:t xml:space="preserve"> in order to rebuild fiscal buffers that were depleted after TC Winston</w:t>
      </w:r>
      <w:r>
        <w:rPr>
          <w:rFonts w:cstheme="minorHAnsi"/>
        </w:rPr>
        <w:t>.</w:t>
      </w:r>
      <w:r w:rsidR="00BA2A92" w:rsidRPr="00FB6737">
        <w:rPr>
          <w:rFonts w:cstheme="minorHAnsi"/>
          <w:b/>
        </w:rPr>
        <w:t xml:space="preserve"> </w:t>
      </w:r>
      <w:r w:rsidR="00BA2A92" w:rsidRPr="00FB6737">
        <w:rPr>
          <w:rFonts w:cstheme="minorHAnsi"/>
        </w:rPr>
        <w:t>The 2018-19 budget projects a 12 per</w:t>
      </w:r>
      <w:r w:rsidR="00667378">
        <w:rPr>
          <w:rFonts w:cstheme="minorHAnsi"/>
        </w:rPr>
        <w:t xml:space="preserve"> </w:t>
      </w:r>
      <w:r w:rsidR="00BA2A92" w:rsidRPr="00FB6737">
        <w:rPr>
          <w:rFonts w:cstheme="minorHAnsi"/>
        </w:rPr>
        <w:t>cent reduction in t</w:t>
      </w:r>
      <w:r w:rsidR="00CE421E">
        <w:rPr>
          <w:rFonts w:cstheme="minorHAnsi"/>
        </w:rPr>
        <w:t xml:space="preserve">he net deficit, which is to be </w:t>
      </w:r>
      <w:r w:rsidR="00BA2A92" w:rsidRPr="00FB6737">
        <w:rPr>
          <w:rFonts w:cstheme="minorHAnsi"/>
        </w:rPr>
        <w:t xml:space="preserve">achieved </w:t>
      </w:r>
      <w:r w:rsidR="00CE421E">
        <w:rPr>
          <w:rFonts w:cstheme="minorHAnsi"/>
        </w:rPr>
        <w:t xml:space="preserve">largely </w:t>
      </w:r>
      <w:r w:rsidR="00BA2A92" w:rsidRPr="00FB6737">
        <w:rPr>
          <w:rFonts w:cstheme="minorHAnsi"/>
        </w:rPr>
        <w:t xml:space="preserve">through a reduction in expenditure, rather than increasing taxes. </w:t>
      </w:r>
      <w:r w:rsidR="00667378">
        <w:rPr>
          <w:rFonts w:cstheme="minorHAnsi"/>
        </w:rPr>
        <w:t xml:space="preserve">GoF </w:t>
      </w:r>
      <w:r w:rsidR="00BA2A92" w:rsidRPr="00FB6737">
        <w:rPr>
          <w:rFonts w:cstheme="minorHAnsi"/>
        </w:rPr>
        <w:t>has an ambitious reform agenda, centered on improving the investment enabling environment (Fiji ranks 101 in the W</w:t>
      </w:r>
      <w:r w:rsidR="00473FF1">
        <w:rPr>
          <w:rFonts w:cstheme="minorHAnsi"/>
        </w:rPr>
        <w:t xml:space="preserve">orld </w:t>
      </w:r>
      <w:r w:rsidR="00BA2A92" w:rsidRPr="00FB6737">
        <w:rPr>
          <w:rFonts w:cstheme="minorHAnsi"/>
        </w:rPr>
        <w:t>B</w:t>
      </w:r>
      <w:r w:rsidR="00473FF1">
        <w:rPr>
          <w:rFonts w:cstheme="minorHAnsi"/>
        </w:rPr>
        <w:t>ank</w:t>
      </w:r>
      <w:r w:rsidR="00BA2A92" w:rsidRPr="00FB6737">
        <w:rPr>
          <w:rFonts w:cstheme="minorHAnsi"/>
        </w:rPr>
        <w:t xml:space="preserve"> Doing Business I</w:t>
      </w:r>
      <w:r w:rsidR="002D2697">
        <w:rPr>
          <w:rFonts w:cstheme="minorHAnsi"/>
        </w:rPr>
        <w:t xml:space="preserve">ndex). In August 2019, Standard </w:t>
      </w:r>
      <w:r w:rsidR="00BA2A92" w:rsidRPr="00FB6737">
        <w:rPr>
          <w:rFonts w:cstheme="minorHAnsi"/>
        </w:rPr>
        <w:t>&amp;</w:t>
      </w:r>
      <w:r w:rsidR="00934BA8">
        <w:rPr>
          <w:rFonts w:cstheme="minorHAnsi"/>
        </w:rPr>
        <w:t xml:space="preserve"> </w:t>
      </w:r>
      <w:r w:rsidR="00BA2A92" w:rsidRPr="00FB6737">
        <w:rPr>
          <w:rFonts w:cstheme="minorHAnsi"/>
        </w:rPr>
        <w:t>Poor</w:t>
      </w:r>
      <w:r w:rsidR="002D2697">
        <w:rPr>
          <w:rFonts w:cstheme="minorHAnsi"/>
        </w:rPr>
        <w:t>’s</w:t>
      </w:r>
      <w:r w:rsidR="00BA2A92" w:rsidRPr="00FB6737">
        <w:rPr>
          <w:rFonts w:cstheme="minorHAnsi"/>
        </w:rPr>
        <w:t xml:space="preserve"> raised its rating from </w:t>
      </w:r>
      <w:r w:rsidR="0076701E">
        <w:rPr>
          <w:rFonts w:cstheme="minorHAnsi"/>
        </w:rPr>
        <w:t xml:space="preserve">B- to </w:t>
      </w:r>
      <w:r w:rsidR="00BA2A92" w:rsidRPr="00FB6737">
        <w:rPr>
          <w:rFonts w:cstheme="minorHAnsi"/>
        </w:rPr>
        <w:t xml:space="preserve">BB+ on the basis of the Government’s fiscal consolidation and a credible economic reform agenda. </w:t>
      </w:r>
      <w:r w:rsidR="00BA2A92" w:rsidRPr="00FB6737">
        <w:rPr>
          <w:rFonts w:cstheme="minorHAnsi"/>
          <w:b/>
        </w:rPr>
        <w:t xml:space="preserve"> </w:t>
      </w:r>
      <w:r w:rsidR="00BA2A92" w:rsidRPr="00C226FD">
        <w:rPr>
          <w:rFonts w:cstheme="minorHAnsi"/>
        </w:rPr>
        <w:t xml:space="preserve"> </w:t>
      </w:r>
    </w:p>
    <w:p w:rsidR="00B65EC7" w:rsidRDefault="009731C7" w:rsidP="00B65EC7">
      <w:pPr>
        <w:rPr>
          <w:rFonts w:cstheme="minorHAnsi"/>
        </w:rPr>
      </w:pPr>
      <w:r w:rsidRPr="00FB6737">
        <w:rPr>
          <w:rFonts w:cstheme="minorHAnsi"/>
          <w:b/>
          <w:bCs/>
        </w:rPr>
        <w:t xml:space="preserve">The year was one of relative stability for Fiji. </w:t>
      </w:r>
      <w:r w:rsidRPr="00430439">
        <w:rPr>
          <w:rFonts w:cstheme="minorHAnsi"/>
          <w:bCs/>
        </w:rPr>
        <w:t xml:space="preserve">The </w:t>
      </w:r>
      <w:r w:rsidR="00667378">
        <w:rPr>
          <w:rFonts w:cstheme="minorHAnsi"/>
          <w:bCs/>
        </w:rPr>
        <w:t>2018 election was a success</w:t>
      </w:r>
      <w:r w:rsidR="00934BA8">
        <w:rPr>
          <w:rFonts w:cstheme="minorHAnsi"/>
          <w:bCs/>
        </w:rPr>
        <w:t>.  T</w:t>
      </w:r>
      <w:r w:rsidR="00667378">
        <w:rPr>
          <w:rFonts w:cstheme="minorHAnsi"/>
          <w:bCs/>
        </w:rPr>
        <w:t>he</w:t>
      </w:r>
      <w:r>
        <w:rPr>
          <w:rFonts w:cstheme="minorHAnsi"/>
        </w:rPr>
        <w:t xml:space="preserve"> </w:t>
      </w:r>
      <w:r w:rsidRPr="00FB6737">
        <w:rPr>
          <w:rFonts w:cstheme="minorHAnsi"/>
        </w:rPr>
        <w:t>multinational observer grou</w:t>
      </w:r>
      <w:r w:rsidR="00AE74B6">
        <w:rPr>
          <w:rFonts w:cstheme="minorHAnsi"/>
        </w:rPr>
        <w:t xml:space="preserve">p, of which </w:t>
      </w:r>
      <w:r w:rsidR="00934BA8">
        <w:rPr>
          <w:rFonts w:cstheme="minorHAnsi"/>
        </w:rPr>
        <w:t>Australia was co-lead, reported</w:t>
      </w:r>
      <w:r>
        <w:rPr>
          <w:rFonts w:cstheme="minorHAnsi"/>
        </w:rPr>
        <w:t xml:space="preserve"> a </w:t>
      </w:r>
      <w:r w:rsidRPr="00FB6737">
        <w:rPr>
          <w:rFonts w:cstheme="minorHAnsi"/>
        </w:rPr>
        <w:t>credible and transparent</w:t>
      </w:r>
      <w:r>
        <w:rPr>
          <w:rFonts w:cstheme="minorHAnsi"/>
        </w:rPr>
        <w:t xml:space="preserve"> election process</w:t>
      </w:r>
      <w:r w:rsidR="00934BA8">
        <w:rPr>
          <w:rFonts w:cstheme="minorHAnsi"/>
        </w:rPr>
        <w:t xml:space="preserve"> demonstrating</w:t>
      </w:r>
      <w:r w:rsidR="00FC5BE2">
        <w:rPr>
          <w:rFonts w:cstheme="minorHAnsi"/>
        </w:rPr>
        <w:t xml:space="preserve"> a positive trajectory for Fiji’s path back to democracy</w:t>
      </w:r>
      <w:r w:rsidRPr="00FB6737">
        <w:rPr>
          <w:rFonts w:cstheme="minorHAnsi"/>
        </w:rPr>
        <w:t xml:space="preserve">. </w:t>
      </w:r>
      <w:r w:rsidR="00FC5BE2">
        <w:rPr>
          <w:rFonts w:cstheme="minorHAnsi"/>
        </w:rPr>
        <w:t xml:space="preserve">The election of ten female </w:t>
      </w:r>
      <w:r w:rsidR="00AE74B6">
        <w:rPr>
          <w:rFonts w:cstheme="minorHAnsi"/>
        </w:rPr>
        <w:t>members of Parliament</w:t>
      </w:r>
      <w:r w:rsidR="00FC5BE2">
        <w:rPr>
          <w:rFonts w:cstheme="minorHAnsi"/>
        </w:rPr>
        <w:t xml:space="preserve">, with </w:t>
      </w:r>
      <w:r>
        <w:rPr>
          <w:rFonts w:cstheme="minorHAnsi"/>
        </w:rPr>
        <w:t xml:space="preserve">three </w:t>
      </w:r>
      <w:r w:rsidR="00FC5BE2">
        <w:rPr>
          <w:rFonts w:cstheme="minorHAnsi"/>
        </w:rPr>
        <w:t xml:space="preserve">holding </w:t>
      </w:r>
      <w:r>
        <w:rPr>
          <w:rFonts w:cstheme="minorHAnsi"/>
        </w:rPr>
        <w:t xml:space="preserve">Cabinet </w:t>
      </w:r>
      <w:r w:rsidR="00FC5BE2">
        <w:rPr>
          <w:rFonts w:cstheme="minorHAnsi"/>
        </w:rPr>
        <w:t>positions in e</w:t>
      </w:r>
      <w:r>
        <w:rPr>
          <w:rFonts w:cstheme="minorHAnsi"/>
        </w:rPr>
        <w:t xml:space="preserve">ducation, </w:t>
      </w:r>
      <w:r w:rsidR="00FC5BE2">
        <w:rPr>
          <w:rFonts w:cstheme="minorHAnsi"/>
        </w:rPr>
        <w:t>trade and w</w:t>
      </w:r>
      <w:r>
        <w:rPr>
          <w:rFonts w:cstheme="minorHAnsi"/>
        </w:rPr>
        <w:t>omen</w:t>
      </w:r>
      <w:r w:rsidR="00934BA8">
        <w:rPr>
          <w:rFonts w:cstheme="minorHAnsi"/>
        </w:rPr>
        <w:t>,</w:t>
      </w:r>
      <w:r w:rsidR="00FC5BE2">
        <w:rPr>
          <w:rFonts w:cstheme="minorHAnsi"/>
        </w:rPr>
        <w:t xml:space="preserve"> is a positive result for Fiji</w:t>
      </w:r>
      <w:r w:rsidR="00473FF1">
        <w:rPr>
          <w:rFonts w:cstheme="minorHAnsi"/>
        </w:rPr>
        <w:t>.</w:t>
      </w:r>
      <w:r w:rsidR="00FC5BE2">
        <w:rPr>
          <w:rFonts w:cstheme="minorHAnsi"/>
        </w:rPr>
        <w:t xml:space="preserve"> </w:t>
      </w:r>
    </w:p>
    <w:p w:rsidR="00755C30" w:rsidRPr="00000066" w:rsidRDefault="00755C30" w:rsidP="00755C30">
      <w:r w:rsidRPr="00000066">
        <w:rPr>
          <w:rFonts w:cstheme="minorHAnsi"/>
          <w:b/>
        </w:rPr>
        <w:t>Australia made two important shifts in our development assistance support during the period.</w:t>
      </w:r>
      <w:r w:rsidRPr="00000066">
        <w:rPr>
          <w:rFonts w:cstheme="minorHAnsi"/>
        </w:rPr>
        <w:t xml:space="preserve"> First, following Prime Minister Morrison’s successful visit to Fiji in January, we commenced discussions with the </w:t>
      </w:r>
      <w:r>
        <w:rPr>
          <w:rFonts w:cstheme="minorHAnsi"/>
        </w:rPr>
        <w:lastRenderedPageBreak/>
        <w:t>GoF</w:t>
      </w:r>
      <w:r w:rsidRPr="00000066">
        <w:rPr>
          <w:rFonts w:cstheme="minorHAnsi"/>
        </w:rPr>
        <w:t xml:space="preserve"> </w:t>
      </w:r>
      <w:r w:rsidR="00934BA8">
        <w:rPr>
          <w:rFonts w:cstheme="minorHAnsi"/>
        </w:rPr>
        <w:t>about</w:t>
      </w:r>
      <w:r w:rsidRPr="00000066">
        <w:rPr>
          <w:rFonts w:cstheme="minorHAnsi"/>
        </w:rPr>
        <w:t xml:space="preserve"> infrastructure priorities under the </w:t>
      </w:r>
      <w:r w:rsidR="00AE74B6">
        <w:rPr>
          <w:rFonts w:cstheme="minorHAnsi"/>
        </w:rPr>
        <w:t>AIFFP</w:t>
      </w:r>
      <w:r w:rsidRPr="00000066">
        <w:rPr>
          <w:rFonts w:cstheme="minorHAnsi"/>
        </w:rPr>
        <w:t xml:space="preserve">. Secondly, we continued to monitor the effectiveness of the </w:t>
      </w:r>
      <w:r w:rsidR="00AE74B6">
        <w:rPr>
          <w:rFonts w:cstheme="minorHAnsi"/>
        </w:rPr>
        <w:t>ADB</w:t>
      </w:r>
      <w:r w:rsidRPr="00000066">
        <w:rPr>
          <w:rFonts w:cstheme="minorHAnsi"/>
        </w:rPr>
        <w:t xml:space="preserve"> and </w:t>
      </w:r>
      <w:r w:rsidR="00AE74B6">
        <w:rPr>
          <w:rFonts w:cstheme="minorHAnsi"/>
        </w:rPr>
        <w:t>WB</w:t>
      </w:r>
      <w:r w:rsidRPr="00000066">
        <w:rPr>
          <w:rFonts w:cstheme="minorHAnsi"/>
        </w:rPr>
        <w:t xml:space="preserve"> budget support operations with the </w:t>
      </w:r>
      <w:r>
        <w:rPr>
          <w:rFonts w:cstheme="minorHAnsi"/>
        </w:rPr>
        <w:t>GoF</w:t>
      </w:r>
      <w:r w:rsidRPr="00000066">
        <w:rPr>
          <w:rFonts w:cstheme="minorHAnsi"/>
        </w:rPr>
        <w:t xml:space="preserve">. A priority for 2019-20 is to conduct an Assessment of National Systems and consider ways to work in a more integrated way with the </w:t>
      </w:r>
      <w:r>
        <w:rPr>
          <w:rFonts w:cstheme="minorHAnsi"/>
        </w:rPr>
        <w:t>GoF</w:t>
      </w:r>
      <w:r w:rsidRPr="00000066">
        <w:rPr>
          <w:rFonts w:cstheme="minorHAnsi"/>
        </w:rPr>
        <w:t xml:space="preserve"> through budget support and other modalities.  </w:t>
      </w:r>
      <w:r w:rsidRPr="00000066">
        <w:t xml:space="preserve">Our relationship with the </w:t>
      </w:r>
      <w:r>
        <w:t>GoF</w:t>
      </w:r>
      <w:r w:rsidRPr="00000066">
        <w:t xml:space="preserve"> has strengthened over the period of the previous</w:t>
      </w:r>
      <w:r>
        <w:t xml:space="preserve"> </w:t>
      </w:r>
      <w:r w:rsidR="00934BA8">
        <w:t>Aid Investment Plan</w:t>
      </w:r>
      <w:r>
        <w:t xml:space="preserve"> (AIP)</w:t>
      </w:r>
      <w:r w:rsidRPr="00000066">
        <w:t xml:space="preserve"> (2015-19)</w:t>
      </w:r>
      <w:r w:rsidR="00934BA8">
        <w:t xml:space="preserve">. </w:t>
      </w:r>
      <w:r w:rsidRPr="00000066">
        <w:t xml:space="preserve"> </w:t>
      </w:r>
      <w:r w:rsidR="00934BA8">
        <w:t>I</w:t>
      </w:r>
      <w:r w:rsidRPr="00000066">
        <w:t>t is important to continue to partner with GoF to catalyse resources outside of ODA</w:t>
      </w:r>
      <w:r w:rsidRPr="00000066">
        <w:rPr>
          <w:rFonts w:cstheme="minorHAnsi"/>
        </w:rPr>
        <w:t xml:space="preserve"> to meet our AIP goals and to </w:t>
      </w:r>
      <w:r w:rsidRPr="00000066">
        <w:t xml:space="preserve">promote sustainable outcomes.   </w:t>
      </w:r>
    </w:p>
    <w:p w:rsidR="00B65EC7" w:rsidRDefault="00755C30" w:rsidP="00B65EC7">
      <w:pPr>
        <w:rPr>
          <w:rFonts w:cstheme="minorHAnsi"/>
        </w:rPr>
      </w:pPr>
      <w:r w:rsidRPr="00000066">
        <w:rPr>
          <w:rFonts w:cstheme="minorHAnsi"/>
          <w:b/>
        </w:rPr>
        <w:t>The Pacific Step-up</w:t>
      </w:r>
      <w:r w:rsidRPr="00000066">
        <w:rPr>
          <w:rFonts w:cstheme="minorHAnsi"/>
        </w:rPr>
        <w:t xml:space="preserve"> continue</w:t>
      </w:r>
      <w:r>
        <w:rPr>
          <w:rFonts w:cstheme="minorHAnsi"/>
        </w:rPr>
        <w:t>s</w:t>
      </w:r>
      <w:r w:rsidRPr="00000066">
        <w:rPr>
          <w:rFonts w:cstheme="minorHAnsi"/>
        </w:rPr>
        <w:t xml:space="preserve"> to </w:t>
      </w:r>
      <w:r w:rsidR="00473FF1">
        <w:rPr>
          <w:rFonts w:cstheme="minorHAnsi"/>
        </w:rPr>
        <w:t>influence</w:t>
      </w:r>
      <w:r w:rsidRPr="00000066">
        <w:rPr>
          <w:rFonts w:cstheme="minorHAnsi"/>
        </w:rPr>
        <w:t xml:space="preserve"> expectations </w:t>
      </w:r>
      <w:r w:rsidR="00473FF1">
        <w:rPr>
          <w:rFonts w:cstheme="minorHAnsi"/>
        </w:rPr>
        <w:t>around</w:t>
      </w:r>
      <w:r w:rsidRPr="00000066">
        <w:rPr>
          <w:rFonts w:cstheme="minorHAnsi"/>
        </w:rPr>
        <w:t xml:space="preserve"> Australia</w:t>
      </w:r>
      <w:r w:rsidR="00473FF1">
        <w:rPr>
          <w:rFonts w:cstheme="minorHAnsi"/>
        </w:rPr>
        <w:t xml:space="preserve">’s </w:t>
      </w:r>
      <w:r w:rsidRPr="00000066">
        <w:rPr>
          <w:rFonts w:cstheme="minorHAnsi"/>
        </w:rPr>
        <w:t xml:space="preserve">assistance to Fiji, and engage </w:t>
      </w:r>
      <w:r>
        <w:rPr>
          <w:rFonts w:cstheme="minorHAnsi"/>
        </w:rPr>
        <w:t>across</w:t>
      </w:r>
      <w:r w:rsidRPr="00000066">
        <w:rPr>
          <w:rFonts w:cstheme="minorHAnsi"/>
        </w:rPr>
        <w:t xml:space="preserve"> more sectors</w:t>
      </w:r>
      <w:r>
        <w:rPr>
          <w:rFonts w:cstheme="minorHAnsi"/>
        </w:rPr>
        <w:t>, resulting</w:t>
      </w:r>
      <w:r w:rsidRPr="00000066">
        <w:rPr>
          <w:rFonts w:cstheme="minorHAnsi"/>
        </w:rPr>
        <w:t xml:space="preserve"> i</w:t>
      </w:r>
      <w:r>
        <w:rPr>
          <w:rFonts w:cstheme="minorHAnsi"/>
        </w:rPr>
        <w:t>n</w:t>
      </w:r>
      <w:r w:rsidRPr="00000066">
        <w:rPr>
          <w:rFonts w:cstheme="minorHAnsi"/>
        </w:rPr>
        <w:t xml:space="preserve"> increasing </w:t>
      </w:r>
      <w:r w:rsidR="00473FF1">
        <w:rPr>
          <w:rFonts w:cstheme="minorHAnsi"/>
        </w:rPr>
        <w:t>expectation of</w:t>
      </w:r>
      <w:r w:rsidRPr="00000066">
        <w:rPr>
          <w:rFonts w:cstheme="minorHAnsi"/>
        </w:rPr>
        <w:t xml:space="preserve"> Australia’s development assistance</w:t>
      </w:r>
      <w:r w:rsidRPr="00C67772">
        <w:rPr>
          <w:rFonts w:cstheme="minorHAnsi"/>
        </w:rPr>
        <w:t xml:space="preserve">. A new </w:t>
      </w:r>
      <w:r>
        <w:rPr>
          <w:rFonts w:cstheme="minorHAnsi"/>
        </w:rPr>
        <w:t>AIP</w:t>
      </w:r>
      <w:r w:rsidRPr="00C67772">
        <w:rPr>
          <w:rFonts w:cstheme="minorHAnsi"/>
        </w:rPr>
        <w:t xml:space="preserve"> will be developed in close partnership with Fiji to clearly specify priority areas for assistance, in line with GoF priorities and Australia’s ability to add value and catalyse resources.  </w:t>
      </w:r>
      <w:r w:rsidR="00B65EC7" w:rsidRPr="00E86D78">
        <w:rPr>
          <w:rFonts w:cstheme="minorHAnsi"/>
          <w:b/>
        </w:rPr>
        <w:t>Climate change</w:t>
      </w:r>
      <w:r w:rsidR="00B65EC7">
        <w:rPr>
          <w:rFonts w:cstheme="minorHAnsi"/>
        </w:rPr>
        <w:t xml:space="preserve"> continues to be a key priority for the GoF, </w:t>
      </w:r>
      <w:r w:rsidR="00473FF1">
        <w:rPr>
          <w:rFonts w:cstheme="minorHAnsi"/>
        </w:rPr>
        <w:t>in support of</w:t>
      </w:r>
      <w:r w:rsidR="00B65EC7">
        <w:rPr>
          <w:rFonts w:cstheme="minorHAnsi"/>
        </w:rPr>
        <w:t xml:space="preserve"> Prime Minister Bainimarama’s glo</w:t>
      </w:r>
      <w:r w:rsidR="00934BA8">
        <w:rPr>
          <w:rFonts w:cstheme="minorHAnsi"/>
        </w:rPr>
        <w:t xml:space="preserve">bal leadership on this issue.  </w:t>
      </w:r>
      <w:r w:rsidR="00B65EC7">
        <w:rPr>
          <w:rFonts w:cstheme="minorHAnsi"/>
        </w:rPr>
        <w:t>Fiji’s low emission development strategy 2018-2050 commits Fiji to achieving net zero emissions across al</w:t>
      </w:r>
      <w:r w:rsidR="00AC577D">
        <w:rPr>
          <w:rFonts w:cstheme="minorHAnsi"/>
        </w:rPr>
        <w:t>l</w:t>
      </w:r>
      <w:r w:rsidR="00B65EC7">
        <w:rPr>
          <w:rFonts w:cstheme="minorHAnsi"/>
        </w:rPr>
        <w:t xml:space="preserve"> se</w:t>
      </w:r>
      <w:r w:rsidR="00934BA8">
        <w:rPr>
          <w:rFonts w:cstheme="minorHAnsi"/>
        </w:rPr>
        <w:t xml:space="preserve">ctors of its economy by 2050.  </w:t>
      </w:r>
    </w:p>
    <w:p w:rsidR="00C6626C" w:rsidRPr="002A51CA" w:rsidRDefault="00C6626C" w:rsidP="00D7713F">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rsidR="00E5691D" w:rsidRDefault="0012616C" w:rsidP="00C9666F">
      <w:pPr>
        <w:rPr>
          <w:rFonts w:cstheme="minorHAnsi"/>
        </w:rPr>
      </w:pPr>
      <w:r w:rsidRPr="0012616C">
        <w:rPr>
          <w:rFonts w:cstheme="minorHAnsi"/>
        </w:rPr>
        <w:t>Australia</w:t>
      </w:r>
      <w:r>
        <w:rPr>
          <w:rFonts w:cstheme="minorHAnsi"/>
        </w:rPr>
        <w:t>’s total ODA to Fiji in 2018-19 was $51 million, compared to $61.7 million the previous year</w:t>
      </w:r>
      <w:r w:rsidR="00473FF1">
        <w:rPr>
          <w:rFonts w:cstheme="minorHAnsi"/>
        </w:rPr>
        <w:t xml:space="preserve"> (Table 1)</w:t>
      </w:r>
      <w:r>
        <w:rPr>
          <w:rFonts w:cstheme="minorHAnsi"/>
        </w:rPr>
        <w:t xml:space="preserve">. The reduction in ODA was </w:t>
      </w:r>
      <w:r w:rsidR="00E5691D">
        <w:rPr>
          <w:rFonts w:cstheme="minorHAnsi"/>
        </w:rPr>
        <w:t xml:space="preserve">due to a </w:t>
      </w:r>
      <w:r w:rsidR="00473FF1">
        <w:rPr>
          <w:rFonts w:cstheme="minorHAnsi"/>
        </w:rPr>
        <w:t>tail-off in</w:t>
      </w:r>
      <w:r w:rsidR="00E5691D">
        <w:rPr>
          <w:rFonts w:cstheme="minorHAnsi"/>
        </w:rPr>
        <w:t xml:space="preserve"> expenditure on TC Winston recovery</w:t>
      </w:r>
      <w:r w:rsidR="00CF46F2">
        <w:rPr>
          <w:rFonts w:cstheme="minorHAnsi"/>
        </w:rPr>
        <w:t xml:space="preserve"> as construction efforts were </w:t>
      </w:r>
      <w:r w:rsidR="00473FF1">
        <w:rPr>
          <w:rFonts w:cstheme="minorHAnsi"/>
        </w:rPr>
        <w:t>completed</w:t>
      </w:r>
      <w:r w:rsidR="00E5691D">
        <w:rPr>
          <w:rFonts w:cstheme="minorHAnsi"/>
        </w:rPr>
        <w:t xml:space="preserve"> ($2 million in 2018-19 compared to $10.2 million in 2017-18). </w:t>
      </w:r>
    </w:p>
    <w:p w:rsidR="00E5691D" w:rsidRDefault="00E5691D" w:rsidP="00C9666F">
      <w:pPr>
        <w:rPr>
          <w:rFonts w:cstheme="minorHAnsi"/>
        </w:rPr>
      </w:pPr>
    </w:p>
    <w:p w:rsidR="00C9666F" w:rsidRPr="0012616C" w:rsidRDefault="0012616C" w:rsidP="00AF5B45">
      <w:pPr>
        <w:keepNext/>
        <w:rPr>
          <w:b/>
        </w:rPr>
      </w:pPr>
      <w:r>
        <w:rPr>
          <w:b/>
        </w:rPr>
        <w:t xml:space="preserve">Table 1: Total ODA expenditure in 2018-19 </w:t>
      </w:r>
    </w:p>
    <w:tbl>
      <w:tblPr>
        <w:tblW w:w="0" w:type="auto"/>
        <w:tblCellMar>
          <w:left w:w="0" w:type="dxa"/>
          <w:right w:w="0" w:type="dxa"/>
        </w:tblCellMar>
        <w:tblLook w:val="04A0" w:firstRow="1" w:lastRow="0" w:firstColumn="1" w:lastColumn="0" w:noHBand="0" w:noVBand="1"/>
      </w:tblPr>
      <w:tblGrid>
        <w:gridCol w:w="5237"/>
        <w:gridCol w:w="1985"/>
        <w:gridCol w:w="2128"/>
      </w:tblGrid>
      <w:tr w:rsidR="00C9666F" w:rsidTr="009C24CE">
        <w:tc>
          <w:tcPr>
            <w:tcW w:w="5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666F" w:rsidRDefault="00C9666F" w:rsidP="009C24CE">
            <w:pPr>
              <w:rPr>
                <w:b/>
                <w:bCs/>
              </w:rPr>
            </w:pPr>
            <w:r>
              <w:rPr>
                <w:b/>
                <w:bCs/>
              </w:rPr>
              <w:t>Objective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66F" w:rsidRDefault="00C9666F" w:rsidP="009C24CE">
            <w:pPr>
              <w:rPr>
                <w:b/>
                <w:bCs/>
              </w:rPr>
            </w:pPr>
            <w:r>
              <w:rPr>
                <w:b/>
                <w:bCs/>
              </w:rPr>
              <w:t>A$ million</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66F" w:rsidRDefault="000314F8" w:rsidP="009C24CE">
            <w:pPr>
              <w:rPr>
                <w:b/>
                <w:bCs/>
              </w:rPr>
            </w:pPr>
            <w:r>
              <w:rPr>
                <w:b/>
                <w:bCs/>
              </w:rPr>
              <w:t>per cent</w:t>
            </w:r>
            <w:r w:rsidR="00C9666F">
              <w:rPr>
                <w:b/>
                <w:bCs/>
              </w:rPr>
              <w:t xml:space="preserve"> of total ODA</w:t>
            </w:r>
          </w:p>
        </w:tc>
      </w:tr>
      <w:tr w:rsidR="00C9666F" w:rsidTr="009C24CE">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66F" w:rsidRDefault="00C9666F" w:rsidP="009C24CE">
            <w:r>
              <w:t xml:space="preserve">Objective 1: Increased Private Sector Development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9.0</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17.6</w:t>
            </w:r>
          </w:p>
        </w:tc>
      </w:tr>
      <w:tr w:rsidR="00C9666F" w:rsidTr="009C24CE">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66F" w:rsidRDefault="00C9666F" w:rsidP="009C24CE">
            <w:r>
              <w:t>Objective 2: Improved Human Development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24.0</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47.1</w:t>
            </w:r>
          </w:p>
        </w:tc>
      </w:tr>
      <w:tr w:rsidR="00C9666F" w:rsidTr="009C24CE">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66F" w:rsidRDefault="00C9666F" w:rsidP="009C24CE">
            <w:r>
              <w:t>Objective 3: Tropical Cyclone Winston Recovery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2.0</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3.9</w:t>
            </w:r>
          </w:p>
        </w:tc>
      </w:tr>
      <w:tr w:rsidR="00C9666F" w:rsidTr="009C24CE">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66F" w:rsidRDefault="00C9666F" w:rsidP="009C24CE">
            <w:pPr>
              <w:rPr>
                <w:b/>
                <w:bCs/>
              </w:rPr>
            </w:pPr>
            <w:r>
              <w:rPr>
                <w:b/>
                <w:bCs/>
              </w:rPr>
              <w:t>Sub-Total Bilateral</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pPr>
              <w:rPr>
                <w:b/>
                <w:bCs/>
              </w:rPr>
            </w:pPr>
            <w:r>
              <w:rPr>
                <w:b/>
                <w:bCs/>
              </w:rPr>
              <w:t>35.0</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pPr>
              <w:rPr>
                <w:b/>
                <w:bCs/>
              </w:rPr>
            </w:pPr>
            <w:r>
              <w:rPr>
                <w:b/>
                <w:bCs/>
              </w:rPr>
              <w:t>68.6</w:t>
            </w:r>
          </w:p>
        </w:tc>
      </w:tr>
      <w:tr w:rsidR="00C9666F" w:rsidTr="009C24CE">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66F" w:rsidRDefault="00C9666F" w:rsidP="009C24CE">
            <w:r>
              <w:t>Regional and Global</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12.4</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24.3</w:t>
            </w:r>
          </w:p>
        </w:tc>
      </w:tr>
      <w:tr w:rsidR="00C9666F" w:rsidTr="009C24CE">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66F" w:rsidRDefault="00C9666F" w:rsidP="009C24CE">
            <w:r>
              <w:t>Other Government Departments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3.6</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r>
              <w:t>7.1</w:t>
            </w:r>
          </w:p>
        </w:tc>
      </w:tr>
      <w:tr w:rsidR="00C9666F" w:rsidTr="009C24CE">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66F" w:rsidRDefault="00C9666F" w:rsidP="009C24CE">
            <w:pPr>
              <w:rPr>
                <w:b/>
                <w:bCs/>
              </w:rPr>
            </w:pPr>
            <w:r>
              <w:rPr>
                <w:b/>
                <w:bCs/>
              </w:rPr>
              <w:t xml:space="preserve">Total ODA Expenditure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pPr>
              <w:rPr>
                <w:b/>
                <w:bCs/>
              </w:rPr>
            </w:pPr>
            <w:r>
              <w:rPr>
                <w:b/>
                <w:bCs/>
              </w:rPr>
              <w:t>51.0</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C9666F" w:rsidRDefault="00C9666F" w:rsidP="009C24CE">
            <w:pPr>
              <w:rPr>
                <w:b/>
                <w:bCs/>
              </w:rPr>
            </w:pPr>
            <w:r>
              <w:rPr>
                <w:b/>
                <w:bCs/>
              </w:rPr>
              <w:t>100</w:t>
            </w:r>
          </w:p>
        </w:tc>
      </w:tr>
    </w:tbl>
    <w:p w:rsidR="00C9666F" w:rsidRPr="00C61187" w:rsidRDefault="00C9666F" w:rsidP="002A51CA"/>
    <w:p w:rsidR="002A51CA" w:rsidRPr="002A51CA" w:rsidRDefault="002A51CA" w:rsidP="0035595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CB2F9F" w:rsidRDefault="00DA4D92" w:rsidP="00CB2F9F">
      <w:r>
        <w:t xml:space="preserve">The </w:t>
      </w:r>
      <w:r w:rsidR="00CB2F9F">
        <w:t xml:space="preserve">Fiji Program </w:t>
      </w:r>
      <w:r>
        <w:t xml:space="preserve">has </w:t>
      </w:r>
      <w:r w:rsidR="00D01763">
        <w:t>continue</w:t>
      </w:r>
      <w:r>
        <w:t>d</w:t>
      </w:r>
      <w:r w:rsidR="00D01763">
        <w:t xml:space="preserve"> to make </w:t>
      </w:r>
      <w:r w:rsidR="00CB2F9F">
        <w:t xml:space="preserve">good </w:t>
      </w:r>
      <w:r w:rsidR="00D01763">
        <w:t xml:space="preserve">progress on private sector development (Objective 1). </w:t>
      </w:r>
      <w:r>
        <w:t xml:space="preserve">Despite </w:t>
      </w:r>
      <w:r w:rsidR="00D01763">
        <w:t>overall human development</w:t>
      </w:r>
      <w:r>
        <w:t xml:space="preserve"> objective success</w:t>
      </w:r>
      <w:r w:rsidR="00D01763">
        <w:t xml:space="preserve">, </w:t>
      </w:r>
      <w:r w:rsidR="005B2F1E">
        <w:t xml:space="preserve">progress on disability </w:t>
      </w:r>
      <w:r w:rsidR="00D01763">
        <w:t xml:space="preserve">inclusion has been elevated to </w:t>
      </w:r>
      <w:r w:rsidR="008139D3">
        <w:t xml:space="preserve">a </w:t>
      </w:r>
      <w:r w:rsidR="00257485">
        <w:t xml:space="preserve">management action. </w:t>
      </w:r>
      <w:r w:rsidR="00CB2F9F">
        <w:t xml:space="preserve"> </w:t>
      </w:r>
      <w:r>
        <w:t xml:space="preserve">The </w:t>
      </w:r>
      <w:r w:rsidR="00D01763">
        <w:t xml:space="preserve">TC Winston Recovery investment </w:t>
      </w:r>
      <w:r>
        <w:t>has now concluded</w:t>
      </w:r>
      <w:r w:rsidR="00D01763">
        <w:t xml:space="preserve">, </w:t>
      </w:r>
      <w:r>
        <w:t xml:space="preserve">but </w:t>
      </w:r>
      <w:r w:rsidR="00AF5B45">
        <w:t>due to delays in the issuing of the final engineering certificate for school</w:t>
      </w:r>
      <w:r w:rsidR="00F1403D">
        <w:t xml:space="preserve"> buildings constructed on Koro I</w:t>
      </w:r>
      <w:r w:rsidR="00AF5B45">
        <w:t xml:space="preserve">sland, this objective will be carried over. </w:t>
      </w:r>
      <w:r w:rsidR="00537810">
        <w:t>These issues</w:t>
      </w:r>
      <w:r>
        <w:t xml:space="preserve"> will be worked through with the managing contractor. </w:t>
      </w:r>
      <w:r w:rsidR="008139D3">
        <w:t>O</w:t>
      </w:r>
      <w:r w:rsidR="00D01763">
        <w:t>bjective 3 will be carried over as Australia works with the contracting partner to achieve</w:t>
      </w:r>
      <w:r w:rsidR="000B5609">
        <w:t xml:space="preserve"> our shared outcome</w:t>
      </w:r>
      <w:r w:rsidR="00D01763">
        <w:t>.</w:t>
      </w:r>
    </w:p>
    <w:p w:rsidR="00B07F14" w:rsidRDefault="000E636A" w:rsidP="002A51CA">
      <w:pPr>
        <w:rPr>
          <w:color w:val="1F497D"/>
        </w:rPr>
      </w:pPr>
      <w:r>
        <w:rPr>
          <w:color w:val="1F497D"/>
        </w:rPr>
        <w:t> </w:t>
      </w:r>
    </w:p>
    <w:p w:rsidR="00B07F14" w:rsidRDefault="00B07F14">
      <w:pPr>
        <w:suppressAutoHyphens w:val="0"/>
        <w:spacing w:before="0" w:after="120" w:line="440" w:lineRule="atLeast"/>
        <w:rPr>
          <w:color w:val="1F497D"/>
        </w:rPr>
      </w:pPr>
      <w:r>
        <w:rPr>
          <w:color w:val="1F497D"/>
        </w:rPr>
        <w:br w:type="page"/>
      </w:r>
    </w:p>
    <w:p w:rsidR="002A51CA" w:rsidRPr="008C2F58" w:rsidRDefault="002A51CA" w:rsidP="002A51CA">
      <w:pPr>
        <w:rPr>
          <w:b/>
          <w:sz w:val="24"/>
        </w:rPr>
      </w:pPr>
      <w:r w:rsidRPr="008C2F58">
        <w:rPr>
          <w:b/>
          <w:sz w:val="24"/>
        </w:rPr>
        <w:lastRenderedPageBreak/>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16033">
        <w:rPr>
          <w:b/>
          <w:noProof/>
          <w:sz w:val="24"/>
        </w:rPr>
        <w:t>1</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4"/>
        <w:gridCol w:w="1436"/>
        <w:gridCol w:w="1439"/>
      </w:tblGrid>
      <w:tr w:rsidR="00355959" w:rsidRPr="00812509" w:rsidTr="00000066">
        <w:trPr>
          <w:cnfStyle w:val="000000010000" w:firstRow="0" w:lastRow="0" w:firstColumn="0" w:lastColumn="0" w:oddVBand="0" w:evenVBand="0" w:oddHBand="0" w:evenHBand="1" w:firstRowFirstColumn="0" w:firstRowLastColumn="0" w:lastRowFirstColumn="0" w:lastRowLastColumn="0"/>
          <w:trHeight w:val="651"/>
        </w:trPr>
        <w:tc>
          <w:tcPr>
            <w:tcW w:w="65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rPr>
                <w:noProof/>
              </w:rPr>
              <w:drawing>
                <wp:anchor distT="0" distB="0" distL="114300" distR="114300" simplePos="0" relativeHeight="251681792" behindDoc="0" locked="0" layoutInCell="1" allowOverlap="1" wp14:anchorId="3BCC2DE5" wp14:editId="230983E2">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4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t>Previous Rating</w:t>
            </w:r>
          </w:p>
        </w:tc>
        <w:tc>
          <w:tcPr>
            <w:tcW w:w="13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t>Current Rating</w:t>
            </w:r>
          </w:p>
        </w:tc>
      </w:tr>
      <w:tr w:rsidR="00407EDB" w:rsidRPr="00812509" w:rsidTr="00CB2F9F">
        <w:trPr>
          <w:cnfStyle w:val="000000010000" w:firstRow="0" w:lastRow="0" w:firstColumn="0" w:lastColumn="0" w:oddVBand="0" w:evenVBand="0" w:oddHBand="0" w:evenHBand="1" w:firstRowFirstColumn="0" w:firstRowLastColumn="0" w:lastRowFirstColumn="0" w:lastRowLastColumn="0"/>
        </w:trPr>
        <w:tc>
          <w:tcPr>
            <w:tcW w:w="6572" w:type="dxa"/>
          </w:tcPr>
          <w:p w:rsidR="00355959" w:rsidRPr="00812509" w:rsidRDefault="00355959" w:rsidP="00D05246">
            <w:pPr>
              <w:pStyle w:val="TableTextEntries"/>
              <w:rPr>
                <w:rFonts w:asciiTheme="minorHAnsi" w:hAnsiTheme="minorHAnsi"/>
              </w:rPr>
            </w:pPr>
            <w:r w:rsidRPr="00812509">
              <w:rPr>
                <w:rFonts w:asciiTheme="minorHAnsi" w:hAnsiTheme="minorHAnsi"/>
              </w:rPr>
              <w:t>Objective 1</w:t>
            </w:r>
            <w:r w:rsidR="00DE7CDE">
              <w:rPr>
                <w:rFonts w:asciiTheme="minorHAnsi" w:hAnsiTheme="minorHAnsi"/>
              </w:rPr>
              <w:t xml:space="preserve"> – Increased Private Sector Development</w:t>
            </w:r>
          </w:p>
        </w:tc>
        <w:tc>
          <w:tcPr>
            <w:tcW w:w="1408" w:type="dxa"/>
            <w:shd w:val="clear" w:color="auto" w:fill="92D050"/>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97" w:type="dxa"/>
            <w:shd w:val="clear" w:color="auto" w:fill="92D050"/>
            <w:noWrap/>
          </w:tcPr>
          <w:p w:rsidR="00355959" w:rsidRPr="00812509" w:rsidRDefault="00CB2F9F" w:rsidP="00EF6EB9">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407EDB" w:rsidRPr="00812509" w:rsidTr="00EA783C">
        <w:trPr>
          <w:cnfStyle w:val="000000010000" w:firstRow="0" w:lastRow="0" w:firstColumn="0" w:lastColumn="0" w:oddVBand="0" w:evenVBand="0" w:oddHBand="0" w:evenHBand="1" w:firstRowFirstColumn="0" w:firstRowLastColumn="0" w:lastRowFirstColumn="0" w:lastRowLastColumn="0"/>
        </w:trPr>
        <w:tc>
          <w:tcPr>
            <w:tcW w:w="6572" w:type="dxa"/>
          </w:tcPr>
          <w:p w:rsidR="00355959" w:rsidRPr="00812509" w:rsidRDefault="00355959" w:rsidP="00D05246">
            <w:pPr>
              <w:pStyle w:val="TableTextEntries"/>
              <w:rPr>
                <w:rFonts w:asciiTheme="minorHAnsi" w:hAnsiTheme="minorHAnsi"/>
              </w:rPr>
            </w:pPr>
            <w:r w:rsidRPr="00812509">
              <w:rPr>
                <w:rFonts w:asciiTheme="minorHAnsi" w:hAnsiTheme="minorHAnsi"/>
              </w:rPr>
              <w:t>Objective 2</w:t>
            </w:r>
            <w:r w:rsidR="00DE7CDE">
              <w:rPr>
                <w:rFonts w:asciiTheme="minorHAnsi" w:hAnsiTheme="minorHAnsi"/>
              </w:rPr>
              <w:t xml:space="preserve"> – Improved Human Development </w:t>
            </w:r>
          </w:p>
        </w:tc>
        <w:tc>
          <w:tcPr>
            <w:tcW w:w="1408" w:type="dxa"/>
            <w:shd w:val="clear" w:color="auto" w:fill="92D050"/>
            <w:noWrap/>
          </w:tcPr>
          <w:p w:rsidR="00355959" w:rsidRPr="00812509" w:rsidRDefault="00EA783C" w:rsidP="00D05246">
            <w:pPr>
              <w:pStyle w:val="TableTextEntries"/>
              <w:jc w:val="center"/>
              <w:rPr>
                <w:rFonts w:asciiTheme="minorHAnsi" w:hAnsiTheme="minorHAnsi"/>
                <w:color w:val="FFFFFF" w:themeColor="background1"/>
              </w:rPr>
            </w:pPr>
            <w:r w:rsidRPr="00EA783C">
              <w:rPr>
                <w:rFonts w:asciiTheme="minorHAnsi" w:hAnsiTheme="minorHAnsi"/>
                <w:color w:val="FFFFFF" w:themeColor="background1"/>
                <w:lang w:val="en-GB"/>
              </w:rPr>
              <w:t>Green</w:t>
            </w:r>
          </w:p>
        </w:tc>
        <w:tc>
          <w:tcPr>
            <w:tcW w:w="1397" w:type="dxa"/>
            <w:shd w:val="clear" w:color="auto" w:fill="92D050"/>
            <w:noWrap/>
          </w:tcPr>
          <w:p w:rsidR="00355959" w:rsidRPr="00812509" w:rsidRDefault="00355959" w:rsidP="00EF6EB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407EDB" w:rsidRPr="00812509" w:rsidTr="00CB2F9F">
        <w:trPr>
          <w:cnfStyle w:val="000000010000" w:firstRow="0" w:lastRow="0" w:firstColumn="0" w:lastColumn="0" w:oddVBand="0" w:evenVBand="0" w:oddHBand="0" w:evenHBand="1" w:firstRowFirstColumn="0" w:firstRowLastColumn="0" w:lastRowFirstColumn="0" w:lastRowLastColumn="0"/>
        </w:trPr>
        <w:tc>
          <w:tcPr>
            <w:tcW w:w="6572" w:type="dxa"/>
          </w:tcPr>
          <w:p w:rsidR="00355959" w:rsidRPr="00812509" w:rsidRDefault="00355959" w:rsidP="00D05246">
            <w:pPr>
              <w:pStyle w:val="TableTextEntries"/>
              <w:rPr>
                <w:rFonts w:asciiTheme="minorHAnsi" w:hAnsiTheme="minorHAnsi"/>
              </w:rPr>
            </w:pPr>
            <w:r w:rsidRPr="00812509">
              <w:rPr>
                <w:rFonts w:asciiTheme="minorHAnsi" w:hAnsiTheme="minorHAnsi"/>
              </w:rPr>
              <w:t>Objective 3</w:t>
            </w:r>
            <w:r w:rsidR="00DE7CDE">
              <w:rPr>
                <w:rFonts w:asciiTheme="minorHAnsi" w:hAnsiTheme="minorHAnsi"/>
              </w:rPr>
              <w:t xml:space="preserve"> – TC Winston Recovery</w:t>
            </w:r>
          </w:p>
        </w:tc>
        <w:tc>
          <w:tcPr>
            <w:tcW w:w="1408" w:type="dxa"/>
            <w:shd w:val="clear" w:color="auto" w:fill="F85208"/>
            <w:noWrap/>
          </w:tcPr>
          <w:p w:rsidR="00355959" w:rsidRPr="00812509" w:rsidRDefault="00DE34FC" w:rsidP="00D05246">
            <w:pPr>
              <w:pStyle w:val="TableTextEntries"/>
              <w:jc w:val="center"/>
              <w:rPr>
                <w:rFonts w:asciiTheme="minorHAnsi" w:hAnsiTheme="minorHAnsi"/>
                <w:color w:val="FFFFFF" w:themeColor="background1"/>
              </w:rPr>
            </w:pPr>
            <w:r>
              <w:rPr>
                <w:rFonts w:asciiTheme="minorHAnsi" w:hAnsiTheme="minorHAnsi"/>
                <w:color w:val="FFFFFF" w:themeColor="background1"/>
                <w:shd w:val="clear" w:color="auto" w:fill="F85208"/>
              </w:rPr>
              <w:t>Amber</w:t>
            </w:r>
          </w:p>
        </w:tc>
        <w:tc>
          <w:tcPr>
            <w:tcW w:w="1397" w:type="dxa"/>
            <w:shd w:val="clear" w:color="auto" w:fill="F85208"/>
            <w:noWrap/>
          </w:tcPr>
          <w:p w:rsidR="00355959" w:rsidRPr="00812509" w:rsidRDefault="00CB2F9F"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bl>
    <w:p w:rsidR="00355959" w:rsidRPr="00812509" w:rsidRDefault="00355959" w:rsidP="00355959">
      <w:pPr>
        <w:pStyle w:val="Note"/>
        <w:rPr>
          <w:rFonts w:asciiTheme="minorHAnsi" w:hAnsiTheme="minorHAnsi"/>
          <w:sz w:val="16"/>
        </w:rPr>
      </w:pPr>
      <w:r w:rsidRPr="00812509">
        <w:rPr>
          <w:rFonts w:asciiTheme="minorHAnsi" w:hAnsiTheme="minorHAnsi"/>
          <w:sz w:val="16"/>
        </w:rPr>
        <w:t xml:space="preserve">Note: </w:t>
      </w:r>
    </w:p>
    <w:p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355959" w:rsidRPr="00812509" w:rsidRDefault="00355959" w:rsidP="0035595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BD57AE" w:rsidRDefault="00BD57AE" w:rsidP="00AE265E">
      <w:pPr>
        <w:pStyle w:val="BodyText"/>
      </w:pPr>
    </w:p>
    <w:p w:rsidR="00BD57AE" w:rsidRPr="00AE265E" w:rsidRDefault="00BD57AE" w:rsidP="00AE265E">
      <w:pPr>
        <w:pStyle w:val="BodyText"/>
        <w:rPr>
          <w:rFonts w:asciiTheme="minorHAnsi" w:hAnsiTheme="minorHAnsi" w:cstheme="minorHAnsi"/>
        </w:rPr>
      </w:pPr>
    </w:p>
    <w:p w:rsidR="0072170F" w:rsidRPr="00877607" w:rsidRDefault="0072170F" w:rsidP="0072170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1</w:t>
      </w:r>
      <w:r>
        <w:rPr>
          <w:rFonts w:asciiTheme="majorHAnsi" w:eastAsiaTheme="majorEastAsia" w:hAnsiTheme="majorHAnsi" w:cstheme="majorBidi"/>
          <w:caps/>
          <w:sz w:val="32"/>
          <w:szCs w:val="32"/>
        </w:rPr>
        <w:t xml:space="preserve"> </w:t>
      </w:r>
      <w:r w:rsidR="001270D0" w:rsidRPr="001270D0">
        <w:rPr>
          <w:rFonts w:asciiTheme="majorHAnsi" w:eastAsiaTheme="majorEastAsia" w:hAnsiTheme="majorHAnsi" w:cstheme="majorBidi"/>
          <w:caps/>
          <w:sz w:val="32"/>
          <w:szCs w:val="32"/>
        </w:rPr>
        <w:t>– INcreased Private sector development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72170F" w:rsidRPr="00695730" w:rsidTr="00D05246">
        <w:tc>
          <w:tcPr>
            <w:tcW w:w="2016" w:type="dxa"/>
          </w:tcPr>
          <w:p w:rsidR="0072170F" w:rsidRPr="00695730" w:rsidRDefault="0072170F" w:rsidP="00D0524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F1538D6" wp14:editId="2C324B60">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9">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0826F5A" wp14:editId="46F6A27E">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7EC48A98" wp14:editId="5505ECB8">
                  <wp:extent cx="612000" cy="61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5F57204A" wp14:editId="2C7EA1BB">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110F5D86" wp14:editId="1583A850">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6D0C5E" w:rsidRDefault="006D0C5E" w:rsidP="006D0C5E">
      <w:pPr>
        <w:rPr>
          <w:rFonts w:ascii="Times New Roman" w:hAnsi="Times New Roman" w:cs="Times New Roman"/>
        </w:rPr>
      </w:pPr>
    </w:p>
    <w:p w:rsidR="00300DCF" w:rsidRDefault="00300DCF" w:rsidP="006D0C5E">
      <w:pPr>
        <w:rPr>
          <w:rFonts w:cstheme="minorHAnsi"/>
        </w:rPr>
      </w:pPr>
      <w:r w:rsidRPr="00863737">
        <w:rPr>
          <w:rFonts w:cstheme="minorHAnsi"/>
          <w:b/>
        </w:rPr>
        <w:t xml:space="preserve">Progress towards </w:t>
      </w:r>
      <w:r w:rsidR="00863737" w:rsidRPr="00863737">
        <w:rPr>
          <w:rFonts w:cstheme="minorHAnsi"/>
          <w:b/>
        </w:rPr>
        <w:t xml:space="preserve">this objective - </w:t>
      </w:r>
      <w:r w:rsidRPr="00863737">
        <w:rPr>
          <w:rFonts w:cstheme="minorHAnsi"/>
          <w:b/>
        </w:rPr>
        <w:t>improving the competitiveness of pro-poor sectors was as expected</w:t>
      </w:r>
      <w:r>
        <w:rPr>
          <w:rFonts w:cstheme="minorHAnsi"/>
        </w:rPr>
        <w:t xml:space="preserve"> and is rated green</w:t>
      </w:r>
      <w:r w:rsidR="00755C30">
        <w:rPr>
          <w:rFonts w:cstheme="minorHAnsi"/>
        </w:rPr>
        <w:t xml:space="preserve">. </w:t>
      </w:r>
    </w:p>
    <w:p w:rsidR="00F770B7" w:rsidRDefault="00430439" w:rsidP="006D0C5E">
      <w:pPr>
        <w:rPr>
          <w:rFonts w:eastAsia="Calibri" w:cstheme="minorHAnsi"/>
          <w:iCs/>
          <w:lang w:val="en-AU"/>
        </w:rPr>
      </w:pPr>
      <w:r>
        <w:rPr>
          <w:rFonts w:cstheme="minorHAnsi"/>
        </w:rPr>
        <w:t xml:space="preserve">With </w:t>
      </w:r>
      <w:r w:rsidR="006D0C5E" w:rsidRPr="006D0C5E">
        <w:rPr>
          <w:rFonts w:cstheme="minorHAnsi"/>
        </w:rPr>
        <w:t>a comprehe</w:t>
      </w:r>
      <w:r>
        <w:rPr>
          <w:rFonts w:cstheme="minorHAnsi"/>
        </w:rPr>
        <w:t xml:space="preserve">nsive and credible reform agenda, the </w:t>
      </w:r>
      <w:r w:rsidR="006D0C5E" w:rsidRPr="006D0C5E">
        <w:rPr>
          <w:rFonts w:cstheme="minorHAnsi"/>
        </w:rPr>
        <w:t xml:space="preserve">2018-19 </w:t>
      </w:r>
      <w:r>
        <w:rPr>
          <w:rFonts w:cstheme="minorHAnsi"/>
        </w:rPr>
        <w:t xml:space="preserve">PAF </w:t>
      </w:r>
      <w:r w:rsidR="008139D3">
        <w:rPr>
          <w:rFonts w:cstheme="minorHAnsi"/>
        </w:rPr>
        <w:t>target of 20 per</w:t>
      </w:r>
      <w:r w:rsidR="00AE74B6">
        <w:rPr>
          <w:rFonts w:cstheme="minorHAnsi"/>
        </w:rPr>
        <w:t xml:space="preserve"> </w:t>
      </w:r>
      <w:r w:rsidR="008139D3">
        <w:rPr>
          <w:rFonts w:cstheme="minorHAnsi"/>
        </w:rPr>
        <w:t>cent of the aid</w:t>
      </w:r>
      <w:r w:rsidR="00300DCF">
        <w:rPr>
          <w:rFonts w:cstheme="minorHAnsi"/>
        </w:rPr>
        <w:t xml:space="preserve"> </w:t>
      </w:r>
      <w:r>
        <w:rPr>
          <w:rFonts w:cstheme="minorHAnsi"/>
        </w:rPr>
        <w:t xml:space="preserve">budget </w:t>
      </w:r>
      <w:r w:rsidR="00300DCF">
        <w:rPr>
          <w:rFonts w:cstheme="minorHAnsi"/>
        </w:rPr>
        <w:t xml:space="preserve">for </w:t>
      </w:r>
      <w:r>
        <w:rPr>
          <w:rFonts w:cstheme="minorHAnsi"/>
        </w:rPr>
        <w:t xml:space="preserve">aid-for-trade was exceeded by </w:t>
      </w:r>
      <w:r w:rsidR="00CE0C7F">
        <w:rPr>
          <w:rFonts w:cstheme="minorHAnsi"/>
        </w:rPr>
        <w:t>two</w:t>
      </w:r>
      <w:r>
        <w:rPr>
          <w:rFonts w:cstheme="minorHAnsi"/>
        </w:rPr>
        <w:t xml:space="preserve"> per</w:t>
      </w:r>
      <w:r w:rsidR="00AE74B6">
        <w:rPr>
          <w:rFonts w:cstheme="minorHAnsi"/>
        </w:rPr>
        <w:t xml:space="preserve"> </w:t>
      </w:r>
      <w:r>
        <w:rPr>
          <w:rFonts w:cstheme="minorHAnsi"/>
        </w:rPr>
        <w:t xml:space="preserve">cent. </w:t>
      </w:r>
      <w:r w:rsidR="00F770B7" w:rsidRPr="00B21BA9">
        <w:rPr>
          <w:rFonts w:eastAsia="Calibri" w:cstheme="minorHAnsi"/>
          <w:iCs/>
          <w:lang w:val="en-AU"/>
        </w:rPr>
        <w:t xml:space="preserve">A key achievement </w:t>
      </w:r>
      <w:r w:rsidR="00F770B7">
        <w:rPr>
          <w:rFonts w:eastAsia="Calibri" w:cstheme="minorHAnsi"/>
          <w:iCs/>
          <w:lang w:val="en-AU"/>
        </w:rPr>
        <w:t xml:space="preserve">during 2018-19 was that </w:t>
      </w:r>
      <w:r w:rsidR="00CE0C7F">
        <w:rPr>
          <w:rFonts w:eastAsia="Calibri" w:cstheme="minorHAnsi"/>
          <w:iCs/>
          <w:lang w:val="en-AU"/>
        </w:rPr>
        <w:t>80 per cent of long-</w:t>
      </w:r>
      <w:r w:rsidR="00F770B7" w:rsidRPr="00B21BA9">
        <w:rPr>
          <w:rFonts w:eastAsia="Calibri" w:cstheme="minorHAnsi"/>
          <w:iCs/>
          <w:lang w:val="en-AU"/>
        </w:rPr>
        <w:t>term technical advisers</w:t>
      </w:r>
      <w:r w:rsidR="00F770B7">
        <w:rPr>
          <w:rFonts w:eastAsia="Calibri" w:cstheme="minorHAnsi"/>
          <w:iCs/>
          <w:lang w:val="en-AU"/>
        </w:rPr>
        <w:t xml:space="preserve"> working across the </w:t>
      </w:r>
      <w:r w:rsidR="00D25DA0">
        <w:rPr>
          <w:rFonts w:eastAsia="Calibri" w:cstheme="minorHAnsi"/>
          <w:iCs/>
          <w:lang w:val="en-AU"/>
        </w:rPr>
        <w:t>GoF</w:t>
      </w:r>
      <w:r w:rsidR="00F770B7">
        <w:rPr>
          <w:rFonts w:eastAsia="Calibri" w:cstheme="minorHAnsi"/>
          <w:iCs/>
          <w:lang w:val="en-AU"/>
        </w:rPr>
        <w:t xml:space="preserve"> </w:t>
      </w:r>
      <w:r w:rsidR="00F770B7" w:rsidRPr="00B21BA9">
        <w:rPr>
          <w:rFonts w:eastAsia="Calibri" w:cstheme="minorHAnsi"/>
          <w:iCs/>
          <w:lang w:val="en-AU"/>
        </w:rPr>
        <w:t>were judged by the GoF to have pro</w:t>
      </w:r>
      <w:r w:rsidR="00F770B7">
        <w:rPr>
          <w:rFonts w:eastAsia="Calibri" w:cstheme="minorHAnsi"/>
          <w:iCs/>
          <w:lang w:val="en-AU"/>
        </w:rPr>
        <w:t xml:space="preserve">vided good or excellent support. </w:t>
      </w:r>
    </w:p>
    <w:p w:rsidR="00E96EFE" w:rsidRDefault="00E96EFE" w:rsidP="00E96EFE">
      <w:pPr>
        <w:rPr>
          <w:rFonts w:cstheme="minorHAnsi"/>
        </w:rPr>
      </w:pPr>
      <w:r>
        <w:rPr>
          <w:rFonts w:cstheme="minorHAnsi"/>
        </w:rPr>
        <w:t xml:space="preserve">The Australian aid program is </w:t>
      </w:r>
      <w:r w:rsidRPr="00100555">
        <w:rPr>
          <w:rFonts w:cstheme="minorHAnsi"/>
        </w:rPr>
        <w:t>providing economic opportunities for Fijians</w:t>
      </w:r>
      <w:r>
        <w:rPr>
          <w:rFonts w:cstheme="minorHAnsi"/>
        </w:rPr>
        <w:t xml:space="preserve"> and Fijian businesses through</w:t>
      </w:r>
      <w:r w:rsidRPr="00100555">
        <w:rPr>
          <w:rFonts w:cstheme="minorHAnsi"/>
        </w:rPr>
        <w:t xml:space="preserve"> </w:t>
      </w:r>
      <w:r>
        <w:rPr>
          <w:rFonts w:cstheme="minorHAnsi"/>
        </w:rPr>
        <w:t xml:space="preserve">the </w:t>
      </w:r>
      <w:r w:rsidRPr="00100555">
        <w:rPr>
          <w:rFonts w:cstheme="minorHAnsi"/>
        </w:rPr>
        <w:t xml:space="preserve">Market Development Facility (MDF), the Pacific Horticultural and Agricultural Market Access program (PHAMA Plus), the Australia-IFC Fiji Partnership, and Australia’s labour mobility schemes. </w:t>
      </w:r>
    </w:p>
    <w:p w:rsidR="00AC577D" w:rsidRPr="00100555" w:rsidRDefault="00AC577D" w:rsidP="00E96EFE">
      <w:pPr>
        <w:rPr>
          <w:rFonts w:cstheme="minorHAnsi"/>
        </w:rPr>
      </w:pPr>
    </w:p>
    <w:p w:rsidR="00B77C8D" w:rsidRDefault="00EE5927" w:rsidP="006D0C5E">
      <w:pPr>
        <w:rPr>
          <w:rFonts w:cstheme="minorHAnsi"/>
          <w:b/>
        </w:rPr>
      </w:pPr>
      <w:r>
        <w:rPr>
          <w:rFonts w:cstheme="minorHAnsi"/>
          <w:b/>
        </w:rPr>
        <w:t>Outcome 1: Increased incomes for poor households</w:t>
      </w:r>
    </w:p>
    <w:p w:rsidR="00A90D1C" w:rsidRPr="00A90D1C" w:rsidRDefault="00A90D1C" w:rsidP="00A90D1C">
      <w:pPr>
        <w:rPr>
          <w:rFonts w:cstheme="minorHAnsi"/>
        </w:rPr>
      </w:pPr>
      <w:r w:rsidRPr="00A90D1C">
        <w:rPr>
          <w:rFonts w:cstheme="minorHAnsi"/>
        </w:rPr>
        <w:t xml:space="preserve">In April 2019 Fiji joined the </w:t>
      </w:r>
      <w:r w:rsidR="00AE74B6">
        <w:rPr>
          <w:rFonts w:cstheme="minorHAnsi"/>
        </w:rPr>
        <w:t>P</w:t>
      </w:r>
      <w:r w:rsidR="00CE0C7F">
        <w:rPr>
          <w:rFonts w:cstheme="minorHAnsi"/>
        </w:rPr>
        <w:t xml:space="preserve">acific </w:t>
      </w:r>
      <w:r w:rsidR="00AE74B6">
        <w:rPr>
          <w:rFonts w:cstheme="minorHAnsi"/>
        </w:rPr>
        <w:t>L</w:t>
      </w:r>
      <w:r w:rsidR="00CE0C7F">
        <w:rPr>
          <w:rFonts w:cstheme="minorHAnsi"/>
        </w:rPr>
        <w:t xml:space="preserve">abour </w:t>
      </w:r>
      <w:r w:rsidR="00AE74B6">
        <w:rPr>
          <w:rFonts w:cstheme="minorHAnsi"/>
        </w:rPr>
        <w:t>S</w:t>
      </w:r>
      <w:r w:rsidR="00CE0C7F">
        <w:rPr>
          <w:rFonts w:cstheme="minorHAnsi"/>
        </w:rPr>
        <w:t>cheme</w:t>
      </w:r>
      <w:r w:rsidRPr="00A90D1C">
        <w:rPr>
          <w:rFonts w:cstheme="minorHAnsi"/>
        </w:rPr>
        <w:t xml:space="preserve">. A long-term advisor has been placed in the Ministry of Employment to support the GoF to strategically manage its engagement in this scheme in order to maximise the benefits to Fiji’s long-term economic development. </w:t>
      </w:r>
      <w:r>
        <w:rPr>
          <w:rFonts w:cstheme="minorHAnsi"/>
        </w:rPr>
        <w:t>The Seasonal Worker Program</w:t>
      </w:r>
      <w:r w:rsidR="00AE74B6">
        <w:rPr>
          <w:rFonts w:cstheme="minorHAnsi"/>
        </w:rPr>
        <w:t>me</w:t>
      </w:r>
      <w:r>
        <w:rPr>
          <w:rFonts w:cstheme="minorHAnsi"/>
        </w:rPr>
        <w:t xml:space="preserve"> has seen almost double the number of participants </w:t>
      </w:r>
      <w:r w:rsidR="00CE0C7F">
        <w:rPr>
          <w:rFonts w:cstheme="minorHAnsi"/>
        </w:rPr>
        <w:t>from</w:t>
      </w:r>
      <w:r>
        <w:rPr>
          <w:rFonts w:cstheme="minorHAnsi"/>
        </w:rPr>
        <w:t xml:space="preserve"> 2017-18 and improved investments by the GoF in enabling systems and processes. </w:t>
      </w:r>
    </w:p>
    <w:p w:rsidR="00E96EFE" w:rsidRPr="00A90D1C" w:rsidRDefault="00AD400E" w:rsidP="00AD400E">
      <w:pPr>
        <w:rPr>
          <w:lang w:val="en-US"/>
        </w:rPr>
      </w:pPr>
      <w:r>
        <w:rPr>
          <w:rFonts w:cstheme="minorHAnsi"/>
        </w:rPr>
        <w:t xml:space="preserve">As at December 2018, </w:t>
      </w:r>
      <w:r w:rsidR="00AE74B6">
        <w:rPr>
          <w:rFonts w:cstheme="minorHAnsi"/>
        </w:rPr>
        <w:t>MDF’s work</w:t>
      </w:r>
      <w:r>
        <w:rPr>
          <w:rFonts w:cstheme="minorHAnsi"/>
        </w:rPr>
        <w:t xml:space="preserve"> has resulted in </w:t>
      </w:r>
      <w:r w:rsidR="00E96EFE">
        <w:rPr>
          <w:rFonts w:cstheme="minorHAnsi"/>
        </w:rPr>
        <w:t xml:space="preserve">246 </w:t>
      </w:r>
      <w:r>
        <w:rPr>
          <w:rFonts w:cstheme="minorHAnsi"/>
        </w:rPr>
        <w:t xml:space="preserve">new </w:t>
      </w:r>
      <w:r w:rsidR="00E96EFE">
        <w:rPr>
          <w:rFonts w:cstheme="minorHAnsi"/>
        </w:rPr>
        <w:t xml:space="preserve">formal sector jobs </w:t>
      </w:r>
      <w:r>
        <w:rPr>
          <w:rFonts w:cstheme="minorHAnsi"/>
        </w:rPr>
        <w:t>and additional income of USD13million.</w:t>
      </w:r>
      <w:r w:rsidR="00755C30">
        <w:rPr>
          <w:rFonts w:cstheme="minorHAnsi"/>
        </w:rPr>
        <w:t xml:space="preserve"> Of note are</w:t>
      </w:r>
      <w:r>
        <w:rPr>
          <w:rFonts w:cstheme="minorHAnsi"/>
        </w:rPr>
        <w:t xml:space="preserve"> </w:t>
      </w:r>
      <w:r w:rsidR="00A90D1C">
        <w:t>MDF’s partnerships with 11 companies offering community made products and services resulted in an additional USD3million in sales</w:t>
      </w:r>
      <w:r w:rsidR="00755C30">
        <w:t xml:space="preserve"> (included in the USD13 million figure)</w:t>
      </w:r>
      <w:r w:rsidR="00A90D1C">
        <w:t xml:space="preserve">, with half of the profit returning to source communities. </w:t>
      </w:r>
    </w:p>
    <w:p w:rsidR="00B07F14" w:rsidRDefault="00B07F14">
      <w:pPr>
        <w:suppressAutoHyphens w:val="0"/>
        <w:spacing w:before="0" w:after="120" w:line="440" w:lineRule="atLeast"/>
        <w:rPr>
          <w:rFonts w:cstheme="minorHAnsi"/>
        </w:rPr>
      </w:pPr>
      <w:r>
        <w:rPr>
          <w:rFonts w:cstheme="minorHAnsi"/>
        </w:rPr>
        <w:br w:type="page"/>
      </w:r>
    </w:p>
    <w:p w:rsidR="00A90D1C" w:rsidRDefault="00A90D1C" w:rsidP="00AD400E">
      <w:pPr>
        <w:rPr>
          <w:rFonts w:cstheme="minorHAnsi"/>
        </w:rPr>
      </w:pPr>
      <w:r w:rsidRPr="00A90D1C">
        <w:rPr>
          <w:rFonts w:cstheme="minorHAnsi"/>
        </w:rPr>
        <w:lastRenderedPageBreak/>
        <w:t>MDF proactive efforts to reduce the barriers to women in accessing market</w:t>
      </w:r>
      <w:r w:rsidR="00CE0C7F">
        <w:rPr>
          <w:rFonts w:cstheme="minorHAnsi"/>
        </w:rPr>
        <w:t>s</w:t>
      </w:r>
      <w:r w:rsidRPr="00A90D1C">
        <w:rPr>
          <w:rFonts w:cstheme="minorHAnsi"/>
        </w:rPr>
        <w:t xml:space="preserve"> has resulted in 7,030 women (50 per cent of the total beneficiaries) enjoying increased incomes or employment – an increase of 2730 in 201</w:t>
      </w:r>
      <w:r w:rsidR="00755C30">
        <w:rPr>
          <w:rFonts w:cstheme="minorHAnsi"/>
        </w:rPr>
        <w:t>8</w:t>
      </w:r>
      <w:r w:rsidRPr="00A90D1C">
        <w:rPr>
          <w:rFonts w:cstheme="minorHAnsi"/>
        </w:rPr>
        <w:t xml:space="preserve">. </w:t>
      </w:r>
      <w:r w:rsidR="00934BA8">
        <w:rPr>
          <w:rFonts w:cstheme="minorHAnsi"/>
        </w:rPr>
        <w:t xml:space="preserve"> </w:t>
      </w:r>
      <w:r w:rsidR="00CE0C7F">
        <w:rPr>
          <w:rFonts w:cstheme="minorHAnsi"/>
        </w:rPr>
        <w:t xml:space="preserve">Further </w:t>
      </w:r>
      <w:r w:rsidRPr="00A90D1C">
        <w:rPr>
          <w:rFonts w:cstheme="minorHAnsi"/>
        </w:rPr>
        <w:t xml:space="preserve">progress </w:t>
      </w:r>
      <w:r w:rsidR="00CE0C7F">
        <w:rPr>
          <w:rFonts w:cstheme="minorHAnsi"/>
        </w:rPr>
        <w:t>is nevertheless needed to</w:t>
      </w:r>
      <w:r w:rsidRPr="00A90D1C">
        <w:rPr>
          <w:rFonts w:cstheme="minorHAnsi"/>
        </w:rPr>
        <w:t xml:space="preserve"> support economic opportunities for people with disabilities</w:t>
      </w:r>
      <w:r w:rsidR="00CE0C7F">
        <w:rPr>
          <w:rFonts w:cstheme="minorHAnsi"/>
        </w:rPr>
        <w:t>.</w:t>
      </w:r>
      <w:r w:rsidRPr="00A90D1C">
        <w:rPr>
          <w:rFonts w:cstheme="minorHAnsi"/>
        </w:rPr>
        <w:t xml:space="preserve"> </w:t>
      </w:r>
    </w:p>
    <w:p w:rsidR="007738F7" w:rsidRPr="00E96EFE" w:rsidRDefault="007738F7" w:rsidP="007738F7">
      <w:pPr>
        <w:rPr>
          <w:rFonts w:cstheme="minorHAnsi"/>
        </w:rPr>
      </w:pPr>
      <w:r w:rsidRPr="007738F7">
        <w:rPr>
          <w:rFonts w:cstheme="minorHAnsi"/>
        </w:rPr>
        <w:t xml:space="preserve">In Fiji, all of MDF’S partnerships </w:t>
      </w:r>
      <w:r w:rsidR="00CE0C7F">
        <w:rPr>
          <w:rFonts w:cstheme="minorHAnsi"/>
        </w:rPr>
        <w:t>strengthened</w:t>
      </w:r>
      <w:r w:rsidRPr="007738F7">
        <w:rPr>
          <w:rFonts w:cstheme="minorHAnsi"/>
        </w:rPr>
        <w:t xml:space="preserve"> women’s empowerment</w:t>
      </w:r>
      <w:r w:rsidR="00CE0C7F">
        <w:rPr>
          <w:rFonts w:cstheme="minorHAnsi"/>
        </w:rPr>
        <w:t>,</w:t>
      </w:r>
      <w:r w:rsidR="002532F3">
        <w:rPr>
          <w:rFonts w:cstheme="minorHAnsi"/>
        </w:rPr>
        <w:t xml:space="preserve"> </w:t>
      </w:r>
      <w:r w:rsidR="00AE74B6">
        <w:rPr>
          <w:rFonts w:cstheme="minorHAnsi"/>
        </w:rPr>
        <w:t xml:space="preserve">and </w:t>
      </w:r>
      <w:r w:rsidRPr="007738F7">
        <w:rPr>
          <w:rFonts w:cstheme="minorHAnsi"/>
        </w:rPr>
        <w:t xml:space="preserve">not just </w:t>
      </w:r>
      <w:r w:rsidR="002532F3">
        <w:rPr>
          <w:rFonts w:cstheme="minorHAnsi"/>
        </w:rPr>
        <w:t>through</w:t>
      </w:r>
      <w:r w:rsidRPr="007738F7">
        <w:rPr>
          <w:rFonts w:cstheme="minorHAnsi"/>
        </w:rPr>
        <w:t xml:space="preserve"> increased economic opportunities</w:t>
      </w:r>
      <w:r w:rsidR="00AE74B6">
        <w:rPr>
          <w:rFonts w:cstheme="minorHAnsi"/>
        </w:rPr>
        <w:t xml:space="preserve">. </w:t>
      </w:r>
      <w:r w:rsidRPr="007738F7">
        <w:rPr>
          <w:rFonts w:cstheme="minorHAnsi"/>
        </w:rPr>
        <w:t>For example, through the introduction of mechanical harvesters to sugarcane farming households, one of MDF Fiji’s partners C</w:t>
      </w:r>
      <w:r w:rsidR="00CE0C7F">
        <w:rPr>
          <w:rFonts w:cstheme="minorHAnsi"/>
        </w:rPr>
        <w:t>haran Jeath Singh reduced the burden</w:t>
      </w:r>
      <w:r w:rsidRPr="007738F7">
        <w:rPr>
          <w:rFonts w:cstheme="minorHAnsi"/>
        </w:rPr>
        <w:t xml:space="preserve"> of women in </w:t>
      </w:r>
      <w:r w:rsidR="00AE74B6">
        <w:rPr>
          <w:rFonts w:cstheme="minorHAnsi"/>
        </w:rPr>
        <w:t xml:space="preserve">target </w:t>
      </w:r>
      <w:r w:rsidRPr="007738F7">
        <w:rPr>
          <w:rFonts w:cstheme="minorHAnsi"/>
        </w:rPr>
        <w:t>households by 90 per cent. The women used the time saved to rest more and help their children with their education, while also investing some time in managing other crops.</w:t>
      </w:r>
      <w:r>
        <w:rPr>
          <w:rStyle w:val="FootnoteReference"/>
          <w:rFonts w:cstheme="minorHAnsi"/>
        </w:rPr>
        <w:footnoteReference w:id="3"/>
      </w:r>
    </w:p>
    <w:p w:rsidR="00EE5927" w:rsidRDefault="00EE5927" w:rsidP="006D0C5E">
      <w:pPr>
        <w:rPr>
          <w:rFonts w:cstheme="minorHAnsi"/>
          <w:b/>
        </w:rPr>
      </w:pPr>
      <w:r>
        <w:rPr>
          <w:rFonts w:cstheme="minorHAnsi"/>
          <w:b/>
        </w:rPr>
        <w:t>Outcome 2: Fiji’s business environment is conducive to inclusive private sector-led growth</w:t>
      </w:r>
    </w:p>
    <w:p w:rsidR="00AD400E" w:rsidRDefault="00AF5B45" w:rsidP="006D0C5E">
      <w:r>
        <w:rPr>
          <w:rFonts w:cstheme="minorHAnsi"/>
        </w:rPr>
        <w:t>There were c</w:t>
      </w:r>
      <w:r w:rsidR="00AD400E" w:rsidRPr="006A7235">
        <w:rPr>
          <w:rFonts w:cstheme="minorHAnsi"/>
        </w:rPr>
        <w:t xml:space="preserve">onsistent or modest gains in private sector-led growth, with a </w:t>
      </w:r>
      <w:r w:rsidR="00AE74B6">
        <w:rPr>
          <w:rFonts w:cstheme="minorHAnsi"/>
        </w:rPr>
        <w:t>three</w:t>
      </w:r>
      <w:r w:rsidR="00AE74B6" w:rsidRPr="006A7235">
        <w:rPr>
          <w:rFonts w:cstheme="minorHAnsi"/>
        </w:rPr>
        <w:t xml:space="preserve"> </w:t>
      </w:r>
      <w:r w:rsidR="00AE74B6">
        <w:rPr>
          <w:rFonts w:cstheme="minorHAnsi"/>
        </w:rPr>
        <w:t>per cent</w:t>
      </w:r>
      <w:r w:rsidR="00AD400E" w:rsidRPr="006A7235">
        <w:rPr>
          <w:rFonts w:cstheme="minorHAnsi"/>
        </w:rPr>
        <w:t xml:space="preserve"> increase in adults with active mobile money accounts used within a 90 day period. </w:t>
      </w:r>
      <w:r w:rsidR="006A7235" w:rsidRPr="006A7235">
        <w:rPr>
          <w:rFonts w:cstheme="minorHAnsi"/>
        </w:rPr>
        <w:t xml:space="preserve">Through the </w:t>
      </w:r>
      <w:r w:rsidR="008139D3">
        <w:rPr>
          <w:rFonts w:cstheme="minorHAnsi"/>
        </w:rPr>
        <w:t>Private Sector Development Initiative (PSDI)</w:t>
      </w:r>
      <w:r w:rsidR="006A7235" w:rsidRPr="006A7235">
        <w:rPr>
          <w:rFonts w:cstheme="minorHAnsi"/>
        </w:rPr>
        <w:t xml:space="preserve">, an online registry for </w:t>
      </w:r>
      <w:r w:rsidR="00AD400E" w:rsidRPr="006A7235">
        <w:rPr>
          <w:rFonts w:cstheme="minorHAnsi"/>
        </w:rPr>
        <w:t>small</w:t>
      </w:r>
      <w:r w:rsidR="006A7235" w:rsidRPr="006A7235">
        <w:rPr>
          <w:rFonts w:cstheme="minorHAnsi"/>
        </w:rPr>
        <w:t xml:space="preserve"> to </w:t>
      </w:r>
      <w:r w:rsidR="00AD400E" w:rsidRPr="006A7235">
        <w:rPr>
          <w:rFonts w:cstheme="minorHAnsi"/>
        </w:rPr>
        <w:t xml:space="preserve">medium enterprises </w:t>
      </w:r>
      <w:r w:rsidR="006A7235" w:rsidRPr="006A7235">
        <w:rPr>
          <w:rFonts w:cstheme="minorHAnsi"/>
        </w:rPr>
        <w:t xml:space="preserve">was established. </w:t>
      </w:r>
      <w:r w:rsidR="006A7235">
        <w:rPr>
          <w:rFonts w:cstheme="minorHAnsi"/>
        </w:rPr>
        <w:t xml:space="preserve">Improved reporting has been achieved through </w:t>
      </w:r>
      <w:r w:rsidR="008139D3">
        <w:t>IFC</w:t>
      </w:r>
      <w:r w:rsidR="006A7235">
        <w:t xml:space="preserve"> support to the Ministry of Industry, Trade and Tourism, specifically on International Visitor Survey (IVS) analysis. Results are </w:t>
      </w:r>
      <w:r w:rsidR="00B12E75">
        <w:t>supporting improved targeting of</w:t>
      </w:r>
      <w:r w:rsidR="006A7235">
        <w:t xml:space="preserve"> marketing </w:t>
      </w:r>
      <w:r>
        <w:t xml:space="preserve">activities </w:t>
      </w:r>
      <w:r w:rsidR="001B015D">
        <w:t>to tourist</w:t>
      </w:r>
      <w:r w:rsidR="00B12E75">
        <w:t xml:space="preserve">s who </w:t>
      </w:r>
      <w:r w:rsidR="006A7235">
        <w:t xml:space="preserve">make the greatest financial contributions to the Fijian market. </w:t>
      </w:r>
    </w:p>
    <w:p w:rsidR="00E5602E" w:rsidRPr="00682F01" w:rsidRDefault="00E5602E" w:rsidP="00E5602E">
      <w:pPr>
        <w:rPr>
          <w:rFonts w:cstheme="minorHAnsi"/>
        </w:rPr>
      </w:pPr>
      <w:r w:rsidRPr="00682F01">
        <w:rPr>
          <w:rFonts w:cstheme="minorHAnsi"/>
        </w:rPr>
        <w:t xml:space="preserve">Streamlining the official requirements for businesses and strengthening </w:t>
      </w:r>
      <w:r w:rsidR="00B12E75">
        <w:rPr>
          <w:rFonts w:cstheme="minorHAnsi"/>
        </w:rPr>
        <w:t xml:space="preserve">the </w:t>
      </w:r>
      <w:r w:rsidRPr="00682F01">
        <w:rPr>
          <w:rFonts w:cstheme="minorHAnsi"/>
        </w:rPr>
        <w:t xml:space="preserve">financial sector are priorities for Fiji, and Australia’s aid program is assisting. We are working to strengthen people’s access to insurance; to improve the accessibility and range of services of online banking functions for remote communities; and to improve SME’s access to loans and strengthen the capital market. </w:t>
      </w:r>
    </w:p>
    <w:p w:rsidR="00E5602E" w:rsidRPr="00682F01" w:rsidRDefault="00E5602E" w:rsidP="00E5602E">
      <w:pPr>
        <w:rPr>
          <w:rFonts w:cstheme="minorHAnsi"/>
        </w:rPr>
      </w:pPr>
      <w:r w:rsidRPr="00682F01">
        <w:rPr>
          <w:rFonts w:cstheme="minorHAnsi"/>
        </w:rPr>
        <w:t xml:space="preserve">Under PSDI, Australia supported Fiji to enact the Personal Property Securities Bill in 2017 (a PAF target under this outcome). This is an important reform to assist micro and small-to-medium enterprises </w:t>
      </w:r>
      <w:r>
        <w:rPr>
          <w:rFonts w:cstheme="minorHAnsi"/>
        </w:rPr>
        <w:t xml:space="preserve">(MSME’s) </w:t>
      </w:r>
      <w:r w:rsidRPr="00682F01">
        <w:rPr>
          <w:rFonts w:cstheme="minorHAnsi"/>
        </w:rPr>
        <w:t>grow.  It allows non-land assets to be used as collateral for loans, increasing access to finance for people in customary land ownership settings and for women who do not own land.  In 2018-19 PSDI supported the Reserve Bank of Fiji to develop an online moveable assets registry. This was launched on time in June 2019 (a PAF target). As of July 2019, four banks had registered 12,000 assets. In 2019-20 we expect to see banks offering new lending products to customers</w:t>
      </w:r>
      <w:r>
        <w:rPr>
          <w:rFonts w:cstheme="minorHAnsi"/>
        </w:rPr>
        <w:t xml:space="preserve">, and will monitor the extent to which </w:t>
      </w:r>
      <w:r w:rsidR="008139D3">
        <w:rPr>
          <w:rFonts w:cstheme="minorHAnsi"/>
        </w:rPr>
        <w:t>MSME’s</w:t>
      </w:r>
      <w:r w:rsidR="00B12E75">
        <w:rPr>
          <w:rFonts w:cstheme="minorHAnsi"/>
        </w:rPr>
        <w:t xml:space="preserve"> are taking up these</w:t>
      </w:r>
      <w:r>
        <w:rPr>
          <w:rFonts w:cstheme="minorHAnsi"/>
        </w:rPr>
        <w:t xml:space="preserve"> new lending products</w:t>
      </w:r>
      <w:r w:rsidRPr="00682F01">
        <w:rPr>
          <w:rFonts w:cstheme="minorHAnsi"/>
        </w:rPr>
        <w:t xml:space="preserve">.  </w:t>
      </w:r>
      <w:r>
        <w:rPr>
          <w:rFonts w:cstheme="minorHAnsi"/>
        </w:rPr>
        <w:t xml:space="preserve">This will ultimately strengthen access to finance, providing much needed capital for MSME’s to innovate and expand their business operations.  </w:t>
      </w:r>
    </w:p>
    <w:p w:rsidR="00E5602E" w:rsidRPr="00F770B7" w:rsidRDefault="00E5602E" w:rsidP="00E5602E">
      <w:pPr>
        <w:rPr>
          <w:rFonts w:cstheme="minorHAnsi"/>
          <w:iCs/>
        </w:rPr>
      </w:pPr>
      <w:r w:rsidRPr="00682F01">
        <w:rPr>
          <w:rFonts w:cstheme="minorHAnsi"/>
          <w:iCs/>
        </w:rPr>
        <w:t xml:space="preserve">Jointly administered by the UN Capital Development Fund and </w:t>
      </w:r>
      <w:r w:rsidR="008139D3">
        <w:rPr>
          <w:rFonts w:cstheme="minorHAnsi"/>
          <w:iCs/>
        </w:rPr>
        <w:t>the United Nations Development Program (UNDP)</w:t>
      </w:r>
      <w:r w:rsidRPr="00682F01">
        <w:rPr>
          <w:rFonts w:cstheme="minorHAnsi"/>
          <w:iCs/>
        </w:rPr>
        <w:t xml:space="preserve">, </w:t>
      </w:r>
      <w:r w:rsidR="008139D3">
        <w:rPr>
          <w:rFonts w:cstheme="minorHAnsi"/>
          <w:iCs/>
        </w:rPr>
        <w:t>the Pacific Financial Inclusion Program (PFIP)</w:t>
      </w:r>
      <w:r w:rsidRPr="00682F01">
        <w:rPr>
          <w:rFonts w:cstheme="minorHAnsi"/>
          <w:iCs/>
        </w:rPr>
        <w:t xml:space="preserve"> is increasing the number of low-income Pacific Islanders </w:t>
      </w:r>
      <w:r w:rsidRPr="00F770B7">
        <w:rPr>
          <w:rFonts w:cstheme="minorHAnsi"/>
          <w:iCs/>
        </w:rPr>
        <w:t>who adopt financial services by working with banks and ICT providers to develop new services. </w:t>
      </w:r>
      <w:r w:rsidR="001B015D">
        <w:rPr>
          <w:rFonts w:cstheme="minorHAnsi"/>
          <w:iCs/>
        </w:rPr>
        <w:t xml:space="preserve">  </w:t>
      </w:r>
      <w:r w:rsidRPr="00F770B7">
        <w:rPr>
          <w:rFonts w:cstheme="minorHAnsi"/>
          <w:iCs/>
        </w:rPr>
        <w:t xml:space="preserve">Through PFIP’s innovation lab work on Vodafone’s M-Paisa mobile money platform, the scope of Fiji’s digital financial services has widened greatly in 2018-19. M-Paisa users can now pay their bills, receive remittances, top up their E-transport tickets and make voluntary pension contributions. </w:t>
      </w:r>
    </w:p>
    <w:p w:rsidR="00E5602E" w:rsidRPr="00F770B7" w:rsidRDefault="00E5602E" w:rsidP="00E5602E">
      <w:pPr>
        <w:rPr>
          <w:rFonts w:cstheme="minorHAnsi"/>
          <w:iCs/>
        </w:rPr>
      </w:pPr>
      <w:r w:rsidRPr="00F770B7">
        <w:rPr>
          <w:rFonts w:cstheme="minorHAnsi"/>
          <w:iCs/>
        </w:rPr>
        <w:t>With PFIP’s support, in 2018-19 Vodafone also scaled up</w:t>
      </w:r>
      <w:r w:rsidR="00420F38">
        <w:rPr>
          <w:rFonts w:cstheme="minorHAnsi"/>
          <w:iCs/>
        </w:rPr>
        <w:t xml:space="preserve"> the Mobile Village Agent</w:t>
      </w:r>
      <w:r w:rsidRPr="00F770B7">
        <w:rPr>
          <w:rFonts w:cstheme="minorHAnsi"/>
          <w:iCs/>
        </w:rPr>
        <w:t xml:space="preserve"> model, after a successful trial period. There are now more than 75 agents in remote locations around Fiji</w:t>
      </w:r>
      <w:r w:rsidR="00B12E75">
        <w:rPr>
          <w:rFonts w:cstheme="minorHAnsi"/>
          <w:iCs/>
        </w:rPr>
        <w:t xml:space="preserve">. </w:t>
      </w:r>
      <w:r w:rsidRPr="00F770B7">
        <w:rPr>
          <w:rFonts w:cstheme="minorHAnsi"/>
          <w:iCs/>
        </w:rPr>
        <w:t xml:space="preserve"> These agents are averaging up to 100 transactions per week. Since 2017, over 28,400 customers (40 per cent women) perform transactions beyond normal banking hours on mobile phone or at 23 Vodafone outlets around Fiji. As a result, we met our PAF target of three per cent of adults with an active money mobile account. </w:t>
      </w:r>
    </w:p>
    <w:p w:rsidR="00E5602E" w:rsidRPr="000B658F" w:rsidRDefault="00E5602E" w:rsidP="00E5602E">
      <w:pPr>
        <w:rPr>
          <w:rFonts w:cstheme="minorHAnsi"/>
          <w:iCs/>
          <w:color w:val="595959" w:themeColor="text1" w:themeTint="A6"/>
        </w:rPr>
      </w:pPr>
      <w:r w:rsidRPr="00F770B7">
        <w:rPr>
          <w:rFonts w:cstheme="minorHAnsi"/>
          <w:iCs/>
        </w:rPr>
        <w:t xml:space="preserve">With PFIP’s assistance, Fiji </w:t>
      </w:r>
      <w:r w:rsidR="00086E04">
        <w:rPr>
          <w:rFonts w:cstheme="minorHAnsi"/>
          <w:iCs/>
        </w:rPr>
        <w:t>has increased</w:t>
      </w:r>
      <w:r w:rsidRPr="00F770B7">
        <w:rPr>
          <w:rFonts w:cstheme="minorHAnsi"/>
          <w:iCs/>
        </w:rPr>
        <w:t xml:space="preserve"> the proportion of adults with “bundled” insurance that covers life, funeral and fire events. In 2018-19, the </w:t>
      </w:r>
      <w:r>
        <w:rPr>
          <w:rFonts w:cstheme="minorHAnsi"/>
          <w:iCs/>
        </w:rPr>
        <w:t>GoF</w:t>
      </w:r>
      <w:r w:rsidRPr="00F770B7">
        <w:rPr>
          <w:rFonts w:cstheme="minorHAnsi"/>
          <w:iCs/>
        </w:rPr>
        <w:t xml:space="preserve"> announced that all civil servants and social welfare beneficiaries will automatically be covered under FijiCare’s bundled insurance program. As of June 2019, approximately 40 per cent of the adult population have bundled insurance, with over 60 per cent being first-time insur</w:t>
      </w:r>
      <w:r w:rsidR="00086E04">
        <w:rPr>
          <w:rFonts w:cstheme="minorHAnsi"/>
          <w:iCs/>
        </w:rPr>
        <w:t>ees</w:t>
      </w:r>
      <w:r w:rsidRPr="00F770B7">
        <w:rPr>
          <w:rFonts w:cstheme="minorHAnsi"/>
          <w:iCs/>
        </w:rPr>
        <w:t xml:space="preserve">. </w:t>
      </w:r>
      <w:r>
        <w:rPr>
          <w:rFonts w:cstheme="minorHAnsi"/>
          <w:iCs/>
        </w:rPr>
        <w:t xml:space="preserve"> Improved rates of insurance provide an important safeguard to deal with family and community shocks.  </w:t>
      </w:r>
      <w:r>
        <w:rPr>
          <w:rFonts w:cstheme="minorHAnsi"/>
          <w:iCs/>
        </w:rPr>
        <w:lastRenderedPageBreak/>
        <w:t xml:space="preserve">Bundled insurance products also ensure people are aware of the range of projects available, helping to design their policies to their own individual circumstances.  </w:t>
      </w:r>
    </w:p>
    <w:p w:rsidR="00E5602E" w:rsidRPr="00682F01" w:rsidRDefault="00E5602E" w:rsidP="00E5602E">
      <w:pPr>
        <w:rPr>
          <w:rFonts w:cstheme="minorHAnsi"/>
          <w:iCs/>
        </w:rPr>
      </w:pPr>
      <w:r w:rsidRPr="00682F01">
        <w:rPr>
          <w:rFonts w:cstheme="minorHAnsi"/>
          <w:iCs/>
        </w:rPr>
        <w:t xml:space="preserve">Well-functioning capital markets provide governments and large corporations with access to long-term financing. In 2018-19 the IFC worked with the Reserve Bank of Fiji and the Ministry of Economy to manage the expenditure of the Green Bond (issued 2017-18) and submit the </w:t>
      </w:r>
      <w:hyperlink r:id="rId24" w:history="1">
        <w:r w:rsidRPr="00682F01">
          <w:rPr>
            <w:rStyle w:val="Hyperlink"/>
            <w:rFonts w:cstheme="minorHAnsi"/>
            <w:iCs/>
          </w:rPr>
          <w:t>first annual report</w:t>
        </w:r>
      </w:hyperlink>
      <w:r w:rsidRPr="00682F01">
        <w:rPr>
          <w:rFonts w:cstheme="minorHAnsi"/>
          <w:iCs/>
        </w:rPr>
        <w:t xml:space="preserve"> to shareholders. </w:t>
      </w:r>
      <w:r w:rsidR="00E423AC">
        <w:rPr>
          <w:rFonts w:cstheme="minorHAnsi"/>
          <w:iCs/>
        </w:rPr>
        <w:t xml:space="preserve">The green bond remains a valuable tool in attracting climate change financing.   </w:t>
      </w:r>
      <w:r w:rsidRPr="00682F01">
        <w:rPr>
          <w:rFonts w:cstheme="minorHAnsi"/>
          <w:iCs/>
        </w:rPr>
        <w:t xml:space="preserve">In February, the IFC and RBF hosted a workshop with </w:t>
      </w:r>
      <w:r>
        <w:rPr>
          <w:rFonts w:cstheme="minorHAnsi"/>
          <w:iCs/>
        </w:rPr>
        <w:t>Fiji’s largest business</w:t>
      </w:r>
      <w:r w:rsidR="00086E04">
        <w:rPr>
          <w:rFonts w:cstheme="minorHAnsi"/>
          <w:iCs/>
        </w:rPr>
        <w:t>es</w:t>
      </w:r>
      <w:r>
        <w:rPr>
          <w:rFonts w:cstheme="minorHAnsi"/>
          <w:iCs/>
        </w:rPr>
        <w:t>, regulators and market intermediaries</w:t>
      </w:r>
      <w:r w:rsidRPr="00682F01">
        <w:rPr>
          <w:rFonts w:cstheme="minorHAnsi"/>
          <w:iCs/>
        </w:rPr>
        <w:t xml:space="preserve"> to revitalise the corporate bond market (</w:t>
      </w:r>
      <w:r w:rsidRPr="00A9305F">
        <w:rPr>
          <w:rFonts w:cstheme="minorHAnsi"/>
          <w:iCs/>
        </w:rPr>
        <w:t xml:space="preserve">the last issuance was 2002). While there seems to be interest amongst some large corporates to raise capital in this way, the overarching </w:t>
      </w:r>
      <w:r w:rsidRPr="00682F01">
        <w:rPr>
          <w:rFonts w:cstheme="minorHAnsi"/>
          <w:iCs/>
        </w:rPr>
        <w:t xml:space="preserve">regulatory </w:t>
      </w:r>
      <w:r>
        <w:rPr>
          <w:rFonts w:cstheme="minorHAnsi"/>
          <w:iCs/>
        </w:rPr>
        <w:t xml:space="preserve">environment requires some </w:t>
      </w:r>
      <w:r w:rsidRPr="00682F01">
        <w:rPr>
          <w:rFonts w:cstheme="minorHAnsi"/>
          <w:iCs/>
        </w:rPr>
        <w:t xml:space="preserve">revisions to ensure incentives are in place for investors. The IFC will continue to work in this area in 2019-20. </w:t>
      </w:r>
      <w:r w:rsidR="00E423AC">
        <w:rPr>
          <w:rFonts w:cstheme="minorHAnsi"/>
          <w:iCs/>
        </w:rPr>
        <w:t xml:space="preserve"> The lessons to be identified from this process will be valuable in understanding the value of new approaches to climate change financing. </w:t>
      </w:r>
      <w:r w:rsidRPr="00682F01">
        <w:rPr>
          <w:rFonts w:cstheme="minorHAnsi"/>
          <w:iCs/>
        </w:rPr>
        <w:t xml:space="preserve">      </w:t>
      </w:r>
    </w:p>
    <w:p w:rsidR="00E5602E" w:rsidRDefault="00E5602E" w:rsidP="00E5602E">
      <w:pPr>
        <w:autoSpaceDE w:val="0"/>
        <w:autoSpaceDN w:val="0"/>
        <w:spacing w:after="160"/>
      </w:pPr>
      <w:r>
        <w:t xml:space="preserve">The World Bank’s Doing Business Index </w:t>
      </w:r>
      <w:r w:rsidRPr="00A9305F">
        <w:t>ranked Fiji as 101</w:t>
      </w:r>
      <w:r w:rsidRPr="00A9305F">
        <w:rPr>
          <w:vertAlign w:val="superscript"/>
        </w:rPr>
        <w:t>st</w:t>
      </w:r>
      <w:r w:rsidRPr="00A9305F">
        <w:t xml:space="preserve"> in 2019. The </w:t>
      </w:r>
      <w:r>
        <w:t>GoF</w:t>
      </w:r>
      <w:r w:rsidRPr="00A9305F">
        <w:t xml:space="preserve"> is receiving assistance from the IFC (under the Australia-IFC Fiji Partnership</w:t>
      </w:r>
      <w:r>
        <w:t xml:space="preserve">) and Singapore. Reducing the time taken to establish a business (currently 40 days) is a PAF indicator, but no progress was made in 2018-19. Rather, the </w:t>
      </w:r>
      <w:r w:rsidR="00AE74B6">
        <w:t xml:space="preserve">GoF </w:t>
      </w:r>
      <w:r>
        <w:t xml:space="preserve">set up a cross agency Investment Facilitation Task Force and commissioned the World Bank’s Doing Business team to undertake a review and prepare a roadmap of highest priority regulations and requirements </w:t>
      </w:r>
      <w:r w:rsidR="001B015D">
        <w:t>for improvement</w:t>
      </w:r>
      <w:r>
        <w:t xml:space="preserve">. </w:t>
      </w:r>
      <w:r w:rsidR="00DE34FC">
        <w:t xml:space="preserve"> </w:t>
      </w:r>
      <w:r w:rsidR="00591C2E">
        <w:t xml:space="preserve">The ADB’s sizeable budget support operation with the </w:t>
      </w:r>
      <w:r w:rsidR="00AE74B6">
        <w:t>GoF</w:t>
      </w:r>
      <w:r w:rsidR="00591C2E">
        <w:t xml:space="preserve"> </w:t>
      </w:r>
      <w:r w:rsidR="001B015D">
        <w:t>is performing well and has high-</w:t>
      </w:r>
      <w:r w:rsidR="00591C2E">
        <w:t xml:space="preserve">level Government commitment. Now into its third phase, the operation continues to provide reform impetus on public financial management, state-owned enterprise and </w:t>
      </w:r>
      <w:r w:rsidR="00086E04">
        <w:t xml:space="preserve">the </w:t>
      </w:r>
      <w:r w:rsidR="00591C2E">
        <w:t xml:space="preserve">enabling environment. It represents a new way of working for the </w:t>
      </w:r>
      <w:r w:rsidR="00AE74B6">
        <w:t>GoF</w:t>
      </w:r>
      <w:r w:rsidR="00591C2E">
        <w:t>.</w:t>
      </w:r>
    </w:p>
    <w:p w:rsidR="00A90D1C" w:rsidRPr="00A90D1C" w:rsidRDefault="00A90D1C" w:rsidP="006D0C5E">
      <w:pPr>
        <w:rPr>
          <w:rFonts w:cstheme="minorHAnsi"/>
        </w:rPr>
      </w:pPr>
      <w:r w:rsidRPr="00A90D1C">
        <w:rPr>
          <w:rFonts w:cstheme="minorHAnsi"/>
        </w:rPr>
        <w:t xml:space="preserve">Two IFC foundational studies into </w:t>
      </w:r>
      <w:hyperlink r:id="rId25" w:history="1">
        <w:r w:rsidRPr="00A90D1C">
          <w:rPr>
            <w:rStyle w:val="Hyperlink"/>
            <w:rFonts w:cstheme="minorHAnsi"/>
          </w:rPr>
          <w:t>domestic violence</w:t>
        </w:r>
      </w:hyperlink>
      <w:r w:rsidRPr="00A90D1C">
        <w:rPr>
          <w:rFonts w:cstheme="minorHAnsi"/>
        </w:rPr>
        <w:t xml:space="preserve"> and </w:t>
      </w:r>
      <w:hyperlink r:id="rId26" w:history="1">
        <w:r w:rsidRPr="00A90D1C">
          <w:rPr>
            <w:rStyle w:val="Hyperlink"/>
            <w:rFonts w:cstheme="minorHAnsi"/>
          </w:rPr>
          <w:t>childcare</w:t>
        </w:r>
      </w:hyperlink>
      <w:r w:rsidR="00086E04">
        <w:rPr>
          <w:rFonts w:cstheme="minorHAnsi"/>
        </w:rPr>
        <w:t xml:space="preserve"> and their </w:t>
      </w:r>
      <w:r w:rsidRPr="00A90D1C">
        <w:rPr>
          <w:rFonts w:cstheme="minorHAnsi"/>
        </w:rPr>
        <w:t xml:space="preserve">cost to the private sector is set to </w:t>
      </w:r>
      <w:r w:rsidRPr="00A9305F">
        <w:t xml:space="preserve">inform </w:t>
      </w:r>
      <w:r>
        <w:t xml:space="preserve">future </w:t>
      </w:r>
      <w:r w:rsidRPr="00A9305F">
        <w:t xml:space="preserve">work with Fiji’s </w:t>
      </w:r>
      <w:r>
        <w:t>private sector</w:t>
      </w:r>
      <w:r w:rsidR="00086E04">
        <w:t xml:space="preserve">. </w:t>
      </w:r>
      <w:r>
        <w:t xml:space="preserve"> </w:t>
      </w:r>
      <w:r w:rsidRPr="00A9305F">
        <w:t> </w:t>
      </w:r>
      <w:r>
        <w:t>The GoF</w:t>
      </w:r>
      <w:r w:rsidRPr="00A9305F">
        <w:t xml:space="preserve"> establish</w:t>
      </w:r>
      <w:r>
        <w:t>ed</w:t>
      </w:r>
      <w:r w:rsidRPr="00A9305F">
        <w:t xml:space="preserve"> a Taskforce on Early Childhood Care and Education </w:t>
      </w:r>
      <w:r>
        <w:t xml:space="preserve">as a result of the childcare study, </w:t>
      </w:r>
      <w:r w:rsidR="00AE74B6">
        <w:t xml:space="preserve">which </w:t>
      </w:r>
      <w:r>
        <w:t xml:space="preserve">has led to </w:t>
      </w:r>
      <w:r w:rsidRPr="00A9305F">
        <w:t xml:space="preserve">a policy and quality framework </w:t>
      </w:r>
      <w:r>
        <w:t xml:space="preserve">to improve </w:t>
      </w:r>
      <w:r w:rsidRPr="00A9305F">
        <w:t>childcare service</w:t>
      </w:r>
      <w:r>
        <w:t xml:space="preserve"> delivery and </w:t>
      </w:r>
      <w:r w:rsidR="001B015D">
        <w:t xml:space="preserve">a </w:t>
      </w:r>
      <w:r>
        <w:t>fin</w:t>
      </w:r>
      <w:r w:rsidR="001B015D">
        <w:t xml:space="preserve">ancial allocation </w:t>
      </w:r>
      <w:r>
        <w:t xml:space="preserve">within </w:t>
      </w:r>
      <w:r w:rsidRPr="00A9305F">
        <w:t>Fiji’s national budget.</w:t>
      </w:r>
      <w:r w:rsidRPr="00A90D1C">
        <w:rPr>
          <w:rFonts w:cstheme="minorHAnsi"/>
        </w:rPr>
        <w:t xml:space="preserve"> </w:t>
      </w:r>
    </w:p>
    <w:p w:rsidR="006D0C5E" w:rsidRPr="00430439" w:rsidRDefault="00B77C8D" w:rsidP="006D0C5E">
      <w:pPr>
        <w:rPr>
          <w:rFonts w:cstheme="minorHAnsi"/>
        </w:rPr>
      </w:pPr>
      <w:r>
        <w:rPr>
          <w:rFonts w:cstheme="minorHAnsi"/>
          <w:b/>
        </w:rPr>
        <w:t>Outcome 3</w:t>
      </w:r>
      <w:r w:rsidR="00A05D01" w:rsidRPr="00430439">
        <w:rPr>
          <w:rFonts w:cstheme="minorHAnsi"/>
          <w:b/>
        </w:rPr>
        <w:t xml:space="preserve">: </w:t>
      </w:r>
      <w:r w:rsidR="006D0C5E" w:rsidRPr="00430439">
        <w:rPr>
          <w:rFonts w:cstheme="minorHAnsi"/>
          <w:b/>
        </w:rPr>
        <w:t xml:space="preserve">Improved competiveness of key pro-poor sectors  </w:t>
      </w:r>
    </w:p>
    <w:p w:rsidR="00100555" w:rsidRDefault="006A7235" w:rsidP="00100555">
      <w:pPr>
        <w:rPr>
          <w:rFonts w:cstheme="minorHAnsi"/>
        </w:rPr>
      </w:pPr>
      <w:r>
        <w:rPr>
          <w:rFonts w:cstheme="minorHAnsi"/>
        </w:rPr>
        <w:t xml:space="preserve">The most significant progress has been made in </w:t>
      </w:r>
      <w:r w:rsidR="00100555" w:rsidRPr="00100555">
        <w:rPr>
          <w:rFonts w:cstheme="minorHAnsi"/>
        </w:rPr>
        <w:t xml:space="preserve">tourism and </w:t>
      </w:r>
      <w:r>
        <w:rPr>
          <w:rFonts w:cstheme="minorHAnsi"/>
        </w:rPr>
        <w:t xml:space="preserve">building Fiji’s </w:t>
      </w:r>
      <w:r w:rsidR="00100555" w:rsidRPr="00100555">
        <w:rPr>
          <w:rFonts w:cstheme="minorHAnsi"/>
        </w:rPr>
        <w:t xml:space="preserve">agriculture sector. </w:t>
      </w:r>
      <w:r w:rsidR="00C53417">
        <w:rPr>
          <w:rFonts w:cstheme="minorHAnsi"/>
        </w:rPr>
        <w:t xml:space="preserve">This year the </w:t>
      </w:r>
      <w:r w:rsidR="00C53417" w:rsidRPr="002667EE">
        <w:rPr>
          <w:rFonts w:cstheme="minorHAnsi"/>
        </w:rPr>
        <w:t>PAF target for attracting private investment to the economy</w:t>
      </w:r>
      <w:r w:rsidR="00C53417">
        <w:rPr>
          <w:rFonts w:cstheme="minorHAnsi"/>
        </w:rPr>
        <w:t xml:space="preserve"> exceeded the target</w:t>
      </w:r>
      <w:r w:rsidR="00C53417" w:rsidRPr="002667EE">
        <w:rPr>
          <w:rFonts w:cstheme="minorHAnsi"/>
        </w:rPr>
        <w:t>, with USD4.9 million leveraged in 2018 compa</w:t>
      </w:r>
      <w:r w:rsidR="00C53417">
        <w:rPr>
          <w:rFonts w:cstheme="minorHAnsi"/>
        </w:rPr>
        <w:t xml:space="preserve">red to </w:t>
      </w:r>
      <w:r w:rsidR="00DA59BB">
        <w:rPr>
          <w:rFonts w:cstheme="minorHAnsi"/>
        </w:rPr>
        <w:t>USD3.5 million in 2017</w:t>
      </w:r>
      <w:r w:rsidR="00100555" w:rsidRPr="00100555">
        <w:rPr>
          <w:rFonts w:cstheme="minorHAnsi"/>
        </w:rPr>
        <w:t xml:space="preserve">. </w:t>
      </w:r>
      <w:r w:rsidR="00A22848">
        <w:rPr>
          <w:rFonts w:cstheme="minorHAnsi"/>
        </w:rPr>
        <w:t xml:space="preserve">This represents a strong result with private sector investment a key driver </w:t>
      </w:r>
      <w:r w:rsidR="00086E04">
        <w:rPr>
          <w:rFonts w:cstheme="minorHAnsi"/>
        </w:rPr>
        <w:t>of</w:t>
      </w:r>
      <w:r w:rsidR="00A22848">
        <w:rPr>
          <w:rFonts w:cstheme="minorHAnsi"/>
        </w:rPr>
        <w:t xml:space="preserve"> Fiji’s strong economic performance in the last ten years.  </w:t>
      </w:r>
    </w:p>
    <w:p w:rsidR="0000645E" w:rsidRDefault="0083009C" w:rsidP="003B3CC4">
      <w:r>
        <w:t>M</w:t>
      </w:r>
      <w:r w:rsidR="00420F38">
        <w:t xml:space="preserve">DF and IFC’s work with the GoF </w:t>
      </w:r>
      <w:r w:rsidR="000B5609">
        <w:t xml:space="preserve">has </w:t>
      </w:r>
      <w:r w:rsidR="0000645E">
        <w:t xml:space="preserve">supported a growth in </w:t>
      </w:r>
      <w:r w:rsidR="000B5609">
        <w:t>Fiji’s tourism indust</w:t>
      </w:r>
      <w:r w:rsidR="0000645E">
        <w:t>ry and associated labour market. A key focus has been to increase</w:t>
      </w:r>
      <w:r w:rsidR="001B015D">
        <w:t xml:space="preserve"> the numbers of tourist</w:t>
      </w:r>
      <w:r w:rsidR="000B5609">
        <w:t xml:space="preserve"> </w:t>
      </w:r>
      <w:r w:rsidR="0000645E">
        <w:t xml:space="preserve">arrivals </w:t>
      </w:r>
      <w:r w:rsidR="000B5609">
        <w:t xml:space="preserve">and </w:t>
      </w:r>
      <w:r w:rsidR="0000645E">
        <w:t xml:space="preserve">travel to </w:t>
      </w:r>
      <w:r>
        <w:t>remote regions where formal economic opportunities are limited. This includes the Denerau and Coral Coast regions.</w:t>
      </w:r>
      <w:r w:rsidR="006A7235">
        <w:t xml:space="preserve"> This has seen up to a </w:t>
      </w:r>
      <w:r w:rsidR="00086E04">
        <w:t>seven</w:t>
      </w:r>
      <w:r w:rsidR="006A7235">
        <w:t xml:space="preserve"> </w:t>
      </w:r>
      <w:r w:rsidR="00AE74B6">
        <w:t>per cent</w:t>
      </w:r>
      <w:r w:rsidR="006A7235">
        <w:t xml:space="preserve"> increase in tourists per annum to </w:t>
      </w:r>
      <w:r w:rsidR="00BA0FAF">
        <w:t>the areas of</w:t>
      </w:r>
      <w:r w:rsidR="006A7235">
        <w:t xml:space="preserve"> focus. </w:t>
      </w:r>
    </w:p>
    <w:p w:rsidR="00A90D1C" w:rsidRPr="00A90D1C" w:rsidRDefault="006A7235" w:rsidP="006A7235">
      <w:r>
        <w:t>MDF research on the ‘</w:t>
      </w:r>
      <w:hyperlink r:id="rId27" w:history="1">
        <w:r>
          <w:rPr>
            <w:rStyle w:val="Hyperlink"/>
          </w:rPr>
          <w:t>Economic Impact of Yachting Tourism in Fiji’</w:t>
        </w:r>
      </w:hyperlink>
      <w:r>
        <w:t xml:space="preserve"> and </w:t>
      </w:r>
      <w:r w:rsidR="00086E04">
        <w:t xml:space="preserve">a </w:t>
      </w:r>
      <w:r>
        <w:t xml:space="preserve">soon to be released </w:t>
      </w:r>
      <w:r w:rsidR="001B015D">
        <w:t xml:space="preserve">study on the </w:t>
      </w:r>
      <w:r>
        <w:t xml:space="preserve">cruise ship industry has established baselines </w:t>
      </w:r>
      <w:r w:rsidR="00A90D1C">
        <w:t xml:space="preserve">of the current </w:t>
      </w:r>
      <w:r>
        <w:t xml:space="preserve">economic benefit of </w:t>
      </w:r>
      <w:r w:rsidR="00A90D1C">
        <w:t>maritime tourism</w:t>
      </w:r>
      <w:r>
        <w:t xml:space="preserve">. </w:t>
      </w:r>
      <w:r w:rsidR="00A90D1C">
        <w:t>I</w:t>
      </w:r>
      <w:r>
        <w:t xml:space="preserve">nfrastructure projects </w:t>
      </w:r>
      <w:r w:rsidR="00A90D1C">
        <w:t xml:space="preserve">currently underway </w:t>
      </w:r>
      <w:r>
        <w:t xml:space="preserve">to </w:t>
      </w:r>
      <w:r w:rsidR="00A90D1C">
        <w:t xml:space="preserve">certify marinas to </w:t>
      </w:r>
      <w:r>
        <w:t xml:space="preserve">cyclone </w:t>
      </w:r>
      <w:r w:rsidR="00A90D1C">
        <w:t xml:space="preserve">standards will </w:t>
      </w:r>
      <w:r>
        <w:t xml:space="preserve">open </w:t>
      </w:r>
      <w:r w:rsidR="001B015D">
        <w:t>year-</w:t>
      </w:r>
      <w:r>
        <w:t xml:space="preserve">round tours and yachting that will bolster maritime tourism. </w:t>
      </w:r>
    </w:p>
    <w:p w:rsidR="00A90D1C" w:rsidRPr="00A90D1C" w:rsidRDefault="00A90D1C" w:rsidP="00A90D1C">
      <w:r>
        <w:t xml:space="preserve">The program anticipates a 30 </w:t>
      </w:r>
      <w:r w:rsidR="00AE74B6">
        <w:t>per cent</w:t>
      </w:r>
      <w:r>
        <w:t xml:space="preserve"> increase in tourist arrivals via Melbourne due to a brokering role MDF</w:t>
      </w:r>
      <w:r w:rsidR="003B3CC4">
        <w:t xml:space="preserve"> </w:t>
      </w:r>
      <w:r>
        <w:t xml:space="preserve">played </w:t>
      </w:r>
      <w:r w:rsidR="003B3CC4">
        <w:t>between the Savusavu Tourist Association</w:t>
      </w:r>
      <w:r w:rsidR="00086E04">
        <w:t xml:space="preserve">, </w:t>
      </w:r>
      <w:r w:rsidR="003B3CC4">
        <w:t>Fiji Airways and Northern Air</w:t>
      </w:r>
      <w:r>
        <w:t xml:space="preserve">. This resulted in </w:t>
      </w:r>
      <w:r w:rsidR="003B3CC4">
        <w:t>Melbourne-Nadi flight routing</w:t>
      </w:r>
      <w:r>
        <w:t xml:space="preserve"> to </w:t>
      </w:r>
      <w:r w:rsidR="003B3CC4">
        <w:t xml:space="preserve">domestic </w:t>
      </w:r>
      <w:r>
        <w:t xml:space="preserve">transfers allowing for more </w:t>
      </w:r>
      <w:r w:rsidR="00220171">
        <w:t xml:space="preserve">efficient travel options </w:t>
      </w:r>
      <w:r w:rsidR="001B015D">
        <w:t>for</w:t>
      </w:r>
      <w:r>
        <w:t xml:space="preserve"> tourists. </w:t>
      </w:r>
    </w:p>
    <w:p w:rsidR="00220171" w:rsidRDefault="00A90D1C" w:rsidP="00A90D1C">
      <w:r>
        <w:t xml:space="preserve">An </w:t>
      </w:r>
      <w:r w:rsidR="003B3CC4">
        <w:t>IFC</w:t>
      </w:r>
      <w:r w:rsidR="00220171">
        <w:t xml:space="preserve"> </w:t>
      </w:r>
      <w:r w:rsidR="003B3CC4">
        <w:t>partnership with the</w:t>
      </w:r>
      <w:r w:rsidR="00086E04">
        <w:t xml:space="preserve"> Ministries</w:t>
      </w:r>
      <w:r w:rsidR="000834AE">
        <w:t xml:space="preserve"> of Agriculture and Industry Trade and Tourism </w:t>
      </w:r>
      <w:r>
        <w:t xml:space="preserve">resulted in </w:t>
      </w:r>
      <w:r w:rsidR="00220171">
        <w:t xml:space="preserve">the </w:t>
      </w:r>
      <w:r w:rsidR="003B3CC4">
        <w:t>“</w:t>
      </w:r>
      <w:hyperlink r:id="rId28" w:history="1">
        <w:r w:rsidR="003B3CC4">
          <w:rPr>
            <w:rStyle w:val="Hyperlink"/>
          </w:rPr>
          <w:t>From Farm to the Tourist’s Table</w:t>
        </w:r>
      </w:hyperlink>
      <w:r w:rsidR="003B3CC4">
        <w:t xml:space="preserve">” </w:t>
      </w:r>
      <w:r>
        <w:t>study. This document provide</w:t>
      </w:r>
      <w:r w:rsidR="00086E04">
        <w:t>s</w:t>
      </w:r>
      <w:r>
        <w:t xml:space="preserve"> evidence of </w:t>
      </w:r>
      <w:r w:rsidR="001B015D">
        <w:t xml:space="preserve">businesses </w:t>
      </w:r>
      <w:r>
        <w:t xml:space="preserve">sourcing </w:t>
      </w:r>
      <w:r w:rsidR="00220171">
        <w:t xml:space="preserve">local </w:t>
      </w:r>
      <w:r>
        <w:t>fresh produce that has led to the ‘</w:t>
      </w:r>
      <w:r w:rsidR="003B3CC4">
        <w:t>IFC Hotel Local Sourcing Program</w:t>
      </w:r>
      <w:r>
        <w:t xml:space="preserve">’. One </w:t>
      </w:r>
      <w:r w:rsidR="003B3CC4">
        <w:t xml:space="preserve">internationally branded hotel </w:t>
      </w:r>
      <w:r>
        <w:t xml:space="preserve">has joined and three </w:t>
      </w:r>
      <w:r w:rsidR="00220171">
        <w:t xml:space="preserve">are in the process of </w:t>
      </w:r>
      <w:r>
        <w:t>joining to support local business growth</w:t>
      </w:r>
      <w:r w:rsidR="003B3CC4">
        <w:t xml:space="preserve">. </w:t>
      </w:r>
    </w:p>
    <w:p w:rsidR="006E452C" w:rsidRDefault="006E452C">
      <w:pPr>
        <w:suppressAutoHyphens w:val="0"/>
        <w:spacing w:before="0" w:after="120" w:line="440" w:lineRule="atLeast"/>
        <w:rPr>
          <w:rFonts w:cstheme="minorHAnsi"/>
        </w:rPr>
      </w:pPr>
      <w:r>
        <w:rPr>
          <w:rFonts w:cstheme="minorHAnsi"/>
        </w:rPr>
        <w:br w:type="page"/>
      </w:r>
    </w:p>
    <w:p w:rsidR="00100555" w:rsidRPr="008C6149" w:rsidRDefault="00100555" w:rsidP="00100555">
      <w:pPr>
        <w:rPr>
          <w:color w:val="auto"/>
          <w:lang w:val="en-AU"/>
        </w:rPr>
      </w:pPr>
      <w:r w:rsidRPr="00100555">
        <w:rPr>
          <w:rFonts w:cstheme="minorHAnsi"/>
        </w:rPr>
        <w:lastRenderedPageBreak/>
        <w:t xml:space="preserve">The agriculture sector is slowly rebounding after </w:t>
      </w:r>
      <w:r w:rsidR="00220171">
        <w:rPr>
          <w:rFonts w:cstheme="minorHAnsi"/>
        </w:rPr>
        <w:t xml:space="preserve">TC Winston </w:t>
      </w:r>
      <w:r w:rsidRPr="00100555">
        <w:rPr>
          <w:rFonts w:cstheme="minorHAnsi"/>
        </w:rPr>
        <w:t xml:space="preserve">and subsequent cyclones and flooding events in 2017 and 2018. The new phase of PHAMA Plus commenced in November 2018 and the focus for the remainder of 2018-19 was on recruitment and working with stakeholders to confirm priorities and plans of action for the new five year program. In Fiji, PHAMA Plus will work on kava, root crops, trade facilitation, biosecurity, and accreditation. </w:t>
      </w:r>
    </w:p>
    <w:p w:rsidR="00100555" w:rsidRPr="00A90D1C" w:rsidRDefault="00100555" w:rsidP="00A90D1C">
      <w:pPr>
        <w:rPr>
          <w:rFonts w:cstheme="minorHAnsi"/>
        </w:rPr>
      </w:pPr>
      <w:r w:rsidRPr="00A90D1C">
        <w:rPr>
          <w:rFonts w:cstheme="minorHAnsi"/>
        </w:rPr>
        <w:t>MDF</w:t>
      </w:r>
      <w:r w:rsidR="00643C14" w:rsidRPr="00A90D1C">
        <w:rPr>
          <w:rFonts w:cstheme="minorHAnsi"/>
        </w:rPr>
        <w:t xml:space="preserve">’s collaboration with Fiji’s private sector has improved </w:t>
      </w:r>
      <w:r w:rsidRPr="00A90D1C">
        <w:rPr>
          <w:rFonts w:cstheme="minorHAnsi"/>
        </w:rPr>
        <w:t xml:space="preserve">commercial distribution </w:t>
      </w:r>
      <w:r w:rsidR="00643C14" w:rsidRPr="00A90D1C">
        <w:rPr>
          <w:rFonts w:cstheme="minorHAnsi"/>
        </w:rPr>
        <w:t xml:space="preserve">processes </w:t>
      </w:r>
      <w:r w:rsidR="009530CA">
        <w:rPr>
          <w:rFonts w:cstheme="minorHAnsi"/>
        </w:rPr>
        <w:t>resulting</w:t>
      </w:r>
      <w:r w:rsidR="00643C14" w:rsidRPr="00A90D1C">
        <w:rPr>
          <w:rFonts w:cstheme="minorHAnsi"/>
        </w:rPr>
        <w:t xml:space="preserve"> in improved access to critical farming inputs (seedlings, fertilisers, machinery) for </w:t>
      </w:r>
      <w:r w:rsidRPr="00A90D1C">
        <w:rPr>
          <w:rFonts w:cstheme="minorHAnsi"/>
        </w:rPr>
        <w:t xml:space="preserve">8,600 of the </w:t>
      </w:r>
      <w:r w:rsidR="00086E04">
        <w:rPr>
          <w:rFonts w:cstheme="minorHAnsi"/>
        </w:rPr>
        <w:t xml:space="preserve">country’s </w:t>
      </w:r>
      <w:r w:rsidRPr="00A90D1C">
        <w:rPr>
          <w:rFonts w:cstheme="minorHAnsi"/>
        </w:rPr>
        <w:t>38,000 commercial and sem</w:t>
      </w:r>
      <w:r w:rsidR="00D25AC7" w:rsidRPr="00A90D1C">
        <w:rPr>
          <w:rFonts w:cstheme="minorHAnsi"/>
        </w:rPr>
        <w:t>i-commercial farmers</w:t>
      </w:r>
      <w:r w:rsidR="00643C14" w:rsidRPr="00A90D1C">
        <w:rPr>
          <w:rFonts w:cstheme="minorHAnsi"/>
        </w:rPr>
        <w:t xml:space="preserve">. This has increased </w:t>
      </w:r>
      <w:r w:rsidR="00086E04">
        <w:rPr>
          <w:rFonts w:cstheme="minorHAnsi"/>
        </w:rPr>
        <w:t>their productivity</w:t>
      </w:r>
      <w:r w:rsidR="0060780C" w:rsidRPr="00A90D1C">
        <w:rPr>
          <w:rFonts w:cstheme="minorHAnsi"/>
        </w:rPr>
        <w:t xml:space="preserve"> and profitability</w:t>
      </w:r>
      <w:r w:rsidR="0048037F" w:rsidRPr="00A90D1C">
        <w:rPr>
          <w:rFonts w:cstheme="minorHAnsi"/>
        </w:rPr>
        <w:t>.</w:t>
      </w:r>
      <w:r w:rsidR="00755C30">
        <w:rPr>
          <w:rStyle w:val="FootnoteReference"/>
          <w:rFonts w:cstheme="minorHAnsi"/>
        </w:rPr>
        <w:footnoteReference w:id="4"/>
      </w:r>
    </w:p>
    <w:p w:rsidR="001C2530" w:rsidRDefault="001C2530" w:rsidP="00430439">
      <w:pPr>
        <w:pStyle w:val="ListParagraph"/>
        <w:rPr>
          <w:rFonts w:cstheme="minorHAnsi"/>
        </w:rPr>
      </w:pPr>
    </w:p>
    <w:p w:rsidR="0074361B" w:rsidRPr="00AC577D" w:rsidRDefault="0074361B" w:rsidP="00682F01">
      <w:pPr>
        <w:suppressAutoHyphens w:val="0"/>
        <w:autoSpaceDE w:val="0"/>
        <w:autoSpaceDN w:val="0"/>
        <w:adjustRightInd w:val="0"/>
        <w:spacing w:before="0" w:after="160" w:line="240" w:lineRule="auto"/>
        <w:jc w:val="both"/>
        <w:rPr>
          <w:rFonts w:eastAsia="Calibri" w:cstheme="minorHAnsi"/>
          <w:b/>
          <w:color w:val="auto"/>
          <w:sz w:val="24"/>
          <w:szCs w:val="24"/>
          <w:lang w:val="en-AU"/>
        </w:rPr>
      </w:pPr>
      <w:r w:rsidRPr="00AC577D">
        <w:rPr>
          <w:rFonts w:eastAsia="Calibri" w:cstheme="minorHAnsi"/>
          <w:b/>
          <w:iCs/>
          <w:color w:val="auto"/>
          <w:sz w:val="24"/>
          <w:szCs w:val="24"/>
          <w:lang w:val="en-AU"/>
        </w:rPr>
        <w:t>Improved civil service performance and strengthened democratic institutions</w:t>
      </w: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Through funding from the Institutional Partnerships Program (IPP)</w:t>
      </w:r>
      <w:r w:rsidR="004A5FAB">
        <w:rPr>
          <w:rFonts w:eastAsia="Calibri" w:cstheme="minorHAnsi"/>
          <w:lang w:val="en-AU"/>
        </w:rPr>
        <w:t xml:space="preserve"> </w:t>
      </w:r>
      <w:r w:rsidR="004A5FAB" w:rsidRPr="00755C30">
        <w:rPr>
          <w:rFonts w:eastAsia="Calibri" w:cstheme="minorHAnsi"/>
          <w:lang w:val="en-AU"/>
        </w:rPr>
        <w:t>(</w:t>
      </w:r>
      <w:r w:rsidR="004A5FAB" w:rsidRPr="00AE265E">
        <w:rPr>
          <w:rFonts w:eastAsia="Calibri" w:cstheme="minorHAnsi"/>
          <w:lang w:val="en-AU"/>
        </w:rPr>
        <w:t>201</w:t>
      </w:r>
      <w:r w:rsidR="00755C30" w:rsidRPr="00AE265E">
        <w:rPr>
          <w:rFonts w:eastAsia="Calibri" w:cstheme="minorHAnsi"/>
          <w:lang w:val="en-AU"/>
        </w:rPr>
        <w:t>4-2010</w:t>
      </w:r>
      <w:r w:rsidR="004A5FAB" w:rsidRPr="00AE265E">
        <w:rPr>
          <w:rFonts w:eastAsia="Calibri" w:cstheme="minorHAnsi"/>
          <w:lang w:val="en-AU"/>
        </w:rPr>
        <w:t>, $</w:t>
      </w:r>
      <w:r w:rsidR="00755C30" w:rsidRPr="00AE265E">
        <w:rPr>
          <w:rFonts w:eastAsia="Calibri" w:cstheme="minorHAnsi"/>
          <w:lang w:val="en-AU"/>
        </w:rPr>
        <w:t>9.5 million</w:t>
      </w:r>
      <w:r w:rsidR="004A5FAB" w:rsidRPr="00AE265E">
        <w:rPr>
          <w:rFonts w:eastAsia="Calibri" w:cstheme="minorHAnsi"/>
          <w:lang w:val="en-AU"/>
        </w:rPr>
        <w:t>)</w:t>
      </w:r>
      <w:r w:rsidRPr="00AE265E">
        <w:rPr>
          <w:rFonts w:eastAsia="Calibri" w:cstheme="minorHAnsi"/>
          <w:lang w:val="en-AU"/>
        </w:rPr>
        <w:t>,</w:t>
      </w:r>
      <w:r w:rsidRPr="00B21BA9">
        <w:rPr>
          <w:rFonts w:eastAsia="Calibri" w:cstheme="minorHAnsi"/>
          <w:lang w:val="en-AU"/>
        </w:rPr>
        <w:t xml:space="preserve"> good progress was made in the area of </w:t>
      </w:r>
      <w:r w:rsidRPr="00B21BA9">
        <w:rPr>
          <w:rFonts w:eastAsia="Calibri" w:cstheme="minorHAnsi"/>
          <w:i/>
          <w:iCs/>
          <w:lang w:val="en-AU"/>
        </w:rPr>
        <w:t xml:space="preserve">improved civil service performance </w:t>
      </w:r>
      <w:r w:rsidRPr="00B21BA9">
        <w:rPr>
          <w:rFonts w:eastAsia="Calibri" w:cstheme="minorHAnsi"/>
          <w:iCs/>
          <w:lang w:val="en-AU"/>
        </w:rPr>
        <w:t>over the APPR reporting period</w:t>
      </w:r>
      <w:r w:rsidRPr="00B21BA9">
        <w:rPr>
          <w:rFonts w:eastAsia="Calibri" w:cstheme="minorHAnsi"/>
          <w:lang w:val="en-AU"/>
        </w:rPr>
        <w:t xml:space="preserve">. Of particular note was the finalisation of the last of 16 key GoF ministries functional and capacity reviews by the </w:t>
      </w:r>
      <w:r w:rsidR="006F089F">
        <w:rPr>
          <w:rFonts w:eastAsia="Calibri" w:cstheme="minorHAnsi"/>
          <w:lang w:val="en-AU"/>
        </w:rPr>
        <w:t>WB</w:t>
      </w:r>
      <w:r w:rsidRPr="00B21BA9">
        <w:rPr>
          <w:rFonts w:eastAsia="Calibri" w:cstheme="minorHAnsi"/>
          <w:lang w:val="en-AU"/>
        </w:rPr>
        <w:t xml:space="preserve"> and the release of the final of five key central guidelines (Open Merit Recruitment, Job Evaluation, discipline, performance management and learning and development) to guide human resource practices. The guidelines were originally drafted by the </w:t>
      </w:r>
      <w:r w:rsidR="006F089F">
        <w:rPr>
          <w:rFonts w:eastAsia="Calibri" w:cstheme="minorHAnsi"/>
          <w:lang w:val="en-AU"/>
        </w:rPr>
        <w:t>W</w:t>
      </w:r>
      <w:r w:rsidR="0023750D">
        <w:rPr>
          <w:rFonts w:eastAsia="Calibri" w:cstheme="minorHAnsi"/>
          <w:lang w:val="en-AU"/>
        </w:rPr>
        <w:t>B with</w:t>
      </w:r>
      <w:r w:rsidRPr="00B21BA9">
        <w:rPr>
          <w:rFonts w:eastAsia="Calibri" w:cstheme="minorHAnsi"/>
          <w:lang w:val="en-AU"/>
        </w:rPr>
        <w:t xml:space="preserve"> DFAT funding.    </w:t>
      </w: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Further key achievements supported through Australian assistance were:</w:t>
      </w:r>
    </w:p>
    <w:p w:rsidR="0074361B" w:rsidRPr="00B21BA9" w:rsidRDefault="0074361B" w:rsidP="00591C2E">
      <w:pPr>
        <w:numPr>
          <w:ilvl w:val="0"/>
          <w:numId w:val="11"/>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 xml:space="preserve">A revised planning guide </w:t>
      </w:r>
      <w:r w:rsidR="00086E04">
        <w:rPr>
          <w:rFonts w:eastAsia="Calibri" w:cstheme="minorHAnsi"/>
          <w:lang w:val="en-AU"/>
        </w:rPr>
        <w:t>for</w:t>
      </w:r>
      <w:r w:rsidRPr="00B21BA9">
        <w:rPr>
          <w:rFonts w:eastAsia="Calibri" w:cstheme="minorHAnsi"/>
          <w:lang w:val="en-AU"/>
        </w:rPr>
        <w:t xml:space="preserve"> all Ministries</w:t>
      </w:r>
    </w:p>
    <w:p w:rsidR="0074361B" w:rsidRPr="00B21BA9" w:rsidRDefault="0074361B" w:rsidP="00591C2E">
      <w:pPr>
        <w:numPr>
          <w:ilvl w:val="0"/>
          <w:numId w:val="12"/>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 xml:space="preserve">Improved implementation of discipline guidelines leading to reduced tribunal hearings </w:t>
      </w:r>
    </w:p>
    <w:p w:rsidR="0074361B" w:rsidRPr="00B21BA9" w:rsidRDefault="0074361B" w:rsidP="00591C2E">
      <w:pPr>
        <w:numPr>
          <w:ilvl w:val="0"/>
          <w:numId w:val="12"/>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GoF acceptance of a report outlining a new structure to improve service delivery for the Ministry of Education</w:t>
      </w:r>
    </w:p>
    <w:p w:rsidR="0074361B" w:rsidRPr="00B21BA9" w:rsidRDefault="0074361B" w:rsidP="00591C2E">
      <w:pPr>
        <w:numPr>
          <w:ilvl w:val="0"/>
          <w:numId w:val="12"/>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The Fiji Bureau of Statistics releasing seasonally adjusted visitor arrival data for the first time in 2018</w:t>
      </w:r>
      <w:r w:rsidR="002532F3">
        <w:rPr>
          <w:rFonts w:eastAsia="Calibri" w:cstheme="minorHAnsi"/>
          <w:lang w:val="en-AU"/>
        </w:rPr>
        <w:t>.</w:t>
      </w: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 xml:space="preserve">With strong support from leaders within the </w:t>
      </w:r>
      <w:r w:rsidR="00D25DA0">
        <w:rPr>
          <w:rFonts w:eastAsia="Calibri" w:cstheme="minorHAnsi"/>
          <w:lang w:val="en-AU"/>
        </w:rPr>
        <w:t>GoF</w:t>
      </w:r>
      <w:r w:rsidRPr="00B21BA9">
        <w:rPr>
          <w:rFonts w:eastAsia="Calibri" w:cstheme="minorHAnsi"/>
          <w:lang w:val="en-AU"/>
        </w:rPr>
        <w:t xml:space="preserve">, including the Prime Minister and </w:t>
      </w:r>
      <w:r w:rsidR="00853457">
        <w:rPr>
          <w:rFonts w:eastAsia="Calibri" w:cstheme="minorHAnsi"/>
          <w:lang w:val="en-AU"/>
        </w:rPr>
        <w:t>Minister for Civil Service</w:t>
      </w:r>
      <w:r w:rsidRPr="00B21BA9">
        <w:rPr>
          <w:rFonts w:eastAsia="Calibri" w:cstheme="minorHAnsi"/>
          <w:lang w:val="en-AU"/>
        </w:rPr>
        <w:t xml:space="preserve">, the reforms are on track to achieve the </w:t>
      </w:r>
      <w:r w:rsidR="00D25DA0">
        <w:rPr>
          <w:rFonts w:eastAsia="Calibri" w:cstheme="minorHAnsi"/>
          <w:lang w:val="en-AU"/>
        </w:rPr>
        <w:t>GoF</w:t>
      </w:r>
      <w:r w:rsidRPr="00B21BA9">
        <w:rPr>
          <w:rFonts w:eastAsia="Calibri" w:cstheme="minorHAnsi"/>
          <w:lang w:val="en-AU"/>
        </w:rPr>
        <w:t>'s desired long-term outcome of improving the services provided to the public by civil servants.  Australian support has played an important role in helping to achieve this progress.</w:t>
      </w:r>
    </w:p>
    <w:p w:rsidR="0074361B" w:rsidRPr="00B21BA9" w:rsidRDefault="0074361B" w:rsidP="00FB6737">
      <w:pPr>
        <w:tabs>
          <w:tab w:val="left" w:pos="321"/>
        </w:tabs>
        <w:suppressAutoHyphens w:val="0"/>
        <w:autoSpaceDE w:val="0"/>
        <w:autoSpaceDN w:val="0"/>
        <w:adjustRightInd w:val="0"/>
        <w:spacing w:before="77" w:after="0" w:line="240" w:lineRule="auto"/>
        <w:ind w:left="360" w:right="518"/>
        <w:contextualSpacing/>
        <w:rPr>
          <w:rFonts w:eastAsia="Calibri" w:cstheme="minorHAnsi"/>
          <w:lang w:val="en-AU"/>
        </w:rPr>
      </w:pP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 xml:space="preserve">Through the IPP, Australia also partnered with the </w:t>
      </w:r>
      <w:r w:rsidR="005A7E23">
        <w:rPr>
          <w:rFonts w:eastAsia="Calibri" w:cstheme="minorHAnsi"/>
          <w:lang w:val="en-AU"/>
        </w:rPr>
        <w:t>ADB</w:t>
      </w:r>
      <w:r w:rsidRPr="00B21BA9">
        <w:rPr>
          <w:rFonts w:eastAsia="Calibri" w:cstheme="minorHAnsi"/>
          <w:lang w:val="en-AU"/>
        </w:rPr>
        <w:t xml:space="preserve"> to support implementation of the GoF’s </w:t>
      </w:r>
      <w:r w:rsidRPr="00B21BA9">
        <w:rPr>
          <w:rFonts w:eastAsia="Calibri" w:cstheme="minorHAnsi"/>
          <w:i/>
          <w:lang w:val="en-AU"/>
        </w:rPr>
        <w:t xml:space="preserve">Public Financial Management Improvement Programme. </w:t>
      </w:r>
      <w:r w:rsidRPr="00B21BA9">
        <w:rPr>
          <w:rFonts w:eastAsia="Calibri" w:cstheme="minorHAnsi"/>
          <w:lang w:val="en-AU"/>
        </w:rPr>
        <w:t xml:space="preserve">Key achievement under this pillar were </w:t>
      </w:r>
    </w:p>
    <w:p w:rsidR="0074361B" w:rsidRPr="00B21BA9" w:rsidRDefault="0074361B" w:rsidP="00591C2E">
      <w:pPr>
        <w:numPr>
          <w:ilvl w:val="0"/>
          <w:numId w:val="12"/>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A report with recommendation</w:t>
      </w:r>
      <w:r w:rsidR="005A7E23">
        <w:rPr>
          <w:rFonts w:eastAsia="Calibri" w:cstheme="minorHAnsi"/>
          <w:lang w:val="en-AU"/>
        </w:rPr>
        <w:t>s</w:t>
      </w:r>
      <w:r w:rsidRPr="00B21BA9">
        <w:rPr>
          <w:rFonts w:eastAsia="Calibri" w:cstheme="minorHAnsi"/>
          <w:lang w:val="en-AU"/>
        </w:rPr>
        <w:t xml:space="preserve"> on enhancing the functions of the Government Financial Management system was accepted by GoF</w:t>
      </w:r>
    </w:p>
    <w:p w:rsidR="00FB6737" w:rsidRPr="00B21BA9" w:rsidRDefault="0074361B" w:rsidP="00591C2E">
      <w:pPr>
        <w:numPr>
          <w:ilvl w:val="0"/>
          <w:numId w:val="12"/>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Technical advice was provided to help the GoF update its Chart of Accounts (CoA) and Financial Management Act (FMA)</w:t>
      </w:r>
      <w:r w:rsidR="002532F3">
        <w:rPr>
          <w:rFonts w:eastAsia="Calibri" w:cstheme="minorHAnsi"/>
          <w:lang w:val="en-AU"/>
        </w:rPr>
        <w:t>.</w:t>
      </w: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 xml:space="preserve">Strong progress was also made in the area of </w:t>
      </w:r>
      <w:r w:rsidRPr="00B21BA9">
        <w:rPr>
          <w:rFonts w:eastAsia="Calibri" w:cstheme="minorHAnsi"/>
          <w:i/>
          <w:iCs/>
          <w:lang w:val="en-AU"/>
        </w:rPr>
        <w:t>strengthened democratic institutions</w:t>
      </w:r>
      <w:r w:rsidRPr="00B21BA9">
        <w:rPr>
          <w:rFonts w:eastAsia="Calibri" w:cstheme="minorHAnsi"/>
          <w:iCs/>
          <w:lang w:val="en-AU"/>
        </w:rPr>
        <w:t>. Of particular note was</w:t>
      </w:r>
      <w:r w:rsidRPr="00B21BA9">
        <w:rPr>
          <w:rFonts w:eastAsia="Calibri" w:cstheme="minorHAnsi"/>
          <w:lang w:val="en-AU"/>
        </w:rPr>
        <w:t xml:space="preserve"> Australia’s support to the 2018 Fijian election.  Australia’s key aim of assisting Fijian electoral bodies to implement a transparent and credible election was achieved. The </w:t>
      </w:r>
      <w:r w:rsidR="009530CA">
        <w:rPr>
          <w:rFonts w:eastAsia="Calibri" w:cstheme="minorHAnsi"/>
          <w:lang w:val="en-AU"/>
        </w:rPr>
        <w:t xml:space="preserve">final report of the </w:t>
      </w:r>
      <w:r w:rsidRPr="00B21BA9">
        <w:rPr>
          <w:rFonts w:eastAsia="Calibri" w:cstheme="minorHAnsi"/>
          <w:lang w:val="en-AU"/>
        </w:rPr>
        <w:t>Multinational Observer Group (MOG)</w:t>
      </w:r>
      <w:r w:rsidR="005A7E23">
        <w:rPr>
          <w:rFonts w:eastAsia="Calibri" w:cstheme="minorHAnsi"/>
          <w:lang w:val="en-AU"/>
        </w:rPr>
        <w:t xml:space="preserve">, in which Australia was a co-lead, </w:t>
      </w:r>
      <w:r w:rsidRPr="00B21BA9">
        <w:rPr>
          <w:rFonts w:eastAsia="Calibri" w:cstheme="minorHAnsi"/>
          <w:lang w:val="en-AU"/>
        </w:rPr>
        <w:t>judged the 2018 election to be “transparent and credible overall, and the outcome broadly reflected the will of Fijian voters”. The MOG also judged that the “Fijian Elections Office (FEO) prepared for the election thoroughly, implementing a long-term strategy of improvement throughout the electoral cycle”.</w:t>
      </w:r>
      <w:r w:rsidR="005A7E23">
        <w:rPr>
          <w:rStyle w:val="FootnoteReference"/>
          <w:rFonts w:eastAsia="Calibri" w:cstheme="minorHAnsi"/>
          <w:lang w:val="en-AU"/>
        </w:rPr>
        <w:footnoteReference w:id="5"/>
      </w:r>
      <w:r w:rsidRPr="00B21BA9">
        <w:rPr>
          <w:rFonts w:eastAsia="Calibri" w:cstheme="minorHAnsi"/>
          <w:lang w:val="en-AU"/>
        </w:rPr>
        <w:t xml:space="preserve"> Australia was judged by the GoF to have </w:t>
      </w:r>
      <w:r w:rsidRPr="00086E04">
        <w:rPr>
          <w:rFonts w:eastAsia="Calibri" w:cstheme="minorHAnsi"/>
          <w:lang w:val="en-AU"/>
        </w:rPr>
        <w:t xml:space="preserve">provided </w:t>
      </w:r>
      <w:r w:rsidRPr="00086E04">
        <w:rPr>
          <w:rFonts w:eastAsia="Calibri" w:cstheme="minorHAnsi"/>
          <w:iCs/>
          <w:lang w:val="en-AU"/>
        </w:rPr>
        <w:t>excellent</w:t>
      </w:r>
      <w:r w:rsidRPr="00B21BA9">
        <w:rPr>
          <w:rFonts w:eastAsia="Calibri" w:cstheme="minorHAnsi"/>
          <w:lang w:val="en-AU"/>
        </w:rPr>
        <w:t xml:space="preserve"> support through its direct technical advisers and the Australian </w:t>
      </w:r>
      <w:r w:rsidR="005A7E23">
        <w:rPr>
          <w:rFonts w:eastAsia="Calibri" w:cstheme="minorHAnsi"/>
          <w:lang w:val="en-AU"/>
        </w:rPr>
        <w:t>E</w:t>
      </w:r>
      <w:r w:rsidRPr="00B21BA9">
        <w:rPr>
          <w:rFonts w:eastAsia="Calibri" w:cstheme="minorHAnsi"/>
          <w:lang w:val="en-AU"/>
        </w:rPr>
        <w:t xml:space="preserve">lectoral Commission (AEC). In addition, Australia’s support for MOG logistics ensured this </w:t>
      </w:r>
      <w:r w:rsidRPr="00B21BA9">
        <w:rPr>
          <w:rFonts w:eastAsia="Calibri" w:cstheme="minorHAnsi"/>
          <w:lang w:val="en-AU"/>
        </w:rPr>
        <w:lastRenderedPageBreak/>
        <w:t xml:space="preserve">important group was able to observe every aspect of the 2018 election, providing the Fijian public </w:t>
      </w:r>
      <w:r w:rsidR="00086E04">
        <w:rPr>
          <w:rFonts w:eastAsia="Calibri" w:cstheme="minorHAnsi"/>
          <w:lang w:val="en-AU"/>
        </w:rPr>
        <w:t>confidence</w:t>
      </w:r>
      <w:r w:rsidRPr="00B21BA9">
        <w:rPr>
          <w:rFonts w:eastAsia="Calibri" w:cstheme="minorHAnsi"/>
          <w:lang w:val="en-AU"/>
        </w:rPr>
        <w:t xml:space="preserve"> in the robustness of electoral processes. </w:t>
      </w: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Australia also co-financed the United Nations Development Programme (UNDP) to undertake extensive and well received training for newly elected members of Parliament in key areas such as:</w:t>
      </w:r>
    </w:p>
    <w:p w:rsidR="0074361B" w:rsidRPr="00B21BA9" w:rsidRDefault="0074361B" w:rsidP="00591C2E">
      <w:pPr>
        <w:numPr>
          <w:ilvl w:val="0"/>
          <w:numId w:val="12"/>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General induction training on their roles as Parliamentarians</w:t>
      </w:r>
    </w:p>
    <w:p w:rsidR="0074361B" w:rsidRPr="00B21BA9" w:rsidRDefault="0074361B" w:rsidP="00591C2E">
      <w:pPr>
        <w:numPr>
          <w:ilvl w:val="0"/>
          <w:numId w:val="12"/>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Specific training to help M</w:t>
      </w:r>
      <w:r w:rsidR="005A7E23">
        <w:rPr>
          <w:rFonts w:eastAsia="Calibri" w:cstheme="minorHAnsi"/>
          <w:lang w:val="en-AU"/>
        </w:rPr>
        <w:t>embers of Parliam</w:t>
      </w:r>
      <w:r w:rsidR="009530CA">
        <w:rPr>
          <w:rFonts w:eastAsia="Calibri" w:cstheme="minorHAnsi"/>
          <w:lang w:val="en-AU"/>
        </w:rPr>
        <w:t>ent</w:t>
      </w:r>
      <w:r w:rsidRPr="00B21BA9">
        <w:rPr>
          <w:rFonts w:eastAsia="Calibri" w:cstheme="minorHAnsi"/>
          <w:lang w:val="en-AU"/>
        </w:rPr>
        <w:t xml:space="preserve"> understand the Fijian Parliament Standing Orders</w:t>
      </w:r>
    </w:p>
    <w:p w:rsidR="0074361B" w:rsidRPr="00B21BA9" w:rsidRDefault="0074361B" w:rsidP="00591C2E">
      <w:pPr>
        <w:numPr>
          <w:ilvl w:val="0"/>
          <w:numId w:val="12"/>
        </w:num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r w:rsidRPr="00B21BA9">
        <w:rPr>
          <w:rFonts w:eastAsia="Calibri" w:cstheme="minorHAnsi"/>
          <w:lang w:val="en-AU"/>
        </w:rPr>
        <w:t>Specific training for the importan</w:t>
      </w:r>
      <w:r w:rsidR="001076C6">
        <w:rPr>
          <w:rFonts w:eastAsia="Calibri" w:cstheme="minorHAnsi"/>
          <w:lang w:val="en-AU"/>
        </w:rPr>
        <w:t>t work of the Fijian Parliament</w:t>
      </w:r>
      <w:r w:rsidRPr="00B21BA9">
        <w:rPr>
          <w:rFonts w:eastAsia="Calibri" w:cstheme="minorHAnsi"/>
          <w:lang w:val="en-AU"/>
        </w:rPr>
        <w:t xml:space="preserve"> Standing Committees</w:t>
      </w:r>
      <w:r w:rsidR="002532F3">
        <w:rPr>
          <w:rFonts w:eastAsia="Calibri" w:cstheme="minorHAnsi"/>
          <w:lang w:val="en-AU"/>
        </w:rPr>
        <w:t>.</w:t>
      </w:r>
    </w:p>
    <w:p w:rsidR="0074361B" w:rsidRPr="00B21BA9" w:rsidRDefault="0074361B" w:rsidP="00FB6737">
      <w:pPr>
        <w:tabs>
          <w:tab w:val="left" w:pos="321"/>
        </w:tabs>
        <w:suppressAutoHyphens w:val="0"/>
        <w:autoSpaceDE w:val="0"/>
        <w:autoSpaceDN w:val="0"/>
        <w:adjustRightInd w:val="0"/>
        <w:spacing w:before="77" w:after="0" w:line="240" w:lineRule="auto"/>
        <w:ind w:right="518"/>
        <w:contextualSpacing/>
        <w:rPr>
          <w:rFonts w:eastAsia="Calibri" w:cstheme="minorHAnsi"/>
          <w:lang w:val="en-AU"/>
        </w:rPr>
      </w:pPr>
    </w:p>
    <w:p w:rsidR="0074361B" w:rsidRPr="00B21BA9" w:rsidRDefault="0074361B" w:rsidP="00FB6737">
      <w:pPr>
        <w:suppressAutoHyphens w:val="0"/>
        <w:spacing w:before="0" w:after="160" w:line="259" w:lineRule="auto"/>
        <w:rPr>
          <w:rFonts w:eastAsia="Calibri" w:cstheme="minorHAnsi"/>
          <w:iCs/>
          <w:lang w:val="en-AU"/>
        </w:rPr>
      </w:pPr>
      <w:r w:rsidRPr="00B21BA9">
        <w:rPr>
          <w:rFonts w:eastAsia="Calibri" w:cstheme="minorHAnsi"/>
          <w:iCs/>
          <w:lang w:val="en-AU"/>
        </w:rPr>
        <w:t xml:space="preserve">A key achievement for the IPP was that 80 per cent of long term technical advisers funded under this work stream during the reporting period were judged by the GoF to have provided good or excellent support. </w:t>
      </w:r>
      <w:r w:rsidR="00086E04">
        <w:rPr>
          <w:rFonts w:eastAsia="Calibri" w:cstheme="minorHAnsi"/>
          <w:iCs/>
          <w:lang w:val="en-AU"/>
        </w:rPr>
        <w:t>T</w:t>
      </w:r>
      <w:r w:rsidRPr="00B21BA9">
        <w:rPr>
          <w:rFonts w:eastAsia="Calibri" w:cstheme="minorHAnsi"/>
          <w:iCs/>
          <w:lang w:val="en-AU"/>
        </w:rPr>
        <w:t>here is room for improvement in the incorporation of cross-cutting issues into all aspects of this work</w:t>
      </w:r>
      <w:r w:rsidR="005A7E23">
        <w:rPr>
          <w:rFonts w:eastAsia="Calibri" w:cstheme="minorHAnsi"/>
          <w:iCs/>
          <w:lang w:val="en-AU"/>
        </w:rPr>
        <w:t>. A</w:t>
      </w:r>
      <w:r w:rsidRPr="00B21BA9">
        <w:rPr>
          <w:rFonts w:eastAsia="Calibri" w:cstheme="minorHAnsi"/>
          <w:iCs/>
          <w:lang w:val="en-AU"/>
        </w:rPr>
        <w:t xml:space="preserve"> new design is under way, which will look at how to more effectively integrate gender/social inclusion considerations into a next phase of the Governance program.</w:t>
      </w:r>
    </w:p>
    <w:p w:rsidR="0072170F" w:rsidRPr="00CF62AE" w:rsidRDefault="0072170F" w:rsidP="0072170F">
      <w:pPr>
        <w:spacing w:before="240"/>
        <w:rPr>
          <w:rFonts w:asciiTheme="majorHAnsi" w:eastAsiaTheme="majorEastAsia" w:hAnsiTheme="majorHAnsi" w:cstheme="majorBidi"/>
          <w:caps/>
          <w:color w:val="FF0000"/>
          <w:sz w:val="32"/>
          <w:szCs w:val="32"/>
        </w:rPr>
      </w:pPr>
      <w:r w:rsidRPr="00877607">
        <w:rPr>
          <w:rFonts w:asciiTheme="majorHAnsi" w:eastAsiaTheme="majorEastAsia" w:hAnsiTheme="majorHAnsi" w:cstheme="majorBidi"/>
          <w:caps/>
          <w:sz w:val="32"/>
          <w:szCs w:val="32"/>
        </w:rPr>
        <w:t>Objective 2</w:t>
      </w:r>
      <w:r w:rsidR="001270D0">
        <w:rPr>
          <w:rFonts w:asciiTheme="majorHAnsi" w:eastAsiaTheme="majorEastAsia" w:hAnsiTheme="majorHAnsi" w:cstheme="majorBidi"/>
          <w:caps/>
          <w:sz w:val="32"/>
          <w:szCs w:val="32"/>
        </w:rPr>
        <w:t xml:space="preserve"> – improved human Development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72170F" w:rsidRPr="00695730" w:rsidTr="00D05246">
        <w:tc>
          <w:tcPr>
            <w:tcW w:w="2016" w:type="dxa"/>
          </w:tcPr>
          <w:p w:rsidR="0072170F" w:rsidRPr="00695730" w:rsidRDefault="0072170F" w:rsidP="00D0524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6DCB53D" wp14:editId="0C21DD80">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9">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A3B2031" wp14:editId="194E9D1E">
                  <wp:extent cx="609600" cy="609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77EE4CE8" wp14:editId="0C09454A">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5AB3D5AA" wp14:editId="4018B3EC">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0EBB446C" wp14:editId="413C94FD">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AB1976" w:rsidRPr="00927E08" w:rsidRDefault="00AB1976" w:rsidP="00AB1976">
      <w:pPr>
        <w:rPr>
          <w:rFonts w:cstheme="minorHAnsi"/>
          <w:b/>
        </w:rPr>
      </w:pPr>
      <w:r>
        <w:rPr>
          <w:rFonts w:cstheme="minorHAnsi"/>
          <w:b/>
        </w:rPr>
        <w:t xml:space="preserve">Rating for this objective: </w:t>
      </w:r>
    </w:p>
    <w:p w:rsidR="00962DC8" w:rsidRPr="000834AE" w:rsidRDefault="00962DC8" w:rsidP="009C24CE">
      <w:pPr>
        <w:spacing w:line="240" w:lineRule="auto"/>
        <w:rPr>
          <w:rFonts w:cstheme="minorHAnsi"/>
        </w:rPr>
      </w:pPr>
      <w:r w:rsidRPr="000834AE">
        <w:rPr>
          <w:rFonts w:cstheme="minorHAnsi"/>
        </w:rPr>
        <w:t xml:space="preserve">There are </w:t>
      </w:r>
      <w:r w:rsidR="00407EDB" w:rsidRPr="000834AE">
        <w:rPr>
          <w:rFonts w:cstheme="minorHAnsi"/>
        </w:rPr>
        <w:t xml:space="preserve">four </w:t>
      </w:r>
      <w:r w:rsidRPr="000834AE">
        <w:rPr>
          <w:rFonts w:cstheme="minorHAnsi"/>
        </w:rPr>
        <w:t>sub</w:t>
      </w:r>
      <w:r w:rsidR="005A7E23">
        <w:rPr>
          <w:rFonts w:cstheme="minorHAnsi"/>
        </w:rPr>
        <w:t>-</w:t>
      </w:r>
      <w:r w:rsidRPr="000834AE">
        <w:rPr>
          <w:rFonts w:cstheme="minorHAnsi"/>
        </w:rPr>
        <w:t>o</w:t>
      </w:r>
      <w:r w:rsidR="009C24CE" w:rsidRPr="000834AE">
        <w:rPr>
          <w:rFonts w:cstheme="minorHAnsi"/>
        </w:rPr>
        <w:t xml:space="preserve">bjectives under this objective: </w:t>
      </w:r>
      <w:r w:rsidRPr="000834AE">
        <w:rPr>
          <w:rFonts w:cstheme="minorHAnsi"/>
        </w:rPr>
        <w:t xml:space="preserve">Education </w:t>
      </w:r>
      <w:r w:rsidR="009C24CE" w:rsidRPr="000834AE">
        <w:rPr>
          <w:rFonts w:cstheme="minorHAnsi"/>
        </w:rPr>
        <w:t xml:space="preserve">Sector </w:t>
      </w:r>
      <w:r w:rsidRPr="000834AE">
        <w:rPr>
          <w:rFonts w:cstheme="minorHAnsi"/>
        </w:rPr>
        <w:t xml:space="preserve">Support, Health </w:t>
      </w:r>
      <w:r w:rsidR="009C24CE" w:rsidRPr="000834AE">
        <w:rPr>
          <w:rFonts w:cstheme="minorHAnsi"/>
        </w:rPr>
        <w:t xml:space="preserve">Sector </w:t>
      </w:r>
      <w:r w:rsidRPr="000834AE">
        <w:rPr>
          <w:rFonts w:cstheme="minorHAnsi"/>
        </w:rPr>
        <w:t>Support, Gender and Social Inclusion, and Climate and Disaster preparedness and response. The progress under each objective is detailed in Annex</w:t>
      </w:r>
      <w:r w:rsidR="004D3C5E" w:rsidRPr="00430439">
        <w:rPr>
          <w:rFonts w:cstheme="minorHAnsi"/>
        </w:rPr>
        <w:t xml:space="preserve"> E</w:t>
      </w:r>
      <w:r w:rsidRPr="000834AE">
        <w:rPr>
          <w:rFonts w:cstheme="minorHAnsi"/>
        </w:rPr>
        <w:t xml:space="preserve"> </w:t>
      </w:r>
      <w:r w:rsidR="004A5FAB" w:rsidRPr="000834AE">
        <w:rPr>
          <w:rFonts w:cstheme="minorHAnsi"/>
        </w:rPr>
        <w:t>a</w:t>
      </w:r>
      <w:r w:rsidRPr="000834AE">
        <w:rPr>
          <w:rFonts w:cstheme="minorHAnsi"/>
        </w:rPr>
        <w:t>nd summarised below.</w:t>
      </w:r>
    </w:p>
    <w:p w:rsidR="00962DC8" w:rsidRPr="00430439" w:rsidRDefault="009C24CE" w:rsidP="009C24CE">
      <w:pPr>
        <w:spacing w:line="240" w:lineRule="auto"/>
        <w:rPr>
          <w:rFonts w:cstheme="minorHAnsi"/>
          <w:b/>
        </w:rPr>
      </w:pPr>
      <w:r w:rsidRPr="00927E08">
        <w:rPr>
          <w:rFonts w:cstheme="minorHAnsi"/>
          <w:b/>
          <w:sz w:val="28"/>
          <w:szCs w:val="28"/>
        </w:rPr>
        <w:t xml:space="preserve">1. </w:t>
      </w:r>
      <w:r w:rsidR="00962DC8" w:rsidRPr="00430439">
        <w:rPr>
          <w:rFonts w:cstheme="minorHAnsi"/>
          <w:b/>
        </w:rPr>
        <w:t xml:space="preserve">Education </w:t>
      </w:r>
      <w:r w:rsidRPr="00430439">
        <w:rPr>
          <w:rFonts w:cstheme="minorHAnsi"/>
          <w:b/>
        </w:rPr>
        <w:t>Sector Support</w:t>
      </w:r>
    </w:p>
    <w:p w:rsidR="00A63A0F" w:rsidRDefault="00A63A0F" w:rsidP="00A63A0F">
      <w:pPr>
        <w:rPr>
          <w:b/>
        </w:rPr>
      </w:pPr>
      <w:r w:rsidRPr="00AD1178">
        <w:rPr>
          <w:b/>
        </w:rPr>
        <w:t>Outcome 1: Improved education access and qualit</w:t>
      </w:r>
      <w:r>
        <w:rPr>
          <w:b/>
        </w:rPr>
        <w:t>y</w:t>
      </w:r>
      <w:r w:rsidRPr="00AD1178">
        <w:rPr>
          <w:b/>
        </w:rPr>
        <w:t xml:space="preserve">, including for children with disabilities, in schools formerly supported by AQEP.   </w:t>
      </w:r>
    </w:p>
    <w:p w:rsidR="00A63A0F" w:rsidRPr="00C2074B" w:rsidRDefault="00A63A0F" w:rsidP="00A63A0F">
      <w:pPr>
        <w:rPr>
          <w:b/>
        </w:rPr>
      </w:pPr>
      <w:r w:rsidRPr="00197E5E">
        <w:rPr>
          <w:b/>
        </w:rPr>
        <w:t>Outcome 2</w:t>
      </w:r>
      <w:r>
        <w:rPr>
          <w:b/>
        </w:rPr>
        <w:t xml:space="preserve">:  </w:t>
      </w:r>
      <w:r w:rsidRPr="00C2074B">
        <w:rPr>
          <w:b/>
        </w:rPr>
        <w:t xml:space="preserve">Improved use of education management information </w:t>
      </w:r>
      <w:r>
        <w:rPr>
          <w:b/>
        </w:rPr>
        <w:t>system</w:t>
      </w:r>
    </w:p>
    <w:p w:rsidR="00A63A0F" w:rsidRPr="00162A67" w:rsidRDefault="00A63A0F" w:rsidP="00A63A0F">
      <w:pPr>
        <w:rPr>
          <w:rFonts w:cstheme="minorHAnsi"/>
        </w:rPr>
      </w:pPr>
      <w:r w:rsidRPr="00162A67">
        <w:rPr>
          <w:rFonts w:cstheme="minorHAnsi"/>
        </w:rPr>
        <w:t>Education quality remains a priority issue in Fiji. The Government has an ambitious agenda to strengthen Fiji’s education;</w:t>
      </w:r>
      <w:r w:rsidRPr="00162A67">
        <w:rPr>
          <w:rFonts w:cstheme="minorHAnsi"/>
          <w:iCs/>
          <w:color w:val="1F497D"/>
        </w:rPr>
        <w:t xml:space="preserve"> </w:t>
      </w:r>
      <w:r w:rsidRPr="00162A67">
        <w:rPr>
          <w:rFonts w:cstheme="minorHAnsi"/>
        </w:rPr>
        <w:t>the</w:t>
      </w:r>
      <w:r w:rsidRPr="00162A67">
        <w:rPr>
          <w:rFonts w:cstheme="minorHAnsi"/>
          <w:iCs/>
          <w:color w:val="1F497D"/>
        </w:rPr>
        <w:t xml:space="preserve"> </w:t>
      </w:r>
      <w:r w:rsidRPr="00162A67">
        <w:rPr>
          <w:rFonts w:cstheme="minorHAnsi"/>
        </w:rPr>
        <w:t>NDP recognises the importance of a quality education for the creation of a skilled and adaptable workforce in a knowledge-based society, which in turn boosts productivity and economic growth</w:t>
      </w:r>
      <w:r w:rsidR="00420F38">
        <w:rPr>
          <w:rFonts w:cstheme="minorHAnsi"/>
        </w:rPr>
        <w:t>.</w:t>
      </w:r>
      <w:r w:rsidR="00A22848" w:rsidRPr="00A22848">
        <w:t xml:space="preserve"> </w:t>
      </w:r>
      <w:r w:rsidR="00A22848">
        <w:t xml:space="preserve">At the individual level, each additional year of schooling typically raises an individual’s earnings by </w:t>
      </w:r>
      <w:r w:rsidR="005A7E23">
        <w:t xml:space="preserve">eight to </w:t>
      </w:r>
      <w:r w:rsidR="009530CA">
        <w:t>ten</w:t>
      </w:r>
      <w:r w:rsidR="00A22848">
        <w:t xml:space="preserve"> per cent, with larger increases for women</w:t>
      </w:r>
      <w:r w:rsidR="00086E04">
        <w:t>.</w:t>
      </w:r>
      <w:r w:rsidR="00A22848">
        <w:rPr>
          <w:rStyle w:val="FootnoteReference"/>
        </w:rPr>
        <w:footnoteReference w:id="6"/>
      </w:r>
      <w:r w:rsidR="00086E04">
        <w:rPr>
          <w:rFonts w:cstheme="minorHAnsi"/>
        </w:rPr>
        <w:t xml:space="preserve"> </w:t>
      </w:r>
      <w:r w:rsidRPr="00162A67">
        <w:rPr>
          <w:rFonts w:cstheme="minorHAnsi"/>
        </w:rPr>
        <w:t xml:space="preserve"> A new strategy for 2019-2023 is currently being finalised by MEHA.  The 2018 end of program evaluation of AQEP found that education outcomes would be enhanced by support for national systems as well as inputs at the school level.  Australia’s new education program, which aims to achieve a better balance between supporting government systems and service delivery </w:t>
      </w:r>
      <w:r w:rsidR="00F145A7">
        <w:rPr>
          <w:rFonts w:cstheme="minorHAnsi"/>
        </w:rPr>
        <w:t>will assist</w:t>
      </w:r>
      <w:r w:rsidRPr="00162A67">
        <w:rPr>
          <w:rFonts w:cstheme="minorHAnsi"/>
        </w:rPr>
        <w:t xml:space="preserve"> Fiji </w:t>
      </w:r>
      <w:r w:rsidR="005A7E23">
        <w:rPr>
          <w:rFonts w:cstheme="minorHAnsi"/>
        </w:rPr>
        <w:t xml:space="preserve">to </w:t>
      </w:r>
      <w:r w:rsidRPr="00162A67">
        <w:rPr>
          <w:rFonts w:cstheme="minorHAnsi"/>
        </w:rPr>
        <w:t xml:space="preserve">achieve its education agenda. </w:t>
      </w:r>
    </w:p>
    <w:p w:rsidR="00A63A0F" w:rsidRPr="00162A67" w:rsidRDefault="00A63A0F" w:rsidP="00A63A0F">
      <w:pPr>
        <w:spacing w:line="240" w:lineRule="auto"/>
        <w:rPr>
          <w:rFonts w:cstheme="minorHAnsi"/>
          <w:bCs/>
          <w:lang w:val="en-US"/>
        </w:rPr>
      </w:pPr>
      <w:r w:rsidRPr="00162A67">
        <w:rPr>
          <w:rFonts w:cstheme="minorHAnsi"/>
        </w:rPr>
        <w:t>Australia’s support to Fi</w:t>
      </w:r>
      <w:r w:rsidR="00F145A7">
        <w:rPr>
          <w:rFonts w:cstheme="minorHAnsi"/>
        </w:rPr>
        <w:t>ji’s Education Sector is a five-</w:t>
      </w:r>
      <w:r w:rsidRPr="00162A67">
        <w:rPr>
          <w:rFonts w:cstheme="minorHAnsi"/>
        </w:rPr>
        <w:t>year program (</w:t>
      </w:r>
      <w:r w:rsidR="005A7E23">
        <w:rPr>
          <w:rFonts w:cstheme="minorHAnsi"/>
        </w:rPr>
        <w:t xml:space="preserve">Education Program; </w:t>
      </w:r>
      <w:r w:rsidRPr="00162A67">
        <w:rPr>
          <w:rFonts w:cstheme="minorHAnsi"/>
        </w:rPr>
        <w:t>2017-2022) of up to AU$25million and administered by the Fiji Program Support Facility</w:t>
      </w:r>
      <w:r w:rsidR="00F739F3">
        <w:rPr>
          <w:rFonts w:cstheme="minorHAnsi"/>
        </w:rPr>
        <w:t xml:space="preserve"> (Facility)</w:t>
      </w:r>
      <w:r w:rsidRPr="00162A67">
        <w:rPr>
          <w:rFonts w:cstheme="minorHAnsi"/>
        </w:rPr>
        <w:t xml:space="preserve">. </w:t>
      </w:r>
      <w:r w:rsidRPr="00162A67">
        <w:rPr>
          <w:rFonts w:cstheme="minorHAnsi"/>
          <w:bCs/>
          <w:lang w:val="en-US"/>
        </w:rPr>
        <w:t xml:space="preserve">The </w:t>
      </w:r>
      <w:r w:rsidR="005A7E23">
        <w:rPr>
          <w:rFonts w:cstheme="minorHAnsi"/>
          <w:bCs/>
          <w:lang w:val="en-US"/>
        </w:rPr>
        <w:t xml:space="preserve">Education </w:t>
      </w:r>
      <w:r w:rsidRPr="00162A67">
        <w:rPr>
          <w:rFonts w:cstheme="minorHAnsi"/>
          <w:bCs/>
          <w:lang w:val="en-US"/>
        </w:rPr>
        <w:t>Program currently focuses MEHA</w:t>
      </w:r>
      <w:r w:rsidR="005A7E23">
        <w:rPr>
          <w:rFonts w:cstheme="minorHAnsi"/>
          <w:bCs/>
          <w:lang w:val="en-US"/>
        </w:rPr>
        <w:t>’s</w:t>
      </w:r>
      <w:r w:rsidRPr="00162A67">
        <w:rPr>
          <w:rFonts w:cstheme="minorHAnsi"/>
          <w:bCs/>
          <w:lang w:val="en-US"/>
        </w:rPr>
        <w:t xml:space="preserve"> strategic priorities of systems strengthening, teacher preparation and development, literacy and numeracy, inclusive education, and the Fiji Education Management Information System (FEMIS); as well as supporting the </w:t>
      </w:r>
      <w:r w:rsidR="00D25DA0">
        <w:rPr>
          <w:rFonts w:cstheme="minorHAnsi"/>
          <w:bCs/>
          <w:lang w:val="en-US"/>
        </w:rPr>
        <w:t>GoF</w:t>
      </w:r>
      <w:r w:rsidRPr="00162A67">
        <w:rPr>
          <w:rFonts w:cstheme="minorHAnsi"/>
          <w:bCs/>
          <w:lang w:val="en-US"/>
        </w:rPr>
        <w:t xml:space="preserve">’s civil service reforms in the education sector.  There may be a re-alignment of priorities once the new Strategic Plan is endorsed by </w:t>
      </w:r>
      <w:r w:rsidR="005A7E23">
        <w:rPr>
          <w:rFonts w:cstheme="minorHAnsi"/>
          <w:bCs/>
          <w:lang w:val="en-US"/>
        </w:rPr>
        <w:t xml:space="preserve">Fiji’s </w:t>
      </w:r>
      <w:r w:rsidRPr="00162A67">
        <w:rPr>
          <w:rFonts w:cstheme="minorHAnsi"/>
          <w:bCs/>
          <w:lang w:val="en-US"/>
        </w:rPr>
        <w:t>Cabinet.</w:t>
      </w:r>
      <w:r w:rsidR="00E423AC">
        <w:rPr>
          <w:rFonts w:cstheme="minorHAnsi"/>
          <w:bCs/>
          <w:lang w:val="en-US"/>
        </w:rPr>
        <w:t xml:space="preserve">  A key strength of the </w:t>
      </w:r>
      <w:r w:rsidR="00F739F3">
        <w:rPr>
          <w:rFonts w:cstheme="minorHAnsi"/>
          <w:bCs/>
          <w:lang w:val="en-US"/>
        </w:rPr>
        <w:lastRenderedPageBreak/>
        <w:t>F</w:t>
      </w:r>
      <w:r w:rsidR="00E423AC">
        <w:rPr>
          <w:rFonts w:cstheme="minorHAnsi"/>
          <w:bCs/>
          <w:lang w:val="en-US"/>
        </w:rPr>
        <w:t>acility has been its responsiveness to GoF priorit</w:t>
      </w:r>
      <w:r w:rsidR="00F145A7">
        <w:rPr>
          <w:rFonts w:cstheme="minorHAnsi"/>
          <w:bCs/>
          <w:lang w:val="en-US"/>
        </w:rPr>
        <w:t>ies</w:t>
      </w:r>
      <w:r w:rsidR="00E423AC">
        <w:rPr>
          <w:rFonts w:cstheme="minorHAnsi"/>
          <w:bCs/>
          <w:lang w:val="en-US"/>
        </w:rPr>
        <w:t xml:space="preserve">.  Our support to Fiji’s education sector in the reporting period has directly aligned with the immediate priorities of GoF, cementing our credibility as the partner of choice for Fiji’s education reforms. </w:t>
      </w:r>
    </w:p>
    <w:p w:rsidR="00A63A0F" w:rsidRPr="00162A67" w:rsidRDefault="00A63A0F" w:rsidP="00A63A0F">
      <w:pPr>
        <w:spacing w:line="240" w:lineRule="auto"/>
        <w:rPr>
          <w:rFonts w:cstheme="minorHAnsi"/>
        </w:rPr>
      </w:pPr>
      <w:r w:rsidRPr="00162A67">
        <w:rPr>
          <w:rFonts w:cstheme="minorHAnsi"/>
        </w:rPr>
        <w:t xml:space="preserve">During the reporting period, Australia operated flexibly, delivering a range of transitional activities which responded to Fiji’s education priorities while awaiting the finalisation of the </w:t>
      </w:r>
      <w:r w:rsidR="00F145A7">
        <w:rPr>
          <w:rFonts w:cstheme="minorHAnsi"/>
        </w:rPr>
        <w:t>four-</w:t>
      </w:r>
      <w:r w:rsidR="007807A6">
        <w:rPr>
          <w:rFonts w:cstheme="minorHAnsi"/>
        </w:rPr>
        <w:t xml:space="preserve">year plan for the new </w:t>
      </w:r>
      <w:r w:rsidR="005A7E23">
        <w:rPr>
          <w:rFonts w:cstheme="minorHAnsi"/>
          <w:bCs/>
          <w:lang w:val="en-US"/>
        </w:rPr>
        <w:t xml:space="preserve">Education </w:t>
      </w:r>
      <w:r w:rsidR="007807A6">
        <w:rPr>
          <w:rFonts w:cstheme="minorHAnsi"/>
        </w:rPr>
        <w:t xml:space="preserve">Program, </w:t>
      </w:r>
      <w:r w:rsidRPr="00162A67">
        <w:rPr>
          <w:rFonts w:cstheme="minorHAnsi"/>
        </w:rPr>
        <w:t>which was approved in November</w:t>
      </w:r>
      <w:r w:rsidR="007807A6">
        <w:rPr>
          <w:rFonts w:cstheme="minorHAnsi"/>
        </w:rPr>
        <w:t xml:space="preserve"> 2018</w:t>
      </w:r>
      <w:r w:rsidRPr="00162A67">
        <w:rPr>
          <w:rFonts w:cstheme="minorHAnsi"/>
        </w:rPr>
        <w:t xml:space="preserve">.  Activities undertaken have included foundational work to prepare for implementation, such as consultation processes to develop a Theory of Change and </w:t>
      </w:r>
      <w:r w:rsidR="00F145A7">
        <w:rPr>
          <w:rFonts w:cstheme="minorHAnsi"/>
        </w:rPr>
        <w:t>Monitoring, Evaluation and Learning Plan (MELP)</w:t>
      </w:r>
      <w:r w:rsidRPr="00162A67">
        <w:rPr>
          <w:rFonts w:cstheme="minorHAnsi"/>
        </w:rPr>
        <w:t xml:space="preserve">.  Responding to MEHA’s demand to support broader sectoral reform needs through Technical Assistance (TA) was the other key focus during this period, including a new focus on human resource management and remuneration reviews for MEHA. </w:t>
      </w:r>
    </w:p>
    <w:p w:rsidR="00A63A0F" w:rsidRPr="00162A67" w:rsidRDefault="00A63A0F" w:rsidP="00A63A0F">
      <w:pPr>
        <w:spacing w:line="240" w:lineRule="auto"/>
        <w:rPr>
          <w:rFonts w:cstheme="minorHAnsi"/>
        </w:rPr>
      </w:pPr>
      <w:r w:rsidRPr="00162A67">
        <w:rPr>
          <w:rFonts w:cstheme="minorHAnsi"/>
        </w:rPr>
        <w:t xml:space="preserve">Key achievements during this reporting period include: </w:t>
      </w:r>
    </w:p>
    <w:p w:rsidR="00A63A0F" w:rsidRPr="00F26FB4" w:rsidRDefault="00F145A7" w:rsidP="00591C2E">
      <w:pPr>
        <w:pStyle w:val="ListParagraph"/>
        <w:numPr>
          <w:ilvl w:val="0"/>
          <w:numId w:val="14"/>
        </w:numPr>
        <w:spacing w:after="160"/>
        <w:rPr>
          <w:rFonts w:cstheme="minorHAnsi"/>
        </w:rPr>
      </w:pPr>
      <w:r>
        <w:rPr>
          <w:rFonts w:asciiTheme="minorHAnsi" w:hAnsiTheme="minorHAnsi" w:cstheme="minorHAnsi"/>
          <w:color w:val="495965" w:themeColor="text2"/>
          <w:sz w:val="22"/>
          <w:szCs w:val="22"/>
        </w:rPr>
        <w:t>Flexible</w:t>
      </w:r>
      <w:r w:rsidR="00A63A0F" w:rsidRPr="00B869A8">
        <w:rPr>
          <w:rFonts w:asciiTheme="minorHAnsi" w:hAnsiTheme="minorHAnsi" w:cstheme="minorHAnsi"/>
          <w:color w:val="495965" w:themeColor="text2"/>
          <w:sz w:val="22"/>
          <w:szCs w:val="22"/>
        </w:rPr>
        <w:t xml:space="preserve"> and demand driven support through TA to MEHA</w:t>
      </w:r>
    </w:p>
    <w:p w:rsidR="00A63A0F" w:rsidRPr="00F26FB4" w:rsidRDefault="00F145A7" w:rsidP="00591C2E">
      <w:pPr>
        <w:pStyle w:val="ListParagraph"/>
        <w:numPr>
          <w:ilvl w:val="0"/>
          <w:numId w:val="14"/>
        </w:numPr>
        <w:spacing w:after="160"/>
        <w:rPr>
          <w:rFonts w:cstheme="minorHAnsi"/>
        </w:rPr>
      </w:pPr>
      <w:r>
        <w:rPr>
          <w:rFonts w:asciiTheme="minorHAnsi" w:hAnsiTheme="minorHAnsi" w:cstheme="minorHAnsi"/>
          <w:color w:val="495965" w:themeColor="text2"/>
          <w:sz w:val="22"/>
          <w:szCs w:val="22"/>
        </w:rPr>
        <w:t>A</w:t>
      </w:r>
      <w:r w:rsidR="00A63A0F" w:rsidRPr="00B869A8">
        <w:rPr>
          <w:rFonts w:asciiTheme="minorHAnsi" w:hAnsiTheme="minorHAnsi" w:cstheme="minorHAnsi"/>
          <w:color w:val="495965" w:themeColor="text2"/>
          <w:sz w:val="22"/>
          <w:szCs w:val="22"/>
        </w:rPr>
        <w:t xml:space="preserve"> close working relationship with MEHA</w:t>
      </w:r>
    </w:p>
    <w:p w:rsidR="00A63A0F" w:rsidRPr="00F26FB4" w:rsidRDefault="00A63A0F" w:rsidP="00591C2E">
      <w:pPr>
        <w:pStyle w:val="ListParagraph"/>
        <w:numPr>
          <w:ilvl w:val="0"/>
          <w:numId w:val="14"/>
        </w:numPr>
        <w:spacing w:after="160"/>
        <w:rPr>
          <w:rFonts w:cstheme="minorHAnsi"/>
        </w:rPr>
      </w:pPr>
      <w:r w:rsidRPr="00B869A8">
        <w:rPr>
          <w:rFonts w:asciiTheme="minorHAnsi" w:hAnsiTheme="minorHAnsi" w:cstheme="minorHAnsi"/>
          <w:color w:val="495965" w:themeColor="text2"/>
          <w:sz w:val="22"/>
          <w:szCs w:val="22"/>
        </w:rPr>
        <w:t>Successful uptak</w:t>
      </w:r>
      <w:r w:rsidR="00F145A7">
        <w:rPr>
          <w:rFonts w:asciiTheme="minorHAnsi" w:hAnsiTheme="minorHAnsi" w:cstheme="minorHAnsi"/>
          <w:color w:val="495965" w:themeColor="text2"/>
          <w:sz w:val="22"/>
          <w:szCs w:val="22"/>
        </w:rPr>
        <w:t>e by MEHA of AQEP best practice</w:t>
      </w:r>
      <w:r w:rsidRPr="00B869A8">
        <w:rPr>
          <w:rFonts w:asciiTheme="minorHAnsi" w:hAnsiTheme="minorHAnsi" w:cstheme="minorHAnsi"/>
          <w:color w:val="495965" w:themeColor="text2"/>
          <w:sz w:val="22"/>
          <w:szCs w:val="22"/>
        </w:rPr>
        <w:t xml:space="preserve"> in Literacy and Numeracy (allocated budget in national budgets since 2017/18 for training of all Years 1-4 teachers)</w:t>
      </w:r>
    </w:p>
    <w:p w:rsidR="00A63A0F" w:rsidRPr="00F26FB4" w:rsidRDefault="00A63A0F" w:rsidP="00591C2E">
      <w:pPr>
        <w:pStyle w:val="ListParagraph"/>
        <w:numPr>
          <w:ilvl w:val="0"/>
          <w:numId w:val="14"/>
        </w:numPr>
        <w:spacing w:after="160"/>
        <w:rPr>
          <w:rFonts w:cstheme="minorHAnsi"/>
        </w:rPr>
      </w:pPr>
      <w:r w:rsidRPr="00B869A8">
        <w:rPr>
          <w:rFonts w:asciiTheme="minorHAnsi" w:hAnsiTheme="minorHAnsi" w:cstheme="minorHAnsi"/>
          <w:color w:val="495965" w:themeColor="text2"/>
          <w:sz w:val="22"/>
          <w:szCs w:val="22"/>
        </w:rPr>
        <w:t xml:space="preserve">Learnings from Fiji – South-South cooperation, cross learnings and sharing of FEMIS sources codes in the area of education management information system with other Pacific countries </w:t>
      </w:r>
    </w:p>
    <w:p w:rsidR="00A63A0F" w:rsidRPr="00F26FB4" w:rsidRDefault="00A63A0F" w:rsidP="00591C2E">
      <w:pPr>
        <w:pStyle w:val="ListParagraph"/>
        <w:numPr>
          <w:ilvl w:val="0"/>
          <w:numId w:val="14"/>
        </w:numPr>
        <w:spacing w:after="160"/>
        <w:rPr>
          <w:rFonts w:cstheme="minorHAnsi"/>
        </w:rPr>
      </w:pPr>
      <w:r w:rsidRPr="00B869A8">
        <w:rPr>
          <w:rFonts w:asciiTheme="minorHAnsi" w:hAnsiTheme="minorHAnsi" w:cstheme="minorHAnsi"/>
          <w:color w:val="495965" w:themeColor="text2"/>
          <w:sz w:val="22"/>
          <w:szCs w:val="22"/>
        </w:rPr>
        <w:t xml:space="preserve">Completed </w:t>
      </w:r>
      <w:r w:rsidR="00F145A7">
        <w:rPr>
          <w:rFonts w:asciiTheme="minorHAnsi" w:hAnsiTheme="minorHAnsi" w:cstheme="minorHAnsi"/>
          <w:color w:val="495965" w:themeColor="text2"/>
          <w:sz w:val="22"/>
          <w:szCs w:val="22"/>
        </w:rPr>
        <w:t>ten</w:t>
      </w:r>
      <w:r w:rsidRPr="00B869A8">
        <w:rPr>
          <w:rFonts w:asciiTheme="minorHAnsi" w:hAnsiTheme="minorHAnsi" w:cstheme="minorHAnsi"/>
          <w:color w:val="495965" w:themeColor="text2"/>
          <w:sz w:val="22"/>
          <w:szCs w:val="22"/>
        </w:rPr>
        <w:t xml:space="preserve"> online professional development training modules for Heads of Schools – ready for national roll out soon</w:t>
      </w:r>
      <w:r w:rsidR="009530CA">
        <w:rPr>
          <w:rFonts w:asciiTheme="minorHAnsi" w:hAnsiTheme="minorHAnsi" w:cstheme="minorHAnsi"/>
          <w:color w:val="495965" w:themeColor="text2"/>
          <w:sz w:val="22"/>
          <w:szCs w:val="22"/>
        </w:rPr>
        <w:t>.</w:t>
      </w:r>
    </w:p>
    <w:p w:rsidR="00BA1E92" w:rsidRPr="00162A67" w:rsidRDefault="00BA1E92" w:rsidP="00A63A0F">
      <w:pPr>
        <w:spacing w:line="240" w:lineRule="auto"/>
        <w:rPr>
          <w:rFonts w:cstheme="minorHAnsi"/>
          <w:lang w:val="en-US"/>
        </w:rPr>
      </w:pPr>
      <w:r>
        <w:rPr>
          <w:rFonts w:cstheme="minorHAnsi"/>
          <w:lang w:val="en-US"/>
        </w:rPr>
        <w:t xml:space="preserve">Fiji’s improved performance in the education sector is driven partly by </w:t>
      </w:r>
      <w:r w:rsidR="005A7E23">
        <w:rPr>
          <w:rFonts w:cstheme="minorHAnsi"/>
          <w:lang w:val="en-US"/>
        </w:rPr>
        <w:t xml:space="preserve">significant </w:t>
      </w:r>
      <w:r>
        <w:rPr>
          <w:rFonts w:cstheme="minorHAnsi"/>
          <w:lang w:val="en-US"/>
        </w:rPr>
        <w:t xml:space="preserve">government investment in expanding quality education and making it free for all. In 2017-18, 22 </w:t>
      </w:r>
      <w:r w:rsidR="00AE74B6">
        <w:rPr>
          <w:rFonts w:cstheme="minorHAnsi"/>
          <w:lang w:val="en-US"/>
        </w:rPr>
        <w:t>per cent</w:t>
      </w:r>
      <w:r>
        <w:rPr>
          <w:rFonts w:cstheme="minorHAnsi"/>
          <w:lang w:val="en-US"/>
        </w:rPr>
        <w:t xml:space="preserve"> of </w:t>
      </w:r>
      <w:r w:rsidR="009530CA">
        <w:rPr>
          <w:rFonts w:cstheme="minorHAnsi"/>
          <w:lang w:val="en-US"/>
        </w:rPr>
        <w:t xml:space="preserve">the </w:t>
      </w:r>
      <w:r>
        <w:rPr>
          <w:rFonts w:cstheme="minorHAnsi"/>
          <w:lang w:val="en-US"/>
        </w:rPr>
        <w:t>government budget went to education</w:t>
      </w:r>
      <w:r w:rsidR="00F145A7">
        <w:rPr>
          <w:rFonts w:cstheme="minorHAnsi"/>
          <w:lang w:val="en-US"/>
        </w:rPr>
        <w:t>.</w:t>
      </w:r>
      <w:r w:rsidR="007807A6">
        <w:rPr>
          <w:rStyle w:val="FootnoteReference"/>
          <w:rFonts w:cstheme="minorHAnsi"/>
          <w:lang w:val="en-US"/>
        </w:rPr>
        <w:footnoteReference w:id="7"/>
      </w:r>
      <w:r>
        <w:rPr>
          <w:rFonts w:cstheme="minorHAnsi"/>
          <w:lang w:val="en-US"/>
        </w:rPr>
        <w:t xml:space="preserve"> </w:t>
      </w:r>
      <w:r w:rsidR="00F145A7">
        <w:rPr>
          <w:rFonts w:cstheme="minorHAnsi"/>
          <w:lang w:val="en-US"/>
        </w:rPr>
        <w:t xml:space="preserve"> Our new program supported this investment across three pillars:</w:t>
      </w:r>
    </w:p>
    <w:p w:rsidR="00A63A0F" w:rsidRPr="004F7E23" w:rsidRDefault="00A63A0F" w:rsidP="00A63A0F">
      <w:pPr>
        <w:spacing w:line="240" w:lineRule="auto"/>
        <w:rPr>
          <w:rFonts w:asciiTheme="majorHAnsi" w:hAnsiTheme="majorHAnsi" w:cstheme="majorHAnsi"/>
          <w:b/>
          <w:sz w:val="16"/>
          <w:szCs w:val="16"/>
          <w:lang w:val="en-US"/>
        </w:rPr>
      </w:pPr>
    </w:p>
    <w:p w:rsidR="00A63A0F" w:rsidRPr="00162A67" w:rsidRDefault="00A63A0F" w:rsidP="007807A6">
      <w:pPr>
        <w:keepNext/>
        <w:spacing w:line="240" w:lineRule="auto"/>
        <w:rPr>
          <w:rFonts w:cstheme="minorHAnsi"/>
          <w:b/>
          <w:lang w:val="en-US"/>
        </w:rPr>
      </w:pPr>
      <w:r w:rsidRPr="00162A67">
        <w:rPr>
          <w:rFonts w:cstheme="minorHAnsi"/>
          <w:b/>
          <w:lang w:val="en-US"/>
        </w:rPr>
        <w:t>Pillar 1: Central systems enable schools to provide learning for all</w:t>
      </w:r>
    </w:p>
    <w:p w:rsidR="00A63A0F" w:rsidRPr="0048037F" w:rsidRDefault="00A63A0F" w:rsidP="00591C2E">
      <w:pPr>
        <w:pStyle w:val="ListParagraph"/>
        <w:numPr>
          <w:ilvl w:val="0"/>
          <w:numId w:val="13"/>
        </w:numPr>
        <w:spacing w:after="160"/>
        <w:rPr>
          <w:rFonts w:asciiTheme="minorHAnsi" w:hAnsiTheme="minorHAnsi" w:cstheme="minorHAnsi"/>
          <w:color w:val="495965" w:themeColor="text2"/>
          <w:sz w:val="22"/>
          <w:szCs w:val="22"/>
        </w:rPr>
      </w:pPr>
      <w:r w:rsidRPr="0048037F">
        <w:rPr>
          <w:rFonts w:asciiTheme="minorHAnsi" w:hAnsiTheme="minorHAnsi" w:cstheme="minorHAnsi"/>
          <w:color w:val="495965" w:themeColor="text2"/>
          <w:sz w:val="22"/>
          <w:szCs w:val="22"/>
        </w:rPr>
        <w:t xml:space="preserve">A total of 35 MEHA policies, through TA provided by the Program, were </w:t>
      </w:r>
      <w:r w:rsidR="00F145A7">
        <w:rPr>
          <w:rFonts w:asciiTheme="minorHAnsi" w:hAnsiTheme="minorHAnsi" w:cstheme="minorHAnsi"/>
          <w:color w:val="495965" w:themeColor="text2"/>
          <w:sz w:val="22"/>
          <w:szCs w:val="22"/>
        </w:rPr>
        <w:t>supported during</w:t>
      </w:r>
      <w:r w:rsidRPr="0048037F">
        <w:rPr>
          <w:rFonts w:asciiTheme="minorHAnsi" w:hAnsiTheme="minorHAnsi" w:cstheme="minorHAnsi"/>
          <w:color w:val="495965" w:themeColor="text2"/>
          <w:sz w:val="22"/>
          <w:szCs w:val="22"/>
        </w:rPr>
        <w:t xml:space="preserve"> the reporting period - 18 current policies (</w:t>
      </w:r>
      <w:r w:rsidR="005A7E23">
        <w:rPr>
          <w:rFonts w:asciiTheme="minorHAnsi" w:hAnsiTheme="minorHAnsi" w:cstheme="minorHAnsi"/>
          <w:color w:val="495965" w:themeColor="text2"/>
          <w:sz w:val="22"/>
          <w:szCs w:val="22"/>
        </w:rPr>
        <w:t>two</w:t>
      </w:r>
      <w:r w:rsidRPr="0048037F">
        <w:rPr>
          <w:rFonts w:asciiTheme="minorHAnsi" w:hAnsiTheme="minorHAnsi" w:cstheme="minorHAnsi"/>
          <w:color w:val="495965" w:themeColor="text2"/>
          <w:sz w:val="22"/>
          <w:szCs w:val="22"/>
        </w:rPr>
        <w:t xml:space="preserve"> approved, </w:t>
      </w:r>
      <w:r w:rsidR="005A7E23">
        <w:rPr>
          <w:rFonts w:asciiTheme="minorHAnsi" w:hAnsiTheme="minorHAnsi" w:cstheme="minorHAnsi"/>
          <w:color w:val="495965" w:themeColor="text2"/>
          <w:sz w:val="22"/>
          <w:szCs w:val="22"/>
        </w:rPr>
        <w:t>eight</w:t>
      </w:r>
      <w:r w:rsidRPr="0048037F">
        <w:rPr>
          <w:rFonts w:asciiTheme="minorHAnsi" w:hAnsiTheme="minorHAnsi" w:cstheme="minorHAnsi"/>
          <w:color w:val="495965" w:themeColor="text2"/>
          <w:sz w:val="22"/>
          <w:szCs w:val="22"/>
        </w:rPr>
        <w:t xml:space="preserve"> under revision, </w:t>
      </w:r>
      <w:r w:rsidR="005A7E23">
        <w:rPr>
          <w:rFonts w:asciiTheme="minorHAnsi" w:hAnsiTheme="minorHAnsi" w:cstheme="minorHAnsi"/>
          <w:color w:val="495965" w:themeColor="text2"/>
          <w:sz w:val="22"/>
          <w:szCs w:val="22"/>
        </w:rPr>
        <w:t>three</w:t>
      </w:r>
      <w:r w:rsidRPr="0048037F">
        <w:rPr>
          <w:rFonts w:asciiTheme="minorHAnsi" w:hAnsiTheme="minorHAnsi" w:cstheme="minorHAnsi"/>
          <w:color w:val="495965" w:themeColor="text2"/>
          <w:sz w:val="22"/>
          <w:szCs w:val="22"/>
        </w:rPr>
        <w:t xml:space="preserve"> sent for approval and </w:t>
      </w:r>
      <w:r w:rsidR="005A7E23">
        <w:rPr>
          <w:rFonts w:asciiTheme="minorHAnsi" w:hAnsiTheme="minorHAnsi" w:cstheme="minorHAnsi"/>
          <w:color w:val="495965" w:themeColor="text2"/>
          <w:sz w:val="22"/>
          <w:szCs w:val="22"/>
        </w:rPr>
        <w:t>five</w:t>
      </w:r>
      <w:r w:rsidRPr="0048037F">
        <w:rPr>
          <w:rFonts w:asciiTheme="minorHAnsi" w:hAnsiTheme="minorHAnsi" w:cstheme="minorHAnsi"/>
          <w:color w:val="495965" w:themeColor="text2"/>
          <w:sz w:val="22"/>
          <w:szCs w:val="22"/>
        </w:rPr>
        <w:t xml:space="preserve"> currently under legal review) and 17 new policies were under development.</w:t>
      </w:r>
    </w:p>
    <w:p w:rsidR="00A63A0F" w:rsidRPr="00700BEA" w:rsidRDefault="00A63A0F" w:rsidP="00591C2E">
      <w:pPr>
        <w:pStyle w:val="ListParagraph"/>
        <w:numPr>
          <w:ilvl w:val="0"/>
          <w:numId w:val="13"/>
        </w:numPr>
        <w:spacing w:after="160"/>
        <w:rPr>
          <w:rFonts w:asciiTheme="minorHAnsi" w:hAnsiTheme="minorHAnsi" w:cstheme="minorHAnsi"/>
          <w:color w:val="495965" w:themeColor="text2"/>
          <w:sz w:val="22"/>
          <w:szCs w:val="22"/>
        </w:rPr>
      </w:pPr>
      <w:r w:rsidRPr="00700BEA">
        <w:rPr>
          <w:rFonts w:asciiTheme="minorHAnsi" w:hAnsiTheme="minorHAnsi" w:cstheme="minorHAnsi"/>
          <w:color w:val="495965" w:themeColor="text2"/>
          <w:sz w:val="22"/>
          <w:szCs w:val="22"/>
        </w:rPr>
        <w:t>A Disability Inclusion Strategy for the Program was developed to guide approaches for</w:t>
      </w:r>
      <w:r w:rsidR="009530CA">
        <w:rPr>
          <w:rFonts w:asciiTheme="minorHAnsi" w:hAnsiTheme="minorHAnsi" w:cstheme="minorHAnsi"/>
          <w:color w:val="495965" w:themeColor="text2"/>
          <w:sz w:val="22"/>
          <w:szCs w:val="22"/>
        </w:rPr>
        <w:t xml:space="preserve"> disability-focused efforts in y</w:t>
      </w:r>
      <w:r w:rsidRPr="00700BEA">
        <w:rPr>
          <w:rFonts w:asciiTheme="minorHAnsi" w:hAnsiTheme="minorHAnsi" w:cstheme="minorHAnsi"/>
          <w:color w:val="495965" w:themeColor="text2"/>
          <w:sz w:val="22"/>
          <w:szCs w:val="22"/>
        </w:rPr>
        <w:t xml:space="preserve">ears </w:t>
      </w:r>
      <w:r w:rsidR="005A7E23">
        <w:rPr>
          <w:rFonts w:asciiTheme="minorHAnsi" w:hAnsiTheme="minorHAnsi" w:cstheme="minorHAnsi"/>
          <w:color w:val="495965" w:themeColor="text2"/>
          <w:sz w:val="22"/>
          <w:szCs w:val="22"/>
        </w:rPr>
        <w:t>two</w:t>
      </w:r>
      <w:r w:rsidR="009530CA">
        <w:rPr>
          <w:rFonts w:asciiTheme="minorHAnsi" w:hAnsiTheme="minorHAnsi" w:cstheme="minorHAnsi"/>
          <w:color w:val="495965" w:themeColor="text2"/>
          <w:sz w:val="22"/>
          <w:szCs w:val="22"/>
        </w:rPr>
        <w:t xml:space="preserve"> to </w:t>
      </w:r>
      <w:r w:rsidR="005A7E23">
        <w:rPr>
          <w:rFonts w:asciiTheme="minorHAnsi" w:hAnsiTheme="minorHAnsi" w:cstheme="minorHAnsi"/>
          <w:color w:val="495965" w:themeColor="text2"/>
          <w:sz w:val="22"/>
          <w:szCs w:val="22"/>
        </w:rPr>
        <w:t>four</w:t>
      </w:r>
      <w:r w:rsidR="009530CA">
        <w:rPr>
          <w:rFonts w:asciiTheme="minorHAnsi" w:hAnsiTheme="minorHAnsi" w:cstheme="minorHAnsi"/>
          <w:color w:val="495965" w:themeColor="text2"/>
          <w:sz w:val="22"/>
          <w:szCs w:val="22"/>
        </w:rPr>
        <w:t>,</w:t>
      </w:r>
      <w:r w:rsidRPr="00700BEA">
        <w:rPr>
          <w:rFonts w:asciiTheme="minorHAnsi" w:hAnsiTheme="minorHAnsi" w:cstheme="minorHAnsi"/>
          <w:color w:val="495965" w:themeColor="text2"/>
          <w:sz w:val="22"/>
          <w:szCs w:val="22"/>
        </w:rPr>
        <w:t xml:space="preserve"> which will strengthen central, district and school policies and processes to enable all students to learn.</w:t>
      </w:r>
    </w:p>
    <w:p w:rsidR="00A63A0F" w:rsidRPr="00162A67" w:rsidRDefault="00A63A0F" w:rsidP="00591C2E">
      <w:pPr>
        <w:pStyle w:val="ListParagraph"/>
        <w:numPr>
          <w:ilvl w:val="0"/>
          <w:numId w:val="13"/>
        </w:numPr>
        <w:spacing w:after="160"/>
        <w:rPr>
          <w:rFonts w:asciiTheme="minorHAnsi" w:hAnsiTheme="minorHAnsi" w:cstheme="minorHAnsi"/>
          <w:color w:val="495965" w:themeColor="text2"/>
          <w:sz w:val="22"/>
          <w:szCs w:val="22"/>
        </w:rPr>
      </w:pPr>
      <w:r w:rsidRPr="00162A67">
        <w:rPr>
          <w:rFonts w:asciiTheme="minorHAnsi" w:hAnsiTheme="minorHAnsi" w:cstheme="minorHAnsi"/>
          <w:color w:val="495965" w:themeColor="text2"/>
          <w:sz w:val="22"/>
          <w:szCs w:val="22"/>
        </w:rPr>
        <w:t>To support the education of students in remote /maritime</w:t>
      </w:r>
      <w:r w:rsidR="00A84BE4">
        <w:rPr>
          <w:rFonts w:asciiTheme="minorHAnsi" w:hAnsiTheme="minorHAnsi" w:cstheme="minorHAnsi"/>
          <w:color w:val="495965" w:themeColor="text2"/>
          <w:sz w:val="22"/>
          <w:szCs w:val="22"/>
        </w:rPr>
        <w:t xml:space="preserve"> locations, the Program funded internet</w:t>
      </w:r>
      <w:r w:rsidRPr="00162A67">
        <w:rPr>
          <w:rFonts w:asciiTheme="minorHAnsi" w:hAnsiTheme="minorHAnsi" w:cstheme="minorHAnsi"/>
          <w:color w:val="495965" w:themeColor="text2"/>
          <w:sz w:val="22"/>
          <w:szCs w:val="22"/>
        </w:rPr>
        <w:t xml:space="preserve"> connection </w:t>
      </w:r>
      <w:r w:rsidR="00A84BE4">
        <w:rPr>
          <w:rFonts w:asciiTheme="minorHAnsi" w:hAnsiTheme="minorHAnsi" w:cstheme="minorHAnsi"/>
          <w:color w:val="495965" w:themeColor="text2"/>
          <w:sz w:val="22"/>
          <w:szCs w:val="22"/>
        </w:rPr>
        <w:t xml:space="preserve">for </w:t>
      </w:r>
      <w:r w:rsidRPr="00162A67">
        <w:rPr>
          <w:rFonts w:asciiTheme="minorHAnsi" w:hAnsiTheme="minorHAnsi" w:cstheme="minorHAnsi"/>
          <w:color w:val="495965" w:themeColor="text2"/>
          <w:sz w:val="22"/>
          <w:szCs w:val="22"/>
        </w:rPr>
        <w:t>14 primary schools providing the schools access to FEMIS and other online learning and development resources for teachers.</w:t>
      </w:r>
    </w:p>
    <w:p w:rsidR="00A63A0F" w:rsidRPr="00162A67" w:rsidRDefault="00A63A0F" w:rsidP="00591C2E">
      <w:pPr>
        <w:pStyle w:val="ListParagraph"/>
        <w:numPr>
          <w:ilvl w:val="0"/>
          <w:numId w:val="13"/>
        </w:numPr>
        <w:spacing w:after="160"/>
        <w:rPr>
          <w:rFonts w:asciiTheme="minorHAnsi" w:hAnsiTheme="minorHAnsi" w:cstheme="minorHAnsi"/>
          <w:color w:val="495965" w:themeColor="text2"/>
          <w:sz w:val="22"/>
          <w:szCs w:val="22"/>
          <w:lang w:val="en-US"/>
        </w:rPr>
      </w:pPr>
      <w:r w:rsidRPr="00162A67">
        <w:rPr>
          <w:rFonts w:asciiTheme="minorHAnsi" w:hAnsiTheme="minorHAnsi" w:cstheme="minorHAnsi"/>
          <w:color w:val="495965" w:themeColor="text2"/>
          <w:sz w:val="22"/>
          <w:szCs w:val="22"/>
        </w:rPr>
        <w:t>MEHA has agreed to share the FEMIS Source Code</w:t>
      </w:r>
      <w:r w:rsidRPr="00162A67">
        <w:rPr>
          <w:rFonts w:asciiTheme="minorHAnsi" w:hAnsiTheme="minorHAnsi" w:cstheme="minorHAnsi"/>
          <w:color w:val="495965" w:themeColor="text2"/>
          <w:sz w:val="22"/>
          <w:szCs w:val="22"/>
          <w:vertAlign w:val="superscript"/>
        </w:rPr>
        <w:footnoteReference w:id="8"/>
      </w:r>
      <w:r w:rsidRPr="00162A67">
        <w:rPr>
          <w:rFonts w:asciiTheme="minorHAnsi" w:hAnsiTheme="minorHAnsi" w:cstheme="minorHAnsi"/>
          <w:color w:val="495965" w:themeColor="text2"/>
          <w:sz w:val="22"/>
          <w:szCs w:val="22"/>
        </w:rPr>
        <w:t xml:space="preserve"> with other interested Pacific countries including Vanuatu and Samoa. This will facilitate consistent reporting and comparisons across the Pacific, for </w:t>
      </w:r>
      <w:r w:rsidR="005A7E23">
        <w:rPr>
          <w:rFonts w:asciiTheme="minorHAnsi" w:hAnsiTheme="minorHAnsi" w:cstheme="minorHAnsi"/>
          <w:color w:val="495965" w:themeColor="text2"/>
          <w:sz w:val="22"/>
          <w:szCs w:val="22"/>
        </w:rPr>
        <w:t xml:space="preserve">other stakeholders, including </w:t>
      </w:r>
      <w:r w:rsidRPr="00162A67">
        <w:rPr>
          <w:rFonts w:asciiTheme="minorHAnsi" w:hAnsiTheme="minorHAnsi" w:cstheme="minorHAnsi"/>
          <w:color w:val="495965" w:themeColor="text2"/>
          <w:sz w:val="22"/>
          <w:szCs w:val="22"/>
        </w:rPr>
        <w:t xml:space="preserve">UNESCO. </w:t>
      </w:r>
    </w:p>
    <w:p w:rsidR="00A63A0F" w:rsidRPr="00162A67" w:rsidRDefault="00A63A0F" w:rsidP="00A63A0F">
      <w:pPr>
        <w:spacing w:line="240" w:lineRule="auto"/>
        <w:rPr>
          <w:rFonts w:cstheme="minorHAnsi"/>
          <w:b/>
          <w:lang w:val="en-US"/>
        </w:rPr>
      </w:pPr>
      <w:r w:rsidRPr="00162A67">
        <w:rPr>
          <w:rFonts w:cstheme="minorHAnsi"/>
          <w:b/>
          <w:lang w:val="en-US"/>
        </w:rPr>
        <w:t>Pillar 2: District and schools systems support teachers and the learning of students</w:t>
      </w:r>
    </w:p>
    <w:p w:rsidR="00A63A0F" w:rsidRPr="00162A67" w:rsidRDefault="00A63A0F" w:rsidP="00591C2E">
      <w:pPr>
        <w:pStyle w:val="ListParagraph"/>
        <w:numPr>
          <w:ilvl w:val="0"/>
          <w:numId w:val="14"/>
        </w:numPr>
        <w:spacing w:after="160"/>
        <w:rPr>
          <w:rFonts w:asciiTheme="minorHAnsi" w:hAnsiTheme="minorHAnsi" w:cstheme="minorHAnsi"/>
          <w:color w:val="495965" w:themeColor="text2"/>
          <w:sz w:val="22"/>
          <w:szCs w:val="22"/>
          <w:lang w:val="en-US"/>
        </w:rPr>
      </w:pPr>
      <w:r w:rsidRPr="00162A67">
        <w:rPr>
          <w:rFonts w:asciiTheme="minorHAnsi" w:hAnsiTheme="minorHAnsi" w:cstheme="minorHAnsi"/>
          <w:color w:val="495965" w:themeColor="text2"/>
          <w:sz w:val="22"/>
          <w:szCs w:val="22"/>
        </w:rPr>
        <w:t xml:space="preserve">The teacher-mentor model used in the </w:t>
      </w:r>
      <w:r w:rsidR="004D6DD6">
        <w:rPr>
          <w:rFonts w:asciiTheme="minorHAnsi" w:hAnsiTheme="minorHAnsi" w:cstheme="minorHAnsi"/>
          <w:color w:val="495965" w:themeColor="text2"/>
          <w:sz w:val="22"/>
          <w:szCs w:val="22"/>
        </w:rPr>
        <w:t xml:space="preserve">literacy and numeracy </w:t>
      </w:r>
      <w:r w:rsidR="003757F1">
        <w:rPr>
          <w:rFonts w:asciiTheme="minorHAnsi" w:hAnsiTheme="minorHAnsi" w:cstheme="minorHAnsi"/>
          <w:color w:val="495965" w:themeColor="text2"/>
          <w:sz w:val="22"/>
          <w:szCs w:val="22"/>
        </w:rPr>
        <w:t>roll out in y</w:t>
      </w:r>
      <w:r w:rsidRPr="00162A67">
        <w:rPr>
          <w:rFonts w:asciiTheme="minorHAnsi" w:hAnsiTheme="minorHAnsi" w:cstheme="minorHAnsi"/>
          <w:color w:val="495965" w:themeColor="text2"/>
          <w:sz w:val="22"/>
          <w:szCs w:val="22"/>
        </w:rPr>
        <w:t xml:space="preserve">ears </w:t>
      </w:r>
      <w:r w:rsidR="005A7E23">
        <w:rPr>
          <w:rFonts w:asciiTheme="minorHAnsi" w:hAnsiTheme="minorHAnsi" w:cstheme="minorHAnsi"/>
          <w:color w:val="495965" w:themeColor="text2"/>
          <w:sz w:val="22"/>
          <w:szCs w:val="22"/>
        </w:rPr>
        <w:t>one</w:t>
      </w:r>
      <w:r w:rsidR="003757F1">
        <w:rPr>
          <w:rFonts w:asciiTheme="minorHAnsi" w:hAnsiTheme="minorHAnsi" w:cstheme="minorHAnsi"/>
          <w:color w:val="495965" w:themeColor="text2"/>
          <w:sz w:val="22"/>
          <w:szCs w:val="22"/>
        </w:rPr>
        <w:t xml:space="preserve"> to </w:t>
      </w:r>
      <w:r w:rsidR="005A7E23">
        <w:rPr>
          <w:rFonts w:asciiTheme="minorHAnsi" w:hAnsiTheme="minorHAnsi" w:cstheme="minorHAnsi"/>
          <w:color w:val="495965" w:themeColor="text2"/>
          <w:sz w:val="22"/>
          <w:szCs w:val="22"/>
        </w:rPr>
        <w:t>four</w:t>
      </w:r>
      <w:r w:rsidR="005A7E23" w:rsidRPr="00162A67">
        <w:rPr>
          <w:rFonts w:asciiTheme="minorHAnsi" w:hAnsiTheme="minorHAnsi" w:cstheme="minorHAnsi"/>
          <w:color w:val="495965" w:themeColor="text2"/>
          <w:sz w:val="22"/>
          <w:szCs w:val="22"/>
        </w:rPr>
        <w:t xml:space="preserve"> </w:t>
      </w:r>
      <w:r w:rsidR="00A84BE4">
        <w:rPr>
          <w:rFonts w:asciiTheme="minorHAnsi" w:hAnsiTheme="minorHAnsi" w:cstheme="minorHAnsi"/>
          <w:color w:val="495965" w:themeColor="text2"/>
          <w:sz w:val="22"/>
          <w:szCs w:val="22"/>
        </w:rPr>
        <w:t>is</w:t>
      </w:r>
      <w:r w:rsidRPr="00162A67">
        <w:rPr>
          <w:rFonts w:asciiTheme="minorHAnsi" w:hAnsiTheme="minorHAnsi" w:cstheme="minorHAnsi"/>
          <w:color w:val="495965" w:themeColor="text2"/>
          <w:sz w:val="22"/>
          <w:szCs w:val="22"/>
        </w:rPr>
        <w:t xml:space="preserve"> improving the quality of teaching and learning in Fiji classrooms. The Program contributes to the teacher mentor model through the provision of </w:t>
      </w:r>
      <w:r w:rsidR="005A7E23">
        <w:rPr>
          <w:rFonts w:asciiTheme="minorHAnsi" w:hAnsiTheme="minorHAnsi" w:cstheme="minorHAnsi"/>
          <w:color w:val="495965" w:themeColor="text2"/>
          <w:sz w:val="22"/>
          <w:szCs w:val="22"/>
        </w:rPr>
        <w:t>two</w:t>
      </w:r>
      <w:r w:rsidR="005A7E23" w:rsidRPr="00162A67">
        <w:rPr>
          <w:rFonts w:asciiTheme="minorHAnsi" w:hAnsiTheme="minorHAnsi" w:cstheme="minorHAnsi"/>
          <w:color w:val="495965" w:themeColor="text2"/>
          <w:sz w:val="22"/>
          <w:szCs w:val="22"/>
        </w:rPr>
        <w:t xml:space="preserve"> </w:t>
      </w:r>
      <w:r w:rsidR="004D6DD6">
        <w:rPr>
          <w:rFonts w:asciiTheme="minorHAnsi" w:hAnsiTheme="minorHAnsi" w:cstheme="minorHAnsi"/>
          <w:color w:val="495965" w:themeColor="text2"/>
          <w:sz w:val="22"/>
          <w:szCs w:val="22"/>
        </w:rPr>
        <w:t>literacy and numeracy c</w:t>
      </w:r>
      <w:r w:rsidRPr="00162A67">
        <w:rPr>
          <w:rFonts w:asciiTheme="minorHAnsi" w:hAnsiTheme="minorHAnsi" w:cstheme="minorHAnsi"/>
          <w:color w:val="495965" w:themeColor="text2"/>
          <w:sz w:val="22"/>
          <w:szCs w:val="22"/>
        </w:rPr>
        <w:t>oordinators directly to MEHA’s Curriculum Advisory Unit.</w:t>
      </w:r>
    </w:p>
    <w:p w:rsidR="006E452C" w:rsidRDefault="006E452C">
      <w:pPr>
        <w:suppressAutoHyphens w:val="0"/>
        <w:spacing w:before="0" w:after="120" w:line="440" w:lineRule="atLeast"/>
        <w:rPr>
          <w:rFonts w:cstheme="minorHAnsi"/>
          <w:b/>
          <w:lang w:val="en-US"/>
        </w:rPr>
      </w:pPr>
      <w:r>
        <w:rPr>
          <w:rFonts w:cstheme="minorHAnsi"/>
          <w:b/>
          <w:lang w:val="en-US"/>
        </w:rPr>
        <w:br w:type="page"/>
      </w:r>
    </w:p>
    <w:p w:rsidR="00A63A0F" w:rsidRPr="00162A67" w:rsidRDefault="00A63A0F" w:rsidP="00A63A0F">
      <w:pPr>
        <w:spacing w:line="240" w:lineRule="auto"/>
        <w:rPr>
          <w:rFonts w:cstheme="minorHAnsi"/>
          <w:b/>
          <w:lang w:val="en-US"/>
        </w:rPr>
      </w:pPr>
      <w:r w:rsidRPr="00162A67">
        <w:rPr>
          <w:rFonts w:cstheme="minorHAnsi"/>
          <w:b/>
          <w:lang w:val="en-US"/>
        </w:rPr>
        <w:lastRenderedPageBreak/>
        <w:t>Pillar 3: School communities contribute to inclusive teaching and learning</w:t>
      </w:r>
    </w:p>
    <w:p w:rsidR="00A63A0F" w:rsidRPr="00162A67" w:rsidRDefault="00A63A0F" w:rsidP="00591C2E">
      <w:pPr>
        <w:pStyle w:val="ListParagraph"/>
        <w:numPr>
          <w:ilvl w:val="0"/>
          <w:numId w:val="14"/>
        </w:numPr>
        <w:spacing w:after="160"/>
        <w:rPr>
          <w:rFonts w:asciiTheme="minorHAnsi" w:hAnsiTheme="minorHAnsi" w:cstheme="minorHAnsi"/>
          <w:color w:val="495965" w:themeColor="text2"/>
          <w:sz w:val="22"/>
          <w:szCs w:val="22"/>
          <w:lang w:val="en-US"/>
        </w:rPr>
      </w:pPr>
      <w:r w:rsidRPr="00162A67">
        <w:rPr>
          <w:rFonts w:asciiTheme="minorHAnsi" w:hAnsiTheme="minorHAnsi" w:cstheme="minorHAnsi"/>
          <w:color w:val="495965" w:themeColor="text2"/>
          <w:sz w:val="22"/>
          <w:szCs w:val="22"/>
        </w:rPr>
        <w:t>The CSO approach to education with a focus on WASH and student support services</w:t>
      </w:r>
      <w:r w:rsidR="00A84BE4">
        <w:rPr>
          <w:rFonts w:asciiTheme="minorHAnsi" w:hAnsiTheme="minorHAnsi" w:cstheme="minorHAnsi"/>
          <w:color w:val="495965" w:themeColor="text2"/>
          <w:sz w:val="22"/>
          <w:szCs w:val="22"/>
        </w:rPr>
        <w:t xml:space="preserve"> has been developed</w:t>
      </w:r>
      <w:r w:rsidRPr="00162A67">
        <w:rPr>
          <w:rFonts w:asciiTheme="minorHAnsi" w:hAnsiTheme="minorHAnsi" w:cstheme="minorHAnsi"/>
          <w:color w:val="495965" w:themeColor="text2"/>
          <w:sz w:val="22"/>
          <w:szCs w:val="22"/>
        </w:rPr>
        <w:t xml:space="preserve">. </w:t>
      </w:r>
    </w:p>
    <w:p w:rsidR="00A63A0F" w:rsidRPr="00162A67" w:rsidRDefault="00A63A0F" w:rsidP="00591C2E">
      <w:pPr>
        <w:pStyle w:val="ListParagraph"/>
        <w:numPr>
          <w:ilvl w:val="0"/>
          <w:numId w:val="14"/>
        </w:numPr>
        <w:spacing w:after="160"/>
        <w:rPr>
          <w:rFonts w:asciiTheme="minorHAnsi" w:hAnsiTheme="minorHAnsi" w:cstheme="minorHAnsi"/>
          <w:color w:val="495965" w:themeColor="text2"/>
          <w:sz w:val="22"/>
          <w:szCs w:val="22"/>
          <w:lang w:val="en-US"/>
        </w:rPr>
      </w:pPr>
      <w:r w:rsidRPr="00162A67">
        <w:rPr>
          <w:rFonts w:asciiTheme="minorHAnsi" w:hAnsiTheme="minorHAnsi" w:cstheme="minorHAnsi"/>
          <w:color w:val="495965" w:themeColor="text2"/>
          <w:sz w:val="22"/>
          <w:szCs w:val="22"/>
        </w:rPr>
        <w:t>The Program is co-funding</w:t>
      </w:r>
      <w:r w:rsidR="003757F1">
        <w:rPr>
          <w:rFonts w:asciiTheme="minorHAnsi" w:hAnsiTheme="minorHAnsi" w:cstheme="minorHAnsi"/>
          <w:color w:val="495965" w:themeColor="text2"/>
          <w:sz w:val="22"/>
          <w:szCs w:val="22"/>
        </w:rPr>
        <w:t>,</w:t>
      </w:r>
      <w:r w:rsidRPr="00162A67">
        <w:rPr>
          <w:rFonts w:asciiTheme="minorHAnsi" w:hAnsiTheme="minorHAnsi" w:cstheme="minorHAnsi"/>
          <w:color w:val="495965" w:themeColor="text2"/>
          <w:sz w:val="22"/>
          <w:szCs w:val="22"/>
        </w:rPr>
        <w:t xml:space="preserve"> with MEHA</w:t>
      </w:r>
      <w:r w:rsidR="003757F1">
        <w:rPr>
          <w:rFonts w:asciiTheme="minorHAnsi" w:hAnsiTheme="minorHAnsi" w:cstheme="minorHAnsi"/>
          <w:color w:val="495965" w:themeColor="text2"/>
          <w:sz w:val="22"/>
          <w:szCs w:val="22"/>
        </w:rPr>
        <w:t>,</w:t>
      </w:r>
      <w:r w:rsidRPr="00162A67">
        <w:rPr>
          <w:rFonts w:asciiTheme="minorHAnsi" w:hAnsiTheme="minorHAnsi" w:cstheme="minorHAnsi"/>
          <w:color w:val="495965" w:themeColor="text2"/>
          <w:sz w:val="22"/>
          <w:szCs w:val="22"/>
        </w:rPr>
        <w:t xml:space="preserve"> the Counselling training through </w:t>
      </w:r>
      <w:r w:rsidR="00F1403D">
        <w:rPr>
          <w:rFonts w:asciiTheme="minorHAnsi" w:hAnsiTheme="minorHAnsi" w:cstheme="minorHAnsi"/>
          <w:color w:val="495965" w:themeColor="text2"/>
          <w:sz w:val="22"/>
          <w:szCs w:val="22"/>
        </w:rPr>
        <w:t xml:space="preserve">the Australia Pacific Training </w:t>
      </w:r>
      <w:r w:rsidR="005A7E23">
        <w:rPr>
          <w:rFonts w:asciiTheme="minorHAnsi" w:hAnsiTheme="minorHAnsi" w:cstheme="minorHAnsi"/>
          <w:color w:val="495965" w:themeColor="text2"/>
          <w:sz w:val="22"/>
          <w:szCs w:val="22"/>
        </w:rPr>
        <w:t>Coalition (</w:t>
      </w:r>
      <w:r w:rsidRPr="00162A67">
        <w:rPr>
          <w:rFonts w:asciiTheme="minorHAnsi" w:hAnsiTheme="minorHAnsi" w:cstheme="minorHAnsi"/>
          <w:color w:val="495965" w:themeColor="text2"/>
          <w:sz w:val="22"/>
          <w:szCs w:val="22"/>
        </w:rPr>
        <w:t>APTC</w:t>
      </w:r>
      <w:r w:rsidR="005A7E23">
        <w:rPr>
          <w:rFonts w:asciiTheme="minorHAnsi" w:hAnsiTheme="minorHAnsi" w:cstheme="minorHAnsi"/>
          <w:color w:val="495965" w:themeColor="text2"/>
          <w:sz w:val="22"/>
          <w:szCs w:val="22"/>
        </w:rPr>
        <w:t>)</w:t>
      </w:r>
      <w:r w:rsidRPr="00162A67">
        <w:rPr>
          <w:rFonts w:asciiTheme="minorHAnsi" w:hAnsiTheme="minorHAnsi" w:cstheme="minorHAnsi"/>
          <w:color w:val="495965" w:themeColor="text2"/>
          <w:sz w:val="22"/>
          <w:szCs w:val="22"/>
        </w:rPr>
        <w:t xml:space="preserve"> for 36 teachers who will provide support to current divisional counsellors.</w:t>
      </w:r>
    </w:p>
    <w:p w:rsidR="00A63A0F" w:rsidRPr="00162A67" w:rsidRDefault="00A63A0F" w:rsidP="00A63A0F">
      <w:pPr>
        <w:spacing w:line="240" w:lineRule="auto"/>
        <w:rPr>
          <w:rFonts w:cstheme="minorHAnsi"/>
          <w:lang w:val="en-US"/>
        </w:rPr>
      </w:pPr>
      <w:r w:rsidRPr="00162A67">
        <w:rPr>
          <w:rFonts w:cstheme="minorHAnsi"/>
          <w:lang w:val="en-US"/>
        </w:rPr>
        <w:t>Currently there are 17 special schools in Fiji that accom</w:t>
      </w:r>
      <w:r w:rsidR="007807A6">
        <w:rPr>
          <w:rFonts w:cstheme="minorHAnsi"/>
          <w:lang w:val="en-US"/>
        </w:rPr>
        <w:t xml:space="preserve">modate children with disability, with a </w:t>
      </w:r>
      <w:r w:rsidRPr="00162A67">
        <w:rPr>
          <w:rFonts w:cstheme="minorHAnsi"/>
          <w:lang w:val="en-US"/>
        </w:rPr>
        <w:t xml:space="preserve">total student roll of 1771. In addition there are </w:t>
      </w:r>
      <w:r w:rsidR="007807A6">
        <w:rPr>
          <w:rFonts w:cstheme="minorHAnsi"/>
          <w:lang w:val="en-US"/>
        </w:rPr>
        <w:t xml:space="preserve">71 disability inclusive schools, </w:t>
      </w:r>
      <w:r w:rsidRPr="00162A67">
        <w:rPr>
          <w:rFonts w:cstheme="minorHAnsi"/>
          <w:lang w:val="en-US"/>
        </w:rPr>
        <w:t>in which 2151 students are enrolled. The Program is working with the Ministry to be able to report on inclusive data.</w:t>
      </w:r>
    </w:p>
    <w:p w:rsidR="00A63A0F" w:rsidRPr="00162A67" w:rsidRDefault="00A63A0F" w:rsidP="00A63A0F">
      <w:pPr>
        <w:spacing w:line="240" w:lineRule="auto"/>
        <w:rPr>
          <w:rFonts w:cstheme="minorHAnsi"/>
          <w:lang w:val="en-US"/>
        </w:rPr>
      </w:pPr>
      <w:r w:rsidRPr="00162A67">
        <w:rPr>
          <w:rFonts w:cstheme="minorHAnsi"/>
          <w:lang w:val="en-US"/>
        </w:rPr>
        <w:t xml:space="preserve">A Program Disability Inclusion Specialist was recruited by MEHA during this reporting period with a ToR including development of a Disability Inclusion Strategy. The Disability Inclusion Specialist, along with the Disability Inclusion Coordinator will ensure that the gains in disability inclusion made under the previous education program will be </w:t>
      </w:r>
      <w:r w:rsidR="003757F1">
        <w:rPr>
          <w:rFonts w:cstheme="minorHAnsi"/>
          <w:lang w:val="en-US"/>
        </w:rPr>
        <w:t>continued</w:t>
      </w:r>
      <w:r w:rsidRPr="00162A67">
        <w:rPr>
          <w:rFonts w:cstheme="minorHAnsi"/>
          <w:lang w:val="en-US"/>
        </w:rPr>
        <w:t>. The Disability inclusion team will work with M</w:t>
      </w:r>
      <w:r w:rsidR="003757F1">
        <w:rPr>
          <w:rFonts w:cstheme="minorHAnsi"/>
          <w:lang w:val="en-US"/>
        </w:rPr>
        <w:t>EHA and disabled persons organis</w:t>
      </w:r>
      <w:r w:rsidRPr="00162A67">
        <w:rPr>
          <w:rFonts w:cstheme="minorHAnsi"/>
          <w:lang w:val="en-US"/>
        </w:rPr>
        <w:t>ations to develop the Program’s Disability Inclusion Strategy and to support the implementation of MEHA’s Special and Inclusive Education Policy Implementation Plan 2017 – 2020.</w:t>
      </w:r>
    </w:p>
    <w:p w:rsidR="00A63A0F" w:rsidRDefault="00A63A0F" w:rsidP="00A63A0F">
      <w:pPr>
        <w:spacing w:line="240" w:lineRule="auto"/>
        <w:rPr>
          <w:rFonts w:cstheme="minorHAnsi"/>
          <w:lang w:val="en-US"/>
        </w:rPr>
      </w:pPr>
      <w:r w:rsidRPr="00162A67">
        <w:rPr>
          <w:rFonts w:cstheme="minorHAnsi"/>
          <w:lang w:val="en-US"/>
        </w:rPr>
        <w:t xml:space="preserve">The Facility GESI Specialist and Disability </w:t>
      </w:r>
      <w:r w:rsidR="003757F1">
        <w:rPr>
          <w:rFonts w:cstheme="minorHAnsi"/>
          <w:lang w:val="en-US"/>
        </w:rPr>
        <w:t>I</w:t>
      </w:r>
      <w:r w:rsidRPr="00162A67">
        <w:rPr>
          <w:rFonts w:cstheme="minorHAnsi"/>
          <w:lang w:val="en-US"/>
        </w:rPr>
        <w:t>nclusion Specialist have been included as members of the Program Reference Group to continuously reinforce the importance of addressing GESI due to the impacts of inequality and exclusion on academic performance.</w:t>
      </w:r>
      <w:r w:rsidR="006056D9">
        <w:rPr>
          <w:rFonts w:cstheme="minorHAnsi"/>
          <w:lang w:val="en-US"/>
        </w:rPr>
        <w:t xml:space="preserve">  The ability of the facility to quickly source technical expertise has proven valuable in progressing priority cross cutting issues.   </w:t>
      </w:r>
    </w:p>
    <w:p w:rsidR="00AC577D" w:rsidRDefault="00AC577D" w:rsidP="00A63A0F">
      <w:pPr>
        <w:spacing w:line="240" w:lineRule="auto"/>
        <w:rPr>
          <w:rFonts w:cstheme="minorHAnsi"/>
          <w:lang w:val="en-US"/>
        </w:rPr>
      </w:pPr>
    </w:p>
    <w:p w:rsidR="00962DC8" w:rsidRPr="00162A67" w:rsidRDefault="00A63A0F" w:rsidP="00962DC8">
      <w:pPr>
        <w:spacing w:line="240" w:lineRule="auto"/>
        <w:jc w:val="both"/>
        <w:rPr>
          <w:rFonts w:cstheme="minorHAnsi"/>
          <w:b/>
          <w:color w:val="auto"/>
        </w:rPr>
      </w:pPr>
      <w:r w:rsidRPr="00162A67">
        <w:rPr>
          <w:rFonts w:cstheme="minorHAnsi"/>
          <w:b/>
          <w:color w:val="auto"/>
        </w:rPr>
        <w:t xml:space="preserve">Outcome 3: </w:t>
      </w:r>
      <w:r w:rsidR="00962DC8" w:rsidRPr="00162A67">
        <w:rPr>
          <w:rFonts w:cstheme="minorHAnsi"/>
          <w:b/>
          <w:color w:val="auto"/>
        </w:rPr>
        <w:t>Fiji alumni</w:t>
      </w:r>
      <w:r w:rsidRPr="00162A67">
        <w:rPr>
          <w:rFonts w:cstheme="minorHAnsi"/>
          <w:b/>
          <w:color w:val="auto"/>
        </w:rPr>
        <w:t xml:space="preserve"> from the Australian Awards scheme</w:t>
      </w:r>
      <w:r w:rsidR="00962DC8" w:rsidRPr="00162A67">
        <w:rPr>
          <w:rFonts w:cstheme="minorHAnsi"/>
          <w:b/>
          <w:color w:val="auto"/>
        </w:rPr>
        <w:t xml:space="preserve"> have necessary skills and knowledge to progress sustainable development priorities </w:t>
      </w:r>
    </w:p>
    <w:p w:rsidR="00962DC8" w:rsidRPr="00162A67" w:rsidRDefault="00962DC8" w:rsidP="00965A3E">
      <w:pPr>
        <w:rPr>
          <w:rFonts w:cstheme="minorHAnsi"/>
        </w:rPr>
      </w:pPr>
      <w:r w:rsidRPr="00162A67">
        <w:rPr>
          <w:rFonts w:cstheme="minorHAnsi"/>
        </w:rPr>
        <w:t>The Government of Australia provides Australia Awards</w:t>
      </w:r>
      <w:r w:rsidR="004A5FAB">
        <w:rPr>
          <w:rFonts w:cstheme="minorHAnsi"/>
        </w:rPr>
        <w:t xml:space="preserve"> </w:t>
      </w:r>
      <w:r w:rsidR="00F739F3">
        <w:rPr>
          <w:rFonts w:cstheme="minorHAnsi"/>
        </w:rPr>
        <w:t>Scholarships (</w:t>
      </w:r>
      <w:r w:rsidR="005C6276">
        <w:rPr>
          <w:rFonts w:cstheme="minorHAnsi"/>
        </w:rPr>
        <w:t>$</w:t>
      </w:r>
      <w:r w:rsidR="00A84BE4">
        <w:rPr>
          <w:rFonts w:cstheme="minorHAnsi"/>
        </w:rPr>
        <w:t>3.7</w:t>
      </w:r>
      <w:r w:rsidR="004D3C5E" w:rsidRPr="00430439">
        <w:rPr>
          <w:rFonts w:cstheme="minorHAnsi"/>
        </w:rPr>
        <w:t>million</w:t>
      </w:r>
      <w:r w:rsidR="00F739F3">
        <w:rPr>
          <w:rFonts w:cstheme="minorHAnsi"/>
        </w:rPr>
        <w:t xml:space="preserve"> 2018-19) </w:t>
      </w:r>
      <w:r w:rsidR="000314F8">
        <w:rPr>
          <w:rFonts w:cstheme="minorHAnsi"/>
        </w:rPr>
        <w:t>to</w:t>
      </w:r>
      <w:r w:rsidRPr="00162A67">
        <w:rPr>
          <w:rFonts w:cstheme="minorHAnsi"/>
        </w:rPr>
        <w:t xml:space="preserve"> build skills that contribute to economic and human development and </w:t>
      </w:r>
      <w:r w:rsidR="000314F8">
        <w:rPr>
          <w:rFonts w:cstheme="minorHAnsi"/>
        </w:rPr>
        <w:t xml:space="preserve">to </w:t>
      </w:r>
      <w:r w:rsidRPr="00162A67">
        <w:rPr>
          <w:rFonts w:cstheme="minorHAnsi"/>
        </w:rPr>
        <w:t>foster links between Australia and countries in the region.</w:t>
      </w:r>
    </w:p>
    <w:p w:rsidR="00962DC8" w:rsidRPr="00162A67" w:rsidRDefault="00962DC8" w:rsidP="00965A3E">
      <w:pPr>
        <w:rPr>
          <w:rFonts w:cstheme="minorHAnsi"/>
        </w:rPr>
      </w:pPr>
      <w:r w:rsidRPr="00162A67">
        <w:rPr>
          <w:rFonts w:cstheme="minorHAnsi"/>
        </w:rPr>
        <w:t xml:space="preserve">Annually, </w:t>
      </w:r>
      <w:r w:rsidR="000314F8">
        <w:rPr>
          <w:rFonts w:cstheme="minorHAnsi"/>
        </w:rPr>
        <w:t>DFAT</w:t>
      </w:r>
      <w:r w:rsidR="004D6DD6">
        <w:rPr>
          <w:rFonts w:cstheme="minorHAnsi"/>
        </w:rPr>
        <w:t>,</w:t>
      </w:r>
      <w:r w:rsidRPr="00162A67">
        <w:rPr>
          <w:rFonts w:cstheme="minorHAnsi"/>
        </w:rPr>
        <w:t xml:space="preserve"> through its bilateral program</w:t>
      </w:r>
      <w:r w:rsidR="004D6DD6">
        <w:rPr>
          <w:rFonts w:cstheme="minorHAnsi"/>
        </w:rPr>
        <w:t>,</w:t>
      </w:r>
      <w:r w:rsidRPr="00162A67">
        <w:rPr>
          <w:rFonts w:cstheme="minorHAnsi"/>
        </w:rPr>
        <w:t xml:space="preserve"> engages with key government and private sector representatives to determine priority sectors. Stakeholders are further engaged at the selection stage to ensure the right candidates are selected to study and return to contribute to long-term country objectives.    </w:t>
      </w:r>
    </w:p>
    <w:p w:rsidR="00962DC8" w:rsidRPr="00162A67" w:rsidRDefault="00A84BE4" w:rsidP="00965A3E">
      <w:pPr>
        <w:rPr>
          <w:rFonts w:cstheme="minorHAnsi"/>
        </w:rPr>
      </w:pPr>
      <w:r>
        <w:rPr>
          <w:rFonts w:cstheme="minorHAnsi"/>
        </w:rPr>
        <w:t>Australia Awards support</w:t>
      </w:r>
      <w:r w:rsidR="00962DC8" w:rsidRPr="00162A67">
        <w:rPr>
          <w:rFonts w:cstheme="minorHAnsi"/>
        </w:rPr>
        <w:t xml:space="preserve"> Fiji by offering scholarships for specialised study programs in Australia that are unavailable locally. Locally, the Australia Awards Pacific Scholarships program supports study programs </w:t>
      </w:r>
      <w:r>
        <w:rPr>
          <w:rFonts w:cstheme="minorHAnsi"/>
        </w:rPr>
        <w:t>in</w:t>
      </w:r>
      <w:r w:rsidR="003757F1">
        <w:rPr>
          <w:rFonts w:cstheme="minorHAnsi"/>
        </w:rPr>
        <w:t xml:space="preserve"> the region </w:t>
      </w:r>
      <w:r w:rsidR="00962DC8" w:rsidRPr="00162A67">
        <w:rPr>
          <w:rFonts w:cstheme="minorHAnsi"/>
        </w:rPr>
        <w:t>which ad</w:t>
      </w:r>
      <w:r w:rsidR="003757F1">
        <w:rPr>
          <w:rFonts w:cstheme="minorHAnsi"/>
        </w:rPr>
        <w:t>dress critical skills shortages, such as</w:t>
      </w:r>
      <w:r w:rsidR="00962DC8" w:rsidRPr="00162A67">
        <w:rPr>
          <w:rFonts w:cstheme="minorHAnsi"/>
        </w:rPr>
        <w:t xml:space="preserve"> midwifery.  </w:t>
      </w:r>
    </w:p>
    <w:p w:rsidR="00962DC8" w:rsidRPr="00162A67" w:rsidRDefault="00962DC8" w:rsidP="00965A3E">
      <w:pPr>
        <w:rPr>
          <w:rFonts w:cstheme="minorHAnsi"/>
        </w:rPr>
      </w:pPr>
      <w:r w:rsidRPr="00162A67">
        <w:rPr>
          <w:rFonts w:cstheme="minorHAnsi"/>
        </w:rPr>
        <w:t xml:space="preserve">For the reporting period 2018-19, a record number of 85 awards were offered to Fijians in 10 priority areas. Of the 85 awards, 43 awards were </w:t>
      </w:r>
      <w:r w:rsidR="00F739F3">
        <w:rPr>
          <w:rFonts w:cstheme="minorHAnsi"/>
        </w:rPr>
        <w:t>awarded</w:t>
      </w:r>
      <w:r w:rsidR="00F739F3" w:rsidRPr="00162A67">
        <w:rPr>
          <w:rFonts w:cstheme="minorHAnsi"/>
        </w:rPr>
        <w:t xml:space="preserve"> </w:t>
      </w:r>
      <w:r w:rsidR="0010335D">
        <w:rPr>
          <w:rFonts w:cstheme="minorHAnsi"/>
        </w:rPr>
        <w:t>to women</w:t>
      </w:r>
      <w:r w:rsidRPr="00162A67">
        <w:rPr>
          <w:rFonts w:cstheme="minorHAnsi"/>
        </w:rPr>
        <w:t xml:space="preserve"> and 42 to </w:t>
      </w:r>
      <w:r w:rsidR="0010335D">
        <w:rPr>
          <w:rFonts w:cstheme="minorHAnsi"/>
        </w:rPr>
        <w:t>men</w:t>
      </w:r>
      <w:r w:rsidRPr="00162A67">
        <w:rPr>
          <w:rFonts w:cstheme="minorHAnsi"/>
        </w:rPr>
        <w:t xml:space="preserve">. Priority areas included education, health, governance, economic growth, infrastructure, social inclusion, environment, agriculture, fisheries and forestry. The selection across priority areas demonstrated the development priorities, </w:t>
      </w:r>
      <w:r w:rsidR="003757F1">
        <w:rPr>
          <w:rFonts w:cstheme="minorHAnsi"/>
        </w:rPr>
        <w:t>and</w:t>
      </w:r>
      <w:r w:rsidRPr="00162A67">
        <w:rPr>
          <w:rFonts w:cstheme="minorHAnsi"/>
        </w:rPr>
        <w:t xml:space="preserve"> aligned with Fiji and Australia’s mutual interests. </w:t>
      </w:r>
      <w:r w:rsidR="004D6DD6">
        <w:rPr>
          <w:rFonts w:cstheme="minorHAnsi"/>
        </w:rPr>
        <w:t xml:space="preserve">A highlight of the Fiji Pacific Scholarships was </w:t>
      </w:r>
      <w:r w:rsidRPr="00162A67">
        <w:rPr>
          <w:rFonts w:cstheme="minorHAnsi"/>
        </w:rPr>
        <w:t xml:space="preserve">the offering of </w:t>
      </w:r>
      <w:r w:rsidR="0010335D">
        <w:rPr>
          <w:rFonts w:cstheme="minorHAnsi"/>
        </w:rPr>
        <w:t xml:space="preserve">ten </w:t>
      </w:r>
      <w:r w:rsidRPr="00162A67">
        <w:rPr>
          <w:rFonts w:cstheme="minorHAnsi"/>
        </w:rPr>
        <w:t>postgraduate diploma midwifery scholarships</w:t>
      </w:r>
      <w:r w:rsidR="0010335D">
        <w:rPr>
          <w:rFonts w:cstheme="minorHAnsi"/>
        </w:rPr>
        <w:t>.</w:t>
      </w:r>
      <w:r w:rsidRPr="00162A67">
        <w:rPr>
          <w:rFonts w:cstheme="minorHAnsi"/>
        </w:rPr>
        <w:t xml:space="preserve"> </w:t>
      </w:r>
    </w:p>
    <w:p w:rsidR="00962DC8" w:rsidRPr="00162A67" w:rsidRDefault="00962DC8" w:rsidP="00965A3E">
      <w:pPr>
        <w:rPr>
          <w:rFonts w:cstheme="minorHAnsi"/>
        </w:rPr>
      </w:pPr>
      <w:r w:rsidRPr="00162A67">
        <w:rPr>
          <w:rFonts w:cstheme="minorHAnsi"/>
        </w:rPr>
        <w:t>In the same period, a completion rate of 95</w:t>
      </w:r>
      <w:r w:rsidR="003757F1">
        <w:rPr>
          <w:rFonts w:cstheme="minorHAnsi"/>
        </w:rPr>
        <w:t xml:space="preserve"> </w:t>
      </w:r>
      <w:r w:rsidR="000314F8">
        <w:rPr>
          <w:rFonts w:cstheme="minorHAnsi"/>
        </w:rPr>
        <w:t xml:space="preserve">per cent </w:t>
      </w:r>
      <w:r w:rsidRPr="00162A67">
        <w:rPr>
          <w:rFonts w:cstheme="minorHAnsi"/>
        </w:rPr>
        <w:t xml:space="preserve">(36 alumni) was achieved for returning alumni from Australia. </w:t>
      </w:r>
      <w:r w:rsidR="005C6276">
        <w:rPr>
          <w:rFonts w:cstheme="minorHAnsi"/>
        </w:rPr>
        <w:t xml:space="preserve"> Forty-four </w:t>
      </w:r>
      <w:r w:rsidR="000314F8">
        <w:rPr>
          <w:rFonts w:cstheme="minorHAnsi"/>
        </w:rPr>
        <w:t>per cent</w:t>
      </w:r>
      <w:r w:rsidRPr="00162A67">
        <w:rPr>
          <w:rFonts w:cstheme="minorHAnsi"/>
        </w:rPr>
        <w:t xml:space="preserve"> of alumni returned to substantive positions in government and state-owned enterprises, 19</w:t>
      </w:r>
      <w:r w:rsidR="000314F8">
        <w:rPr>
          <w:rFonts w:cstheme="minorHAnsi"/>
        </w:rPr>
        <w:t xml:space="preserve"> per cent</w:t>
      </w:r>
      <w:r w:rsidRPr="00162A67">
        <w:rPr>
          <w:rFonts w:cstheme="minorHAnsi"/>
        </w:rPr>
        <w:t xml:space="preserve"> </w:t>
      </w:r>
      <w:r w:rsidR="003757F1">
        <w:rPr>
          <w:rFonts w:cstheme="minorHAnsi"/>
        </w:rPr>
        <w:t>and</w:t>
      </w:r>
      <w:r w:rsidRPr="00162A67">
        <w:rPr>
          <w:rFonts w:cstheme="minorHAnsi"/>
        </w:rPr>
        <w:t xml:space="preserve"> 16</w:t>
      </w:r>
      <w:r w:rsidR="005C6276">
        <w:rPr>
          <w:rFonts w:cstheme="minorHAnsi"/>
        </w:rPr>
        <w:t xml:space="preserve"> </w:t>
      </w:r>
      <w:r w:rsidR="000314F8">
        <w:rPr>
          <w:rFonts w:cstheme="minorHAnsi"/>
        </w:rPr>
        <w:t xml:space="preserve">per cent </w:t>
      </w:r>
      <w:r w:rsidRPr="00162A67">
        <w:rPr>
          <w:rFonts w:cstheme="minorHAnsi"/>
        </w:rPr>
        <w:t xml:space="preserve">respectively returned to employment in academic institutions (FNU &amp; USP) </w:t>
      </w:r>
      <w:r w:rsidR="004D6DD6">
        <w:rPr>
          <w:rFonts w:cstheme="minorHAnsi"/>
        </w:rPr>
        <w:t xml:space="preserve">and </w:t>
      </w:r>
      <w:r w:rsidR="004D3C5E">
        <w:rPr>
          <w:rFonts w:cstheme="minorHAnsi"/>
        </w:rPr>
        <w:t xml:space="preserve">the </w:t>
      </w:r>
      <w:r w:rsidR="004D3C5E" w:rsidRPr="00162A67">
        <w:rPr>
          <w:rFonts w:cstheme="minorHAnsi"/>
        </w:rPr>
        <w:t>private</w:t>
      </w:r>
      <w:r w:rsidRPr="00162A67">
        <w:rPr>
          <w:rFonts w:cstheme="minorHAnsi"/>
        </w:rPr>
        <w:t xml:space="preserve"> sector. Of the 36 alumni that returned in this period, only </w:t>
      </w:r>
      <w:r w:rsidR="00BD57AE">
        <w:rPr>
          <w:rFonts w:cstheme="minorHAnsi"/>
        </w:rPr>
        <w:t>one</w:t>
      </w:r>
      <w:r w:rsidR="00BD57AE" w:rsidRPr="00162A67">
        <w:rPr>
          <w:rFonts w:cstheme="minorHAnsi"/>
        </w:rPr>
        <w:t xml:space="preserve"> </w:t>
      </w:r>
      <w:r w:rsidR="005C6276">
        <w:rPr>
          <w:rFonts w:cstheme="minorHAnsi"/>
        </w:rPr>
        <w:t>undergraduate alumnus</w:t>
      </w:r>
      <w:r w:rsidRPr="00162A67">
        <w:rPr>
          <w:rFonts w:cstheme="minorHAnsi"/>
        </w:rPr>
        <w:t xml:space="preserve"> remain</w:t>
      </w:r>
      <w:r w:rsidR="00BD57AE">
        <w:rPr>
          <w:rFonts w:cstheme="minorHAnsi"/>
        </w:rPr>
        <w:t>s</w:t>
      </w:r>
      <w:r w:rsidRPr="00162A67">
        <w:rPr>
          <w:rFonts w:cstheme="minorHAnsi"/>
        </w:rPr>
        <w:t xml:space="preserve"> unemployed. The high completion rate is reflective of the meritorious selection process in place. </w:t>
      </w:r>
    </w:p>
    <w:p w:rsidR="00962DC8" w:rsidRPr="00162A67" w:rsidRDefault="00962DC8" w:rsidP="00965A3E">
      <w:pPr>
        <w:rPr>
          <w:rFonts w:cstheme="minorHAnsi"/>
        </w:rPr>
      </w:pPr>
      <w:r w:rsidRPr="00162A67">
        <w:rPr>
          <w:rFonts w:cstheme="minorHAnsi"/>
        </w:rPr>
        <w:t>Alumni engagem</w:t>
      </w:r>
      <w:r w:rsidR="003757F1">
        <w:rPr>
          <w:rFonts w:cstheme="minorHAnsi"/>
        </w:rPr>
        <w:t xml:space="preserve">ent remains a key priority.  There are plans </w:t>
      </w:r>
      <w:r w:rsidRPr="00162A67">
        <w:rPr>
          <w:rFonts w:cstheme="minorHAnsi"/>
        </w:rPr>
        <w:t>to strengthen alumni engagement</w:t>
      </w:r>
      <w:r w:rsidR="00BD57AE">
        <w:rPr>
          <w:rFonts w:cstheme="minorHAnsi"/>
        </w:rPr>
        <w:t xml:space="preserve"> for the next reporting period.  The Australia Awards Global Strategy will provide guidance for alumni management.</w:t>
      </w:r>
      <w:r w:rsidRPr="00162A67">
        <w:rPr>
          <w:rFonts w:cstheme="minorHAnsi"/>
        </w:rPr>
        <w:t xml:space="preserve"> </w:t>
      </w:r>
      <w:r w:rsidR="007807A6">
        <w:rPr>
          <w:rFonts w:cstheme="minorHAnsi"/>
        </w:rPr>
        <w:t xml:space="preserve"> </w:t>
      </w:r>
    </w:p>
    <w:p w:rsidR="00B07F14" w:rsidRDefault="00B07F14">
      <w:pPr>
        <w:suppressAutoHyphens w:val="0"/>
        <w:spacing w:before="0" w:after="120" w:line="440" w:lineRule="atLeast"/>
        <w:rPr>
          <w:rFonts w:cstheme="minorHAnsi"/>
          <w:b/>
        </w:rPr>
      </w:pPr>
      <w:r>
        <w:rPr>
          <w:rFonts w:cstheme="minorHAnsi"/>
          <w:b/>
        </w:rPr>
        <w:br w:type="page"/>
      </w:r>
    </w:p>
    <w:p w:rsidR="00962DC8" w:rsidRPr="00430439" w:rsidRDefault="009C24CE" w:rsidP="00962DC8">
      <w:pPr>
        <w:spacing w:line="240" w:lineRule="auto"/>
        <w:rPr>
          <w:rFonts w:cstheme="minorHAnsi"/>
          <w:b/>
        </w:rPr>
      </w:pPr>
      <w:r w:rsidRPr="00430439">
        <w:rPr>
          <w:rFonts w:cstheme="minorHAnsi"/>
          <w:b/>
        </w:rPr>
        <w:lastRenderedPageBreak/>
        <w:t xml:space="preserve">2. Health Sector </w:t>
      </w:r>
      <w:r w:rsidR="00962DC8" w:rsidRPr="00430439">
        <w:rPr>
          <w:rFonts w:cstheme="minorHAnsi"/>
          <w:b/>
        </w:rPr>
        <w:t>Support</w:t>
      </w:r>
    </w:p>
    <w:p w:rsidR="003278E1" w:rsidRPr="001F65C5" w:rsidRDefault="003278E1" w:rsidP="003278E1">
      <w:pPr>
        <w:rPr>
          <w:lang w:val="en-AU"/>
        </w:rPr>
      </w:pPr>
      <w:r>
        <w:t>The Fiji Health Program commenced in July 2017 ($20.7m</w:t>
      </w:r>
      <w:r w:rsidR="000314F8">
        <w:t xml:space="preserve">illion </w:t>
      </w:r>
      <w:r>
        <w:t xml:space="preserve">over </w:t>
      </w:r>
      <w:r w:rsidR="000314F8">
        <w:t>five</w:t>
      </w:r>
      <w:r w:rsidRPr="001A7D97">
        <w:t xml:space="preserve"> years)</w:t>
      </w:r>
      <w:r>
        <w:t xml:space="preserve">.  Managed by the Facility, it </w:t>
      </w:r>
      <w:r w:rsidRPr="006854F7">
        <w:t xml:space="preserve">contributes towards </w:t>
      </w:r>
      <w:r>
        <w:t>reducing mortality rates for</w:t>
      </w:r>
      <w:r w:rsidRPr="006854F7">
        <w:t xml:space="preserve"> mothers, children and infants, increased health spending, and the efficiency and</w:t>
      </w:r>
      <w:r>
        <w:t xml:space="preserve"> reach of basic health services</w:t>
      </w:r>
      <w:r w:rsidRPr="006854F7">
        <w:t>.</w:t>
      </w:r>
      <w:r w:rsidR="00505D81" w:rsidRPr="00505D81">
        <w:rPr>
          <w:lang w:val="en-AU"/>
        </w:rPr>
        <w:t xml:space="preserve"> </w:t>
      </w:r>
      <w:r w:rsidR="00505D81" w:rsidRPr="001F65C5">
        <w:rPr>
          <w:lang w:val="en-AU"/>
        </w:rPr>
        <w:t>I</w:t>
      </w:r>
      <w:r w:rsidR="00BD57AE">
        <w:rPr>
          <w:lang w:val="en-AU"/>
        </w:rPr>
        <w:t>n 2016,</w:t>
      </w:r>
      <w:r w:rsidR="00C970FF">
        <w:rPr>
          <w:lang w:val="en-AU"/>
        </w:rPr>
        <w:t xml:space="preserve"> Fiji’s </w:t>
      </w:r>
      <w:r w:rsidR="00505D81" w:rsidRPr="001F65C5">
        <w:rPr>
          <w:lang w:val="en-AU"/>
        </w:rPr>
        <w:t xml:space="preserve">GDP per capita </w:t>
      </w:r>
      <w:r w:rsidR="00C970FF">
        <w:rPr>
          <w:lang w:val="en-AU"/>
        </w:rPr>
        <w:t>was</w:t>
      </w:r>
      <w:r w:rsidR="00505D81" w:rsidRPr="001F65C5">
        <w:rPr>
          <w:lang w:val="en-AU"/>
        </w:rPr>
        <w:t xml:space="preserve"> </w:t>
      </w:r>
      <w:r w:rsidR="005C6276">
        <w:rPr>
          <w:lang w:val="en-AU"/>
        </w:rPr>
        <w:t>$7,465</w:t>
      </w:r>
      <w:r w:rsidR="00C970FF">
        <w:rPr>
          <w:lang w:val="en-AU"/>
        </w:rPr>
        <w:t xml:space="preserve"> and per capital expenditure on health was </w:t>
      </w:r>
      <w:r w:rsidR="005C6276">
        <w:rPr>
          <w:lang w:val="en-AU"/>
        </w:rPr>
        <w:t>$300</w:t>
      </w:r>
      <w:r w:rsidR="00C970FF">
        <w:rPr>
          <w:lang w:val="en-AU"/>
        </w:rPr>
        <w:t xml:space="preserve">; with </w:t>
      </w:r>
      <w:r w:rsidR="00505D81" w:rsidRPr="001F65C5">
        <w:rPr>
          <w:lang w:val="en-AU"/>
        </w:rPr>
        <w:t xml:space="preserve">total health expenditure as a proportion of GDP </w:t>
      </w:r>
      <w:r w:rsidR="00C970FF">
        <w:rPr>
          <w:lang w:val="en-AU"/>
        </w:rPr>
        <w:t xml:space="preserve">of </w:t>
      </w:r>
      <w:r w:rsidR="00505D81" w:rsidRPr="001F65C5">
        <w:rPr>
          <w:lang w:val="en-AU"/>
        </w:rPr>
        <w:t>4.5</w:t>
      </w:r>
      <w:r w:rsidR="00C970FF">
        <w:rPr>
          <w:lang w:val="en-AU"/>
        </w:rPr>
        <w:t xml:space="preserve"> per cent</w:t>
      </w:r>
      <w:r w:rsidR="00505D81" w:rsidRPr="001F65C5">
        <w:rPr>
          <w:lang w:val="en-AU"/>
        </w:rPr>
        <w:t>. It generally under-invests in public health financing, yet still manages to have a prim</w:t>
      </w:r>
      <w:r w:rsidR="00505D81">
        <w:rPr>
          <w:lang w:val="en-AU"/>
        </w:rPr>
        <w:t>ary health care system that is accessible</w:t>
      </w:r>
      <w:r w:rsidR="00505D81" w:rsidRPr="001F65C5">
        <w:rPr>
          <w:lang w:val="en-AU"/>
        </w:rPr>
        <w:t xml:space="preserve"> to 80</w:t>
      </w:r>
      <w:r w:rsidR="00C970FF">
        <w:rPr>
          <w:lang w:val="en-AU"/>
        </w:rPr>
        <w:t xml:space="preserve"> </w:t>
      </w:r>
      <w:r w:rsidR="000314F8">
        <w:rPr>
          <w:lang w:val="en-AU"/>
        </w:rPr>
        <w:t>per cent</w:t>
      </w:r>
      <w:r w:rsidR="00C970FF">
        <w:rPr>
          <w:lang w:val="en-AU"/>
        </w:rPr>
        <w:t xml:space="preserve"> </w:t>
      </w:r>
      <w:r w:rsidR="00505D81" w:rsidRPr="001F65C5">
        <w:rPr>
          <w:lang w:val="en-AU"/>
        </w:rPr>
        <w:t>of the population</w:t>
      </w:r>
      <w:r w:rsidR="001F65C5" w:rsidRPr="001F65C5">
        <w:rPr>
          <w:lang w:val="en-AU"/>
        </w:rPr>
        <w:t xml:space="preserve">. </w:t>
      </w:r>
      <w:r w:rsidR="00BD57AE" w:rsidRPr="001F65C5">
        <w:rPr>
          <w:vertAlign w:val="superscript"/>
          <w:lang w:val="en-AU"/>
        </w:rPr>
        <w:footnoteReference w:id="9"/>
      </w:r>
    </w:p>
    <w:p w:rsidR="003278E1" w:rsidRDefault="003278E1" w:rsidP="003278E1">
      <w:r>
        <w:t>Australia supports Fiji’s health sector to respond to health challenges through activities oriented to support the achievement of Fiji’s Ministry of Health and Medical Services (MHMS) Strategic Plan. The Health Program’s support includes: a) technical support to the MHMS to enhance or develop initiatives, systems, and processes, b) procurement of equipment and key supplies, c) training support, d) MHMS led initiatives and innovations, and e) CSO grants.</w:t>
      </w:r>
      <w:r w:rsidR="00C65806">
        <w:t xml:space="preserve"> </w:t>
      </w:r>
      <w:r w:rsidR="001F65C5">
        <w:t>These outputs supported MHM</w:t>
      </w:r>
      <w:r w:rsidR="000314F8">
        <w:t>S’</w:t>
      </w:r>
      <w:r w:rsidR="001F65C5">
        <w:t xml:space="preserve"> key priorities in quality of services, staff and facilities</w:t>
      </w:r>
      <w:r w:rsidR="006056D9">
        <w:t>, providing improved care across the entire Fijian health system</w:t>
      </w:r>
    </w:p>
    <w:p w:rsidR="003278E1" w:rsidRPr="005A5659" w:rsidRDefault="003278E1" w:rsidP="003278E1">
      <w:r w:rsidRPr="005A5659">
        <w:t xml:space="preserve">We supported the </w:t>
      </w:r>
      <w:r>
        <w:t xml:space="preserve">strengthening of maternal services in four key community hospitals to improve access and service quality for mothers and their newborns, </w:t>
      </w:r>
      <w:r w:rsidR="00F739F3">
        <w:t>including support to train 40 midwives locally to help address a critical shortage in Fiji</w:t>
      </w:r>
      <w:r w:rsidR="00F739F3" w:rsidRPr="005A5659">
        <w:t xml:space="preserve"> </w:t>
      </w:r>
      <w:r w:rsidR="00F739F3">
        <w:t>(the maximum number that can be trained in Fiji p</w:t>
      </w:r>
      <w:r w:rsidR="00C970FF">
        <w:t xml:space="preserve">er year due to course limits).  </w:t>
      </w:r>
      <w:r w:rsidR="00F739F3">
        <w:t>Fiji currently has 181 active midwives. Based on the global midwives to deliveries ratio</w:t>
      </w:r>
      <w:r w:rsidR="00C970FF">
        <w:t>,</w:t>
      </w:r>
      <w:r w:rsidR="00F739F3">
        <w:t xml:space="preserve"> Fiji s</w:t>
      </w:r>
      <w:r w:rsidR="00C970FF">
        <w:t xml:space="preserve">hould have 620 active midwives. </w:t>
      </w:r>
      <w:r w:rsidR="00F739F3">
        <w:t xml:space="preserve"> </w:t>
      </w:r>
      <w:r>
        <w:t xml:space="preserve">Our support for the installation of urgently needed oxygen concentrators to replace bottled oxygen in one sub-divisional hospital through </w:t>
      </w:r>
      <w:r w:rsidR="00C65806">
        <w:t xml:space="preserve">a joint </w:t>
      </w:r>
      <w:r>
        <w:t xml:space="preserve">funding arrangement with CureKids Fiji is helping to increase the reliability of oxygen supplies not only for children but for </w:t>
      </w:r>
      <w:r w:rsidR="00C970FF">
        <w:t xml:space="preserve">the </w:t>
      </w:r>
      <w:r>
        <w:t>surrounding population</w:t>
      </w:r>
      <w:r w:rsidR="005C6276">
        <w:t>.</w:t>
      </w:r>
      <w:r>
        <w:t xml:space="preserve"> This will help MHMS address the high cost of bottled oxygen locally</w:t>
      </w:r>
      <w:r w:rsidR="006056D9">
        <w:t>, providing important savings that can be redirected to other pressing health priorities</w:t>
      </w:r>
      <w:r w:rsidR="00F739F3">
        <w:t>.</w:t>
      </w:r>
    </w:p>
    <w:p w:rsidR="003278E1" w:rsidRPr="00445578" w:rsidRDefault="003278E1" w:rsidP="003278E1">
      <w:pPr>
        <w:rPr>
          <w:b/>
        </w:rPr>
      </w:pPr>
      <w:r w:rsidRPr="00445578">
        <w:rPr>
          <w:b/>
        </w:rPr>
        <w:t xml:space="preserve">Outcome 1:  sub-divisional hospitals </w:t>
      </w:r>
      <w:r>
        <w:rPr>
          <w:b/>
        </w:rPr>
        <w:t xml:space="preserve">managing decentralised clinical health </w:t>
      </w:r>
      <w:r w:rsidRPr="00445578">
        <w:rPr>
          <w:b/>
        </w:rPr>
        <w:t>services</w:t>
      </w:r>
    </w:p>
    <w:p w:rsidR="003278E1" w:rsidRDefault="003278E1" w:rsidP="003278E1">
      <w:r w:rsidRPr="005A5659">
        <w:t xml:space="preserve">During the reporting period, Australia provided technical assistance to </w:t>
      </w:r>
      <w:r>
        <w:t xml:space="preserve">design and implement a new model of care for </w:t>
      </w:r>
      <w:r w:rsidR="00F739F3">
        <w:t xml:space="preserve">four </w:t>
      </w:r>
      <w:r>
        <w:t>of the larger sub-divisional hospitals, aiming to improve the quality of care and safe services for mothers and their babies and bring services closer to people’s homes</w:t>
      </w:r>
      <w:r w:rsidR="000314F8">
        <w:t>,</w:t>
      </w:r>
      <w:r>
        <w:t xml:space="preserve"> taking pressure off the main divisional hospitals. This model of care includes mentoring, monthly rotation of clinical midwives at the pilot sub-divisional hospitals, and monthly outreach by senior obstetricians. Evidence of impacts includes an increase in adherence to Mother and Neonatal Safe Hospital Initiative standards across the four hospitals from 58</w:t>
      </w:r>
      <w:r w:rsidR="000314F8">
        <w:t xml:space="preserve"> per cent</w:t>
      </w:r>
      <w:r>
        <w:t xml:space="preserve"> in 2018 to 73</w:t>
      </w:r>
      <w:r w:rsidR="00C970FF">
        <w:t xml:space="preserve"> </w:t>
      </w:r>
      <w:r w:rsidR="000314F8">
        <w:t xml:space="preserve">per cent </w:t>
      </w:r>
      <w:r>
        <w:t>in May 2019</w:t>
      </w:r>
      <w:r w:rsidR="00F739F3">
        <w:t>.</w:t>
      </w:r>
    </w:p>
    <w:p w:rsidR="003278E1" w:rsidRDefault="003278E1" w:rsidP="003278E1">
      <w:r>
        <w:t>Building upon our earlier contribution towards the establishment of the Vaccine Preventable Disease Unit</w:t>
      </w:r>
      <w:r w:rsidR="00AF0A07">
        <w:t>,</w:t>
      </w:r>
      <w:r>
        <w:t xml:space="preserve"> the program supported the MHMS HR budget bid for this unit, resulting in the recruitment of a Surveillance Officer. This will mean quicker identification of outbreaks of diseases </w:t>
      </w:r>
      <w:r w:rsidR="00C970FF">
        <w:t>such as</w:t>
      </w:r>
      <w:r>
        <w:t xml:space="preserve"> measles, polio, and neonatal tetanus, leading to quicker responses and thus </w:t>
      </w:r>
      <w:r w:rsidR="00C970FF">
        <w:t>fewer</w:t>
      </w:r>
      <w:r>
        <w:t xml:space="preserve"> children and adults contracting such diseases. </w:t>
      </w:r>
      <w:r w:rsidR="001F65C5">
        <w:t xml:space="preserve">  </w:t>
      </w:r>
    </w:p>
    <w:p w:rsidR="003278E1" w:rsidRPr="00406E8E" w:rsidRDefault="003278E1" w:rsidP="003278E1">
      <w:pPr>
        <w:rPr>
          <w:b/>
        </w:rPr>
      </w:pPr>
      <w:r w:rsidRPr="00445578">
        <w:rPr>
          <w:b/>
        </w:rPr>
        <w:t xml:space="preserve">Outcome 2: </w:t>
      </w:r>
      <w:r w:rsidRPr="00406E8E">
        <w:rPr>
          <w:b/>
        </w:rPr>
        <w:t xml:space="preserve">functional annual planning, implementation, monitoring and reporting cycles consistently applied </w:t>
      </w:r>
      <w:r>
        <w:rPr>
          <w:b/>
        </w:rPr>
        <w:t>within</w:t>
      </w:r>
      <w:r w:rsidRPr="00170C85">
        <w:rPr>
          <w:b/>
        </w:rPr>
        <w:t xml:space="preserve"> the Ministry of Health and Medical </w:t>
      </w:r>
      <w:r w:rsidRPr="005A5659">
        <w:rPr>
          <w:b/>
        </w:rPr>
        <w:t>Services (MHMS)</w:t>
      </w:r>
      <w:r w:rsidRPr="00406E8E">
        <w:rPr>
          <w:b/>
        </w:rPr>
        <w:t xml:space="preserve"> </w:t>
      </w:r>
    </w:p>
    <w:p w:rsidR="003278E1" w:rsidRDefault="003278E1" w:rsidP="003278E1">
      <w:r>
        <w:t>The focus on budget execution rates is important, as historically the MHMS was challenged to use i</w:t>
      </w:r>
      <w:r w:rsidR="001F65C5">
        <w:t>t</w:t>
      </w:r>
      <w:r>
        <w:t>s annual budget allocation. Australia’s collaborative fiscal planning effort with MHMS has contributed directly to the decrease in staffing gaps from 19</w:t>
      </w:r>
      <w:r w:rsidR="007914F1">
        <w:t xml:space="preserve"> </w:t>
      </w:r>
      <w:r w:rsidR="000314F8">
        <w:t>per cent</w:t>
      </w:r>
      <w:r>
        <w:t xml:space="preserve"> in 2017 to 17</w:t>
      </w:r>
      <w:r w:rsidR="00C970FF">
        <w:t xml:space="preserve"> </w:t>
      </w:r>
      <w:r w:rsidR="000314F8">
        <w:t>per cent</w:t>
      </w:r>
      <w:r>
        <w:t xml:space="preserve"> in 2019, and MHMS annual budget execution rates tracked consistently higher than the previous reporting period.  </w:t>
      </w:r>
      <w:r w:rsidR="00AF0A07">
        <w:t xml:space="preserve">This form of catalytic support helps Fiji use its own resources to drive improved health outcomes. </w:t>
      </w:r>
    </w:p>
    <w:p w:rsidR="003278E1" w:rsidRDefault="003278E1" w:rsidP="003278E1">
      <w:r>
        <w:t>The value of services planning in the health sector cannot be understated. Australia supported the development of a Role Delineation Model, which provides guidance on the scope and level of specialisation that might be appropriate for different population sizes and patient need</w:t>
      </w:r>
      <w:r w:rsidR="001F65C5">
        <w:t>s</w:t>
      </w:r>
      <w:r>
        <w:t xml:space="preserve">. This work has </w:t>
      </w:r>
      <w:r w:rsidR="001F65C5">
        <w:t xml:space="preserve">supported </w:t>
      </w:r>
      <w:r>
        <w:t xml:space="preserve">senior health staff </w:t>
      </w:r>
      <w:r w:rsidR="000314F8">
        <w:t xml:space="preserve">to determine </w:t>
      </w:r>
      <w:r>
        <w:t xml:space="preserve">how best they might develop their services. </w:t>
      </w:r>
      <w:r w:rsidR="00C970FF">
        <w:t xml:space="preserve"> </w:t>
      </w:r>
    </w:p>
    <w:p w:rsidR="003278E1" w:rsidRDefault="003278E1" w:rsidP="003278E1">
      <w:r>
        <w:lastRenderedPageBreak/>
        <w:t xml:space="preserve">Support for the development of the Human Resources Management Information System has resulted in significant improvements in data accuracy to the point that the MHMS example is now being rolled out to other Ministries so it can be a consistent tool across whole of government. This is also helping to fill vacancies, inform workforce planning, improve budgeting, and optimise the utilisation of funding. </w:t>
      </w:r>
    </w:p>
    <w:p w:rsidR="003278E1" w:rsidRDefault="003278E1" w:rsidP="003278E1">
      <w:r>
        <w:t>We have supported Canberra</w:t>
      </w:r>
      <w:r w:rsidR="000314F8">
        <w:t>-</w:t>
      </w:r>
      <w:r>
        <w:t xml:space="preserve">led initiatives that produced positive health outcomes for Fiji. Our Humanitarian Preparedness and Response section began working with MHMS in 2016 to become a WHO accredited emergency medical assistance team (FEMAT). Accreditation was achieved in May 2019 and FEMAT is now able to deploy domestically and across the Pacific region, providing a broad range of field based emergency and medical services.  </w:t>
      </w:r>
      <w:r w:rsidR="00AF0A07">
        <w:t xml:space="preserve">This capability strengthens the role of Fiji as a potential health hub of the Pacific region. </w:t>
      </w:r>
    </w:p>
    <w:p w:rsidR="00962DC8" w:rsidRPr="00430439" w:rsidRDefault="00927E08" w:rsidP="006313C5">
      <w:pPr>
        <w:spacing w:line="240" w:lineRule="auto"/>
        <w:rPr>
          <w:rFonts w:cstheme="minorHAnsi"/>
          <w:b/>
        </w:rPr>
      </w:pPr>
      <w:r w:rsidRPr="00430439">
        <w:rPr>
          <w:rFonts w:cstheme="minorHAnsi"/>
          <w:b/>
        </w:rPr>
        <w:t xml:space="preserve">3. </w:t>
      </w:r>
      <w:r w:rsidR="00962DC8" w:rsidRPr="00430439">
        <w:rPr>
          <w:rFonts w:cstheme="minorHAnsi"/>
          <w:b/>
        </w:rPr>
        <w:t>Gender and Social Inclusion</w:t>
      </w:r>
    </w:p>
    <w:p w:rsidR="00C226FD" w:rsidRPr="00210EB5" w:rsidRDefault="00C226FD" w:rsidP="00210EB5">
      <w:pPr>
        <w:spacing w:line="240" w:lineRule="auto"/>
        <w:rPr>
          <w:rFonts w:cstheme="minorHAnsi"/>
        </w:rPr>
      </w:pPr>
      <w:r w:rsidRPr="00210EB5">
        <w:rPr>
          <w:rFonts w:cstheme="minorHAnsi"/>
        </w:rPr>
        <w:t xml:space="preserve">The </w:t>
      </w:r>
      <w:r w:rsidR="000314F8">
        <w:rPr>
          <w:rFonts w:cstheme="minorHAnsi"/>
        </w:rPr>
        <w:t>GoF</w:t>
      </w:r>
      <w:r w:rsidRPr="00210EB5">
        <w:rPr>
          <w:rFonts w:cstheme="minorHAnsi"/>
        </w:rPr>
        <w:t xml:space="preserve"> is committed to gender equality and the empowerment of women and girls. The Fiji National Gender Policy 2014 focuses on the promotion of women’s human rights and gender mainstreaming across development planning and decision making processes within government, as well as addressing structural and social barriers that impede gender equality. The policy is consistent with the Governm</w:t>
      </w:r>
      <w:r w:rsidR="005C6276">
        <w:rPr>
          <w:rFonts w:cstheme="minorHAnsi"/>
        </w:rPr>
        <w:t>ent’s commitment to implement</w:t>
      </w:r>
      <w:r w:rsidRPr="00210EB5">
        <w:rPr>
          <w:rFonts w:cstheme="minorHAnsi"/>
        </w:rPr>
        <w:t xml:space="preserve"> the Women’s Plan of Action (WPA 2010- 2019), which aligns with the Beijing Platform for Action, and Fiji’s commitments under the Convention on the Elimination of Discrimination Against Women.</w:t>
      </w:r>
    </w:p>
    <w:p w:rsidR="00C226FD" w:rsidRPr="00210EB5" w:rsidRDefault="00C226FD" w:rsidP="00210EB5">
      <w:pPr>
        <w:spacing w:line="240" w:lineRule="auto"/>
        <w:rPr>
          <w:rFonts w:cstheme="minorHAnsi"/>
        </w:rPr>
      </w:pPr>
      <w:r w:rsidRPr="00210EB5">
        <w:rPr>
          <w:rFonts w:cstheme="minorHAnsi"/>
        </w:rPr>
        <w:t>Fiji’s ranking against 149 countries on the World Economic Forum’s (WEF) Global Gender Gap assessment improved from 121 in 2015 to 106 in 2018. The WEF Report</w:t>
      </w:r>
      <w:r w:rsidRPr="00210EB5">
        <w:rPr>
          <w:rStyle w:val="FootnoteReference"/>
          <w:rFonts w:cstheme="minorHAnsi"/>
        </w:rPr>
        <w:footnoteReference w:id="10"/>
      </w:r>
      <w:r w:rsidRPr="00210EB5">
        <w:rPr>
          <w:rFonts w:cstheme="minorHAnsi"/>
        </w:rPr>
        <w:t xml:space="preserve"> measures gender parity across four broad areas: economic participation and opportunity; educational attainment; political empowerment; and health and survival. </w:t>
      </w:r>
    </w:p>
    <w:p w:rsidR="00C226FD" w:rsidRPr="00210EB5" w:rsidRDefault="00C226FD" w:rsidP="00210EB5">
      <w:pPr>
        <w:spacing w:line="240" w:lineRule="auto"/>
        <w:rPr>
          <w:rFonts w:cstheme="minorHAnsi"/>
          <w:lang w:val="en"/>
        </w:rPr>
      </w:pPr>
      <w:r w:rsidRPr="00210EB5">
        <w:rPr>
          <w:rFonts w:cstheme="minorHAnsi"/>
        </w:rPr>
        <w:t>Despite these improvements, gender inequality remains a challenge for Fiji’s sustainable development.</w:t>
      </w:r>
      <w:r w:rsidRPr="00210EB5">
        <w:rPr>
          <w:rFonts w:cstheme="minorHAnsi"/>
          <w:lang w:val="en"/>
        </w:rPr>
        <w:t xml:space="preserve"> Fiji has one of the highest rates of domestic and sexual violence in the world with almost two-thirds of the country's women experiencing domestic or sexual violence during their li</w:t>
      </w:r>
      <w:r w:rsidR="005C6276">
        <w:rPr>
          <w:rFonts w:cstheme="minorHAnsi"/>
          <w:lang w:val="en"/>
        </w:rPr>
        <w:t xml:space="preserve">fetime. In 2018, nine of every ten </w:t>
      </w:r>
      <w:r w:rsidRPr="00210EB5">
        <w:rPr>
          <w:rFonts w:cstheme="minorHAnsi"/>
          <w:lang w:val="en"/>
        </w:rPr>
        <w:t>sexual offences reported to the police were reported by women survivors of violence. There are also significant gender gaps in labo</w:t>
      </w:r>
      <w:r w:rsidR="00C970FF">
        <w:rPr>
          <w:rFonts w:cstheme="minorHAnsi"/>
          <w:lang w:val="en"/>
        </w:rPr>
        <w:t>u</w:t>
      </w:r>
      <w:r w:rsidRPr="00210EB5">
        <w:rPr>
          <w:rFonts w:cstheme="minorHAnsi"/>
          <w:lang w:val="en"/>
        </w:rPr>
        <w:t>r force participation (men 76.4</w:t>
      </w:r>
      <w:r w:rsidR="00C970FF">
        <w:rPr>
          <w:rFonts w:cstheme="minorHAnsi"/>
          <w:lang w:val="en"/>
        </w:rPr>
        <w:t xml:space="preserve"> </w:t>
      </w:r>
      <w:r w:rsidR="000314F8">
        <w:rPr>
          <w:rFonts w:cstheme="minorHAnsi"/>
          <w:lang w:val="en"/>
        </w:rPr>
        <w:t>per cent</w:t>
      </w:r>
      <w:r w:rsidRPr="00210EB5">
        <w:rPr>
          <w:rFonts w:cstheme="minorHAnsi"/>
          <w:lang w:val="en"/>
        </w:rPr>
        <w:t>; women 37.4</w:t>
      </w:r>
      <w:r w:rsidR="00C970FF">
        <w:rPr>
          <w:rFonts w:cstheme="minorHAnsi"/>
          <w:lang w:val="en"/>
        </w:rPr>
        <w:t xml:space="preserve"> </w:t>
      </w:r>
      <w:r w:rsidR="000314F8">
        <w:rPr>
          <w:rFonts w:cstheme="minorHAnsi"/>
          <w:lang w:val="en"/>
        </w:rPr>
        <w:t>per cent</w:t>
      </w:r>
      <w:r w:rsidRPr="00210EB5">
        <w:rPr>
          <w:rFonts w:cstheme="minorHAnsi"/>
          <w:lang w:val="en"/>
        </w:rPr>
        <w:t>) and unemployment rates (men 2.9</w:t>
      </w:r>
      <w:r w:rsidR="00C970FF">
        <w:rPr>
          <w:rFonts w:cstheme="minorHAnsi"/>
          <w:lang w:val="en"/>
        </w:rPr>
        <w:t xml:space="preserve"> </w:t>
      </w:r>
      <w:r w:rsidR="000314F8">
        <w:rPr>
          <w:rFonts w:cstheme="minorHAnsi"/>
          <w:lang w:val="en"/>
        </w:rPr>
        <w:t>per cent</w:t>
      </w:r>
      <w:r w:rsidRPr="00210EB5">
        <w:rPr>
          <w:rFonts w:cstheme="minorHAnsi"/>
          <w:lang w:val="en"/>
        </w:rPr>
        <w:t>; women 7.8</w:t>
      </w:r>
      <w:r w:rsidR="00C970FF">
        <w:rPr>
          <w:rFonts w:cstheme="minorHAnsi"/>
          <w:lang w:val="en"/>
        </w:rPr>
        <w:t xml:space="preserve"> </w:t>
      </w:r>
      <w:r w:rsidR="000314F8">
        <w:rPr>
          <w:rFonts w:cstheme="minorHAnsi"/>
          <w:lang w:val="en"/>
        </w:rPr>
        <w:t>per cent</w:t>
      </w:r>
      <w:r w:rsidRPr="00210EB5">
        <w:rPr>
          <w:rFonts w:cstheme="minorHAnsi"/>
          <w:lang w:val="en"/>
        </w:rPr>
        <w:t xml:space="preserve">). In the 2018 Fiji General Elections, </w:t>
      </w:r>
      <w:r w:rsidR="000314F8">
        <w:rPr>
          <w:rFonts w:cstheme="minorHAnsi"/>
          <w:lang w:val="en"/>
        </w:rPr>
        <w:t xml:space="preserve">however, </w:t>
      </w:r>
      <w:r w:rsidR="005C6276">
        <w:rPr>
          <w:rFonts w:cstheme="minorHAnsi"/>
          <w:lang w:val="en"/>
        </w:rPr>
        <w:t xml:space="preserve">ten </w:t>
      </w:r>
      <w:r w:rsidR="000314F8">
        <w:rPr>
          <w:rFonts w:cstheme="minorHAnsi"/>
          <w:lang w:val="en"/>
        </w:rPr>
        <w:t xml:space="preserve">women </w:t>
      </w:r>
      <w:r w:rsidRPr="00210EB5">
        <w:rPr>
          <w:rFonts w:cstheme="minorHAnsi"/>
          <w:lang w:val="en"/>
        </w:rPr>
        <w:t xml:space="preserve">were elected into Parliament. </w:t>
      </w:r>
    </w:p>
    <w:p w:rsidR="00C226FD" w:rsidRPr="00210EB5" w:rsidRDefault="00C226FD" w:rsidP="00210EB5">
      <w:pPr>
        <w:spacing w:line="240" w:lineRule="auto"/>
        <w:rPr>
          <w:rFonts w:cstheme="minorHAnsi"/>
        </w:rPr>
      </w:pPr>
      <w:r w:rsidRPr="00210EB5">
        <w:rPr>
          <w:rFonts w:cstheme="minorHAnsi"/>
        </w:rPr>
        <w:t>Australia’s Pacific Women Shaping Pacific Development (</w:t>
      </w:r>
      <w:r w:rsidRPr="00210EB5">
        <w:rPr>
          <w:rFonts w:cstheme="minorHAnsi"/>
          <w:i/>
        </w:rPr>
        <w:t>Pacific Women</w:t>
      </w:r>
      <w:r w:rsidRPr="00210EB5">
        <w:rPr>
          <w:rFonts w:cstheme="minorHAnsi"/>
        </w:rPr>
        <w:t xml:space="preserve">) program aims to improve opportunities for the political, economic and social advancement of Pacific Women. The second </w:t>
      </w:r>
      <w:r w:rsidRPr="00210EB5">
        <w:rPr>
          <w:rFonts w:cstheme="minorHAnsi"/>
          <w:i/>
        </w:rPr>
        <w:t xml:space="preserve">Pacific Women </w:t>
      </w:r>
      <w:r w:rsidRPr="00210EB5">
        <w:rPr>
          <w:rFonts w:cstheme="minorHAnsi"/>
        </w:rPr>
        <w:t xml:space="preserve">Fiji Country Plan (2018–2021) builds on successes and lessons learned and supports enabling environments that enhance women’s participation in community, local and national level leadership. It also supports female market venders to work together to lead market reform and supports strategies to prevent and respond to violence against women. </w:t>
      </w:r>
      <w:r w:rsidR="00F739F3">
        <w:rPr>
          <w:rFonts w:cstheme="minorHAnsi"/>
        </w:rPr>
        <w:t xml:space="preserve"> </w:t>
      </w:r>
    </w:p>
    <w:p w:rsidR="00C226FD" w:rsidRPr="00210EB5" w:rsidRDefault="00C226FD" w:rsidP="00210EB5">
      <w:pPr>
        <w:spacing w:line="240" w:lineRule="auto"/>
        <w:rPr>
          <w:rFonts w:cstheme="minorHAnsi"/>
          <w:b/>
        </w:rPr>
      </w:pPr>
      <w:r w:rsidRPr="00210EB5">
        <w:rPr>
          <w:rFonts w:cstheme="minorHAnsi"/>
          <w:b/>
        </w:rPr>
        <w:t>Outcome 1: Women (including survivors of violence) and communities in Fiji have access to responsive support services and justice to reduce violence against women.</w:t>
      </w:r>
    </w:p>
    <w:p w:rsidR="00C226FD" w:rsidRPr="00210EB5" w:rsidRDefault="00C226FD" w:rsidP="00210EB5">
      <w:pPr>
        <w:spacing w:line="240" w:lineRule="auto"/>
        <w:rPr>
          <w:rFonts w:cstheme="minorHAnsi"/>
        </w:rPr>
      </w:pPr>
      <w:r w:rsidRPr="00210EB5">
        <w:rPr>
          <w:rFonts w:cstheme="minorHAnsi"/>
        </w:rPr>
        <w:t xml:space="preserve">For the reporting period 2018-2019, Australia’s support to the Fiji Women’s Crisis Centre (FWCC) enabled 1713 survivors of domestic and sexual violence to receive counselling, legal and medical support.  Of these, 435 cases were reported to the police with FWCC support. In November 2018, the Fiji Police Force endorsed their Gender Based Violence Policy to establish zero tolerance on all reported cases of violence against women and children. FWCC trained 126 police and law and justice officials on responsive support services and justice to reduce violence against women. FWCC will undergo an End of Program Evaluation towards the end of 2019, jointly commissioned by DFAT and </w:t>
      </w:r>
      <w:r w:rsidR="000314F8">
        <w:rPr>
          <w:rFonts w:cstheme="minorHAnsi"/>
        </w:rPr>
        <w:t>New Zealand’s Ministry of Foreign Affairs and Trade</w:t>
      </w:r>
      <w:r w:rsidRPr="00210EB5">
        <w:rPr>
          <w:rFonts w:cstheme="minorHAnsi"/>
        </w:rPr>
        <w:t xml:space="preserve">. </w:t>
      </w:r>
    </w:p>
    <w:p w:rsidR="00B07F14" w:rsidRDefault="00B07F14">
      <w:pPr>
        <w:suppressAutoHyphens w:val="0"/>
        <w:spacing w:before="0" w:after="120" w:line="440" w:lineRule="atLeast"/>
        <w:rPr>
          <w:rFonts w:cstheme="minorHAnsi"/>
        </w:rPr>
      </w:pPr>
      <w:r>
        <w:rPr>
          <w:rFonts w:cstheme="minorHAnsi"/>
        </w:rPr>
        <w:br w:type="page"/>
      </w:r>
    </w:p>
    <w:p w:rsidR="000314F8" w:rsidRDefault="00C226FD" w:rsidP="00210EB5">
      <w:pPr>
        <w:spacing w:line="240" w:lineRule="auto"/>
        <w:rPr>
          <w:rFonts w:cstheme="minorHAnsi"/>
          <w:lang w:val="en-AU"/>
        </w:rPr>
      </w:pPr>
      <w:r w:rsidRPr="00210EB5">
        <w:rPr>
          <w:rFonts w:cstheme="minorHAnsi"/>
        </w:rPr>
        <w:lastRenderedPageBreak/>
        <w:t>The Fiji Women’s Fund (FWF) supported three grantees to deliver violence prevention programs and sexual and reproductive health and rights services</w:t>
      </w:r>
      <w:r w:rsidR="000314F8">
        <w:rPr>
          <w:rFonts w:cstheme="minorHAnsi"/>
        </w:rPr>
        <w:t xml:space="preserve">. </w:t>
      </w:r>
      <w:r w:rsidRPr="00210EB5">
        <w:rPr>
          <w:rFonts w:cstheme="minorHAnsi"/>
        </w:rPr>
        <w:t>Medical Services Pacific provided health and social services to 2997 women and men in the Maritime Islands and is one of five civil society organisations delivering services responding to gender based violence under the Fiji National Service Delivery Protocol</w:t>
      </w:r>
      <w:r w:rsidR="000314F8">
        <w:rPr>
          <w:rFonts w:cstheme="minorHAnsi"/>
        </w:rPr>
        <w:t xml:space="preserve">. </w:t>
      </w:r>
      <w:r w:rsidRPr="00210EB5">
        <w:rPr>
          <w:rFonts w:cstheme="minorHAnsi"/>
        </w:rPr>
        <w:t xml:space="preserve"> House of Sarah continued to support community activists through its Preventing Violence Against Women in Fiji’s Faith Settings program</w:t>
      </w:r>
      <w:r w:rsidR="000314F8">
        <w:rPr>
          <w:rFonts w:cstheme="minorHAnsi"/>
        </w:rPr>
        <w:t>. T</w:t>
      </w:r>
      <w:r w:rsidRPr="00210EB5">
        <w:rPr>
          <w:rFonts w:cstheme="minorHAnsi"/>
        </w:rPr>
        <w:t xml:space="preserve">he Reproductive Family Health Association of Fiji provided camps for 10 to 14 year old girls and provided sexual and reproductive health and rights training for the girls and their parents. </w:t>
      </w:r>
      <w:r w:rsidRPr="00210EB5">
        <w:rPr>
          <w:rFonts w:cstheme="minorHAnsi"/>
          <w:lang w:val="en-AU"/>
        </w:rPr>
        <w:t xml:space="preserve">Importantly, grantees engaged with men and boys, as well as women and girls, to build more comprehensive understanding of women’s rights to be free from violence. </w:t>
      </w:r>
    </w:p>
    <w:p w:rsidR="00C226FD" w:rsidRPr="00210EB5" w:rsidRDefault="000314F8" w:rsidP="00210EB5">
      <w:pPr>
        <w:spacing w:line="240" w:lineRule="auto"/>
        <w:rPr>
          <w:rFonts w:cstheme="minorHAnsi"/>
        </w:rPr>
      </w:pPr>
      <w:r>
        <w:rPr>
          <w:rFonts w:cstheme="minorHAnsi"/>
          <w:lang w:val="en-AU"/>
        </w:rPr>
        <w:t xml:space="preserve">Further, </w:t>
      </w:r>
      <w:r w:rsidR="00C226FD" w:rsidRPr="00210EB5">
        <w:rPr>
          <w:rFonts w:cstheme="minorHAnsi"/>
          <w:lang w:val="en-AU"/>
        </w:rPr>
        <w:t>House of Sarah’s community activists and Rise Beyond the Reef’s male advocates all received training to help drive the work of gender equality and address harmful norms of violence in the communities where they worked.</w:t>
      </w:r>
    </w:p>
    <w:p w:rsidR="00C226FD" w:rsidRPr="00210EB5" w:rsidRDefault="00C226FD" w:rsidP="00210EB5">
      <w:pPr>
        <w:spacing w:line="240" w:lineRule="auto"/>
        <w:rPr>
          <w:rFonts w:cstheme="minorHAnsi"/>
          <w:b/>
        </w:rPr>
      </w:pPr>
      <w:r w:rsidRPr="00210EB5">
        <w:rPr>
          <w:rFonts w:cstheme="minorHAnsi"/>
          <w:b/>
        </w:rPr>
        <w:t xml:space="preserve">Outcome 2: Women in Fiji have increased capacity to access to income generating, business and employment opportunities: </w:t>
      </w:r>
    </w:p>
    <w:p w:rsidR="00C226FD" w:rsidRPr="00210EB5" w:rsidRDefault="00C226FD" w:rsidP="00210EB5">
      <w:pPr>
        <w:spacing w:line="240" w:lineRule="auto"/>
        <w:rPr>
          <w:rFonts w:cstheme="minorHAnsi"/>
          <w:lang w:val="en-AU"/>
        </w:rPr>
      </w:pPr>
      <w:r w:rsidRPr="00210EB5">
        <w:rPr>
          <w:rFonts w:cstheme="minorHAnsi"/>
          <w:lang w:val="en-AU"/>
        </w:rPr>
        <w:t>Women’s economic empowerment is increasingly recognised as a path to improved economic development for Pacific communities and countries. It also supports efforts to increase women’s agency and end violence against women and girls through holistic designs which operate at multiple levels and include community empowerment and awareness raising for women and men.</w:t>
      </w:r>
    </w:p>
    <w:p w:rsidR="00C226FD" w:rsidRPr="00210EB5" w:rsidRDefault="00C226FD" w:rsidP="00210EB5">
      <w:pPr>
        <w:spacing w:line="240" w:lineRule="auto"/>
        <w:rPr>
          <w:rFonts w:cstheme="minorHAnsi"/>
        </w:rPr>
      </w:pPr>
      <w:r w:rsidRPr="00210EB5">
        <w:rPr>
          <w:rFonts w:cstheme="minorHAnsi"/>
        </w:rPr>
        <w:t xml:space="preserve">Australia’s ongoing support for the Markets for Change (M4C) program, implemented by UN Women and UNDP, provided 829 women market vendors with financial literacy training and access to business services. M4C also supported capacity building by convening three Improving Market Safety divisional meetings in Labasa, Suva and Nadi which included police, municipal councils, vendor associations, the Ministry of Women and the Land Transport Authority which resulted in Crime Prevention Committees for all 12 Fiji M4C markets. Fiji M4C also renewed a partnership with the Fiji Red Cross Society for the provision of First Aid Training to 360 market vendors and municipal staff in all Fiji M4C markets. </w:t>
      </w:r>
    </w:p>
    <w:p w:rsidR="00C226FD" w:rsidRPr="00210EB5" w:rsidRDefault="00C226FD" w:rsidP="00210EB5">
      <w:pPr>
        <w:spacing w:line="240" w:lineRule="auto"/>
        <w:rPr>
          <w:rFonts w:cstheme="minorHAnsi"/>
        </w:rPr>
      </w:pPr>
      <w:r w:rsidRPr="00210EB5">
        <w:rPr>
          <w:rFonts w:cstheme="minorHAnsi"/>
        </w:rPr>
        <w:t xml:space="preserve">FWF provided financial literacy training to 21 grantees to enhance implementation and reporting against disbursed funds. Five FWF grantees worked specifically to empower women economically, including Rise Beyond the Reef which worked with 603 women artisans in 24 communities who collectively achieved a 300 per cent increase in their sales compared with 2017 figures. </w:t>
      </w:r>
    </w:p>
    <w:p w:rsidR="00C226FD" w:rsidRPr="00210EB5" w:rsidRDefault="00C226FD" w:rsidP="00210EB5">
      <w:pPr>
        <w:spacing w:line="240" w:lineRule="auto"/>
        <w:rPr>
          <w:rFonts w:cstheme="minorHAnsi"/>
        </w:rPr>
      </w:pPr>
      <w:r w:rsidRPr="00210EB5">
        <w:rPr>
          <w:rFonts w:cstheme="minorHAnsi"/>
        </w:rPr>
        <w:t xml:space="preserve">A </w:t>
      </w:r>
      <w:r w:rsidRPr="00210EB5">
        <w:rPr>
          <w:rFonts w:cstheme="minorHAnsi"/>
          <w:lang w:val="en-AU"/>
        </w:rPr>
        <w:t>Rise Beyond the Reef impact study showed that women who participated in Rise Beyond the Reef activities learned new marketing strategies, including distribution and marketing outlets, and had increased understanding of the importance of supply and demand. The study also found that artisans’ efforts to meet deadlines also improved their time management skills and productivity. Additionally, product-related training and artisans’ efforts to produce handicrafts for the tourist ma</w:t>
      </w:r>
      <w:r w:rsidR="00DF4978">
        <w:rPr>
          <w:rFonts w:cstheme="minorHAnsi"/>
          <w:lang w:val="en-AU"/>
        </w:rPr>
        <w:t>rket broadened artisans’ skills and</w:t>
      </w:r>
      <w:r w:rsidRPr="00210EB5">
        <w:rPr>
          <w:rFonts w:cstheme="minorHAnsi"/>
          <w:lang w:val="en-AU"/>
        </w:rPr>
        <w:t xml:space="preserve"> improved the quality of their handicrafts</w:t>
      </w:r>
      <w:r w:rsidR="00DF4978">
        <w:rPr>
          <w:rFonts w:cstheme="minorHAnsi"/>
          <w:lang w:val="en-AU"/>
        </w:rPr>
        <w:t xml:space="preserve">. </w:t>
      </w:r>
      <w:r w:rsidRPr="00210EB5">
        <w:rPr>
          <w:rFonts w:cstheme="minorHAnsi"/>
          <w:lang w:val="en-AU"/>
        </w:rPr>
        <w:t xml:space="preserve"> Importantly the study also found that 95 per cent of women working on Rise Beyond the Reef activities reported increased control over their finances</w:t>
      </w:r>
      <w:r w:rsidR="00DF4978">
        <w:rPr>
          <w:rFonts w:cstheme="minorHAnsi"/>
          <w:lang w:val="en-AU"/>
        </w:rPr>
        <w:t xml:space="preserve">.  </w:t>
      </w:r>
      <w:r w:rsidRPr="00210EB5">
        <w:rPr>
          <w:rFonts w:cstheme="minorHAnsi"/>
          <w:lang w:val="en-AU"/>
        </w:rPr>
        <w:t>The study also found that increased income and assets contributed to increased family harmony by reducing economic stress.</w:t>
      </w:r>
    </w:p>
    <w:p w:rsidR="00C226FD" w:rsidRPr="00210EB5" w:rsidRDefault="00C226FD" w:rsidP="00210EB5">
      <w:pPr>
        <w:spacing w:line="240" w:lineRule="auto"/>
        <w:rPr>
          <w:rFonts w:cstheme="minorHAnsi"/>
          <w:b/>
        </w:rPr>
      </w:pPr>
      <w:r w:rsidRPr="00210EB5">
        <w:rPr>
          <w:rFonts w:cstheme="minorHAnsi"/>
          <w:b/>
        </w:rPr>
        <w:t>Outcome 3: Women in Fiji undertake leadership and decision making roles.</w:t>
      </w:r>
    </w:p>
    <w:p w:rsidR="00C226FD" w:rsidRPr="00210EB5" w:rsidRDefault="00C226FD" w:rsidP="00210EB5">
      <w:pPr>
        <w:spacing w:line="240" w:lineRule="auto"/>
        <w:rPr>
          <w:rFonts w:cstheme="minorHAnsi"/>
        </w:rPr>
      </w:pPr>
      <w:r w:rsidRPr="00210EB5">
        <w:rPr>
          <w:rFonts w:cstheme="minorHAnsi"/>
        </w:rPr>
        <w:t xml:space="preserve">After the 2018 Fiji general election, women </w:t>
      </w:r>
      <w:r w:rsidR="004C5BF4">
        <w:rPr>
          <w:rFonts w:cstheme="minorHAnsi"/>
        </w:rPr>
        <w:t>held</w:t>
      </w:r>
      <w:r w:rsidRPr="00210EB5">
        <w:rPr>
          <w:rFonts w:cstheme="minorHAnsi"/>
        </w:rPr>
        <w:t xml:space="preserve"> 20 per cent of parliamentary seats with three women appointed as Cabinet Ministers and two as Assistant Ministers. In the Fiji public sector five (20 per cent) </w:t>
      </w:r>
      <w:r w:rsidR="004C5BF4">
        <w:rPr>
          <w:rFonts w:cstheme="minorHAnsi"/>
        </w:rPr>
        <w:t xml:space="preserve">of </w:t>
      </w:r>
      <w:r w:rsidRPr="00210EB5">
        <w:rPr>
          <w:rFonts w:cstheme="minorHAnsi"/>
        </w:rPr>
        <w:t>Permanent Secretaries are women and women hold 30 per cent of the 55 diplomatic posts in 18 missions in 16 countries</w:t>
      </w:r>
      <w:r w:rsidRPr="00210EB5">
        <w:rPr>
          <w:rStyle w:val="FootnoteReference"/>
          <w:rFonts w:cstheme="minorHAnsi"/>
        </w:rPr>
        <w:footnoteReference w:id="11"/>
      </w:r>
      <w:r w:rsidRPr="00210EB5">
        <w:rPr>
          <w:rFonts w:cstheme="minorHAnsi"/>
        </w:rPr>
        <w:t xml:space="preserve">. </w:t>
      </w:r>
    </w:p>
    <w:p w:rsidR="00B07F14" w:rsidRDefault="00B07F14">
      <w:pPr>
        <w:suppressAutoHyphens w:val="0"/>
        <w:spacing w:before="0" w:after="120" w:line="440" w:lineRule="atLeast"/>
        <w:rPr>
          <w:rFonts w:cstheme="minorHAnsi"/>
        </w:rPr>
      </w:pPr>
      <w:r>
        <w:rPr>
          <w:rFonts w:cstheme="minorHAnsi"/>
        </w:rPr>
        <w:br w:type="page"/>
      </w:r>
    </w:p>
    <w:p w:rsidR="00C226FD" w:rsidRPr="00210EB5" w:rsidRDefault="000314F8" w:rsidP="00210EB5">
      <w:pPr>
        <w:spacing w:line="240" w:lineRule="auto"/>
        <w:rPr>
          <w:rFonts w:cstheme="minorHAnsi"/>
        </w:rPr>
      </w:pPr>
      <w:r>
        <w:rPr>
          <w:rFonts w:cstheme="minorHAnsi"/>
        </w:rPr>
        <w:lastRenderedPageBreak/>
        <w:t>M4C Program</w:t>
      </w:r>
      <w:r w:rsidR="00C226FD" w:rsidRPr="00210EB5">
        <w:rPr>
          <w:rFonts w:cstheme="minorHAnsi"/>
        </w:rPr>
        <w:t xml:space="preserve"> activities have led to an increase in leadership roles held by women. There are 12 market vendors associations in Fiji with over 3387 registered members, 2321 of which are women. Five out of the 12 market vendors association</w:t>
      </w:r>
      <w:r w:rsidR="004C5BF4">
        <w:rPr>
          <w:rFonts w:cstheme="minorHAnsi"/>
        </w:rPr>
        <w:t>s</w:t>
      </w:r>
      <w:r w:rsidR="00C226FD" w:rsidRPr="00210EB5">
        <w:rPr>
          <w:rFonts w:cstheme="minorHAnsi"/>
        </w:rPr>
        <w:t xml:space="preserve"> are led by women and women occupy 50 per cent of leadership roles in all the associations</w:t>
      </w:r>
      <w:r w:rsidR="00C226FD" w:rsidRPr="00210EB5">
        <w:rPr>
          <w:rStyle w:val="FootnoteReference"/>
          <w:rFonts w:cstheme="minorHAnsi"/>
        </w:rPr>
        <w:footnoteReference w:id="12"/>
      </w:r>
      <w:r w:rsidR="00C226FD" w:rsidRPr="00210EB5">
        <w:rPr>
          <w:rFonts w:cstheme="minorHAnsi"/>
        </w:rPr>
        <w:t>. Women market vendors are also represented in provincial councils and district advisory councils. The project is seeing a new generation of women leade</w:t>
      </w:r>
      <w:r w:rsidR="004C5BF4">
        <w:rPr>
          <w:rFonts w:cstheme="minorHAnsi"/>
        </w:rPr>
        <w:t>rs at the local level who have enhanced</w:t>
      </w:r>
      <w:r w:rsidR="00C226FD" w:rsidRPr="00210EB5">
        <w:rPr>
          <w:rFonts w:cstheme="minorHAnsi"/>
        </w:rPr>
        <w:t xml:space="preserve"> their skillsets, to negotiate with government agencies, have confidence to speak at large regiona</w:t>
      </w:r>
      <w:r w:rsidR="004C5BF4">
        <w:rPr>
          <w:rFonts w:cstheme="minorHAnsi"/>
        </w:rPr>
        <w:t>l events and are able to mobilis</w:t>
      </w:r>
      <w:r w:rsidR="00C226FD" w:rsidRPr="00210EB5">
        <w:rPr>
          <w:rFonts w:cstheme="minorHAnsi"/>
        </w:rPr>
        <w:t xml:space="preserve">e their members. </w:t>
      </w:r>
    </w:p>
    <w:p w:rsidR="00C226FD" w:rsidRPr="00210EB5" w:rsidRDefault="00C226FD" w:rsidP="00210EB5">
      <w:pPr>
        <w:spacing w:line="240" w:lineRule="auto"/>
        <w:rPr>
          <w:rFonts w:cstheme="minorHAnsi"/>
        </w:rPr>
      </w:pPr>
      <w:r w:rsidRPr="00210EB5">
        <w:rPr>
          <w:rFonts w:cstheme="minorHAnsi"/>
        </w:rPr>
        <w:t xml:space="preserve">Other leadership initiatives included: </w:t>
      </w:r>
      <w:r w:rsidR="000314F8">
        <w:rPr>
          <w:rFonts w:cstheme="minorHAnsi"/>
        </w:rPr>
        <w:t>FWF’s</w:t>
      </w:r>
      <w:r w:rsidRPr="00210EB5">
        <w:rPr>
          <w:rFonts w:cstheme="minorHAnsi"/>
        </w:rPr>
        <w:t xml:space="preserve"> support for 12 grantees </w:t>
      </w:r>
      <w:r w:rsidR="004C5BF4">
        <w:rPr>
          <w:rFonts w:cstheme="minorHAnsi"/>
        </w:rPr>
        <w:t>who</w:t>
      </w:r>
      <w:r w:rsidRPr="00210EB5">
        <w:rPr>
          <w:rFonts w:cstheme="minorHAnsi"/>
        </w:rPr>
        <w:t xml:space="preserve"> worked with a range women </w:t>
      </w:r>
      <w:r w:rsidR="004C5BF4">
        <w:rPr>
          <w:rFonts w:cstheme="minorHAnsi"/>
        </w:rPr>
        <w:t>seeking</w:t>
      </w:r>
      <w:r w:rsidRPr="00210EB5">
        <w:rPr>
          <w:rFonts w:cstheme="minorHAnsi"/>
        </w:rPr>
        <w:t xml:space="preserve"> participation in leadership and decision-making roles;</w:t>
      </w:r>
      <w:r w:rsidRPr="00210EB5">
        <w:rPr>
          <w:rFonts w:cstheme="minorHAnsi"/>
          <w:color w:val="000000"/>
          <w:lang w:val="en-AU"/>
        </w:rPr>
        <w:t xml:space="preserve"> </w:t>
      </w:r>
      <w:r w:rsidRPr="00210EB5">
        <w:rPr>
          <w:rFonts w:cstheme="minorHAnsi"/>
          <w:lang w:val="en-AU"/>
        </w:rPr>
        <w:t>femLINKpacific’s engagement with rural women leaders in Ba, Tavua and Rakiraki; Graduate Women Fiji’s support for girls from urban squatter settlements in Suva to break S</w:t>
      </w:r>
      <w:r w:rsidR="000314F8">
        <w:rPr>
          <w:rFonts w:cstheme="minorHAnsi"/>
          <w:lang w:val="en-AU"/>
        </w:rPr>
        <w:t xml:space="preserve">cience, Technology, Engineering and Maths </w:t>
      </w:r>
      <w:r w:rsidRPr="00210EB5">
        <w:rPr>
          <w:rFonts w:cstheme="minorHAnsi"/>
          <w:lang w:val="en-AU"/>
        </w:rPr>
        <w:t xml:space="preserve">gender stereotypes; Pacific Sexual and Gender Diversity Network’s organisation of </w:t>
      </w:r>
      <w:r w:rsidR="000314F8">
        <w:rPr>
          <w:rFonts w:cstheme="minorHAnsi"/>
          <w:lang w:val="en-AU"/>
        </w:rPr>
        <w:t>Lesbian, Gay, Bisexual, Transgender, Queer and Intersex (</w:t>
      </w:r>
      <w:r w:rsidRPr="00210EB5">
        <w:rPr>
          <w:rFonts w:cstheme="minorHAnsi"/>
          <w:lang w:val="en-AU"/>
        </w:rPr>
        <w:t>LGBTQI+</w:t>
      </w:r>
      <w:r w:rsidR="000314F8">
        <w:rPr>
          <w:rFonts w:cstheme="minorHAnsi"/>
          <w:lang w:val="en-AU"/>
        </w:rPr>
        <w:t>)</w:t>
      </w:r>
      <w:r w:rsidRPr="00210EB5">
        <w:rPr>
          <w:rFonts w:cstheme="minorHAnsi"/>
          <w:lang w:val="en-AU"/>
        </w:rPr>
        <w:t xml:space="preserve"> activ</w:t>
      </w:r>
      <w:r w:rsidR="004C5BF4">
        <w:rPr>
          <w:rFonts w:cstheme="minorHAnsi"/>
          <w:lang w:val="en-AU"/>
        </w:rPr>
        <w:t>ists and human rights defenders,</w:t>
      </w:r>
      <w:r w:rsidRPr="00210EB5">
        <w:rPr>
          <w:rFonts w:cstheme="minorHAnsi"/>
          <w:lang w:val="en-AU"/>
        </w:rPr>
        <w:t xml:space="preserve"> and Rise Beyond the Reef’s investment in remote rural communities. Building the skills of a diverse group of women as leaders and decision-makers will ensure greater representation of women’s interests. </w:t>
      </w:r>
      <w:r w:rsidRPr="00210EB5">
        <w:rPr>
          <w:rFonts w:cstheme="minorHAnsi"/>
          <w:b/>
          <w:bCs/>
          <w:color w:val="000000"/>
          <w:lang w:val="en-AU"/>
        </w:rPr>
        <w:t xml:space="preserve"> </w:t>
      </w:r>
    </w:p>
    <w:p w:rsidR="00C226FD" w:rsidRPr="00210EB5" w:rsidRDefault="00C226FD" w:rsidP="00210EB5">
      <w:pPr>
        <w:spacing w:line="240" w:lineRule="auto"/>
        <w:rPr>
          <w:rFonts w:cstheme="minorHAnsi"/>
        </w:rPr>
      </w:pPr>
      <w:r w:rsidRPr="00210EB5">
        <w:rPr>
          <w:rFonts w:cstheme="minorHAnsi"/>
        </w:rPr>
        <w:t xml:space="preserve">Women are developing leadership skills, have increasing influence in their communities due to their improved economic status from women’s economic empowerment activities and are engaging in meaningful decision making processes. </w:t>
      </w:r>
    </w:p>
    <w:p w:rsidR="00C226FD" w:rsidRPr="00210EB5" w:rsidRDefault="00C226FD" w:rsidP="00210EB5">
      <w:pPr>
        <w:spacing w:line="240" w:lineRule="auto"/>
        <w:rPr>
          <w:rFonts w:cstheme="minorHAnsi"/>
          <w:b/>
        </w:rPr>
      </w:pPr>
      <w:r w:rsidRPr="00210EB5">
        <w:rPr>
          <w:rFonts w:cstheme="minorHAnsi"/>
          <w:b/>
        </w:rPr>
        <w:t>Outcome 4: Gender is effectively addressed in all Australian bilateral aid investments (DFAT performance benchmark)</w:t>
      </w:r>
    </w:p>
    <w:p w:rsidR="00C226FD" w:rsidRPr="00210EB5" w:rsidRDefault="00C226FD" w:rsidP="00210EB5">
      <w:pPr>
        <w:spacing w:line="240" w:lineRule="auto"/>
        <w:rPr>
          <w:rFonts w:cstheme="minorHAnsi"/>
        </w:rPr>
      </w:pPr>
      <w:r w:rsidRPr="00210EB5">
        <w:rPr>
          <w:rFonts w:cstheme="minorHAnsi"/>
        </w:rPr>
        <w:t>Efforts to improve gender equality through Fiji bilateral pro</w:t>
      </w:r>
      <w:r w:rsidR="004C5BF4">
        <w:rPr>
          <w:rFonts w:cstheme="minorHAnsi"/>
        </w:rPr>
        <w:t xml:space="preserve">gram investments are ongoing.  </w:t>
      </w:r>
      <w:r w:rsidRPr="00210EB5">
        <w:rPr>
          <w:rFonts w:cstheme="minorHAnsi"/>
        </w:rPr>
        <w:t xml:space="preserve">The gender teams in Suva and Canberra </w:t>
      </w:r>
      <w:r w:rsidR="00DF4978">
        <w:rPr>
          <w:rFonts w:cstheme="minorHAnsi"/>
        </w:rPr>
        <w:t>work</w:t>
      </w:r>
      <w:r w:rsidRPr="00210EB5">
        <w:rPr>
          <w:rFonts w:cstheme="minorHAnsi"/>
        </w:rPr>
        <w:t xml:space="preserve"> with other Fiji bilateral teams to improve investments that rated poorly under the gender crite</w:t>
      </w:r>
      <w:r w:rsidR="004C5BF4">
        <w:rPr>
          <w:rFonts w:cstheme="minorHAnsi"/>
        </w:rPr>
        <w:t>rion of the Aid Quality Checks.</w:t>
      </w:r>
    </w:p>
    <w:p w:rsidR="00C226FD" w:rsidRPr="00210EB5" w:rsidRDefault="00C226FD" w:rsidP="00210EB5">
      <w:pPr>
        <w:spacing w:line="240" w:lineRule="auto"/>
        <w:rPr>
          <w:rFonts w:cstheme="minorHAnsi"/>
          <w:b/>
        </w:rPr>
      </w:pPr>
      <w:r w:rsidRPr="00210EB5">
        <w:rPr>
          <w:rFonts w:cstheme="minorHAnsi"/>
          <w:b/>
        </w:rPr>
        <w:t>Outcome 5:  Enhance the participation of people with disabilities as contributors, leaders and decision makers in their communities</w:t>
      </w:r>
    </w:p>
    <w:p w:rsidR="00C226FD" w:rsidRPr="00210EB5" w:rsidRDefault="000314F8" w:rsidP="00210EB5">
      <w:pPr>
        <w:spacing w:line="240" w:lineRule="auto"/>
        <w:rPr>
          <w:rFonts w:cstheme="minorHAnsi"/>
        </w:rPr>
      </w:pPr>
      <w:r w:rsidRPr="00000066">
        <w:rPr>
          <w:rFonts w:cstheme="minorHAnsi"/>
        </w:rPr>
        <w:t xml:space="preserve">Australia supported the first regional dialogue between DPOs, violence response service providers and government ministries on barriers to disability inclusion </w:t>
      </w:r>
      <w:r>
        <w:rPr>
          <w:rFonts w:cstheme="minorHAnsi"/>
        </w:rPr>
        <w:t>in</w:t>
      </w:r>
      <w:r w:rsidRPr="00000066">
        <w:rPr>
          <w:rFonts w:cstheme="minorHAnsi"/>
        </w:rPr>
        <w:t xml:space="preserve"> Ending Violence Against Women through the </w:t>
      </w:r>
      <w:r w:rsidR="00BC4B67">
        <w:rPr>
          <w:rFonts w:cstheme="minorHAnsi"/>
        </w:rPr>
        <w:t xml:space="preserve">Pacific Women Shaping Pacific Development </w:t>
      </w:r>
      <w:r>
        <w:rPr>
          <w:rFonts w:cstheme="minorHAnsi"/>
        </w:rPr>
        <w:t xml:space="preserve">program. </w:t>
      </w:r>
      <w:r w:rsidR="00C226FD" w:rsidRPr="00210EB5">
        <w:rPr>
          <w:rFonts w:cstheme="minorHAnsi"/>
        </w:rPr>
        <w:t>As a result of the dialogue, a toolkit was developed by the Pacific Disability Forum</w:t>
      </w:r>
      <w:r w:rsidR="00BC4B67">
        <w:rPr>
          <w:rFonts w:cstheme="minorHAnsi"/>
        </w:rPr>
        <w:t xml:space="preserve"> (PDF)</w:t>
      </w:r>
      <w:r w:rsidR="00C226FD" w:rsidRPr="00210EB5">
        <w:rPr>
          <w:rFonts w:cstheme="minorHAnsi"/>
        </w:rPr>
        <w:t>, its member organisation Fiji Disabled People’s Federation and UN Women.</w:t>
      </w:r>
    </w:p>
    <w:p w:rsidR="00C226FD" w:rsidRPr="00210EB5" w:rsidRDefault="00C226FD" w:rsidP="00210EB5">
      <w:pPr>
        <w:spacing w:line="240" w:lineRule="auto"/>
        <w:rPr>
          <w:rFonts w:cstheme="minorHAnsi"/>
        </w:rPr>
      </w:pPr>
      <w:r w:rsidRPr="00210EB5">
        <w:rPr>
          <w:rFonts w:cstheme="minorHAnsi"/>
        </w:rPr>
        <w:t xml:space="preserve">Through </w:t>
      </w:r>
      <w:r w:rsidR="00BC4B67">
        <w:rPr>
          <w:rFonts w:cstheme="minorHAnsi"/>
          <w:b/>
        </w:rPr>
        <w:t>FWF</w:t>
      </w:r>
      <w:r w:rsidRPr="00210EB5">
        <w:rPr>
          <w:rFonts w:cstheme="minorHAnsi"/>
        </w:rPr>
        <w:t>, we have signed a three-year partnership with the PDF, the Federation and its national affiliates</w:t>
      </w:r>
      <w:r w:rsidR="00DF4978">
        <w:rPr>
          <w:rFonts w:cstheme="minorHAnsi"/>
        </w:rPr>
        <w:t>.  This will</w:t>
      </w:r>
      <w:r w:rsidRPr="00210EB5">
        <w:rPr>
          <w:rFonts w:cstheme="minorHAnsi"/>
        </w:rPr>
        <w:t xml:space="preserve"> focus on: promoting the participation of women with disabilities through leadership and decision making; raising public awareness on violence </w:t>
      </w:r>
      <w:r w:rsidR="004C5BF4">
        <w:rPr>
          <w:rFonts w:cstheme="minorHAnsi"/>
        </w:rPr>
        <w:t xml:space="preserve">for </w:t>
      </w:r>
      <w:r w:rsidRPr="00210EB5">
        <w:rPr>
          <w:rFonts w:cstheme="minorHAnsi"/>
        </w:rPr>
        <w:t>women with disabilities experience, and conducting research on access to services for women and girls with disabilities.</w:t>
      </w:r>
    </w:p>
    <w:p w:rsidR="00C226FD" w:rsidRPr="00210EB5" w:rsidRDefault="00C226FD" w:rsidP="00210EB5">
      <w:pPr>
        <w:spacing w:line="240" w:lineRule="auto"/>
        <w:rPr>
          <w:rFonts w:cstheme="minorHAnsi"/>
          <w:b/>
        </w:rPr>
      </w:pPr>
      <w:r w:rsidRPr="00210EB5">
        <w:rPr>
          <w:rFonts w:cstheme="minorHAnsi"/>
          <w:b/>
        </w:rPr>
        <w:t>Outcome 6: Improve equity of access of people with disabilities to benefit from Australian bilateral aid investments.</w:t>
      </w:r>
    </w:p>
    <w:p w:rsidR="00C226FD" w:rsidRPr="00210EB5" w:rsidRDefault="00C226FD" w:rsidP="00210EB5">
      <w:pPr>
        <w:pStyle w:val="Bullet1"/>
        <w:widowControl w:val="0"/>
        <w:numPr>
          <w:ilvl w:val="0"/>
          <w:numId w:val="0"/>
        </w:numPr>
        <w:spacing w:line="240" w:lineRule="auto"/>
        <w:rPr>
          <w:rFonts w:cstheme="minorHAnsi"/>
        </w:rPr>
      </w:pPr>
      <w:r w:rsidRPr="00210EB5">
        <w:rPr>
          <w:rFonts w:cstheme="minorHAnsi"/>
        </w:rPr>
        <w:t xml:space="preserve">The Australian aid program recognises works to champion inclusive education. DFAT has worked closely with the </w:t>
      </w:r>
      <w:r w:rsidRPr="00210EB5">
        <w:rPr>
          <w:rFonts w:cstheme="minorHAnsi"/>
          <w:b/>
        </w:rPr>
        <w:t>University of the South Pacific</w:t>
      </w:r>
      <w:r w:rsidRPr="00210EB5">
        <w:rPr>
          <w:rFonts w:cstheme="minorHAnsi"/>
        </w:rPr>
        <w:t xml:space="preserve"> to support the </w:t>
      </w:r>
      <w:r w:rsidR="004C5BF4">
        <w:rPr>
          <w:rFonts w:cstheme="minorHAnsi"/>
        </w:rPr>
        <w:t>establishment of</w:t>
      </w:r>
      <w:r w:rsidRPr="00210EB5">
        <w:rPr>
          <w:rFonts w:cstheme="minorHAnsi"/>
        </w:rPr>
        <w:t xml:space="preserve"> a Disability Centre and has made progress </w:t>
      </w:r>
      <w:r w:rsidR="004C5BF4">
        <w:rPr>
          <w:rFonts w:cstheme="minorHAnsi"/>
        </w:rPr>
        <w:t>in</w:t>
      </w:r>
      <w:r w:rsidRPr="00210EB5">
        <w:rPr>
          <w:rFonts w:cstheme="minorHAnsi"/>
        </w:rPr>
        <w:t xml:space="preserve"> support</w:t>
      </w:r>
      <w:r w:rsidR="004C5BF4">
        <w:rPr>
          <w:rFonts w:cstheme="minorHAnsi"/>
        </w:rPr>
        <w:t>ing</w:t>
      </w:r>
      <w:r w:rsidRPr="00210EB5">
        <w:rPr>
          <w:rFonts w:cstheme="minorHAnsi"/>
        </w:rPr>
        <w:t xml:space="preserve"> students with disabilities. The </w:t>
      </w:r>
      <w:r w:rsidRPr="00210EB5">
        <w:rPr>
          <w:rFonts w:cstheme="minorHAnsi"/>
          <w:b/>
        </w:rPr>
        <w:t>Australia Awards</w:t>
      </w:r>
      <w:r w:rsidRPr="00210EB5">
        <w:rPr>
          <w:rFonts w:cstheme="minorHAnsi"/>
        </w:rPr>
        <w:t xml:space="preserve"> program 2020 intake offers two programs tailored to support people with disability</w:t>
      </w:r>
      <w:r w:rsidR="004C5BF4">
        <w:rPr>
          <w:rFonts w:cstheme="minorHAnsi"/>
        </w:rPr>
        <w:t>,</w:t>
      </w:r>
      <w:r w:rsidRPr="00210EB5">
        <w:rPr>
          <w:rFonts w:cstheme="minorHAnsi"/>
        </w:rPr>
        <w:t xml:space="preserve"> including youths who seek to hold leadership positions in the communities or are looking to </w:t>
      </w:r>
      <w:r w:rsidR="004C5BF4">
        <w:rPr>
          <w:rFonts w:cstheme="minorHAnsi"/>
        </w:rPr>
        <w:t>establish</w:t>
      </w:r>
      <w:r w:rsidRPr="00210EB5">
        <w:rPr>
          <w:rFonts w:cstheme="minorHAnsi"/>
        </w:rPr>
        <w:t xml:space="preserve"> a business. A significant achievement was the implementation of an inclusive approach at five Disability Inclusion Demonstration schools, which included training in braille and sign language, provision of teacher aides and specialised equipment and inclusive infrastructure upgrades. </w:t>
      </w:r>
      <w:r w:rsidR="00BC4B67">
        <w:rPr>
          <w:rFonts w:cstheme="minorHAnsi"/>
        </w:rPr>
        <w:t>Further, using t</w:t>
      </w:r>
      <w:r w:rsidRPr="00210EB5">
        <w:rPr>
          <w:rFonts w:cstheme="minorHAnsi"/>
        </w:rPr>
        <w:t xml:space="preserve">he toolkit for disability Inclusive Education in Fiji </w:t>
      </w:r>
      <w:r w:rsidR="00BC4B67">
        <w:rPr>
          <w:rFonts w:cstheme="minorHAnsi"/>
        </w:rPr>
        <w:t>(</w:t>
      </w:r>
      <w:r w:rsidRPr="00210EB5">
        <w:rPr>
          <w:rFonts w:cstheme="minorHAnsi"/>
        </w:rPr>
        <w:t>developed by AQEP in 2015</w:t>
      </w:r>
      <w:r w:rsidR="004C5BF4">
        <w:rPr>
          <w:rFonts w:cstheme="minorHAnsi"/>
        </w:rPr>
        <w:t>)</w:t>
      </w:r>
      <w:r w:rsidR="00BC4B67">
        <w:rPr>
          <w:rFonts w:cstheme="minorHAnsi"/>
        </w:rPr>
        <w:t>, a</w:t>
      </w:r>
      <w:r w:rsidR="00BC4B67" w:rsidRPr="00210EB5">
        <w:rPr>
          <w:rFonts w:cstheme="minorHAnsi"/>
        </w:rPr>
        <w:t xml:space="preserve">ll </w:t>
      </w:r>
      <w:r w:rsidRPr="00210EB5">
        <w:rPr>
          <w:rFonts w:cstheme="minorHAnsi"/>
        </w:rPr>
        <w:t>AQEP infrastructure repair post TC Winston were made accessible for people with disability.</w:t>
      </w:r>
      <w:r w:rsidR="00DA59BB">
        <w:rPr>
          <w:rFonts w:cstheme="minorHAnsi"/>
        </w:rPr>
        <w:t xml:space="preserve">  </w:t>
      </w:r>
    </w:p>
    <w:p w:rsidR="007807A6" w:rsidRDefault="006313C5" w:rsidP="007807A6">
      <w:pPr>
        <w:spacing w:line="360" w:lineRule="auto"/>
        <w:rPr>
          <w:rFonts w:cstheme="minorHAnsi"/>
          <w:b/>
        </w:rPr>
      </w:pPr>
      <w:r w:rsidRPr="00430439">
        <w:rPr>
          <w:rFonts w:cstheme="minorHAnsi"/>
          <w:b/>
        </w:rPr>
        <w:lastRenderedPageBreak/>
        <w:t>4</w:t>
      </w:r>
      <w:r w:rsidR="00927E08" w:rsidRPr="00430439">
        <w:rPr>
          <w:rFonts w:cstheme="minorHAnsi"/>
          <w:b/>
        </w:rPr>
        <w:t xml:space="preserve">. </w:t>
      </w:r>
      <w:r w:rsidR="00962DC8" w:rsidRPr="00430439">
        <w:rPr>
          <w:rFonts w:cstheme="minorHAnsi"/>
          <w:b/>
        </w:rPr>
        <w:t>Climate and dis</w:t>
      </w:r>
      <w:r w:rsidR="007807A6">
        <w:rPr>
          <w:rFonts w:cstheme="minorHAnsi"/>
          <w:b/>
        </w:rPr>
        <w:t>aster preparedness and response</w:t>
      </w:r>
    </w:p>
    <w:p w:rsidR="00114524" w:rsidRPr="007807A6" w:rsidRDefault="00114524" w:rsidP="007807A6">
      <w:pPr>
        <w:spacing w:line="240" w:lineRule="auto"/>
        <w:rPr>
          <w:rFonts w:cstheme="minorHAnsi"/>
        </w:rPr>
      </w:pPr>
      <w:r w:rsidRPr="00DA59BB">
        <w:rPr>
          <w:rFonts w:cstheme="minorHAnsi"/>
        </w:rPr>
        <w:t>Fiji is highly vulnerable to disasters, particularly tropical cyclones, and the impacts of climate change</w:t>
      </w:r>
      <w:r w:rsidR="00DA59BB" w:rsidRPr="00DA59BB">
        <w:rPr>
          <w:rFonts w:cstheme="minorHAnsi"/>
        </w:rPr>
        <w:t xml:space="preserve">.  </w:t>
      </w:r>
      <w:r w:rsidRPr="00DA59BB">
        <w:rPr>
          <w:rFonts w:cstheme="minorHAnsi"/>
        </w:rPr>
        <w:t xml:space="preserve">Australia </w:t>
      </w:r>
      <w:r w:rsidR="004C5BF4">
        <w:rPr>
          <w:rFonts w:cstheme="minorHAnsi"/>
        </w:rPr>
        <w:t>did not</w:t>
      </w:r>
      <w:r w:rsidRPr="00DA59BB">
        <w:rPr>
          <w:rFonts w:cstheme="minorHAnsi"/>
        </w:rPr>
        <w:t xml:space="preserve"> provide humanitarian response funding to Fiji </w:t>
      </w:r>
      <w:r w:rsidR="004C5BF4">
        <w:rPr>
          <w:rFonts w:cstheme="minorHAnsi"/>
        </w:rPr>
        <w:t xml:space="preserve">in 2018-19 </w:t>
      </w:r>
      <w:r w:rsidRPr="00DA59BB">
        <w:rPr>
          <w:rFonts w:cstheme="minorHAnsi"/>
        </w:rPr>
        <w:t xml:space="preserve">as there were no significant disasters </w:t>
      </w:r>
      <w:r w:rsidR="004C5BF4">
        <w:rPr>
          <w:rFonts w:cstheme="minorHAnsi"/>
        </w:rPr>
        <w:t>in this period</w:t>
      </w:r>
      <w:r w:rsidRPr="00DA59BB">
        <w:rPr>
          <w:rFonts w:cstheme="minorHAnsi"/>
        </w:rPr>
        <w:t xml:space="preserve">.  In addition, the reprioritisation of development funds meant that Australia spent </w:t>
      </w:r>
      <w:r w:rsidR="004C5BF4">
        <w:rPr>
          <w:rFonts w:cstheme="minorHAnsi"/>
        </w:rPr>
        <w:t xml:space="preserve">only </w:t>
      </w:r>
      <w:r w:rsidRPr="00DA59BB">
        <w:rPr>
          <w:rFonts w:cstheme="minorHAnsi"/>
        </w:rPr>
        <w:t>0.7</w:t>
      </w:r>
      <w:r w:rsidR="004C5BF4">
        <w:rPr>
          <w:rFonts w:cstheme="minorHAnsi"/>
        </w:rPr>
        <w:t xml:space="preserve"> </w:t>
      </w:r>
      <w:r w:rsidR="000314F8">
        <w:rPr>
          <w:rFonts w:cstheme="minorHAnsi"/>
        </w:rPr>
        <w:t>per cent</w:t>
      </w:r>
      <w:r w:rsidRPr="00DA59BB">
        <w:rPr>
          <w:rFonts w:cstheme="minorHAnsi"/>
        </w:rPr>
        <w:t xml:space="preserve"> of the 2</w:t>
      </w:r>
      <w:r w:rsidR="004C5BF4">
        <w:rPr>
          <w:rFonts w:cstheme="minorHAnsi"/>
        </w:rPr>
        <w:t xml:space="preserve"> </w:t>
      </w:r>
      <w:r w:rsidR="000314F8">
        <w:rPr>
          <w:rFonts w:cstheme="minorHAnsi"/>
        </w:rPr>
        <w:t>per cent</w:t>
      </w:r>
      <w:r w:rsidRPr="00DA59BB">
        <w:rPr>
          <w:rFonts w:cstheme="minorHAnsi"/>
        </w:rPr>
        <w:t xml:space="preserve"> target on preparedness activities. This supported preparedness activities by the National Disaster Management Office, MHMS and the MEHA.</w:t>
      </w:r>
      <w:r w:rsidR="00DE34FC" w:rsidRPr="00DA59BB">
        <w:rPr>
          <w:rFonts w:cstheme="minorHAnsi"/>
        </w:rPr>
        <w:t xml:space="preserve"> Some further progress was made in 2018-19 on integrating climate change and disaster resilience across the bilateral program, including ensuring the social housing program with the IFC (see below) and via the Facility’s Preparedness and Response Fund. However, more could be done to ensure the bilateral program’s development impact is sustainable in a changing climate.</w:t>
      </w:r>
    </w:p>
    <w:p w:rsidR="00114524" w:rsidRPr="00985217" w:rsidRDefault="00114524" w:rsidP="001270D0">
      <w:pPr>
        <w:spacing w:before="240"/>
        <w:rPr>
          <w:rFonts w:cstheme="minorHAnsi"/>
        </w:rPr>
      </w:pPr>
      <w:r w:rsidRPr="00DA59BB">
        <w:rPr>
          <w:rFonts w:cstheme="minorHAnsi"/>
        </w:rPr>
        <w:t xml:space="preserve">In 2018-19 PFIP and the IFC examined options with the </w:t>
      </w:r>
      <w:r w:rsidR="00BC4B67">
        <w:rPr>
          <w:rFonts w:cstheme="minorHAnsi"/>
        </w:rPr>
        <w:t>GoF</w:t>
      </w:r>
      <w:r w:rsidR="00BC4B67" w:rsidRPr="00DA59BB">
        <w:rPr>
          <w:rFonts w:cstheme="minorHAnsi"/>
        </w:rPr>
        <w:t xml:space="preserve"> </w:t>
      </w:r>
      <w:r w:rsidRPr="00DA59BB">
        <w:rPr>
          <w:rFonts w:cstheme="minorHAnsi"/>
        </w:rPr>
        <w:t xml:space="preserve">to insure houses against natural disasters. Currently less than 10 per cent of households have home and contents insurance for natural disasters. The </w:t>
      </w:r>
      <w:r w:rsidRPr="00985217">
        <w:rPr>
          <w:rFonts w:cstheme="minorHAnsi"/>
        </w:rPr>
        <w:t>intention is to have new parametric insurance products on the market in 2019-20.</w:t>
      </w:r>
      <w:r w:rsidR="009B1F2D" w:rsidRPr="00985217">
        <w:rPr>
          <w:rFonts w:cstheme="minorHAnsi"/>
        </w:rPr>
        <w:t xml:space="preserve">  (Parametric insurance </w:t>
      </w:r>
      <w:r w:rsidR="00985217" w:rsidRPr="00985217">
        <w:rPr>
          <w:rFonts w:cstheme="minorHAnsi"/>
        </w:rPr>
        <w:t xml:space="preserve">is a category of insurance which does not require an assessment of the damage caused by a particular event, but </w:t>
      </w:r>
      <w:r w:rsidR="00985217" w:rsidRPr="00985217">
        <w:rPr>
          <w:rFonts w:cstheme="minorHAnsi"/>
          <w:color w:val="000000"/>
        </w:rPr>
        <w:t>pays out only when defined parameters are met, such as a specified intensity level of a tropical cyclone.  This means that the pay-out mechanism is predictable and rapid.)</w:t>
      </w:r>
    </w:p>
    <w:p w:rsidR="00114524" w:rsidRDefault="00114524" w:rsidP="00114524">
      <w:pPr>
        <w:spacing w:line="240" w:lineRule="auto"/>
        <w:rPr>
          <w:rFonts w:cstheme="minorHAnsi"/>
        </w:rPr>
      </w:pPr>
      <w:r>
        <w:rPr>
          <w:rFonts w:cstheme="minorHAnsi"/>
        </w:rPr>
        <w:t xml:space="preserve">A key achievement in 2018-19 was the FEMAT </w:t>
      </w:r>
      <w:r w:rsidR="00BC4B67">
        <w:rPr>
          <w:rFonts w:cstheme="minorHAnsi"/>
        </w:rPr>
        <w:t xml:space="preserve">receipt of </w:t>
      </w:r>
      <w:r>
        <w:rPr>
          <w:rFonts w:cstheme="minorHAnsi"/>
        </w:rPr>
        <w:t xml:space="preserve">WHO accreditation, with support from Australia’s aid program. Fiji is the first Pacific country with this certification and it will </w:t>
      </w:r>
      <w:r w:rsidR="004C5BF4">
        <w:rPr>
          <w:rFonts w:cstheme="minorHAnsi"/>
        </w:rPr>
        <w:t>greatly boost the capability</w:t>
      </w:r>
      <w:r>
        <w:rPr>
          <w:rFonts w:cstheme="minorHAnsi"/>
        </w:rPr>
        <w:t xml:space="preserve"> to provide rapid in-field health care assistance after natural disasters. FEMAT </w:t>
      </w:r>
      <w:r w:rsidR="0012378E">
        <w:rPr>
          <w:rFonts w:cstheme="minorHAnsi"/>
        </w:rPr>
        <w:t xml:space="preserve">has the potential to </w:t>
      </w:r>
      <w:r>
        <w:rPr>
          <w:rFonts w:cstheme="minorHAnsi"/>
        </w:rPr>
        <w:t xml:space="preserve">be deployed to other countries.  </w:t>
      </w:r>
    </w:p>
    <w:p w:rsidR="00114524" w:rsidRDefault="00114524" w:rsidP="001270D0">
      <w:pPr>
        <w:spacing w:before="240"/>
        <w:rPr>
          <w:rFonts w:cstheme="minorHAnsi"/>
        </w:rPr>
      </w:pPr>
      <w:r>
        <w:rPr>
          <w:rFonts w:cstheme="minorHAnsi"/>
        </w:rPr>
        <w:t xml:space="preserve">In 2018-19, </w:t>
      </w:r>
      <w:r w:rsidR="0012378E">
        <w:rPr>
          <w:rFonts w:cstheme="minorHAnsi"/>
        </w:rPr>
        <w:t xml:space="preserve">the IFC received approval from </w:t>
      </w:r>
      <w:r>
        <w:rPr>
          <w:rFonts w:cstheme="minorHAnsi"/>
        </w:rPr>
        <w:t xml:space="preserve">Australia and </w:t>
      </w:r>
      <w:r w:rsidR="00BC4B67">
        <w:rPr>
          <w:rFonts w:cstheme="minorHAnsi"/>
        </w:rPr>
        <w:t xml:space="preserve">GoF </w:t>
      </w:r>
      <w:r>
        <w:rPr>
          <w:rFonts w:cstheme="minorHAnsi"/>
        </w:rPr>
        <w:t xml:space="preserve">to investigate the feasibility of a large scale affordable and environmentally friendly housing development at four sites in </w:t>
      </w:r>
      <w:r w:rsidR="0012378E">
        <w:rPr>
          <w:rFonts w:cstheme="minorHAnsi"/>
        </w:rPr>
        <w:t>urban centre</w:t>
      </w:r>
      <w:r>
        <w:rPr>
          <w:rFonts w:cstheme="minorHAnsi"/>
        </w:rPr>
        <w:t xml:space="preserve">s. </w:t>
      </w:r>
      <w:r w:rsidR="00864F23">
        <w:rPr>
          <w:rFonts w:cstheme="minorHAnsi"/>
        </w:rPr>
        <w:t>The housing development intends to meet IFC’s “Edg</w:t>
      </w:r>
      <w:r w:rsidR="0012378E">
        <w:rPr>
          <w:rFonts w:cstheme="minorHAnsi"/>
        </w:rPr>
        <w:t>e” environmental principles while</w:t>
      </w:r>
      <w:r w:rsidR="00864F23">
        <w:rPr>
          <w:rFonts w:cstheme="minorHAnsi"/>
        </w:rPr>
        <w:t xml:space="preserve"> maintaining affordability. </w:t>
      </w:r>
    </w:p>
    <w:p w:rsidR="00114524" w:rsidRDefault="00114524" w:rsidP="001270D0">
      <w:pPr>
        <w:spacing w:before="240"/>
        <w:rPr>
          <w:rFonts w:cstheme="minorHAnsi"/>
        </w:rPr>
      </w:pPr>
      <w:r>
        <w:rPr>
          <w:rFonts w:cstheme="minorHAnsi"/>
        </w:rPr>
        <w:t xml:space="preserve">In 2018-19, the AIFFP team undertook a scoping mission in Fiji to investigate </w:t>
      </w:r>
      <w:r w:rsidR="00BC4B67">
        <w:rPr>
          <w:rFonts w:cstheme="minorHAnsi"/>
        </w:rPr>
        <w:t xml:space="preserve">GoF’s </w:t>
      </w:r>
      <w:r>
        <w:rPr>
          <w:rFonts w:cstheme="minorHAnsi"/>
        </w:rPr>
        <w:t xml:space="preserve">infrastructure priorities. GoF has signalled its strong interest in Australia’s involvement in the Nadi River Flood Mitigation project </w:t>
      </w:r>
      <w:r w:rsidR="00BC4B67">
        <w:rPr>
          <w:rFonts w:cstheme="minorHAnsi"/>
        </w:rPr>
        <w:t>led by the</w:t>
      </w:r>
      <w:r>
        <w:rPr>
          <w:rFonts w:cstheme="minorHAnsi"/>
        </w:rPr>
        <w:t xml:space="preserve"> ADB and Japan. The scope of Australia’s assistance will be confirmed in 2019-20. </w:t>
      </w:r>
      <w:r w:rsidR="009A3863">
        <w:rPr>
          <w:rFonts w:cstheme="minorHAnsi"/>
        </w:rPr>
        <w:t xml:space="preserve"> All infrastructure investments in Fiji under the AIFFP will incorporate climate and disaster resilience principles in design and construction. </w:t>
      </w:r>
    </w:p>
    <w:p w:rsidR="009A3863" w:rsidRPr="007807A6" w:rsidRDefault="009A3863" w:rsidP="001270D0">
      <w:pPr>
        <w:spacing w:before="240"/>
        <w:rPr>
          <w:rFonts w:cstheme="minorHAnsi"/>
        </w:rPr>
      </w:pPr>
      <w:r>
        <w:rPr>
          <w:rFonts w:cstheme="minorHAnsi"/>
        </w:rPr>
        <w:t xml:space="preserve">In 2018-19, progress was also made in integrating climate change into the work of regional programs operating in Fiji, including MDF and PHAMA Plus, as well as ensuring the work of climate change specific programs, like the Climate and Oceans Support Program in the Pacific (COSPPac2) and the Pacific Resilience and Governance Program, </w:t>
      </w:r>
      <w:r w:rsidR="00BC4B67">
        <w:rPr>
          <w:rFonts w:cstheme="minorHAnsi"/>
        </w:rPr>
        <w:t>are better</w:t>
      </w:r>
      <w:r>
        <w:rPr>
          <w:rFonts w:cstheme="minorHAnsi"/>
        </w:rPr>
        <w:t xml:space="preserve"> aligned to bilateral priorities. </w:t>
      </w:r>
    </w:p>
    <w:p w:rsidR="00B07F14" w:rsidRDefault="00B07F14">
      <w:pPr>
        <w:suppressAutoHyphens w:val="0"/>
        <w:spacing w:before="0" w:after="120" w:line="440" w:lineRule="atLeast"/>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br w:type="page"/>
      </w:r>
    </w:p>
    <w:p w:rsidR="001270D0" w:rsidRPr="00CF62AE" w:rsidRDefault="001270D0" w:rsidP="001270D0">
      <w:pPr>
        <w:spacing w:before="240"/>
        <w:rPr>
          <w:rFonts w:asciiTheme="majorHAnsi" w:eastAsiaTheme="majorEastAsia" w:hAnsiTheme="majorHAnsi" w:cstheme="majorBidi"/>
          <w:caps/>
          <w:color w:val="FF0000"/>
          <w:sz w:val="32"/>
          <w:szCs w:val="32"/>
        </w:rPr>
      </w:pPr>
      <w:r>
        <w:rPr>
          <w:rFonts w:asciiTheme="majorHAnsi" w:eastAsiaTheme="majorEastAsia" w:hAnsiTheme="majorHAnsi" w:cstheme="majorBidi"/>
          <w:caps/>
          <w:sz w:val="32"/>
          <w:szCs w:val="32"/>
        </w:rPr>
        <w:lastRenderedPageBreak/>
        <w:t xml:space="preserve">Objective 3 – TC Winston Recovery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1270D0" w:rsidRPr="00695730" w:rsidTr="00FB6737">
        <w:tc>
          <w:tcPr>
            <w:tcW w:w="2016" w:type="dxa"/>
          </w:tcPr>
          <w:p w:rsidR="001270D0" w:rsidRPr="00695730" w:rsidRDefault="001270D0" w:rsidP="00FB6737">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C2C78C3" wp14:editId="6121BC49">
                  <wp:extent cx="1137600" cy="720000"/>
                  <wp:effectExtent l="0" t="0" r="571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9">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1270D0" w:rsidRPr="00695730" w:rsidRDefault="001270D0" w:rsidP="00FB6737">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641287D" wp14:editId="6CBB39CB">
                  <wp:extent cx="6096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1270D0" w:rsidRPr="00695730" w:rsidRDefault="001270D0" w:rsidP="00FB6737">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65A520A6" wp14:editId="0AE25C8C">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1270D0" w:rsidRPr="00695730" w:rsidRDefault="001270D0" w:rsidP="00FB6737">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29050AFA" wp14:editId="4182E16D">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1270D0" w:rsidRPr="00695730" w:rsidRDefault="001270D0" w:rsidP="00FB6737">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550EECCF" wp14:editId="389FB5B7">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48037F" w:rsidRPr="002A4960" w:rsidRDefault="0048037F" w:rsidP="0048037F">
      <w:pPr>
        <w:spacing w:line="240" w:lineRule="exact"/>
        <w:rPr>
          <w:rFonts w:asciiTheme="majorHAnsi" w:hAnsiTheme="majorHAnsi" w:cstheme="majorHAnsi"/>
          <w:b/>
        </w:rPr>
      </w:pPr>
      <w:r w:rsidRPr="002A4960">
        <w:rPr>
          <w:rFonts w:asciiTheme="majorHAnsi" w:hAnsiTheme="majorHAnsi" w:cstheme="majorHAnsi"/>
          <w:b/>
        </w:rPr>
        <w:t>Outcome 1: Timely and efficient implementation of TC Winston $20m recovery package</w:t>
      </w:r>
    </w:p>
    <w:p w:rsidR="0048037F" w:rsidRPr="002A4960" w:rsidRDefault="0048037F" w:rsidP="0048037F">
      <w:pPr>
        <w:spacing w:line="240" w:lineRule="exact"/>
        <w:rPr>
          <w:rFonts w:asciiTheme="majorHAnsi" w:hAnsiTheme="majorHAnsi" w:cstheme="majorHAnsi"/>
          <w:b/>
        </w:rPr>
      </w:pPr>
      <w:r w:rsidRPr="002A4960">
        <w:rPr>
          <w:rFonts w:asciiTheme="majorHAnsi" w:hAnsiTheme="majorHAnsi" w:cstheme="majorHAnsi"/>
          <w:b/>
        </w:rPr>
        <w:t>Outcome 2: Improved health and education facilities through repaired/rebuilt buildings in select communities Ra and Koro</w:t>
      </w:r>
    </w:p>
    <w:p w:rsidR="0048037F" w:rsidRPr="002A4960" w:rsidRDefault="0048037F" w:rsidP="0048037F">
      <w:pPr>
        <w:spacing w:line="240" w:lineRule="exact"/>
        <w:rPr>
          <w:rFonts w:asciiTheme="majorHAnsi" w:hAnsiTheme="majorHAnsi" w:cstheme="majorHAnsi"/>
          <w:b/>
        </w:rPr>
      </w:pPr>
      <w:r w:rsidRPr="002A4960">
        <w:rPr>
          <w:rFonts w:asciiTheme="majorHAnsi" w:hAnsiTheme="majorHAnsi" w:cstheme="majorHAnsi"/>
          <w:b/>
        </w:rPr>
        <w:t>Outcome 3: Increased livelihood opportunities for those affected, particularly women in Rakiraki.</w:t>
      </w:r>
    </w:p>
    <w:p w:rsidR="0048037F" w:rsidRDefault="00BC4B67" w:rsidP="0048037F">
      <w:pPr>
        <w:spacing w:line="240" w:lineRule="exact"/>
        <w:rPr>
          <w:rFonts w:cstheme="minorHAnsi"/>
        </w:rPr>
      </w:pPr>
      <w:r>
        <w:rPr>
          <w:rFonts w:cstheme="minorHAnsi"/>
        </w:rPr>
        <w:t xml:space="preserve">Australia’s </w:t>
      </w:r>
      <w:r w:rsidR="0048037F">
        <w:rPr>
          <w:rFonts w:cstheme="minorHAnsi"/>
        </w:rPr>
        <w:t>TC Winston $20m</w:t>
      </w:r>
      <w:r>
        <w:rPr>
          <w:rFonts w:cstheme="minorHAnsi"/>
        </w:rPr>
        <w:t>illion</w:t>
      </w:r>
      <w:r w:rsidR="0048037F">
        <w:rPr>
          <w:rFonts w:cstheme="minorHAnsi"/>
        </w:rPr>
        <w:t xml:space="preserve"> recovery package included </w:t>
      </w:r>
      <w:r w:rsidR="0048037F" w:rsidRPr="00717AA6">
        <w:rPr>
          <w:rFonts w:cstheme="minorHAnsi"/>
        </w:rPr>
        <w:t>repair</w:t>
      </w:r>
      <w:r w:rsidR="0048037F">
        <w:rPr>
          <w:rFonts w:cstheme="minorHAnsi"/>
        </w:rPr>
        <w:t>s and</w:t>
      </w:r>
      <w:r w:rsidR="0048037F" w:rsidRPr="002277EC">
        <w:rPr>
          <w:rFonts w:cstheme="minorHAnsi"/>
        </w:rPr>
        <w:t xml:space="preserve"> </w:t>
      </w:r>
      <w:r w:rsidR="0048037F">
        <w:rPr>
          <w:rFonts w:cstheme="minorHAnsi"/>
        </w:rPr>
        <w:t>building of 34</w:t>
      </w:r>
      <w:r w:rsidR="0048037F" w:rsidRPr="002277EC">
        <w:rPr>
          <w:rFonts w:cstheme="minorHAnsi"/>
        </w:rPr>
        <w:t xml:space="preserve"> schools</w:t>
      </w:r>
      <w:r w:rsidR="0048037F">
        <w:rPr>
          <w:rFonts w:cstheme="minorHAnsi"/>
        </w:rPr>
        <w:t xml:space="preserve"> in Ra Province and Koro Island, upgrading and building the </w:t>
      </w:r>
      <w:r w:rsidR="0048037F" w:rsidRPr="007E03CB">
        <w:rPr>
          <w:rFonts w:cstheme="minorHAnsi"/>
        </w:rPr>
        <w:t>Waimaro Health Centre in Ra Province</w:t>
      </w:r>
      <w:r w:rsidR="0048037F">
        <w:rPr>
          <w:rFonts w:cstheme="minorHAnsi"/>
        </w:rPr>
        <w:t xml:space="preserve"> and </w:t>
      </w:r>
      <w:r w:rsidR="0048037F" w:rsidRPr="007E03CB">
        <w:rPr>
          <w:rFonts w:cstheme="minorHAnsi"/>
        </w:rPr>
        <w:t>Koro Health Centre</w:t>
      </w:r>
      <w:r w:rsidR="0048037F">
        <w:rPr>
          <w:rFonts w:cstheme="minorHAnsi"/>
        </w:rPr>
        <w:t xml:space="preserve">, and co-financing with </w:t>
      </w:r>
      <w:r>
        <w:rPr>
          <w:rFonts w:cstheme="minorHAnsi"/>
        </w:rPr>
        <w:t>GoF</w:t>
      </w:r>
      <w:r w:rsidR="0048037F">
        <w:rPr>
          <w:rFonts w:cstheme="minorHAnsi"/>
        </w:rPr>
        <w:t xml:space="preserve"> the rebuilding of the </w:t>
      </w:r>
      <w:r w:rsidR="0048037F" w:rsidRPr="007E03CB">
        <w:rPr>
          <w:rFonts w:cstheme="minorHAnsi"/>
        </w:rPr>
        <w:t>Rakiraki Municipal Market</w:t>
      </w:r>
      <w:r w:rsidR="0048037F">
        <w:rPr>
          <w:rFonts w:cstheme="minorHAnsi"/>
        </w:rPr>
        <w:t>s</w:t>
      </w:r>
      <w:r w:rsidR="0048037F" w:rsidRPr="00D50AA5">
        <w:rPr>
          <w:rFonts w:cstheme="minorHAnsi"/>
        </w:rPr>
        <w:t xml:space="preserve"> </w:t>
      </w:r>
      <w:r w:rsidR="0048037F" w:rsidRPr="00CE527F">
        <w:rPr>
          <w:rFonts w:cstheme="minorHAnsi"/>
        </w:rPr>
        <w:t>and women’s accommodation centre</w:t>
      </w:r>
      <w:r w:rsidR="0048037F">
        <w:rPr>
          <w:rFonts w:cstheme="minorHAnsi"/>
        </w:rPr>
        <w:t xml:space="preserve">.  </w:t>
      </w:r>
    </w:p>
    <w:p w:rsidR="0048037F" w:rsidRDefault="0048037F" w:rsidP="0048037F">
      <w:pPr>
        <w:spacing w:line="240" w:lineRule="exact"/>
        <w:rPr>
          <w:rFonts w:cstheme="minorHAnsi"/>
        </w:rPr>
      </w:pPr>
      <w:r>
        <w:rPr>
          <w:rFonts w:cstheme="minorHAnsi"/>
        </w:rPr>
        <w:t xml:space="preserve">While </w:t>
      </w:r>
      <w:r w:rsidR="0012378E">
        <w:rPr>
          <w:rFonts w:cstheme="minorHAnsi"/>
        </w:rPr>
        <w:t xml:space="preserve">the </w:t>
      </w:r>
      <w:r w:rsidRPr="00717AA6">
        <w:rPr>
          <w:rFonts w:cstheme="minorHAnsi"/>
        </w:rPr>
        <w:t xml:space="preserve">majority of the recovery work </w:t>
      </w:r>
      <w:r w:rsidR="00BC4B67">
        <w:rPr>
          <w:rFonts w:cstheme="minorHAnsi"/>
        </w:rPr>
        <w:t>was</w:t>
      </w:r>
      <w:r w:rsidR="00BC4B67" w:rsidRPr="00717AA6">
        <w:rPr>
          <w:rFonts w:cstheme="minorHAnsi"/>
        </w:rPr>
        <w:t xml:space="preserve"> </w:t>
      </w:r>
      <w:r w:rsidRPr="00717AA6">
        <w:rPr>
          <w:rFonts w:cstheme="minorHAnsi"/>
        </w:rPr>
        <w:t xml:space="preserve">completed in the </w:t>
      </w:r>
      <w:r>
        <w:rPr>
          <w:rFonts w:cstheme="minorHAnsi"/>
        </w:rPr>
        <w:t>2017-</w:t>
      </w:r>
      <w:r w:rsidRPr="00717AA6">
        <w:rPr>
          <w:rFonts w:cstheme="minorHAnsi"/>
        </w:rPr>
        <w:t>18 reporting period</w:t>
      </w:r>
      <w:r w:rsidR="006056D9">
        <w:rPr>
          <w:rStyle w:val="FootnoteReference"/>
          <w:rFonts w:cstheme="minorHAnsi"/>
        </w:rPr>
        <w:footnoteReference w:id="13"/>
      </w:r>
      <w:r>
        <w:rPr>
          <w:rFonts w:cstheme="minorHAnsi"/>
        </w:rPr>
        <w:t xml:space="preserve">, the outstanding work to be completed are </w:t>
      </w:r>
      <w:r w:rsidRPr="00717AA6">
        <w:rPr>
          <w:rFonts w:cstheme="minorHAnsi"/>
        </w:rPr>
        <w:t xml:space="preserve">the </w:t>
      </w:r>
      <w:r w:rsidR="00BC4B67">
        <w:rPr>
          <w:rFonts w:cstheme="minorHAnsi"/>
        </w:rPr>
        <w:t>six</w:t>
      </w:r>
      <w:r w:rsidR="00BC4B67" w:rsidRPr="00717AA6">
        <w:rPr>
          <w:rFonts w:cstheme="minorHAnsi"/>
        </w:rPr>
        <w:t xml:space="preserve"> </w:t>
      </w:r>
      <w:r w:rsidRPr="00717AA6">
        <w:rPr>
          <w:rFonts w:cstheme="minorHAnsi"/>
        </w:rPr>
        <w:t xml:space="preserve">schools </w:t>
      </w:r>
      <w:r>
        <w:rPr>
          <w:rFonts w:cstheme="minorHAnsi"/>
        </w:rPr>
        <w:t xml:space="preserve">in Koro Island and the Rakiraki Markets. </w:t>
      </w:r>
    </w:p>
    <w:p w:rsidR="0048037F" w:rsidRDefault="0012378E" w:rsidP="0048037F">
      <w:pPr>
        <w:spacing w:line="240" w:lineRule="exact"/>
        <w:rPr>
          <w:rFonts w:cstheme="minorHAnsi"/>
          <w:color w:val="auto"/>
          <w:lang w:val="en-AU"/>
        </w:rPr>
      </w:pPr>
      <w:r>
        <w:rPr>
          <w:rFonts w:cstheme="minorHAnsi"/>
        </w:rPr>
        <w:t xml:space="preserve">The </w:t>
      </w:r>
      <w:r w:rsidR="000665E9">
        <w:rPr>
          <w:rFonts w:cstheme="minorHAnsi"/>
        </w:rPr>
        <w:t xml:space="preserve">28 </w:t>
      </w:r>
      <w:r w:rsidR="00985217">
        <w:rPr>
          <w:rFonts w:cstheme="minorHAnsi"/>
        </w:rPr>
        <w:t>completed schools</w:t>
      </w:r>
      <w:r>
        <w:rPr>
          <w:rFonts w:cstheme="minorHAnsi"/>
        </w:rPr>
        <w:t xml:space="preserve">, fitted </w:t>
      </w:r>
      <w:r w:rsidR="0048037F">
        <w:rPr>
          <w:rFonts w:cstheme="minorHAnsi"/>
        </w:rPr>
        <w:t>with a comprehensive furniture package</w:t>
      </w:r>
      <w:r w:rsidR="00BC4B67">
        <w:rPr>
          <w:rFonts w:cstheme="minorHAnsi"/>
        </w:rPr>
        <w:t>,</w:t>
      </w:r>
      <w:r w:rsidR="0048037F">
        <w:rPr>
          <w:rFonts w:cstheme="minorHAnsi"/>
        </w:rPr>
        <w:t xml:space="preserve"> and health centres were handed over to the </w:t>
      </w:r>
      <w:r w:rsidR="00BC4B67">
        <w:rPr>
          <w:rFonts w:cstheme="minorHAnsi"/>
        </w:rPr>
        <w:t>GoF</w:t>
      </w:r>
      <w:r>
        <w:rPr>
          <w:rFonts w:cstheme="minorHAnsi"/>
        </w:rPr>
        <w:t xml:space="preserve"> </w:t>
      </w:r>
      <w:r w:rsidR="0048037F">
        <w:rPr>
          <w:rFonts w:cstheme="minorHAnsi"/>
        </w:rPr>
        <w:t>in 2018</w:t>
      </w:r>
      <w:r w:rsidR="00BC4B67">
        <w:rPr>
          <w:rFonts w:cstheme="minorHAnsi"/>
        </w:rPr>
        <w:t xml:space="preserve">.  These are now </w:t>
      </w:r>
      <w:r w:rsidR="0048037F">
        <w:rPr>
          <w:rFonts w:cstheme="minorHAnsi"/>
        </w:rPr>
        <w:t>fully operational</w:t>
      </w:r>
      <w:r w:rsidR="00BC4B67">
        <w:rPr>
          <w:rFonts w:cstheme="minorHAnsi"/>
        </w:rPr>
        <w:t>,</w:t>
      </w:r>
      <w:r w:rsidR="0048037F">
        <w:rPr>
          <w:rFonts w:cstheme="minorHAnsi"/>
        </w:rPr>
        <w:t xml:space="preserve"> supporting the surrounding population in Ra Province and Koro Island.  </w:t>
      </w:r>
    </w:p>
    <w:p w:rsidR="0048037F" w:rsidRPr="00927E08" w:rsidRDefault="0048037F" w:rsidP="0048037F">
      <w:pPr>
        <w:spacing w:line="240" w:lineRule="exact"/>
        <w:rPr>
          <w:rFonts w:cstheme="minorHAnsi"/>
        </w:rPr>
      </w:pPr>
      <w:r w:rsidRPr="00927E08">
        <w:rPr>
          <w:rFonts w:cstheme="minorHAnsi"/>
        </w:rPr>
        <w:t xml:space="preserve">The </w:t>
      </w:r>
      <w:r>
        <w:rPr>
          <w:rFonts w:cstheme="minorHAnsi"/>
        </w:rPr>
        <w:t xml:space="preserve">Koro </w:t>
      </w:r>
      <w:r w:rsidRPr="00927E08">
        <w:rPr>
          <w:rFonts w:cstheme="minorHAnsi"/>
        </w:rPr>
        <w:t>schools</w:t>
      </w:r>
      <w:r w:rsidR="00BC4B67">
        <w:rPr>
          <w:rFonts w:cstheme="minorHAnsi"/>
        </w:rPr>
        <w:t>,</w:t>
      </w:r>
      <w:r>
        <w:rPr>
          <w:rFonts w:cstheme="minorHAnsi"/>
        </w:rPr>
        <w:t xml:space="preserve"> </w:t>
      </w:r>
      <w:r w:rsidRPr="00927E08">
        <w:rPr>
          <w:rFonts w:cstheme="minorHAnsi"/>
        </w:rPr>
        <w:t xml:space="preserve">although completed </w:t>
      </w:r>
      <w:r>
        <w:rPr>
          <w:rFonts w:cstheme="minorHAnsi"/>
        </w:rPr>
        <w:t xml:space="preserve">and </w:t>
      </w:r>
      <w:r w:rsidRPr="00927E08">
        <w:rPr>
          <w:rFonts w:cstheme="minorHAnsi"/>
        </w:rPr>
        <w:t>ready for occupation</w:t>
      </w:r>
      <w:r w:rsidR="00BC4B67">
        <w:rPr>
          <w:rFonts w:cstheme="minorHAnsi"/>
        </w:rPr>
        <w:t>,</w:t>
      </w:r>
      <w:r w:rsidRPr="00927E08">
        <w:rPr>
          <w:rFonts w:cstheme="minorHAnsi"/>
        </w:rPr>
        <w:t xml:space="preserve"> </w:t>
      </w:r>
      <w:r w:rsidR="000665E9">
        <w:rPr>
          <w:rFonts w:cstheme="minorHAnsi"/>
        </w:rPr>
        <w:t>were</w:t>
      </w:r>
      <w:r w:rsidRPr="00927E08">
        <w:rPr>
          <w:rFonts w:cstheme="minorHAnsi"/>
        </w:rPr>
        <w:t xml:space="preserve"> delayed due to </w:t>
      </w:r>
      <w:r w:rsidR="0012378E">
        <w:rPr>
          <w:rFonts w:cstheme="minorHAnsi"/>
        </w:rPr>
        <w:t>problems with the finalisation of certificates.</w:t>
      </w:r>
      <w:r>
        <w:rPr>
          <w:rFonts w:cstheme="minorHAnsi"/>
        </w:rPr>
        <w:t xml:space="preserve">  We </w:t>
      </w:r>
      <w:r w:rsidRPr="00927E08">
        <w:rPr>
          <w:rFonts w:cstheme="minorHAnsi"/>
        </w:rPr>
        <w:t xml:space="preserve">anticipate </w:t>
      </w:r>
      <w:r>
        <w:rPr>
          <w:rFonts w:cstheme="minorHAnsi"/>
        </w:rPr>
        <w:t xml:space="preserve">this </w:t>
      </w:r>
      <w:r w:rsidRPr="00927E08">
        <w:rPr>
          <w:rFonts w:cstheme="minorHAnsi"/>
        </w:rPr>
        <w:t xml:space="preserve">will be resolved </w:t>
      </w:r>
      <w:r>
        <w:rPr>
          <w:rFonts w:cstheme="minorHAnsi"/>
        </w:rPr>
        <w:t>by December 2019, ready for the start of the new school year</w:t>
      </w:r>
      <w:r w:rsidR="00BC4B67">
        <w:rPr>
          <w:rFonts w:cstheme="minorHAnsi"/>
        </w:rPr>
        <w:t xml:space="preserve"> in January 2020</w:t>
      </w:r>
      <w:r>
        <w:rPr>
          <w:rFonts w:cstheme="minorHAnsi"/>
        </w:rPr>
        <w:t xml:space="preserve">.   </w:t>
      </w:r>
    </w:p>
    <w:p w:rsidR="0048037F" w:rsidRDefault="0048037F" w:rsidP="0048037F">
      <w:pPr>
        <w:spacing w:line="240" w:lineRule="exact"/>
        <w:rPr>
          <w:rFonts w:cstheme="minorHAnsi"/>
        </w:rPr>
      </w:pPr>
      <w:r>
        <w:rPr>
          <w:rFonts w:cstheme="minorHAnsi"/>
        </w:rPr>
        <w:t>T</w:t>
      </w:r>
      <w:r w:rsidRPr="00717AA6">
        <w:rPr>
          <w:rFonts w:cstheme="minorHAnsi"/>
        </w:rPr>
        <w:t xml:space="preserve">he Rakiraki Market </w:t>
      </w:r>
      <w:r>
        <w:rPr>
          <w:rFonts w:cstheme="minorHAnsi"/>
        </w:rPr>
        <w:t>was to be completed by June 2019, however, due to the</w:t>
      </w:r>
      <w:r w:rsidR="00AB45B8">
        <w:rPr>
          <w:rFonts w:cstheme="minorHAnsi"/>
        </w:rPr>
        <w:t xml:space="preserve"> adverse</w:t>
      </w:r>
      <w:r>
        <w:rPr>
          <w:rFonts w:cstheme="minorHAnsi"/>
        </w:rPr>
        <w:t xml:space="preserve"> weather conditions and the change of </w:t>
      </w:r>
      <w:r w:rsidRPr="00F94C39">
        <w:rPr>
          <w:rFonts w:cstheme="minorHAnsi"/>
        </w:rPr>
        <w:t xml:space="preserve">scope </w:t>
      </w:r>
      <w:r>
        <w:rPr>
          <w:rFonts w:cstheme="minorHAnsi"/>
        </w:rPr>
        <w:t xml:space="preserve">by </w:t>
      </w:r>
      <w:r w:rsidR="00BC4B67">
        <w:rPr>
          <w:rFonts w:cstheme="minorHAnsi"/>
        </w:rPr>
        <w:t>GoF, competition was delayed.</w:t>
      </w:r>
      <w:r>
        <w:rPr>
          <w:rFonts w:cstheme="minorHAnsi"/>
        </w:rPr>
        <w:t xml:space="preserve">  The project is now on track to </w:t>
      </w:r>
      <w:r w:rsidR="0012378E">
        <w:rPr>
          <w:rFonts w:cstheme="minorHAnsi"/>
        </w:rPr>
        <w:t xml:space="preserve">be </w:t>
      </w:r>
      <w:r>
        <w:rPr>
          <w:rFonts w:cstheme="minorHAnsi"/>
        </w:rPr>
        <w:t xml:space="preserve">completed and open by the end of 2019.  </w:t>
      </w:r>
    </w:p>
    <w:p w:rsidR="002A51CA" w:rsidRDefault="002A51CA" w:rsidP="00CF62AE">
      <w:pPr>
        <w:pStyle w:val="Heading2"/>
        <w:spacing w:before="360" w:line="300" w:lineRule="exact"/>
      </w:pPr>
      <w:r>
        <w:t>Mutual obligations</w:t>
      </w:r>
    </w:p>
    <w:p w:rsidR="00A22848" w:rsidRDefault="00A22848" w:rsidP="00CF62AE">
      <w:pPr>
        <w:pStyle w:val="Heading2"/>
        <w:spacing w:before="360" w:line="300" w:lineRule="exact"/>
      </w:pPr>
    </w:p>
    <w:p w:rsidR="00BC4B67" w:rsidRDefault="00BC4B67" w:rsidP="00A22848">
      <w:pPr>
        <w:spacing w:line="240" w:lineRule="auto"/>
        <w:rPr>
          <w:rFonts w:cstheme="minorHAnsi"/>
        </w:rPr>
      </w:pPr>
      <w:r>
        <w:rPr>
          <w:rFonts w:cstheme="minorHAnsi"/>
        </w:rPr>
        <w:t xml:space="preserve">The AIP 2015-19 expired in mid-2019.  However, Australia continues to support Fiji to achieve its development goals through agreed priority areas. </w:t>
      </w:r>
    </w:p>
    <w:p w:rsidR="00A22848" w:rsidRDefault="00BC4B67" w:rsidP="00A22848">
      <w:pPr>
        <w:spacing w:line="240" w:lineRule="auto"/>
        <w:rPr>
          <w:rFonts w:cstheme="minorHAnsi"/>
        </w:rPr>
      </w:pPr>
      <w:r>
        <w:rPr>
          <w:rFonts w:cstheme="minorHAnsi"/>
        </w:rPr>
        <w:t>Looking forward, u</w:t>
      </w:r>
      <w:r w:rsidR="00A22848">
        <w:rPr>
          <w:rFonts w:cstheme="minorHAnsi"/>
        </w:rPr>
        <w:t xml:space="preserve">nder the Fiji-Australia Vuvale </w:t>
      </w:r>
      <w:r w:rsidR="007914F1">
        <w:rPr>
          <w:rFonts w:cstheme="minorHAnsi"/>
        </w:rPr>
        <w:t>Partnership</w:t>
      </w:r>
      <w:r w:rsidR="00A22848">
        <w:rPr>
          <w:rFonts w:cstheme="minorHAnsi"/>
        </w:rPr>
        <w:t>, signed by Prime Minister</w:t>
      </w:r>
      <w:r w:rsidR="000665E9">
        <w:rPr>
          <w:rFonts w:cstheme="minorHAnsi"/>
        </w:rPr>
        <w:t>s</w:t>
      </w:r>
      <w:r w:rsidR="00A22848">
        <w:rPr>
          <w:rFonts w:cstheme="minorHAnsi"/>
        </w:rPr>
        <w:t xml:space="preserve"> Morrison and Bainimarama on 16 September 2019, committed </w:t>
      </w:r>
      <w:r w:rsidR="000665E9">
        <w:rPr>
          <w:rFonts w:cstheme="minorHAnsi"/>
        </w:rPr>
        <w:t xml:space="preserve">both governments </w:t>
      </w:r>
      <w:r w:rsidR="00A22848">
        <w:rPr>
          <w:rFonts w:cstheme="minorHAnsi"/>
        </w:rPr>
        <w:t xml:space="preserve">to: </w:t>
      </w:r>
    </w:p>
    <w:p w:rsidR="00A22848" w:rsidRPr="00F611B7" w:rsidRDefault="00A22848" w:rsidP="007C466B">
      <w:pPr>
        <w:numPr>
          <w:ilvl w:val="0"/>
          <w:numId w:val="16"/>
        </w:numPr>
        <w:suppressAutoHyphens w:val="0"/>
        <w:spacing w:before="113" w:after="113" w:line="240" w:lineRule="auto"/>
        <w:rPr>
          <w:rFonts w:cstheme="minorHAnsi"/>
        </w:rPr>
      </w:pPr>
      <w:r w:rsidRPr="00F611B7">
        <w:rPr>
          <w:rFonts w:cstheme="minorHAnsi"/>
        </w:rPr>
        <w:t>engage each other with trust, respect, and understanding;</w:t>
      </w:r>
    </w:p>
    <w:p w:rsidR="00A22848" w:rsidRPr="00F611B7" w:rsidRDefault="00A22848" w:rsidP="007C466B">
      <w:pPr>
        <w:numPr>
          <w:ilvl w:val="0"/>
          <w:numId w:val="16"/>
        </w:numPr>
        <w:suppressAutoHyphens w:val="0"/>
        <w:spacing w:before="113" w:after="113" w:line="240" w:lineRule="auto"/>
        <w:rPr>
          <w:rFonts w:cstheme="minorHAnsi"/>
        </w:rPr>
      </w:pPr>
      <w:r w:rsidRPr="00F611B7">
        <w:rPr>
          <w:rFonts w:cstheme="minorHAnsi"/>
        </w:rPr>
        <w:t xml:space="preserve">share responsibility for delivering programs and policies to achieve our goals; </w:t>
      </w:r>
    </w:p>
    <w:p w:rsidR="00A22848" w:rsidRPr="00F611B7" w:rsidRDefault="00A22848" w:rsidP="007C466B">
      <w:pPr>
        <w:numPr>
          <w:ilvl w:val="0"/>
          <w:numId w:val="16"/>
        </w:numPr>
        <w:suppressAutoHyphens w:val="0"/>
        <w:spacing w:before="113" w:after="113" w:line="240" w:lineRule="auto"/>
        <w:rPr>
          <w:rFonts w:cstheme="minorHAnsi"/>
        </w:rPr>
      </w:pPr>
      <w:r w:rsidRPr="00F611B7">
        <w:rPr>
          <w:rFonts w:cstheme="minorHAnsi"/>
        </w:rPr>
        <w:t xml:space="preserve">listen and speak carefully to understand our respective points of view when differences arise; </w:t>
      </w:r>
    </w:p>
    <w:p w:rsidR="00A22848" w:rsidRPr="00F611B7" w:rsidRDefault="00A22848" w:rsidP="007C466B">
      <w:pPr>
        <w:numPr>
          <w:ilvl w:val="0"/>
          <w:numId w:val="16"/>
        </w:numPr>
        <w:suppressAutoHyphens w:val="0"/>
        <w:spacing w:before="113" w:after="113" w:line="240" w:lineRule="auto"/>
        <w:rPr>
          <w:rFonts w:cstheme="minorHAnsi"/>
        </w:rPr>
      </w:pPr>
      <w:r w:rsidRPr="00F611B7">
        <w:rPr>
          <w:rFonts w:cstheme="minorHAnsi"/>
        </w:rPr>
        <w:t xml:space="preserve">share in the prosperity of improved economic and social well-being; </w:t>
      </w:r>
    </w:p>
    <w:p w:rsidR="00A22848" w:rsidRPr="00F611B7" w:rsidRDefault="00A22848" w:rsidP="007C466B">
      <w:pPr>
        <w:numPr>
          <w:ilvl w:val="0"/>
          <w:numId w:val="16"/>
        </w:numPr>
        <w:suppressAutoHyphens w:val="0"/>
        <w:spacing w:before="113" w:after="113" w:line="240" w:lineRule="auto"/>
        <w:rPr>
          <w:rFonts w:cstheme="minorHAnsi"/>
        </w:rPr>
      </w:pPr>
      <w:r w:rsidRPr="00F611B7">
        <w:rPr>
          <w:rFonts w:cstheme="minorHAnsi"/>
        </w:rPr>
        <w:t xml:space="preserve">help each other to grow as individual sovereign states and as partners; and </w:t>
      </w:r>
    </w:p>
    <w:p w:rsidR="00A22848" w:rsidRPr="00F611B7" w:rsidRDefault="00A22848" w:rsidP="007C466B">
      <w:pPr>
        <w:numPr>
          <w:ilvl w:val="0"/>
          <w:numId w:val="16"/>
        </w:numPr>
        <w:suppressAutoHyphens w:val="0"/>
        <w:spacing w:before="113" w:after="113" w:line="240" w:lineRule="auto"/>
        <w:rPr>
          <w:rFonts w:cstheme="minorHAnsi"/>
        </w:rPr>
      </w:pPr>
      <w:r w:rsidRPr="00F611B7">
        <w:rPr>
          <w:rFonts w:cstheme="minorHAnsi"/>
        </w:rPr>
        <w:t xml:space="preserve">work in a considered and sustainable manner that achieves lasting outcomes. </w:t>
      </w:r>
    </w:p>
    <w:p w:rsidR="00A22848" w:rsidRPr="00927E08" w:rsidRDefault="00A22848" w:rsidP="00A22848">
      <w:pPr>
        <w:spacing w:line="240" w:lineRule="auto"/>
        <w:rPr>
          <w:rFonts w:cstheme="minorHAnsi"/>
        </w:rPr>
      </w:pPr>
      <w:r>
        <w:rPr>
          <w:rFonts w:cstheme="minorHAnsi"/>
        </w:rPr>
        <w:t xml:space="preserve">These principles will underpin the development of mutual obligations in the upcoming process to develop a new </w:t>
      </w:r>
      <w:r w:rsidR="00BC4B67">
        <w:rPr>
          <w:rFonts w:cstheme="minorHAnsi"/>
        </w:rPr>
        <w:t>AIP</w:t>
      </w:r>
      <w:r>
        <w:rPr>
          <w:rFonts w:cstheme="minorHAnsi"/>
        </w:rPr>
        <w:t xml:space="preserve">.  </w:t>
      </w:r>
    </w:p>
    <w:p w:rsidR="00A22848" w:rsidRDefault="00A22848" w:rsidP="00CF62AE">
      <w:pPr>
        <w:pStyle w:val="Heading2"/>
        <w:spacing w:before="360" w:line="300" w:lineRule="exact"/>
      </w:pPr>
    </w:p>
    <w:p w:rsidR="002A51CA" w:rsidRPr="002A51CA" w:rsidRDefault="002A51CA" w:rsidP="00CF62AE">
      <w:pPr>
        <w:pStyle w:val="Heading2"/>
        <w:spacing w:before="360" w:line="300" w:lineRule="exact"/>
      </w:pPr>
      <w:r w:rsidRPr="002A51CA">
        <w:t xml:space="preserve">Program Quality and Partner Performance </w:t>
      </w:r>
    </w:p>
    <w:p w:rsidR="00A76DB9" w:rsidRDefault="00A76DB9" w:rsidP="00BE6C6D">
      <w:pPr>
        <w:rPr>
          <w:color w:val="auto"/>
          <w:sz w:val="32"/>
          <w:szCs w:val="32"/>
          <w:lang w:eastAsia="zh-CN"/>
        </w:rPr>
      </w:pPr>
      <w:r>
        <w:rPr>
          <w:color w:val="auto"/>
          <w:sz w:val="32"/>
          <w:szCs w:val="32"/>
          <w:lang w:eastAsia="zh-CN"/>
        </w:rPr>
        <w:t>Overview</w:t>
      </w:r>
    </w:p>
    <w:p w:rsidR="00590DDB" w:rsidRDefault="00590DDB" w:rsidP="00BE6C6D">
      <w:pPr>
        <w:rPr>
          <w:color w:val="auto"/>
          <w:sz w:val="32"/>
          <w:szCs w:val="32"/>
          <w:lang w:eastAsia="zh-CN"/>
        </w:rPr>
      </w:pPr>
      <w:r>
        <w:rPr>
          <w:rFonts w:cstheme="minorHAnsi"/>
        </w:rPr>
        <w:t xml:space="preserve">Australia continued to develop a systematic approach to monitoring and evaluating aid in Fiji. </w:t>
      </w:r>
      <w:r w:rsidR="00A76DB9">
        <w:rPr>
          <w:rFonts w:cstheme="minorHAnsi"/>
        </w:rPr>
        <w:t xml:space="preserve">Annual assessment of </w:t>
      </w:r>
      <w:r>
        <w:rPr>
          <w:rFonts w:cstheme="minorHAnsi"/>
        </w:rPr>
        <w:t xml:space="preserve">performance </w:t>
      </w:r>
      <w:r w:rsidR="00A76DB9">
        <w:rPr>
          <w:rFonts w:cstheme="minorHAnsi"/>
        </w:rPr>
        <w:t xml:space="preserve">occurs </w:t>
      </w:r>
      <w:r>
        <w:rPr>
          <w:rFonts w:cstheme="minorHAnsi"/>
        </w:rPr>
        <w:t xml:space="preserve">against a PAF. </w:t>
      </w:r>
      <w:r w:rsidR="00A76DB9">
        <w:rPr>
          <w:rFonts w:cstheme="minorHAnsi"/>
        </w:rPr>
        <w:t>An agreed rating for each AIP objective is the result of presented evidence that is subject to critique and review</w:t>
      </w:r>
      <w:r>
        <w:rPr>
          <w:rFonts w:cstheme="minorHAnsi"/>
        </w:rPr>
        <w:t xml:space="preserve">. Other key performance processes in 2018-19 included </w:t>
      </w:r>
      <w:r w:rsidR="00BC4B67">
        <w:rPr>
          <w:rFonts w:cstheme="minorHAnsi"/>
        </w:rPr>
        <w:t>AQCs</w:t>
      </w:r>
      <w:r>
        <w:rPr>
          <w:rFonts w:cstheme="minorHAnsi"/>
        </w:rPr>
        <w:t xml:space="preserve">, Partner Performance Assessments and program evaluations. All of these systems and processes </w:t>
      </w:r>
      <w:r w:rsidR="00BC4B67">
        <w:rPr>
          <w:rFonts w:cstheme="minorHAnsi"/>
        </w:rPr>
        <w:t>generate</w:t>
      </w:r>
      <w:r w:rsidR="007914F1">
        <w:rPr>
          <w:rFonts w:cstheme="minorHAnsi"/>
        </w:rPr>
        <w:t xml:space="preserve"> </w:t>
      </w:r>
      <w:r w:rsidR="00A76DB9">
        <w:rPr>
          <w:rFonts w:cstheme="minorHAnsi"/>
        </w:rPr>
        <w:t xml:space="preserve">learning that </w:t>
      </w:r>
      <w:r w:rsidR="00BC4B67">
        <w:rPr>
          <w:rFonts w:cstheme="minorHAnsi"/>
        </w:rPr>
        <w:t>has</w:t>
      </w:r>
      <w:r w:rsidR="00A76DB9">
        <w:rPr>
          <w:rFonts w:cstheme="minorHAnsi"/>
        </w:rPr>
        <w:t xml:space="preserve"> informed decisions </w:t>
      </w:r>
      <w:r w:rsidR="00BC4B67">
        <w:rPr>
          <w:rFonts w:cstheme="minorHAnsi"/>
        </w:rPr>
        <w:t xml:space="preserve">and </w:t>
      </w:r>
      <w:r w:rsidR="00A76DB9">
        <w:rPr>
          <w:rFonts w:cstheme="minorHAnsi"/>
        </w:rPr>
        <w:t xml:space="preserve">been </w:t>
      </w:r>
      <w:r w:rsidR="00BC4B67">
        <w:rPr>
          <w:rFonts w:cstheme="minorHAnsi"/>
        </w:rPr>
        <w:t xml:space="preserve">fed </w:t>
      </w:r>
      <w:r w:rsidR="00A76DB9">
        <w:rPr>
          <w:rFonts w:cstheme="minorHAnsi"/>
        </w:rPr>
        <w:t xml:space="preserve">back into the program planning and design process – including the </w:t>
      </w:r>
      <w:r w:rsidR="00BC4B67">
        <w:rPr>
          <w:rFonts w:cstheme="minorHAnsi"/>
        </w:rPr>
        <w:t>AIP</w:t>
      </w:r>
      <w:r w:rsidR="00A76DB9">
        <w:rPr>
          <w:rFonts w:cstheme="minorHAnsi"/>
        </w:rPr>
        <w:t xml:space="preserve"> for 2019-22.</w:t>
      </w:r>
      <w:r w:rsidR="007738F7">
        <w:rPr>
          <w:rFonts w:cstheme="minorHAnsi"/>
        </w:rPr>
        <w:t xml:space="preserve">  We acknowledge that the PAF developed is no longer fit for purpose. Our development program has shifted i</w:t>
      </w:r>
      <w:r w:rsidR="0012378E">
        <w:rPr>
          <w:rFonts w:cstheme="minorHAnsi"/>
        </w:rPr>
        <w:t>n response to the Pacific Step-u</w:t>
      </w:r>
      <w:r w:rsidR="007738F7">
        <w:rPr>
          <w:rFonts w:cstheme="minorHAnsi"/>
        </w:rPr>
        <w:t xml:space="preserve">p and increasing requests from GoF. </w:t>
      </w:r>
      <w:r w:rsidR="00BC4B67">
        <w:rPr>
          <w:rFonts w:cstheme="minorHAnsi"/>
        </w:rPr>
        <w:t xml:space="preserve"> </w:t>
      </w:r>
      <w:r w:rsidR="00F96E4C">
        <w:rPr>
          <w:rFonts w:cstheme="minorHAnsi"/>
        </w:rPr>
        <w:t>We need to review the</w:t>
      </w:r>
      <w:r w:rsidR="00BC4B67">
        <w:rPr>
          <w:rFonts w:cstheme="minorHAnsi"/>
        </w:rPr>
        <w:t xml:space="preserve"> </w:t>
      </w:r>
      <w:r w:rsidR="007914F1">
        <w:rPr>
          <w:rFonts w:cstheme="minorHAnsi"/>
        </w:rPr>
        <w:t>indicators</w:t>
      </w:r>
      <w:r w:rsidR="00BC4B67">
        <w:rPr>
          <w:rFonts w:cstheme="minorHAnsi"/>
        </w:rPr>
        <w:t xml:space="preserve"> </w:t>
      </w:r>
      <w:r w:rsidR="00F96E4C">
        <w:rPr>
          <w:rFonts w:cstheme="minorHAnsi"/>
        </w:rPr>
        <w:t>for</w:t>
      </w:r>
      <w:r w:rsidR="00BC4B67">
        <w:rPr>
          <w:rFonts w:cstheme="minorHAnsi"/>
        </w:rPr>
        <w:t xml:space="preserve"> the Education Program, Labour Mobility Scheme and the Governance Program. </w:t>
      </w:r>
      <w:r w:rsidR="007738F7">
        <w:rPr>
          <w:rFonts w:cstheme="minorHAnsi"/>
        </w:rPr>
        <w:t xml:space="preserve"> The </w:t>
      </w:r>
      <w:r w:rsidR="00BC4B67">
        <w:rPr>
          <w:rFonts w:cstheme="minorHAnsi"/>
        </w:rPr>
        <w:t>AQC scores</w:t>
      </w:r>
      <w:r w:rsidR="007914F1">
        <w:rPr>
          <w:rFonts w:cstheme="minorHAnsi"/>
        </w:rPr>
        <w:t>, which</w:t>
      </w:r>
      <w:r w:rsidR="00BC4B67">
        <w:rPr>
          <w:rFonts w:cstheme="minorHAnsi"/>
        </w:rPr>
        <w:t xml:space="preserve"> include progress against PAF targets in addition to qualitative and quantitative data, </w:t>
      </w:r>
      <w:r w:rsidR="007738F7">
        <w:rPr>
          <w:rFonts w:cstheme="minorHAnsi"/>
        </w:rPr>
        <w:t>are currently a better reflection of program performance</w:t>
      </w:r>
      <w:r w:rsidR="00FF4860">
        <w:rPr>
          <w:rFonts w:cstheme="minorHAnsi"/>
        </w:rPr>
        <w:t>. T</w:t>
      </w:r>
      <w:r w:rsidR="007738F7">
        <w:rPr>
          <w:rFonts w:cstheme="minorHAnsi"/>
        </w:rPr>
        <w:t xml:space="preserve">he results from 2018-19 were </w:t>
      </w:r>
      <w:r w:rsidR="000665E9">
        <w:rPr>
          <w:rFonts w:cstheme="minorHAnsi"/>
        </w:rPr>
        <w:t>used</w:t>
      </w:r>
      <w:r w:rsidR="007738F7">
        <w:rPr>
          <w:rFonts w:cstheme="minorHAnsi"/>
        </w:rPr>
        <w:t xml:space="preserve"> to make many of the performance assessments in this document.  </w:t>
      </w:r>
    </w:p>
    <w:p w:rsidR="00600479" w:rsidRPr="002F1F29" w:rsidRDefault="00600479" w:rsidP="00BE6C6D">
      <w:pPr>
        <w:rPr>
          <w:color w:val="auto"/>
          <w:sz w:val="32"/>
          <w:szCs w:val="32"/>
          <w:lang w:eastAsia="zh-CN"/>
        </w:rPr>
      </w:pPr>
      <w:r w:rsidRPr="002F1F29">
        <w:rPr>
          <w:color w:val="auto"/>
          <w:sz w:val="32"/>
          <w:szCs w:val="32"/>
          <w:lang w:eastAsia="zh-CN"/>
        </w:rPr>
        <w:t>Aid Quality Checks (AQCs)</w:t>
      </w:r>
    </w:p>
    <w:p w:rsidR="00962DC8" w:rsidRPr="00927E08" w:rsidRDefault="00FF4860" w:rsidP="00927E08">
      <w:pPr>
        <w:spacing w:line="240" w:lineRule="auto"/>
        <w:rPr>
          <w:rFonts w:cstheme="minorHAnsi"/>
        </w:rPr>
      </w:pPr>
      <w:r>
        <w:rPr>
          <w:rFonts w:cstheme="minorHAnsi"/>
        </w:rPr>
        <w:t>AQCs</w:t>
      </w:r>
      <w:r w:rsidR="00100158">
        <w:rPr>
          <w:rFonts w:cstheme="minorHAnsi"/>
        </w:rPr>
        <w:t xml:space="preserve"> were conducted for </w:t>
      </w:r>
      <w:r w:rsidR="00962DC8" w:rsidRPr="00927E08">
        <w:rPr>
          <w:rFonts w:cstheme="minorHAnsi"/>
        </w:rPr>
        <w:t>seven investments for the period 2018-19. A summary of AQC rating</w:t>
      </w:r>
      <w:r w:rsidR="008D598F">
        <w:rPr>
          <w:rFonts w:cstheme="minorHAnsi"/>
        </w:rPr>
        <w:t>s</w:t>
      </w:r>
      <w:r w:rsidR="00962DC8" w:rsidRPr="00927E08">
        <w:rPr>
          <w:rFonts w:cstheme="minorHAnsi"/>
        </w:rPr>
        <w:t xml:space="preserve"> </w:t>
      </w:r>
      <w:r w:rsidR="00DB3355">
        <w:rPr>
          <w:rFonts w:cstheme="minorHAnsi"/>
        </w:rPr>
        <w:t xml:space="preserve">is at </w:t>
      </w:r>
      <w:r w:rsidR="00962DC8" w:rsidRPr="00927E08">
        <w:rPr>
          <w:rFonts w:cstheme="minorHAnsi"/>
        </w:rPr>
        <w:t xml:space="preserve">Annex D. The overall </w:t>
      </w:r>
      <w:r w:rsidR="00000066">
        <w:rPr>
          <w:rFonts w:cstheme="minorHAnsi"/>
        </w:rPr>
        <w:t xml:space="preserve">average </w:t>
      </w:r>
      <w:r w:rsidR="00962DC8" w:rsidRPr="00927E08">
        <w:rPr>
          <w:rFonts w:cstheme="minorHAnsi"/>
        </w:rPr>
        <w:t xml:space="preserve">ranking of the </w:t>
      </w:r>
      <w:r w:rsidR="00DB3355">
        <w:rPr>
          <w:rFonts w:cstheme="minorHAnsi"/>
        </w:rPr>
        <w:t xml:space="preserve">seven AQCs </w:t>
      </w:r>
      <w:r w:rsidR="00962DC8" w:rsidRPr="00927E08">
        <w:rPr>
          <w:rFonts w:cstheme="minorHAnsi"/>
        </w:rPr>
        <w:t>is 4.2</w:t>
      </w:r>
      <w:r w:rsidR="00DB3355">
        <w:rPr>
          <w:rFonts w:cstheme="minorHAnsi"/>
        </w:rPr>
        <w:t xml:space="preserve">, compared to 4.3 </w:t>
      </w:r>
      <w:r w:rsidR="000665E9">
        <w:rPr>
          <w:rFonts w:cstheme="minorHAnsi"/>
        </w:rPr>
        <w:t>in 2018-19</w:t>
      </w:r>
      <w:r>
        <w:rPr>
          <w:rFonts w:cstheme="minorHAnsi"/>
        </w:rPr>
        <w:t>.</w:t>
      </w:r>
    </w:p>
    <w:p w:rsidR="00433B03" w:rsidRDefault="003433B5" w:rsidP="00927E08">
      <w:pPr>
        <w:spacing w:line="240" w:lineRule="auto"/>
        <w:rPr>
          <w:rFonts w:cstheme="minorHAnsi"/>
        </w:rPr>
      </w:pPr>
      <w:r w:rsidRPr="00126597">
        <w:rPr>
          <w:rFonts w:cstheme="minorHAnsi"/>
          <w:b/>
        </w:rPr>
        <w:t xml:space="preserve">The Facility is </w:t>
      </w:r>
      <w:r w:rsidR="00A76DB9" w:rsidRPr="00126597">
        <w:rPr>
          <w:rFonts w:cstheme="minorHAnsi"/>
          <w:b/>
        </w:rPr>
        <w:t>consolidating program delivery in its second year of operation and is already producing</w:t>
      </w:r>
      <w:r w:rsidR="00433B03" w:rsidRPr="00126597">
        <w:rPr>
          <w:rFonts w:cstheme="minorHAnsi"/>
          <w:b/>
        </w:rPr>
        <w:t xml:space="preserve"> cost savings</w:t>
      </w:r>
      <w:r w:rsidR="00A76DB9" w:rsidRPr="00126597">
        <w:rPr>
          <w:rFonts w:cstheme="minorHAnsi"/>
          <w:b/>
        </w:rPr>
        <w:t xml:space="preserve"> and </w:t>
      </w:r>
      <w:r w:rsidR="00E30859" w:rsidRPr="00126597">
        <w:rPr>
          <w:rFonts w:cstheme="minorHAnsi"/>
          <w:b/>
        </w:rPr>
        <w:t xml:space="preserve">addressing gender and disability across </w:t>
      </w:r>
      <w:r w:rsidR="00A76DB9" w:rsidRPr="00126597">
        <w:rPr>
          <w:rFonts w:cstheme="minorHAnsi"/>
          <w:b/>
        </w:rPr>
        <w:t>investments</w:t>
      </w:r>
      <w:r w:rsidR="00A76DB9">
        <w:rPr>
          <w:rFonts w:cstheme="minorHAnsi"/>
        </w:rPr>
        <w:t>.</w:t>
      </w:r>
      <w:r w:rsidR="00433B03">
        <w:rPr>
          <w:rFonts w:cstheme="minorHAnsi"/>
        </w:rPr>
        <w:t xml:space="preserve"> </w:t>
      </w:r>
      <w:r w:rsidR="00FF4860">
        <w:rPr>
          <w:rFonts w:cstheme="minorHAnsi"/>
        </w:rPr>
        <w:t xml:space="preserve">In </w:t>
      </w:r>
      <w:r w:rsidR="00433B03">
        <w:rPr>
          <w:rFonts w:cstheme="minorHAnsi"/>
        </w:rPr>
        <w:t>2018-19</w:t>
      </w:r>
      <w:r w:rsidR="00FF4860">
        <w:rPr>
          <w:rFonts w:cstheme="minorHAnsi"/>
        </w:rPr>
        <w:t>,</w:t>
      </w:r>
      <w:r w:rsidR="00433B03">
        <w:rPr>
          <w:rFonts w:cstheme="minorHAnsi"/>
        </w:rPr>
        <w:t xml:space="preserve"> </w:t>
      </w:r>
      <w:r w:rsidR="00E30859">
        <w:rPr>
          <w:rFonts w:cstheme="minorHAnsi"/>
        </w:rPr>
        <w:t xml:space="preserve">the rating for efficiency was increased from </w:t>
      </w:r>
      <w:r w:rsidR="00A76DB9">
        <w:rPr>
          <w:rFonts w:cstheme="minorHAnsi"/>
        </w:rPr>
        <w:t xml:space="preserve">three </w:t>
      </w:r>
      <w:r w:rsidR="00E30859">
        <w:rPr>
          <w:rFonts w:cstheme="minorHAnsi"/>
        </w:rPr>
        <w:t xml:space="preserve">to </w:t>
      </w:r>
      <w:r w:rsidR="00A76DB9">
        <w:rPr>
          <w:rFonts w:cstheme="minorHAnsi"/>
        </w:rPr>
        <w:t xml:space="preserve">four noting the </w:t>
      </w:r>
      <w:r w:rsidR="00E30859">
        <w:rPr>
          <w:rFonts w:cstheme="minorHAnsi"/>
        </w:rPr>
        <w:t xml:space="preserve">quality of </w:t>
      </w:r>
      <w:r w:rsidR="00A76DB9">
        <w:rPr>
          <w:rFonts w:cstheme="minorHAnsi"/>
        </w:rPr>
        <w:t xml:space="preserve">program performance and </w:t>
      </w:r>
      <w:r w:rsidR="00E30859">
        <w:rPr>
          <w:rFonts w:cstheme="minorHAnsi"/>
        </w:rPr>
        <w:t>reporting</w:t>
      </w:r>
      <w:r w:rsidR="00FD0E43">
        <w:rPr>
          <w:rFonts w:cstheme="minorHAnsi"/>
        </w:rPr>
        <w:t xml:space="preserve"> </w:t>
      </w:r>
      <w:r w:rsidR="00A76DB9">
        <w:rPr>
          <w:rFonts w:cstheme="minorHAnsi"/>
        </w:rPr>
        <w:t xml:space="preserve">and </w:t>
      </w:r>
      <w:r w:rsidR="00E30859">
        <w:rPr>
          <w:rFonts w:cstheme="minorHAnsi"/>
        </w:rPr>
        <w:t xml:space="preserve">recruitment of senior management </w:t>
      </w:r>
      <w:r w:rsidR="00A76DB9">
        <w:rPr>
          <w:rFonts w:cstheme="minorHAnsi"/>
        </w:rPr>
        <w:t xml:space="preserve">and program </w:t>
      </w:r>
      <w:r w:rsidR="00E30859">
        <w:rPr>
          <w:rFonts w:cstheme="minorHAnsi"/>
        </w:rPr>
        <w:t>staff</w:t>
      </w:r>
      <w:r w:rsidR="00FD0E43">
        <w:rPr>
          <w:rFonts w:cstheme="minorHAnsi"/>
        </w:rPr>
        <w:t xml:space="preserve">. </w:t>
      </w:r>
      <w:r w:rsidR="00E30859">
        <w:rPr>
          <w:rFonts w:cstheme="minorHAnsi"/>
        </w:rPr>
        <w:t>DFAT’s internal time and effort survey of staff</w:t>
      </w:r>
      <w:r w:rsidR="008D598F">
        <w:rPr>
          <w:rFonts w:cstheme="minorHAnsi"/>
        </w:rPr>
        <w:t>,</w:t>
      </w:r>
      <w:r w:rsidR="00FD0E43">
        <w:rPr>
          <w:rFonts w:cstheme="minorHAnsi"/>
        </w:rPr>
        <w:t xml:space="preserve"> June –</w:t>
      </w:r>
      <w:r w:rsidR="00A76DB9">
        <w:rPr>
          <w:rFonts w:cstheme="minorHAnsi"/>
        </w:rPr>
        <w:t>November</w:t>
      </w:r>
      <w:r w:rsidR="00FD0E43">
        <w:rPr>
          <w:rFonts w:cstheme="minorHAnsi"/>
        </w:rPr>
        <w:t xml:space="preserve"> 2018</w:t>
      </w:r>
      <w:r w:rsidR="008D598F">
        <w:rPr>
          <w:rFonts w:cstheme="minorHAnsi"/>
        </w:rPr>
        <w:t>,</w:t>
      </w:r>
      <w:r w:rsidR="00FD0E43">
        <w:rPr>
          <w:rFonts w:cstheme="minorHAnsi"/>
        </w:rPr>
        <w:t xml:space="preserve"> </w:t>
      </w:r>
      <w:r w:rsidR="00A76DB9">
        <w:rPr>
          <w:rFonts w:cstheme="minorHAnsi"/>
        </w:rPr>
        <w:t xml:space="preserve">saw a </w:t>
      </w:r>
      <w:r w:rsidR="00FD0E43">
        <w:rPr>
          <w:rFonts w:cstheme="minorHAnsi"/>
        </w:rPr>
        <w:t xml:space="preserve">marked improvement in focus </w:t>
      </w:r>
      <w:r w:rsidR="00A76DB9">
        <w:rPr>
          <w:rFonts w:cstheme="minorHAnsi"/>
        </w:rPr>
        <w:t xml:space="preserve">on </w:t>
      </w:r>
      <w:r w:rsidR="00FD0E43">
        <w:rPr>
          <w:rFonts w:cstheme="minorHAnsi"/>
        </w:rPr>
        <w:t xml:space="preserve">strategic tasks, with the Facility </w:t>
      </w:r>
      <w:r w:rsidR="00A76DB9">
        <w:rPr>
          <w:rFonts w:cstheme="minorHAnsi"/>
        </w:rPr>
        <w:t xml:space="preserve">able to manage the more </w:t>
      </w:r>
      <w:r w:rsidR="00FD0E43">
        <w:rPr>
          <w:rFonts w:cstheme="minorHAnsi"/>
        </w:rPr>
        <w:t xml:space="preserve">administrative functions. </w:t>
      </w:r>
      <w:r w:rsidR="00A76DB9">
        <w:rPr>
          <w:rFonts w:cstheme="minorHAnsi"/>
        </w:rPr>
        <w:t xml:space="preserve">A </w:t>
      </w:r>
      <w:r w:rsidR="00FD0E43">
        <w:rPr>
          <w:rFonts w:cstheme="minorHAnsi"/>
        </w:rPr>
        <w:t xml:space="preserve">mid-term evaluation of the Facility </w:t>
      </w:r>
      <w:r w:rsidR="00A76DB9">
        <w:rPr>
          <w:rFonts w:cstheme="minorHAnsi"/>
        </w:rPr>
        <w:t>is scheduled</w:t>
      </w:r>
      <w:r w:rsidR="00FF4860">
        <w:rPr>
          <w:rFonts w:cstheme="minorHAnsi"/>
        </w:rPr>
        <w:t xml:space="preserve"> </w:t>
      </w:r>
      <w:r w:rsidR="00F1403D">
        <w:rPr>
          <w:rFonts w:cstheme="minorHAnsi"/>
        </w:rPr>
        <w:t>in</w:t>
      </w:r>
      <w:r w:rsidR="00FF4860">
        <w:rPr>
          <w:rFonts w:cstheme="minorHAnsi"/>
        </w:rPr>
        <w:t xml:space="preserve"> 2019-20</w:t>
      </w:r>
      <w:r w:rsidR="00FD0E43">
        <w:rPr>
          <w:rFonts w:cstheme="minorHAnsi"/>
        </w:rPr>
        <w:t xml:space="preserve">. </w:t>
      </w:r>
    </w:p>
    <w:p w:rsidR="00AF68FA" w:rsidRDefault="00667750" w:rsidP="00667750">
      <w:pPr>
        <w:spacing w:line="240" w:lineRule="auto"/>
        <w:rPr>
          <w:rFonts w:cstheme="minorHAnsi"/>
        </w:rPr>
      </w:pPr>
      <w:r w:rsidRPr="00A76DB9">
        <w:rPr>
          <w:rFonts w:cstheme="minorHAnsi"/>
          <w:b/>
        </w:rPr>
        <w:t xml:space="preserve">The Governance </w:t>
      </w:r>
      <w:r w:rsidR="00FF4860">
        <w:rPr>
          <w:rFonts w:cstheme="minorHAnsi"/>
          <w:b/>
        </w:rPr>
        <w:t>P</w:t>
      </w:r>
      <w:r w:rsidR="00FF4860" w:rsidRPr="00A76DB9">
        <w:rPr>
          <w:rFonts w:cstheme="minorHAnsi"/>
          <w:b/>
        </w:rPr>
        <w:t xml:space="preserve">rogram </w:t>
      </w:r>
      <w:r w:rsidR="00AF68FA" w:rsidRPr="00A76DB9">
        <w:rPr>
          <w:rFonts w:cstheme="minorHAnsi"/>
          <w:b/>
        </w:rPr>
        <w:t xml:space="preserve">was assessed as providing relevant, flexible and responsive assistance in 2018-19, with progress on track towards end-of-program outcomes. </w:t>
      </w:r>
      <w:r w:rsidR="00AF68FA" w:rsidRPr="00AF68FA">
        <w:rPr>
          <w:rFonts w:cstheme="minorHAnsi"/>
        </w:rPr>
        <w:t xml:space="preserve"> </w:t>
      </w:r>
      <w:r w:rsidR="000668B2">
        <w:rPr>
          <w:rFonts w:cstheme="minorHAnsi"/>
        </w:rPr>
        <w:t xml:space="preserve">The </w:t>
      </w:r>
      <w:r w:rsidR="00FF4860">
        <w:rPr>
          <w:rFonts w:cstheme="minorHAnsi"/>
        </w:rPr>
        <w:t>Program</w:t>
      </w:r>
      <w:r w:rsidR="000668B2">
        <w:rPr>
          <w:rFonts w:cstheme="minorHAnsi"/>
        </w:rPr>
        <w:t xml:space="preserve"> lifted</w:t>
      </w:r>
      <w:r w:rsidR="00AF68FA">
        <w:rPr>
          <w:rFonts w:cstheme="minorHAnsi"/>
        </w:rPr>
        <w:t xml:space="preserve"> its rating for effectiveness from </w:t>
      </w:r>
      <w:r w:rsidR="000665E9">
        <w:rPr>
          <w:rFonts w:cstheme="minorHAnsi"/>
        </w:rPr>
        <w:t>four</w:t>
      </w:r>
      <w:r w:rsidR="00AF68FA">
        <w:rPr>
          <w:rFonts w:cstheme="minorHAnsi"/>
        </w:rPr>
        <w:t xml:space="preserve"> to </w:t>
      </w:r>
      <w:r w:rsidR="000665E9">
        <w:rPr>
          <w:rFonts w:cstheme="minorHAnsi"/>
        </w:rPr>
        <w:t>five</w:t>
      </w:r>
      <w:r w:rsidR="00AF68FA">
        <w:rPr>
          <w:rFonts w:cstheme="minorHAnsi"/>
        </w:rPr>
        <w:t xml:space="preserve"> due to the significant undertaking of managing the MOG for </w:t>
      </w:r>
      <w:r w:rsidR="00FF4860">
        <w:rPr>
          <w:rFonts w:cstheme="minorHAnsi"/>
        </w:rPr>
        <w:t xml:space="preserve">Fiji’s </w:t>
      </w:r>
      <w:r w:rsidR="000668B2">
        <w:rPr>
          <w:rFonts w:cstheme="minorHAnsi"/>
        </w:rPr>
        <w:t>election</w:t>
      </w:r>
      <w:r w:rsidR="00AF68FA">
        <w:rPr>
          <w:rFonts w:cstheme="minorHAnsi"/>
        </w:rPr>
        <w:t xml:space="preserve"> in November 2018, in addition to the reg</w:t>
      </w:r>
      <w:r w:rsidR="00000066">
        <w:rPr>
          <w:rFonts w:cstheme="minorHAnsi"/>
        </w:rPr>
        <w:t>ular activities of the program</w:t>
      </w:r>
      <w:r w:rsidR="00FF4860">
        <w:rPr>
          <w:rFonts w:cstheme="minorHAnsi"/>
        </w:rPr>
        <w:t>.  There was also</w:t>
      </w:r>
      <w:r w:rsidR="007914F1">
        <w:rPr>
          <w:rFonts w:cstheme="minorHAnsi"/>
        </w:rPr>
        <w:t xml:space="preserve"> </w:t>
      </w:r>
      <w:r w:rsidR="00000066">
        <w:rPr>
          <w:rFonts w:cstheme="minorHAnsi"/>
        </w:rPr>
        <w:t xml:space="preserve">an improved evidence base following the development of an M&amp;E framework during the reporting period. </w:t>
      </w:r>
    </w:p>
    <w:p w:rsidR="00C9007D" w:rsidRDefault="008A69F0" w:rsidP="00C9007D">
      <w:pPr>
        <w:spacing w:line="240" w:lineRule="auto"/>
        <w:rPr>
          <w:rFonts w:cstheme="minorHAnsi"/>
        </w:rPr>
      </w:pPr>
      <w:r w:rsidRPr="00126597">
        <w:rPr>
          <w:rFonts w:cstheme="minorHAnsi"/>
          <w:b/>
        </w:rPr>
        <w:t>The Australia-</w:t>
      </w:r>
      <w:r w:rsidR="00886889" w:rsidRPr="00126597">
        <w:rPr>
          <w:rFonts w:cstheme="minorHAnsi"/>
          <w:b/>
        </w:rPr>
        <w:t xml:space="preserve">IFC </w:t>
      </w:r>
      <w:r w:rsidRPr="00126597">
        <w:rPr>
          <w:rFonts w:cstheme="minorHAnsi"/>
          <w:b/>
        </w:rPr>
        <w:t xml:space="preserve">Fiji </w:t>
      </w:r>
      <w:r w:rsidR="00886889" w:rsidRPr="00126597">
        <w:rPr>
          <w:rFonts w:cstheme="minorHAnsi"/>
          <w:b/>
        </w:rPr>
        <w:t xml:space="preserve">partnership </w:t>
      </w:r>
      <w:r w:rsidRPr="00126597">
        <w:rPr>
          <w:rFonts w:cstheme="minorHAnsi"/>
          <w:b/>
        </w:rPr>
        <w:t xml:space="preserve">was </w:t>
      </w:r>
      <w:r w:rsidR="00886889" w:rsidRPr="00126597">
        <w:rPr>
          <w:rFonts w:cstheme="minorHAnsi"/>
          <w:b/>
        </w:rPr>
        <w:t xml:space="preserve">rated </w:t>
      </w:r>
      <w:r w:rsidR="00866883">
        <w:rPr>
          <w:rFonts w:cstheme="minorHAnsi"/>
          <w:b/>
        </w:rPr>
        <w:t>highly in the 2018-19 aid quality check process</w:t>
      </w:r>
      <w:r w:rsidR="00886889" w:rsidRPr="00126597">
        <w:rPr>
          <w:rFonts w:cstheme="minorHAnsi"/>
          <w:b/>
        </w:rPr>
        <w:t>.</w:t>
      </w:r>
      <w:r>
        <w:rPr>
          <w:rFonts w:cstheme="minorHAnsi"/>
        </w:rPr>
        <w:t xml:space="preserve"> </w:t>
      </w:r>
      <w:r w:rsidR="00866883">
        <w:rPr>
          <w:rFonts w:cstheme="minorHAnsi"/>
        </w:rPr>
        <w:t xml:space="preserve"> </w:t>
      </w:r>
      <w:r w:rsidR="00753C9E">
        <w:rPr>
          <w:rFonts w:cstheme="minorHAnsi"/>
        </w:rPr>
        <w:t>The program delivered valuable outputs highlighting the cost to Fiji’s economy of gender inequalit</w:t>
      </w:r>
      <w:r w:rsidR="008D598F">
        <w:rPr>
          <w:rFonts w:cstheme="minorHAnsi"/>
        </w:rPr>
        <w:t xml:space="preserve">y and violence against women.  </w:t>
      </w:r>
      <w:r w:rsidR="00753C9E">
        <w:rPr>
          <w:rFonts w:cstheme="minorHAnsi"/>
        </w:rPr>
        <w:t xml:space="preserve">The programs focus on catalysing private sector investment continued to be well received by the </w:t>
      </w:r>
      <w:r w:rsidR="00FF4860">
        <w:rPr>
          <w:rFonts w:cstheme="minorHAnsi"/>
        </w:rPr>
        <w:t>GoF</w:t>
      </w:r>
      <w:r w:rsidR="008D598F">
        <w:rPr>
          <w:rFonts w:cstheme="minorHAnsi"/>
        </w:rPr>
        <w:t xml:space="preserve">.  </w:t>
      </w:r>
      <w:r w:rsidR="00753C9E">
        <w:rPr>
          <w:rFonts w:cstheme="minorHAnsi"/>
        </w:rPr>
        <w:t xml:space="preserve">The IFC was also recognised for its strong partnership and dialogue with the </w:t>
      </w:r>
      <w:r w:rsidR="00FF4860">
        <w:rPr>
          <w:rFonts w:cstheme="minorHAnsi"/>
        </w:rPr>
        <w:t>GoF</w:t>
      </w:r>
      <w:r w:rsidR="008D598F">
        <w:rPr>
          <w:rFonts w:cstheme="minorHAnsi"/>
        </w:rPr>
        <w:t xml:space="preserve">.  </w:t>
      </w:r>
      <w:r w:rsidR="00753C9E">
        <w:rPr>
          <w:rFonts w:cstheme="minorHAnsi"/>
        </w:rPr>
        <w:t>These results, coupled with our ongoing advocacy, resulted in New Zealand deciding to join this partnership</w:t>
      </w:r>
      <w:r>
        <w:rPr>
          <w:rFonts w:cstheme="minorHAnsi"/>
        </w:rPr>
        <w:t xml:space="preserve">. </w:t>
      </w:r>
      <w:r w:rsidR="00C9007D">
        <w:rPr>
          <w:rFonts w:cstheme="minorHAnsi"/>
        </w:rPr>
        <w:t>An end of program evaluation is scheduled in 2019-20.</w:t>
      </w:r>
    </w:p>
    <w:p w:rsidR="008A69F0" w:rsidRDefault="00FF4860" w:rsidP="00C9007D">
      <w:pPr>
        <w:spacing w:line="240" w:lineRule="auto"/>
        <w:rPr>
          <w:rFonts w:cstheme="minorHAnsi"/>
        </w:rPr>
      </w:pPr>
      <w:r>
        <w:rPr>
          <w:rFonts w:cstheme="minorHAnsi"/>
        </w:rPr>
        <w:t xml:space="preserve">MDF </w:t>
      </w:r>
      <w:r w:rsidR="008A69F0">
        <w:rPr>
          <w:rFonts w:cstheme="minorHAnsi"/>
        </w:rPr>
        <w:t>made satisfactory progress</w:t>
      </w:r>
      <w:r w:rsidR="000668B2">
        <w:rPr>
          <w:rFonts w:cstheme="minorHAnsi"/>
        </w:rPr>
        <w:t xml:space="preserve"> on implementing its activities with partners, and signed </w:t>
      </w:r>
      <w:r>
        <w:rPr>
          <w:rFonts w:cstheme="minorHAnsi"/>
        </w:rPr>
        <w:t xml:space="preserve">eight </w:t>
      </w:r>
      <w:r w:rsidR="000668B2">
        <w:rPr>
          <w:rFonts w:cstheme="minorHAnsi"/>
        </w:rPr>
        <w:t>new partnerships in 2018-19</w:t>
      </w:r>
      <w:r w:rsidR="000668B2">
        <w:rPr>
          <w:rStyle w:val="FootnoteReference"/>
          <w:rFonts w:cstheme="minorHAnsi"/>
        </w:rPr>
        <w:footnoteReference w:id="14"/>
      </w:r>
      <w:r w:rsidR="008D598F">
        <w:rPr>
          <w:rFonts w:cstheme="minorHAnsi"/>
        </w:rPr>
        <w:t xml:space="preserve"> with influential market actors.  This </w:t>
      </w:r>
      <w:r w:rsidR="000668B2">
        <w:rPr>
          <w:rFonts w:cstheme="minorHAnsi"/>
        </w:rPr>
        <w:t xml:space="preserve">is testimony to its reputation. </w:t>
      </w:r>
      <w:r w:rsidR="00C9007D">
        <w:rPr>
          <w:rFonts w:cstheme="minorHAnsi"/>
        </w:rPr>
        <w:t xml:space="preserve">The overall </w:t>
      </w:r>
      <w:r w:rsidR="000668B2">
        <w:rPr>
          <w:rFonts w:cstheme="minorHAnsi"/>
        </w:rPr>
        <w:t xml:space="preserve">effectiveness </w:t>
      </w:r>
      <w:r w:rsidR="00C9007D">
        <w:rPr>
          <w:rFonts w:cstheme="minorHAnsi"/>
        </w:rPr>
        <w:t xml:space="preserve">rating </w:t>
      </w:r>
      <w:r w:rsidR="000668B2">
        <w:rPr>
          <w:rFonts w:cstheme="minorHAnsi"/>
        </w:rPr>
        <w:t xml:space="preserve">was reduced from </w:t>
      </w:r>
      <w:r w:rsidR="00C9007D">
        <w:rPr>
          <w:rFonts w:cstheme="minorHAnsi"/>
        </w:rPr>
        <w:t>four to three</w:t>
      </w:r>
      <w:r w:rsidR="008D598F">
        <w:rPr>
          <w:rFonts w:cstheme="minorHAnsi"/>
        </w:rPr>
        <w:t>.  H</w:t>
      </w:r>
      <w:r w:rsidR="00ED6F5A">
        <w:rPr>
          <w:rFonts w:cstheme="minorHAnsi"/>
        </w:rPr>
        <w:t>owever as the program was unable to deliver ‘</w:t>
      </w:r>
      <w:r w:rsidR="00152FD2">
        <w:rPr>
          <w:rFonts w:cstheme="minorHAnsi"/>
        </w:rPr>
        <w:t>systemic</w:t>
      </w:r>
      <w:r w:rsidR="00ED6F5A">
        <w:rPr>
          <w:rFonts w:cstheme="minorHAnsi"/>
        </w:rPr>
        <w:t xml:space="preserve"> change’ in Fiji’s economy</w:t>
      </w:r>
      <w:r w:rsidR="00152FD2">
        <w:rPr>
          <w:rFonts w:cstheme="minorHAnsi"/>
        </w:rPr>
        <w:t>, a promised end of program objective</w:t>
      </w:r>
      <w:r>
        <w:rPr>
          <w:rFonts w:cstheme="minorHAnsi"/>
        </w:rPr>
        <w:t xml:space="preserve"> </w:t>
      </w:r>
      <w:r w:rsidR="008D598F">
        <w:rPr>
          <w:rFonts w:cstheme="minorHAnsi"/>
        </w:rPr>
        <w:t>(</w:t>
      </w:r>
      <w:r>
        <w:rPr>
          <w:rFonts w:cstheme="minorHAnsi"/>
        </w:rPr>
        <w:t>we also acknowledge this w</w:t>
      </w:r>
      <w:r w:rsidR="008D598F">
        <w:rPr>
          <w:rFonts w:cstheme="minorHAnsi"/>
        </w:rPr>
        <w:t>as a highly ambitious objective)</w:t>
      </w:r>
      <w:r>
        <w:rPr>
          <w:rFonts w:cstheme="minorHAnsi"/>
        </w:rPr>
        <w:t xml:space="preserve">. </w:t>
      </w:r>
      <w:r w:rsidR="008D598F">
        <w:rPr>
          <w:rFonts w:cstheme="minorHAnsi"/>
        </w:rPr>
        <w:t xml:space="preserve"> </w:t>
      </w:r>
      <w:r w:rsidR="00ED6F5A">
        <w:rPr>
          <w:rFonts w:cstheme="minorHAnsi"/>
        </w:rPr>
        <w:t>We are looking at MDF’s contribution to the functioning of markets in Fiji</w:t>
      </w:r>
      <w:r w:rsidR="00152FD2">
        <w:rPr>
          <w:rFonts w:cstheme="minorHAnsi"/>
        </w:rPr>
        <w:t xml:space="preserve"> to capture a true picture of its effectiveness. </w:t>
      </w:r>
      <w:r w:rsidR="00ED6F5A">
        <w:rPr>
          <w:rFonts w:cstheme="minorHAnsi"/>
        </w:rPr>
        <w:t xml:space="preserve"> </w:t>
      </w:r>
    </w:p>
    <w:p w:rsidR="00B07F14" w:rsidRDefault="00B07F14">
      <w:pPr>
        <w:suppressAutoHyphens w:val="0"/>
        <w:spacing w:before="0" w:after="120" w:line="440" w:lineRule="atLeast"/>
        <w:rPr>
          <w:rFonts w:cstheme="minorHAnsi"/>
        </w:rPr>
      </w:pPr>
      <w:r>
        <w:rPr>
          <w:rFonts w:cstheme="minorHAnsi"/>
        </w:rPr>
        <w:br w:type="page"/>
      </w:r>
    </w:p>
    <w:p w:rsidR="00860C80" w:rsidRDefault="00860C80" w:rsidP="00667750">
      <w:pPr>
        <w:spacing w:line="240" w:lineRule="auto"/>
        <w:rPr>
          <w:rFonts w:cstheme="minorHAnsi"/>
        </w:rPr>
      </w:pPr>
      <w:r>
        <w:rPr>
          <w:rFonts w:cstheme="minorHAnsi"/>
        </w:rPr>
        <w:lastRenderedPageBreak/>
        <w:t>Both the health and education programs maintained their performance in 2018-19</w:t>
      </w:r>
      <w:r w:rsidR="00FF4860">
        <w:rPr>
          <w:rFonts w:cstheme="minorHAnsi"/>
        </w:rPr>
        <w:t xml:space="preserve">, scoring </w:t>
      </w:r>
      <w:r w:rsidR="008D598F">
        <w:rPr>
          <w:rFonts w:cstheme="minorHAnsi"/>
        </w:rPr>
        <w:t>similar scores to those received in</w:t>
      </w:r>
      <w:r>
        <w:rPr>
          <w:rFonts w:cstheme="minorHAnsi"/>
        </w:rPr>
        <w:t xml:space="preserve"> 2017-18.</w:t>
      </w:r>
      <w:r w:rsidR="008E1DCE">
        <w:rPr>
          <w:rFonts w:cstheme="minorHAnsi"/>
        </w:rPr>
        <w:t xml:space="preserve"> The health </w:t>
      </w:r>
      <w:r w:rsidR="00FF4860">
        <w:rPr>
          <w:rFonts w:cstheme="minorHAnsi"/>
        </w:rPr>
        <w:t xml:space="preserve">Program </w:t>
      </w:r>
      <w:r w:rsidR="008E1DCE">
        <w:rPr>
          <w:rFonts w:cstheme="minorHAnsi"/>
        </w:rPr>
        <w:t xml:space="preserve">is at a more advanced stage of implementation, with activities well underway </w:t>
      </w:r>
      <w:r w:rsidR="006772EA">
        <w:rPr>
          <w:rFonts w:cstheme="minorHAnsi"/>
        </w:rPr>
        <w:t xml:space="preserve">and on track </w:t>
      </w:r>
      <w:r w:rsidR="008E1DCE">
        <w:rPr>
          <w:rFonts w:cstheme="minorHAnsi"/>
        </w:rPr>
        <w:t xml:space="preserve">across </w:t>
      </w:r>
      <w:r w:rsidR="006772EA">
        <w:rPr>
          <w:rFonts w:cstheme="minorHAnsi"/>
        </w:rPr>
        <w:t>its two focus areas.</w:t>
      </w:r>
      <w:r w:rsidR="00C226FD">
        <w:rPr>
          <w:rFonts w:cstheme="minorHAnsi"/>
        </w:rPr>
        <w:t xml:space="preserve"> The education </w:t>
      </w:r>
      <w:r w:rsidR="00FF4860">
        <w:rPr>
          <w:rFonts w:cstheme="minorHAnsi"/>
        </w:rPr>
        <w:t xml:space="preserve">Program </w:t>
      </w:r>
      <w:r w:rsidR="00C226FD">
        <w:rPr>
          <w:rFonts w:cstheme="minorHAnsi"/>
        </w:rPr>
        <w:t>commenced in 2018-19 and expected progress was made on foundational activities.</w:t>
      </w:r>
      <w:r w:rsidR="006772EA">
        <w:rPr>
          <w:rFonts w:cstheme="minorHAnsi"/>
        </w:rPr>
        <w:t xml:space="preserve"> </w:t>
      </w:r>
    </w:p>
    <w:p w:rsidR="00860C80" w:rsidRDefault="000E31E3" w:rsidP="00667750">
      <w:pPr>
        <w:spacing w:line="240" w:lineRule="auto"/>
        <w:rPr>
          <w:rFonts w:cstheme="minorHAnsi"/>
        </w:rPr>
      </w:pPr>
      <w:r>
        <w:rPr>
          <w:rFonts w:cstheme="minorHAnsi"/>
        </w:rPr>
        <w:t xml:space="preserve">The AQCs show a mixed picture </w:t>
      </w:r>
      <w:r w:rsidR="00EE6CA8">
        <w:rPr>
          <w:rFonts w:cstheme="minorHAnsi"/>
        </w:rPr>
        <w:t xml:space="preserve">of how our aid </w:t>
      </w:r>
      <w:r>
        <w:rPr>
          <w:rFonts w:cstheme="minorHAnsi"/>
        </w:rPr>
        <w:t xml:space="preserve">programs </w:t>
      </w:r>
      <w:r w:rsidR="00EE6CA8">
        <w:rPr>
          <w:rFonts w:cstheme="minorHAnsi"/>
        </w:rPr>
        <w:t xml:space="preserve">are </w:t>
      </w:r>
      <w:r>
        <w:rPr>
          <w:rFonts w:cstheme="minorHAnsi"/>
        </w:rPr>
        <w:t xml:space="preserve">addressing gender. </w:t>
      </w:r>
      <w:r w:rsidR="00EE6CA8">
        <w:rPr>
          <w:rFonts w:cstheme="minorHAnsi"/>
        </w:rPr>
        <w:t xml:space="preserve">Programs delivered under the Facility are benefitting from the advice and support provided by </w:t>
      </w:r>
      <w:r w:rsidR="00860C80">
        <w:rPr>
          <w:rFonts w:cstheme="minorHAnsi"/>
        </w:rPr>
        <w:t xml:space="preserve">the GESI team in </w:t>
      </w:r>
      <w:r w:rsidR="00EE6CA8">
        <w:rPr>
          <w:rFonts w:cstheme="minorHAnsi"/>
        </w:rPr>
        <w:t xml:space="preserve">the Facility Management </w:t>
      </w:r>
      <w:r w:rsidR="00860C80">
        <w:rPr>
          <w:rFonts w:cstheme="minorHAnsi"/>
        </w:rPr>
        <w:t xml:space="preserve">Support </w:t>
      </w:r>
      <w:r w:rsidR="00EE6CA8">
        <w:rPr>
          <w:rFonts w:cstheme="minorHAnsi"/>
        </w:rPr>
        <w:t xml:space="preserve">Unit. </w:t>
      </w:r>
      <w:r w:rsidR="00860C80">
        <w:rPr>
          <w:rFonts w:cstheme="minorHAnsi"/>
        </w:rPr>
        <w:t xml:space="preserve"> </w:t>
      </w:r>
      <w:r w:rsidR="00FF4860">
        <w:rPr>
          <w:rFonts w:cstheme="minorHAnsi"/>
        </w:rPr>
        <w:t xml:space="preserve">From </w:t>
      </w:r>
      <w:r>
        <w:rPr>
          <w:rFonts w:cstheme="minorHAnsi"/>
        </w:rPr>
        <w:t>Jul</w:t>
      </w:r>
      <w:r w:rsidR="00860C80">
        <w:rPr>
          <w:rFonts w:cstheme="minorHAnsi"/>
        </w:rPr>
        <w:t xml:space="preserve">y to December 2018, the support unit provided </w:t>
      </w:r>
      <w:r>
        <w:rPr>
          <w:rFonts w:cstheme="minorHAnsi"/>
        </w:rPr>
        <w:t>1,061 women and 520 men with GESI training</w:t>
      </w:r>
      <w:r w:rsidR="00FF4860">
        <w:rPr>
          <w:rFonts w:cstheme="minorHAnsi"/>
        </w:rPr>
        <w:t>.  This</w:t>
      </w:r>
      <w:r w:rsidR="00860C80">
        <w:rPr>
          <w:rFonts w:cstheme="minorHAnsi"/>
        </w:rPr>
        <w:t xml:space="preserve"> has supported buy-in from our partners (government and CSOs)</w:t>
      </w:r>
      <w:r>
        <w:rPr>
          <w:rFonts w:cstheme="minorHAnsi"/>
        </w:rPr>
        <w:t xml:space="preserve">. </w:t>
      </w:r>
      <w:r w:rsidR="00860C80">
        <w:rPr>
          <w:rFonts w:cstheme="minorHAnsi"/>
        </w:rPr>
        <w:t xml:space="preserve"> </w:t>
      </w:r>
      <w:r w:rsidR="00FF4860">
        <w:rPr>
          <w:rFonts w:cstheme="minorHAnsi"/>
        </w:rPr>
        <w:t>However</w:t>
      </w:r>
      <w:r w:rsidR="00860C80">
        <w:rPr>
          <w:rFonts w:cstheme="minorHAnsi"/>
        </w:rPr>
        <w:t>, traction in the Health Program waned in 2018-19</w:t>
      </w:r>
      <w:r w:rsidR="008D598F">
        <w:rPr>
          <w:rFonts w:cstheme="minorHAnsi"/>
        </w:rPr>
        <w:t xml:space="preserve"> due to shifting priorities in </w:t>
      </w:r>
      <w:r w:rsidR="00860C80">
        <w:rPr>
          <w:rFonts w:cstheme="minorHAnsi"/>
        </w:rPr>
        <w:t>M</w:t>
      </w:r>
      <w:r w:rsidR="00FF4860">
        <w:rPr>
          <w:rFonts w:cstheme="minorHAnsi"/>
        </w:rPr>
        <w:t>O</w:t>
      </w:r>
      <w:r w:rsidR="00860C80">
        <w:rPr>
          <w:rFonts w:cstheme="minorHAnsi"/>
        </w:rPr>
        <w:t>HMS</w:t>
      </w:r>
      <w:r w:rsidR="00FF4860">
        <w:rPr>
          <w:rFonts w:cstheme="minorHAnsi"/>
        </w:rPr>
        <w:t>.</w:t>
      </w:r>
      <w:r w:rsidR="00F1403D">
        <w:rPr>
          <w:rFonts w:cstheme="minorHAnsi"/>
        </w:rPr>
        <w:t xml:space="preserve">  </w:t>
      </w:r>
      <w:r w:rsidR="00860C80">
        <w:rPr>
          <w:rFonts w:cstheme="minorHAnsi"/>
        </w:rPr>
        <w:t>T</w:t>
      </w:r>
      <w:r>
        <w:rPr>
          <w:rFonts w:cstheme="minorHAnsi"/>
        </w:rPr>
        <w:t xml:space="preserve">he Governance </w:t>
      </w:r>
      <w:r w:rsidR="00FF4860">
        <w:rPr>
          <w:rFonts w:cstheme="minorHAnsi"/>
        </w:rPr>
        <w:t xml:space="preserve">Program </w:t>
      </w:r>
      <w:r w:rsidR="00860C80">
        <w:rPr>
          <w:rFonts w:cstheme="minorHAnsi"/>
        </w:rPr>
        <w:t xml:space="preserve">continued to ensure </w:t>
      </w:r>
      <w:r w:rsidR="008D598F">
        <w:rPr>
          <w:rFonts w:cstheme="minorHAnsi"/>
        </w:rPr>
        <w:t>that</w:t>
      </w:r>
      <w:r w:rsidR="00860C80">
        <w:rPr>
          <w:rFonts w:cstheme="minorHAnsi"/>
        </w:rPr>
        <w:t xml:space="preserve"> gender analysi</w:t>
      </w:r>
      <w:r w:rsidR="00F1403D">
        <w:rPr>
          <w:rFonts w:cstheme="minorHAnsi"/>
        </w:rPr>
        <w:t>s underpinned</w:t>
      </w:r>
      <w:r w:rsidR="00860C80">
        <w:rPr>
          <w:rFonts w:cstheme="minorHAnsi"/>
        </w:rPr>
        <w:t xml:space="preserve"> </w:t>
      </w:r>
      <w:r w:rsidR="00000066">
        <w:rPr>
          <w:rFonts w:cstheme="minorHAnsi"/>
        </w:rPr>
        <w:t xml:space="preserve">all of </w:t>
      </w:r>
      <w:r w:rsidR="00860C80">
        <w:rPr>
          <w:rFonts w:cstheme="minorHAnsi"/>
        </w:rPr>
        <w:t>its activities</w:t>
      </w:r>
      <w:r w:rsidR="00000066">
        <w:rPr>
          <w:rFonts w:cstheme="minorHAnsi"/>
        </w:rPr>
        <w:t>, or to articulate a coherent gender strategy for the program</w:t>
      </w:r>
      <w:r w:rsidR="00860C80">
        <w:rPr>
          <w:rFonts w:cstheme="minorHAnsi"/>
        </w:rPr>
        <w:t>. Conversely, o</w:t>
      </w:r>
      <w:r>
        <w:rPr>
          <w:rFonts w:cstheme="minorHAnsi"/>
        </w:rPr>
        <w:t>ur partnership with the IFC has adopted an effective twin track approach to gender</w:t>
      </w:r>
      <w:r w:rsidR="00860C80">
        <w:rPr>
          <w:rFonts w:cstheme="minorHAnsi"/>
        </w:rPr>
        <w:t>, with an innovative targeted activity working with leading businesses</w:t>
      </w:r>
      <w:r w:rsidR="00FF4860">
        <w:rPr>
          <w:rFonts w:cstheme="minorHAnsi"/>
        </w:rPr>
        <w:t>, as well as effective mainstreaming.</w:t>
      </w:r>
      <w:r>
        <w:rPr>
          <w:rFonts w:cstheme="minorHAnsi"/>
        </w:rPr>
        <w:t xml:space="preserve"> </w:t>
      </w:r>
    </w:p>
    <w:p w:rsidR="000668B2" w:rsidRDefault="00860C80" w:rsidP="00667750">
      <w:pPr>
        <w:spacing w:line="240" w:lineRule="auto"/>
        <w:rPr>
          <w:rFonts w:cstheme="minorHAnsi"/>
        </w:rPr>
      </w:pPr>
      <w:r w:rsidRPr="00860C80">
        <w:rPr>
          <w:rFonts w:cstheme="minorHAnsi"/>
        </w:rPr>
        <w:t xml:space="preserve">While we contributed strongly to disability-inclusive development in </w:t>
      </w:r>
      <w:r>
        <w:rPr>
          <w:rFonts w:cstheme="minorHAnsi"/>
        </w:rPr>
        <w:t xml:space="preserve">2018-19 </w:t>
      </w:r>
      <w:r w:rsidRPr="00860C80">
        <w:rPr>
          <w:rFonts w:cstheme="minorHAnsi"/>
        </w:rPr>
        <w:t xml:space="preserve">through our </w:t>
      </w:r>
      <w:r w:rsidR="000314F8">
        <w:rPr>
          <w:rFonts w:cstheme="minorHAnsi"/>
        </w:rPr>
        <w:t>DFAT</w:t>
      </w:r>
      <w:r w:rsidRPr="00860C80">
        <w:rPr>
          <w:rFonts w:cstheme="minorHAnsi"/>
        </w:rPr>
        <w:t xml:space="preserve">-TC Winston recovery work, disability inclusiveness was weak in our </w:t>
      </w:r>
      <w:r>
        <w:rPr>
          <w:rFonts w:cstheme="minorHAnsi"/>
        </w:rPr>
        <w:t xml:space="preserve">programs under objective 1: improved private sector development. </w:t>
      </w:r>
      <w:r w:rsidRPr="00860C80">
        <w:rPr>
          <w:rFonts w:cstheme="minorHAnsi"/>
        </w:rPr>
        <w:t xml:space="preserve">Specific interventions will be developed and implemented to address these areas of weakness in our </w:t>
      </w:r>
      <w:r w:rsidR="00FF4860">
        <w:rPr>
          <w:rFonts w:cstheme="minorHAnsi"/>
        </w:rPr>
        <w:t>G</w:t>
      </w:r>
      <w:r w:rsidR="00FF4860" w:rsidRPr="00860C80">
        <w:rPr>
          <w:rFonts w:cstheme="minorHAnsi"/>
        </w:rPr>
        <w:t xml:space="preserve">overnance </w:t>
      </w:r>
      <w:r w:rsidR="00FF4860">
        <w:rPr>
          <w:rFonts w:cstheme="minorHAnsi"/>
        </w:rPr>
        <w:t>P</w:t>
      </w:r>
      <w:r w:rsidR="00FF4860" w:rsidRPr="00860C80">
        <w:rPr>
          <w:rFonts w:cstheme="minorHAnsi"/>
        </w:rPr>
        <w:t>rograms</w:t>
      </w:r>
      <w:r w:rsidRPr="00860C80">
        <w:rPr>
          <w:rFonts w:cstheme="minorHAnsi"/>
        </w:rPr>
        <w:t xml:space="preserve">.  All relevant investments reported actions to address climate change and disaster risks during implementation. </w:t>
      </w:r>
      <w:r w:rsidR="000E31E3">
        <w:rPr>
          <w:rFonts w:cstheme="minorHAnsi"/>
        </w:rPr>
        <w:t xml:space="preserve">In 2019-20 all DFAT development staff at the Australian High Commission in Suva will undertake gender and disability inclusive development training.  </w:t>
      </w:r>
    </w:p>
    <w:p w:rsidR="00600479" w:rsidRPr="00430439" w:rsidRDefault="00600479" w:rsidP="00600479">
      <w:pPr>
        <w:rPr>
          <w:b/>
          <w:color w:val="auto"/>
          <w:lang w:eastAsia="zh-CN"/>
        </w:rPr>
      </w:pPr>
      <w:r w:rsidRPr="00430439">
        <w:rPr>
          <w:b/>
          <w:color w:val="auto"/>
          <w:lang w:eastAsia="zh-CN"/>
        </w:rPr>
        <w:t>Performance of key delivery partners</w:t>
      </w:r>
    </w:p>
    <w:p w:rsidR="00962DC8" w:rsidRPr="00927E08" w:rsidRDefault="00962DC8" w:rsidP="00927E08">
      <w:pPr>
        <w:spacing w:line="240" w:lineRule="auto"/>
        <w:rPr>
          <w:rFonts w:cstheme="minorHAnsi"/>
        </w:rPr>
      </w:pPr>
      <w:r w:rsidRPr="00927E08">
        <w:rPr>
          <w:rFonts w:cstheme="minorHAnsi"/>
        </w:rPr>
        <w:t xml:space="preserve">In the 2018-19, the delivery of important components of the Program was </w:t>
      </w:r>
      <w:r w:rsidR="008D598F">
        <w:rPr>
          <w:rFonts w:cstheme="minorHAnsi"/>
        </w:rPr>
        <w:t>undertaken</w:t>
      </w:r>
      <w:r w:rsidRPr="00927E08">
        <w:rPr>
          <w:rFonts w:cstheme="minorHAnsi"/>
        </w:rPr>
        <w:t xml:space="preserve"> through partnerships with Cardno </w:t>
      </w:r>
      <w:r w:rsidR="004A5FAB">
        <w:rPr>
          <w:rFonts w:cstheme="minorHAnsi"/>
        </w:rPr>
        <w:t>(</w:t>
      </w:r>
      <w:r w:rsidRPr="00927E08">
        <w:rPr>
          <w:rFonts w:cstheme="minorHAnsi"/>
        </w:rPr>
        <w:t>Pacific Women</w:t>
      </w:r>
      <w:r w:rsidR="004A5FAB">
        <w:rPr>
          <w:rFonts w:cstheme="minorHAnsi"/>
        </w:rPr>
        <w:t>)</w:t>
      </w:r>
      <w:r w:rsidRPr="00927E08">
        <w:rPr>
          <w:rFonts w:cstheme="minorHAnsi"/>
        </w:rPr>
        <w:t xml:space="preserve">, </w:t>
      </w:r>
      <w:r w:rsidR="004A5FAB" w:rsidRPr="00927E08">
        <w:rPr>
          <w:rFonts w:cstheme="minorHAnsi"/>
        </w:rPr>
        <w:t>Coffe</w:t>
      </w:r>
      <w:r w:rsidR="004A5FAB">
        <w:rPr>
          <w:rFonts w:cstheme="minorHAnsi"/>
        </w:rPr>
        <w:t>y</w:t>
      </w:r>
      <w:r w:rsidR="004A5FAB" w:rsidRPr="00927E08">
        <w:rPr>
          <w:rFonts w:cstheme="minorHAnsi"/>
        </w:rPr>
        <w:t xml:space="preserve"> </w:t>
      </w:r>
      <w:r w:rsidRPr="00927E08">
        <w:rPr>
          <w:rFonts w:cstheme="minorHAnsi"/>
        </w:rPr>
        <w:t>International Development Pty Limited (the Facility) and Palladium</w:t>
      </w:r>
      <w:r w:rsidR="00A22848">
        <w:rPr>
          <w:rFonts w:cstheme="minorHAnsi"/>
        </w:rPr>
        <w:t>/Griffith Australia Pacific Climate Partnership Support Unit</w:t>
      </w:r>
      <w:r w:rsidRPr="00927E08">
        <w:rPr>
          <w:rFonts w:cstheme="minorHAnsi"/>
        </w:rPr>
        <w:t xml:space="preserve"> (Climate Change). Suva </w:t>
      </w:r>
      <w:r w:rsidR="000314F8">
        <w:rPr>
          <w:rFonts w:cstheme="minorHAnsi"/>
        </w:rPr>
        <w:t>DFAT</w:t>
      </w:r>
      <w:r w:rsidRPr="00927E08">
        <w:rPr>
          <w:rFonts w:cstheme="minorHAnsi"/>
        </w:rPr>
        <w:t xml:space="preserve"> continued to collaborate with other </w:t>
      </w:r>
      <w:r w:rsidR="008D598F">
        <w:rPr>
          <w:rFonts w:cstheme="minorHAnsi"/>
        </w:rPr>
        <w:t>civil society organisations including</w:t>
      </w:r>
      <w:r w:rsidRPr="00927E08">
        <w:rPr>
          <w:rFonts w:cstheme="minorHAnsi"/>
        </w:rPr>
        <w:t xml:space="preserve"> the </w:t>
      </w:r>
      <w:r w:rsidR="00FF4860">
        <w:rPr>
          <w:rFonts w:cstheme="minorHAnsi"/>
        </w:rPr>
        <w:t>FWCC</w:t>
      </w:r>
      <w:r w:rsidRPr="00927E08">
        <w:rPr>
          <w:rFonts w:cstheme="minorHAnsi"/>
        </w:rPr>
        <w:t>, femLINKpacific and Medical Services Pacific. Our bilateral programs worked closely with multilateral organisations, including the ADB, IFC, UNICEF and UN Women.</w:t>
      </w:r>
    </w:p>
    <w:p w:rsidR="00962DC8" w:rsidRPr="00927E08" w:rsidRDefault="00962DC8" w:rsidP="00927E08">
      <w:pPr>
        <w:spacing w:line="240" w:lineRule="auto"/>
        <w:rPr>
          <w:rFonts w:cstheme="minorHAnsi"/>
        </w:rPr>
      </w:pPr>
      <w:r w:rsidRPr="00927E08">
        <w:rPr>
          <w:rFonts w:cstheme="minorHAnsi"/>
        </w:rPr>
        <w:t xml:space="preserve">The performance of key partners </w:t>
      </w:r>
      <w:r w:rsidR="00FF4860">
        <w:rPr>
          <w:rFonts w:cstheme="minorHAnsi"/>
        </w:rPr>
        <w:t>was assessed during</w:t>
      </w:r>
      <w:r w:rsidR="00FF4860" w:rsidRPr="00927E08">
        <w:rPr>
          <w:rFonts w:cstheme="minorHAnsi"/>
        </w:rPr>
        <w:t xml:space="preserve"> </w:t>
      </w:r>
      <w:r w:rsidRPr="00927E08">
        <w:rPr>
          <w:rFonts w:cstheme="minorHAnsi"/>
        </w:rPr>
        <w:t>the reporting period through DFAT’s Partner Performance Assessment process. Partners were rated as “adequate” or “performing well” on most criteria.</w:t>
      </w:r>
    </w:p>
    <w:p w:rsidR="00962DC8" w:rsidRPr="00927E08" w:rsidRDefault="00962DC8" w:rsidP="00927E08">
      <w:pPr>
        <w:spacing w:line="240" w:lineRule="auto"/>
        <w:rPr>
          <w:rFonts w:cstheme="minorHAnsi"/>
        </w:rPr>
      </w:pPr>
      <w:r w:rsidRPr="00927E08">
        <w:rPr>
          <w:rFonts w:cstheme="minorHAnsi"/>
        </w:rPr>
        <w:t xml:space="preserve">FWCC continues to be one of Australia’s flagship partners working to end violence against women and girls in Fiji </w:t>
      </w:r>
      <w:r w:rsidR="008D598F">
        <w:rPr>
          <w:rFonts w:cstheme="minorHAnsi"/>
        </w:rPr>
        <w:t>and across the Pacific.  T</w:t>
      </w:r>
      <w:r w:rsidRPr="00927E08">
        <w:rPr>
          <w:rFonts w:cstheme="minorHAnsi"/>
        </w:rPr>
        <w:t>he relationship</w:t>
      </w:r>
      <w:r w:rsidR="002F1F29">
        <w:rPr>
          <w:rFonts w:cstheme="minorHAnsi"/>
        </w:rPr>
        <w:t xml:space="preserve"> between DFAT and FWCC</w:t>
      </w:r>
      <w:r w:rsidRPr="00927E08">
        <w:rPr>
          <w:rFonts w:cstheme="minorHAnsi"/>
        </w:rPr>
        <w:t xml:space="preserve"> </w:t>
      </w:r>
      <w:r w:rsidR="008D598F">
        <w:rPr>
          <w:rFonts w:cstheme="minorHAnsi"/>
        </w:rPr>
        <w:t xml:space="preserve">has been strengthened </w:t>
      </w:r>
      <w:r w:rsidRPr="00927E08">
        <w:rPr>
          <w:rFonts w:cstheme="minorHAnsi"/>
        </w:rPr>
        <w:t>during the reporting period</w:t>
      </w:r>
      <w:r w:rsidR="002F1F29">
        <w:rPr>
          <w:rFonts w:cstheme="minorHAnsi"/>
        </w:rPr>
        <w:t xml:space="preserve">. </w:t>
      </w:r>
    </w:p>
    <w:p w:rsidR="002F1F29" w:rsidRDefault="002F1F29" w:rsidP="00927E08">
      <w:pPr>
        <w:spacing w:line="240" w:lineRule="auto"/>
        <w:rPr>
          <w:rFonts w:cstheme="minorHAnsi"/>
        </w:rPr>
      </w:pPr>
      <w:r>
        <w:rPr>
          <w:rFonts w:cstheme="minorHAnsi"/>
        </w:rPr>
        <w:t xml:space="preserve">We continue to </w:t>
      </w:r>
      <w:r w:rsidR="008D598F">
        <w:rPr>
          <w:rFonts w:cstheme="minorHAnsi"/>
        </w:rPr>
        <w:t>value</w:t>
      </w:r>
      <w:r>
        <w:rPr>
          <w:rFonts w:cstheme="minorHAnsi"/>
        </w:rPr>
        <w:t xml:space="preserve"> </w:t>
      </w:r>
      <w:r w:rsidR="004A5FAB">
        <w:rPr>
          <w:rFonts w:cstheme="minorHAnsi"/>
        </w:rPr>
        <w:t xml:space="preserve">the </w:t>
      </w:r>
      <w:r w:rsidR="00FF4860">
        <w:rPr>
          <w:rFonts w:cstheme="minorHAnsi"/>
        </w:rPr>
        <w:t>WB</w:t>
      </w:r>
      <w:r w:rsidR="004A5FAB">
        <w:rPr>
          <w:rFonts w:cstheme="minorHAnsi"/>
        </w:rPr>
        <w:t xml:space="preserve"> and </w:t>
      </w:r>
      <w:r>
        <w:rPr>
          <w:rFonts w:cstheme="minorHAnsi"/>
        </w:rPr>
        <w:t>IFC’s commitment and performance in Fiji. In February</w:t>
      </w:r>
      <w:r w:rsidR="00FF4860">
        <w:rPr>
          <w:rFonts w:cstheme="minorHAnsi"/>
        </w:rPr>
        <w:t xml:space="preserve"> 2019</w:t>
      </w:r>
      <w:r>
        <w:rPr>
          <w:rFonts w:cstheme="minorHAnsi"/>
        </w:rPr>
        <w:t>, the World Bank an</w:t>
      </w:r>
      <w:r w:rsidR="00B22CD4">
        <w:rPr>
          <w:rFonts w:cstheme="minorHAnsi"/>
        </w:rPr>
        <w:t xml:space="preserve">d the IFC opened a joint office in Suva. </w:t>
      </w:r>
      <w:r>
        <w:rPr>
          <w:rFonts w:cstheme="minorHAnsi"/>
        </w:rPr>
        <w:t xml:space="preserve"> </w:t>
      </w:r>
    </w:p>
    <w:p w:rsidR="002F1F29" w:rsidRDefault="002F1F29" w:rsidP="00927E08">
      <w:pPr>
        <w:spacing w:line="240" w:lineRule="auto"/>
        <w:rPr>
          <w:rFonts w:cstheme="minorHAnsi"/>
        </w:rPr>
      </w:pPr>
      <w:r w:rsidRPr="00752C09">
        <w:rPr>
          <w:rFonts w:cstheme="minorHAnsi"/>
        </w:rPr>
        <w:t>The Facility is still a relatively new management modality, for both DFAT and Coffey</w:t>
      </w:r>
      <w:r w:rsidR="004A5FAB" w:rsidRPr="00752C09">
        <w:rPr>
          <w:rFonts w:cstheme="minorHAnsi"/>
        </w:rPr>
        <w:t xml:space="preserve"> International</w:t>
      </w:r>
      <w:r w:rsidR="008D598F">
        <w:rPr>
          <w:rFonts w:cstheme="minorHAnsi"/>
        </w:rPr>
        <w:t xml:space="preserve"> in Fiji</w:t>
      </w:r>
      <w:r w:rsidRPr="00752C09">
        <w:rPr>
          <w:rFonts w:cstheme="minorHAnsi"/>
        </w:rPr>
        <w:t xml:space="preserve">. Despite maturing relationships and programs in active implementation phases, there is still some </w:t>
      </w:r>
      <w:r w:rsidR="006358AA" w:rsidRPr="00752C09">
        <w:rPr>
          <w:rFonts w:cstheme="minorHAnsi"/>
        </w:rPr>
        <w:t>overlap of responsibilities between the Facility and</w:t>
      </w:r>
      <w:r w:rsidRPr="00752C09">
        <w:rPr>
          <w:rFonts w:cstheme="minorHAnsi"/>
        </w:rPr>
        <w:t xml:space="preserve"> DFAT. Coffey</w:t>
      </w:r>
      <w:r w:rsidR="004A5FAB" w:rsidRPr="00752C09">
        <w:rPr>
          <w:rFonts w:cstheme="minorHAnsi"/>
        </w:rPr>
        <w:t xml:space="preserve"> International’s </w:t>
      </w:r>
      <w:r w:rsidRPr="00752C09">
        <w:rPr>
          <w:rFonts w:cstheme="minorHAnsi"/>
        </w:rPr>
        <w:t>head office has provided smooth and consistent support during several senior level staff transitions.</w:t>
      </w:r>
    </w:p>
    <w:p w:rsidR="007914F1" w:rsidRDefault="007914F1" w:rsidP="00CF62AE">
      <w:pPr>
        <w:pStyle w:val="Heading2"/>
        <w:spacing w:before="360" w:line="300" w:lineRule="exact"/>
      </w:pPr>
    </w:p>
    <w:p w:rsidR="007914F1" w:rsidRDefault="007914F1" w:rsidP="00CF62AE">
      <w:pPr>
        <w:pStyle w:val="Heading2"/>
        <w:spacing w:before="360" w:line="300" w:lineRule="exact"/>
      </w:pPr>
    </w:p>
    <w:p w:rsidR="007914F1" w:rsidRDefault="007914F1" w:rsidP="00CF62AE">
      <w:pPr>
        <w:pStyle w:val="Heading2"/>
        <w:spacing w:before="360" w:line="300" w:lineRule="exact"/>
      </w:pPr>
    </w:p>
    <w:p w:rsidR="008D598F" w:rsidRDefault="008D598F" w:rsidP="008D598F"/>
    <w:p w:rsidR="008D598F" w:rsidRPr="008D598F" w:rsidRDefault="008D598F" w:rsidP="008D598F"/>
    <w:p w:rsidR="008D598F" w:rsidRPr="008D598F" w:rsidRDefault="008D598F" w:rsidP="008D598F"/>
    <w:p w:rsidR="008D598F" w:rsidRPr="008D598F" w:rsidRDefault="008D598F" w:rsidP="008D598F"/>
    <w:p w:rsidR="002A51CA" w:rsidRPr="002A51CA" w:rsidRDefault="002A51CA" w:rsidP="00CF62AE">
      <w:pPr>
        <w:pStyle w:val="Heading2"/>
        <w:spacing w:before="360" w:line="300" w:lineRule="exact"/>
      </w:pPr>
      <w:r w:rsidRPr="002A51CA">
        <w:lastRenderedPageBreak/>
        <w:t>Risks</w:t>
      </w:r>
    </w:p>
    <w:p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15"/>
        <w:gridCol w:w="2436"/>
        <w:gridCol w:w="2517"/>
        <w:gridCol w:w="1299"/>
        <w:gridCol w:w="1313"/>
      </w:tblGrid>
      <w:tr w:rsidR="00FB6737" w:rsidRPr="00C61187" w:rsidTr="00FB6737">
        <w:tc>
          <w:tcPr>
            <w:tcW w:w="1873" w:type="dxa"/>
            <w:hideMark/>
          </w:tcPr>
          <w:p w:rsidR="00FB6737" w:rsidRPr="000665E9" w:rsidRDefault="00FB6737" w:rsidP="00FB6737">
            <w:pPr>
              <w:rPr>
                <w:rFonts w:asciiTheme="minorHAnsi" w:hAnsiTheme="minorHAnsi"/>
                <w:b/>
                <w:color w:val="auto"/>
              </w:rPr>
            </w:pPr>
            <w:r w:rsidRPr="000665E9">
              <w:rPr>
                <w:rFonts w:asciiTheme="minorHAnsi" w:hAnsiTheme="minorHAnsi"/>
                <w:b/>
                <w:color w:val="auto"/>
              </w:rPr>
              <w:t>Key risks (emerging and ongoing)</w:t>
            </w:r>
          </w:p>
        </w:tc>
        <w:tc>
          <w:tcPr>
            <w:tcW w:w="2408" w:type="dxa"/>
          </w:tcPr>
          <w:p w:rsidR="00FB6737" w:rsidRPr="000665E9" w:rsidRDefault="00FB6737" w:rsidP="00FB6737">
            <w:pPr>
              <w:rPr>
                <w:rFonts w:asciiTheme="minorHAnsi" w:hAnsiTheme="minorHAnsi"/>
                <w:b/>
                <w:color w:val="auto"/>
              </w:rPr>
            </w:pPr>
            <w:r w:rsidRPr="000665E9">
              <w:rPr>
                <w:rFonts w:asciiTheme="minorHAnsi" w:hAnsiTheme="minorHAnsi"/>
                <w:b/>
                <w:color w:val="auto"/>
              </w:rPr>
              <w:t>What actions were taken to manage the risks over the past year?</w:t>
            </w:r>
          </w:p>
        </w:tc>
        <w:tc>
          <w:tcPr>
            <w:tcW w:w="2489" w:type="dxa"/>
          </w:tcPr>
          <w:p w:rsidR="00FB6737" w:rsidRPr="000665E9" w:rsidRDefault="00FB6737" w:rsidP="00FB6737">
            <w:pPr>
              <w:rPr>
                <w:rFonts w:asciiTheme="minorHAnsi" w:hAnsiTheme="minorHAnsi"/>
                <w:b/>
                <w:color w:val="auto"/>
              </w:rPr>
            </w:pPr>
            <w:r w:rsidRPr="000665E9">
              <w:rPr>
                <w:rFonts w:asciiTheme="minorHAnsi" w:hAnsiTheme="minorHAnsi"/>
                <w:b/>
                <w:color w:val="auto"/>
              </w:rPr>
              <w:t>What further actions will be taken to manage the risks in the coming year?</w:t>
            </w:r>
          </w:p>
        </w:tc>
        <w:tc>
          <w:tcPr>
            <w:tcW w:w="1271" w:type="dxa"/>
          </w:tcPr>
          <w:p w:rsidR="00FB6737" w:rsidRPr="000665E9" w:rsidRDefault="00FB6737" w:rsidP="00FB6737">
            <w:pPr>
              <w:rPr>
                <w:rFonts w:asciiTheme="minorHAnsi" w:hAnsiTheme="minorHAnsi"/>
                <w:b/>
                <w:color w:val="auto"/>
              </w:rPr>
            </w:pPr>
            <w:r w:rsidRPr="000665E9">
              <w:rPr>
                <w:rFonts w:asciiTheme="minorHAnsi" w:hAnsiTheme="minorHAnsi"/>
                <w:b/>
                <w:color w:val="auto"/>
              </w:rPr>
              <w:t>Provide a Risk Rating (low, medium, high, very high)</w:t>
            </w:r>
          </w:p>
        </w:tc>
        <w:tc>
          <w:tcPr>
            <w:tcW w:w="1271" w:type="dxa"/>
          </w:tcPr>
          <w:p w:rsidR="00FB6737" w:rsidRPr="00BE6C6D" w:rsidRDefault="00FB6737" w:rsidP="00FB6737">
            <w:pPr>
              <w:rPr>
                <w:b/>
              </w:rPr>
            </w:pPr>
            <w:r w:rsidRPr="00BB18E3">
              <w:rPr>
                <w:b/>
                <w:color w:val="auto"/>
              </w:rPr>
              <w:t xml:space="preserve">Are these same risks in in </w:t>
            </w:r>
            <w:r w:rsidR="000314F8" w:rsidRPr="00BB18E3">
              <w:rPr>
                <w:b/>
                <w:color w:val="auto"/>
              </w:rPr>
              <w:t>DFAT</w:t>
            </w:r>
            <w:r w:rsidRPr="00BB18E3">
              <w:rPr>
                <w:b/>
                <w:color w:val="auto"/>
              </w:rPr>
              <w:t>’s Risk Register (Yes/No)*</w:t>
            </w:r>
          </w:p>
        </w:tc>
      </w:tr>
      <w:tr w:rsidR="00FB6737" w:rsidRPr="00C61187" w:rsidTr="00FB6737">
        <w:tc>
          <w:tcPr>
            <w:tcW w:w="1873" w:type="dxa"/>
            <w:hideMark/>
          </w:tcPr>
          <w:p w:rsidR="00FB6737" w:rsidRPr="000665E9" w:rsidRDefault="00FB6737" w:rsidP="000665E9">
            <w:pPr>
              <w:rPr>
                <w:rFonts w:asciiTheme="minorHAnsi" w:hAnsiTheme="minorHAnsi"/>
                <w:color w:val="auto"/>
              </w:rPr>
            </w:pPr>
            <w:r w:rsidRPr="000665E9">
              <w:rPr>
                <w:rFonts w:asciiTheme="minorHAnsi" w:hAnsiTheme="minorHAnsi"/>
                <w:color w:val="auto"/>
              </w:rPr>
              <w:t>(Ongoing) Climate Change an</w:t>
            </w:r>
            <w:r w:rsidR="000665E9" w:rsidRPr="000665E9">
              <w:rPr>
                <w:rFonts w:asciiTheme="minorHAnsi" w:hAnsiTheme="minorHAnsi"/>
                <w:color w:val="auto"/>
              </w:rPr>
              <w:t xml:space="preserve">d natural disasters are an ongoing </w:t>
            </w:r>
            <w:r w:rsidRPr="000665E9">
              <w:rPr>
                <w:rFonts w:asciiTheme="minorHAnsi" w:hAnsiTheme="minorHAnsi"/>
                <w:color w:val="auto"/>
              </w:rPr>
              <w:t xml:space="preserve">risk to Fiji’s development. </w:t>
            </w:r>
            <w:r w:rsidR="006358AA" w:rsidRPr="000665E9">
              <w:rPr>
                <w:rFonts w:asciiTheme="minorHAnsi" w:hAnsiTheme="minorHAnsi"/>
                <w:color w:val="auto"/>
              </w:rPr>
              <w:t>GoF</w:t>
            </w:r>
            <w:r w:rsidRPr="000665E9">
              <w:rPr>
                <w:rFonts w:asciiTheme="minorHAnsi" w:hAnsiTheme="minorHAnsi"/>
                <w:color w:val="auto"/>
              </w:rPr>
              <w:t xml:space="preserve"> required to divert resources to respond. Aid programs delayed. </w:t>
            </w:r>
          </w:p>
        </w:tc>
        <w:tc>
          <w:tcPr>
            <w:tcW w:w="2408" w:type="dxa"/>
          </w:tcPr>
          <w:p w:rsidR="00FB6737" w:rsidRPr="000665E9" w:rsidRDefault="00FB6737" w:rsidP="00FB6737">
            <w:pPr>
              <w:rPr>
                <w:rFonts w:asciiTheme="minorHAnsi" w:hAnsiTheme="minorHAnsi"/>
                <w:color w:val="auto"/>
              </w:rPr>
            </w:pPr>
            <w:r w:rsidRPr="000665E9">
              <w:rPr>
                <w:rFonts w:asciiTheme="minorHAnsi" w:hAnsiTheme="minorHAnsi"/>
                <w:color w:val="auto"/>
              </w:rPr>
              <w:t xml:space="preserve">Increased coordination with NDMO, CSOs and Australian Humanitarian Partnership agencies. Engagement in Disaster READY program. Improved engagement with Fiji Council of Social Services and Fiji Red Cross Society through the Preparedness and Response Fund. </w:t>
            </w:r>
          </w:p>
        </w:tc>
        <w:tc>
          <w:tcPr>
            <w:tcW w:w="2489" w:type="dxa"/>
          </w:tcPr>
          <w:p w:rsidR="00FB6737" w:rsidRPr="000665E9" w:rsidRDefault="00FB6737" w:rsidP="00FB6737">
            <w:pPr>
              <w:rPr>
                <w:rFonts w:asciiTheme="minorHAnsi" w:hAnsiTheme="minorHAnsi"/>
                <w:color w:val="auto"/>
              </w:rPr>
            </w:pPr>
            <w:r w:rsidRPr="000665E9">
              <w:rPr>
                <w:rFonts w:asciiTheme="minorHAnsi" w:hAnsiTheme="minorHAnsi"/>
                <w:color w:val="auto"/>
              </w:rPr>
              <w:t xml:space="preserve">- IFC and PFIP working on disaster risk insurance for households </w:t>
            </w:r>
          </w:p>
          <w:p w:rsidR="00FB6737" w:rsidRPr="000665E9" w:rsidRDefault="00FB6737" w:rsidP="00FB6737">
            <w:pPr>
              <w:rPr>
                <w:rFonts w:asciiTheme="minorHAnsi" w:hAnsiTheme="minorHAnsi"/>
                <w:color w:val="auto"/>
              </w:rPr>
            </w:pPr>
            <w:r w:rsidRPr="000665E9">
              <w:rPr>
                <w:rFonts w:asciiTheme="minorHAnsi" w:hAnsiTheme="minorHAnsi"/>
                <w:color w:val="auto"/>
              </w:rPr>
              <w:t xml:space="preserve">- ANS will assess use of </w:t>
            </w:r>
            <w:r w:rsidR="00FF4860" w:rsidRPr="000665E9">
              <w:rPr>
                <w:rFonts w:asciiTheme="minorHAnsi" w:hAnsiTheme="minorHAnsi"/>
                <w:color w:val="auto"/>
              </w:rPr>
              <w:t xml:space="preserve">GoF’s </w:t>
            </w:r>
            <w:r w:rsidRPr="000665E9">
              <w:rPr>
                <w:rFonts w:asciiTheme="minorHAnsi" w:hAnsiTheme="minorHAnsi"/>
                <w:color w:val="auto"/>
              </w:rPr>
              <w:t xml:space="preserve">cash transfer system in event of natural disaster </w:t>
            </w:r>
          </w:p>
          <w:p w:rsidR="00FB6737" w:rsidRPr="000665E9" w:rsidRDefault="00FB6737" w:rsidP="00F611B7">
            <w:pPr>
              <w:rPr>
                <w:rFonts w:asciiTheme="minorHAnsi" w:hAnsiTheme="minorHAnsi"/>
                <w:color w:val="auto"/>
              </w:rPr>
            </w:pPr>
            <w:r w:rsidRPr="000665E9">
              <w:rPr>
                <w:rFonts w:asciiTheme="minorHAnsi" w:hAnsiTheme="minorHAnsi"/>
                <w:color w:val="auto"/>
              </w:rPr>
              <w:t xml:space="preserve">- </w:t>
            </w:r>
            <w:r w:rsidR="00F611B7" w:rsidRPr="000665E9">
              <w:rPr>
                <w:rFonts w:asciiTheme="minorHAnsi" w:hAnsiTheme="minorHAnsi"/>
                <w:color w:val="auto"/>
              </w:rPr>
              <w:t xml:space="preserve">Further integration of climate change and disaster resilience across the bilateral program to help safeguard development achievements in a changing climate. </w:t>
            </w:r>
            <w:r w:rsidRPr="000665E9">
              <w:rPr>
                <w:rFonts w:asciiTheme="minorHAnsi" w:hAnsiTheme="minorHAnsi"/>
                <w:color w:val="auto"/>
              </w:rPr>
              <w:t xml:space="preserve">  </w:t>
            </w:r>
          </w:p>
        </w:tc>
        <w:tc>
          <w:tcPr>
            <w:tcW w:w="1271" w:type="dxa"/>
          </w:tcPr>
          <w:p w:rsidR="00FB6737" w:rsidRPr="000665E9" w:rsidRDefault="00FB6737" w:rsidP="00FB6737">
            <w:pPr>
              <w:rPr>
                <w:rFonts w:asciiTheme="minorHAnsi" w:hAnsiTheme="minorHAnsi"/>
                <w:color w:val="auto"/>
              </w:rPr>
            </w:pPr>
            <w:r w:rsidRPr="000665E9">
              <w:rPr>
                <w:rFonts w:asciiTheme="minorHAnsi" w:hAnsiTheme="minorHAnsi"/>
                <w:color w:val="auto"/>
              </w:rPr>
              <w:t>High</w:t>
            </w:r>
          </w:p>
        </w:tc>
        <w:tc>
          <w:tcPr>
            <w:tcW w:w="1271" w:type="dxa"/>
          </w:tcPr>
          <w:p w:rsidR="00FB6737" w:rsidRPr="002C4C2E" w:rsidRDefault="00FB6737" w:rsidP="00FB6737">
            <w:pPr>
              <w:rPr>
                <w:color w:val="auto"/>
              </w:rPr>
            </w:pPr>
            <w:r w:rsidRPr="002C4C2E">
              <w:rPr>
                <w:color w:val="auto"/>
              </w:rPr>
              <w:t>Yes</w:t>
            </w:r>
          </w:p>
        </w:tc>
      </w:tr>
      <w:tr w:rsidR="00FB6737" w:rsidRPr="00C61187" w:rsidTr="00FB6737">
        <w:tc>
          <w:tcPr>
            <w:tcW w:w="1873" w:type="dxa"/>
            <w:hideMark/>
          </w:tcPr>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 xml:space="preserve">(Ongoing) Consolidation of program delivery under the Facility does not reduce burden on staff, improve coherence, or deliver high quality programs </w:t>
            </w:r>
          </w:p>
        </w:tc>
        <w:tc>
          <w:tcPr>
            <w:tcW w:w="2408" w:type="dxa"/>
          </w:tcPr>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 xml:space="preserve">Active monitoring of the Facility’s performance against established M&amp;E framework at the Facility and program level. Continued senior management engagement with Facility. </w:t>
            </w:r>
          </w:p>
        </w:tc>
        <w:tc>
          <w:tcPr>
            <w:tcW w:w="2489" w:type="dxa"/>
          </w:tcPr>
          <w:p w:rsidR="00FB6737" w:rsidRPr="000665E9" w:rsidRDefault="00AE6553" w:rsidP="00FB6737">
            <w:pPr>
              <w:keepLines/>
              <w:spacing w:before="40" w:after="40" w:line="200" w:lineRule="atLeast"/>
              <w:rPr>
                <w:rFonts w:asciiTheme="minorHAnsi" w:hAnsiTheme="minorHAnsi"/>
                <w:color w:val="auto"/>
              </w:rPr>
            </w:pPr>
            <w:r w:rsidRPr="000665E9">
              <w:rPr>
                <w:rFonts w:asciiTheme="minorHAnsi" w:hAnsiTheme="minorHAnsi"/>
                <w:color w:val="auto"/>
              </w:rPr>
              <w:t>Conduct a mid-term review to inform management engagement</w:t>
            </w:r>
            <w:r w:rsidR="00FB6737" w:rsidRPr="000665E9">
              <w:rPr>
                <w:rFonts w:asciiTheme="minorHAnsi" w:hAnsiTheme="minorHAnsi"/>
                <w:color w:val="auto"/>
              </w:rPr>
              <w:t xml:space="preserve"> </w:t>
            </w:r>
          </w:p>
          <w:p w:rsidR="00AE6553" w:rsidRPr="000665E9" w:rsidRDefault="00AE6553" w:rsidP="00FB6737">
            <w:pPr>
              <w:keepLines/>
              <w:spacing w:before="40" w:after="40" w:line="200" w:lineRule="atLeast"/>
              <w:rPr>
                <w:rFonts w:asciiTheme="minorHAnsi" w:hAnsiTheme="minorHAnsi"/>
                <w:color w:val="auto"/>
              </w:rPr>
            </w:pPr>
            <w:r w:rsidRPr="000665E9">
              <w:rPr>
                <w:rFonts w:asciiTheme="minorHAnsi" w:hAnsiTheme="minorHAnsi"/>
                <w:color w:val="auto"/>
              </w:rPr>
              <w:t>New format of senior management engagement with the Facility, including more targeted, regular meetings between all senior management teams.</w:t>
            </w:r>
          </w:p>
        </w:tc>
        <w:tc>
          <w:tcPr>
            <w:tcW w:w="1271" w:type="dxa"/>
          </w:tcPr>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Medium</w:t>
            </w:r>
          </w:p>
        </w:tc>
        <w:tc>
          <w:tcPr>
            <w:tcW w:w="1271" w:type="dxa"/>
          </w:tcPr>
          <w:p w:rsidR="00FB6737" w:rsidRPr="002C4C2E" w:rsidRDefault="00FB6737" w:rsidP="00FB6737">
            <w:pPr>
              <w:keepLines/>
              <w:spacing w:before="40" w:after="40" w:line="200" w:lineRule="atLeast"/>
              <w:rPr>
                <w:rFonts w:asciiTheme="minorHAnsi" w:hAnsiTheme="minorHAnsi"/>
                <w:color w:val="auto"/>
              </w:rPr>
            </w:pPr>
            <w:r w:rsidRPr="002C4C2E">
              <w:rPr>
                <w:rFonts w:asciiTheme="minorHAnsi" w:hAnsiTheme="minorHAnsi"/>
                <w:color w:val="auto"/>
              </w:rPr>
              <w:t>Yes</w:t>
            </w:r>
          </w:p>
        </w:tc>
      </w:tr>
      <w:tr w:rsidR="00FB6737" w:rsidRPr="00C61187" w:rsidTr="00FB6737">
        <w:trPr>
          <w:trHeight w:val="56"/>
        </w:trPr>
        <w:tc>
          <w:tcPr>
            <w:tcW w:w="1873" w:type="dxa"/>
          </w:tcPr>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 xml:space="preserve">(Emerging) Global economic conditions  could lead to reduced Government revenue and fiscal consolidation. Expectations of donors to provide budget support. </w:t>
            </w:r>
          </w:p>
        </w:tc>
        <w:tc>
          <w:tcPr>
            <w:tcW w:w="2408" w:type="dxa"/>
          </w:tcPr>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 xml:space="preserve">- Active monitoring of economic conditions </w:t>
            </w:r>
          </w:p>
          <w:p w:rsidR="00FB6737" w:rsidRPr="000665E9" w:rsidRDefault="00FB6737" w:rsidP="00FF4860">
            <w:pPr>
              <w:keepLines/>
              <w:spacing w:before="40" w:after="40" w:line="200" w:lineRule="atLeast"/>
              <w:rPr>
                <w:rFonts w:asciiTheme="minorHAnsi" w:hAnsiTheme="minorHAnsi"/>
                <w:color w:val="auto"/>
              </w:rPr>
            </w:pPr>
            <w:r w:rsidRPr="000665E9">
              <w:rPr>
                <w:rFonts w:asciiTheme="minorHAnsi" w:hAnsiTheme="minorHAnsi"/>
                <w:color w:val="auto"/>
              </w:rPr>
              <w:t>- Support to ADB’s PFM program with M</w:t>
            </w:r>
            <w:r w:rsidR="00FF4860" w:rsidRPr="000665E9">
              <w:rPr>
                <w:rFonts w:asciiTheme="minorHAnsi" w:hAnsiTheme="minorHAnsi"/>
                <w:color w:val="auto"/>
              </w:rPr>
              <w:t xml:space="preserve">inistry of Economy </w:t>
            </w:r>
            <w:r w:rsidRPr="000665E9">
              <w:rPr>
                <w:rFonts w:asciiTheme="minorHAnsi" w:hAnsiTheme="minorHAnsi"/>
                <w:color w:val="auto"/>
              </w:rPr>
              <w:t xml:space="preserve">- Considering twinning partnership with Fiji Tax Office and </w:t>
            </w:r>
            <w:r w:rsidR="00FF4860" w:rsidRPr="000665E9">
              <w:rPr>
                <w:rFonts w:asciiTheme="minorHAnsi" w:hAnsiTheme="minorHAnsi"/>
                <w:color w:val="auto"/>
              </w:rPr>
              <w:t>Australi</w:t>
            </w:r>
            <w:r w:rsidR="00F1403D" w:rsidRPr="000665E9">
              <w:rPr>
                <w:rFonts w:asciiTheme="minorHAnsi" w:hAnsiTheme="minorHAnsi"/>
                <w:color w:val="auto"/>
              </w:rPr>
              <w:t>a</w:t>
            </w:r>
            <w:r w:rsidR="00FF4860" w:rsidRPr="000665E9">
              <w:rPr>
                <w:rFonts w:asciiTheme="minorHAnsi" w:hAnsiTheme="minorHAnsi"/>
                <w:color w:val="auto"/>
              </w:rPr>
              <w:t>n Tax Office</w:t>
            </w:r>
          </w:p>
        </w:tc>
        <w:tc>
          <w:tcPr>
            <w:tcW w:w="2489" w:type="dxa"/>
          </w:tcPr>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 xml:space="preserve">- Finalise ATO-FRCA partnership </w:t>
            </w:r>
          </w:p>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 Continue to work with IF</w:t>
            </w:r>
            <w:r w:rsidR="00FF4860" w:rsidRPr="000665E9">
              <w:rPr>
                <w:rFonts w:asciiTheme="minorHAnsi" w:hAnsiTheme="minorHAnsi"/>
                <w:color w:val="auto"/>
              </w:rPr>
              <w:t>C</w:t>
            </w:r>
            <w:r w:rsidRPr="000665E9">
              <w:rPr>
                <w:rFonts w:asciiTheme="minorHAnsi" w:hAnsiTheme="minorHAnsi"/>
                <w:color w:val="auto"/>
              </w:rPr>
              <w:t xml:space="preserve">’s to support Fiji’s credible economic reform agenda. </w:t>
            </w:r>
          </w:p>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 xml:space="preserve">- Undertake ANS and consider joining ADB/WB economic reform and budget support </w:t>
            </w:r>
          </w:p>
        </w:tc>
        <w:tc>
          <w:tcPr>
            <w:tcW w:w="1271" w:type="dxa"/>
          </w:tcPr>
          <w:p w:rsidR="00FB6737" w:rsidRPr="000665E9" w:rsidRDefault="00FB6737" w:rsidP="00FB6737">
            <w:pPr>
              <w:keepLines/>
              <w:spacing w:before="40" w:after="40" w:line="200" w:lineRule="atLeast"/>
              <w:rPr>
                <w:rFonts w:asciiTheme="minorHAnsi" w:hAnsiTheme="minorHAnsi"/>
                <w:color w:val="auto"/>
              </w:rPr>
            </w:pPr>
            <w:r w:rsidRPr="000665E9">
              <w:rPr>
                <w:rFonts w:asciiTheme="minorHAnsi" w:hAnsiTheme="minorHAnsi"/>
                <w:color w:val="auto"/>
              </w:rPr>
              <w:t>Medium</w:t>
            </w:r>
          </w:p>
        </w:tc>
        <w:tc>
          <w:tcPr>
            <w:tcW w:w="1271" w:type="dxa"/>
          </w:tcPr>
          <w:p w:rsidR="00FB6737" w:rsidRPr="002C4C2E" w:rsidRDefault="00FB6737" w:rsidP="00FB6737">
            <w:pPr>
              <w:keepLines/>
              <w:spacing w:before="40" w:after="40" w:line="200" w:lineRule="atLeast"/>
              <w:rPr>
                <w:rFonts w:asciiTheme="minorHAnsi" w:hAnsiTheme="minorHAnsi"/>
                <w:color w:val="auto"/>
              </w:rPr>
            </w:pPr>
            <w:r w:rsidRPr="002C4C2E">
              <w:rPr>
                <w:rFonts w:asciiTheme="minorHAnsi" w:hAnsiTheme="minorHAnsi"/>
                <w:color w:val="auto"/>
              </w:rPr>
              <w:t>No</w:t>
            </w:r>
          </w:p>
        </w:tc>
      </w:tr>
    </w:tbl>
    <w:p w:rsidR="00FB6737" w:rsidRDefault="00FB6737" w:rsidP="00FB6737">
      <w:pPr>
        <w:spacing w:before="20" w:after="20" w:line="180" w:lineRule="atLeast"/>
        <w:jc w:val="both"/>
        <w:rPr>
          <w:rFonts w:ascii="Franklin Gothic Book" w:eastAsia="Times New Roman" w:hAnsi="Franklin Gothic Book"/>
          <w:b/>
          <w:sz w:val="14"/>
          <w:szCs w:val="14"/>
        </w:rPr>
      </w:pPr>
    </w:p>
    <w:p w:rsidR="00FB6737" w:rsidRPr="00FB6737" w:rsidRDefault="00FB6737" w:rsidP="00FB6737">
      <w:pPr>
        <w:rPr>
          <w:rFonts w:cstheme="minorHAnsi"/>
        </w:rPr>
      </w:pPr>
      <w:r w:rsidRPr="00FB6737">
        <w:rPr>
          <w:rFonts w:cstheme="minorHAnsi"/>
        </w:rPr>
        <w:t xml:space="preserve">The overall risk profile to Australia’s aid program has remained relatively constant over the last 12 months.  The impact of climate change and natural disaster will remain a key risk to Fiji’s development. The Program has responded by investing in targeted activities, including the Preparedness and Response Fund. In 2019-20, the </w:t>
      </w:r>
      <w:r w:rsidR="00D25DA0">
        <w:rPr>
          <w:rFonts w:cstheme="minorHAnsi"/>
        </w:rPr>
        <w:t>GoF</w:t>
      </w:r>
      <w:r w:rsidRPr="00FB6737">
        <w:rPr>
          <w:rFonts w:cstheme="minorHAnsi"/>
        </w:rPr>
        <w:t xml:space="preserve"> is expected to introduce new disaster risk insurance, with Australia’s support. </w:t>
      </w:r>
      <w:r w:rsidR="00F611B7" w:rsidRPr="00FB6737">
        <w:rPr>
          <w:rFonts w:cstheme="minorHAnsi"/>
        </w:rPr>
        <w:t xml:space="preserve">The Australia Pacific Climate </w:t>
      </w:r>
      <w:r w:rsidR="00F611B7">
        <w:rPr>
          <w:rFonts w:cstheme="minorHAnsi"/>
        </w:rPr>
        <w:t>Partnership</w:t>
      </w:r>
      <w:r w:rsidR="00F611B7" w:rsidRPr="00FB6737">
        <w:rPr>
          <w:rFonts w:cstheme="minorHAnsi"/>
        </w:rPr>
        <w:t xml:space="preserve"> Support </w:t>
      </w:r>
      <w:r w:rsidR="00F611B7">
        <w:rPr>
          <w:rFonts w:cstheme="minorHAnsi"/>
        </w:rPr>
        <w:t>Unit</w:t>
      </w:r>
      <w:r w:rsidR="00F611B7" w:rsidRPr="00FB6737">
        <w:rPr>
          <w:rFonts w:cstheme="minorHAnsi"/>
        </w:rPr>
        <w:t xml:space="preserve"> is providing expert advice to our existing programs on how to better address climate change </w:t>
      </w:r>
      <w:r w:rsidR="00F611B7">
        <w:rPr>
          <w:rFonts w:cstheme="minorHAnsi"/>
        </w:rPr>
        <w:t xml:space="preserve">and disaster </w:t>
      </w:r>
      <w:r w:rsidR="00F611B7" w:rsidRPr="00FB6737">
        <w:rPr>
          <w:rFonts w:cstheme="minorHAnsi"/>
        </w:rPr>
        <w:t>risks.</w:t>
      </w:r>
      <w:r w:rsidR="00F611B7">
        <w:rPr>
          <w:rFonts w:cstheme="minorHAnsi"/>
        </w:rPr>
        <w:t xml:space="preserve"> For instance, under PHAMA Plus, the Support Unit</w:t>
      </w:r>
      <w:r w:rsidR="00F611B7" w:rsidRPr="00FB6737">
        <w:rPr>
          <w:rFonts w:cstheme="minorHAnsi"/>
        </w:rPr>
        <w:t xml:space="preserve"> will </w:t>
      </w:r>
      <w:r w:rsidR="00F611B7">
        <w:rPr>
          <w:rFonts w:cstheme="minorHAnsi"/>
        </w:rPr>
        <w:t xml:space="preserve">engage </w:t>
      </w:r>
      <w:r w:rsidR="00F611B7" w:rsidRPr="00FB6737">
        <w:rPr>
          <w:rFonts w:cstheme="minorHAnsi"/>
        </w:rPr>
        <w:t xml:space="preserve">agricultural scientists </w:t>
      </w:r>
      <w:r w:rsidR="00F611B7">
        <w:rPr>
          <w:rFonts w:cstheme="minorHAnsi"/>
        </w:rPr>
        <w:t>to</w:t>
      </w:r>
      <w:r w:rsidR="00F611B7" w:rsidRPr="00FB6737">
        <w:rPr>
          <w:rFonts w:cstheme="minorHAnsi"/>
        </w:rPr>
        <w:t xml:space="preserve"> provide advice on how the changing climate will impact root crops in Fiji in the decades to come.  </w:t>
      </w:r>
    </w:p>
    <w:p w:rsidR="002A51CA" w:rsidRDefault="002A51CA" w:rsidP="002A51CA">
      <w:pPr>
        <w:spacing w:before="20" w:after="20" w:line="180" w:lineRule="atLeast"/>
        <w:jc w:val="both"/>
        <w:rPr>
          <w:rFonts w:ascii="Franklin Gothic Book" w:eastAsia="Times New Roman" w:hAnsi="Franklin Gothic Book"/>
          <w:b/>
          <w:sz w:val="14"/>
          <w:szCs w:val="14"/>
        </w:rPr>
      </w:pPr>
    </w:p>
    <w:p w:rsidR="00B07F14" w:rsidRDefault="00B07F14">
      <w:pPr>
        <w:suppressAutoHyphens w:val="0"/>
        <w:spacing w:before="0" w:after="120" w:line="440" w:lineRule="atLeast"/>
        <w:rPr>
          <w:rFonts w:asciiTheme="majorHAnsi" w:eastAsiaTheme="majorEastAsia" w:hAnsiTheme="majorHAnsi" w:cstheme="majorBidi"/>
          <w:caps/>
          <w:sz w:val="38"/>
          <w:szCs w:val="26"/>
        </w:rPr>
      </w:pPr>
      <w:r>
        <w:br w:type="page"/>
      </w:r>
    </w:p>
    <w:p w:rsidR="002A51CA" w:rsidRPr="002A51CA" w:rsidRDefault="002A51CA" w:rsidP="00047FFB">
      <w:pPr>
        <w:pStyle w:val="Heading2"/>
        <w:spacing w:before="360" w:line="300" w:lineRule="exact"/>
      </w:pPr>
      <w:r w:rsidRPr="002A51CA">
        <w:lastRenderedPageBreak/>
        <w:t xml:space="preserve">Management </w:t>
      </w:r>
      <w:r w:rsidR="00AC302F">
        <w:t>actions</w:t>
      </w:r>
      <w:r w:rsidRPr="002A51CA">
        <w:tab/>
      </w:r>
      <w:r w:rsidRPr="002A51CA">
        <w:tab/>
      </w:r>
    </w:p>
    <w:p w:rsidR="005B53E5" w:rsidRDefault="005B53E5" w:rsidP="002A51CA">
      <w:r>
        <w:t>Two management actions identified in the 2017-18 APPR have been achieved, with a third on track</w:t>
      </w:r>
      <w:r w:rsidR="009B5A1D">
        <w:t xml:space="preserve"> </w:t>
      </w:r>
      <w:r w:rsidR="00257485">
        <w:t>for completion through the finalisation of the</w:t>
      </w:r>
      <w:r w:rsidR="009B5A1D">
        <w:t xml:space="preserve"> Governance </w:t>
      </w:r>
      <w:r w:rsidR="00FF4860">
        <w:t xml:space="preserve">Program </w:t>
      </w:r>
      <w:r w:rsidR="009B5A1D">
        <w:t>design.</w:t>
      </w:r>
    </w:p>
    <w:p w:rsidR="00BC4A27" w:rsidRPr="00873314" w:rsidRDefault="00BC4A27" w:rsidP="002A51CA">
      <w:pPr>
        <w:rPr>
          <w:b/>
        </w:rPr>
      </w:pPr>
      <w:r w:rsidRPr="00873314">
        <w:rPr>
          <w:b/>
        </w:rPr>
        <w:t>Management actions identified that have not progressed as expected (rated amber):</w:t>
      </w:r>
    </w:p>
    <w:p w:rsidR="005B53E5" w:rsidRDefault="000314F8" w:rsidP="002A51CA">
      <w:r>
        <w:t>DFAT</w:t>
      </w:r>
      <w:r w:rsidR="005B53E5">
        <w:t xml:space="preserve"> has progressed the </w:t>
      </w:r>
      <w:r>
        <w:t>DFAT</w:t>
      </w:r>
      <w:r w:rsidR="005B53E5">
        <w:t xml:space="preserve">-TC Winston reconstruction </w:t>
      </w:r>
      <w:r w:rsidR="009B5A1D">
        <w:t xml:space="preserve">action to its limit.  </w:t>
      </w:r>
      <w:r w:rsidR="00BC4A27">
        <w:t xml:space="preserve">While we expect the schools to be handed over by the end of 2019, </w:t>
      </w:r>
      <w:r w:rsidR="00FF4860">
        <w:t xml:space="preserve">DFAT </w:t>
      </w:r>
      <w:r w:rsidR="00BC4A27">
        <w:t>is monitoring the situation closely</w:t>
      </w:r>
      <w:r w:rsidR="00FF4860">
        <w:t>.</w:t>
      </w:r>
      <w:r w:rsidR="00BC4A27">
        <w:t xml:space="preserve"> </w:t>
      </w:r>
    </w:p>
    <w:p w:rsidR="009B5A1D" w:rsidRDefault="009B5A1D" w:rsidP="002A51CA">
      <w:r>
        <w:t xml:space="preserve">Progress against developing a new </w:t>
      </w:r>
      <w:r w:rsidR="00D25DA0">
        <w:t>AIP</w:t>
      </w:r>
      <w:r>
        <w:t xml:space="preserve">, while not completed in the reporting period, </w:t>
      </w:r>
      <w:r w:rsidR="00EF6EB9">
        <w:t>is</w:t>
      </w:r>
      <w:r>
        <w:t xml:space="preserve"> on track</w:t>
      </w:r>
      <w:r w:rsidR="00257485">
        <w:t xml:space="preserve"> for completion in 2019</w:t>
      </w:r>
      <w:r>
        <w:t xml:space="preserve">.  A new AIP was not able to be developed until after the </w:t>
      </w:r>
      <w:r w:rsidRPr="00873314">
        <w:rPr>
          <w:i/>
        </w:rPr>
        <w:t>Vuvale Partnership</w:t>
      </w:r>
      <w:r>
        <w:t>, an overarching agreement between the Governments of Fiji and Australia covering political, economic, aid, trade and security relationships</w:t>
      </w:r>
      <w:r w:rsidR="00FF4860">
        <w:t>,</w:t>
      </w:r>
      <w:r>
        <w:t xml:space="preserve"> </w:t>
      </w:r>
      <w:r w:rsidR="007914F1">
        <w:t>was</w:t>
      </w:r>
      <w:r w:rsidR="006358AA">
        <w:t xml:space="preserve"> signed.</w:t>
      </w:r>
      <w:r>
        <w:t xml:space="preserve"> </w:t>
      </w:r>
    </w:p>
    <w:p w:rsidR="009B5A1D" w:rsidRDefault="009B5A1D" w:rsidP="002A51CA">
      <w:r>
        <w:t xml:space="preserve">We are taking great strides on ensuring the Facility remains on track to achieve program outcomes and provides timely and credible reporting on </w:t>
      </w:r>
      <w:r w:rsidR="00257485">
        <w:t xml:space="preserve">its </w:t>
      </w:r>
      <w:r>
        <w:t>progress.  The facility has now bedded down and has been able to realise more efficiencies</w:t>
      </w:r>
      <w:r w:rsidR="00A3292B">
        <w:t>.</w:t>
      </w:r>
      <w:r>
        <w:rPr>
          <w:rStyle w:val="FootnoteReference"/>
        </w:rPr>
        <w:footnoteReference w:id="15"/>
      </w:r>
    </w:p>
    <w:p w:rsidR="00D15A00" w:rsidRPr="00873314" w:rsidRDefault="009B5A1D" w:rsidP="002A51CA">
      <w:pPr>
        <w:rPr>
          <w:b/>
        </w:rPr>
      </w:pPr>
      <w:r w:rsidRPr="00873314">
        <w:rPr>
          <w:b/>
        </w:rPr>
        <w:t>We will implement the following management action</w:t>
      </w:r>
      <w:r w:rsidR="006358AA">
        <w:rPr>
          <w:b/>
        </w:rPr>
        <w:t>s i</w:t>
      </w:r>
      <w:r w:rsidRPr="00873314">
        <w:rPr>
          <w:b/>
        </w:rPr>
        <w:t>n 2019-20:</w:t>
      </w:r>
    </w:p>
    <w:p w:rsidR="00A3292B" w:rsidRDefault="006C75AF" w:rsidP="007C466B">
      <w:pPr>
        <w:pStyle w:val="ListParagraph"/>
        <w:numPr>
          <w:ilvl w:val="0"/>
          <w:numId w:val="15"/>
        </w:numPr>
        <w:spacing w:before="120"/>
        <w:ind w:hanging="357"/>
        <w:contextualSpacing w:val="0"/>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Review allocation of responsibilities among staff at </w:t>
      </w:r>
      <w:r w:rsidR="00FF4860">
        <w:rPr>
          <w:rFonts w:asciiTheme="minorHAnsi" w:eastAsiaTheme="minorHAnsi" w:hAnsiTheme="minorHAnsi" w:cstheme="minorBidi"/>
          <w:color w:val="495965" w:themeColor="text2"/>
          <w:sz w:val="22"/>
          <w:szCs w:val="22"/>
          <w:lang w:val="en-GB"/>
        </w:rPr>
        <w:t>Suva Post</w:t>
      </w:r>
      <w:r w:rsidR="007914F1">
        <w:rPr>
          <w:rFonts w:asciiTheme="minorHAnsi" w:eastAsiaTheme="minorHAnsi" w:hAnsiTheme="minorHAnsi" w:cstheme="minorBidi"/>
          <w:color w:val="495965" w:themeColor="text2"/>
          <w:sz w:val="22"/>
          <w:szCs w:val="22"/>
          <w:lang w:val="en-GB"/>
        </w:rPr>
        <w:t xml:space="preserve"> </w:t>
      </w:r>
      <w:r w:rsidR="00A3292B" w:rsidRPr="00864F23">
        <w:rPr>
          <w:rFonts w:asciiTheme="minorHAnsi" w:eastAsiaTheme="minorHAnsi" w:hAnsiTheme="minorHAnsi" w:cstheme="minorBidi"/>
          <w:color w:val="495965" w:themeColor="text2"/>
          <w:sz w:val="22"/>
          <w:szCs w:val="22"/>
          <w:lang w:val="en-GB"/>
        </w:rPr>
        <w:t xml:space="preserve">to </w:t>
      </w:r>
      <w:r>
        <w:rPr>
          <w:rFonts w:asciiTheme="minorHAnsi" w:eastAsiaTheme="minorHAnsi" w:hAnsiTheme="minorHAnsi" w:cstheme="minorBidi"/>
          <w:color w:val="495965" w:themeColor="text2"/>
          <w:sz w:val="22"/>
          <w:szCs w:val="22"/>
          <w:lang w:val="en-GB"/>
        </w:rPr>
        <w:t>ensure effective</w:t>
      </w:r>
      <w:r w:rsidR="00A3292B" w:rsidRPr="00864F23">
        <w:rPr>
          <w:rFonts w:asciiTheme="minorHAnsi" w:eastAsiaTheme="minorHAnsi" w:hAnsiTheme="minorHAnsi" w:cstheme="minorBidi"/>
          <w:color w:val="495965" w:themeColor="text2"/>
          <w:sz w:val="22"/>
          <w:szCs w:val="22"/>
          <w:lang w:val="en-GB"/>
        </w:rPr>
        <w:t xml:space="preserve"> deliver on priorities for </w:t>
      </w:r>
      <w:r w:rsidR="00F96E4C">
        <w:rPr>
          <w:rFonts w:asciiTheme="minorHAnsi" w:eastAsiaTheme="minorHAnsi" w:hAnsiTheme="minorHAnsi" w:cstheme="minorBidi"/>
          <w:color w:val="495965" w:themeColor="text2"/>
          <w:sz w:val="22"/>
          <w:szCs w:val="22"/>
          <w:lang w:val="en-GB"/>
        </w:rPr>
        <w:t>Australia</w:t>
      </w:r>
      <w:r w:rsidR="00A3292B" w:rsidRPr="00864F23">
        <w:rPr>
          <w:rFonts w:asciiTheme="minorHAnsi" w:eastAsiaTheme="minorHAnsi" w:hAnsiTheme="minorHAnsi" w:cstheme="minorBidi"/>
          <w:color w:val="495965" w:themeColor="text2"/>
          <w:sz w:val="22"/>
          <w:szCs w:val="22"/>
          <w:lang w:val="en-GB"/>
        </w:rPr>
        <w:t xml:space="preserve"> and</w:t>
      </w:r>
      <w:r w:rsidR="00F96E4C">
        <w:rPr>
          <w:rFonts w:asciiTheme="minorHAnsi" w:eastAsiaTheme="minorHAnsi" w:hAnsiTheme="minorHAnsi" w:cstheme="minorBidi"/>
          <w:color w:val="495965" w:themeColor="text2"/>
          <w:sz w:val="22"/>
          <w:szCs w:val="22"/>
          <w:lang w:val="en-GB"/>
        </w:rPr>
        <w:t xml:space="preserve"> the</w:t>
      </w:r>
      <w:r w:rsidR="00A3292B" w:rsidRPr="00864F23">
        <w:rPr>
          <w:rFonts w:asciiTheme="minorHAnsi" w:eastAsiaTheme="minorHAnsi" w:hAnsiTheme="minorHAnsi" w:cstheme="minorBidi"/>
          <w:color w:val="495965" w:themeColor="text2"/>
          <w:sz w:val="22"/>
          <w:szCs w:val="22"/>
          <w:lang w:val="en-GB"/>
        </w:rPr>
        <w:t xml:space="preserve"> region in the con</w:t>
      </w:r>
      <w:r w:rsidR="005D7784" w:rsidRPr="00864F23">
        <w:rPr>
          <w:rFonts w:asciiTheme="minorHAnsi" w:eastAsiaTheme="minorHAnsi" w:hAnsiTheme="minorHAnsi" w:cstheme="minorBidi"/>
          <w:color w:val="495965" w:themeColor="text2"/>
          <w:sz w:val="22"/>
          <w:szCs w:val="22"/>
          <w:lang w:val="en-GB"/>
        </w:rPr>
        <w:t xml:space="preserve">text of </w:t>
      </w:r>
      <w:r w:rsidR="00FF4860">
        <w:rPr>
          <w:rFonts w:asciiTheme="minorHAnsi" w:eastAsiaTheme="minorHAnsi" w:hAnsiTheme="minorHAnsi" w:cstheme="minorBidi"/>
          <w:color w:val="495965" w:themeColor="text2"/>
          <w:sz w:val="22"/>
          <w:szCs w:val="22"/>
          <w:lang w:val="en-GB"/>
        </w:rPr>
        <w:t>P</w:t>
      </w:r>
      <w:r w:rsidR="005D7784" w:rsidRPr="00864F23">
        <w:rPr>
          <w:rFonts w:asciiTheme="minorHAnsi" w:eastAsiaTheme="minorHAnsi" w:hAnsiTheme="minorHAnsi" w:cstheme="minorBidi"/>
          <w:color w:val="495965" w:themeColor="text2"/>
          <w:sz w:val="22"/>
          <w:szCs w:val="22"/>
          <w:lang w:val="en-GB"/>
        </w:rPr>
        <w:t>acific step-</w:t>
      </w:r>
      <w:r w:rsidR="00A3292B" w:rsidRPr="00864F23">
        <w:rPr>
          <w:rFonts w:asciiTheme="minorHAnsi" w:eastAsiaTheme="minorHAnsi" w:hAnsiTheme="minorHAnsi" w:cstheme="minorBidi"/>
          <w:color w:val="495965" w:themeColor="text2"/>
          <w:sz w:val="22"/>
          <w:szCs w:val="22"/>
          <w:lang w:val="en-GB"/>
        </w:rPr>
        <w:t>up</w:t>
      </w:r>
      <w:r w:rsidR="005D7784" w:rsidRPr="00864F23">
        <w:rPr>
          <w:rFonts w:asciiTheme="minorHAnsi" w:eastAsiaTheme="minorHAnsi" w:hAnsiTheme="minorHAnsi" w:cstheme="minorBidi"/>
          <w:color w:val="495965" w:themeColor="text2"/>
          <w:sz w:val="22"/>
          <w:szCs w:val="22"/>
          <w:lang w:val="en-GB"/>
        </w:rPr>
        <w:t xml:space="preserve">, and the </w:t>
      </w:r>
      <w:r w:rsidR="00FF4860">
        <w:rPr>
          <w:rFonts w:asciiTheme="minorHAnsi" w:eastAsiaTheme="minorHAnsi" w:hAnsiTheme="minorHAnsi" w:cstheme="minorBidi"/>
          <w:color w:val="495965" w:themeColor="text2"/>
          <w:sz w:val="22"/>
          <w:szCs w:val="22"/>
          <w:lang w:val="en-GB"/>
        </w:rPr>
        <w:t xml:space="preserve">Vuvale </w:t>
      </w:r>
      <w:r w:rsidR="007914F1">
        <w:rPr>
          <w:rFonts w:asciiTheme="minorHAnsi" w:eastAsiaTheme="minorHAnsi" w:hAnsiTheme="minorHAnsi" w:cstheme="minorBidi"/>
          <w:color w:val="495965" w:themeColor="text2"/>
          <w:sz w:val="22"/>
          <w:szCs w:val="22"/>
          <w:lang w:val="en-GB"/>
        </w:rPr>
        <w:t xml:space="preserve">Partnership </w:t>
      </w:r>
      <w:r w:rsidR="007914F1" w:rsidRPr="00864F23">
        <w:rPr>
          <w:rFonts w:asciiTheme="minorHAnsi" w:eastAsiaTheme="minorHAnsi" w:hAnsiTheme="minorHAnsi" w:cstheme="minorBidi"/>
          <w:color w:val="495965" w:themeColor="text2"/>
          <w:sz w:val="22"/>
          <w:szCs w:val="22"/>
          <w:lang w:val="en-GB"/>
        </w:rPr>
        <w:t>(</w:t>
      </w:r>
      <w:r w:rsidR="00AE6553">
        <w:rPr>
          <w:rFonts w:asciiTheme="minorHAnsi" w:eastAsiaTheme="minorHAnsi" w:hAnsiTheme="minorHAnsi" w:cstheme="minorBidi"/>
          <w:color w:val="495965" w:themeColor="text2"/>
          <w:sz w:val="22"/>
          <w:szCs w:val="22"/>
          <w:lang w:val="en-GB"/>
        </w:rPr>
        <w:t>by end 2019)</w:t>
      </w:r>
      <w:r w:rsidR="00A3292B" w:rsidRPr="00864F23">
        <w:rPr>
          <w:rFonts w:asciiTheme="minorHAnsi" w:eastAsiaTheme="minorHAnsi" w:hAnsiTheme="minorHAnsi" w:cstheme="minorBidi"/>
          <w:color w:val="495965" w:themeColor="text2"/>
          <w:sz w:val="22"/>
          <w:szCs w:val="22"/>
          <w:lang w:val="en-GB"/>
        </w:rPr>
        <w:t>.</w:t>
      </w:r>
    </w:p>
    <w:p w:rsidR="00F26F3F" w:rsidRPr="00864F23" w:rsidRDefault="00257485" w:rsidP="007C466B">
      <w:pPr>
        <w:pStyle w:val="ListParagraph"/>
        <w:numPr>
          <w:ilvl w:val="0"/>
          <w:numId w:val="15"/>
        </w:numPr>
        <w:spacing w:before="120"/>
        <w:ind w:hanging="357"/>
        <w:contextualSpacing w:val="0"/>
        <w:rPr>
          <w:rFonts w:asciiTheme="minorHAnsi" w:eastAsiaTheme="minorHAnsi" w:hAnsiTheme="minorHAnsi" w:cstheme="minorBidi"/>
          <w:color w:val="495965" w:themeColor="text2"/>
          <w:sz w:val="22"/>
          <w:szCs w:val="22"/>
          <w:lang w:val="en-GB"/>
        </w:rPr>
      </w:pPr>
      <w:r w:rsidRPr="00864F23">
        <w:rPr>
          <w:rFonts w:asciiTheme="minorHAnsi" w:eastAsiaTheme="minorHAnsi" w:hAnsiTheme="minorHAnsi" w:cstheme="minorBidi"/>
          <w:color w:val="495965" w:themeColor="text2"/>
          <w:sz w:val="22"/>
          <w:szCs w:val="22"/>
          <w:lang w:val="en-GB"/>
        </w:rPr>
        <w:t>F</w:t>
      </w:r>
      <w:r w:rsidR="009B5A1D" w:rsidRPr="00864F23">
        <w:rPr>
          <w:rFonts w:asciiTheme="minorHAnsi" w:eastAsiaTheme="minorHAnsi" w:hAnsiTheme="minorHAnsi" w:cstheme="minorBidi"/>
          <w:color w:val="495965" w:themeColor="text2"/>
          <w:sz w:val="22"/>
          <w:szCs w:val="22"/>
          <w:lang w:val="en-GB"/>
        </w:rPr>
        <w:t xml:space="preserve">inalise development of an </w:t>
      </w:r>
      <w:r w:rsidR="00D25DA0" w:rsidRPr="00864F23">
        <w:rPr>
          <w:rFonts w:asciiTheme="minorHAnsi" w:eastAsiaTheme="minorHAnsi" w:hAnsiTheme="minorHAnsi" w:cstheme="minorBidi"/>
          <w:color w:val="495965" w:themeColor="text2"/>
          <w:sz w:val="22"/>
          <w:szCs w:val="22"/>
          <w:lang w:val="en-GB"/>
        </w:rPr>
        <w:t>AIP</w:t>
      </w:r>
      <w:r w:rsidR="009B5A1D" w:rsidRPr="00864F23">
        <w:rPr>
          <w:rFonts w:asciiTheme="minorHAnsi" w:eastAsiaTheme="minorHAnsi" w:hAnsiTheme="minorHAnsi" w:cstheme="minorBidi"/>
          <w:color w:val="495965" w:themeColor="text2"/>
          <w:sz w:val="22"/>
          <w:szCs w:val="22"/>
          <w:lang w:val="en-GB"/>
        </w:rPr>
        <w:t xml:space="preserve"> for 2019-23 with </w:t>
      </w:r>
      <w:r w:rsidR="006358AA" w:rsidRPr="00864F23">
        <w:rPr>
          <w:rFonts w:asciiTheme="minorHAnsi" w:eastAsiaTheme="minorHAnsi" w:hAnsiTheme="minorHAnsi" w:cstheme="minorBidi"/>
          <w:color w:val="495965" w:themeColor="text2"/>
          <w:sz w:val="22"/>
          <w:szCs w:val="22"/>
          <w:lang w:val="en-GB"/>
        </w:rPr>
        <w:t>GoF</w:t>
      </w:r>
      <w:r w:rsidR="00E060D8">
        <w:rPr>
          <w:rFonts w:asciiTheme="minorHAnsi" w:eastAsiaTheme="minorHAnsi" w:hAnsiTheme="minorHAnsi" w:cstheme="minorBidi"/>
          <w:color w:val="495965" w:themeColor="text2"/>
          <w:sz w:val="22"/>
          <w:szCs w:val="22"/>
          <w:lang w:val="en-GB"/>
        </w:rPr>
        <w:t xml:space="preserve">.  </w:t>
      </w:r>
      <w:r w:rsidR="006C75AF">
        <w:rPr>
          <w:rFonts w:asciiTheme="minorHAnsi" w:eastAsiaTheme="minorHAnsi" w:hAnsiTheme="minorHAnsi" w:cstheme="minorBidi"/>
          <w:color w:val="495965" w:themeColor="text2"/>
          <w:sz w:val="22"/>
          <w:szCs w:val="22"/>
          <w:lang w:val="en-GB"/>
        </w:rPr>
        <w:t>M</w:t>
      </w:r>
      <w:r w:rsidR="00E060D8">
        <w:rPr>
          <w:rFonts w:asciiTheme="minorHAnsi" w:eastAsiaTheme="minorHAnsi" w:hAnsiTheme="minorHAnsi" w:cstheme="minorBidi"/>
          <w:color w:val="495965" w:themeColor="text2"/>
          <w:sz w:val="22"/>
          <w:szCs w:val="22"/>
          <w:lang w:val="en-GB"/>
        </w:rPr>
        <w:t xml:space="preserve">omentum from the </w:t>
      </w:r>
      <w:r w:rsidR="009B5A1D" w:rsidRPr="00864F23">
        <w:rPr>
          <w:rFonts w:asciiTheme="minorHAnsi" w:eastAsiaTheme="minorHAnsi" w:hAnsiTheme="minorHAnsi" w:cstheme="minorBidi"/>
          <w:color w:val="495965" w:themeColor="text2"/>
          <w:sz w:val="22"/>
          <w:szCs w:val="22"/>
          <w:lang w:val="en-GB"/>
        </w:rPr>
        <w:t xml:space="preserve">signing of the Vuvale Partnership will </w:t>
      </w:r>
      <w:r w:rsidR="006C75AF">
        <w:rPr>
          <w:rFonts w:asciiTheme="minorHAnsi" w:eastAsiaTheme="minorHAnsi" w:hAnsiTheme="minorHAnsi" w:cstheme="minorBidi"/>
          <w:color w:val="495965" w:themeColor="text2"/>
          <w:sz w:val="22"/>
          <w:szCs w:val="22"/>
          <w:lang w:val="en-GB"/>
        </w:rPr>
        <w:t>support</w:t>
      </w:r>
      <w:r w:rsidR="009B5A1D" w:rsidRPr="00864F23">
        <w:rPr>
          <w:rFonts w:asciiTheme="minorHAnsi" w:eastAsiaTheme="minorHAnsi" w:hAnsiTheme="minorHAnsi" w:cstheme="minorBidi"/>
          <w:color w:val="495965" w:themeColor="text2"/>
          <w:sz w:val="22"/>
          <w:szCs w:val="22"/>
          <w:lang w:val="en-GB"/>
        </w:rPr>
        <w:t xml:space="preserve"> frank discussions about how to maximise Australia’s investment</w:t>
      </w:r>
      <w:r w:rsidR="00FF4860">
        <w:rPr>
          <w:rFonts w:asciiTheme="minorHAnsi" w:eastAsiaTheme="minorHAnsi" w:hAnsiTheme="minorHAnsi" w:cstheme="minorBidi"/>
          <w:color w:val="495965" w:themeColor="text2"/>
          <w:sz w:val="22"/>
          <w:szCs w:val="22"/>
          <w:lang w:val="en-GB"/>
        </w:rPr>
        <w:t>s</w:t>
      </w:r>
      <w:r w:rsidR="009B5A1D" w:rsidRPr="00864F23">
        <w:rPr>
          <w:rFonts w:asciiTheme="minorHAnsi" w:eastAsiaTheme="minorHAnsi" w:hAnsiTheme="minorHAnsi" w:cstheme="minorBidi"/>
          <w:color w:val="495965" w:themeColor="text2"/>
          <w:sz w:val="22"/>
          <w:szCs w:val="22"/>
          <w:lang w:val="en-GB"/>
        </w:rPr>
        <w:t xml:space="preserve">.  </w:t>
      </w:r>
      <w:r w:rsidR="00FF4860">
        <w:rPr>
          <w:rFonts w:asciiTheme="minorHAnsi" w:eastAsiaTheme="minorHAnsi" w:hAnsiTheme="minorHAnsi" w:cstheme="minorBidi"/>
          <w:color w:val="495965" w:themeColor="text2"/>
          <w:sz w:val="22"/>
          <w:szCs w:val="22"/>
          <w:lang w:val="en-GB"/>
        </w:rPr>
        <w:t>Ensure DFAT leverages</w:t>
      </w:r>
      <w:r w:rsidR="009B5A1D" w:rsidRPr="00864F23">
        <w:rPr>
          <w:rFonts w:asciiTheme="minorHAnsi" w:eastAsiaTheme="minorHAnsi" w:hAnsiTheme="minorHAnsi" w:cstheme="minorBidi"/>
          <w:color w:val="495965" w:themeColor="text2"/>
          <w:sz w:val="22"/>
          <w:szCs w:val="22"/>
          <w:lang w:val="en-GB"/>
        </w:rPr>
        <w:t xml:space="preserve"> multilateral development ba</w:t>
      </w:r>
      <w:r w:rsidR="00452C5D" w:rsidRPr="00864F23">
        <w:rPr>
          <w:rFonts w:asciiTheme="minorHAnsi" w:eastAsiaTheme="minorHAnsi" w:hAnsiTheme="minorHAnsi" w:cstheme="minorBidi"/>
          <w:color w:val="495965" w:themeColor="text2"/>
          <w:sz w:val="22"/>
          <w:szCs w:val="22"/>
          <w:lang w:val="en-GB"/>
        </w:rPr>
        <w:t>n</w:t>
      </w:r>
      <w:r w:rsidR="009B5A1D" w:rsidRPr="00864F23">
        <w:rPr>
          <w:rFonts w:asciiTheme="minorHAnsi" w:eastAsiaTheme="minorHAnsi" w:hAnsiTheme="minorHAnsi" w:cstheme="minorBidi"/>
          <w:color w:val="495965" w:themeColor="text2"/>
          <w:sz w:val="22"/>
          <w:szCs w:val="22"/>
          <w:lang w:val="en-GB"/>
        </w:rPr>
        <w:t>k increases in funding, a</w:t>
      </w:r>
      <w:r w:rsidR="00EF6EB9" w:rsidRPr="00864F23">
        <w:rPr>
          <w:rFonts w:asciiTheme="minorHAnsi" w:eastAsiaTheme="minorHAnsi" w:hAnsiTheme="minorHAnsi" w:cstheme="minorBidi"/>
          <w:color w:val="495965" w:themeColor="text2"/>
          <w:sz w:val="22"/>
          <w:szCs w:val="22"/>
          <w:lang w:val="en-GB"/>
        </w:rPr>
        <w:t>s well as the opportunities from t</w:t>
      </w:r>
      <w:r w:rsidR="009B5A1D" w:rsidRPr="00864F23">
        <w:rPr>
          <w:rFonts w:asciiTheme="minorHAnsi" w:eastAsiaTheme="minorHAnsi" w:hAnsiTheme="minorHAnsi" w:cstheme="minorBidi"/>
          <w:color w:val="495965" w:themeColor="text2"/>
          <w:sz w:val="22"/>
          <w:szCs w:val="22"/>
          <w:lang w:val="en-GB"/>
        </w:rPr>
        <w:t xml:space="preserve">he AIFFP, to catalyse investment to help Fiji progress towards its objective of </w:t>
      </w:r>
      <w:r w:rsidR="00452C5D" w:rsidRPr="00864F23">
        <w:rPr>
          <w:rFonts w:asciiTheme="minorHAnsi" w:eastAsiaTheme="minorHAnsi" w:hAnsiTheme="minorHAnsi" w:cstheme="minorBidi"/>
          <w:color w:val="495965" w:themeColor="text2"/>
          <w:sz w:val="22"/>
          <w:szCs w:val="22"/>
          <w:lang w:val="en-GB"/>
        </w:rPr>
        <w:t>achieving</w:t>
      </w:r>
      <w:r w:rsidR="009B5A1D" w:rsidRPr="00864F23">
        <w:rPr>
          <w:rFonts w:asciiTheme="minorHAnsi" w:eastAsiaTheme="minorHAnsi" w:hAnsiTheme="minorHAnsi" w:cstheme="minorBidi"/>
          <w:color w:val="495965" w:themeColor="text2"/>
          <w:sz w:val="22"/>
          <w:szCs w:val="22"/>
          <w:lang w:val="en-GB"/>
        </w:rPr>
        <w:t xml:space="preserve"> high income </w:t>
      </w:r>
      <w:r w:rsidR="00452C5D" w:rsidRPr="00864F23">
        <w:rPr>
          <w:rFonts w:asciiTheme="minorHAnsi" w:eastAsiaTheme="minorHAnsi" w:hAnsiTheme="minorHAnsi" w:cstheme="minorBidi"/>
          <w:color w:val="495965" w:themeColor="text2"/>
          <w:sz w:val="22"/>
          <w:szCs w:val="22"/>
          <w:lang w:val="en-GB"/>
        </w:rPr>
        <w:t>status</w:t>
      </w:r>
      <w:r w:rsidR="00AE6553">
        <w:rPr>
          <w:rFonts w:asciiTheme="minorHAnsi" w:eastAsiaTheme="minorHAnsi" w:hAnsiTheme="minorHAnsi" w:cstheme="minorBidi"/>
          <w:color w:val="495965" w:themeColor="text2"/>
          <w:sz w:val="22"/>
          <w:szCs w:val="22"/>
          <w:lang w:val="en-GB"/>
        </w:rPr>
        <w:t xml:space="preserve"> (by end first quarter 2020)</w:t>
      </w:r>
      <w:r w:rsidR="00F26F3F" w:rsidRPr="00864F23">
        <w:rPr>
          <w:rFonts w:asciiTheme="minorHAnsi" w:eastAsiaTheme="minorHAnsi" w:hAnsiTheme="minorHAnsi" w:cstheme="minorBidi"/>
          <w:color w:val="495965" w:themeColor="text2"/>
          <w:sz w:val="22"/>
          <w:szCs w:val="22"/>
          <w:lang w:val="en-GB"/>
        </w:rPr>
        <w:t xml:space="preserve">. </w:t>
      </w:r>
    </w:p>
    <w:p w:rsidR="009B5A1D" w:rsidRPr="00864F23" w:rsidRDefault="00A3292B" w:rsidP="007C466B">
      <w:pPr>
        <w:pStyle w:val="ListParagraph"/>
        <w:numPr>
          <w:ilvl w:val="0"/>
          <w:numId w:val="15"/>
        </w:numPr>
        <w:spacing w:before="120"/>
        <w:ind w:hanging="357"/>
        <w:contextualSpacing w:val="0"/>
        <w:rPr>
          <w:rFonts w:asciiTheme="minorHAnsi" w:eastAsiaTheme="minorHAnsi" w:hAnsiTheme="minorHAnsi" w:cstheme="minorBidi"/>
          <w:color w:val="495965" w:themeColor="text2"/>
          <w:sz w:val="22"/>
          <w:szCs w:val="22"/>
          <w:lang w:val="en-GB"/>
        </w:rPr>
      </w:pPr>
      <w:r w:rsidRPr="00864F23">
        <w:rPr>
          <w:rFonts w:asciiTheme="minorHAnsi" w:eastAsiaTheme="minorHAnsi" w:hAnsiTheme="minorHAnsi" w:cstheme="minorBidi"/>
          <w:color w:val="495965" w:themeColor="text2"/>
          <w:sz w:val="22"/>
          <w:szCs w:val="22"/>
          <w:lang w:val="en-GB"/>
        </w:rPr>
        <w:t xml:space="preserve">Introduce a process of annual partnership talks/high level consultations with </w:t>
      </w:r>
      <w:r w:rsidR="006358AA" w:rsidRPr="00864F23">
        <w:rPr>
          <w:rFonts w:asciiTheme="minorHAnsi" w:eastAsiaTheme="minorHAnsi" w:hAnsiTheme="minorHAnsi" w:cstheme="minorBidi"/>
          <w:color w:val="495965" w:themeColor="text2"/>
          <w:sz w:val="22"/>
          <w:szCs w:val="22"/>
          <w:lang w:val="en-GB"/>
        </w:rPr>
        <w:t>GoF</w:t>
      </w:r>
      <w:r w:rsidRPr="00864F23">
        <w:rPr>
          <w:rFonts w:asciiTheme="minorHAnsi" w:eastAsiaTheme="minorHAnsi" w:hAnsiTheme="minorHAnsi" w:cstheme="minorBidi"/>
          <w:color w:val="495965" w:themeColor="text2"/>
          <w:sz w:val="22"/>
          <w:szCs w:val="22"/>
          <w:lang w:val="en-GB"/>
        </w:rPr>
        <w:t xml:space="preserve"> on bilateral partner</w:t>
      </w:r>
      <w:r w:rsidR="00F26F3F" w:rsidRPr="00864F23">
        <w:rPr>
          <w:rFonts w:asciiTheme="minorHAnsi" w:eastAsiaTheme="minorHAnsi" w:hAnsiTheme="minorHAnsi" w:cstheme="minorBidi"/>
          <w:color w:val="495965" w:themeColor="text2"/>
          <w:sz w:val="22"/>
          <w:szCs w:val="22"/>
          <w:lang w:val="en-GB"/>
        </w:rPr>
        <w:t>ship performance and priorities</w:t>
      </w:r>
      <w:r w:rsidR="00AE6553">
        <w:rPr>
          <w:rFonts w:asciiTheme="minorHAnsi" w:eastAsiaTheme="minorHAnsi" w:hAnsiTheme="minorHAnsi" w:cstheme="minorBidi"/>
          <w:color w:val="495965" w:themeColor="text2"/>
          <w:sz w:val="22"/>
          <w:szCs w:val="22"/>
          <w:lang w:val="en-GB"/>
        </w:rPr>
        <w:t xml:space="preserve"> (by end first quarter 2020)</w:t>
      </w:r>
      <w:r w:rsidR="00AE6553" w:rsidRPr="00864F23">
        <w:rPr>
          <w:rFonts w:asciiTheme="minorHAnsi" w:eastAsiaTheme="minorHAnsi" w:hAnsiTheme="minorHAnsi" w:cstheme="minorBidi"/>
          <w:color w:val="495965" w:themeColor="text2"/>
          <w:sz w:val="22"/>
          <w:szCs w:val="22"/>
          <w:lang w:val="en-GB"/>
        </w:rPr>
        <w:t>.</w:t>
      </w:r>
    </w:p>
    <w:p w:rsidR="00F26F3F" w:rsidRPr="00864F23" w:rsidRDefault="00F26F3F" w:rsidP="007C466B">
      <w:pPr>
        <w:pStyle w:val="ListParagraph"/>
        <w:numPr>
          <w:ilvl w:val="0"/>
          <w:numId w:val="15"/>
        </w:numPr>
        <w:spacing w:before="120"/>
        <w:ind w:hanging="357"/>
        <w:contextualSpacing w:val="0"/>
        <w:rPr>
          <w:rFonts w:asciiTheme="minorHAnsi" w:eastAsiaTheme="minorHAnsi" w:hAnsiTheme="minorHAnsi" w:cstheme="minorBidi"/>
          <w:color w:val="495965" w:themeColor="text2"/>
          <w:sz w:val="22"/>
          <w:szCs w:val="22"/>
          <w:lang w:val="en-GB"/>
        </w:rPr>
      </w:pPr>
      <w:r w:rsidRPr="00864F23">
        <w:rPr>
          <w:rFonts w:asciiTheme="minorHAnsi" w:eastAsiaTheme="minorHAnsi" w:hAnsiTheme="minorHAnsi" w:cstheme="minorBidi"/>
          <w:color w:val="495965" w:themeColor="text2"/>
          <w:sz w:val="22"/>
          <w:szCs w:val="22"/>
          <w:lang w:val="en-GB"/>
        </w:rPr>
        <w:t xml:space="preserve">Develop a new PAF in conjunction with the new AIP, </w:t>
      </w:r>
      <w:r w:rsidR="005D7784" w:rsidRPr="00864F23">
        <w:rPr>
          <w:rFonts w:asciiTheme="minorHAnsi" w:eastAsiaTheme="minorHAnsi" w:hAnsiTheme="minorHAnsi" w:cstheme="minorBidi"/>
          <w:color w:val="495965" w:themeColor="text2"/>
          <w:sz w:val="22"/>
          <w:szCs w:val="22"/>
          <w:lang w:val="en-GB"/>
        </w:rPr>
        <w:t xml:space="preserve">and </w:t>
      </w:r>
      <w:r w:rsidRPr="00864F23">
        <w:rPr>
          <w:rFonts w:asciiTheme="minorHAnsi" w:eastAsiaTheme="minorHAnsi" w:hAnsiTheme="minorHAnsi" w:cstheme="minorBidi"/>
          <w:color w:val="495965" w:themeColor="text2"/>
          <w:sz w:val="22"/>
          <w:szCs w:val="22"/>
          <w:lang w:val="en-GB"/>
        </w:rPr>
        <w:t xml:space="preserve">ensure </w:t>
      </w:r>
      <w:r w:rsidR="005D7784" w:rsidRPr="00864F23">
        <w:rPr>
          <w:rFonts w:asciiTheme="minorHAnsi" w:eastAsiaTheme="minorHAnsi" w:hAnsiTheme="minorHAnsi" w:cstheme="minorBidi"/>
          <w:color w:val="495965" w:themeColor="text2"/>
          <w:sz w:val="22"/>
          <w:szCs w:val="22"/>
          <w:lang w:val="en-GB"/>
        </w:rPr>
        <w:t xml:space="preserve">it collects </w:t>
      </w:r>
      <w:r w:rsidRPr="00864F23">
        <w:rPr>
          <w:rFonts w:asciiTheme="minorHAnsi" w:eastAsiaTheme="minorHAnsi" w:hAnsiTheme="minorHAnsi" w:cstheme="minorBidi"/>
          <w:color w:val="495965" w:themeColor="text2"/>
          <w:sz w:val="22"/>
          <w:szCs w:val="22"/>
          <w:lang w:val="en-GB"/>
        </w:rPr>
        <w:t>credible, useful real time information</w:t>
      </w:r>
      <w:r w:rsidR="00AE6553">
        <w:rPr>
          <w:rFonts w:asciiTheme="minorHAnsi" w:eastAsiaTheme="minorHAnsi" w:hAnsiTheme="minorHAnsi" w:cstheme="minorBidi"/>
          <w:color w:val="495965" w:themeColor="text2"/>
          <w:sz w:val="22"/>
          <w:szCs w:val="22"/>
          <w:lang w:val="en-GB"/>
        </w:rPr>
        <w:t xml:space="preserve"> (by end first quarter 2020)</w:t>
      </w:r>
      <w:r w:rsidR="00AE6553" w:rsidRPr="00864F23">
        <w:rPr>
          <w:rFonts w:asciiTheme="minorHAnsi" w:eastAsiaTheme="minorHAnsi" w:hAnsiTheme="minorHAnsi" w:cstheme="minorBidi"/>
          <w:color w:val="495965" w:themeColor="text2"/>
          <w:sz w:val="22"/>
          <w:szCs w:val="22"/>
          <w:lang w:val="en-GB"/>
        </w:rPr>
        <w:t>.</w:t>
      </w:r>
      <w:r w:rsidRPr="00864F23">
        <w:rPr>
          <w:rFonts w:asciiTheme="minorHAnsi" w:eastAsiaTheme="minorHAnsi" w:hAnsiTheme="minorHAnsi" w:cstheme="minorBidi"/>
          <w:color w:val="495965" w:themeColor="text2"/>
          <w:sz w:val="22"/>
          <w:szCs w:val="22"/>
          <w:lang w:val="en-GB"/>
        </w:rPr>
        <w:t xml:space="preserve">  The PAF will include better ways of tracking cross cutting issues, such as gender, </w:t>
      </w:r>
      <w:r w:rsidR="005D7784" w:rsidRPr="00864F23">
        <w:rPr>
          <w:rFonts w:asciiTheme="minorHAnsi" w:eastAsiaTheme="minorHAnsi" w:hAnsiTheme="minorHAnsi" w:cstheme="minorBidi"/>
          <w:color w:val="495965" w:themeColor="text2"/>
          <w:sz w:val="22"/>
          <w:szCs w:val="22"/>
          <w:lang w:val="en-GB"/>
        </w:rPr>
        <w:t>disability</w:t>
      </w:r>
      <w:r w:rsidRPr="00864F23">
        <w:rPr>
          <w:rFonts w:asciiTheme="minorHAnsi" w:eastAsiaTheme="minorHAnsi" w:hAnsiTheme="minorHAnsi" w:cstheme="minorBidi"/>
          <w:color w:val="495965" w:themeColor="text2"/>
          <w:sz w:val="22"/>
          <w:szCs w:val="22"/>
          <w:lang w:val="en-GB"/>
        </w:rPr>
        <w:t xml:space="preserve"> and climate change.  </w:t>
      </w:r>
      <w:r w:rsidR="00505D81">
        <w:rPr>
          <w:rFonts w:asciiTheme="minorHAnsi" w:eastAsiaTheme="minorHAnsi" w:hAnsiTheme="minorHAnsi" w:cstheme="minorBidi"/>
          <w:color w:val="495965" w:themeColor="text2"/>
          <w:sz w:val="22"/>
          <w:szCs w:val="22"/>
          <w:lang w:val="en-GB"/>
        </w:rPr>
        <w:t xml:space="preserve">We recognise the current PAF includes indicators that cannot be adequately tracked due to data gaps, which undermines its utility and credibility.  </w:t>
      </w:r>
    </w:p>
    <w:p w:rsidR="00C226FD" w:rsidRPr="00864F23" w:rsidRDefault="00C226FD" w:rsidP="007C466B">
      <w:pPr>
        <w:pStyle w:val="ListParagraph"/>
        <w:numPr>
          <w:ilvl w:val="0"/>
          <w:numId w:val="15"/>
        </w:numPr>
        <w:spacing w:before="120"/>
        <w:ind w:hanging="357"/>
        <w:contextualSpacing w:val="0"/>
        <w:rPr>
          <w:rFonts w:asciiTheme="minorHAnsi" w:eastAsiaTheme="minorHAnsi" w:hAnsiTheme="minorHAnsi" w:cstheme="minorBidi"/>
          <w:color w:val="495965" w:themeColor="text2"/>
          <w:sz w:val="22"/>
          <w:szCs w:val="22"/>
          <w:lang w:val="en-GB"/>
        </w:rPr>
      </w:pPr>
      <w:r w:rsidRPr="00864F23">
        <w:rPr>
          <w:rFonts w:asciiTheme="minorHAnsi" w:eastAsiaTheme="minorHAnsi" w:hAnsiTheme="minorHAnsi" w:cstheme="minorBidi"/>
          <w:color w:val="495965" w:themeColor="text2"/>
          <w:sz w:val="22"/>
          <w:szCs w:val="22"/>
          <w:lang w:val="en-GB"/>
        </w:rPr>
        <w:t>Develop a strategy to increase human development performance benc</w:t>
      </w:r>
      <w:r w:rsidR="00C65806">
        <w:rPr>
          <w:rFonts w:asciiTheme="minorHAnsi" w:eastAsiaTheme="minorHAnsi" w:hAnsiTheme="minorHAnsi" w:cstheme="minorBidi"/>
          <w:color w:val="495965" w:themeColor="text2"/>
          <w:sz w:val="22"/>
          <w:szCs w:val="22"/>
          <w:lang w:val="en-GB"/>
        </w:rPr>
        <w:t>hmarks relating to disability and gender equality</w:t>
      </w:r>
      <w:r w:rsidR="00101EE2">
        <w:rPr>
          <w:rFonts w:asciiTheme="minorHAnsi" w:eastAsiaTheme="minorHAnsi" w:hAnsiTheme="minorHAnsi" w:cstheme="minorBidi"/>
          <w:color w:val="495965" w:themeColor="text2"/>
          <w:sz w:val="22"/>
          <w:szCs w:val="22"/>
          <w:lang w:val="en-GB"/>
        </w:rPr>
        <w:t>. I</w:t>
      </w:r>
      <w:r w:rsidR="00AA53F2">
        <w:rPr>
          <w:rFonts w:asciiTheme="minorHAnsi" w:eastAsiaTheme="minorHAnsi" w:hAnsiTheme="minorHAnsi" w:cstheme="minorBidi"/>
          <w:color w:val="495965" w:themeColor="text2"/>
          <w:sz w:val="22"/>
          <w:szCs w:val="22"/>
          <w:lang w:val="en-GB"/>
        </w:rPr>
        <w:t>n particular</w:t>
      </w:r>
      <w:r w:rsidR="00101EE2">
        <w:rPr>
          <w:rFonts w:asciiTheme="minorHAnsi" w:eastAsiaTheme="minorHAnsi" w:hAnsiTheme="minorHAnsi" w:cstheme="minorBidi"/>
          <w:color w:val="495965" w:themeColor="text2"/>
          <w:sz w:val="22"/>
          <w:szCs w:val="22"/>
          <w:lang w:val="en-GB"/>
        </w:rPr>
        <w:t>, this is required to</w:t>
      </w:r>
      <w:r w:rsidR="00AA53F2">
        <w:rPr>
          <w:rFonts w:asciiTheme="minorHAnsi" w:eastAsiaTheme="minorHAnsi" w:hAnsiTheme="minorHAnsi" w:cstheme="minorBidi"/>
          <w:color w:val="495965" w:themeColor="text2"/>
          <w:sz w:val="22"/>
          <w:szCs w:val="22"/>
          <w:lang w:val="en-GB"/>
        </w:rPr>
        <w:t xml:space="preserve"> identify approaches for the Fiji program to reach the gender equality target requiring at least 80 per cent of all aid investments, regardless of their primary objectives, </w:t>
      </w:r>
      <w:r w:rsidR="006C75AF">
        <w:rPr>
          <w:rFonts w:asciiTheme="minorHAnsi" w:eastAsiaTheme="minorHAnsi" w:hAnsiTheme="minorHAnsi" w:cstheme="minorBidi"/>
          <w:color w:val="495965" w:themeColor="text2"/>
          <w:sz w:val="22"/>
          <w:szCs w:val="22"/>
          <w:lang w:val="en-GB"/>
        </w:rPr>
        <w:t>to</w:t>
      </w:r>
      <w:r w:rsidR="00AA53F2">
        <w:rPr>
          <w:rFonts w:asciiTheme="minorHAnsi" w:eastAsiaTheme="minorHAnsi" w:hAnsiTheme="minorHAnsi" w:cstheme="minorBidi"/>
          <w:color w:val="495965" w:themeColor="text2"/>
          <w:sz w:val="22"/>
          <w:szCs w:val="22"/>
          <w:lang w:val="en-GB"/>
        </w:rPr>
        <w:t xml:space="preserve"> </w:t>
      </w:r>
      <w:r w:rsidR="00F739F3">
        <w:rPr>
          <w:rFonts w:asciiTheme="minorHAnsi" w:eastAsiaTheme="minorHAnsi" w:hAnsiTheme="minorHAnsi" w:cstheme="minorBidi"/>
          <w:color w:val="495965" w:themeColor="text2"/>
          <w:sz w:val="22"/>
          <w:szCs w:val="22"/>
          <w:lang w:val="en-GB"/>
        </w:rPr>
        <w:t>effectively</w:t>
      </w:r>
      <w:r w:rsidR="00AA53F2">
        <w:rPr>
          <w:rFonts w:asciiTheme="minorHAnsi" w:eastAsiaTheme="minorHAnsi" w:hAnsiTheme="minorHAnsi" w:cstheme="minorBidi"/>
          <w:color w:val="495965" w:themeColor="text2"/>
          <w:sz w:val="22"/>
          <w:szCs w:val="22"/>
          <w:lang w:val="en-GB"/>
        </w:rPr>
        <w:t xml:space="preserve"> address gender issues in their implementation.  </w:t>
      </w:r>
      <w:r w:rsidR="00AF0A07">
        <w:rPr>
          <w:rFonts w:asciiTheme="minorHAnsi" w:eastAsiaTheme="minorHAnsi" w:hAnsiTheme="minorHAnsi" w:cstheme="minorBidi"/>
          <w:color w:val="495965" w:themeColor="text2"/>
          <w:sz w:val="22"/>
          <w:szCs w:val="22"/>
          <w:lang w:val="en-GB"/>
        </w:rPr>
        <w:t xml:space="preserve"> Planned evaluations in 2019-20 will provide evidence on how to strengthen our approach to gender and disability in our investments. </w:t>
      </w:r>
      <w:r w:rsidR="00AE6553">
        <w:rPr>
          <w:rFonts w:asciiTheme="minorHAnsi" w:eastAsiaTheme="minorHAnsi" w:hAnsiTheme="minorHAnsi" w:cstheme="minorBidi"/>
          <w:color w:val="495965" w:themeColor="text2"/>
          <w:sz w:val="22"/>
          <w:szCs w:val="22"/>
          <w:lang w:val="en-GB"/>
        </w:rPr>
        <w:t>Strategy to be completed and implementation commenced by end of reporting period.</w:t>
      </w:r>
      <w:r w:rsidR="00AF0A07">
        <w:rPr>
          <w:rFonts w:asciiTheme="minorHAnsi" w:eastAsiaTheme="minorHAnsi" w:hAnsiTheme="minorHAnsi" w:cstheme="minorBidi"/>
          <w:color w:val="495965" w:themeColor="text2"/>
          <w:sz w:val="22"/>
          <w:szCs w:val="22"/>
          <w:lang w:val="en-GB"/>
        </w:rPr>
        <w:t xml:space="preserve"> </w:t>
      </w:r>
    </w:p>
    <w:p w:rsidR="00F26F3F" w:rsidRPr="00864F23" w:rsidRDefault="005D7784" w:rsidP="007C466B">
      <w:pPr>
        <w:pStyle w:val="ListParagraph"/>
        <w:numPr>
          <w:ilvl w:val="0"/>
          <w:numId w:val="15"/>
        </w:numPr>
        <w:spacing w:before="120"/>
        <w:ind w:hanging="357"/>
        <w:contextualSpacing w:val="0"/>
        <w:rPr>
          <w:rFonts w:asciiTheme="minorHAnsi" w:eastAsiaTheme="minorHAnsi" w:hAnsiTheme="minorHAnsi" w:cstheme="minorBidi"/>
          <w:color w:val="495965" w:themeColor="text2"/>
          <w:sz w:val="22"/>
          <w:szCs w:val="22"/>
          <w:lang w:val="en-GB"/>
        </w:rPr>
      </w:pPr>
      <w:r w:rsidRPr="00864F23">
        <w:rPr>
          <w:rFonts w:asciiTheme="minorHAnsi" w:eastAsiaTheme="minorHAnsi" w:hAnsiTheme="minorHAnsi" w:cstheme="minorBidi"/>
          <w:color w:val="495965" w:themeColor="text2"/>
          <w:sz w:val="22"/>
          <w:szCs w:val="22"/>
          <w:lang w:val="en-GB"/>
        </w:rPr>
        <w:t>C</w:t>
      </w:r>
      <w:r w:rsidR="00F26F3F" w:rsidRPr="00864F23">
        <w:rPr>
          <w:rFonts w:asciiTheme="minorHAnsi" w:eastAsiaTheme="minorHAnsi" w:hAnsiTheme="minorHAnsi" w:cstheme="minorBidi"/>
          <w:color w:val="495965" w:themeColor="text2"/>
          <w:sz w:val="22"/>
          <w:szCs w:val="22"/>
          <w:lang w:val="en-GB"/>
        </w:rPr>
        <w:t xml:space="preserve">onduct </w:t>
      </w:r>
      <w:r w:rsidRPr="00864F23">
        <w:rPr>
          <w:rFonts w:asciiTheme="minorHAnsi" w:eastAsiaTheme="minorHAnsi" w:hAnsiTheme="minorHAnsi" w:cstheme="minorBidi"/>
          <w:color w:val="495965" w:themeColor="text2"/>
          <w:sz w:val="22"/>
          <w:szCs w:val="22"/>
          <w:lang w:val="en-GB"/>
        </w:rPr>
        <w:t xml:space="preserve">a rapid </w:t>
      </w:r>
      <w:r w:rsidR="00F26F3F" w:rsidRPr="00864F23">
        <w:rPr>
          <w:rFonts w:asciiTheme="minorHAnsi" w:eastAsiaTheme="minorHAnsi" w:hAnsiTheme="minorHAnsi" w:cstheme="minorBidi"/>
          <w:color w:val="495965" w:themeColor="text2"/>
          <w:sz w:val="22"/>
          <w:szCs w:val="22"/>
          <w:lang w:val="en-GB"/>
        </w:rPr>
        <w:t xml:space="preserve">analysis of the role of </w:t>
      </w:r>
      <w:r w:rsidR="000314F8">
        <w:rPr>
          <w:rFonts w:asciiTheme="minorHAnsi" w:eastAsiaTheme="minorHAnsi" w:hAnsiTheme="minorHAnsi" w:cstheme="minorBidi"/>
          <w:color w:val="495965" w:themeColor="text2"/>
          <w:sz w:val="22"/>
          <w:szCs w:val="22"/>
          <w:lang w:val="en-GB"/>
        </w:rPr>
        <w:t>DFAT</w:t>
      </w:r>
      <w:r w:rsidR="00F26F3F" w:rsidRPr="00864F23">
        <w:rPr>
          <w:rFonts w:asciiTheme="minorHAnsi" w:eastAsiaTheme="minorHAnsi" w:hAnsiTheme="minorHAnsi" w:cstheme="minorBidi"/>
          <w:color w:val="495965" w:themeColor="text2"/>
          <w:sz w:val="22"/>
          <w:szCs w:val="22"/>
          <w:lang w:val="en-GB"/>
        </w:rPr>
        <w:t xml:space="preserve"> in supporting regional initiatives, to examine how investments are being monitored to ensure the most efficient and effective monitoring system</w:t>
      </w:r>
      <w:r w:rsidRPr="00864F23">
        <w:rPr>
          <w:rFonts w:asciiTheme="minorHAnsi" w:eastAsiaTheme="minorHAnsi" w:hAnsiTheme="minorHAnsi" w:cstheme="minorBidi"/>
          <w:color w:val="495965" w:themeColor="text2"/>
          <w:sz w:val="22"/>
          <w:szCs w:val="22"/>
          <w:lang w:val="en-GB"/>
        </w:rPr>
        <w:t>s are in place</w:t>
      </w:r>
      <w:r w:rsidR="00AE6553">
        <w:rPr>
          <w:rFonts w:asciiTheme="minorHAnsi" w:eastAsiaTheme="minorHAnsi" w:hAnsiTheme="minorHAnsi" w:cstheme="minorBidi"/>
          <w:color w:val="495965" w:themeColor="text2"/>
          <w:sz w:val="22"/>
          <w:szCs w:val="22"/>
          <w:lang w:val="en-GB"/>
        </w:rPr>
        <w:t xml:space="preserve"> (by end first quarter 2020)</w:t>
      </w:r>
      <w:r w:rsidR="00AE6553" w:rsidRPr="00864F23">
        <w:rPr>
          <w:rFonts w:asciiTheme="minorHAnsi" w:eastAsiaTheme="minorHAnsi" w:hAnsiTheme="minorHAnsi" w:cstheme="minorBidi"/>
          <w:color w:val="495965" w:themeColor="text2"/>
          <w:sz w:val="22"/>
          <w:szCs w:val="22"/>
          <w:lang w:val="en-GB"/>
        </w:rPr>
        <w:t>.</w:t>
      </w:r>
      <w:r w:rsidR="00F26F3F" w:rsidRPr="00864F23">
        <w:rPr>
          <w:rFonts w:asciiTheme="minorHAnsi" w:eastAsiaTheme="minorHAnsi" w:hAnsiTheme="minorHAnsi" w:cstheme="minorBidi"/>
          <w:color w:val="495965" w:themeColor="text2"/>
          <w:sz w:val="22"/>
          <w:szCs w:val="22"/>
          <w:lang w:val="en-GB"/>
        </w:rPr>
        <w:t xml:space="preserve">   </w:t>
      </w:r>
    </w:p>
    <w:p w:rsidR="00F26F3F" w:rsidRPr="00864F23" w:rsidRDefault="00F26F3F" w:rsidP="007C466B">
      <w:pPr>
        <w:pStyle w:val="ListParagraph"/>
        <w:numPr>
          <w:ilvl w:val="0"/>
          <w:numId w:val="15"/>
        </w:numPr>
        <w:spacing w:before="120"/>
        <w:ind w:hanging="357"/>
        <w:contextualSpacing w:val="0"/>
        <w:rPr>
          <w:rFonts w:asciiTheme="minorHAnsi" w:eastAsiaTheme="minorHAnsi" w:hAnsiTheme="minorHAnsi" w:cstheme="minorBidi"/>
          <w:color w:val="495965" w:themeColor="text2"/>
          <w:sz w:val="22"/>
          <w:szCs w:val="22"/>
          <w:lang w:val="en-GB"/>
        </w:rPr>
      </w:pPr>
      <w:r w:rsidRPr="00864F23">
        <w:rPr>
          <w:rFonts w:asciiTheme="minorHAnsi" w:eastAsiaTheme="minorHAnsi" w:hAnsiTheme="minorHAnsi" w:cstheme="minorBidi"/>
          <w:color w:val="495965" w:themeColor="text2"/>
          <w:sz w:val="22"/>
          <w:szCs w:val="22"/>
          <w:lang w:val="en-GB"/>
        </w:rPr>
        <w:t>Conduct an assessment</w:t>
      </w:r>
      <w:r w:rsidR="00A3292B" w:rsidRPr="00864F23">
        <w:rPr>
          <w:rFonts w:asciiTheme="minorHAnsi" w:eastAsiaTheme="minorHAnsi" w:hAnsiTheme="minorHAnsi" w:cstheme="minorBidi"/>
          <w:color w:val="495965" w:themeColor="text2"/>
          <w:sz w:val="22"/>
          <w:szCs w:val="22"/>
          <w:lang w:val="en-GB"/>
        </w:rPr>
        <w:t xml:space="preserve"> of national systems</w:t>
      </w:r>
      <w:r w:rsidR="005D7784" w:rsidRPr="00864F23">
        <w:rPr>
          <w:rFonts w:asciiTheme="minorHAnsi" w:eastAsiaTheme="minorHAnsi" w:hAnsiTheme="minorHAnsi" w:cstheme="minorBidi"/>
          <w:color w:val="495965" w:themeColor="text2"/>
          <w:sz w:val="22"/>
          <w:szCs w:val="22"/>
          <w:lang w:val="en-GB"/>
        </w:rPr>
        <w:t xml:space="preserve"> for Fiji</w:t>
      </w:r>
      <w:r w:rsidRPr="00864F23">
        <w:rPr>
          <w:rFonts w:asciiTheme="minorHAnsi" w:eastAsiaTheme="minorHAnsi" w:hAnsiTheme="minorHAnsi" w:cstheme="minorBidi"/>
          <w:color w:val="495965" w:themeColor="text2"/>
          <w:sz w:val="22"/>
          <w:szCs w:val="22"/>
          <w:lang w:val="en-GB"/>
        </w:rPr>
        <w:t>, with a view to joining the ADB budget support program in 2019-20</w:t>
      </w:r>
      <w:r w:rsidR="00AE6553">
        <w:rPr>
          <w:rFonts w:asciiTheme="minorHAnsi" w:eastAsiaTheme="minorHAnsi" w:hAnsiTheme="minorHAnsi" w:cstheme="minorBidi"/>
          <w:color w:val="495965" w:themeColor="text2"/>
          <w:sz w:val="22"/>
          <w:szCs w:val="22"/>
          <w:lang w:val="en-GB"/>
        </w:rPr>
        <w:t xml:space="preserve"> (by end first quarter 2020)</w:t>
      </w:r>
      <w:r w:rsidR="00AE6553" w:rsidRPr="00864F23">
        <w:rPr>
          <w:rFonts w:asciiTheme="minorHAnsi" w:eastAsiaTheme="minorHAnsi" w:hAnsiTheme="minorHAnsi" w:cstheme="minorBidi"/>
          <w:color w:val="495965" w:themeColor="text2"/>
          <w:sz w:val="22"/>
          <w:szCs w:val="22"/>
          <w:lang w:val="en-GB"/>
        </w:rPr>
        <w:t>.</w:t>
      </w:r>
    </w:p>
    <w:p w:rsidR="00A3292B" w:rsidRPr="00864F23" w:rsidRDefault="00F26F3F" w:rsidP="007C466B">
      <w:pPr>
        <w:pStyle w:val="ListParagraph"/>
        <w:numPr>
          <w:ilvl w:val="1"/>
          <w:numId w:val="15"/>
        </w:numPr>
        <w:spacing w:before="120"/>
        <w:ind w:hanging="357"/>
        <w:contextualSpacing w:val="0"/>
        <w:rPr>
          <w:rFonts w:asciiTheme="minorHAnsi" w:eastAsiaTheme="minorHAnsi" w:hAnsiTheme="minorHAnsi" w:cstheme="minorBidi"/>
          <w:color w:val="495965" w:themeColor="text2"/>
          <w:sz w:val="22"/>
          <w:szCs w:val="22"/>
          <w:lang w:val="en-GB"/>
        </w:rPr>
      </w:pPr>
      <w:r w:rsidRPr="00864F23">
        <w:rPr>
          <w:rFonts w:asciiTheme="minorHAnsi" w:eastAsiaTheme="minorHAnsi" w:hAnsiTheme="minorHAnsi" w:cstheme="minorBidi"/>
          <w:color w:val="495965" w:themeColor="text2"/>
          <w:sz w:val="22"/>
          <w:szCs w:val="22"/>
          <w:lang w:val="en-GB"/>
        </w:rPr>
        <w:t xml:space="preserve">If successful, </w:t>
      </w:r>
      <w:r w:rsidR="005D7784" w:rsidRPr="00864F23">
        <w:rPr>
          <w:rFonts w:asciiTheme="minorHAnsi" w:eastAsiaTheme="minorHAnsi" w:hAnsiTheme="minorHAnsi" w:cstheme="minorBidi"/>
          <w:color w:val="495965" w:themeColor="text2"/>
          <w:sz w:val="22"/>
          <w:szCs w:val="22"/>
          <w:lang w:val="en-GB"/>
        </w:rPr>
        <w:t xml:space="preserve">complete a systems </w:t>
      </w:r>
      <w:r w:rsidRPr="00864F23">
        <w:rPr>
          <w:rFonts w:asciiTheme="minorHAnsi" w:eastAsiaTheme="minorHAnsi" w:hAnsiTheme="minorHAnsi" w:cstheme="minorBidi"/>
          <w:color w:val="495965" w:themeColor="text2"/>
          <w:sz w:val="22"/>
          <w:szCs w:val="22"/>
          <w:lang w:val="en-GB"/>
        </w:rPr>
        <w:t xml:space="preserve">assessment of </w:t>
      </w:r>
      <w:r w:rsidR="00A3292B" w:rsidRPr="00864F23">
        <w:rPr>
          <w:rFonts w:asciiTheme="minorHAnsi" w:eastAsiaTheme="minorHAnsi" w:hAnsiTheme="minorHAnsi" w:cstheme="minorBidi"/>
          <w:color w:val="495965" w:themeColor="text2"/>
          <w:sz w:val="22"/>
          <w:szCs w:val="22"/>
          <w:lang w:val="en-GB"/>
        </w:rPr>
        <w:t xml:space="preserve">one sector, </w:t>
      </w:r>
      <w:r w:rsidRPr="00864F23">
        <w:rPr>
          <w:rFonts w:asciiTheme="minorHAnsi" w:eastAsiaTheme="minorHAnsi" w:hAnsiTheme="minorHAnsi" w:cstheme="minorBidi"/>
          <w:color w:val="495965" w:themeColor="text2"/>
          <w:sz w:val="22"/>
          <w:szCs w:val="22"/>
          <w:lang w:val="en-GB"/>
        </w:rPr>
        <w:t xml:space="preserve">to investigate </w:t>
      </w:r>
      <w:r w:rsidR="005D7784" w:rsidRPr="00864F23">
        <w:rPr>
          <w:rFonts w:asciiTheme="minorHAnsi" w:eastAsiaTheme="minorHAnsi" w:hAnsiTheme="minorHAnsi" w:cstheme="minorBidi"/>
          <w:color w:val="495965" w:themeColor="text2"/>
          <w:sz w:val="22"/>
          <w:szCs w:val="22"/>
          <w:lang w:val="en-GB"/>
        </w:rPr>
        <w:t xml:space="preserve">potential for </w:t>
      </w:r>
      <w:r w:rsidRPr="00864F23">
        <w:rPr>
          <w:rFonts w:asciiTheme="minorHAnsi" w:eastAsiaTheme="minorHAnsi" w:hAnsiTheme="minorHAnsi" w:cstheme="minorBidi"/>
          <w:color w:val="495965" w:themeColor="text2"/>
          <w:sz w:val="22"/>
          <w:szCs w:val="22"/>
          <w:lang w:val="en-GB"/>
        </w:rPr>
        <w:t xml:space="preserve">moving to </w:t>
      </w:r>
      <w:r w:rsidR="005D7784" w:rsidRPr="00864F23">
        <w:rPr>
          <w:rFonts w:asciiTheme="minorHAnsi" w:eastAsiaTheme="minorHAnsi" w:hAnsiTheme="minorHAnsi" w:cstheme="minorBidi"/>
          <w:color w:val="495965" w:themeColor="text2"/>
          <w:sz w:val="22"/>
          <w:szCs w:val="22"/>
          <w:lang w:val="en-GB"/>
        </w:rPr>
        <w:t>earmarked budget support.</w:t>
      </w:r>
    </w:p>
    <w:p w:rsidR="00F26F3F" w:rsidRPr="00864F23" w:rsidRDefault="009B5A1D" w:rsidP="007C466B">
      <w:pPr>
        <w:pStyle w:val="ListParagraph"/>
        <w:numPr>
          <w:ilvl w:val="0"/>
          <w:numId w:val="15"/>
        </w:numPr>
        <w:spacing w:before="120"/>
        <w:ind w:hanging="357"/>
        <w:contextualSpacing w:val="0"/>
        <w:rPr>
          <w:rFonts w:asciiTheme="minorHAnsi" w:eastAsiaTheme="minorHAnsi" w:hAnsiTheme="minorHAnsi" w:cstheme="minorBidi"/>
          <w:color w:val="495965" w:themeColor="text2"/>
          <w:sz w:val="22"/>
          <w:szCs w:val="22"/>
          <w:lang w:val="en-GB"/>
        </w:rPr>
      </w:pPr>
      <w:r w:rsidRPr="00864F23">
        <w:rPr>
          <w:rFonts w:asciiTheme="minorHAnsi" w:eastAsiaTheme="minorHAnsi" w:hAnsiTheme="minorHAnsi" w:cstheme="minorBidi"/>
          <w:color w:val="495965" w:themeColor="text2"/>
          <w:sz w:val="22"/>
          <w:szCs w:val="22"/>
          <w:lang w:val="en-GB"/>
        </w:rPr>
        <w:t xml:space="preserve">Continue to track progress of the Facility and </w:t>
      </w:r>
      <w:r w:rsidR="00452C5D" w:rsidRPr="00864F23">
        <w:rPr>
          <w:rFonts w:asciiTheme="minorHAnsi" w:eastAsiaTheme="minorHAnsi" w:hAnsiTheme="minorHAnsi" w:cstheme="minorBidi"/>
          <w:color w:val="495965" w:themeColor="text2"/>
          <w:sz w:val="22"/>
          <w:szCs w:val="22"/>
          <w:lang w:val="en-GB"/>
        </w:rPr>
        <w:t>ensure</w:t>
      </w:r>
      <w:r w:rsidRPr="00864F23">
        <w:rPr>
          <w:rFonts w:asciiTheme="minorHAnsi" w:eastAsiaTheme="minorHAnsi" w:hAnsiTheme="minorHAnsi" w:cstheme="minorBidi"/>
          <w:color w:val="495965" w:themeColor="text2"/>
          <w:sz w:val="22"/>
          <w:szCs w:val="22"/>
          <w:lang w:val="en-GB"/>
        </w:rPr>
        <w:t xml:space="preserve"> efficiencies from the Facility model are realised.  A review of the Facility in </w:t>
      </w:r>
      <w:r w:rsidR="00101EE2">
        <w:rPr>
          <w:rFonts w:asciiTheme="minorHAnsi" w:eastAsiaTheme="minorHAnsi" w:hAnsiTheme="minorHAnsi" w:cstheme="minorBidi"/>
          <w:color w:val="495965" w:themeColor="text2"/>
          <w:sz w:val="22"/>
          <w:szCs w:val="22"/>
          <w:lang w:val="en-GB"/>
        </w:rPr>
        <w:t>2020</w:t>
      </w:r>
      <w:r w:rsidRPr="00864F23">
        <w:rPr>
          <w:rFonts w:asciiTheme="minorHAnsi" w:eastAsiaTheme="minorHAnsi" w:hAnsiTheme="minorHAnsi" w:cstheme="minorBidi"/>
          <w:color w:val="495965" w:themeColor="text2"/>
          <w:sz w:val="22"/>
          <w:szCs w:val="22"/>
          <w:lang w:val="en-GB"/>
        </w:rPr>
        <w:t xml:space="preserve"> will assist in </w:t>
      </w:r>
      <w:r w:rsidR="00452C5D" w:rsidRPr="00864F23">
        <w:rPr>
          <w:rFonts w:asciiTheme="minorHAnsi" w:eastAsiaTheme="minorHAnsi" w:hAnsiTheme="minorHAnsi" w:cstheme="minorBidi"/>
          <w:color w:val="495965" w:themeColor="text2"/>
          <w:sz w:val="22"/>
          <w:szCs w:val="22"/>
          <w:lang w:val="en-GB"/>
        </w:rPr>
        <w:t>analysing</w:t>
      </w:r>
      <w:r w:rsidRPr="00864F23">
        <w:rPr>
          <w:rFonts w:asciiTheme="minorHAnsi" w:eastAsiaTheme="minorHAnsi" w:hAnsiTheme="minorHAnsi" w:cstheme="minorBidi"/>
          <w:color w:val="495965" w:themeColor="text2"/>
          <w:sz w:val="22"/>
          <w:szCs w:val="22"/>
          <w:lang w:val="en-GB"/>
        </w:rPr>
        <w:t xml:space="preserve"> and </w:t>
      </w:r>
      <w:r w:rsidR="00452C5D" w:rsidRPr="00864F23">
        <w:rPr>
          <w:rFonts w:asciiTheme="minorHAnsi" w:eastAsiaTheme="minorHAnsi" w:hAnsiTheme="minorHAnsi" w:cstheme="minorBidi"/>
          <w:color w:val="495965" w:themeColor="text2"/>
          <w:sz w:val="22"/>
          <w:szCs w:val="22"/>
          <w:lang w:val="en-GB"/>
        </w:rPr>
        <w:t>refocusing</w:t>
      </w:r>
      <w:r w:rsidRPr="00864F23">
        <w:rPr>
          <w:rFonts w:asciiTheme="minorHAnsi" w:eastAsiaTheme="minorHAnsi" w:hAnsiTheme="minorHAnsi" w:cstheme="minorBidi"/>
          <w:color w:val="495965" w:themeColor="text2"/>
          <w:sz w:val="22"/>
          <w:szCs w:val="22"/>
          <w:lang w:val="en-GB"/>
        </w:rPr>
        <w:t xml:space="preserve"> efforts</w:t>
      </w:r>
      <w:r w:rsidR="00AE6553">
        <w:rPr>
          <w:rFonts w:asciiTheme="minorHAnsi" w:eastAsiaTheme="minorHAnsi" w:hAnsiTheme="minorHAnsi" w:cstheme="minorBidi"/>
          <w:color w:val="495965" w:themeColor="text2"/>
          <w:sz w:val="22"/>
          <w:szCs w:val="22"/>
          <w:lang w:val="en-GB"/>
        </w:rPr>
        <w:t xml:space="preserve"> (ongoing)</w:t>
      </w:r>
      <w:r w:rsidRPr="00864F23">
        <w:rPr>
          <w:rFonts w:asciiTheme="minorHAnsi" w:eastAsiaTheme="minorHAnsi" w:hAnsiTheme="minorHAnsi" w:cstheme="minorBidi"/>
          <w:color w:val="495965" w:themeColor="text2"/>
          <w:sz w:val="22"/>
          <w:szCs w:val="22"/>
          <w:lang w:val="en-GB"/>
        </w:rPr>
        <w:t>.</w:t>
      </w:r>
      <w:r w:rsidR="00A3292B" w:rsidRPr="00864F23">
        <w:rPr>
          <w:rFonts w:asciiTheme="minorHAnsi" w:eastAsiaTheme="minorHAnsi" w:hAnsiTheme="minorHAnsi" w:cstheme="minorBidi"/>
          <w:color w:val="495965" w:themeColor="text2"/>
          <w:sz w:val="22"/>
          <w:szCs w:val="22"/>
          <w:lang w:val="en-GB"/>
        </w:rPr>
        <w:t xml:space="preserve"> </w:t>
      </w:r>
    </w:p>
    <w:p w:rsidR="00AE6553" w:rsidRPr="004A5FAB" w:rsidRDefault="00AE6553" w:rsidP="002A51CA">
      <w:pPr>
        <w:rPr>
          <w:rFonts w:cstheme="minorHAnsi"/>
        </w:rPr>
        <w:sectPr w:rsidR="00AE6553" w:rsidRPr="004A5FAB" w:rsidSect="002667EE">
          <w:pgSz w:w="11906" w:h="16838" w:code="9"/>
          <w:pgMar w:top="1527" w:right="1134" w:bottom="851" w:left="1134" w:header="1418" w:footer="766" w:gutter="0"/>
          <w:cols w:space="397"/>
          <w:docGrid w:linePitch="360"/>
        </w:sectPr>
      </w:pPr>
    </w:p>
    <w:p w:rsidR="001B21A2" w:rsidRPr="00166408" w:rsidRDefault="001B21A2" w:rsidP="001B21A2">
      <w:pPr>
        <w:pStyle w:val="Subtitle"/>
        <w:numPr>
          <w:ilvl w:val="0"/>
          <w:numId w:val="0"/>
        </w:numPr>
        <w:spacing w:before="360" w:after="120" w:line="300" w:lineRule="exact"/>
        <w:rPr>
          <w:rFonts w:asciiTheme="majorHAnsi" w:hAnsiTheme="majorHAnsi" w:cstheme="majorHAnsi"/>
        </w:rPr>
      </w:pPr>
      <w:r w:rsidRPr="008821C2">
        <w:rPr>
          <w:rFonts w:asciiTheme="majorHAnsi" w:hAnsiTheme="majorHAnsi" w:cstheme="majorHAnsi"/>
        </w:rPr>
        <w:lastRenderedPageBreak/>
        <w:t>Annex A - Progress in Addressing Management actions</w:t>
      </w: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1179"/>
        <w:gridCol w:w="6733"/>
      </w:tblGrid>
      <w:tr w:rsidR="001B21A2" w:rsidRPr="007F2264" w:rsidTr="00FB6737">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B21A2" w:rsidRPr="003F155C" w:rsidRDefault="001B21A2" w:rsidP="00FB6737">
            <w:pPr>
              <w:keepLines/>
              <w:spacing w:before="80" w:after="80" w:line="200" w:lineRule="atLeast"/>
              <w:rPr>
                <w:rFonts w:asciiTheme="minorHAnsi" w:eastAsia="Times New Roman" w:hAnsiTheme="minorHAnsi" w:cstheme="minorHAnsi"/>
                <w:b/>
                <w:iCs/>
                <w:szCs w:val="17"/>
                <w:lang w:eastAsia="en-US"/>
              </w:rPr>
            </w:pPr>
            <w:r w:rsidRPr="00FF5460">
              <w:rPr>
                <w:rFonts w:eastAsia="Times New Roman" w:cstheme="minorHAnsi"/>
                <w:b/>
                <w:iCs/>
                <w:szCs w:val="17"/>
              </w:rPr>
              <w:t>Management responses identified in 2017-18 APPR</w:t>
            </w:r>
            <w:r w:rsidRPr="00FF5460">
              <w:rPr>
                <w:rFonts w:eastAsia="Times New Roman" w:cstheme="minorHAnsi"/>
                <w:b/>
                <w:iCs/>
                <w:szCs w:val="17"/>
              </w:rPr>
              <w:tab/>
            </w: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B21A2" w:rsidRPr="00430439" w:rsidRDefault="001B21A2" w:rsidP="00FB6737">
            <w:pPr>
              <w:keepLines/>
              <w:spacing w:before="80" w:after="80" w:line="200" w:lineRule="atLeast"/>
              <w:jc w:val="center"/>
              <w:rPr>
                <w:rFonts w:asciiTheme="minorHAnsi" w:eastAsia="Times New Roman" w:hAnsiTheme="minorHAnsi" w:cstheme="minorHAnsi"/>
                <w:b/>
                <w:iCs/>
                <w:szCs w:val="17"/>
                <w:lang w:eastAsia="en-US"/>
              </w:rPr>
            </w:pPr>
            <w:r w:rsidRPr="00FB74A9">
              <w:rPr>
                <w:rFonts w:eastAsia="Times New Roman" w:cstheme="minorHAnsi"/>
                <w:b/>
                <w:iCs/>
                <w:szCs w:val="17"/>
              </w:rPr>
              <w:t>Rating</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B21A2" w:rsidRPr="00430439" w:rsidRDefault="001B21A2" w:rsidP="00FB6737">
            <w:pPr>
              <w:keepLines/>
              <w:spacing w:before="80" w:after="80" w:line="200" w:lineRule="atLeast"/>
              <w:jc w:val="center"/>
              <w:rPr>
                <w:rFonts w:asciiTheme="minorHAnsi" w:eastAsia="Times New Roman" w:hAnsiTheme="minorHAnsi" w:cstheme="minorHAnsi"/>
                <w:b/>
                <w:iCs/>
                <w:szCs w:val="17"/>
                <w:lang w:eastAsia="en-US"/>
              </w:rPr>
            </w:pPr>
            <w:r w:rsidRPr="00430439">
              <w:rPr>
                <w:rFonts w:eastAsia="Times New Roman" w:cstheme="minorHAnsi"/>
                <w:b/>
                <w:iCs/>
                <w:szCs w:val="17"/>
              </w:rPr>
              <w:t>Progress made  in 2018-19</w:t>
            </w:r>
          </w:p>
        </w:tc>
      </w:tr>
      <w:tr w:rsidR="001B21A2" w:rsidRPr="007F2264" w:rsidTr="001B21A2">
        <w:trPr>
          <w:cnfStyle w:val="000000010000" w:firstRow="0" w:lastRow="0" w:firstColumn="0" w:lastColumn="0" w:oddVBand="0" w:evenVBand="0" w:oddHBand="0" w:evenHBand="1" w:firstRowFirstColumn="0" w:firstRowLastColumn="0" w:lastRowFirstColumn="0" w:lastRowLastColumn="0"/>
        </w:trPr>
        <w:tc>
          <w:tcPr>
            <w:tcW w:w="6409" w:type="dxa"/>
            <w:tcBorders>
              <w:top w:val="single" w:sz="4" w:space="0" w:color="auto"/>
              <w:bottom w:val="single" w:sz="4" w:space="0" w:color="auto"/>
              <w:right w:val="single" w:sz="4" w:space="0" w:color="auto"/>
            </w:tcBorders>
          </w:tcPr>
          <w:p w:rsidR="001B21A2" w:rsidRPr="00FB74A9" w:rsidRDefault="001B21A2" w:rsidP="00FB6737">
            <w:pPr>
              <w:keepLines/>
              <w:spacing w:before="40" w:after="40" w:line="200" w:lineRule="atLeast"/>
              <w:rPr>
                <w:rFonts w:asciiTheme="minorHAnsi" w:eastAsia="Times New Roman" w:hAnsiTheme="minorHAnsi" w:cstheme="minorHAnsi"/>
                <w:iCs/>
                <w:szCs w:val="17"/>
                <w:lang w:eastAsia="en-US"/>
              </w:rPr>
            </w:pPr>
            <w:r w:rsidRPr="00FF5460">
              <w:rPr>
                <w:rFonts w:eastAsia="Times New Roman" w:cstheme="minorHAnsi"/>
                <w:iCs/>
                <w:szCs w:val="17"/>
              </w:rPr>
              <w:t>1, Develop and implement specific</w:t>
            </w:r>
            <w:r w:rsidRPr="003F155C">
              <w:rPr>
                <w:rFonts w:eastAsia="Times New Roman" w:cstheme="minorHAnsi"/>
                <w:iCs/>
                <w:szCs w:val="17"/>
              </w:rPr>
              <w:t xml:space="preserve"> interventions to achieve gender and disability outcomes under new and existing programs. These will include the development of an inclusivity guidance note for private sector development program and integrating gender analysis in the design of the new governance program.  </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1B21A2" w:rsidRPr="00430439" w:rsidRDefault="001B21A2" w:rsidP="00FB6737">
            <w:pPr>
              <w:keepLines/>
              <w:spacing w:before="40" w:after="40" w:line="200" w:lineRule="atLeast"/>
              <w:jc w:val="center"/>
              <w:rPr>
                <w:rFonts w:asciiTheme="minorHAnsi" w:eastAsia="Times New Roman" w:hAnsiTheme="minorHAnsi" w:cstheme="minorHAnsi"/>
                <w:iCs/>
                <w:color w:val="FFFFFF" w:themeColor="background1"/>
                <w:szCs w:val="17"/>
                <w:lang w:eastAsia="en-US"/>
              </w:rPr>
            </w:pPr>
            <w:r w:rsidRPr="00430439">
              <w:rPr>
                <w:rFonts w:eastAsia="Times New Roman" w:cstheme="minorHAnsi"/>
                <w:iCs/>
                <w:color w:val="FFFFFF" w:themeColor="background1"/>
                <w:szCs w:val="17"/>
              </w:rPr>
              <w:t>Partly Achieved</w:t>
            </w:r>
          </w:p>
        </w:tc>
        <w:tc>
          <w:tcPr>
            <w:tcW w:w="6829" w:type="dxa"/>
            <w:tcBorders>
              <w:top w:val="single" w:sz="4" w:space="0" w:color="auto"/>
              <w:left w:val="single" w:sz="4" w:space="0" w:color="auto"/>
              <w:bottom w:val="single" w:sz="4" w:space="0" w:color="auto"/>
            </w:tcBorders>
          </w:tcPr>
          <w:p w:rsidR="001B21A2" w:rsidRPr="00430439" w:rsidRDefault="001B21A2" w:rsidP="00FB6737">
            <w:pPr>
              <w:keepLines/>
              <w:spacing w:before="40" w:after="40" w:line="200" w:lineRule="atLeast"/>
              <w:rPr>
                <w:rFonts w:asciiTheme="minorHAnsi" w:eastAsia="Times New Roman" w:hAnsiTheme="minorHAnsi" w:cstheme="minorHAnsi"/>
                <w:iCs/>
                <w:color w:val="92D050"/>
                <w:szCs w:val="17"/>
                <w:lang w:eastAsia="en-US"/>
              </w:rPr>
            </w:pPr>
            <w:r w:rsidRPr="00430439">
              <w:rPr>
                <w:rFonts w:eastAsia="Times New Roman" w:cstheme="minorHAnsi"/>
                <w:iCs/>
                <w:szCs w:val="17"/>
              </w:rPr>
              <w:t xml:space="preserve">The draft design for the new Governance program has integrated gender analysis, the design will be finalised in the coming months. An inclusivity guidance note was not developed for Private Sector Development (PSD), however, the two key PSD programs (MDF and IFC) both improved significantly in achieving gender equality outcomes over the reporting period.  </w:t>
            </w:r>
          </w:p>
        </w:tc>
      </w:tr>
      <w:tr w:rsidR="001B21A2" w:rsidRPr="007F2264" w:rsidTr="001B21A2">
        <w:trPr>
          <w:cnfStyle w:val="000000010000" w:firstRow="0" w:lastRow="0" w:firstColumn="0" w:lastColumn="0" w:oddVBand="0" w:evenVBand="0" w:oddHBand="0" w:evenHBand="1" w:firstRowFirstColumn="0" w:firstRowLastColumn="0" w:lastRowFirstColumn="0" w:lastRowLastColumn="0"/>
        </w:trPr>
        <w:tc>
          <w:tcPr>
            <w:tcW w:w="6409" w:type="dxa"/>
            <w:tcBorders>
              <w:top w:val="single" w:sz="4" w:space="0" w:color="auto"/>
              <w:bottom w:val="single" w:sz="4" w:space="0" w:color="auto"/>
              <w:right w:val="single" w:sz="4" w:space="0" w:color="auto"/>
            </w:tcBorders>
          </w:tcPr>
          <w:p w:rsidR="001B21A2" w:rsidRPr="003F155C" w:rsidRDefault="001B21A2" w:rsidP="00FB6737">
            <w:pPr>
              <w:keepLines/>
              <w:spacing w:before="40" w:after="40" w:line="200" w:lineRule="atLeast"/>
              <w:rPr>
                <w:rFonts w:asciiTheme="minorHAnsi" w:eastAsia="Times New Roman" w:hAnsiTheme="minorHAnsi" w:cstheme="minorHAnsi"/>
                <w:iCs/>
                <w:szCs w:val="17"/>
                <w:lang w:eastAsia="en-US"/>
              </w:rPr>
            </w:pPr>
            <w:r w:rsidRPr="00FF5460">
              <w:rPr>
                <w:rFonts w:cstheme="minorHAnsi"/>
              </w:rPr>
              <w:t>2, Commence implementation of the new education program.</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1B21A2" w:rsidRPr="00FF5460" w:rsidRDefault="001B21A2" w:rsidP="00FB6737">
            <w:pPr>
              <w:keepLines/>
              <w:spacing w:before="40" w:after="40" w:line="200" w:lineRule="atLeast"/>
              <w:jc w:val="center"/>
              <w:rPr>
                <w:rFonts w:asciiTheme="minorHAnsi" w:eastAsia="Times New Roman" w:hAnsiTheme="minorHAnsi" w:cstheme="minorHAnsi"/>
                <w:iCs/>
                <w:color w:val="FFFFFF" w:themeColor="background1"/>
                <w:szCs w:val="17"/>
                <w:lang w:eastAsia="en-US"/>
              </w:rPr>
            </w:pPr>
            <w:r w:rsidRPr="003F155C">
              <w:rPr>
                <w:rFonts w:eastAsia="Times New Roman" w:cstheme="minorHAnsi"/>
                <w:iCs/>
                <w:color w:val="FFFFFF" w:themeColor="background1"/>
                <w:szCs w:val="17"/>
              </w:rPr>
              <w:t>Achieved</w:t>
            </w:r>
            <w:r w:rsidRPr="00430439">
              <w:rPr>
                <w:rFonts w:eastAsia="Times New Roman" w:cstheme="minorHAnsi"/>
                <w:iCs/>
                <w:color w:val="FFFFFF" w:themeColor="background1"/>
                <w:szCs w:val="17"/>
              </w:rPr>
              <w:fldChar w:fldCharType="begin"/>
            </w:r>
            <w:r w:rsidRPr="00430439">
              <w:rPr>
                <w:rFonts w:eastAsia="Times New Roman" w:cstheme="minorHAnsi"/>
                <w:iCs/>
                <w:color w:val="FFFFFF" w:themeColor="background1"/>
                <w:szCs w:val="17"/>
              </w:rPr>
              <w:instrText xml:space="preserve"> AUTOTEXTLIST  \s "Rating bullet"\t "Right click to choose a rating" \* MERGEFORMAT </w:instrText>
            </w:r>
            <w:r w:rsidRPr="00430439">
              <w:rPr>
                <w:rFonts w:eastAsia="Times New Roman" w:cstheme="minorHAnsi"/>
                <w:iCs/>
                <w:color w:val="FFFFFF" w:themeColor="background1"/>
                <w:szCs w:val="17"/>
              </w:rPr>
              <w:fldChar w:fldCharType="end"/>
            </w:r>
          </w:p>
        </w:tc>
        <w:tc>
          <w:tcPr>
            <w:tcW w:w="6829" w:type="dxa"/>
            <w:tcBorders>
              <w:top w:val="single" w:sz="4" w:space="0" w:color="auto"/>
              <w:left w:val="single" w:sz="4" w:space="0" w:color="auto"/>
              <w:bottom w:val="single" w:sz="4" w:space="0" w:color="auto"/>
            </w:tcBorders>
          </w:tcPr>
          <w:p w:rsidR="001B21A2" w:rsidRPr="00430439" w:rsidRDefault="001B21A2" w:rsidP="00FB6737">
            <w:pPr>
              <w:keepLines/>
              <w:spacing w:before="40" w:after="40" w:line="200" w:lineRule="atLeast"/>
              <w:rPr>
                <w:rFonts w:asciiTheme="minorHAnsi" w:hAnsiTheme="minorHAnsi" w:cstheme="minorHAnsi"/>
              </w:rPr>
            </w:pPr>
            <w:r w:rsidRPr="003F155C">
              <w:rPr>
                <w:rFonts w:cstheme="minorHAnsi"/>
              </w:rPr>
              <w:t xml:space="preserve">Full implementation of </w:t>
            </w:r>
            <w:r w:rsidRPr="003F155C">
              <w:rPr>
                <w:rFonts w:cstheme="minorHAnsi"/>
                <w:i/>
              </w:rPr>
              <w:t>Australia’s Support to Fiji’s Education Sector</w:t>
            </w:r>
            <w:r w:rsidRPr="00FB74A9">
              <w:rPr>
                <w:rFonts w:cstheme="minorHAnsi"/>
              </w:rPr>
              <w:t xml:space="preserve"> co</w:t>
            </w:r>
            <w:r w:rsidRPr="00430439">
              <w:rPr>
                <w:rFonts w:cstheme="minorHAnsi"/>
              </w:rPr>
              <w:t xml:space="preserve">mmenced in November 2018.  </w:t>
            </w:r>
          </w:p>
        </w:tc>
      </w:tr>
      <w:tr w:rsidR="001B21A2" w:rsidRPr="007F2264" w:rsidTr="001B21A2">
        <w:trPr>
          <w:cnfStyle w:val="000000010000" w:firstRow="0" w:lastRow="0" w:firstColumn="0" w:lastColumn="0" w:oddVBand="0" w:evenVBand="0" w:oddHBand="0" w:evenHBand="1" w:firstRowFirstColumn="0" w:firstRowLastColumn="0" w:lastRowFirstColumn="0" w:lastRowLastColumn="0"/>
        </w:trPr>
        <w:tc>
          <w:tcPr>
            <w:tcW w:w="6409" w:type="dxa"/>
            <w:tcBorders>
              <w:top w:val="single" w:sz="4" w:space="0" w:color="auto"/>
              <w:bottom w:val="single" w:sz="4" w:space="0" w:color="auto"/>
              <w:right w:val="single" w:sz="4" w:space="0" w:color="auto"/>
            </w:tcBorders>
          </w:tcPr>
          <w:p w:rsidR="001B21A2" w:rsidRPr="003F155C" w:rsidRDefault="001B21A2" w:rsidP="00FB6737">
            <w:pPr>
              <w:keepLines/>
              <w:spacing w:before="40" w:after="40" w:line="200" w:lineRule="atLeast"/>
              <w:rPr>
                <w:rFonts w:asciiTheme="minorHAnsi" w:eastAsia="Times New Roman" w:hAnsiTheme="minorHAnsi" w:cstheme="minorHAnsi"/>
                <w:iCs/>
                <w:szCs w:val="17"/>
                <w:lang w:eastAsia="en-US"/>
              </w:rPr>
            </w:pPr>
            <w:r w:rsidRPr="00FF5460">
              <w:rPr>
                <w:rFonts w:cstheme="minorHAnsi"/>
              </w:rPr>
              <w:t xml:space="preserve">3. Take appropriate steps to ensure progress of the final phase of </w:t>
            </w:r>
            <w:r w:rsidR="000314F8">
              <w:rPr>
                <w:rFonts w:cstheme="minorHAnsi"/>
              </w:rPr>
              <w:t>DFAT</w:t>
            </w:r>
            <w:r w:rsidRPr="00FF5460">
              <w:rPr>
                <w:rFonts w:cstheme="minorHAnsi"/>
              </w:rPr>
              <w:t>-TC Winston reconstruction, enabling completion i</w:t>
            </w:r>
            <w:r w:rsidRPr="003F155C">
              <w:rPr>
                <w:rFonts w:cstheme="minorHAnsi"/>
              </w:rPr>
              <w:t>n 2019.</w:t>
            </w:r>
          </w:p>
        </w:tc>
        <w:tc>
          <w:tcPr>
            <w:tcW w:w="1170" w:type="dxa"/>
            <w:tcBorders>
              <w:top w:val="single" w:sz="4" w:space="0" w:color="auto"/>
              <w:left w:val="single" w:sz="4" w:space="0" w:color="auto"/>
              <w:bottom w:val="single" w:sz="4" w:space="0" w:color="auto"/>
              <w:right w:val="single" w:sz="4" w:space="0" w:color="auto"/>
            </w:tcBorders>
            <w:shd w:val="clear" w:color="auto" w:fill="D3875F" w:themeFill="accent2"/>
          </w:tcPr>
          <w:p w:rsidR="001B21A2" w:rsidRPr="00430439" w:rsidRDefault="001B21A2" w:rsidP="00FB6737">
            <w:pPr>
              <w:keepLines/>
              <w:spacing w:before="40" w:after="40" w:line="200" w:lineRule="atLeast"/>
              <w:jc w:val="center"/>
              <w:rPr>
                <w:rFonts w:asciiTheme="minorHAnsi" w:eastAsia="Times New Roman" w:hAnsiTheme="minorHAnsi" w:cstheme="minorHAnsi"/>
                <w:iCs/>
                <w:color w:val="FFFFFF" w:themeColor="background1"/>
                <w:szCs w:val="17"/>
                <w:lang w:eastAsia="en-US"/>
              </w:rPr>
            </w:pPr>
            <w:r w:rsidRPr="00FB74A9">
              <w:rPr>
                <w:rFonts w:eastAsia="Times New Roman" w:cstheme="minorHAnsi"/>
                <w:iCs/>
                <w:color w:val="FFFFFF" w:themeColor="background1"/>
                <w:szCs w:val="17"/>
              </w:rPr>
              <w:t>Partly achieved</w:t>
            </w:r>
          </w:p>
        </w:tc>
        <w:tc>
          <w:tcPr>
            <w:tcW w:w="6829" w:type="dxa"/>
            <w:tcBorders>
              <w:top w:val="single" w:sz="4" w:space="0" w:color="auto"/>
              <w:left w:val="single" w:sz="4" w:space="0" w:color="auto"/>
              <w:bottom w:val="single" w:sz="4" w:space="0" w:color="auto"/>
            </w:tcBorders>
          </w:tcPr>
          <w:p w:rsidR="001B21A2" w:rsidRPr="00430439" w:rsidRDefault="001B21A2" w:rsidP="00FB6737">
            <w:pPr>
              <w:keepLines/>
              <w:spacing w:before="40" w:after="40" w:line="200" w:lineRule="atLeast"/>
              <w:rPr>
                <w:rFonts w:asciiTheme="minorHAnsi" w:eastAsia="Times New Roman" w:hAnsiTheme="minorHAnsi" w:cstheme="minorHAnsi"/>
                <w:iCs/>
                <w:color w:val="92D050"/>
                <w:szCs w:val="17"/>
                <w:lang w:eastAsia="en-US"/>
              </w:rPr>
            </w:pPr>
            <w:r w:rsidRPr="00430439">
              <w:rPr>
                <w:rFonts w:cstheme="minorHAnsi"/>
              </w:rPr>
              <w:t xml:space="preserve">All schools have been completed. The last five schools (in Koro) will be handed over to the </w:t>
            </w:r>
            <w:r w:rsidR="00D25DA0" w:rsidRPr="00430439">
              <w:rPr>
                <w:rFonts w:cstheme="minorHAnsi"/>
              </w:rPr>
              <w:t>GoF</w:t>
            </w:r>
            <w:r w:rsidRPr="00430439">
              <w:rPr>
                <w:rFonts w:cstheme="minorHAnsi"/>
              </w:rPr>
              <w:t xml:space="preserve"> by the end of 2019.</w:t>
            </w:r>
          </w:p>
        </w:tc>
      </w:tr>
      <w:tr w:rsidR="001B21A2" w:rsidRPr="007F2264" w:rsidTr="001B21A2">
        <w:trPr>
          <w:cnfStyle w:val="000000010000" w:firstRow="0" w:lastRow="0" w:firstColumn="0" w:lastColumn="0" w:oddVBand="0" w:evenVBand="0" w:oddHBand="0" w:evenHBand="1" w:firstRowFirstColumn="0" w:firstRowLastColumn="0" w:lastRowFirstColumn="0" w:lastRowLastColumn="0"/>
        </w:trPr>
        <w:tc>
          <w:tcPr>
            <w:tcW w:w="6409" w:type="dxa"/>
            <w:tcBorders>
              <w:top w:val="single" w:sz="4" w:space="0" w:color="auto"/>
              <w:bottom w:val="single" w:sz="4" w:space="0" w:color="auto"/>
              <w:right w:val="single" w:sz="4" w:space="0" w:color="auto"/>
            </w:tcBorders>
          </w:tcPr>
          <w:p w:rsidR="001B21A2" w:rsidRPr="00430439" w:rsidRDefault="001B21A2" w:rsidP="00FB6737">
            <w:pPr>
              <w:keepLines/>
              <w:spacing w:before="40" w:after="40" w:line="200" w:lineRule="atLeast"/>
              <w:rPr>
                <w:rFonts w:asciiTheme="minorHAnsi" w:eastAsia="Times New Roman" w:hAnsiTheme="minorHAnsi" w:cstheme="minorHAnsi"/>
                <w:iCs/>
                <w:szCs w:val="17"/>
                <w:lang w:eastAsia="en-US"/>
              </w:rPr>
            </w:pPr>
            <w:r w:rsidRPr="00FF5460">
              <w:rPr>
                <w:rFonts w:cstheme="minorHAnsi"/>
              </w:rPr>
              <w:t xml:space="preserve">4. We will develop a new Aid Investment Plan for 2019-23 with the </w:t>
            </w:r>
            <w:r w:rsidR="006358AA" w:rsidRPr="003F155C">
              <w:rPr>
                <w:rFonts w:cstheme="minorHAnsi"/>
              </w:rPr>
              <w:t>GoF</w:t>
            </w:r>
            <w:r w:rsidRPr="003F155C">
              <w:rPr>
                <w:rFonts w:cstheme="minorHAnsi"/>
              </w:rPr>
              <w:t>.  The new plan will reflect Australian Government priorities in the Pacific and be aligned closely with Fiji’s NDP.  It will include a robust and focused PAF for measuring progress.  The</w:t>
            </w:r>
            <w:r w:rsidRPr="00FB74A9">
              <w:rPr>
                <w:rFonts w:cstheme="minorHAnsi"/>
              </w:rPr>
              <w:t xml:space="preserve"> size and mix of Australia’s investments will be appropriate to the context, taking into account Fiji’s status as an upper middle-income country where aid is only a small portion of the national budget</w:t>
            </w:r>
          </w:p>
        </w:tc>
        <w:tc>
          <w:tcPr>
            <w:tcW w:w="1170" w:type="dxa"/>
            <w:tcBorders>
              <w:top w:val="single" w:sz="4" w:space="0" w:color="auto"/>
              <w:left w:val="single" w:sz="4" w:space="0" w:color="auto"/>
              <w:bottom w:val="single" w:sz="4" w:space="0" w:color="auto"/>
              <w:right w:val="single" w:sz="4" w:space="0" w:color="auto"/>
            </w:tcBorders>
            <w:shd w:val="clear" w:color="auto" w:fill="D3875F" w:themeFill="accent2"/>
          </w:tcPr>
          <w:p w:rsidR="001B21A2" w:rsidRPr="00430439" w:rsidRDefault="001B21A2" w:rsidP="00FB6737">
            <w:pPr>
              <w:keepLines/>
              <w:spacing w:before="40" w:after="40" w:line="200" w:lineRule="atLeast"/>
              <w:jc w:val="center"/>
              <w:rPr>
                <w:rFonts w:asciiTheme="minorHAnsi" w:eastAsia="Times New Roman" w:hAnsiTheme="minorHAnsi" w:cstheme="minorHAnsi"/>
                <w:iCs/>
                <w:color w:val="FFFFFF" w:themeColor="background1"/>
                <w:szCs w:val="17"/>
                <w:lang w:eastAsia="en-US"/>
              </w:rPr>
            </w:pPr>
            <w:r w:rsidRPr="00430439">
              <w:rPr>
                <w:rFonts w:eastAsia="Times New Roman" w:cstheme="minorHAnsi"/>
                <w:iCs/>
                <w:color w:val="FFFFFF" w:themeColor="background1"/>
                <w:szCs w:val="17"/>
              </w:rPr>
              <w:t>Partly achieved</w:t>
            </w:r>
          </w:p>
        </w:tc>
        <w:tc>
          <w:tcPr>
            <w:tcW w:w="6829" w:type="dxa"/>
            <w:tcBorders>
              <w:top w:val="single" w:sz="4" w:space="0" w:color="auto"/>
              <w:left w:val="single" w:sz="4" w:space="0" w:color="auto"/>
              <w:bottom w:val="single" w:sz="4" w:space="0" w:color="auto"/>
            </w:tcBorders>
          </w:tcPr>
          <w:p w:rsidR="001B21A2" w:rsidRPr="00430439" w:rsidRDefault="001B21A2" w:rsidP="00FB6737">
            <w:pPr>
              <w:keepLines/>
              <w:spacing w:before="40" w:after="40" w:line="200" w:lineRule="atLeast"/>
              <w:rPr>
                <w:rFonts w:asciiTheme="minorHAnsi" w:eastAsia="Times New Roman" w:hAnsiTheme="minorHAnsi" w:cstheme="minorHAnsi"/>
                <w:iCs/>
                <w:color w:val="409F68" w:themeColor="accent6"/>
                <w:szCs w:val="17"/>
                <w:lang w:eastAsia="en-US"/>
              </w:rPr>
            </w:pPr>
            <w:r w:rsidRPr="00430439">
              <w:rPr>
                <w:rFonts w:cstheme="minorHAnsi"/>
              </w:rPr>
              <w:t xml:space="preserve">Work on the new Aid Investment Plan (AIP) is well underway, including initial consultations with the </w:t>
            </w:r>
            <w:r w:rsidR="006358AA" w:rsidRPr="00430439">
              <w:rPr>
                <w:rFonts w:cstheme="minorHAnsi"/>
              </w:rPr>
              <w:t>GoF</w:t>
            </w:r>
            <w:r w:rsidRPr="00430439">
              <w:rPr>
                <w:rFonts w:cstheme="minorHAnsi"/>
              </w:rPr>
              <w:t>. The AIP will be finalised in 2019.</w:t>
            </w:r>
          </w:p>
        </w:tc>
      </w:tr>
      <w:tr w:rsidR="001B21A2" w:rsidRPr="007F2264" w:rsidTr="001B21A2">
        <w:trPr>
          <w:cnfStyle w:val="000000010000" w:firstRow="0" w:lastRow="0" w:firstColumn="0" w:lastColumn="0" w:oddVBand="0" w:evenVBand="0" w:oddHBand="0" w:evenHBand="1" w:firstRowFirstColumn="0" w:firstRowLastColumn="0" w:lastRowFirstColumn="0" w:lastRowLastColumn="0"/>
        </w:trPr>
        <w:tc>
          <w:tcPr>
            <w:tcW w:w="6409" w:type="dxa"/>
            <w:tcBorders>
              <w:top w:val="single" w:sz="4" w:space="0" w:color="auto"/>
              <w:bottom w:val="single" w:sz="4" w:space="0" w:color="auto"/>
              <w:right w:val="single" w:sz="4" w:space="0" w:color="auto"/>
            </w:tcBorders>
          </w:tcPr>
          <w:p w:rsidR="001B21A2" w:rsidRPr="00430439" w:rsidRDefault="001B21A2" w:rsidP="00FB6737">
            <w:pPr>
              <w:keepLines/>
              <w:spacing w:before="40" w:after="40" w:line="200" w:lineRule="atLeast"/>
              <w:rPr>
                <w:rFonts w:asciiTheme="minorHAnsi" w:eastAsia="Times New Roman" w:hAnsiTheme="minorHAnsi" w:cstheme="minorHAnsi"/>
                <w:iCs/>
                <w:szCs w:val="17"/>
                <w:lang w:eastAsia="en-US"/>
              </w:rPr>
            </w:pPr>
            <w:r w:rsidRPr="00FF5460">
              <w:rPr>
                <w:rFonts w:cstheme="minorHAnsi"/>
              </w:rPr>
              <w:t>5. Take ste</w:t>
            </w:r>
            <w:r w:rsidRPr="003F155C">
              <w:rPr>
                <w:rFonts w:cstheme="minorHAnsi"/>
              </w:rPr>
              <w:t>ps to ensure the Facility remains on track to achieve program outcomes and provides timely and credible reporting on progress.  DFAT and the Facility contractor will agree more precise definitions of, and ways to measure, the change to be achieved by the Facility; and clarify roles and responsibilities between DFAT and the Facility.   There will be an indep</w:t>
            </w:r>
            <w:r w:rsidRPr="00FB74A9">
              <w:rPr>
                <w:rFonts w:cstheme="minorHAnsi"/>
              </w:rPr>
              <w:t>ende</w:t>
            </w:r>
            <w:r w:rsidRPr="00430439">
              <w:rPr>
                <w:rFonts w:cstheme="minorHAnsi"/>
              </w:rPr>
              <w:t>nt mid-term review of the Facility’s progress in 2019</w:t>
            </w:r>
          </w:p>
        </w:tc>
        <w:tc>
          <w:tcPr>
            <w:tcW w:w="1170" w:type="dxa"/>
            <w:tcBorders>
              <w:top w:val="single" w:sz="4" w:space="0" w:color="auto"/>
              <w:left w:val="single" w:sz="4" w:space="0" w:color="auto"/>
              <w:bottom w:val="single" w:sz="4" w:space="0" w:color="auto"/>
              <w:right w:val="single" w:sz="4" w:space="0" w:color="auto"/>
            </w:tcBorders>
            <w:shd w:val="clear" w:color="auto" w:fill="D3875F" w:themeFill="accent2"/>
          </w:tcPr>
          <w:p w:rsidR="001B21A2" w:rsidRPr="00430439" w:rsidRDefault="001B21A2" w:rsidP="00FB6737">
            <w:pPr>
              <w:keepLines/>
              <w:spacing w:before="40" w:after="40" w:line="200" w:lineRule="atLeast"/>
              <w:jc w:val="center"/>
              <w:rPr>
                <w:rFonts w:asciiTheme="minorHAnsi" w:eastAsia="Times New Roman" w:hAnsiTheme="minorHAnsi" w:cstheme="minorHAnsi"/>
                <w:iCs/>
                <w:color w:val="FFFFFF" w:themeColor="background1"/>
                <w:szCs w:val="17"/>
                <w:lang w:eastAsia="en-US"/>
              </w:rPr>
            </w:pPr>
            <w:r w:rsidRPr="00430439">
              <w:rPr>
                <w:rFonts w:eastAsia="Times New Roman" w:cstheme="minorHAnsi"/>
                <w:iCs/>
                <w:color w:val="FFFFFF" w:themeColor="background1"/>
                <w:szCs w:val="17"/>
              </w:rPr>
              <w:t>Partly achieved</w:t>
            </w:r>
          </w:p>
        </w:tc>
        <w:tc>
          <w:tcPr>
            <w:tcW w:w="6829" w:type="dxa"/>
            <w:tcBorders>
              <w:top w:val="single" w:sz="4" w:space="0" w:color="auto"/>
              <w:left w:val="single" w:sz="4" w:space="0" w:color="auto"/>
              <w:bottom w:val="single" w:sz="4" w:space="0" w:color="auto"/>
            </w:tcBorders>
          </w:tcPr>
          <w:p w:rsidR="001B21A2" w:rsidRPr="00430439" w:rsidRDefault="001B21A2" w:rsidP="00EF6EB9">
            <w:pPr>
              <w:keepLines/>
              <w:spacing w:before="40" w:after="40" w:line="200" w:lineRule="atLeast"/>
              <w:rPr>
                <w:rFonts w:asciiTheme="minorHAnsi" w:eastAsia="Times New Roman" w:hAnsiTheme="minorHAnsi" w:cstheme="minorHAnsi"/>
                <w:iCs/>
                <w:color w:val="409F68" w:themeColor="accent6"/>
                <w:szCs w:val="17"/>
                <w:lang w:eastAsia="en-US"/>
              </w:rPr>
            </w:pPr>
            <w:r w:rsidRPr="00430439">
              <w:rPr>
                <w:rFonts w:cstheme="minorHAnsi"/>
              </w:rPr>
              <w:t xml:space="preserve">The Facility has met the majority of agreed outcomes, verified by timely and credible reporting. DFAT and the Facility have agreed a number of more precise ways to measure the change to be achieved by the Facility with reporting on these changes to commence in 2019-20. Roles and responsibilities have been clarified and agreed in a series of DFAT/Facility governance meetings.  A mid-term review of the Facility will </w:t>
            </w:r>
            <w:r w:rsidR="005B53E5" w:rsidRPr="00430439">
              <w:rPr>
                <w:rFonts w:cstheme="minorHAnsi"/>
              </w:rPr>
              <w:t>be complete in late 2019.</w:t>
            </w:r>
          </w:p>
        </w:tc>
      </w:tr>
      <w:tr w:rsidR="001B21A2" w:rsidRPr="007F2264" w:rsidTr="00FB6737">
        <w:trPr>
          <w:cnfStyle w:val="000000010000" w:firstRow="0" w:lastRow="0" w:firstColumn="0" w:lastColumn="0" w:oddVBand="0" w:evenVBand="0" w:oddHBand="0" w:evenHBand="1" w:firstRowFirstColumn="0" w:firstRowLastColumn="0" w:lastRowFirstColumn="0" w:lastRowLastColumn="0"/>
        </w:trPr>
        <w:tc>
          <w:tcPr>
            <w:tcW w:w="6409" w:type="dxa"/>
            <w:tcBorders>
              <w:top w:val="single" w:sz="4" w:space="0" w:color="auto"/>
              <w:bottom w:val="single" w:sz="4" w:space="0" w:color="auto"/>
              <w:right w:val="single" w:sz="4" w:space="0" w:color="auto"/>
            </w:tcBorders>
          </w:tcPr>
          <w:p w:rsidR="001B21A2" w:rsidRPr="00430439" w:rsidRDefault="001B21A2" w:rsidP="00FB6737">
            <w:pPr>
              <w:keepLines/>
              <w:spacing w:before="40" w:after="40" w:line="200" w:lineRule="atLeast"/>
              <w:rPr>
                <w:rFonts w:asciiTheme="minorHAnsi" w:hAnsiTheme="minorHAnsi" w:cstheme="minorHAnsi"/>
              </w:rPr>
            </w:pPr>
            <w:r w:rsidRPr="00FF5460">
              <w:rPr>
                <w:rFonts w:cstheme="minorHAnsi"/>
              </w:rPr>
              <w:t xml:space="preserve">6. Engage with program partners to ensure they prioritise the collection of credible performance information (particularly at the outcomes level) </w:t>
            </w:r>
            <w:r w:rsidRPr="003F155C">
              <w:rPr>
                <w:rFonts w:cstheme="minorHAnsi"/>
              </w:rPr>
              <w:t xml:space="preserve">and communicate it accurately.  Continue to build the capacity of DFAT staff to undertake, or provide oversight of, monitoring and evaluation of aid activities in Fiji and ensure that the information collected is used to strengthen program performance.   </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1B21A2" w:rsidRPr="00430439" w:rsidRDefault="001B21A2" w:rsidP="00FB6737">
            <w:pPr>
              <w:keepLines/>
              <w:spacing w:before="40" w:after="40" w:line="200" w:lineRule="atLeast"/>
              <w:jc w:val="center"/>
              <w:rPr>
                <w:rFonts w:asciiTheme="minorHAnsi" w:eastAsia="Times New Roman" w:hAnsiTheme="minorHAnsi" w:cstheme="minorHAnsi"/>
                <w:iCs/>
                <w:color w:val="FFFFFF" w:themeColor="background1"/>
                <w:szCs w:val="17"/>
              </w:rPr>
            </w:pPr>
            <w:r w:rsidRPr="00FF5460">
              <w:rPr>
                <w:rFonts w:eastAsia="Times New Roman" w:cstheme="minorHAnsi"/>
                <w:iCs/>
                <w:color w:val="FFFFFF" w:themeColor="background1"/>
                <w:szCs w:val="17"/>
              </w:rPr>
              <w:t>Achieved</w:t>
            </w:r>
          </w:p>
        </w:tc>
        <w:tc>
          <w:tcPr>
            <w:tcW w:w="6829" w:type="dxa"/>
            <w:tcBorders>
              <w:top w:val="single" w:sz="4" w:space="0" w:color="auto"/>
              <w:left w:val="single" w:sz="4" w:space="0" w:color="auto"/>
              <w:bottom w:val="single" w:sz="4" w:space="0" w:color="auto"/>
            </w:tcBorders>
          </w:tcPr>
          <w:p w:rsidR="001B21A2" w:rsidRPr="00430439" w:rsidRDefault="001B21A2" w:rsidP="00FB6737">
            <w:pPr>
              <w:keepLines/>
              <w:spacing w:before="40" w:after="40" w:line="200" w:lineRule="atLeast"/>
              <w:rPr>
                <w:rFonts w:asciiTheme="minorHAnsi" w:hAnsiTheme="minorHAnsi" w:cstheme="minorHAnsi"/>
              </w:rPr>
            </w:pPr>
            <w:r w:rsidRPr="00FF5460">
              <w:rPr>
                <w:rFonts w:cstheme="minorHAnsi"/>
              </w:rPr>
              <w:t>DFAT have engaged additional technical expertise to help develop appropriate monitoring and evaluation tools and to upskill DFAT staff to undertake and provide oversight of monitoring and evaluating activities. This remains an area where ongoing s</w:t>
            </w:r>
            <w:r w:rsidRPr="003F155C">
              <w:rPr>
                <w:rFonts w:cstheme="minorHAnsi"/>
              </w:rPr>
              <w:t xml:space="preserve">trengthening will be beneficial. </w:t>
            </w:r>
          </w:p>
        </w:tc>
      </w:tr>
    </w:tbl>
    <w:p w:rsidR="001B21A2" w:rsidRPr="00812509" w:rsidRDefault="001B21A2" w:rsidP="001B21A2">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1B21A2" w:rsidRPr="00812509" w:rsidRDefault="001B21A2" w:rsidP="001B21A2">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1B21A2" w:rsidRPr="00812509" w:rsidRDefault="001B21A2" w:rsidP="001B21A2">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1B21A2" w:rsidRPr="00812509" w:rsidRDefault="001B21A2" w:rsidP="001B21A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1B21A2" w:rsidRPr="00C61187" w:rsidRDefault="001B21A2" w:rsidP="001B21A2">
      <w:pPr>
        <w:spacing w:after="160" w:line="280" w:lineRule="exact"/>
        <w:rPr>
          <w:rFonts w:ascii="Franklin Gothic Book" w:eastAsia="Times New Roman" w:hAnsi="Franklin Gothic Book"/>
          <w:sz w:val="21"/>
        </w:rPr>
      </w:pPr>
    </w:p>
    <w:p w:rsidR="00060268" w:rsidRDefault="00060268" w:rsidP="002A51CA"/>
    <w:p w:rsidR="00060268" w:rsidRDefault="00060268" w:rsidP="002A51CA"/>
    <w:p w:rsidR="00033AB7" w:rsidRPr="008821C2" w:rsidRDefault="002A51CA" w:rsidP="008821C2">
      <w:pPr>
        <w:pStyle w:val="Subtitle"/>
        <w:numPr>
          <w:ilvl w:val="0"/>
          <w:numId w:val="0"/>
        </w:numPr>
        <w:spacing w:before="360" w:after="120" w:line="300" w:lineRule="exact"/>
        <w:rPr>
          <w:rFonts w:asciiTheme="majorHAnsi" w:hAnsiTheme="majorHAnsi" w:cstheme="majorHAnsi"/>
        </w:rPr>
      </w:pPr>
      <w:r w:rsidRPr="008821C2">
        <w:rPr>
          <w:rFonts w:asciiTheme="majorHAnsi" w:eastAsia="Times New Roman" w:hAnsiTheme="majorHAnsi" w:cstheme="majorHAnsi"/>
          <w:sz w:val="21"/>
        </w:rPr>
        <w:lastRenderedPageBreak/>
        <w:t xml:space="preserve"> </w:t>
      </w:r>
      <w:r w:rsidR="00400B0F" w:rsidRPr="008821C2">
        <w:rPr>
          <w:rFonts w:asciiTheme="majorHAnsi" w:hAnsiTheme="majorHAnsi" w:cstheme="majorHAnsi"/>
        </w:rPr>
        <w:t xml:space="preserve">Annex B </w:t>
      </w:r>
      <w:r w:rsidR="00033AB7" w:rsidRPr="008821C2">
        <w:rPr>
          <w:rFonts w:asciiTheme="majorHAnsi" w:hAnsiTheme="majorHAnsi" w:cstheme="majorHAnsi"/>
        </w:rPr>
        <w:t>–</w:t>
      </w:r>
      <w:r w:rsidR="00400B0F" w:rsidRPr="008821C2">
        <w:rPr>
          <w:rFonts w:asciiTheme="majorHAnsi" w:hAnsiTheme="majorHAnsi" w:cstheme="majorHAnsi"/>
        </w:rPr>
        <w:t xml:space="preserve"> </w:t>
      </w:r>
      <w:r w:rsidR="00033AB7" w:rsidRPr="008821C2">
        <w:rPr>
          <w:rFonts w:asciiTheme="majorHAnsi" w:hAnsiTheme="majorHAnsi" w:cstheme="majorHAnsi"/>
        </w:rPr>
        <w:t>PERFORMANCE BENCHMARKS</w:t>
      </w:r>
    </w:p>
    <w:p w:rsidR="008821C2" w:rsidRPr="00F8189A" w:rsidRDefault="008821C2" w:rsidP="008821C2">
      <w:pPr>
        <w:rPr>
          <w:rFonts w:eastAsia="Times New Roman" w:cstheme="minorHAnsi"/>
          <w:sz w:val="32"/>
          <w:szCs w:val="32"/>
        </w:rPr>
      </w:pPr>
      <w:r>
        <w:rPr>
          <w:rFonts w:eastAsia="Times New Roman" w:cstheme="minorHAnsi"/>
          <w:sz w:val="32"/>
          <w:szCs w:val="32"/>
        </w:rPr>
        <w:t xml:space="preserve">1 </w:t>
      </w:r>
      <w:r w:rsidRPr="00F8189A">
        <w:rPr>
          <w:rFonts w:eastAsia="Times New Roman" w:cstheme="minorHAnsi"/>
          <w:sz w:val="32"/>
          <w:szCs w:val="32"/>
        </w:rPr>
        <w:t>Progress towards Performance Benchmarks in 2018-19</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962DC8" w:rsidRPr="00430439" w:rsidRDefault="00962DC8" w:rsidP="00962DC8">
      <w:pPr>
        <w:rPr>
          <w:rFonts w:cstheme="minorHAnsi"/>
          <w:sz w:val="17"/>
          <w:szCs w:val="17"/>
        </w:rPr>
      </w:pPr>
      <w:r w:rsidRPr="00430439">
        <w:rPr>
          <w:rFonts w:cstheme="minorHAnsi"/>
          <w:sz w:val="17"/>
          <w:szCs w:val="17"/>
        </w:rPr>
        <w:t>Progress towards Performance Benchmarks in 2018 -19</w:t>
      </w:r>
    </w:p>
    <w:tbl>
      <w:tblPr>
        <w:tblStyle w:val="TableGrid"/>
        <w:tblW w:w="14454" w:type="dxa"/>
        <w:tblLook w:val="04A0" w:firstRow="1" w:lastRow="0" w:firstColumn="1" w:lastColumn="0" w:noHBand="0" w:noVBand="1"/>
      </w:tblPr>
      <w:tblGrid>
        <w:gridCol w:w="2254"/>
        <w:gridCol w:w="5112"/>
        <w:gridCol w:w="1418"/>
        <w:gridCol w:w="5670"/>
      </w:tblGrid>
      <w:tr w:rsidR="00C74569" w:rsidRPr="007F2264" w:rsidTr="00A3292B">
        <w:tc>
          <w:tcPr>
            <w:tcW w:w="2254" w:type="dxa"/>
          </w:tcPr>
          <w:p w:rsidR="00C74569" w:rsidRPr="00430439" w:rsidRDefault="00C74569" w:rsidP="00A3292B">
            <w:pPr>
              <w:rPr>
                <w:rFonts w:cstheme="minorHAnsi"/>
                <w:b/>
                <w:sz w:val="17"/>
                <w:szCs w:val="17"/>
              </w:rPr>
            </w:pPr>
            <w:r w:rsidRPr="00430439">
              <w:rPr>
                <w:rFonts w:cstheme="minorHAnsi"/>
                <w:b/>
                <w:sz w:val="17"/>
                <w:szCs w:val="17"/>
              </w:rPr>
              <w:t>Aid Objective</w:t>
            </w:r>
          </w:p>
        </w:tc>
        <w:tc>
          <w:tcPr>
            <w:tcW w:w="5112" w:type="dxa"/>
          </w:tcPr>
          <w:p w:rsidR="00C74569" w:rsidRPr="00430439" w:rsidRDefault="00C74569" w:rsidP="00A3292B">
            <w:pPr>
              <w:rPr>
                <w:rFonts w:cstheme="minorHAnsi"/>
                <w:b/>
                <w:sz w:val="17"/>
                <w:szCs w:val="17"/>
              </w:rPr>
            </w:pPr>
            <w:r w:rsidRPr="00430439">
              <w:rPr>
                <w:rFonts w:cstheme="minorHAnsi"/>
                <w:b/>
                <w:sz w:val="17"/>
                <w:szCs w:val="17"/>
              </w:rPr>
              <w:t>Performance Benchmark</w:t>
            </w:r>
          </w:p>
        </w:tc>
        <w:tc>
          <w:tcPr>
            <w:tcW w:w="1418" w:type="dxa"/>
          </w:tcPr>
          <w:p w:rsidR="00C74569" w:rsidRPr="00430439" w:rsidRDefault="00C74569" w:rsidP="00A3292B">
            <w:pPr>
              <w:rPr>
                <w:rFonts w:cstheme="minorHAnsi"/>
                <w:b/>
                <w:sz w:val="17"/>
                <w:szCs w:val="17"/>
              </w:rPr>
            </w:pPr>
            <w:r w:rsidRPr="00430439">
              <w:rPr>
                <w:rFonts w:cstheme="minorHAnsi"/>
                <w:b/>
                <w:sz w:val="17"/>
                <w:szCs w:val="17"/>
              </w:rPr>
              <w:t>Rating</w:t>
            </w:r>
          </w:p>
        </w:tc>
        <w:tc>
          <w:tcPr>
            <w:tcW w:w="5670" w:type="dxa"/>
          </w:tcPr>
          <w:p w:rsidR="00C74569" w:rsidRPr="00430439" w:rsidRDefault="00C74569" w:rsidP="00A3292B">
            <w:pPr>
              <w:rPr>
                <w:rFonts w:cstheme="minorHAnsi"/>
                <w:b/>
                <w:sz w:val="17"/>
                <w:szCs w:val="17"/>
              </w:rPr>
            </w:pPr>
            <w:r w:rsidRPr="00430439">
              <w:rPr>
                <w:rFonts w:cstheme="minorHAnsi"/>
                <w:b/>
                <w:sz w:val="17"/>
                <w:szCs w:val="17"/>
              </w:rPr>
              <w:t>Progress in 2018 -19</w:t>
            </w:r>
          </w:p>
        </w:tc>
      </w:tr>
      <w:tr w:rsidR="00C74569" w:rsidRPr="007F2264" w:rsidTr="00A3292B">
        <w:tc>
          <w:tcPr>
            <w:tcW w:w="2254" w:type="dxa"/>
          </w:tcPr>
          <w:p w:rsidR="00C74569" w:rsidRPr="00430439" w:rsidRDefault="00C74569" w:rsidP="00A3292B">
            <w:pPr>
              <w:rPr>
                <w:rFonts w:cstheme="minorHAnsi"/>
                <w:sz w:val="17"/>
                <w:szCs w:val="17"/>
              </w:rPr>
            </w:pPr>
            <w:r w:rsidRPr="00430439">
              <w:rPr>
                <w:rFonts w:cstheme="minorHAnsi"/>
                <w:sz w:val="17"/>
                <w:szCs w:val="17"/>
              </w:rPr>
              <w:t>Increase Private Sector Development</w:t>
            </w:r>
          </w:p>
        </w:tc>
        <w:tc>
          <w:tcPr>
            <w:tcW w:w="5112" w:type="dxa"/>
          </w:tcPr>
          <w:p w:rsidR="00C74569" w:rsidRPr="00430439" w:rsidRDefault="00C74569" w:rsidP="00A3292B">
            <w:pPr>
              <w:rPr>
                <w:rFonts w:cstheme="minorHAnsi"/>
                <w:sz w:val="17"/>
                <w:szCs w:val="17"/>
              </w:rPr>
            </w:pPr>
            <w:r w:rsidRPr="00430439">
              <w:rPr>
                <w:rFonts w:cstheme="minorHAnsi"/>
                <w:sz w:val="17"/>
                <w:szCs w:val="17"/>
              </w:rPr>
              <w:t>New formal sector jobs created for the poor</w:t>
            </w:r>
          </w:p>
          <w:p w:rsidR="00C74569" w:rsidRPr="00430439" w:rsidRDefault="00C74569" w:rsidP="00A3292B">
            <w:pPr>
              <w:rPr>
                <w:rFonts w:cstheme="minorHAnsi"/>
                <w:sz w:val="17"/>
                <w:szCs w:val="17"/>
              </w:rPr>
            </w:pPr>
          </w:p>
          <w:p w:rsidR="00C74569" w:rsidRPr="00430439" w:rsidRDefault="00C74569" w:rsidP="00A3292B">
            <w:pPr>
              <w:rPr>
                <w:rFonts w:cstheme="minorHAnsi"/>
                <w:sz w:val="17"/>
                <w:szCs w:val="17"/>
              </w:rPr>
            </w:pPr>
            <w:r w:rsidRPr="00430439">
              <w:rPr>
                <w:rFonts w:cstheme="minorHAnsi"/>
                <w:sz w:val="17"/>
                <w:szCs w:val="17"/>
              </w:rPr>
              <w:t>Target: 350</w:t>
            </w:r>
          </w:p>
        </w:tc>
        <w:tc>
          <w:tcPr>
            <w:tcW w:w="1418" w:type="dxa"/>
            <w:shd w:val="clear" w:color="auto" w:fill="00B050"/>
          </w:tcPr>
          <w:p w:rsidR="00C74569" w:rsidRPr="00BB18E3" w:rsidRDefault="00C74569" w:rsidP="00BB18E3">
            <w:pPr>
              <w:jc w:val="center"/>
              <w:rPr>
                <w:rFonts w:cstheme="minorHAnsi"/>
                <w:color w:val="auto"/>
                <w:sz w:val="17"/>
                <w:szCs w:val="17"/>
              </w:rPr>
            </w:pPr>
            <w:r w:rsidRPr="00BB18E3">
              <w:rPr>
                <w:rFonts w:cstheme="minorHAnsi"/>
                <w:color w:val="auto"/>
                <w:sz w:val="17"/>
                <w:szCs w:val="17"/>
              </w:rPr>
              <w:t>Achieved</w:t>
            </w:r>
          </w:p>
        </w:tc>
        <w:tc>
          <w:tcPr>
            <w:tcW w:w="5670" w:type="dxa"/>
          </w:tcPr>
          <w:p w:rsidR="00C74569" w:rsidRPr="00430439" w:rsidRDefault="00C74569" w:rsidP="00101EE2">
            <w:pPr>
              <w:rPr>
                <w:rFonts w:cstheme="minorHAnsi"/>
                <w:sz w:val="17"/>
                <w:szCs w:val="17"/>
              </w:rPr>
            </w:pPr>
            <w:r w:rsidRPr="00430439">
              <w:rPr>
                <w:rFonts w:cstheme="minorHAnsi"/>
                <w:sz w:val="17"/>
                <w:szCs w:val="17"/>
              </w:rPr>
              <w:t xml:space="preserve">By end of December 2018, 246 new jobs were created as a result of Australia’s aid program. This is less than the target of 350 new jobs or 70 per cent of the target. However, the additional personal income is USD13million as a result of aid program which superseded the target of UDD5million. </w:t>
            </w:r>
            <w:r w:rsidR="00101EE2">
              <w:rPr>
                <w:rFonts w:cstheme="minorHAnsi"/>
                <w:sz w:val="17"/>
                <w:szCs w:val="17"/>
              </w:rPr>
              <w:t xml:space="preserve">In addition, </w:t>
            </w:r>
            <w:r w:rsidR="00101EE2" w:rsidRPr="00430439">
              <w:rPr>
                <w:rFonts w:cstheme="minorHAnsi"/>
                <w:sz w:val="17"/>
                <w:szCs w:val="17"/>
              </w:rPr>
              <w:t xml:space="preserve"> </w:t>
            </w:r>
            <w:r w:rsidRPr="00430439">
              <w:rPr>
                <w:rFonts w:cstheme="minorHAnsi"/>
                <w:sz w:val="17"/>
                <w:szCs w:val="17"/>
              </w:rPr>
              <w:t xml:space="preserve">Fiji’s participation in the Seasonal Workers </w:t>
            </w:r>
            <w:r w:rsidR="00101EE2">
              <w:rPr>
                <w:rFonts w:cstheme="minorHAnsi"/>
                <w:sz w:val="17"/>
                <w:szCs w:val="17"/>
              </w:rPr>
              <w:t>Programme</w:t>
            </w:r>
            <w:r w:rsidR="00101EE2" w:rsidRPr="00430439">
              <w:rPr>
                <w:rFonts w:cstheme="minorHAnsi"/>
                <w:sz w:val="17"/>
                <w:szCs w:val="17"/>
              </w:rPr>
              <w:t xml:space="preserve"> </w:t>
            </w:r>
            <w:r w:rsidRPr="00430439">
              <w:rPr>
                <w:rFonts w:cstheme="minorHAnsi"/>
                <w:sz w:val="17"/>
                <w:szCs w:val="17"/>
              </w:rPr>
              <w:t xml:space="preserve">increased by 100 from 200 in </w:t>
            </w:r>
            <w:r w:rsidR="00101EE2">
              <w:rPr>
                <w:rFonts w:cstheme="minorHAnsi"/>
                <w:sz w:val="17"/>
                <w:szCs w:val="17"/>
              </w:rPr>
              <w:t>2017-18</w:t>
            </w:r>
            <w:r w:rsidRPr="00430439">
              <w:rPr>
                <w:rFonts w:cstheme="minorHAnsi"/>
                <w:sz w:val="17"/>
                <w:szCs w:val="17"/>
              </w:rPr>
              <w:t xml:space="preserve"> to 300 in </w:t>
            </w:r>
            <w:r w:rsidR="00101EE2">
              <w:rPr>
                <w:rFonts w:cstheme="minorHAnsi"/>
                <w:sz w:val="17"/>
                <w:szCs w:val="17"/>
              </w:rPr>
              <w:t>2018-19.</w:t>
            </w:r>
          </w:p>
        </w:tc>
      </w:tr>
      <w:tr w:rsidR="00C74569" w:rsidRPr="007F2264" w:rsidTr="00A3292B">
        <w:tc>
          <w:tcPr>
            <w:tcW w:w="2254" w:type="dxa"/>
          </w:tcPr>
          <w:p w:rsidR="00C74569" w:rsidRPr="00430439" w:rsidRDefault="00C74569" w:rsidP="00A3292B">
            <w:pPr>
              <w:rPr>
                <w:rFonts w:cstheme="minorHAnsi"/>
                <w:sz w:val="17"/>
                <w:szCs w:val="17"/>
              </w:rPr>
            </w:pPr>
            <w:r w:rsidRPr="00430439">
              <w:rPr>
                <w:rFonts w:cstheme="minorHAnsi"/>
                <w:sz w:val="17"/>
                <w:szCs w:val="17"/>
              </w:rPr>
              <w:t>Increase Private Sector Development</w:t>
            </w:r>
          </w:p>
        </w:tc>
        <w:tc>
          <w:tcPr>
            <w:tcW w:w="5112" w:type="dxa"/>
          </w:tcPr>
          <w:p w:rsidR="00C74569" w:rsidRPr="00430439" w:rsidRDefault="00C74569" w:rsidP="00A3292B">
            <w:pPr>
              <w:rPr>
                <w:rFonts w:cstheme="minorHAnsi"/>
                <w:sz w:val="17"/>
                <w:szCs w:val="17"/>
              </w:rPr>
            </w:pPr>
            <w:r w:rsidRPr="00430439">
              <w:rPr>
                <w:rFonts w:cstheme="minorHAnsi"/>
                <w:sz w:val="17"/>
                <w:szCs w:val="17"/>
              </w:rPr>
              <w:t>Aid budget allocated to aid for trade initiatives</w:t>
            </w:r>
          </w:p>
          <w:p w:rsidR="00C74569" w:rsidRPr="00430439" w:rsidRDefault="00C74569" w:rsidP="00A3292B">
            <w:pPr>
              <w:rPr>
                <w:rFonts w:cstheme="minorHAnsi"/>
                <w:sz w:val="17"/>
                <w:szCs w:val="17"/>
              </w:rPr>
            </w:pPr>
            <w:r w:rsidRPr="00430439">
              <w:rPr>
                <w:rFonts w:cstheme="minorHAnsi"/>
                <w:sz w:val="17"/>
                <w:szCs w:val="17"/>
              </w:rPr>
              <w:t xml:space="preserve">Target: 20 </w:t>
            </w:r>
            <w:r w:rsidR="00AE74B6">
              <w:rPr>
                <w:rFonts w:cstheme="minorHAnsi"/>
                <w:sz w:val="17"/>
                <w:szCs w:val="17"/>
              </w:rPr>
              <w:t>per cent</w:t>
            </w:r>
          </w:p>
        </w:tc>
        <w:tc>
          <w:tcPr>
            <w:tcW w:w="1418" w:type="dxa"/>
            <w:shd w:val="clear" w:color="auto" w:fill="00B050"/>
          </w:tcPr>
          <w:p w:rsidR="00C74569" w:rsidRPr="00BB18E3" w:rsidRDefault="00C74569" w:rsidP="00BB18E3">
            <w:pPr>
              <w:jc w:val="center"/>
              <w:rPr>
                <w:rFonts w:cstheme="minorHAnsi"/>
                <w:color w:val="auto"/>
                <w:sz w:val="17"/>
                <w:szCs w:val="17"/>
              </w:rPr>
            </w:pPr>
            <w:r w:rsidRPr="00BB18E3">
              <w:rPr>
                <w:rFonts w:cstheme="minorHAnsi"/>
                <w:color w:val="auto"/>
                <w:sz w:val="17"/>
                <w:szCs w:val="17"/>
              </w:rPr>
              <w:t>Achieved</w:t>
            </w:r>
          </w:p>
        </w:tc>
        <w:tc>
          <w:tcPr>
            <w:tcW w:w="5670" w:type="dxa"/>
          </w:tcPr>
          <w:p w:rsidR="00C74569" w:rsidRPr="00430439" w:rsidRDefault="00864F23" w:rsidP="00A3292B">
            <w:pPr>
              <w:rPr>
                <w:rFonts w:cstheme="minorHAnsi"/>
                <w:sz w:val="17"/>
                <w:szCs w:val="17"/>
              </w:rPr>
            </w:pPr>
            <w:r w:rsidRPr="00430439">
              <w:rPr>
                <w:rFonts w:cstheme="minorHAnsi"/>
                <w:sz w:val="17"/>
                <w:szCs w:val="17"/>
              </w:rPr>
              <w:t xml:space="preserve">In 2018-19, 22 per cent of the total aid budget was directed to aid for trade initiatives. </w:t>
            </w:r>
          </w:p>
        </w:tc>
      </w:tr>
      <w:tr w:rsidR="00C74569" w:rsidRPr="007F2264" w:rsidTr="00A3292B">
        <w:tc>
          <w:tcPr>
            <w:tcW w:w="2254" w:type="dxa"/>
          </w:tcPr>
          <w:p w:rsidR="00C74569" w:rsidRPr="00430439" w:rsidRDefault="00C74569" w:rsidP="00A3292B">
            <w:pPr>
              <w:rPr>
                <w:rFonts w:cstheme="minorHAnsi"/>
                <w:sz w:val="17"/>
                <w:szCs w:val="17"/>
              </w:rPr>
            </w:pPr>
            <w:r w:rsidRPr="00430439">
              <w:rPr>
                <w:rFonts w:cstheme="minorHAnsi"/>
                <w:sz w:val="17"/>
                <w:szCs w:val="17"/>
              </w:rPr>
              <w:t>Improved human development</w:t>
            </w:r>
          </w:p>
        </w:tc>
        <w:tc>
          <w:tcPr>
            <w:tcW w:w="5112" w:type="dxa"/>
          </w:tcPr>
          <w:p w:rsidR="00C74569" w:rsidRPr="00430439" w:rsidRDefault="00C74569" w:rsidP="00A3292B">
            <w:pPr>
              <w:rPr>
                <w:rFonts w:cstheme="minorHAnsi"/>
                <w:sz w:val="17"/>
                <w:szCs w:val="17"/>
              </w:rPr>
            </w:pPr>
            <w:r w:rsidRPr="00430439">
              <w:rPr>
                <w:rFonts w:cstheme="minorHAnsi"/>
                <w:sz w:val="17"/>
                <w:szCs w:val="17"/>
              </w:rPr>
              <w:t xml:space="preserve">Reduction in </w:t>
            </w:r>
            <w:r w:rsidR="00F1403D">
              <w:rPr>
                <w:rFonts w:cstheme="minorHAnsi"/>
                <w:sz w:val="17"/>
                <w:szCs w:val="17"/>
              </w:rPr>
              <w:t>per</w:t>
            </w:r>
            <w:r w:rsidR="00AE74B6">
              <w:rPr>
                <w:rFonts w:cstheme="minorHAnsi"/>
                <w:sz w:val="17"/>
                <w:szCs w:val="17"/>
              </w:rPr>
              <w:t>cent</w:t>
            </w:r>
            <w:r w:rsidRPr="00430439">
              <w:rPr>
                <w:rFonts w:cstheme="minorHAnsi"/>
                <w:sz w:val="17"/>
                <w:szCs w:val="17"/>
              </w:rPr>
              <w:t>age of students in the AQEP program targeted schools achieving in the national bottom quartiles in literacy and numeracy</w:t>
            </w:r>
          </w:p>
        </w:tc>
        <w:tc>
          <w:tcPr>
            <w:tcW w:w="1418" w:type="dxa"/>
            <w:shd w:val="clear" w:color="auto" w:fill="00B050"/>
          </w:tcPr>
          <w:p w:rsidR="00C74569" w:rsidRPr="00BB18E3" w:rsidRDefault="00C74569" w:rsidP="00BB18E3">
            <w:pPr>
              <w:jc w:val="center"/>
              <w:rPr>
                <w:rFonts w:cstheme="minorHAnsi"/>
                <w:color w:val="auto"/>
                <w:sz w:val="17"/>
                <w:szCs w:val="17"/>
              </w:rPr>
            </w:pPr>
            <w:r w:rsidRPr="00BB18E3">
              <w:rPr>
                <w:rFonts w:cstheme="minorHAnsi"/>
                <w:color w:val="auto"/>
                <w:sz w:val="17"/>
                <w:szCs w:val="17"/>
              </w:rPr>
              <w:t>Achieved</w:t>
            </w:r>
          </w:p>
        </w:tc>
        <w:tc>
          <w:tcPr>
            <w:tcW w:w="5670" w:type="dxa"/>
          </w:tcPr>
          <w:p w:rsidR="00C74569" w:rsidRPr="00430439" w:rsidRDefault="00C74569" w:rsidP="00101EE2">
            <w:pPr>
              <w:rPr>
                <w:rFonts w:cstheme="minorHAnsi"/>
                <w:sz w:val="17"/>
                <w:szCs w:val="17"/>
              </w:rPr>
            </w:pPr>
            <w:r w:rsidRPr="00430439">
              <w:rPr>
                <w:rFonts w:cstheme="minorHAnsi"/>
                <w:sz w:val="17"/>
                <w:szCs w:val="17"/>
              </w:rPr>
              <w:t xml:space="preserve">AQEP was completed in the last reporting period. </w:t>
            </w:r>
          </w:p>
        </w:tc>
      </w:tr>
      <w:tr w:rsidR="00C74569" w:rsidRPr="007F2264" w:rsidTr="00A3292B">
        <w:tc>
          <w:tcPr>
            <w:tcW w:w="2254" w:type="dxa"/>
          </w:tcPr>
          <w:p w:rsidR="00C74569" w:rsidRPr="00430439" w:rsidRDefault="00C74569" w:rsidP="00A3292B">
            <w:pPr>
              <w:rPr>
                <w:rFonts w:cstheme="minorHAnsi"/>
                <w:sz w:val="17"/>
                <w:szCs w:val="17"/>
              </w:rPr>
            </w:pPr>
            <w:r w:rsidRPr="00430439">
              <w:rPr>
                <w:rFonts w:cstheme="minorHAnsi"/>
                <w:sz w:val="17"/>
                <w:szCs w:val="17"/>
              </w:rPr>
              <w:t>Improved human development</w:t>
            </w:r>
          </w:p>
        </w:tc>
        <w:tc>
          <w:tcPr>
            <w:tcW w:w="5112" w:type="dxa"/>
          </w:tcPr>
          <w:p w:rsidR="00C74569" w:rsidRPr="00430439" w:rsidRDefault="00C74569" w:rsidP="00A3292B">
            <w:pPr>
              <w:rPr>
                <w:rFonts w:cstheme="minorHAnsi"/>
                <w:sz w:val="17"/>
                <w:szCs w:val="17"/>
              </w:rPr>
            </w:pPr>
            <w:r w:rsidRPr="00430439">
              <w:rPr>
                <w:rFonts w:cstheme="minorHAnsi"/>
                <w:sz w:val="17"/>
                <w:szCs w:val="17"/>
              </w:rPr>
              <w:t>80</w:t>
            </w:r>
            <w:r w:rsidR="000314F8">
              <w:rPr>
                <w:rFonts w:cstheme="minorHAnsi"/>
                <w:sz w:val="17"/>
                <w:szCs w:val="17"/>
              </w:rPr>
              <w:t>per cent</w:t>
            </w:r>
            <w:r w:rsidRPr="00430439">
              <w:rPr>
                <w:rFonts w:cstheme="minorHAnsi"/>
                <w:sz w:val="17"/>
                <w:szCs w:val="17"/>
              </w:rPr>
              <w:t xml:space="preserve"> of investments, regardless of their objectives, will effectively address gender issues in their implementation</w:t>
            </w:r>
          </w:p>
        </w:tc>
        <w:tc>
          <w:tcPr>
            <w:tcW w:w="1418" w:type="dxa"/>
            <w:shd w:val="clear" w:color="auto" w:fill="FFC000"/>
          </w:tcPr>
          <w:p w:rsidR="00C74569" w:rsidRPr="00BB18E3" w:rsidRDefault="00C74569" w:rsidP="00BB18E3">
            <w:pPr>
              <w:jc w:val="center"/>
              <w:rPr>
                <w:rFonts w:cstheme="minorHAnsi"/>
                <w:color w:val="auto"/>
                <w:sz w:val="17"/>
                <w:szCs w:val="17"/>
              </w:rPr>
            </w:pPr>
            <w:r w:rsidRPr="00BB18E3">
              <w:rPr>
                <w:rFonts w:cstheme="minorHAnsi"/>
                <w:color w:val="auto"/>
                <w:sz w:val="17"/>
                <w:szCs w:val="17"/>
              </w:rPr>
              <w:t>Partially achieved</w:t>
            </w:r>
          </w:p>
        </w:tc>
        <w:tc>
          <w:tcPr>
            <w:tcW w:w="5670" w:type="dxa"/>
          </w:tcPr>
          <w:p w:rsidR="00C74569" w:rsidRPr="00430439" w:rsidRDefault="00C74569" w:rsidP="00101EE2">
            <w:pPr>
              <w:rPr>
                <w:rFonts w:cstheme="minorHAnsi"/>
                <w:sz w:val="17"/>
                <w:szCs w:val="17"/>
              </w:rPr>
            </w:pPr>
            <w:r w:rsidRPr="00430439">
              <w:rPr>
                <w:rFonts w:cstheme="minorHAnsi"/>
                <w:sz w:val="17"/>
                <w:szCs w:val="17"/>
              </w:rPr>
              <w:t xml:space="preserve">Overall 66 per cent of investments effective addressed gender issues in implementation. This is </w:t>
            </w:r>
            <w:r w:rsidR="00A54FB5">
              <w:rPr>
                <w:rFonts w:cstheme="minorHAnsi"/>
                <w:sz w:val="17"/>
                <w:szCs w:val="17"/>
              </w:rPr>
              <w:t xml:space="preserve">a </w:t>
            </w:r>
            <w:r w:rsidRPr="00430439">
              <w:rPr>
                <w:rFonts w:cstheme="minorHAnsi"/>
                <w:sz w:val="17"/>
                <w:szCs w:val="17"/>
              </w:rPr>
              <w:t xml:space="preserve">three </w:t>
            </w:r>
            <w:r w:rsidR="00101EE2">
              <w:rPr>
                <w:rFonts w:cstheme="minorHAnsi"/>
                <w:sz w:val="17"/>
                <w:szCs w:val="17"/>
              </w:rPr>
              <w:t xml:space="preserve">per cent </w:t>
            </w:r>
            <w:r w:rsidRPr="00430439">
              <w:rPr>
                <w:rFonts w:cstheme="minorHAnsi"/>
                <w:sz w:val="17"/>
                <w:szCs w:val="17"/>
              </w:rPr>
              <w:t xml:space="preserve">increase from the previous period. </w:t>
            </w:r>
            <w:r w:rsidR="00101EE2">
              <w:rPr>
                <w:rFonts w:cstheme="minorHAnsi"/>
                <w:sz w:val="17"/>
                <w:szCs w:val="17"/>
              </w:rPr>
              <w:t>The</w:t>
            </w:r>
            <w:r w:rsidR="00F1403D">
              <w:rPr>
                <w:rFonts w:cstheme="minorHAnsi"/>
                <w:sz w:val="17"/>
                <w:szCs w:val="17"/>
              </w:rPr>
              <w:t xml:space="preserve"> </w:t>
            </w:r>
            <w:r w:rsidR="00101EE2">
              <w:rPr>
                <w:rFonts w:cstheme="minorHAnsi"/>
                <w:sz w:val="17"/>
                <w:szCs w:val="17"/>
              </w:rPr>
              <w:t>F</w:t>
            </w:r>
            <w:r w:rsidRPr="00430439">
              <w:rPr>
                <w:rFonts w:cstheme="minorHAnsi"/>
                <w:sz w:val="17"/>
                <w:szCs w:val="17"/>
              </w:rPr>
              <w:t>iji Program Facility had its full year implementation and have effectively implemented gender issues in their systems and processes.</w:t>
            </w:r>
            <w:r w:rsidR="00D173EF">
              <w:rPr>
                <w:rFonts w:cstheme="minorHAnsi"/>
                <w:sz w:val="17"/>
                <w:szCs w:val="17"/>
              </w:rPr>
              <w:t xml:space="preserve">  The Governance portfolio however </w:t>
            </w:r>
            <w:r w:rsidR="00101EE2">
              <w:rPr>
                <w:rFonts w:cstheme="minorHAnsi"/>
                <w:sz w:val="17"/>
                <w:szCs w:val="17"/>
              </w:rPr>
              <w:t>has not met the 80 per cent target.</w:t>
            </w:r>
            <w:r w:rsidR="00D173EF">
              <w:rPr>
                <w:rFonts w:cstheme="minorHAnsi"/>
                <w:sz w:val="17"/>
                <w:szCs w:val="17"/>
              </w:rPr>
              <w:t xml:space="preserve"> </w:t>
            </w:r>
          </w:p>
        </w:tc>
      </w:tr>
      <w:tr w:rsidR="00C74569" w:rsidRPr="007F2264" w:rsidTr="00A3292B">
        <w:tc>
          <w:tcPr>
            <w:tcW w:w="2254" w:type="dxa"/>
          </w:tcPr>
          <w:p w:rsidR="00C74569" w:rsidRPr="00430439" w:rsidRDefault="00C74569" w:rsidP="00A3292B">
            <w:pPr>
              <w:rPr>
                <w:rFonts w:cstheme="minorHAnsi"/>
                <w:sz w:val="17"/>
                <w:szCs w:val="17"/>
              </w:rPr>
            </w:pPr>
            <w:r w:rsidRPr="00430439">
              <w:rPr>
                <w:rFonts w:cstheme="minorHAnsi"/>
                <w:sz w:val="17"/>
                <w:szCs w:val="17"/>
              </w:rPr>
              <w:t>Improved human development</w:t>
            </w:r>
          </w:p>
        </w:tc>
        <w:tc>
          <w:tcPr>
            <w:tcW w:w="5112" w:type="dxa"/>
          </w:tcPr>
          <w:p w:rsidR="00C74569" w:rsidRPr="00430439" w:rsidRDefault="00C74569" w:rsidP="00A3292B">
            <w:pPr>
              <w:rPr>
                <w:rFonts w:cstheme="minorHAnsi"/>
                <w:sz w:val="17"/>
                <w:szCs w:val="17"/>
              </w:rPr>
            </w:pPr>
            <w:r w:rsidRPr="00430439">
              <w:rPr>
                <w:rFonts w:cstheme="minorHAnsi"/>
                <w:sz w:val="17"/>
                <w:szCs w:val="17"/>
              </w:rPr>
              <w:t>80</w:t>
            </w:r>
            <w:r w:rsidR="006C75AF">
              <w:rPr>
                <w:rFonts w:cstheme="minorHAnsi"/>
                <w:sz w:val="17"/>
                <w:szCs w:val="17"/>
              </w:rPr>
              <w:t xml:space="preserve"> </w:t>
            </w:r>
            <w:r w:rsidR="000314F8">
              <w:rPr>
                <w:rFonts w:cstheme="minorHAnsi"/>
                <w:sz w:val="17"/>
                <w:szCs w:val="17"/>
              </w:rPr>
              <w:t>per cent</w:t>
            </w:r>
            <w:r w:rsidRPr="00430439">
              <w:rPr>
                <w:rFonts w:cstheme="minorHAnsi"/>
                <w:sz w:val="17"/>
                <w:szCs w:val="17"/>
              </w:rPr>
              <w:t xml:space="preserve"> of investments, regardless of their objectives, will actively involve people with disabilities and/or Disabled People’s Organisations (DPOs), in planning, implementation, and monitoring and evaluation </w:t>
            </w:r>
          </w:p>
        </w:tc>
        <w:tc>
          <w:tcPr>
            <w:tcW w:w="1418" w:type="dxa"/>
            <w:shd w:val="clear" w:color="auto" w:fill="FF0000"/>
          </w:tcPr>
          <w:p w:rsidR="00C74569" w:rsidRPr="00BB18E3" w:rsidRDefault="00C74569" w:rsidP="00BB18E3">
            <w:pPr>
              <w:jc w:val="center"/>
              <w:rPr>
                <w:rFonts w:cstheme="minorHAnsi"/>
                <w:color w:val="auto"/>
                <w:sz w:val="17"/>
                <w:szCs w:val="17"/>
              </w:rPr>
            </w:pPr>
            <w:r w:rsidRPr="00BB18E3">
              <w:rPr>
                <w:rFonts w:cstheme="minorHAnsi"/>
                <w:color w:val="auto"/>
                <w:sz w:val="17"/>
                <w:szCs w:val="17"/>
              </w:rPr>
              <w:t>Not achieved</w:t>
            </w:r>
          </w:p>
        </w:tc>
        <w:tc>
          <w:tcPr>
            <w:tcW w:w="5670" w:type="dxa"/>
          </w:tcPr>
          <w:p w:rsidR="00C74569" w:rsidRPr="00430439" w:rsidRDefault="00C74569" w:rsidP="00A3292B">
            <w:pPr>
              <w:rPr>
                <w:rFonts w:cstheme="minorHAnsi"/>
                <w:sz w:val="17"/>
                <w:szCs w:val="17"/>
              </w:rPr>
            </w:pPr>
            <w:r w:rsidRPr="00430439">
              <w:rPr>
                <w:rFonts w:cstheme="minorHAnsi"/>
                <w:sz w:val="17"/>
                <w:szCs w:val="17"/>
              </w:rPr>
              <w:t xml:space="preserve">Overall 38 per cent of investments effectively involve people with disabilities and/or DPOs in planning, implementation and monitoring. </w:t>
            </w:r>
            <w:r w:rsidR="006C75AF">
              <w:rPr>
                <w:rFonts w:cstheme="minorHAnsi"/>
                <w:sz w:val="17"/>
                <w:szCs w:val="17"/>
              </w:rPr>
              <w:t xml:space="preserve"> Remedial actions will include</w:t>
            </w:r>
            <w:r w:rsidR="00DC635A">
              <w:rPr>
                <w:rFonts w:cstheme="minorHAnsi"/>
                <w:sz w:val="17"/>
                <w:szCs w:val="17"/>
              </w:rPr>
              <w:t xml:space="preserve"> the development of performance benchmarks relating specifically to disability.</w:t>
            </w:r>
          </w:p>
        </w:tc>
      </w:tr>
      <w:tr w:rsidR="00C74569" w:rsidRPr="007F2264" w:rsidTr="00A3292B">
        <w:tc>
          <w:tcPr>
            <w:tcW w:w="2254" w:type="dxa"/>
          </w:tcPr>
          <w:p w:rsidR="00C74569" w:rsidRPr="00430439" w:rsidRDefault="00C74569" w:rsidP="00A3292B">
            <w:pPr>
              <w:rPr>
                <w:rFonts w:cstheme="minorHAnsi"/>
                <w:sz w:val="17"/>
                <w:szCs w:val="17"/>
              </w:rPr>
            </w:pPr>
            <w:r w:rsidRPr="00430439">
              <w:rPr>
                <w:rFonts w:cstheme="minorHAnsi"/>
                <w:sz w:val="17"/>
                <w:szCs w:val="17"/>
              </w:rPr>
              <w:t>Improved human development</w:t>
            </w:r>
          </w:p>
        </w:tc>
        <w:tc>
          <w:tcPr>
            <w:tcW w:w="5112" w:type="dxa"/>
          </w:tcPr>
          <w:p w:rsidR="00C74569" w:rsidRPr="00430439" w:rsidRDefault="00C74569" w:rsidP="00A3292B">
            <w:pPr>
              <w:rPr>
                <w:rFonts w:cstheme="minorHAnsi"/>
                <w:sz w:val="17"/>
                <w:szCs w:val="17"/>
              </w:rPr>
            </w:pPr>
            <w:r w:rsidRPr="00430439">
              <w:rPr>
                <w:rFonts w:cstheme="minorHAnsi"/>
                <w:sz w:val="17"/>
                <w:szCs w:val="17"/>
              </w:rPr>
              <w:t>80</w:t>
            </w:r>
            <w:r w:rsidR="006C75AF">
              <w:rPr>
                <w:rFonts w:cstheme="minorHAnsi"/>
                <w:sz w:val="17"/>
                <w:szCs w:val="17"/>
              </w:rPr>
              <w:t xml:space="preserve"> </w:t>
            </w:r>
            <w:r w:rsidR="000314F8">
              <w:rPr>
                <w:rFonts w:cstheme="minorHAnsi"/>
                <w:sz w:val="17"/>
                <w:szCs w:val="17"/>
              </w:rPr>
              <w:t>per cent</w:t>
            </w:r>
            <w:r w:rsidRPr="00430439">
              <w:rPr>
                <w:rFonts w:cstheme="minorHAnsi"/>
                <w:sz w:val="17"/>
                <w:szCs w:val="17"/>
              </w:rPr>
              <w:t xml:space="preserve"> of investments, regardless of their objectives, will identify and address barriers to inclusion for people with disabilities to enable them benefit equally </w:t>
            </w:r>
          </w:p>
        </w:tc>
        <w:tc>
          <w:tcPr>
            <w:tcW w:w="1418" w:type="dxa"/>
            <w:shd w:val="clear" w:color="auto" w:fill="FFC000"/>
          </w:tcPr>
          <w:p w:rsidR="00C74569" w:rsidRPr="00BB18E3" w:rsidRDefault="00C74569" w:rsidP="00BB18E3">
            <w:pPr>
              <w:jc w:val="center"/>
              <w:rPr>
                <w:rFonts w:cstheme="minorHAnsi"/>
                <w:color w:val="auto"/>
                <w:sz w:val="17"/>
                <w:szCs w:val="17"/>
              </w:rPr>
            </w:pPr>
            <w:r w:rsidRPr="00BB18E3">
              <w:rPr>
                <w:rFonts w:cstheme="minorHAnsi"/>
                <w:color w:val="auto"/>
                <w:sz w:val="17"/>
                <w:szCs w:val="17"/>
              </w:rPr>
              <w:t>Partially achieved</w:t>
            </w:r>
          </w:p>
        </w:tc>
        <w:tc>
          <w:tcPr>
            <w:tcW w:w="5670" w:type="dxa"/>
          </w:tcPr>
          <w:p w:rsidR="00C74569" w:rsidRPr="00430439" w:rsidRDefault="00C74569" w:rsidP="00101EE2">
            <w:pPr>
              <w:rPr>
                <w:rFonts w:cstheme="minorHAnsi"/>
                <w:sz w:val="17"/>
                <w:szCs w:val="17"/>
              </w:rPr>
            </w:pPr>
            <w:r w:rsidRPr="00430439">
              <w:rPr>
                <w:rFonts w:cstheme="minorHAnsi"/>
                <w:sz w:val="17"/>
                <w:szCs w:val="17"/>
              </w:rPr>
              <w:t xml:space="preserve">Overall 53 per cent of investments scored 4 and above in AQC reporting on this indicator. There is strong outcome reported with disability engagement with the DPO under the Pacific Women and the Fiji Program Facility GESI framework. </w:t>
            </w:r>
          </w:p>
        </w:tc>
      </w:tr>
      <w:tr w:rsidR="00C74569" w:rsidRPr="007F2264" w:rsidTr="00430439">
        <w:tc>
          <w:tcPr>
            <w:tcW w:w="2254" w:type="dxa"/>
          </w:tcPr>
          <w:p w:rsidR="00C74569" w:rsidRPr="00430439" w:rsidRDefault="00C74569" w:rsidP="00A3292B">
            <w:pPr>
              <w:rPr>
                <w:rFonts w:cstheme="minorHAnsi"/>
                <w:sz w:val="17"/>
                <w:szCs w:val="17"/>
              </w:rPr>
            </w:pPr>
            <w:r w:rsidRPr="00430439">
              <w:rPr>
                <w:rFonts w:cstheme="minorHAnsi"/>
                <w:sz w:val="17"/>
                <w:szCs w:val="17"/>
              </w:rPr>
              <w:lastRenderedPageBreak/>
              <w:t>Improved Human Development</w:t>
            </w:r>
          </w:p>
        </w:tc>
        <w:tc>
          <w:tcPr>
            <w:tcW w:w="5112" w:type="dxa"/>
          </w:tcPr>
          <w:p w:rsidR="00C74569" w:rsidRPr="00430439" w:rsidRDefault="00C74569" w:rsidP="00A3292B">
            <w:pPr>
              <w:rPr>
                <w:rFonts w:cstheme="minorHAnsi"/>
                <w:sz w:val="17"/>
                <w:szCs w:val="17"/>
              </w:rPr>
            </w:pPr>
            <w:r w:rsidRPr="00430439">
              <w:rPr>
                <w:rFonts w:cstheme="minorHAnsi"/>
                <w:sz w:val="17"/>
                <w:szCs w:val="17"/>
              </w:rPr>
              <w:t>Climate resilience are assessed and taken into account in the new Australian Aid Investments and activities in Fiji – including design, implementation arrangements, monitoring and, evaluation and reporting frameworks; and risk</w:t>
            </w:r>
          </w:p>
        </w:tc>
        <w:tc>
          <w:tcPr>
            <w:tcW w:w="1418" w:type="dxa"/>
            <w:shd w:val="clear" w:color="auto" w:fill="FFC000"/>
          </w:tcPr>
          <w:p w:rsidR="00C74569" w:rsidRPr="00BB18E3" w:rsidRDefault="004D3C5E" w:rsidP="00BB18E3">
            <w:pPr>
              <w:jc w:val="center"/>
              <w:rPr>
                <w:rFonts w:cstheme="minorHAnsi"/>
                <w:color w:val="auto"/>
                <w:sz w:val="17"/>
                <w:szCs w:val="17"/>
              </w:rPr>
            </w:pPr>
            <w:r w:rsidRPr="00BB18E3">
              <w:rPr>
                <w:rFonts w:cstheme="minorHAnsi"/>
                <w:color w:val="auto"/>
                <w:sz w:val="17"/>
                <w:szCs w:val="17"/>
              </w:rPr>
              <w:t>Partially achieved</w:t>
            </w:r>
          </w:p>
        </w:tc>
        <w:tc>
          <w:tcPr>
            <w:tcW w:w="5670" w:type="dxa"/>
          </w:tcPr>
          <w:p w:rsidR="004D3C5E" w:rsidRDefault="004D3C5E" w:rsidP="004D3C5E">
            <w:pPr>
              <w:rPr>
                <w:rFonts w:cstheme="minorHAnsi"/>
                <w:sz w:val="17"/>
                <w:szCs w:val="17"/>
              </w:rPr>
            </w:pPr>
            <w:r w:rsidRPr="00430439">
              <w:rPr>
                <w:rFonts w:cstheme="minorHAnsi"/>
                <w:sz w:val="17"/>
                <w:szCs w:val="17"/>
              </w:rPr>
              <w:t>. Under the Fiji Program Facility an annual budget of AUD700</w:t>
            </w:r>
            <w:r w:rsidR="00101EE2">
              <w:rPr>
                <w:rFonts w:cstheme="minorHAnsi"/>
                <w:sz w:val="17"/>
                <w:szCs w:val="17"/>
              </w:rPr>
              <w:t>,000</w:t>
            </w:r>
            <w:r w:rsidRPr="00430439">
              <w:rPr>
                <w:rFonts w:cstheme="minorHAnsi"/>
                <w:sz w:val="17"/>
                <w:szCs w:val="17"/>
              </w:rPr>
              <w:t xml:space="preserve"> is established for Preparedness and Respond Fund (PRF) of which AUD429</w:t>
            </w:r>
            <w:r w:rsidR="00101EE2">
              <w:rPr>
                <w:rFonts w:cstheme="minorHAnsi"/>
                <w:sz w:val="17"/>
                <w:szCs w:val="17"/>
              </w:rPr>
              <w:t>,000</w:t>
            </w:r>
            <w:r w:rsidRPr="00430439">
              <w:rPr>
                <w:rFonts w:cstheme="minorHAnsi"/>
                <w:sz w:val="17"/>
                <w:szCs w:val="17"/>
              </w:rPr>
              <w:t xml:space="preserve"> is for preparedness. IFCs work is aligned to DFAT and GoF’s priorities around climate change and building resilience.</w:t>
            </w:r>
          </w:p>
          <w:p w:rsidR="00A22848" w:rsidRPr="00F611B7" w:rsidRDefault="00A22848" w:rsidP="00A22848">
            <w:pPr>
              <w:pStyle w:val="CommentText"/>
              <w:rPr>
                <w:rFonts w:cstheme="minorHAnsi"/>
                <w:sz w:val="17"/>
                <w:szCs w:val="17"/>
              </w:rPr>
            </w:pPr>
            <w:r w:rsidRPr="00F611B7">
              <w:rPr>
                <w:rFonts w:cstheme="minorHAnsi"/>
                <w:sz w:val="17"/>
                <w:szCs w:val="17"/>
              </w:rPr>
              <w:t xml:space="preserve"> In 2018-19, the Australia Pacific Climate Partnership Support Unit has supported Fiji </w:t>
            </w:r>
            <w:r w:rsidR="000314F8">
              <w:rPr>
                <w:rFonts w:cstheme="minorHAnsi"/>
                <w:sz w:val="17"/>
                <w:szCs w:val="17"/>
              </w:rPr>
              <w:t>DFAT</w:t>
            </w:r>
            <w:r w:rsidRPr="00F611B7">
              <w:rPr>
                <w:rFonts w:cstheme="minorHAnsi"/>
                <w:sz w:val="17"/>
                <w:szCs w:val="17"/>
              </w:rPr>
              <w:t xml:space="preserve"> and implementing partners to integrate climate change and disaster resilience via:</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Reviewing the Facility preparedness and response fund annual plan</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Presenting on the risks of climate change to key private sector entities at the Fiji Business Forum</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Engaging in the design process for the IFC social housing program</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Reviewing the education sector program annual plan</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Reviewed Fiji’s disaster management act</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Supported the Facility to develop climate change and disaster resilience indicators</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Reviewed the Fiji school disaster risk reduction handbook </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Provided advice on a range of proposals from GoF for COP23 related activities </w:t>
            </w:r>
          </w:p>
          <w:p w:rsidR="00A22848" w:rsidRPr="00F611B7" w:rsidRDefault="00A22848" w:rsidP="007C466B">
            <w:pPr>
              <w:pStyle w:val="CommentText"/>
              <w:numPr>
                <w:ilvl w:val="0"/>
                <w:numId w:val="17"/>
              </w:numPr>
              <w:rPr>
                <w:rFonts w:cstheme="minorHAnsi"/>
                <w:sz w:val="17"/>
                <w:szCs w:val="17"/>
              </w:rPr>
            </w:pPr>
            <w:r w:rsidRPr="00F611B7">
              <w:rPr>
                <w:rFonts w:cstheme="minorHAnsi"/>
                <w:sz w:val="17"/>
                <w:szCs w:val="17"/>
              </w:rPr>
              <w:t xml:space="preserve"> Reviewed the Fiji Shelter Handbook (developed with support from AHP)</w:t>
            </w:r>
          </w:p>
          <w:p w:rsidR="00A22848" w:rsidRDefault="00A22848" w:rsidP="007C466B">
            <w:pPr>
              <w:pStyle w:val="CommentText"/>
              <w:numPr>
                <w:ilvl w:val="0"/>
                <w:numId w:val="17"/>
              </w:numPr>
              <w:rPr>
                <w:rFonts w:cstheme="minorHAnsi"/>
                <w:sz w:val="17"/>
                <w:szCs w:val="17"/>
              </w:rPr>
            </w:pPr>
            <w:r w:rsidRPr="00F611B7">
              <w:rPr>
                <w:rFonts w:cstheme="minorHAnsi"/>
                <w:sz w:val="17"/>
                <w:szCs w:val="17"/>
              </w:rPr>
              <w:t xml:space="preserve"> Reviewed the Facility’s annual plan</w:t>
            </w:r>
          </w:p>
          <w:p w:rsidR="00F611B7" w:rsidRPr="00A22848" w:rsidRDefault="00A22848" w:rsidP="007C466B">
            <w:pPr>
              <w:pStyle w:val="CommentText"/>
              <w:numPr>
                <w:ilvl w:val="0"/>
                <w:numId w:val="17"/>
              </w:numPr>
              <w:rPr>
                <w:rFonts w:cstheme="minorHAnsi"/>
                <w:sz w:val="17"/>
                <w:szCs w:val="17"/>
              </w:rPr>
            </w:pPr>
            <w:r w:rsidRPr="00A22848">
              <w:rPr>
                <w:rFonts w:cstheme="minorHAnsi"/>
                <w:sz w:val="17"/>
                <w:szCs w:val="17"/>
              </w:rPr>
              <w:t>Reviewed the MoE’s school WASH policy</w:t>
            </w:r>
          </w:p>
          <w:p w:rsidR="00C74569" w:rsidRPr="00430439" w:rsidRDefault="00C74569" w:rsidP="004D3C5E">
            <w:pPr>
              <w:rPr>
                <w:rFonts w:cstheme="minorHAnsi"/>
                <w:sz w:val="17"/>
                <w:szCs w:val="17"/>
              </w:rPr>
            </w:pPr>
          </w:p>
        </w:tc>
      </w:tr>
      <w:tr w:rsidR="00C74569" w:rsidRPr="007F2264" w:rsidTr="00A3292B">
        <w:tc>
          <w:tcPr>
            <w:tcW w:w="2254" w:type="dxa"/>
          </w:tcPr>
          <w:p w:rsidR="00C74569" w:rsidRPr="00430439" w:rsidRDefault="00C74569" w:rsidP="00A3292B">
            <w:pPr>
              <w:rPr>
                <w:rFonts w:cstheme="minorHAnsi"/>
                <w:sz w:val="17"/>
                <w:szCs w:val="17"/>
              </w:rPr>
            </w:pPr>
            <w:r w:rsidRPr="00430439">
              <w:rPr>
                <w:rFonts w:cstheme="minorHAnsi"/>
                <w:sz w:val="17"/>
                <w:szCs w:val="17"/>
              </w:rPr>
              <w:t>Improved human development</w:t>
            </w:r>
          </w:p>
        </w:tc>
        <w:tc>
          <w:tcPr>
            <w:tcW w:w="5112" w:type="dxa"/>
          </w:tcPr>
          <w:p w:rsidR="00C74569" w:rsidRPr="00430439" w:rsidRDefault="00C74569" w:rsidP="00A3292B">
            <w:pPr>
              <w:rPr>
                <w:rFonts w:cstheme="minorHAnsi"/>
                <w:sz w:val="17"/>
                <w:szCs w:val="17"/>
              </w:rPr>
            </w:pPr>
            <w:r w:rsidRPr="00430439">
              <w:rPr>
                <w:rFonts w:cstheme="minorHAnsi"/>
                <w:sz w:val="17"/>
                <w:szCs w:val="17"/>
              </w:rPr>
              <w:t>Increased number of births and four sub-divisional hospitals by skilled attendants</w:t>
            </w:r>
          </w:p>
        </w:tc>
        <w:tc>
          <w:tcPr>
            <w:tcW w:w="1418" w:type="dxa"/>
            <w:shd w:val="clear" w:color="auto" w:fill="00B050"/>
          </w:tcPr>
          <w:p w:rsidR="00C74569" w:rsidRPr="00BB18E3" w:rsidRDefault="00C74569" w:rsidP="00BB18E3">
            <w:pPr>
              <w:jc w:val="center"/>
              <w:rPr>
                <w:rFonts w:cstheme="minorHAnsi"/>
                <w:color w:val="auto"/>
                <w:sz w:val="17"/>
                <w:szCs w:val="17"/>
              </w:rPr>
            </w:pPr>
            <w:r w:rsidRPr="00BB18E3">
              <w:rPr>
                <w:rFonts w:cstheme="minorHAnsi"/>
                <w:color w:val="auto"/>
                <w:sz w:val="17"/>
                <w:szCs w:val="17"/>
              </w:rPr>
              <w:t>Achieved</w:t>
            </w:r>
          </w:p>
        </w:tc>
        <w:tc>
          <w:tcPr>
            <w:tcW w:w="5670" w:type="dxa"/>
          </w:tcPr>
          <w:p w:rsidR="00C74569" w:rsidRPr="00430439" w:rsidRDefault="00C74569" w:rsidP="00A3292B">
            <w:pPr>
              <w:rPr>
                <w:rFonts w:cstheme="minorHAnsi"/>
                <w:sz w:val="17"/>
                <w:szCs w:val="17"/>
              </w:rPr>
            </w:pPr>
            <w:r w:rsidRPr="00430439">
              <w:rPr>
                <w:rFonts w:cstheme="minorHAnsi"/>
                <w:sz w:val="17"/>
                <w:szCs w:val="17"/>
              </w:rPr>
              <w:t>There was an increase in adherence to Mother and Neonatal Hospital Initiative standards across the four sub-divisional hospitals from 58</w:t>
            </w:r>
            <w:r w:rsidR="000314F8">
              <w:rPr>
                <w:rFonts w:cstheme="minorHAnsi"/>
                <w:sz w:val="17"/>
                <w:szCs w:val="17"/>
              </w:rPr>
              <w:t>per cent</w:t>
            </w:r>
            <w:r w:rsidRPr="00430439">
              <w:rPr>
                <w:rFonts w:cstheme="minorHAnsi"/>
                <w:sz w:val="17"/>
                <w:szCs w:val="17"/>
              </w:rPr>
              <w:t xml:space="preserve"> in 2018 to 73</w:t>
            </w:r>
            <w:r w:rsidR="000314F8">
              <w:rPr>
                <w:rFonts w:cstheme="minorHAnsi"/>
                <w:sz w:val="17"/>
                <w:szCs w:val="17"/>
              </w:rPr>
              <w:t>per cent</w:t>
            </w:r>
            <w:r w:rsidRPr="00430439">
              <w:rPr>
                <w:rFonts w:cstheme="minorHAnsi"/>
                <w:sz w:val="17"/>
                <w:szCs w:val="17"/>
              </w:rPr>
              <w:t xml:space="preserve"> in May 2019.</w:t>
            </w:r>
          </w:p>
        </w:tc>
      </w:tr>
    </w:tbl>
    <w:p w:rsidR="00962DC8" w:rsidRPr="00430439" w:rsidRDefault="00962DC8" w:rsidP="00962DC8">
      <w:pPr>
        <w:rPr>
          <w:rFonts w:cstheme="minorHAnsi"/>
          <w:sz w:val="17"/>
          <w:szCs w:val="17"/>
        </w:rPr>
      </w:pPr>
    </w:p>
    <w:p w:rsidR="007914F1" w:rsidRDefault="007914F1" w:rsidP="008821C2">
      <w:pPr>
        <w:suppressAutoHyphens w:val="0"/>
        <w:spacing w:before="360" w:after="120" w:line="300" w:lineRule="exact"/>
        <w:rPr>
          <w:rFonts w:asciiTheme="majorHAnsi" w:hAnsiTheme="majorHAnsi" w:cstheme="majorHAnsi"/>
          <w:sz w:val="38"/>
          <w:szCs w:val="38"/>
        </w:rPr>
      </w:pPr>
    </w:p>
    <w:p w:rsidR="007914F1" w:rsidRDefault="007914F1" w:rsidP="008821C2">
      <w:pPr>
        <w:suppressAutoHyphens w:val="0"/>
        <w:spacing w:before="360" w:after="120" w:line="300" w:lineRule="exact"/>
        <w:rPr>
          <w:rFonts w:asciiTheme="majorHAnsi" w:hAnsiTheme="majorHAnsi" w:cstheme="majorHAnsi"/>
          <w:sz w:val="38"/>
          <w:szCs w:val="38"/>
        </w:rPr>
      </w:pPr>
    </w:p>
    <w:p w:rsidR="00400B0F" w:rsidRDefault="00AC577D" w:rsidP="008821C2">
      <w:pPr>
        <w:suppressAutoHyphens w:val="0"/>
        <w:spacing w:before="360" w:after="120" w:line="300" w:lineRule="exact"/>
        <w:rPr>
          <w:rFonts w:asciiTheme="majorHAnsi" w:hAnsiTheme="majorHAnsi" w:cstheme="majorHAnsi"/>
          <w:sz w:val="38"/>
          <w:szCs w:val="38"/>
        </w:rPr>
      </w:pPr>
      <w:r>
        <w:rPr>
          <w:rFonts w:asciiTheme="majorHAnsi" w:hAnsiTheme="majorHAnsi" w:cstheme="majorHAnsi"/>
          <w:sz w:val="38"/>
          <w:szCs w:val="38"/>
        </w:rPr>
        <w:lastRenderedPageBreak/>
        <w:t>A</w:t>
      </w:r>
      <w:r w:rsidR="006D0C5E">
        <w:rPr>
          <w:rFonts w:asciiTheme="majorHAnsi" w:hAnsiTheme="majorHAnsi" w:cstheme="majorHAnsi"/>
          <w:sz w:val="38"/>
          <w:szCs w:val="38"/>
        </w:rPr>
        <w:t>NNEX C</w:t>
      </w:r>
      <w:r w:rsidR="00400B0F" w:rsidRPr="008821C2">
        <w:rPr>
          <w:rFonts w:asciiTheme="majorHAnsi" w:hAnsiTheme="majorHAnsi" w:cstheme="majorHAnsi"/>
          <w:sz w:val="38"/>
          <w:szCs w:val="38"/>
        </w:rPr>
        <w:t xml:space="preserve"> </w:t>
      </w:r>
      <w:r w:rsidR="006D0C5E">
        <w:rPr>
          <w:rFonts w:asciiTheme="majorHAnsi" w:hAnsiTheme="majorHAnsi" w:cstheme="majorHAnsi"/>
          <w:sz w:val="38"/>
          <w:szCs w:val="38"/>
        </w:rPr>
        <w:t>–</w:t>
      </w:r>
      <w:r w:rsidR="00400B0F" w:rsidRPr="008821C2">
        <w:rPr>
          <w:rFonts w:asciiTheme="majorHAnsi" w:hAnsiTheme="majorHAnsi" w:cstheme="majorHAnsi"/>
          <w:sz w:val="38"/>
          <w:szCs w:val="38"/>
        </w:rPr>
        <w:t xml:space="preserve"> E</w:t>
      </w:r>
      <w:r w:rsidR="006D0C5E">
        <w:rPr>
          <w:rFonts w:asciiTheme="majorHAnsi" w:hAnsiTheme="majorHAnsi" w:cstheme="majorHAnsi"/>
          <w:sz w:val="38"/>
          <w:szCs w:val="38"/>
        </w:rPr>
        <w:t>VALUATION PLANNING</w:t>
      </w:r>
    </w:p>
    <w:p w:rsidR="006D0C5E" w:rsidRPr="00EF26B5" w:rsidRDefault="006D0C5E" w:rsidP="006D0C5E">
      <w:pPr>
        <w:spacing w:before="360"/>
        <w:rPr>
          <w:rFonts w:eastAsiaTheme="majorEastAsia" w:cstheme="minorHAnsi"/>
          <w:caps/>
          <w:sz w:val="36"/>
          <w:szCs w:val="36"/>
        </w:rPr>
      </w:pPr>
      <w:r w:rsidRPr="00EF26B5">
        <w:rPr>
          <w:rFonts w:eastAsiaTheme="majorEastAsia" w:cstheme="minorHAnsi"/>
          <w:caps/>
          <w:sz w:val="36"/>
          <w:szCs w:val="36"/>
        </w:rPr>
        <w:t xml:space="preserve">1 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6D0C5E" w:rsidRPr="00C61187" w:rsidTr="00A05D01">
        <w:trPr>
          <w:cnfStyle w:val="100000000000" w:firstRow="1" w:lastRow="0" w:firstColumn="0" w:lastColumn="0" w:oddVBand="0" w:evenVBand="0" w:oddHBand="0" w:evenHBand="0" w:firstRowFirstColumn="0" w:firstRowLastColumn="0" w:lastRowFirstColumn="0" w:lastRowLastColumn="0"/>
        </w:trPr>
        <w:tc>
          <w:tcPr>
            <w:tcW w:w="3064" w:type="dxa"/>
          </w:tcPr>
          <w:p w:rsidR="006D0C5E" w:rsidRPr="00812509" w:rsidRDefault="006D0C5E" w:rsidP="00A05D01">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6D0C5E" w:rsidRPr="00812509" w:rsidRDefault="006D0C5E" w:rsidP="00A05D01">
            <w:pPr>
              <w:keepLines/>
              <w:spacing w:line="200" w:lineRule="atLeast"/>
              <w:rPr>
                <w:rFonts w:asciiTheme="minorHAnsi" w:eastAsia="Times New Roman" w:hAnsiTheme="minorHAnsi"/>
                <w:b w:val="0"/>
                <w:iCs/>
                <w:szCs w:val="17"/>
                <w:lang w:eastAsia="en-US"/>
              </w:rPr>
            </w:pPr>
          </w:p>
        </w:tc>
        <w:tc>
          <w:tcPr>
            <w:tcW w:w="3665" w:type="dxa"/>
          </w:tcPr>
          <w:p w:rsidR="006D0C5E" w:rsidRPr="00812509" w:rsidRDefault="006D0C5E" w:rsidP="00A05D01">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6D0C5E" w:rsidRPr="00812509" w:rsidRDefault="006D0C5E" w:rsidP="00A05D01">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6D0C5E" w:rsidRPr="00812509" w:rsidRDefault="006D0C5E" w:rsidP="00A05D01">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6D0C5E" w:rsidRPr="00812509" w:rsidRDefault="006D0C5E" w:rsidP="00A05D01">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6D0C5E" w:rsidRPr="00812509" w:rsidRDefault="006D0C5E" w:rsidP="00A05D01">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6D0C5E" w:rsidRPr="003B5EE5" w:rsidTr="00A05D01">
        <w:trPr>
          <w:cnfStyle w:val="100000000000" w:firstRow="1" w:lastRow="0" w:firstColumn="0" w:lastColumn="0" w:oddVBand="0" w:evenVBand="0" w:oddHBand="0" w:evenHBand="0" w:firstRowFirstColumn="0" w:firstRowLastColumn="0" w:lastRowFirstColumn="0" w:lastRowLastColumn="0"/>
        </w:trPr>
        <w:tc>
          <w:tcPr>
            <w:tcW w:w="3064" w:type="dxa"/>
          </w:tcPr>
          <w:p w:rsidR="006D0C5E" w:rsidRPr="00C86E29" w:rsidRDefault="006D0C5E" w:rsidP="00A05D0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INL397</w:t>
            </w:r>
            <w:r w:rsidRPr="00C86E29">
              <w:rPr>
                <w:rFonts w:asciiTheme="minorHAnsi" w:eastAsia="Times New Roman" w:hAnsiTheme="minorHAnsi"/>
                <w:b w:val="0"/>
                <w:iCs/>
                <w:szCs w:val="17"/>
                <w:lang w:eastAsia="en-US"/>
              </w:rPr>
              <w:t xml:space="preserve"> </w:t>
            </w:r>
            <w:r>
              <w:rPr>
                <w:rFonts w:asciiTheme="minorHAnsi" w:eastAsia="Times New Roman" w:hAnsiTheme="minorHAnsi"/>
                <w:b w:val="0"/>
                <w:iCs/>
                <w:szCs w:val="17"/>
              </w:rPr>
              <w:t>Pacific Women Fiji Country Plan</w:t>
            </w:r>
          </w:p>
          <w:p w:rsidR="006D0C5E" w:rsidRPr="00C86E29" w:rsidRDefault="006D0C5E" w:rsidP="00A05D01">
            <w:pPr>
              <w:keepLines/>
              <w:spacing w:before="40" w:after="40" w:line="200" w:lineRule="atLeast"/>
              <w:rPr>
                <w:rFonts w:asciiTheme="minorHAnsi" w:eastAsia="Times New Roman" w:hAnsiTheme="minorHAnsi"/>
                <w:b w:val="0"/>
                <w:iCs/>
                <w:color w:val="FF0000"/>
                <w:szCs w:val="17"/>
                <w:lang w:eastAsia="en-US"/>
              </w:rPr>
            </w:pPr>
          </w:p>
        </w:tc>
        <w:tc>
          <w:tcPr>
            <w:tcW w:w="3665" w:type="dxa"/>
          </w:tcPr>
          <w:p w:rsidR="006D0C5E" w:rsidRPr="00C86E29" w:rsidRDefault="006D0C5E" w:rsidP="00A05D01">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szCs w:val="17"/>
                <w:lang w:eastAsia="en-US"/>
              </w:rPr>
              <w:t xml:space="preserve">Mid-term evaluation of the Strengthening Feminist Coalitions and Partnership for Gender Equality: We Rise Phase 2 project </w:t>
            </w:r>
          </w:p>
        </w:tc>
        <w:tc>
          <w:tcPr>
            <w:tcW w:w="1397" w:type="dxa"/>
          </w:tcPr>
          <w:p w:rsidR="006D0C5E" w:rsidRPr="00085E5F" w:rsidRDefault="006D0C5E" w:rsidP="00A05D01">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szCs w:val="17"/>
                <w:lang w:eastAsia="en-US"/>
              </w:rPr>
              <w:t>January</w:t>
            </w:r>
            <w:r w:rsidRPr="00BA2818">
              <w:rPr>
                <w:rFonts w:asciiTheme="minorHAnsi" w:eastAsia="Times New Roman" w:hAnsiTheme="minorHAnsi"/>
                <w:b w:val="0"/>
                <w:iCs/>
                <w:szCs w:val="17"/>
                <w:lang w:eastAsia="en-US"/>
              </w:rPr>
              <w:t xml:space="preserve"> </w:t>
            </w:r>
            <w:r>
              <w:rPr>
                <w:rFonts w:asciiTheme="minorHAnsi" w:eastAsia="Times New Roman" w:hAnsiTheme="minorHAnsi"/>
                <w:b w:val="0"/>
                <w:iCs/>
                <w:szCs w:val="17"/>
                <w:lang w:eastAsia="en-US"/>
              </w:rPr>
              <w:t>2019</w:t>
            </w:r>
          </w:p>
        </w:tc>
        <w:tc>
          <w:tcPr>
            <w:tcW w:w="1953" w:type="dxa"/>
          </w:tcPr>
          <w:p w:rsidR="006D0C5E" w:rsidRPr="00085E5F" w:rsidRDefault="00752C09" w:rsidP="00A05D01">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szCs w:val="17"/>
                <w:lang w:eastAsia="en-US"/>
              </w:rPr>
              <w:t xml:space="preserve">April </w:t>
            </w:r>
            <w:r w:rsidR="006D0C5E">
              <w:rPr>
                <w:rFonts w:asciiTheme="minorHAnsi" w:eastAsia="Times New Roman" w:hAnsiTheme="minorHAnsi"/>
                <w:b w:val="0"/>
                <w:iCs/>
                <w:szCs w:val="17"/>
                <w:lang w:eastAsia="en-US"/>
              </w:rPr>
              <w:t>2019</w:t>
            </w:r>
            <w:r w:rsidR="006D0C5E" w:rsidRPr="00BA2818">
              <w:rPr>
                <w:rFonts w:asciiTheme="minorHAnsi" w:eastAsia="Times New Roman" w:hAnsiTheme="minorHAnsi"/>
                <w:b w:val="0"/>
                <w:iCs/>
                <w:szCs w:val="17"/>
                <w:lang w:eastAsia="en-US"/>
              </w:rPr>
              <w:t xml:space="preserve"> </w:t>
            </w:r>
          </w:p>
        </w:tc>
        <w:tc>
          <w:tcPr>
            <w:tcW w:w="1671" w:type="dxa"/>
          </w:tcPr>
          <w:p w:rsidR="006D0C5E" w:rsidRPr="00085E5F" w:rsidRDefault="00752C09" w:rsidP="00A05D01">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szCs w:val="17"/>
                <w:lang w:eastAsia="en-US"/>
              </w:rPr>
              <w:t>April</w:t>
            </w:r>
            <w:r w:rsidRPr="00BA2818">
              <w:rPr>
                <w:rFonts w:asciiTheme="minorHAnsi" w:eastAsia="Times New Roman" w:hAnsiTheme="minorHAnsi"/>
                <w:b w:val="0"/>
                <w:iCs/>
                <w:szCs w:val="17"/>
                <w:lang w:eastAsia="en-US"/>
              </w:rPr>
              <w:t xml:space="preserve"> </w:t>
            </w:r>
            <w:r w:rsidR="006D0C5E" w:rsidRPr="00BA2818">
              <w:rPr>
                <w:rFonts w:asciiTheme="minorHAnsi" w:eastAsia="Times New Roman" w:hAnsiTheme="minorHAnsi"/>
                <w:b w:val="0"/>
                <w:iCs/>
                <w:szCs w:val="17"/>
                <w:lang w:eastAsia="en-US"/>
              </w:rPr>
              <w:t>2019</w:t>
            </w:r>
          </w:p>
        </w:tc>
        <w:tc>
          <w:tcPr>
            <w:tcW w:w="2365" w:type="dxa"/>
          </w:tcPr>
          <w:p w:rsidR="006D0C5E" w:rsidRPr="00085E5F" w:rsidRDefault="006D0C5E" w:rsidP="00A05D01">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szCs w:val="17"/>
                <w:lang w:eastAsia="en-US"/>
              </w:rPr>
              <w:t>March 2019</w:t>
            </w:r>
          </w:p>
        </w:tc>
      </w:tr>
      <w:tr w:rsidR="006D0C5E" w:rsidRPr="003B5EE5" w:rsidTr="00A05D01">
        <w:trPr>
          <w:cnfStyle w:val="100000000000" w:firstRow="1" w:lastRow="0" w:firstColumn="0" w:lastColumn="0" w:oddVBand="0" w:evenVBand="0" w:oddHBand="0" w:evenHBand="0" w:firstRowFirstColumn="0" w:firstRowLastColumn="0" w:lastRowFirstColumn="0" w:lastRowLastColumn="0"/>
        </w:trPr>
        <w:tc>
          <w:tcPr>
            <w:tcW w:w="3064" w:type="dxa"/>
          </w:tcPr>
          <w:p w:rsidR="006D0C5E" w:rsidRDefault="006D0C5E" w:rsidP="00A05D01">
            <w:pPr>
              <w:keepLines/>
              <w:spacing w:before="40" w:after="40" w:line="200" w:lineRule="atLeast"/>
              <w:rPr>
                <w:rFonts w:eastAsia="Times New Roman"/>
                <w:b w:val="0"/>
                <w:iCs/>
                <w:szCs w:val="17"/>
              </w:rPr>
            </w:pPr>
          </w:p>
        </w:tc>
        <w:tc>
          <w:tcPr>
            <w:tcW w:w="3665" w:type="dxa"/>
          </w:tcPr>
          <w:p w:rsidR="006D0C5E" w:rsidRPr="001B66C7" w:rsidRDefault="006D0C5E" w:rsidP="00A05D01">
            <w:pPr>
              <w:keepLines/>
              <w:spacing w:before="40" w:after="40" w:line="200" w:lineRule="atLeast"/>
              <w:rPr>
                <w:rFonts w:eastAsia="Times New Roman"/>
                <w:b w:val="0"/>
                <w:iCs/>
                <w:szCs w:val="17"/>
              </w:rPr>
            </w:pPr>
          </w:p>
        </w:tc>
        <w:tc>
          <w:tcPr>
            <w:tcW w:w="1397" w:type="dxa"/>
          </w:tcPr>
          <w:p w:rsidR="006D0C5E" w:rsidRPr="001B66C7" w:rsidRDefault="006D0C5E" w:rsidP="00A05D01">
            <w:pPr>
              <w:keepLines/>
              <w:spacing w:before="40" w:after="40" w:line="200" w:lineRule="atLeast"/>
              <w:rPr>
                <w:rFonts w:asciiTheme="minorHAnsi" w:eastAsia="Times New Roman" w:hAnsiTheme="minorHAnsi"/>
                <w:b w:val="0"/>
                <w:iCs/>
                <w:szCs w:val="17"/>
                <w:lang w:eastAsia="en-US"/>
              </w:rPr>
            </w:pPr>
          </w:p>
        </w:tc>
        <w:tc>
          <w:tcPr>
            <w:tcW w:w="1953" w:type="dxa"/>
          </w:tcPr>
          <w:p w:rsidR="006D0C5E" w:rsidRPr="001B66C7" w:rsidRDefault="006D0C5E" w:rsidP="00A05D01">
            <w:pPr>
              <w:keepLines/>
              <w:spacing w:before="40" w:after="40" w:line="200" w:lineRule="atLeast"/>
              <w:rPr>
                <w:rFonts w:asciiTheme="minorHAnsi" w:eastAsia="Times New Roman" w:hAnsiTheme="minorHAnsi"/>
                <w:b w:val="0"/>
                <w:iCs/>
                <w:szCs w:val="17"/>
                <w:lang w:eastAsia="en-US"/>
              </w:rPr>
            </w:pPr>
          </w:p>
        </w:tc>
        <w:tc>
          <w:tcPr>
            <w:tcW w:w="1671" w:type="dxa"/>
          </w:tcPr>
          <w:p w:rsidR="006D0C5E" w:rsidRPr="001B66C7" w:rsidRDefault="006D0C5E" w:rsidP="00A05D01">
            <w:pPr>
              <w:keepLines/>
              <w:spacing w:before="40" w:after="40" w:line="200" w:lineRule="atLeast"/>
              <w:rPr>
                <w:rFonts w:asciiTheme="minorHAnsi" w:eastAsia="Times New Roman" w:hAnsiTheme="minorHAnsi"/>
                <w:b w:val="0"/>
                <w:iCs/>
                <w:szCs w:val="17"/>
                <w:lang w:eastAsia="en-US"/>
              </w:rPr>
            </w:pPr>
          </w:p>
        </w:tc>
        <w:tc>
          <w:tcPr>
            <w:tcW w:w="2365" w:type="dxa"/>
          </w:tcPr>
          <w:p w:rsidR="006D0C5E" w:rsidRPr="001B66C7" w:rsidRDefault="006D0C5E" w:rsidP="00A05D01">
            <w:pPr>
              <w:keepLines/>
              <w:spacing w:before="40" w:after="40" w:line="200" w:lineRule="atLeast"/>
              <w:rPr>
                <w:rFonts w:asciiTheme="minorHAnsi" w:eastAsia="Times New Roman" w:hAnsiTheme="minorHAnsi"/>
                <w:b w:val="0"/>
                <w:iCs/>
                <w:szCs w:val="17"/>
                <w:lang w:eastAsia="en-US"/>
              </w:rPr>
            </w:pPr>
          </w:p>
        </w:tc>
      </w:tr>
    </w:tbl>
    <w:p w:rsidR="006D0C5E" w:rsidRPr="00EF26B5" w:rsidRDefault="006D0C5E" w:rsidP="006D0C5E">
      <w:pPr>
        <w:spacing w:before="360"/>
        <w:rPr>
          <w:rFonts w:eastAsiaTheme="majorEastAsia" w:cstheme="minorHAnsi"/>
          <w:caps/>
          <w:sz w:val="36"/>
          <w:szCs w:val="36"/>
        </w:rPr>
      </w:pPr>
      <w:r w:rsidRPr="00EF26B5">
        <w:rPr>
          <w:rFonts w:eastAsiaTheme="majorEastAsia" w:cstheme="minorHAnsi"/>
          <w:caps/>
          <w:sz w:val="36"/>
          <w:szCs w:val="36"/>
        </w:rPr>
        <w:t xml:space="preserve">2 List of program prioritised evaluations </w:t>
      </w:r>
      <w:r w:rsidRPr="00B77B79">
        <w:rPr>
          <w:rFonts w:eastAsiaTheme="majorEastAsia" w:cstheme="minorHAnsi"/>
          <w:caps/>
          <w:sz w:val="36"/>
          <w:szCs w:val="36"/>
        </w:rPr>
        <w:t>planned for the next 12 months</w:t>
      </w:r>
      <w:r w:rsidRPr="00EF26B5">
        <w:rPr>
          <w:rFonts w:eastAsiaTheme="majorEastAsia" w:cstheme="minorHAnsi"/>
          <w:caps/>
          <w:sz w:val="36"/>
          <w:szCs w:val="36"/>
        </w:rPr>
        <w:t xml:space="preserve">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6D0C5E" w:rsidRPr="00C61187" w:rsidTr="00A05D01">
        <w:tc>
          <w:tcPr>
            <w:tcW w:w="2444" w:type="dxa"/>
          </w:tcPr>
          <w:p w:rsidR="006D0C5E" w:rsidRPr="00812509" w:rsidRDefault="006D0C5E" w:rsidP="00A05D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6D0C5E" w:rsidRPr="00812509" w:rsidRDefault="006D0C5E" w:rsidP="00A05D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6D0C5E" w:rsidRPr="00812509" w:rsidRDefault="006D0C5E" w:rsidP="00A05D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6D0C5E" w:rsidRPr="00812509" w:rsidRDefault="006D0C5E" w:rsidP="00A05D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6D0C5E" w:rsidRPr="00812509" w:rsidRDefault="006D0C5E" w:rsidP="00A05D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6D0C5E" w:rsidRPr="00812509" w:rsidRDefault="006D0C5E" w:rsidP="00A05D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6D0C5E" w:rsidRPr="00C61187" w:rsidTr="00A05D01">
        <w:tc>
          <w:tcPr>
            <w:tcW w:w="2444" w:type="dxa"/>
          </w:tcPr>
          <w:p w:rsidR="006D0C5E" w:rsidRPr="006C0E16" w:rsidRDefault="006D0C5E" w:rsidP="00A05D01">
            <w:pPr>
              <w:keepLines/>
              <w:spacing w:before="40" w:after="40" w:line="200" w:lineRule="atLeast"/>
              <w:rPr>
                <w:rFonts w:asciiTheme="minorHAnsi" w:eastAsia="Times New Roman" w:hAnsiTheme="minorHAnsi"/>
                <w:iCs/>
                <w:szCs w:val="17"/>
                <w:lang w:eastAsia="en-US"/>
              </w:rPr>
            </w:pPr>
            <w:r w:rsidRPr="006C0E16">
              <w:rPr>
                <w:rFonts w:asciiTheme="minorHAnsi" w:eastAsia="Times New Roman" w:hAnsiTheme="minorHAnsi"/>
                <w:iCs/>
                <w:szCs w:val="17"/>
                <w:lang w:eastAsia="en-US"/>
              </w:rPr>
              <w:t xml:space="preserve">Independent </w:t>
            </w:r>
            <w:r>
              <w:rPr>
                <w:rFonts w:asciiTheme="minorHAnsi" w:eastAsia="Times New Roman" w:hAnsiTheme="minorHAnsi"/>
                <w:iCs/>
                <w:szCs w:val="17"/>
                <w:lang w:eastAsia="en-US"/>
              </w:rPr>
              <w:t xml:space="preserve">end of program </w:t>
            </w:r>
            <w:r w:rsidRPr="006C0E16">
              <w:rPr>
                <w:rFonts w:asciiTheme="minorHAnsi" w:eastAsia="Times New Roman" w:hAnsiTheme="minorHAnsi"/>
                <w:iCs/>
                <w:szCs w:val="17"/>
                <w:lang w:eastAsia="en-US"/>
              </w:rPr>
              <w:t xml:space="preserve">evaluation of </w:t>
            </w:r>
            <w:r>
              <w:rPr>
                <w:rFonts w:asciiTheme="minorHAnsi" w:eastAsia="Times New Roman" w:hAnsiTheme="minorHAnsi"/>
                <w:iCs/>
                <w:szCs w:val="17"/>
              </w:rPr>
              <w:t>Australia-IFC Fiji Partnership</w:t>
            </w:r>
          </w:p>
          <w:p w:rsidR="006D0C5E" w:rsidRPr="006C0E16" w:rsidRDefault="006D0C5E" w:rsidP="00A05D01">
            <w:pPr>
              <w:keepLines/>
              <w:spacing w:before="40" w:after="40" w:line="200" w:lineRule="atLeast"/>
              <w:rPr>
                <w:rFonts w:asciiTheme="minorHAnsi" w:eastAsia="Times New Roman" w:hAnsiTheme="minorHAnsi"/>
                <w:iCs/>
                <w:color w:val="FF0000"/>
                <w:szCs w:val="17"/>
                <w:lang w:eastAsia="en-US"/>
              </w:rPr>
            </w:pPr>
          </w:p>
        </w:tc>
        <w:tc>
          <w:tcPr>
            <w:tcW w:w="2356" w:type="dxa"/>
          </w:tcPr>
          <w:p w:rsidR="006D0C5E" w:rsidRPr="006C0E16" w:rsidRDefault="006D0C5E" w:rsidP="00A05D0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INM108 Australia – IFC Fiji Partnership</w:t>
            </w:r>
          </w:p>
          <w:p w:rsidR="006D0C5E" w:rsidRPr="006C0E16" w:rsidRDefault="006D0C5E" w:rsidP="00A05D01">
            <w:pPr>
              <w:keepLines/>
              <w:spacing w:before="40" w:after="40" w:line="200" w:lineRule="atLeast"/>
              <w:rPr>
                <w:rFonts w:asciiTheme="minorHAnsi" w:eastAsia="Times New Roman" w:hAnsiTheme="minorHAnsi"/>
                <w:iCs/>
                <w:color w:val="FF0000"/>
                <w:szCs w:val="17"/>
                <w:lang w:eastAsia="en-US"/>
              </w:rPr>
            </w:pPr>
          </w:p>
        </w:tc>
        <w:tc>
          <w:tcPr>
            <w:tcW w:w="2042" w:type="dxa"/>
          </w:tcPr>
          <w:p w:rsidR="006D0C5E" w:rsidRPr="006C0E16" w:rsidRDefault="006D0C5E" w:rsidP="00A05D0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November</w:t>
            </w:r>
            <w:r w:rsidRPr="006C0E16">
              <w:rPr>
                <w:rFonts w:asciiTheme="minorHAnsi" w:eastAsia="Times New Roman" w:hAnsiTheme="minorHAnsi"/>
                <w:iCs/>
                <w:szCs w:val="17"/>
                <w:lang w:eastAsia="en-US"/>
              </w:rPr>
              <w:t xml:space="preserve"> 2019</w:t>
            </w:r>
          </w:p>
          <w:p w:rsidR="006D0C5E" w:rsidRPr="006C0E16" w:rsidRDefault="006D0C5E" w:rsidP="00A05D01">
            <w:pPr>
              <w:keepLines/>
              <w:spacing w:before="40" w:after="40" w:line="200" w:lineRule="atLeast"/>
              <w:rPr>
                <w:rFonts w:asciiTheme="minorHAnsi" w:eastAsia="Times New Roman" w:hAnsiTheme="minorHAnsi"/>
                <w:iCs/>
                <w:color w:val="FF0000"/>
                <w:szCs w:val="17"/>
                <w:lang w:eastAsia="en-US"/>
              </w:rPr>
            </w:pPr>
          </w:p>
        </w:tc>
        <w:tc>
          <w:tcPr>
            <w:tcW w:w="2208" w:type="dxa"/>
          </w:tcPr>
          <w:p w:rsidR="006D0C5E" w:rsidRPr="006C0E16" w:rsidRDefault="006D0C5E" w:rsidP="00A05D0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January 2020</w:t>
            </w:r>
          </w:p>
          <w:p w:rsidR="006D0C5E" w:rsidRPr="006C0E16" w:rsidRDefault="006D0C5E" w:rsidP="00A05D01">
            <w:pPr>
              <w:keepLines/>
              <w:spacing w:before="40" w:after="40" w:line="200" w:lineRule="atLeast"/>
              <w:rPr>
                <w:rFonts w:asciiTheme="minorHAnsi" w:eastAsia="Times New Roman" w:hAnsiTheme="minorHAnsi"/>
                <w:iCs/>
                <w:color w:val="FF0000"/>
                <w:szCs w:val="17"/>
                <w:lang w:eastAsia="en-US"/>
              </w:rPr>
            </w:pPr>
          </w:p>
        </w:tc>
        <w:tc>
          <w:tcPr>
            <w:tcW w:w="2325" w:type="dxa"/>
          </w:tcPr>
          <w:p w:rsidR="006D0C5E" w:rsidRPr="00914413" w:rsidRDefault="006D0C5E" w:rsidP="00A05D01">
            <w:pPr>
              <w:keepLines/>
              <w:spacing w:before="40" w:after="40" w:line="200" w:lineRule="atLeast"/>
              <w:rPr>
                <w:rFonts w:asciiTheme="minorHAnsi" w:eastAsia="Times New Roman" w:hAnsiTheme="minorHAnsi"/>
                <w:iCs/>
                <w:szCs w:val="17"/>
                <w:lang w:eastAsia="en-US"/>
              </w:rPr>
            </w:pPr>
            <w:r w:rsidRPr="00F370D4">
              <w:rPr>
                <w:rFonts w:asciiTheme="minorHAnsi" w:eastAsia="Times New Roman" w:hAnsiTheme="minorHAnsi"/>
                <w:iCs/>
                <w:szCs w:val="17"/>
                <w:lang w:eastAsia="en-US"/>
              </w:rPr>
              <w:t xml:space="preserve">The evaluation will assess the effectiveness and efficiency of </w:t>
            </w:r>
            <w:r>
              <w:rPr>
                <w:rFonts w:asciiTheme="minorHAnsi" w:eastAsia="Times New Roman" w:hAnsiTheme="minorHAnsi"/>
                <w:iCs/>
                <w:szCs w:val="17"/>
                <w:lang w:eastAsia="en-US"/>
              </w:rPr>
              <w:t xml:space="preserve">the Fiji partnership to provide recommendations and lessons that will inform the design of the next partnership. </w:t>
            </w:r>
          </w:p>
        </w:tc>
        <w:tc>
          <w:tcPr>
            <w:tcW w:w="2740" w:type="dxa"/>
          </w:tcPr>
          <w:p w:rsidR="006D0C5E" w:rsidRPr="00F370D4" w:rsidRDefault="006D0C5E" w:rsidP="00A05D0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Partner-led </w:t>
            </w:r>
          </w:p>
          <w:p w:rsidR="006D0C5E" w:rsidRPr="00F370D4" w:rsidRDefault="006D0C5E" w:rsidP="00A05D01">
            <w:pPr>
              <w:keepLines/>
              <w:spacing w:before="40" w:after="40" w:line="200" w:lineRule="atLeast"/>
              <w:rPr>
                <w:rFonts w:asciiTheme="minorHAnsi" w:eastAsia="Times New Roman" w:hAnsiTheme="minorHAnsi"/>
                <w:iCs/>
                <w:color w:val="FF0000"/>
                <w:szCs w:val="17"/>
                <w:lang w:eastAsia="en-US"/>
              </w:rPr>
            </w:pPr>
          </w:p>
        </w:tc>
      </w:tr>
      <w:tr w:rsidR="006D0C5E" w:rsidRPr="00C61187" w:rsidTr="00A05D01">
        <w:tc>
          <w:tcPr>
            <w:tcW w:w="2444" w:type="dxa"/>
          </w:tcPr>
          <w:p w:rsidR="006D0C5E" w:rsidRPr="006C0E16" w:rsidRDefault="006D0C5E" w:rsidP="00A05D01">
            <w:pPr>
              <w:keepLines/>
              <w:spacing w:before="40" w:after="40" w:line="200" w:lineRule="atLeast"/>
              <w:rPr>
                <w:rFonts w:eastAsia="Times New Roman"/>
                <w:iCs/>
                <w:szCs w:val="17"/>
              </w:rPr>
            </w:pPr>
            <w:r w:rsidRPr="00A56589">
              <w:rPr>
                <w:rFonts w:asciiTheme="minorHAnsi" w:eastAsia="Times New Roman" w:hAnsiTheme="minorHAnsi"/>
                <w:iCs/>
                <w:szCs w:val="17"/>
              </w:rPr>
              <w:t>Fiji Women’s Fund Mid Term Review</w:t>
            </w:r>
            <w:r>
              <w:rPr>
                <w:rFonts w:eastAsia="Times New Roman"/>
                <w:iCs/>
                <w:szCs w:val="17"/>
              </w:rPr>
              <w:t xml:space="preserve"> </w:t>
            </w:r>
          </w:p>
        </w:tc>
        <w:tc>
          <w:tcPr>
            <w:tcW w:w="2356" w:type="dxa"/>
          </w:tcPr>
          <w:p w:rsidR="006D0C5E" w:rsidRDefault="006D0C5E" w:rsidP="00A05D01">
            <w:pPr>
              <w:keepLines/>
              <w:spacing w:before="40" w:after="40" w:line="200" w:lineRule="atLeast"/>
              <w:rPr>
                <w:rFonts w:eastAsia="Times New Roman"/>
                <w:iCs/>
                <w:szCs w:val="17"/>
              </w:rPr>
            </w:pPr>
            <w:r w:rsidRPr="00A56589">
              <w:rPr>
                <w:rFonts w:asciiTheme="minorHAnsi" w:eastAsia="Times New Roman" w:hAnsiTheme="minorHAnsi"/>
                <w:iCs/>
                <w:szCs w:val="17"/>
              </w:rPr>
              <w:t xml:space="preserve">INK496 – Fiji Women’s Fund </w:t>
            </w:r>
          </w:p>
        </w:tc>
        <w:tc>
          <w:tcPr>
            <w:tcW w:w="2042" w:type="dxa"/>
          </w:tcPr>
          <w:p w:rsidR="006D0C5E" w:rsidRDefault="006D0C5E" w:rsidP="00A05D01">
            <w:pPr>
              <w:keepLines/>
              <w:spacing w:before="40" w:after="40" w:line="200" w:lineRule="atLeast"/>
              <w:rPr>
                <w:rFonts w:eastAsia="Times New Roman"/>
                <w:iCs/>
                <w:szCs w:val="17"/>
              </w:rPr>
            </w:pPr>
            <w:r w:rsidRPr="00A56589">
              <w:rPr>
                <w:rFonts w:asciiTheme="minorHAnsi" w:eastAsia="Times New Roman" w:hAnsiTheme="minorHAnsi"/>
                <w:iCs/>
                <w:szCs w:val="17"/>
                <w:lang w:eastAsia="en-US"/>
              </w:rPr>
              <w:t>May 2019</w:t>
            </w:r>
          </w:p>
        </w:tc>
        <w:tc>
          <w:tcPr>
            <w:tcW w:w="2208" w:type="dxa"/>
          </w:tcPr>
          <w:p w:rsidR="006D0C5E" w:rsidRDefault="006D0C5E" w:rsidP="00A05D01">
            <w:pPr>
              <w:keepLines/>
              <w:spacing w:before="40" w:after="40" w:line="200" w:lineRule="atLeast"/>
              <w:rPr>
                <w:rFonts w:eastAsia="Times New Roman"/>
                <w:iCs/>
                <w:szCs w:val="17"/>
              </w:rPr>
            </w:pPr>
            <w:r w:rsidRPr="00A56589">
              <w:rPr>
                <w:rFonts w:asciiTheme="minorHAnsi" w:eastAsia="Times New Roman" w:hAnsiTheme="minorHAnsi"/>
                <w:iCs/>
                <w:szCs w:val="17"/>
                <w:lang w:eastAsia="en-US"/>
              </w:rPr>
              <w:t>January 2020</w:t>
            </w:r>
            <w:r>
              <w:rPr>
                <w:rFonts w:eastAsia="Times New Roman"/>
                <w:iCs/>
                <w:szCs w:val="17"/>
              </w:rPr>
              <w:t xml:space="preserve"> </w:t>
            </w:r>
          </w:p>
        </w:tc>
        <w:tc>
          <w:tcPr>
            <w:tcW w:w="2325" w:type="dxa"/>
          </w:tcPr>
          <w:p w:rsidR="006D0C5E" w:rsidRPr="001B66C7" w:rsidRDefault="006D0C5E" w:rsidP="00440D8E">
            <w:pPr>
              <w:keepLines/>
              <w:spacing w:before="40" w:after="40" w:line="200" w:lineRule="atLeast"/>
              <w:rPr>
                <w:rFonts w:asciiTheme="minorHAnsi" w:eastAsia="Times New Roman" w:hAnsiTheme="minorHAnsi"/>
                <w:iCs/>
                <w:szCs w:val="17"/>
                <w:lang w:eastAsia="en-US"/>
              </w:rPr>
            </w:pPr>
            <w:r w:rsidRPr="001B66C7">
              <w:rPr>
                <w:rFonts w:asciiTheme="minorHAnsi" w:eastAsia="Times New Roman" w:hAnsiTheme="minorHAnsi"/>
                <w:iCs/>
                <w:szCs w:val="17"/>
                <w:lang w:eastAsia="en-US"/>
              </w:rPr>
              <w:t xml:space="preserve">The mid-term review </w:t>
            </w:r>
            <w:r w:rsidR="00440D8E">
              <w:rPr>
                <w:rFonts w:asciiTheme="minorHAnsi" w:eastAsia="Times New Roman" w:hAnsiTheme="minorHAnsi"/>
                <w:iCs/>
                <w:szCs w:val="17"/>
                <w:lang w:eastAsia="en-US"/>
              </w:rPr>
              <w:t>will</w:t>
            </w:r>
            <w:r w:rsidRPr="001B66C7">
              <w:rPr>
                <w:rFonts w:asciiTheme="minorHAnsi" w:eastAsia="Times New Roman" w:hAnsiTheme="minorHAnsi"/>
                <w:iCs/>
                <w:szCs w:val="17"/>
                <w:lang w:eastAsia="en-US"/>
              </w:rPr>
              <w:t xml:space="preserve"> undertake an independent assessment of the Fiji Women’s Fund and identify key achievements and lessons since establishment in 2017. </w:t>
            </w:r>
          </w:p>
        </w:tc>
        <w:tc>
          <w:tcPr>
            <w:tcW w:w="2740" w:type="dxa"/>
          </w:tcPr>
          <w:p w:rsidR="006D0C5E" w:rsidRPr="00A56589" w:rsidRDefault="006D0C5E" w:rsidP="00A05D01">
            <w:pPr>
              <w:keepLines/>
              <w:spacing w:before="40" w:after="40" w:line="200" w:lineRule="atLeast"/>
              <w:rPr>
                <w:rFonts w:eastAsia="Times New Roman"/>
                <w:iCs/>
                <w:szCs w:val="17"/>
              </w:rPr>
            </w:pPr>
            <w:r w:rsidRPr="00A56589">
              <w:rPr>
                <w:rFonts w:asciiTheme="minorHAnsi" w:eastAsia="Times New Roman" w:hAnsiTheme="minorHAnsi"/>
                <w:iCs/>
                <w:szCs w:val="17"/>
                <w:lang w:eastAsia="en-US"/>
              </w:rPr>
              <w:t>Joint DFAT and Partner</w:t>
            </w:r>
            <w:r w:rsidRPr="00A56589">
              <w:rPr>
                <w:rFonts w:eastAsia="Times New Roman"/>
                <w:iCs/>
                <w:szCs w:val="17"/>
              </w:rPr>
              <w:t xml:space="preserve"> </w:t>
            </w:r>
          </w:p>
        </w:tc>
      </w:tr>
      <w:tr w:rsidR="006D0C5E" w:rsidRPr="00C61187" w:rsidTr="00A05D01">
        <w:tc>
          <w:tcPr>
            <w:tcW w:w="2444" w:type="dxa"/>
          </w:tcPr>
          <w:p w:rsidR="006D0C5E" w:rsidRPr="00A56589" w:rsidRDefault="006D0C5E" w:rsidP="00A05D01">
            <w:pPr>
              <w:keepLines/>
              <w:spacing w:before="40" w:after="40" w:line="200" w:lineRule="atLeast"/>
              <w:rPr>
                <w:rFonts w:eastAsia="Times New Roman"/>
                <w:iCs/>
                <w:szCs w:val="17"/>
              </w:rPr>
            </w:pPr>
            <w:r w:rsidRPr="00A56589">
              <w:rPr>
                <w:rFonts w:asciiTheme="minorHAnsi" w:eastAsia="Times New Roman" w:hAnsiTheme="minorHAnsi"/>
                <w:iCs/>
                <w:szCs w:val="17"/>
              </w:rPr>
              <w:t>Fiji Women’s Crisis Centre End of Program Evaluation</w:t>
            </w:r>
            <w:r>
              <w:rPr>
                <w:rFonts w:eastAsia="Times New Roman"/>
                <w:iCs/>
                <w:szCs w:val="17"/>
              </w:rPr>
              <w:t xml:space="preserve"> </w:t>
            </w:r>
          </w:p>
        </w:tc>
        <w:tc>
          <w:tcPr>
            <w:tcW w:w="2356" w:type="dxa"/>
          </w:tcPr>
          <w:p w:rsidR="006D0C5E" w:rsidRPr="00A56589" w:rsidRDefault="006D0C5E" w:rsidP="00A05D01">
            <w:pPr>
              <w:keepLines/>
              <w:spacing w:before="40" w:after="40" w:line="200" w:lineRule="atLeast"/>
              <w:rPr>
                <w:rFonts w:eastAsia="Times New Roman"/>
                <w:iCs/>
                <w:szCs w:val="17"/>
              </w:rPr>
            </w:pPr>
            <w:r>
              <w:rPr>
                <w:rFonts w:asciiTheme="minorHAnsi" w:eastAsia="Times New Roman" w:hAnsiTheme="minorHAnsi"/>
                <w:iCs/>
                <w:szCs w:val="17"/>
              </w:rPr>
              <w:t xml:space="preserve">INL397 – </w:t>
            </w:r>
            <w:r w:rsidRPr="00A56589">
              <w:rPr>
                <w:rFonts w:asciiTheme="minorHAnsi" w:eastAsia="Times New Roman" w:hAnsiTheme="minorHAnsi"/>
                <w:iCs/>
                <w:szCs w:val="17"/>
              </w:rPr>
              <w:t>Pacific Women Fiji Country Plan</w:t>
            </w:r>
            <w:r>
              <w:rPr>
                <w:rFonts w:eastAsia="Times New Roman"/>
                <w:iCs/>
                <w:szCs w:val="17"/>
              </w:rPr>
              <w:t xml:space="preserve"> </w:t>
            </w:r>
          </w:p>
        </w:tc>
        <w:tc>
          <w:tcPr>
            <w:tcW w:w="2042" w:type="dxa"/>
          </w:tcPr>
          <w:p w:rsidR="006D0C5E" w:rsidRPr="00A56589" w:rsidRDefault="006D0C5E" w:rsidP="00A05D01">
            <w:pPr>
              <w:keepLines/>
              <w:spacing w:before="40" w:after="40" w:line="200" w:lineRule="atLeast"/>
              <w:rPr>
                <w:rFonts w:eastAsia="Times New Roman"/>
                <w:iCs/>
                <w:szCs w:val="17"/>
              </w:rPr>
            </w:pPr>
            <w:r w:rsidRPr="00A56589">
              <w:rPr>
                <w:rFonts w:asciiTheme="minorHAnsi" w:eastAsia="Times New Roman" w:hAnsiTheme="minorHAnsi"/>
                <w:iCs/>
                <w:szCs w:val="17"/>
              </w:rPr>
              <w:t>July 2019</w:t>
            </w:r>
          </w:p>
        </w:tc>
        <w:tc>
          <w:tcPr>
            <w:tcW w:w="2208" w:type="dxa"/>
          </w:tcPr>
          <w:p w:rsidR="006D0C5E" w:rsidRPr="00A56589" w:rsidRDefault="006D0C5E" w:rsidP="00A05D01">
            <w:pPr>
              <w:keepLines/>
              <w:spacing w:before="40" w:after="40" w:line="200" w:lineRule="atLeast"/>
              <w:rPr>
                <w:rFonts w:eastAsia="Times New Roman"/>
                <w:iCs/>
                <w:szCs w:val="17"/>
              </w:rPr>
            </w:pPr>
            <w:r>
              <w:rPr>
                <w:rFonts w:eastAsia="Times New Roman"/>
                <w:iCs/>
                <w:szCs w:val="17"/>
              </w:rPr>
              <w:t>February 2020</w:t>
            </w:r>
          </w:p>
        </w:tc>
        <w:tc>
          <w:tcPr>
            <w:tcW w:w="2325" w:type="dxa"/>
          </w:tcPr>
          <w:p w:rsidR="006D0C5E" w:rsidRPr="001B66C7" w:rsidRDefault="006D0C5E" w:rsidP="00A05D01">
            <w:pPr>
              <w:keepLines/>
              <w:spacing w:before="40" w:after="40" w:line="200" w:lineRule="atLeast"/>
              <w:rPr>
                <w:rFonts w:asciiTheme="minorHAnsi" w:eastAsia="Times New Roman" w:hAnsiTheme="minorHAnsi"/>
                <w:iCs/>
                <w:szCs w:val="17"/>
                <w:lang w:eastAsia="en-US"/>
              </w:rPr>
            </w:pPr>
            <w:r w:rsidRPr="001B66C7">
              <w:rPr>
                <w:rFonts w:asciiTheme="minorHAnsi" w:eastAsia="Times New Roman" w:hAnsiTheme="minorHAnsi"/>
                <w:iCs/>
                <w:szCs w:val="17"/>
                <w:lang w:eastAsia="en-US"/>
              </w:rPr>
              <w:t>The evaluation will assess the overall performance of the program to inform design of the next phase of support</w:t>
            </w:r>
          </w:p>
        </w:tc>
        <w:tc>
          <w:tcPr>
            <w:tcW w:w="2740" w:type="dxa"/>
          </w:tcPr>
          <w:p w:rsidR="006D0C5E" w:rsidRPr="00A56589" w:rsidRDefault="006D0C5E" w:rsidP="00A05D01">
            <w:pPr>
              <w:keepLines/>
              <w:spacing w:before="40" w:after="40" w:line="200" w:lineRule="atLeast"/>
              <w:rPr>
                <w:rFonts w:eastAsia="Times New Roman"/>
                <w:iCs/>
                <w:szCs w:val="17"/>
              </w:rPr>
            </w:pPr>
            <w:r w:rsidRPr="00A56589">
              <w:rPr>
                <w:rFonts w:asciiTheme="minorHAnsi" w:eastAsia="Times New Roman" w:hAnsiTheme="minorHAnsi"/>
                <w:iCs/>
                <w:szCs w:val="17"/>
                <w:lang w:eastAsia="en-US"/>
              </w:rPr>
              <w:t>Joint DFAT and Partner</w:t>
            </w:r>
            <w:r>
              <w:rPr>
                <w:rFonts w:eastAsia="Times New Roman"/>
                <w:iCs/>
                <w:szCs w:val="17"/>
              </w:rPr>
              <w:t xml:space="preserve"> </w:t>
            </w:r>
          </w:p>
        </w:tc>
      </w:tr>
    </w:tbl>
    <w:p w:rsidR="006D0C5E" w:rsidRDefault="006D0C5E" w:rsidP="006D0C5E">
      <w:pPr>
        <w:pStyle w:val="ListBullet"/>
        <w:tabs>
          <w:tab w:val="clear" w:pos="284"/>
        </w:tabs>
        <w:sectPr w:rsidR="006D0C5E" w:rsidSect="00A05D01">
          <w:headerReference w:type="default" r:id="rId29"/>
          <w:headerReference w:type="first" r:id="rId30"/>
          <w:pgSz w:w="16838" w:h="11906" w:orient="landscape" w:code="9"/>
          <w:pgMar w:top="1134" w:right="1952" w:bottom="1134" w:left="851" w:header="1107" w:footer="567" w:gutter="0"/>
          <w:cols w:space="397"/>
          <w:docGrid w:linePitch="360"/>
        </w:sectPr>
      </w:pPr>
    </w:p>
    <w:p w:rsidR="00400B0F" w:rsidRPr="00901B73" w:rsidRDefault="00400B0F" w:rsidP="00901B73">
      <w:pPr>
        <w:keepNext/>
        <w:tabs>
          <w:tab w:val="left" w:pos="1560"/>
        </w:tabs>
        <w:spacing w:before="360" w:after="120" w:line="300" w:lineRule="exact"/>
        <w:outlineLvl w:val="1"/>
        <w:rPr>
          <w:rFonts w:asciiTheme="majorHAnsi" w:eastAsiaTheme="majorEastAsia" w:hAnsiTheme="majorHAnsi" w:cstheme="majorHAnsi"/>
          <w:bCs/>
          <w:iCs/>
          <w:caps/>
          <w:spacing w:val="-10"/>
          <w:kern w:val="28"/>
          <w:sz w:val="38"/>
          <w:szCs w:val="24"/>
        </w:rPr>
      </w:pPr>
      <w:r w:rsidRPr="00901B73">
        <w:rPr>
          <w:rFonts w:asciiTheme="majorHAnsi" w:eastAsiaTheme="majorEastAsia" w:hAnsiTheme="majorHAnsi" w:cstheme="majorHAnsi"/>
          <w:bCs/>
          <w:iCs/>
          <w:caps/>
          <w:spacing w:val="-10"/>
          <w:kern w:val="28"/>
          <w:sz w:val="38"/>
          <w:szCs w:val="24"/>
        </w:rPr>
        <w:lastRenderedPageBreak/>
        <w:t>Annex D - Aid Quality Check ratings</w:t>
      </w:r>
    </w:p>
    <w:p w:rsidR="00901B73" w:rsidRPr="00EF26B5" w:rsidRDefault="00901B73" w:rsidP="00901B73">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1 AQC ratings</w:t>
      </w:r>
    </w:p>
    <w:tbl>
      <w:tblPr>
        <w:tblW w:w="10352" w:type="dxa"/>
        <w:tblInd w:w="-426" w:type="dxa"/>
        <w:tblBorders>
          <w:top w:val="single" w:sz="4" w:space="0" w:color="B0BDC6" w:themeColor="text2" w:themeTint="66"/>
          <w:left w:val="single" w:sz="4" w:space="0" w:color="B0BDC6" w:themeColor="text2" w:themeTint="66"/>
          <w:bottom w:val="single" w:sz="4" w:space="0" w:color="B0BDC6" w:themeColor="text2" w:themeTint="66"/>
          <w:right w:val="single" w:sz="4" w:space="0" w:color="B0BDC6" w:themeColor="text2" w:themeTint="66"/>
          <w:insideH w:val="single" w:sz="4" w:space="0" w:color="B0BDC6" w:themeColor="text2" w:themeTint="66"/>
          <w:insideV w:val="single" w:sz="4" w:space="0" w:color="B0BDC6" w:themeColor="text2" w:themeTint="66"/>
        </w:tblBorders>
        <w:tblLook w:val="04A0" w:firstRow="1" w:lastRow="0" w:firstColumn="1" w:lastColumn="0" w:noHBand="0" w:noVBand="1"/>
      </w:tblPr>
      <w:tblGrid>
        <w:gridCol w:w="3950"/>
        <w:gridCol w:w="1137"/>
        <w:gridCol w:w="831"/>
        <w:gridCol w:w="739"/>
        <w:gridCol w:w="739"/>
        <w:gridCol w:w="739"/>
        <w:gridCol w:w="739"/>
        <w:gridCol w:w="739"/>
        <w:gridCol w:w="739"/>
      </w:tblGrid>
      <w:tr w:rsidR="00E452F6" w:rsidRPr="00942499" w:rsidTr="00BB18E3">
        <w:trPr>
          <w:trHeight w:val="1851"/>
        </w:trPr>
        <w:tc>
          <w:tcPr>
            <w:tcW w:w="3950" w:type="dxa"/>
            <w:shd w:val="clear" w:color="000000" w:fill="FFFFFF"/>
            <w:vAlign w:val="center"/>
            <w:hideMark/>
          </w:tcPr>
          <w:p w:rsidR="00E452F6" w:rsidRPr="00E452F6" w:rsidRDefault="00E452F6" w:rsidP="00E452F6">
            <w:pPr>
              <w:suppressAutoHyphens w:val="0"/>
              <w:spacing w:before="0" w:after="0" w:line="240" w:lineRule="auto"/>
              <w:rPr>
                <w:rFonts w:ascii="Calibri Light" w:eastAsia="Times New Roman" w:hAnsi="Calibri Light" w:cs="Calibri Light"/>
                <w:b/>
                <w:bCs/>
                <w:color w:val="495965"/>
                <w:szCs w:val="17"/>
                <w:lang w:val="en-AU" w:eastAsia="en-AU"/>
              </w:rPr>
            </w:pPr>
            <w:r w:rsidRPr="00E452F6">
              <w:rPr>
                <w:rFonts w:ascii="Calibri Light" w:eastAsia="Times New Roman" w:hAnsi="Calibri Light" w:cs="Calibri Light"/>
                <w:b/>
                <w:bCs/>
                <w:noProof/>
                <w:color w:val="495965"/>
                <w:szCs w:val="17"/>
                <w:lang w:val="en-AU" w:eastAsia="en-AU"/>
              </w:rPr>
              <w:drawing>
                <wp:anchor distT="0" distB="0" distL="114300" distR="114300" simplePos="0" relativeHeight="251692032" behindDoc="0" locked="0" layoutInCell="1" allowOverlap="1" wp14:anchorId="58456B11" wp14:editId="7A293DE5">
                  <wp:simplePos x="0" y="0"/>
                  <wp:positionH relativeFrom="column">
                    <wp:posOffset>0</wp:posOffset>
                  </wp:positionH>
                  <wp:positionV relativeFrom="paragraph">
                    <wp:posOffset>0</wp:posOffset>
                  </wp:positionV>
                  <wp:extent cx="3333750" cy="228600"/>
                  <wp:effectExtent l="0" t="0" r="0" b="0"/>
                  <wp:wrapNone/>
                  <wp:docPr id="38" name="Picture 38" hidden="1"/>
                  <wp:cNvGraphicFramePr/>
                  <a:graphic xmlns:a="http://schemas.openxmlformats.org/drawingml/2006/main">
                    <a:graphicData uri="http://schemas.openxmlformats.org/drawingml/2006/picture">
                      <pic:pic xmlns:pic="http://schemas.openxmlformats.org/drawingml/2006/picture">
                        <pic:nvPicPr>
                          <pic:cNvPr id="2" name="Picture 48"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452F6">
              <w:rPr>
                <w:rFonts w:ascii="Calibri Light" w:eastAsia="Times New Roman" w:hAnsi="Calibri Light" w:cs="Calibri Light"/>
                <w:b/>
                <w:bCs/>
                <w:color w:val="495965"/>
                <w:szCs w:val="17"/>
                <w:lang w:val="en-AU" w:eastAsia="en-AU"/>
              </w:rPr>
              <w:t>Investment name</w:t>
            </w:r>
          </w:p>
        </w:tc>
        <w:tc>
          <w:tcPr>
            <w:tcW w:w="1137" w:type="dxa"/>
            <w:shd w:val="clear" w:color="auto" w:fill="auto"/>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Approved budget and duration</w:t>
            </w:r>
          </w:p>
        </w:tc>
        <w:tc>
          <w:tcPr>
            <w:tcW w:w="831" w:type="dxa"/>
            <w:shd w:val="clear" w:color="auto" w:fill="auto"/>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year on year</w:t>
            </w:r>
          </w:p>
        </w:tc>
        <w:tc>
          <w:tcPr>
            <w:tcW w:w="739" w:type="dxa"/>
            <w:shd w:val="clear" w:color="auto" w:fill="auto"/>
            <w:textDirection w:val="btLr"/>
            <w:vAlign w:val="center"/>
            <w:hideMark/>
          </w:tcPr>
          <w:p w:rsidR="00E452F6" w:rsidRPr="00942499" w:rsidRDefault="00E452F6" w:rsidP="00BB18E3">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Effectiveness</w:t>
            </w:r>
          </w:p>
        </w:tc>
        <w:tc>
          <w:tcPr>
            <w:tcW w:w="739" w:type="dxa"/>
            <w:shd w:val="clear" w:color="auto" w:fill="auto"/>
            <w:textDirection w:val="btLr"/>
            <w:vAlign w:val="center"/>
            <w:hideMark/>
          </w:tcPr>
          <w:p w:rsidR="00E452F6" w:rsidRPr="00942499" w:rsidRDefault="00E452F6" w:rsidP="00BB18E3">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Efficiency</w:t>
            </w:r>
          </w:p>
        </w:tc>
        <w:tc>
          <w:tcPr>
            <w:tcW w:w="739" w:type="dxa"/>
            <w:shd w:val="clear" w:color="auto" w:fill="auto"/>
            <w:textDirection w:val="btLr"/>
            <w:vAlign w:val="center"/>
            <w:hideMark/>
          </w:tcPr>
          <w:p w:rsidR="00E452F6" w:rsidRPr="00942499" w:rsidRDefault="00E452F6" w:rsidP="00BB18E3">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Gender equality</w:t>
            </w:r>
          </w:p>
        </w:tc>
        <w:tc>
          <w:tcPr>
            <w:tcW w:w="739" w:type="dxa"/>
            <w:shd w:val="clear" w:color="auto" w:fill="auto"/>
            <w:textDirection w:val="btLr"/>
            <w:vAlign w:val="center"/>
            <w:hideMark/>
          </w:tcPr>
          <w:p w:rsidR="00E452F6" w:rsidRPr="00942499" w:rsidRDefault="00E452F6" w:rsidP="00BB18E3">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Relevance</w:t>
            </w:r>
          </w:p>
        </w:tc>
        <w:tc>
          <w:tcPr>
            <w:tcW w:w="739" w:type="dxa"/>
            <w:shd w:val="clear" w:color="auto" w:fill="auto"/>
            <w:textDirection w:val="btLr"/>
            <w:vAlign w:val="center"/>
            <w:hideMark/>
          </w:tcPr>
          <w:p w:rsidR="00E452F6" w:rsidRPr="00942499" w:rsidRDefault="00E452F6" w:rsidP="00BB18E3">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Monitoring and Evaluation</w:t>
            </w:r>
          </w:p>
        </w:tc>
        <w:tc>
          <w:tcPr>
            <w:tcW w:w="739" w:type="dxa"/>
            <w:shd w:val="clear" w:color="auto" w:fill="auto"/>
            <w:textDirection w:val="btLr"/>
            <w:vAlign w:val="center"/>
            <w:hideMark/>
          </w:tcPr>
          <w:p w:rsidR="00E452F6" w:rsidRPr="00942499" w:rsidRDefault="00E452F6" w:rsidP="00BB18E3">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Sustainability</w:t>
            </w:r>
          </w:p>
        </w:tc>
      </w:tr>
      <w:tr w:rsidR="00E452F6" w:rsidRPr="00942499" w:rsidTr="00BB18E3">
        <w:trPr>
          <w:trHeight w:val="461"/>
        </w:trPr>
        <w:tc>
          <w:tcPr>
            <w:tcW w:w="3950" w:type="dxa"/>
            <w:vMerge w:val="restart"/>
            <w:shd w:val="clear" w:color="000000" w:fill="FFFFFF"/>
            <w:noWrap/>
            <w:vAlign w:val="center"/>
            <w:hideMark/>
          </w:tcPr>
          <w:p w:rsidR="00E452F6" w:rsidRPr="00942499" w:rsidRDefault="00E452F6" w:rsidP="00E452F6">
            <w:pPr>
              <w:spacing w:before="0" w:after="0" w:line="240" w:lineRule="auto"/>
              <w:rPr>
                <w:rFonts w:ascii="Calibri" w:eastAsia="Times New Roman" w:hAnsi="Calibri" w:cs="Calibri"/>
                <w:b/>
                <w:bCs/>
                <w:color w:val="495965"/>
                <w:sz w:val="17"/>
                <w:szCs w:val="17"/>
                <w:lang w:val="en-AU" w:eastAsia="en-AU"/>
              </w:rPr>
            </w:pPr>
            <w:r>
              <w:rPr>
                <w:rFonts w:ascii="Calibri" w:eastAsia="Times New Roman" w:hAnsi="Calibri" w:cs="Calibri"/>
                <w:b/>
                <w:bCs/>
                <w:color w:val="495965"/>
                <w:sz w:val="17"/>
                <w:szCs w:val="17"/>
                <w:lang w:val="en-AU" w:eastAsia="en-AU"/>
              </w:rPr>
              <w:t xml:space="preserve">INM059 - Fiji Program Support Facility </w:t>
            </w: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r>
              <w:rPr>
                <w:rFonts w:ascii="Calibri Light" w:eastAsia="Times New Roman" w:hAnsi="Calibri Light" w:cs="Calibri Light"/>
                <w:color w:val="495965"/>
                <w:sz w:val="17"/>
                <w:szCs w:val="17"/>
                <w:lang w:val="en-AU" w:eastAsia="en-AU"/>
              </w:rPr>
              <w:t>66.0m</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2019 AQC</w:t>
            </w:r>
          </w:p>
        </w:tc>
        <w:tc>
          <w:tcPr>
            <w:tcW w:w="739" w:type="dxa"/>
            <w:shd w:val="clear" w:color="auto"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4</w:t>
            </w:r>
          </w:p>
        </w:tc>
        <w:tc>
          <w:tcPr>
            <w:tcW w:w="739" w:type="dxa"/>
            <w:shd w:val="clear" w:color="auto" w:fill="FFFF00"/>
            <w:vAlign w:val="center"/>
            <w:hideMark/>
          </w:tcPr>
          <w:p w:rsidR="00E452F6" w:rsidRPr="00BF3251" w:rsidRDefault="00E452F6" w:rsidP="00E452F6">
            <w:pPr>
              <w:suppressAutoHyphens w:val="0"/>
              <w:spacing w:before="0" w:after="0" w:line="240" w:lineRule="auto"/>
              <w:jc w:val="center"/>
              <w:rPr>
                <w:rFonts w:ascii="Calibri Light" w:eastAsia="Times New Roman" w:hAnsi="Calibri Light" w:cs="Calibri Light"/>
                <w:color w:val="495965"/>
                <w:sz w:val="17"/>
                <w:szCs w:val="17"/>
                <w:highlight w:val="yellow"/>
                <w:lang w:val="en-AU" w:eastAsia="en-AU"/>
              </w:rPr>
            </w:pPr>
            <w:r w:rsidRPr="00BF3251">
              <w:rPr>
                <w:rFonts w:ascii="Calibri Light" w:eastAsia="Times New Roman" w:hAnsi="Calibri Light" w:cs="Calibri Light"/>
                <w:color w:val="495965"/>
                <w:sz w:val="17"/>
                <w:szCs w:val="17"/>
                <w:lang w:val="en-AU" w:eastAsia="en-AU"/>
              </w:rPr>
              <w:t>4</w:t>
            </w:r>
          </w:p>
        </w:tc>
        <w:tc>
          <w:tcPr>
            <w:tcW w:w="739" w:type="dxa"/>
            <w:shd w:val="clear" w:color="auto" w:fill="FFFF00"/>
            <w:vAlign w:val="center"/>
            <w:hideMark/>
          </w:tcPr>
          <w:p w:rsidR="00E452F6" w:rsidRPr="00BF3251" w:rsidRDefault="00E452F6" w:rsidP="00E452F6">
            <w:pPr>
              <w:suppressAutoHyphens w:val="0"/>
              <w:spacing w:before="0" w:after="0" w:line="240" w:lineRule="auto"/>
              <w:jc w:val="center"/>
              <w:rPr>
                <w:rFonts w:ascii="Calibri Light" w:eastAsia="Times New Roman" w:hAnsi="Calibri Light" w:cs="Calibri Light"/>
                <w:color w:val="495965"/>
                <w:sz w:val="17"/>
                <w:szCs w:val="17"/>
                <w:highlight w:val="yellow"/>
                <w:lang w:val="en-AU" w:eastAsia="en-AU"/>
              </w:rPr>
            </w:pPr>
            <w:r w:rsidRPr="00BF3251">
              <w:rPr>
                <w:rFonts w:ascii="Calibri Light" w:eastAsia="Times New Roman" w:hAnsi="Calibri Light" w:cs="Calibri Light"/>
                <w:color w:val="495965"/>
                <w:sz w:val="17"/>
                <w:szCs w:val="17"/>
                <w:highlight w:val="yellow"/>
                <w:lang w:val="en-AU" w:eastAsia="en-AU"/>
              </w:rPr>
              <w:t>4</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r>
      <w:tr w:rsidR="00E452F6" w:rsidRPr="00942499" w:rsidTr="00BB18E3">
        <w:trPr>
          <w:trHeight w:val="485"/>
        </w:trPr>
        <w:tc>
          <w:tcPr>
            <w:tcW w:w="3950" w:type="dxa"/>
            <w:vMerge/>
            <w:shd w:val="clear" w:color="000000" w:fill="FFFFFF"/>
            <w:noWrap/>
            <w:vAlign w:val="bottom"/>
            <w:hideMark/>
          </w:tcPr>
          <w:p w:rsidR="00E452F6" w:rsidRPr="00942499" w:rsidRDefault="00E452F6" w:rsidP="00E452F6">
            <w:pPr>
              <w:suppressAutoHyphens w:val="0"/>
              <w:spacing w:before="0" w:after="0" w:line="240" w:lineRule="auto"/>
              <w:rPr>
                <w:rFonts w:ascii="Calibri" w:eastAsia="Times New Roman" w:hAnsi="Calibri" w:cs="Calibri"/>
                <w:b/>
                <w:bCs/>
                <w:color w:val="495965"/>
                <w:sz w:val="17"/>
                <w:szCs w:val="17"/>
                <w:lang w:val="en-AU" w:eastAsia="en-AU"/>
              </w:rPr>
            </w:pP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2016-22</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2018 AQC</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FFC0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3</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92D05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5</w:t>
            </w:r>
          </w:p>
        </w:tc>
        <w:tc>
          <w:tcPr>
            <w:tcW w:w="739" w:type="dxa"/>
            <w:shd w:val="clear" w:color="000000"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000000"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r>
      <w:tr w:rsidR="00E452F6" w:rsidRPr="00942499" w:rsidTr="00BB18E3">
        <w:trPr>
          <w:trHeight w:val="461"/>
        </w:trPr>
        <w:tc>
          <w:tcPr>
            <w:tcW w:w="3950" w:type="dxa"/>
            <w:vMerge w:val="restart"/>
            <w:shd w:val="clear" w:color="000000" w:fill="FFFFFF"/>
            <w:vAlign w:val="center"/>
            <w:hideMark/>
          </w:tcPr>
          <w:p w:rsidR="00E452F6" w:rsidRPr="00942499" w:rsidRDefault="00E452F6" w:rsidP="00E452F6">
            <w:pPr>
              <w:spacing w:before="0" w:after="0" w:line="240" w:lineRule="auto"/>
              <w:rPr>
                <w:rFonts w:ascii="Calibri" w:eastAsia="Times New Roman" w:hAnsi="Calibri" w:cs="Calibri"/>
                <w:b/>
                <w:bCs/>
                <w:color w:val="495965"/>
                <w:sz w:val="17"/>
                <w:szCs w:val="17"/>
                <w:lang w:val="en-AU" w:eastAsia="en-AU"/>
              </w:rPr>
            </w:pPr>
            <w:r>
              <w:rPr>
                <w:rFonts w:ascii="Calibri" w:eastAsia="Times New Roman" w:hAnsi="Calibri" w:cs="Calibri"/>
                <w:b/>
                <w:bCs/>
                <w:color w:val="495965"/>
                <w:sz w:val="17"/>
                <w:szCs w:val="17"/>
                <w:lang w:val="en-AU" w:eastAsia="en-AU"/>
              </w:rPr>
              <w:t>INM059</w:t>
            </w:r>
            <w:r w:rsidRPr="00942499">
              <w:rPr>
                <w:rFonts w:ascii="Calibri" w:eastAsia="Times New Roman" w:hAnsi="Calibri" w:cs="Calibri"/>
                <w:b/>
                <w:bCs/>
                <w:color w:val="495965"/>
                <w:sz w:val="17"/>
                <w:szCs w:val="17"/>
                <w:lang w:val="en-AU" w:eastAsia="en-AU"/>
              </w:rPr>
              <w:t xml:space="preserve"> </w:t>
            </w:r>
            <w:r>
              <w:rPr>
                <w:rFonts w:ascii="Calibri" w:eastAsia="Times New Roman" w:hAnsi="Calibri" w:cs="Calibri"/>
                <w:b/>
                <w:bCs/>
                <w:color w:val="495965"/>
                <w:sz w:val="17"/>
                <w:szCs w:val="17"/>
                <w:lang w:val="en-AU" w:eastAsia="en-AU"/>
              </w:rPr>
              <w:t xml:space="preserve">- Fiji Program Support Facility (Health Program) </w:t>
            </w: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r>
              <w:rPr>
                <w:rFonts w:ascii="Calibri Light" w:eastAsia="Times New Roman" w:hAnsi="Calibri Light" w:cs="Calibri Light"/>
                <w:color w:val="495965"/>
                <w:sz w:val="17"/>
                <w:szCs w:val="17"/>
                <w:lang w:val="en-AU" w:eastAsia="en-AU"/>
              </w:rPr>
              <w:t>25.0m</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2019 AQC</w:t>
            </w:r>
          </w:p>
        </w:tc>
        <w:tc>
          <w:tcPr>
            <w:tcW w:w="739" w:type="dxa"/>
            <w:shd w:val="clear" w:color="auto"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4</w:t>
            </w:r>
          </w:p>
        </w:tc>
        <w:tc>
          <w:tcPr>
            <w:tcW w:w="739" w:type="dxa"/>
            <w:shd w:val="clear" w:color="auto" w:fill="FFFF00"/>
            <w:vAlign w:val="center"/>
            <w:hideMark/>
          </w:tcPr>
          <w:p w:rsidR="00E452F6" w:rsidRPr="00BF3251" w:rsidRDefault="00E452F6" w:rsidP="00E452F6">
            <w:pPr>
              <w:suppressAutoHyphens w:val="0"/>
              <w:spacing w:before="0" w:after="0" w:line="240" w:lineRule="auto"/>
              <w:jc w:val="center"/>
              <w:rPr>
                <w:rFonts w:ascii="Calibri Light" w:eastAsia="Times New Roman" w:hAnsi="Calibri Light" w:cs="Calibri Light"/>
                <w:color w:val="495965"/>
                <w:sz w:val="17"/>
                <w:szCs w:val="17"/>
                <w:highlight w:val="yellow"/>
                <w:lang w:val="en-AU" w:eastAsia="en-AU"/>
              </w:rPr>
            </w:pPr>
            <w:r w:rsidRPr="00BF3251">
              <w:rPr>
                <w:rFonts w:ascii="Calibri Light" w:eastAsia="Times New Roman" w:hAnsi="Calibri Light" w:cs="Calibri Light"/>
                <w:color w:val="495965"/>
                <w:sz w:val="17"/>
                <w:szCs w:val="17"/>
                <w:lang w:val="en-AU" w:eastAsia="en-AU"/>
              </w:rPr>
              <w:t>4</w:t>
            </w:r>
          </w:p>
        </w:tc>
        <w:tc>
          <w:tcPr>
            <w:tcW w:w="739" w:type="dxa"/>
            <w:shd w:val="clear" w:color="auto" w:fill="FFC000"/>
            <w:vAlign w:val="center"/>
            <w:hideMark/>
          </w:tcPr>
          <w:p w:rsidR="00E452F6" w:rsidRPr="00BF3251" w:rsidRDefault="00E452F6" w:rsidP="00E452F6">
            <w:pPr>
              <w:suppressAutoHyphens w:val="0"/>
              <w:spacing w:before="0" w:after="0" w:line="240" w:lineRule="auto"/>
              <w:jc w:val="center"/>
              <w:rPr>
                <w:rFonts w:ascii="Calibri Light" w:eastAsia="Times New Roman" w:hAnsi="Calibri Light" w:cs="Calibri Light"/>
                <w:color w:val="495965"/>
                <w:sz w:val="17"/>
                <w:szCs w:val="17"/>
                <w:highlight w:val="yellow"/>
                <w:lang w:val="en-AU" w:eastAsia="en-AU"/>
              </w:rPr>
            </w:pPr>
            <w:r w:rsidRPr="00523B1F">
              <w:rPr>
                <w:rFonts w:ascii="Calibri Light" w:eastAsia="Times New Roman" w:hAnsi="Calibri Light" w:cs="Calibri Light"/>
                <w:color w:val="495965"/>
                <w:sz w:val="17"/>
                <w:szCs w:val="17"/>
                <w:lang w:val="en-AU" w:eastAsia="en-AU"/>
              </w:rPr>
              <w:t>3</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r>
      <w:tr w:rsidR="00E452F6" w:rsidRPr="00942499" w:rsidTr="00BB18E3">
        <w:trPr>
          <w:trHeight w:val="485"/>
        </w:trPr>
        <w:tc>
          <w:tcPr>
            <w:tcW w:w="3950" w:type="dxa"/>
            <w:vMerge/>
            <w:shd w:val="clear" w:color="000000" w:fill="FFFFFF"/>
            <w:noWrap/>
            <w:vAlign w:val="bottom"/>
            <w:hideMark/>
          </w:tcPr>
          <w:p w:rsidR="00E452F6" w:rsidRPr="00942499" w:rsidRDefault="00E452F6" w:rsidP="00E452F6">
            <w:pPr>
              <w:suppressAutoHyphens w:val="0"/>
              <w:spacing w:before="0" w:after="0" w:line="240" w:lineRule="auto"/>
              <w:rPr>
                <w:rFonts w:ascii="Calibri" w:eastAsia="Times New Roman" w:hAnsi="Calibri" w:cs="Calibri"/>
                <w:b/>
                <w:bCs/>
                <w:color w:val="495965"/>
                <w:sz w:val="17"/>
                <w:szCs w:val="17"/>
                <w:lang w:val="en-AU" w:eastAsia="en-AU"/>
              </w:rPr>
            </w:pP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2016-22</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2018 AQC</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FFC0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3</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92D05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5</w:t>
            </w:r>
          </w:p>
        </w:tc>
        <w:tc>
          <w:tcPr>
            <w:tcW w:w="739" w:type="dxa"/>
            <w:shd w:val="clear" w:color="000000"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r>
      <w:tr w:rsidR="00E452F6" w:rsidRPr="00942499" w:rsidTr="00BB18E3">
        <w:trPr>
          <w:trHeight w:val="461"/>
        </w:trPr>
        <w:tc>
          <w:tcPr>
            <w:tcW w:w="3950" w:type="dxa"/>
            <w:vMerge w:val="restart"/>
            <w:shd w:val="clear" w:color="000000" w:fill="FFFFFF"/>
            <w:vAlign w:val="center"/>
            <w:hideMark/>
          </w:tcPr>
          <w:p w:rsidR="00E452F6" w:rsidRPr="00942499" w:rsidRDefault="00E452F6" w:rsidP="00E452F6">
            <w:pPr>
              <w:suppressAutoHyphens w:val="0"/>
              <w:spacing w:before="0" w:after="0" w:line="240" w:lineRule="auto"/>
              <w:rPr>
                <w:rFonts w:ascii="Calibri" w:eastAsia="Times New Roman" w:hAnsi="Calibri" w:cs="Calibri"/>
                <w:b/>
                <w:bCs/>
                <w:color w:val="495965"/>
                <w:sz w:val="17"/>
                <w:szCs w:val="17"/>
                <w:lang w:val="en-AU" w:eastAsia="en-AU"/>
              </w:rPr>
            </w:pPr>
            <w:r>
              <w:rPr>
                <w:rFonts w:ascii="Calibri" w:eastAsia="Times New Roman" w:hAnsi="Calibri" w:cs="Calibri"/>
                <w:b/>
                <w:bCs/>
                <w:color w:val="495965"/>
                <w:sz w:val="17"/>
                <w:szCs w:val="17"/>
                <w:lang w:val="en-AU" w:eastAsia="en-AU"/>
              </w:rPr>
              <w:t>INM059</w:t>
            </w:r>
            <w:r w:rsidRPr="00942499">
              <w:rPr>
                <w:rFonts w:ascii="Calibri" w:eastAsia="Times New Roman" w:hAnsi="Calibri" w:cs="Calibri"/>
                <w:b/>
                <w:bCs/>
                <w:color w:val="495965"/>
                <w:sz w:val="17"/>
                <w:szCs w:val="17"/>
                <w:lang w:val="en-AU" w:eastAsia="en-AU"/>
              </w:rPr>
              <w:t xml:space="preserve"> </w:t>
            </w:r>
            <w:r>
              <w:rPr>
                <w:rFonts w:ascii="Calibri" w:eastAsia="Times New Roman" w:hAnsi="Calibri" w:cs="Calibri"/>
                <w:b/>
                <w:bCs/>
                <w:color w:val="495965"/>
                <w:sz w:val="17"/>
                <w:szCs w:val="17"/>
                <w:lang w:val="en-AU" w:eastAsia="en-AU"/>
              </w:rPr>
              <w:t>- Fiji Program Support Facility (Education Program)</w:t>
            </w: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r>
              <w:rPr>
                <w:rFonts w:ascii="Calibri Light" w:eastAsia="Times New Roman" w:hAnsi="Calibri Light" w:cs="Calibri Light"/>
                <w:color w:val="495965"/>
                <w:sz w:val="17"/>
                <w:szCs w:val="17"/>
                <w:lang w:val="en-AU" w:eastAsia="en-AU"/>
              </w:rPr>
              <w:t>25.0m</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2019 AQC</w:t>
            </w:r>
          </w:p>
        </w:tc>
        <w:tc>
          <w:tcPr>
            <w:tcW w:w="739" w:type="dxa"/>
            <w:shd w:val="clear" w:color="auto"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4</w:t>
            </w:r>
          </w:p>
        </w:tc>
        <w:tc>
          <w:tcPr>
            <w:tcW w:w="739" w:type="dxa"/>
            <w:shd w:val="clear" w:color="auto" w:fill="FFFF00"/>
            <w:vAlign w:val="center"/>
            <w:hideMark/>
          </w:tcPr>
          <w:p w:rsidR="00E452F6" w:rsidRPr="00BF3251" w:rsidRDefault="00E452F6" w:rsidP="00E452F6">
            <w:pPr>
              <w:suppressAutoHyphens w:val="0"/>
              <w:spacing w:before="0" w:after="0" w:line="240" w:lineRule="auto"/>
              <w:jc w:val="center"/>
              <w:rPr>
                <w:rFonts w:ascii="Calibri Light" w:eastAsia="Times New Roman" w:hAnsi="Calibri Light" w:cs="Calibri Light"/>
                <w:color w:val="495965"/>
                <w:sz w:val="17"/>
                <w:szCs w:val="17"/>
                <w:highlight w:val="yellow"/>
                <w:lang w:val="en-AU" w:eastAsia="en-AU"/>
              </w:rPr>
            </w:pPr>
            <w:r w:rsidRPr="00BF3251">
              <w:rPr>
                <w:rFonts w:ascii="Calibri Light" w:eastAsia="Times New Roman" w:hAnsi="Calibri Light" w:cs="Calibri Light"/>
                <w:color w:val="495965"/>
                <w:sz w:val="17"/>
                <w:szCs w:val="17"/>
                <w:lang w:val="en-AU" w:eastAsia="en-AU"/>
              </w:rPr>
              <w:t>4</w:t>
            </w:r>
          </w:p>
        </w:tc>
        <w:tc>
          <w:tcPr>
            <w:tcW w:w="739" w:type="dxa"/>
            <w:shd w:val="clear" w:color="auto" w:fill="FFFF00"/>
            <w:vAlign w:val="center"/>
            <w:hideMark/>
          </w:tcPr>
          <w:p w:rsidR="00E452F6" w:rsidRPr="00BF3251" w:rsidRDefault="00E452F6" w:rsidP="00E452F6">
            <w:pPr>
              <w:suppressAutoHyphens w:val="0"/>
              <w:spacing w:before="0" w:after="0" w:line="240" w:lineRule="auto"/>
              <w:jc w:val="center"/>
              <w:rPr>
                <w:rFonts w:ascii="Calibri Light" w:eastAsia="Times New Roman" w:hAnsi="Calibri Light" w:cs="Calibri Light"/>
                <w:color w:val="495965"/>
                <w:sz w:val="17"/>
                <w:szCs w:val="17"/>
                <w:highlight w:val="yellow"/>
                <w:lang w:val="en-AU" w:eastAsia="en-AU"/>
              </w:rPr>
            </w:pPr>
            <w:r>
              <w:rPr>
                <w:rFonts w:ascii="Calibri Light" w:eastAsia="Times New Roman" w:hAnsi="Calibri Light" w:cs="Calibri Light"/>
                <w:color w:val="495965"/>
                <w:sz w:val="17"/>
                <w:szCs w:val="17"/>
                <w:highlight w:val="yellow"/>
                <w:lang w:val="en-AU" w:eastAsia="en-AU"/>
              </w:rPr>
              <w:t>4</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r>
      <w:tr w:rsidR="00E452F6" w:rsidRPr="00942499" w:rsidTr="00BB18E3">
        <w:trPr>
          <w:trHeight w:val="485"/>
        </w:trPr>
        <w:tc>
          <w:tcPr>
            <w:tcW w:w="3950" w:type="dxa"/>
            <w:vMerge/>
            <w:shd w:val="clear" w:color="000000" w:fill="FFFFFF"/>
            <w:vAlign w:val="bottom"/>
            <w:hideMark/>
          </w:tcPr>
          <w:p w:rsidR="00E452F6" w:rsidRPr="00942499" w:rsidRDefault="00E452F6" w:rsidP="00E452F6">
            <w:pPr>
              <w:suppressAutoHyphens w:val="0"/>
              <w:spacing w:before="0" w:after="0" w:line="240" w:lineRule="auto"/>
              <w:rPr>
                <w:rFonts w:ascii="Calibri" w:eastAsia="Times New Roman" w:hAnsi="Calibri" w:cs="Calibri"/>
                <w:b/>
                <w:bCs/>
                <w:color w:val="495965"/>
                <w:sz w:val="17"/>
                <w:szCs w:val="17"/>
                <w:lang w:val="en-AU" w:eastAsia="en-AU"/>
              </w:rPr>
            </w:pP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2016-22</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2018 AQC</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4</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92D05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5</w:t>
            </w:r>
          </w:p>
        </w:tc>
        <w:tc>
          <w:tcPr>
            <w:tcW w:w="739" w:type="dxa"/>
            <w:shd w:val="clear" w:color="auto" w:fill="FFC0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3</w:t>
            </w:r>
          </w:p>
        </w:tc>
        <w:tc>
          <w:tcPr>
            <w:tcW w:w="739" w:type="dxa"/>
            <w:shd w:val="clear" w:color="000000"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r>
      <w:tr w:rsidR="00E452F6" w:rsidRPr="00942499" w:rsidTr="00BB18E3">
        <w:trPr>
          <w:trHeight w:val="485"/>
        </w:trPr>
        <w:tc>
          <w:tcPr>
            <w:tcW w:w="3950" w:type="dxa"/>
            <w:vMerge w:val="restart"/>
            <w:shd w:val="clear" w:color="000000" w:fill="FFFFFF"/>
            <w:vAlign w:val="center"/>
            <w:hideMark/>
          </w:tcPr>
          <w:p w:rsidR="00E452F6" w:rsidRPr="00942499" w:rsidRDefault="00E452F6" w:rsidP="00E452F6">
            <w:pPr>
              <w:suppressAutoHyphens w:val="0"/>
              <w:spacing w:before="0" w:after="0" w:line="240" w:lineRule="auto"/>
              <w:rPr>
                <w:rFonts w:ascii="Calibri" w:eastAsia="Times New Roman" w:hAnsi="Calibri" w:cs="Calibri"/>
                <w:b/>
                <w:bCs/>
                <w:color w:val="495965"/>
                <w:sz w:val="17"/>
                <w:szCs w:val="17"/>
                <w:lang w:val="en-AU" w:eastAsia="en-AU"/>
              </w:rPr>
            </w:pPr>
            <w:r>
              <w:rPr>
                <w:rFonts w:ascii="Calibri" w:eastAsia="Times New Roman" w:hAnsi="Calibri" w:cs="Calibri"/>
                <w:b/>
                <w:bCs/>
                <w:color w:val="495965"/>
                <w:sz w:val="17"/>
                <w:szCs w:val="17"/>
                <w:lang w:val="en-AU" w:eastAsia="en-AU"/>
              </w:rPr>
              <w:t>INL339</w:t>
            </w:r>
            <w:r w:rsidRPr="00942499">
              <w:rPr>
                <w:rFonts w:ascii="Calibri" w:eastAsia="Times New Roman" w:hAnsi="Calibri" w:cs="Calibri"/>
                <w:b/>
                <w:bCs/>
                <w:color w:val="495965"/>
                <w:sz w:val="17"/>
                <w:szCs w:val="17"/>
                <w:lang w:val="en-AU" w:eastAsia="en-AU"/>
              </w:rPr>
              <w:t xml:space="preserve"> </w:t>
            </w:r>
            <w:r>
              <w:rPr>
                <w:rFonts w:ascii="Calibri" w:eastAsia="Times New Roman" w:hAnsi="Calibri" w:cs="Calibri"/>
                <w:b/>
                <w:bCs/>
                <w:color w:val="495965"/>
                <w:sz w:val="17"/>
                <w:szCs w:val="17"/>
                <w:lang w:val="en-AU" w:eastAsia="en-AU"/>
              </w:rPr>
              <w:t>- Fiji Bilateral Governance Program</w:t>
            </w:r>
          </w:p>
        </w:tc>
        <w:tc>
          <w:tcPr>
            <w:tcW w:w="1137" w:type="dxa"/>
            <w:shd w:val="clear" w:color="000000" w:fill="FFFFFF"/>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r>
              <w:rPr>
                <w:rFonts w:ascii="Calibri Light" w:eastAsia="Times New Roman" w:hAnsi="Calibri Light" w:cs="Calibri Light"/>
                <w:color w:val="495965"/>
                <w:sz w:val="17"/>
                <w:szCs w:val="17"/>
                <w:lang w:val="en-AU" w:eastAsia="en-AU"/>
              </w:rPr>
              <w:t>25.8 million</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2019 AQC</w:t>
            </w:r>
          </w:p>
        </w:tc>
        <w:tc>
          <w:tcPr>
            <w:tcW w:w="739" w:type="dxa"/>
            <w:shd w:val="clear" w:color="auto" w:fill="92D05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5</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FFC0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3</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r>
      <w:tr w:rsidR="00E452F6" w:rsidRPr="00942499" w:rsidTr="00BB18E3">
        <w:trPr>
          <w:trHeight w:val="461"/>
        </w:trPr>
        <w:tc>
          <w:tcPr>
            <w:tcW w:w="3950" w:type="dxa"/>
            <w:vMerge/>
            <w:shd w:val="clear" w:color="000000" w:fill="FFFFFF"/>
            <w:vAlign w:val="bottom"/>
            <w:hideMark/>
          </w:tcPr>
          <w:p w:rsidR="00E452F6" w:rsidRPr="00942499" w:rsidRDefault="00E452F6" w:rsidP="00E452F6">
            <w:pPr>
              <w:suppressAutoHyphens w:val="0"/>
              <w:spacing w:before="0" w:after="0" w:line="240" w:lineRule="auto"/>
              <w:rPr>
                <w:rFonts w:ascii="Calibri" w:eastAsia="Times New Roman" w:hAnsi="Calibri" w:cs="Calibri"/>
                <w:b/>
                <w:bCs/>
                <w:color w:val="495965"/>
                <w:sz w:val="17"/>
                <w:szCs w:val="17"/>
                <w:lang w:val="en-AU" w:eastAsia="en-AU"/>
              </w:rPr>
            </w:pP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2014-20</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2018 AQC</w:t>
            </w:r>
          </w:p>
        </w:tc>
        <w:tc>
          <w:tcPr>
            <w:tcW w:w="739" w:type="dxa"/>
            <w:shd w:val="clear" w:color="auto"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4</w:t>
            </w:r>
          </w:p>
        </w:tc>
        <w:tc>
          <w:tcPr>
            <w:tcW w:w="739" w:type="dxa"/>
            <w:shd w:val="clear" w:color="000000"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FFC0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3</w:t>
            </w:r>
          </w:p>
        </w:tc>
        <w:tc>
          <w:tcPr>
            <w:tcW w:w="739" w:type="dxa"/>
            <w:shd w:val="clear" w:color="auto" w:fill="92D05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5</w:t>
            </w:r>
          </w:p>
        </w:tc>
        <w:tc>
          <w:tcPr>
            <w:tcW w:w="739" w:type="dxa"/>
            <w:shd w:val="clear" w:color="000000"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92D05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5</w:t>
            </w:r>
          </w:p>
        </w:tc>
      </w:tr>
      <w:tr w:rsidR="00E452F6" w:rsidRPr="00942499" w:rsidTr="00BB18E3">
        <w:trPr>
          <w:trHeight w:val="461"/>
        </w:trPr>
        <w:tc>
          <w:tcPr>
            <w:tcW w:w="3950" w:type="dxa"/>
            <w:vMerge w:val="restart"/>
            <w:shd w:val="clear" w:color="000000" w:fill="FFFFFF"/>
            <w:vAlign w:val="center"/>
            <w:hideMark/>
          </w:tcPr>
          <w:p w:rsidR="00E452F6" w:rsidRPr="00942499" w:rsidRDefault="00E452F6" w:rsidP="00E452F6">
            <w:pPr>
              <w:spacing w:before="0" w:after="0" w:line="240" w:lineRule="auto"/>
              <w:rPr>
                <w:rFonts w:ascii="Calibri" w:eastAsia="Times New Roman" w:hAnsi="Calibri" w:cs="Calibri"/>
                <w:b/>
                <w:bCs/>
                <w:color w:val="495965"/>
                <w:sz w:val="17"/>
                <w:szCs w:val="17"/>
                <w:lang w:val="en-AU" w:eastAsia="en-AU"/>
              </w:rPr>
            </w:pPr>
            <w:r>
              <w:rPr>
                <w:rFonts w:ascii="Calibri" w:eastAsia="Times New Roman" w:hAnsi="Calibri" w:cs="Calibri"/>
                <w:b/>
                <w:bCs/>
                <w:color w:val="495965"/>
                <w:sz w:val="17"/>
                <w:szCs w:val="17"/>
                <w:lang w:val="en-AU" w:eastAsia="en-AU"/>
              </w:rPr>
              <w:t xml:space="preserve">INK629  - Inclusive Economic Growth (Market Development Facility) </w:t>
            </w: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$17.5m</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2019 AQC</w:t>
            </w:r>
          </w:p>
        </w:tc>
        <w:tc>
          <w:tcPr>
            <w:tcW w:w="739" w:type="dxa"/>
            <w:shd w:val="clear" w:color="auto" w:fill="FFC0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3</w:t>
            </w:r>
          </w:p>
        </w:tc>
        <w:tc>
          <w:tcPr>
            <w:tcW w:w="739" w:type="dxa"/>
            <w:shd w:val="clear" w:color="000000"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FFFF00"/>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4</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c>
          <w:tcPr>
            <w:tcW w:w="739" w:type="dxa"/>
            <w:shd w:val="clear" w:color="000000" w:fill="FFFFFF"/>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w:t>
            </w:r>
          </w:p>
        </w:tc>
      </w:tr>
      <w:tr w:rsidR="00E452F6" w:rsidRPr="00942499" w:rsidTr="00BB18E3">
        <w:trPr>
          <w:trHeight w:val="461"/>
        </w:trPr>
        <w:tc>
          <w:tcPr>
            <w:tcW w:w="3950" w:type="dxa"/>
            <w:vMerge/>
            <w:shd w:val="clear" w:color="000000" w:fill="FFFFFF"/>
            <w:hideMark/>
          </w:tcPr>
          <w:p w:rsidR="00E452F6" w:rsidRPr="00942499" w:rsidRDefault="00E452F6" w:rsidP="00E452F6">
            <w:pPr>
              <w:suppressAutoHyphens w:val="0"/>
              <w:spacing w:before="0" w:after="0" w:line="240" w:lineRule="auto"/>
              <w:rPr>
                <w:rFonts w:ascii="Calibri" w:eastAsia="Times New Roman" w:hAnsi="Calibri" w:cs="Calibri"/>
                <w:b/>
                <w:bCs/>
                <w:color w:val="495965"/>
                <w:sz w:val="17"/>
                <w:szCs w:val="17"/>
                <w:lang w:val="en-AU" w:eastAsia="en-AU"/>
              </w:rPr>
            </w:pPr>
          </w:p>
        </w:tc>
        <w:tc>
          <w:tcPr>
            <w:tcW w:w="1137"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2017-22</w:t>
            </w:r>
          </w:p>
        </w:tc>
        <w:tc>
          <w:tcPr>
            <w:tcW w:w="831" w:type="dxa"/>
            <w:shd w:val="clear" w:color="000000" w:fill="FFFFFF"/>
            <w:vAlign w:val="center"/>
            <w:hideMark/>
          </w:tcPr>
          <w:p w:rsidR="00E452F6" w:rsidRPr="00942499" w:rsidRDefault="00E452F6" w:rsidP="00E452F6">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2018 AQC</w:t>
            </w:r>
          </w:p>
        </w:tc>
        <w:tc>
          <w:tcPr>
            <w:tcW w:w="739" w:type="dxa"/>
            <w:shd w:val="clear" w:color="000000"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000000"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739" w:type="dxa"/>
            <w:shd w:val="clear" w:color="auto" w:fill="92D05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5</w:t>
            </w:r>
          </w:p>
        </w:tc>
        <w:tc>
          <w:tcPr>
            <w:tcW w:w="739" w:type="dxa"/>
            <w:shd w:val="clear" w:color="000000" w:fill="92D05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5</w:t>
            </w:r>
          </w:p>
        </w:tc>
        <w:tc>
          <w:tcPr>
            <w:tcW w:w="739" w:type="dxa"/>
            <w:shd w:val="clear" w:color="auto" w:fill="FFFF0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4</w:t>
            </w:r>
          </w:p>
        </w:tc>
        <w:tc>
          <w:tcPr>
            <w:tcW w:w="739" w:type="dxa"/>
            <w:shd w:val="clear" w:color="auto" w:fill="92D050"/>
            <w:noWrap/>
            <w:vAlign w:val="center"/>
            <w:hideMark/>
          </w:tcPr>
          <w:p w:rsidR="00E452F6" w:rsidRPr="00942499" w:rsidRDefault="00E452F6" w:rsidP="00E452F6">
            <w:pPr>
              <w:suppressAutoHyphens w:val="0"/>
              <w:spacing w:before="0" w:after="0" w:line="240" w:lineRule="auto"/>
              <w:jc w:val="center"/>
              <w:rPr>
                <w:rFonts w:ascii="Calibri Light" w:eastAsia="Times New Roman" w:hAnsi="Calibri Light" w:cs="Calibri Light"/>
                <w:color w:val="495965"/>
                <w:sz w:val="17"/>
                <w:szCs w:val="17"/>
                <w:lang w:val="en-AU" w:eastAsia="en-AU"/>
              </w:rPr>
            </w:pPr>
            <w:r>
              <w:rPr>
                <w:rFonts w:ascii="Calibri Light" w:eastAsia="Times New Roman" w:hAnsi="Calibri Light" w:cs="Calibri Light"/>
                <w:color w:val="495965"/>
                <w:sz w:val="17"/>
                <w:szCs w:val="17"/>
                <w:lang w:val="en-AU" w:eastAsia="en-AU"/>
              </w:rPr>
              <w:t>5</w:t>
            </w:r>
          </w:p>
        </w:tc>
      </w:tr>
    </w:tbl>
    <w:p w:rsidR="005E0A54" w:rsidRDefault="005E0A54"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4D3C5E" w:rsidRDefault="004D3C5E" w:rsidP="00400B0F">
      <w:pPr>
        <w:rPr>
          <w:iCs/>
        </w:rPr>
      </w:pPr>
    </w:p>
    <w:p w:rsidR="00601F6B" w:rsidRDefault="00601F6B" w:rsidP="00400B0F">
      <w:pPr>
        <w:rPr>
          <w:iCs/>
        </w:rPr>
      </w:pPr>
    </w:p>
    <w:p w:rsidR="004D3C5E" w:rsidRDefault="004D3C5E" w:rsidP="00400B0F">
      <w:pPr>
        <w:rPr>
          <w:iCs/>
        </w:rPr>
      </w:pPr>
    </w:p>
    <w:p w:rsidR="00B07F14" w:rsidRDefault="00B07F14">
      <w:pPr>
        <w:suppressAutoHyphens w:val="0"/>
        <w:spacing w:before="0" w:after="120" w:line="440" w:lineRule="atLeast"/>
        <w:rPr>
          <w:iCs/>
        </w:rPr>
      </w:pPr>
    </w:p>
    <w:tbl>
      <w:tblPr>
        <w:tblStyle w:val="DFATTable1"/>
        <w:tblW w:w="5764" w:type="pct"/>
        <w:tblInd w:w="-705" w:type="dxa"/>
        <w:tblLayout w:type="fixed"/>
        <w:tblLook w:val="04A0" w:firstRow="1" w:lastRow="0" w:firstColumn="1" w:lastColumn="0" w:noHBand="0" w:noVBand="1"/>
      </w:tblPr>
      <w:tblGrid>
        <w:gridCol w:w="1641"/>
        <w:gridCol w:w="236"/>
        <w:gridCol w:w="1202"/>
        <w:gridCol w:w="887"/>
        <w:gridCol w:w="789"/>
        <w:gridCol w:w="1118"/>
        <w:gridCol w:w="916"/>
        <w:gridCol w:w="1251"/>
        <w:gridCol w:w="1031"/>
        <w:gridCol w:w="940"/>
        <w:gridCol w:w="1100"/>
      </w:tblGrid>
      <w:tr w:rsidR="007F2264" w:rsidRPr="007F2264" w:rsidTr="00B07F14">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257485" w:rsidRPr="00430439" w:rsidRDefault="00257485" w:rsidP="007A64E7">
            <w:pPr>
              <w:suppressAutoHyphens w:val="0"/>
              <w:spacing w:before="0" w:after="0" w:line="240" w:lineRule="auto"/>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AQC Analysis</w:t>
            </w:r>
          </w:p>
        </w:tc>
        <w:tc>
          <w:tcPr>
            <w:tcW w:w="106" w:type="pct"/>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2017-18</w:t>
            </w:r>
          </w:p>
        </w:tc>
        <w:tc>
          <w:tcPr>
            <w:tcW w:w="399"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p>
        </w:tc>
        <w:tc>
          <w:tcPr>
            <w:tcW w:w="355"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503"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12"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563"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64"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23"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95" w:type="pct"/>
            <w:noWrap/>
            <w:hideMark/>
          </w:tcPr>
          <w:p w:rsidR="00257485" w:rsidRPr="00430439" w:rsidRDefault="00257485" w:rsidP="007A64E7">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257485" w:rsidRPr="00430439" w:rsidRDefault="00257485" w:rsidP="007A64E7">
            <w:pPr>
              <w:suppressAutoHyphens w:val="0"/>
              <w:spacing w:before="0" w:after="0" w:line="240" w:lineRule="auto"/>
              <w:jc w:val="center"/>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Investment Name</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 xml:space="preserve"> Effec</w:t>
            </w:r>
            <w:r w:rsidR="00601F6B" w:rsidRPr="00430439">
              <w:rPr>
                <w:rFonts w:eastAsia="Times New Roman" w:cstheme="minorHAnsi"/>
                <w:b/>
                <w:bCs/>
                <w:color w:val="000000"/>
                <w:sz w:val="17"/>
                <w:szCs w:val="17"/>
                <w:lang w:val="en-AU" w:eastAsia="en-AU"/>
              </w:rPr>
              <w:t>tiveness</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Efficien</w:t>
            </w:r>
            <w:r w:rsidR="00601F6B" w:rsidRPr="00430439">
              <w:rPr>
                <w:rFonts w:eastAsia="Times New Roman" w:cstheme="minorHAnsi"/>
                <w:b/>
                <w:bCs/>
                <w:color w:val="000000"/>
                <w:sz w:val="17"/>
                <w:szCs w:val="17"/>
                <w:lang w:val="en-AU" w:eastAsia="en-AU"/>
              </w:rPr>
              <w:t>cy</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Gender</w:t>
            </w:r>
          </w:p>
          <w:p w:rsidR="00601F6B" w:rsidRPr="00430439" w:rsidRDefault="00601F6B"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Equality</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Relevance</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M&amp;E</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Sustainability</w:t>
            </w:r>
          </w:p>
        </w:tc>
        <w:tc>
          <w:tcPr>
            <w:tcW w:w="464" w:type="pct"/>
            <w:noWrap/>
            <w:hideMark/>
          </w:tcPr>
          <w:p w:rsidR="00257485" w:rsidRPr="00430439" w:rsidRDefault="00601F6B"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T</w:t>
            </w:r>
            <w:r w:rsidR="00257485" w:rsidRPr="00430439">
              <w:rPr>
                <w:rFonts w:eastAsia="Times New Roman" w:cstheme="minorHAnsi"/>
                <w:b/>
                <w:bCs/>
                <w:color w:val="000000"/>
                <w:sz w:val="17"/>
                <w:szCs w:val="17"/>
                <w:lang w:val="en-AU" w:eastAsia="en-AU"/>
              </w:rPr>
              <w:t>otal Score</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Aver Score</w:t>
            </w:r>
          </w:p>
        </w:tc>
        <w:tc>
          <w:tcPr>
            <w:tcW w:w="495" w:type="pct"/>
            <w:noWrap/>
            <w:hideMark/>
          </w:tcPr>
          <w:p w:rsidR="00257485" w:rsidRPr="00430439" w:rsidRDefault="000314F8"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Pr>
                <w:rFonts w:eastAsia="Times New Roman" w:cstheme="minorHAnsi"/>
                <w:b/>
                <w:bCs/>
                <w:color w:val="000000"/>
                <w:sz w:val="17"/>
                <w:szCs w:val="17"/>
                <w:lang w:val="en-AU" w:eastAsia="en-AU"/>
              </w:rPr>
              <w:t>per cent</w:t>
            </w:r>
            <w:r w:rsidR="00257485" w:rsidRPr="00430439">
              <w:rPr>
                <w:rFonts w:eastAsia="Times New Roman" w:cstheme="minorHAnsi"/>
                <w:b/>
                <w:bCs/>
                <w:color w:val="000000"/>
                <w:sz w:val="17"/>
                <w:szCs w:val="17"/>
                <w:lang w:val="en-AU" w:eastAsia="en-AU"/>
              </w:rPr>
              <w:t xml:space="preserve"> Performance</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Fiji Prog</w:t>
            </w:r>
            <w:r w:rsidR="00601F6B" w:rsidRPr="00430439">
              <w:rPr>
                <w:rFonts w:eastAsia="Times New Roman" w:cstheme="minorHAnsi"/>
                <w:color w:val="000000"/>
                <w:sz w:val="17"/>
                <w:szCs w:val="17"/>
                <w:lang w:val="en-AU" w:eastAsia="en-AU"/>
              </w:rPr>
              <w:t>ram</w:t>
            </w:r>
            <w:r w:rsidRPr="00430439">
              <w:rPr>
                <w:rFonts w:eastAsia="Times New Roman" w:cstheme="minorHAnsi"/>
                <w:color w:val="000000"/>
                <w:sz w:val="17"/>
                <w:szCs w:val="17"/>
                <w:lang w:val="en-AU" w:eastAsia="en-AU"/>
              </w:rPr>
              <w:t xml:space="preserve"> </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Support Facility</w:t>
            </w:r>
          </w:p>
        </w:tc>
        <w:tc>
          <w:tcPr>
            <w:tcW w:w="106" w:type="pct"/>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399"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3</w:t>
            </w:r>
          </w:p>
        </w:tc>
        <w:tc>
          <w:tcPr>
            <w:tcW w:w="35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0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12"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64"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24</w:t>
            </w:r>
          </w:p>
        </w:tc>
        <w:tc>
          <w:tcPr>
            <w:tcW w:w="42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9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0.67</w:t>
            </w: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Fiji Bilateral </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Governance Prog</w:t>
            </w:r>
            <w:r w:rsidR="00601F6B" w:rsidRPr="00430439">
              <w:rPr>
                <w:rFonts w:eastAsia="Times New Roman" w:cstheme="minorHAnsi"/>
                <w:color w:val="000000"/>
                <w:sz w:val="17"/>
                <w:szCs w:val="17"/>
                <w:lang w:val="en-AU" w:eastAsia="en-AU"/>
              </w:rPr>
              <w:t>ram</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3</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64"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24</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9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0.67</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Inclu</w:t>
            </w:r>
            <w:r w:rsidR="00601F6B" w:rsidRPr="00430439">
              <w:rPr>
                <w:rFonts w:eastAsia="Times New Roman" w:cstheme="minorHAnsi"/>
                <w:color w:val="000000"/>
                <w:sz w:val="17"/>
                <w:szCs w:val="17"/>
                <w:lang w:val="en-AU" w:eastAsia="en-AU"/>
              </w:rPr>
              <w:t>sive</w:t>
            </w:r>
            <w:r w:rsidRPr="00430439">
              <w:rPr>
                <w:rFonts w:eastAsia="Times New Roman" w:cstheme="minorHAnsi"/>
                <w:color w:val="000000"/>
                <w:sz w:val="17"/>
                <w:szCs w:val="17"/>
                <w:lang w:val="en-AU" w:eastAsia="en-AU"/>
              </w:rPr>
              <w:t xml:space="preserve"> Eco</w:t>
            </w:r>
            <w:r w:rsidR="00601F6B" w:rsidRPr="00430439">
              <w:rPr>
                <w:rFonts w:eastAsia="Times New Roman" w:cstheme="minorHAnsi"/>
                <w:color w:val="000000"/>
                <w:sz w:val="17"/>
                <w:szCs w:val="17"/>
                <w:lang w:val="en-AU" w:eastAsia="en-AU"/>
              </w:rPr>
              <w:t>nomic</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 Grow</w:t>
            </w:r>
            <w:r w:rsidR="00601F6B" w:rsidRPr="00430439">
              <w:rPr>
                <w:rFonts w:eastAsia="Times New Roman" w:cstheme="minorHAnsi"/>
                <w:color w:val="000000"/>
                <w:sz w:val="17"/>
                <w:szCs w:val="17"/>
                <w:lang w:val="en-AU" w:eastAsia="en-AU"/>
              </w:rPr>
              <w:t>th</w:t>
            </w:r>
            <w:r w:rsidRPr="00430439">
              <w:rPr>
                <w:rFonts w:eastAsia="Times New Roman" w:cstheme="minorHAnsi"/>
                <w:color w:val="000000"/>
                <w:sz w:val="17"/>
                <w:szCs w:val="17"/>
                <w:lang w:val="en-AU" w:eastAsia="en-AU"/>
              </w:rPr>
              <w:t xml:space="preserve"> (MDF)</w:t>
            </w:r>
          </w:p>
        </w:tc>
        <w:tc>
          <w:tcPr>
            <w:tcW w:w="106" w:type="pct"/>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399"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35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50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12"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64"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27</w:t>
            </w:r>
          </w:p>
        </w:tc>
        <w:tc>
          <w:tcPr>
            <w:tcW w:w="42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4.5</w:t>
            </w:r>
          </w:p>
        </w:tc>
        <w:tc>
          <w:tcPr>
            <w:tcW w:w="49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0.75</w:t>
            </w: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Private Sec</w:t>
            </w:r>
            <w:r w:rsidR="00601F6B" w:rsidRPr="00430439">
              <w:rPr>
                <w:rFonts w:eastAsia="Times New Roman" w:cstheme="minorHAnsi"/>
                <w:color w:val="000000"/>
                <w:sz w:val="17"/>
                <w:szCs w:val="17"/>
                <w:lang w:val="en-AU" w:eastAsia="en-AU"/>
              </w:rPr>
              <w:t>tor</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 Dev</w:t>
            </w:r>
            <w:r w:rsidR="00601F6B" w:rsidRPr="00430439">
              <w:rPr>
                <w:rFonts w:eastAsia="Times New Roman" w:cstheme="minorHAnsi"/>
                <w:color w:val="000000"/>
                <w:sz w:val="17"/>
                <w:szCs w:val="17"/>
                <w:lang w:val="en-AU" w:eastAsia="en-AU"/>
              </w:rPr>
              <w:t>elopment</w:t>
            </w:r>
            <w:r w:rsidRPr="00430439">
              <w:rPr>
                <w:rFonts w:eastAsia="Times New Roman" w:cstheme="minorHAnsi"/>
                <w:color w:val="000000"/>
                <w:sz w:val="17"/>
                <w:szCs w:val="17"/>
                <w:lang w:val="en-AU" w:eastAsia="en-AU"/>
              </w:rPr>
              <w:t xml:space="preserve"> Fiji</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64"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27</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4.5</w:t>
            </w:r>
          </w:p>
        </w:tc>
        <w:tc>
          <w:tcPr>
            <w:tcW w:w="49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0.75</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Pacific Women </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Fiji Country Plan</w:t>
            </w:r>
          </w:p>
        </w:tc>
        <w:tc>
          <w:tcPr>
            <w:tcW w:w="106" w:type="pct"/>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399"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35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50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12"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64"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26</w:t>
            </w:r>
          </w:p>
        </w:tc>
        <w:tc>
          <w:tcPr>
            <w:tcW w:w="42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4.3</w:t>
            </w:r>
          </w:p>
        </w:tc>
        <w:tc>
          <w:tcPr>
            <w:tcW w:w="49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0.72</w:t>
            </w: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257485" w:rsidRPr="00430439" w:rsidRDefault="00601F6B"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Total Score</w:t>
            </w:r>
            <w:r w:rsidR="00257485" w:rsidRPr="00430439">
              <w:rPr>
                <w:rFonts w:eastAsia="Times New Roman" w:cstheme="minorHAnsi"/>
                <w:color w:val="000000"/>
                <w:sz w:val="17"/>
                <w:szCs w:val="17"/>
                <w:lang w:val="en-AU" w:eastAsia="en-AU"/>
              </w:rPr>
              <w:t> </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21</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20</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21</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25</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20</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21</w:t>
            </w:r>
          </w:p>
        </w:tc>
        <w:tc>
          <w:tcPr>
            <w:tcW w:w="464"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128</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21.3</w:t>
            </w:r>
          </w:p>
        </w:tc>
        <w:tc>
          <w:tcPr>
            <w:tcW w:w="49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r w:rsidR="00601F6B" w:rsidRPr="00430439">
              <w:rPr>
                <w:rFonts w:eastAsia="Times New Roman" w:cstheme="minorHAnsi"/>
                <w:color w:val="000000"/>
                <w:sz w:val="17"/>
                <w:szCs w:val="17"/>
                <w:lang w:val="en-AU" w:eastAsia="en-AU"/>
              </w:rPr>
              <w:t>Average Score</w:t>
            </w:r>
          </w:p>
          <w:p w:rsidR="00257485" w:rsidRPr="00430439" w:rsidRDefault="00601F6B"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 per criteria</w:t>
            </w:r>
          </w:p>
        </w:tc>
        <w:tc>
          <w:tcPr>
            <w:tcW w:w="106" w:type="pct"/>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4.2</w:t>
            </w:r>
          </w:p>
        </w:tc>
        <w:tc>
          <w:tcPr>
            <w:tcW w:w="399"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35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4.2</w:t>
            </w:r>
          </w:p>
        </w:tc>
        <w:tc>
          <w:tcPr>
            <w:tcW w:w="50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12"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4.2</w:t>
            </w:r>
          </w:p>
        </w:tc>
        <w:tc>
          <w:tcPr>
            <w:tcW w:w="464"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2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4.3</w:t>
            </w:r>
          </w:p>
        </w:tc>
        <w:tc>
          <w:tcPr>
            <w:tcW w:w="49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64"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9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shd w:val="clear" w:color="auto" w:fill="3DA18F" w:themeFill="accent1" w:themeFillShade="BF"/>
            <w:noWrap/>
            <w:hideMark/>
          </w:tcPr>
          <w:p w:rsidR="00257485" w:rsidRPr="00430439" w:rsidRDefault="00257485" w:rsidP="007A64E7">
            <w:pPr>
              <w:suppressAutoHyphens w:val="0"/>
              <w:spacing w:before="0" w:after="0" w:line="240" w:lineRule="auto"/>
              <w:jc w:val="center"/>
              <w:rPr>
                <w:rFonts w:asciiTheme="minorHAnsi" w:eastAsia="Times New Roman" w:hAnsiTheme="minorHAnsi" w:cstheme="minorHAnsi"/>
                <w:b/>
                <w:color w:val="000000"/>
                <w:sz w:val="17"/>
                <w:szCs w:val="17"/>
                <w:lang w:val="en-AU" w:eastAsia="en-AU"/>
              </w:rPr>
            </w:pPr>
            <w:r w:rsidRPr="00430439">
              <w:rPr>
                <w:rFonts w:eastAsia="Times New Roman" w:cstheme="minorHAnsi"/>
                <w:b/>
                <w:color w:val="000000"/>
                <w:sz w:val="17"/>
                <w:szCs w:val="17"/>
                <w:lang w:val="en-AU" w:eastAsia="en-AU"/>
              </w:rPr>
              <w:t> </w:t>
            </w:r>
            <w:r w:rsidR="007F2264" w:rsidRPr="00430439">
              <w:rPr>
                <w:rFonts w:eastAsia="Times New Roman" w:cstheme="minorHAnsi"/>
                <w:b/>
                <w:color w:val="000000"/>
                <w:sz w:val="17"/>
                <w:szCs w:val="17"/>
                <w:lang w:val="en-AU" w:eastAsia="en-AU"/>
              </w:rPr>
              <w:t>AQC Analysis</w:t>
            </w:r>
          </w:p>
        </w:tc>
        <w:tc>
          <w:tcPr>
            <w:tcW w:w="106" w:type="pct"/>
            <w:shd w:val="clear" w:color="auto" w:fill="3DA18F" w:themeFill="accent1" w:themeFillShade="BF"/>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color w:val="000000"/>
                <w:sz w:val="17"/>
                <w:szCs w:val="17"/>
                <w:lang w:val="en-AU" w:eastAsia="en-AU"/>
              </w:rPr>
            </w:pPr>
          </w:p>
        </w:tc>
        <w:tc>
          <w:tcPr>
            <w:tcW w:w="541"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color w:val="000000"/>
                <w:sz w:val="17"/>
                <w:szCs w:val="17"/>
                <w:lang w:val="en-AU" w:eastAsia="en-AU"/>
              </w:rPr>
            </w:pPr>
            <w:r w:rsidRPr="00430439">
              <w:rPr>
                <w:rFonts w:eastAsia="Times New Roman" w:cstheme="minorHAnsi"/>
                <w:b/>
                <w:color w:val="000000"/>
                <w:sz w:val="17"/>
                <w:szCs w:val="17"/>
                <w:lang w:val="en-AU" w:eastAsia="en-AU"/>
              </w:rPr>
              <w:t>2018-19</w:t>
            </w:r>
          </w:p>
        </w:tc>
        <w:tc>
          <w:tcPr>
            <w:tcW w:w="399"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color w:val="000000"/>
                <w:sz w:val="17"/>
                <w:szCs w:val="17"/>
                <w:lang w:val="en-AU" w:eastAsia="en-AU"/>
              </w:rPr>
            </w:pPr>
            <w:r w:rsidRPr="00430439">
              <w:rPr>
                <w:rFonts w:eastAsia="Times New Roman" w:cstheme="minorHAnsi"/>
                <w:b/>
                <w:color w:val="000000"/>
                <w:sz w:val="17"/>
                <w:szCs w:val="17"/>
                <w:lang w:val="en-AU" w:eastAsia="en-AU"/>
              </w:rPr>
              <w:t> </w:t>
            </w:r>
          </w:p>
        </w:tc>
        <w:tc>
          <w:tcPr>
            <w:tcW w:w="355"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12"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63"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64"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23"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95" w:type="pct"/>
            <w:shd w:val="clear" w:color="auto" w:fill="3DA18F" w:themeFill="accent1" w:themeFillShade="BF"/>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257485" w:rsidRPr="00430439" w:rsidRDefault="00257485" w:rsidP="007A64E7">
            <w:pPr>
              <w:suppressAutoHyphens w:val="0"/>
              <w:spacing w:before="0" w:after="0" w:line="240" w:lineRule="auto"/>
              <w:jc w:val="center"/>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Investment Name</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 xml:space="preserve"> </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Effect</w:t>
            </w:r>
            <w:r w:rsidR="00601F6B" w:rsidRPr="00430439">
              <w:rPr>
                <w:rFonts w:eastAsia="Times New Roman" w:cstheme="minorHAnsi"/>
                <w:b/>
                <w:bCs/>
                <w:color w:val="000000"/>
                <w:sz w:val="17"/>
                <w:szCs w:val="17"/>
                <w:lang w:val="en-AU" w:eastAsia="en-AU"/>
              </w:rPr>
              <w:t>iveness</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Efficien</w:t>
            </w:r>
            <w:r w:rsidR="00601F6B" w:rsidRPr="00430439">
              <w:rPr>
                <w:rFonts w:eastAsia="Times New Roman" w:cstheme="minorHAnsi"/>
                <w:b/>
                <w:bCs/>
                <w:color w:val="000000"/>
                <w:sz w:val="17"/>
                <w:szCs w:val="17"/>
                <w:lang w:val="en-AU" w:eastAsia="en-AU"/>
              </w:rPr>
              <w:t>cy</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Gender</w:t>
            </w:r>
          </w:p>
          <w:p w:rsidR="00601F6B" w:rsidRPr="00430439" w:rsidRDefault="00601F6B"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Equality</w:t>
            </w:r>
          </w:p>
        </w:tc>
        <w:tc>
          <w:tcPr>
            <w:tcW w:w="464" w:type="pct"/>
            <w:noWrap/>
            <w:hideMark/>
          </w:tcPr>
          <w:p w:rsidR="00601F6B" w:rsidRPr="00430439" w:rsidRDefault="00601F6B"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 xml:space="preserve">Total </w:t>
            </w:r>
          </w:p>
          <w:p w:rsidR="00257485" w:rsidRPr="00430439" w:rsidRDefault="00601F6B"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Score</w:t>
            </w:r>
            <w:r w:rsidR="00257485" w:rsidRPr="00430439">
              <w:rPr>
                <w:rFonts w:eastAsia="Times New Roman" w:cstheme="minorHAnsi"/>
                <w:b/>
                <w:bCs/>
                <w:color w:val="000000"/>
                <w:sz w:val="17"/>
                <w:szCs w:val="17"/>
                <w:lang w:val="en-AU" w:eastAsia="en-AU"/>
              </w:rPr>
              <w:t> </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 </w:t>
            </w:r>
          </w:p>
        </w:tc>
        <w:tc>
          <w:tcPr>
            <w:tcW w:w="49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7"/>
                <w:szCs w:val="17"/>
                <w:lang w:val="en-AU" w:eastAsia="en-AU"/>
              </w:rPr>
            </w:pPr>
            <w:r w:rsidRPr="00430439">
              <w:rPr>
                <w:rFonts w:eastAsia="Times New Roman" w:cstheme="minorHAnsi"/>
                <w:b/>
                <w:bCs/>
                <w:color w:val="000000"/>
                <w:sz w:val="17"/>
                <w:szCs w:val="17"/>
                <w:lang w:val="en-AU" w:eastAsia="en-AU"/>
              </w:rPr>
              <w:t> </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Fiji Prog</w:t>
            </w:r>
            <w:r w:rsidR="00601F6B" w:rsidRPr="00430439">
              <w:rPr>
                <w:rFonts w:eastAsia="Times New Roman" w:cstheme="minorHAnsi"/>
                <w:color w:val="000000"/>
                <w:sz w:val="17"/>
                <w:szCs w:val="17"/>
                <w:lang w:val="en-AU" w:eastAsia="en-AU"/>
              </w:rPr>
              <w:t>ram</w:t>
            </w:r>
            <w:r w:rsidRPr="00430439">
              <w:rPr>
                <w:rFonts w:eastAsia="Times New Roman" w:cstheme="minorHAnsi"/>
                <w:color w:val="000000"/>
                <w:sz w:val="17"/>
                <w:szCs w:val="17"/>
                <w:lang w:val="en-AU" w:eastAsia="en-AU"/>
              </w:rPr>
              <w:t xml:space="preserve"> </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Support Facility</w:t>
            </w:r>
          </w:p>
        </w:tc>
        <w:tc>
          <w:tcPr>
            <w:tcW w:w="106" w:type="pct"/>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99"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12"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64"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12</w:t>
            </w:r>
          </w:p>
        </w:tc>
        <w:tc>
          <w:tcPr>
            <w:tcW w:w="42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9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0.67</w:t>
            </w: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Fiji Bilateral </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Governance Prog</w:t>
            </w:r>
            <w:r w:rsidR="00601F6B" w:rsidRPr="00430439">
              <w:rPr>
                <w:rFonts w:eastAsia="Times New Roman" w:cstheme="minorHAnsi"/>
                <w:color w:val="000000"/>
                <w:sz w:val="17"/>
                <w:szCs w:val="17"/>
                <w:lang w:val="en-AU" w:eastAsia="en-AU"/>
              </w:rPr>
              <w:t>ram</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3</w:t>
            </w:r>
          </w:p>
        </w:tc>
        <w:tc>
          <w:tcPr>
            <w:tcW w:w="464"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12</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9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0.67</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Inclu</w:t>
            </w:r>
            <w:r w:rsidR="00601F6B" w:rsidRPr="00430439">
              <w:rPr>
                <w:rFonts w:eastAsia="Times New Roman" w:cstheme="minorHAnsi"/>
                <w:color w:val="000000"/>
                <w:sz w:val="17"/>
                <w:szCs w:val="17"/>
                <w:lang w:val="en-AU" w:eastAsia="en-AU"/>
              </w:rPr>
              <w:t>sive</w:t>
            </w:r>
            <w:r w:rsidRPr="00430439">
              <w:rPr>
                <w:rFonts w:eastAsia="Times New Roman" w:cstheme="minorHAnsi"/>
                <w:color w:val="000000"/>
                <w:sz w:val="17"/>
                <w:szCs w:val="17"/>
                <w:lang w:val="en-AU" w:eastAsia="en-AU"/>
              </w:rPr>
              <w:t xml:space="preserve"> Eco</w:t>
            </w:r>
            <w:r w:rsidR="00601F6B" w:rsidRPr="00430439">
              <w:rPr>
                <w:rFonts w:eastAsia="Times New Roman" w:cstheme="minorHAnsi"/>
                <w:color w:val="000000"/>
                <w:sz w:val="17"/>
                <w:szCs w:val="17"/>
                <w:lang w:val="en-AU" w:eastAsia="en-AU"/>
              </w:rPr>
              <w:t>nomic</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 Grow</w:t>
            </w:r>
            <w:r w:rsidR="00601F6B" w:rsidRPr="00430439">
              <w:rPr>
                <w:rFonts w:eastAsia="Times New Roman" w:cstheme="minorHAnsi"/>
                <w:color w:val="000000"/>
                <w:sz w:val="17"/>
                <w:szCs w:val="17"/>
                <w:lang w:val="en-AU" w:eastAsia="en-AU"/>
              </w:rPr>
              <w:t>th</w:t>
            </w:r>
            <w:r w:rsidRPr="00430439">
              <w:rPr>
                <w:rFonts w:eastAsia="Times New Roman" w:cstheme="minorHAnsi"/>
                <w:color w:val="000000"/>
                <w:sz w:val="17"/>
                <w:szCs w:val="17"/>
                <w:lang w:val="en-AU" w:eastAsia="en-AU"/>
              </w:rPr>
              <w:t xml:space="preserve"> (MDF)</w:t>
            </w:r>
          </w:p>
        </w:tc>
        <w:tc>
          <w:tcPr>
            <w:tcW w:w="106" w:type="pct"/>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99"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3</w:t>
            </w:r>
          </w:p>
        </w:tc>
        <w:tc>
          <w:tcPr>
            <w:tcW w:w="412"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64"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11</w:t>
            </w:r>
          </w:p>
        </w:tc>
        <w:tc>
          <w:tcPr>
            <w:tcW w:w="42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3.7</w:t>
            </w:r>
          </w:p>
        </w:tc>
        <w:tc>
          <w:tcPr>
            <w:tcW w:w="49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0.61</w:t>
            </w: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Private Sec</w:t>
            </w:r>
            <w:r w:rsidR="00601F6B" w:rsidRPr="00430439">
              <w:rPr>
                <w:rFonts w:eastAsia="Times New Roman" w:cstheme="minorHAnsi"/>
                <w:color w:val="000000"/>
                <w:sz w:val="17"/>
                <w:szCs w:val="17"/>
                <w:lang w:val="en-AU" w:eastAsia="en-AU"/>
              </w:rPr>
              <w:t>tor</w:t>
            </w:r>
            <w:r w:rsidRPr="00430439">
              <w:rPr>
                <w:rFonts w:eastAsia="Times New Roman" w:cstheme="minorHAnsi"/>
                <w:color w:val="000000"/>
                <w:sz w:val="17"/>
                <w:szCs w:val="17"/>
                <w:lang w:val="en-AU" w:eastAsia="en-AU"/>
              </w:rPr>
              <w:t xml:space="preserve"> </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Dev</w:t>
            </w:r>
            <w:r w:rsidR="00601F6B" w:rsidRPr="00430439">
              <w:rPr>
                <w:rFonts w:eastAsia="Times New Roman" w:cstheme="minorHAnsi"/>
                <w:color w:val="000000"/>
                <w:sz w:val="17"/>
                <w:szCs w:val="17"/>
                <w:lang w:val="en-AU" w:eastAsia="en-AU"/>
              </w:rPr>
              <w:t>elopment</w:t>
            </w:r>
            <w:r w:rsidRPr="00430439">
              <w:rPr>
                <w:rFonts w:eastAsia="Times New Roman" w:cstheme="minorHAnsi"/>
                <w:color w:val="000000"/>
                <w:sz w:val="17"/>
                <w:szCs w:val="17"/>
                <w:lang w:val="en-AU" w:eastAsia="en-AU"/>
              </w:rPr>
              <w:t xml:space="preserve"> Fiji</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64"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15</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5.0</w:t>
            </w:r>
          </w:p>
        </w:tc>
        <w:tc>
          <w:tcPr>
            <w:tcW w:w="49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0.83</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Pacific Women</w:t>
            </w:r>
          </w:p>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 Fiji Country Plan</w:t>
            </w:r>
          </w:p>
        </w:tc>
        <w:tc>
          <w:tcPr>
            <w:tcW w:w="106" w:type="pct"/>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99"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412"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w:t>
            </w:r>
          </w:p>
        </w:tc>
        <w:tc>
          <w:tcPr>
            <w:tcW w:w="56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5</w:t>
            </w:r>
          </w:p>
        </w:tc>
        <w:tc>
          <w:tcPr>
            <w:tcW w:w="464"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13</w:t>
            </w:r>
          </w:p>
        </w:tc>
        <w:tc>
          <w:tcPr>
            <w:tcW w:w="42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4.3</w:t>
            </w:r>
          </w:p>
        </w:tc>
        <w:tc>
          <w:tcPr>
            <w:tcW w:w="49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0.72</w:t>
            </w: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257485"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r w:rsidR="00601F6B" w:rsidRPr="00430439">
              <w:rPr>
                <w:rFonts w:eastAsia="Times New Roman" w:cstheme="minorHAnsi"/>
                <w:color w:val="000000"/>
                <w:sz w:val="17"/>
                <w:szCs w:val="17"/>
                <w:lang w:val="en-AU" w:eastAsia="en-AU"/>
              </w:rPr>
              <w:t>Total Score</w:t>
            </w:r>
          </w:p>
        </w:tc>
        <w:tc>
          <w:tcPr>
            <w:tcW w:w="106" w:type="pct"/>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99"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21</w:t>
            </w:r>
          </w:p>
        </w:tc>
        <w:tc>
          <w:tcPr>
            <w:tcW w:w="412"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21</w:t>
            </w:r>
          </w:p>
        </w:tc>
        <w:tc>
          <w:tcPr>
            <w:tcW w:w="56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21</w:t>
            </w:r>
          </w:p>
        </w:tc>
        <w:tc>
          <w:tcPr>
            <w:tcW w:w="464"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63</w:t>
            </w:r>
          </w:p>
        </w:tc>
        <w:tc>
          <w:tcPr>
            <w:tcW w:w="423"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21</w:t>
            </w:r>
          </w:p>
        </w:tc>
        <w:tc>
          <w:tcPr>
            <w:tcW w:w="495" w:type="pct"/>
            <w:noWrap/>
            <w:hideMark/>
          </w:tcPr>
          <w:p w:rsidR="00257485" w:rsidRPr="00430439" w:rsidRDefault="00257485" w:rsidP="007A64E7">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601F6B" w:rsidRPr="00430439" w:rsidRDefault="00257485"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r w:rsidR="00601F6B" w:rsidRPr="00430439">
              <w:rPr>
                <w:rFonts w:eastAsia="Times New Roman" w:cstheme="minorHAnsi"/>
                <w:color w:val="000000"/>
                <w:sz w:val="17"/>
                <w:szCs w:val="17"/>
                <w:lang w:val="en-AU" w:eastAsia="en-AU"/>
              </w:rPr>
              <w:t>Average Score</w:t>
            </w:r>
          </w:p>
          <w:p w:rsidR="00257485" w:rsidRPr="00430439" w:rsidRDefault="00601F6B" w:rsidP="007A64E7">
            <w:pPr>
              <w:suppressAutoHyphens w:val="0"/>
              <w:spacing w:before="0" w:after="0" w:line="240" w:lineRule="auto"/>
              <w:jc w:val="center"/>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 per criteria</w:t>
            </w:r>
          </w:p>
        </w:tc>
        <w:tc>
          <w:tcPr>
            <w:tcW w:w="106" w:type="pct"/>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99"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35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50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4.2</w:t>
            </w:r>
          </w:p>
        </w:tc>
        <w:tc>
          <w:tcPr>
            <w:tcW w:w="412"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4.2</w:t>
            </w:r>
          </w:p>
        </w:tc>
        <w:tc>
          <w:tcPr>
            <w:tcW w:w="56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4.2</w:t>
            </w:r>
          </w:p>
        </w:tc>
        <w:tc>
          <w:tcPr>
            <w:tcW w:w="464"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w:t>
            </w:r>
          </w:p>
        </w:tc>
        <w:tc>
          <w:tcPr>
            <w:tcW w:w="423"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4.2</w:t>
            </w:r>
          </w:p>
        </w:tc>
        <w:tc>
          <w:tcPr>
            <w:tcW w:w="495" w:type="pct"/>
            <w:noWrap/>
            <w:hideMark/>
          </w:tcPr>
          <w:p w:rsidR="00257485" w:rsidRPr="00430439" w:rsidRDefault="00257485" w:rsidP="007A64E7">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r>
      <w:tr w:rsidR="007F2264" w:rsidRPr="007F2264" w:rsidTr="00B07F1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257485" w:rsidRPr="00430439" w:rsidRDefault="00257485" w:rsidP="007A64E7">
            <w:pPr>
              <w:suppressAutoHyphens w:val="0"/>
              <w:spacing w:before="0" w:after="0" w:line="240" w:lineRule="auto"/>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 </w:t>
            </w:r>
          </w:p>
        </w:tc>
        <w:tc>
          <w:tcPr>
            <w:tcW w:w="106" w:type="pct"/>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541"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7"/>
                <w:szCs w:val="17"/>
                <w:lang w:val="en-AU" w:eastAsia="en-AU"/>
              </w:rPr>
            </w:pPr>
          </w:p>
        </w:tc>
        <w:tc>
          <w:tcPr>
            <w:tcW w:w="399"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355"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503"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12"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563"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64"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23"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95" w:type="pct"/>
            <w:noWrap/>
            <w:hideMark/>
          </w:tcPr>
          <w:p w:rsidR="00257485" w:rsidRPr="00430439" w:rsidRDefault="00257485" w:rsidP="007A64E7">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17"/>
                <w:szCs w:val="17"/>
                <w:lang w:val="en-AU" w:eastAsia="en-AU"/>
              </w:rPr>
            </w:pPr>
          </w:p>
        </w:tc>
      </w:tr>
      <w:tr w:rsidR="007F2264" w:rsidRPr="007F2264" w:rsidTr="00B07F1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8" w:type="pct"/>
            <w:noWrap/>
            <w:hideMark/>
          </w:tcPr>
          <w:p w:rsidR="00257485" w:rsidRPr="00430439" w:rsidRDefault="00257485" w:rsidP="007A64E7">
            <w:pPr>
              <w:suppressAutoHyphens w:val="0"/>
              <w:spacing w:before="0" w:after="0" w:line="240" w:lineRule="auto"/>
              <w:rPr>
                <w:rFonts w:asciiTheme="minorHAnsi" w:eastAsia="Times New Roman" w:hAnsiTheme="minorHAnsi" w:cstheme="minorHAnsi"/>
                <w:color w:val="auto"/>
                <w:sz w:val="17"/>
                <w:szCs w:val="17"/>
                <w:lang w:val="en-AU" w:eastAsia="en-AU"/>
              </w:rPr>
            </w:pPr>
          </w:p>
        </w:tc>
        <w:tc>
          <w:tcPr>
            <w:tcW w:w="106" w:type="pct"/>
          </w:tcPr>
          <w:p w:rsidR="00257485" w:rsidRPr="00430439" w:rsidRDefault="00257485" w:rsidP="007A64E7">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541" w:type="pct"/>
            <w:noWrap/>
            <w:hideMark/>
          </w:tcPr>
          <w:p w:rsidR="00257485" w:rsidRPr="00430439" w:rsidRDefault="00257485" w:rsidP="007A64E7">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399" w:type="pct"/>
            <w:noWrap/>
            <w:hideMark/>
          </w:tcPr>
          <w:p w:rsidR="00257485" w:rsidRPr="00430439" w:rsidRDefault="00257485" w:rsidP="007A64E7">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355" w:type="pct"/>
            <w:noWrap/>
            <w:hideMark/>
          </w:tcPr>
          <w:p w:rsidR="00257485" w:rsidRPr="00430439" w:rsidRDefault="00257485" w:rsidP="007A64E7">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503" w:type="pct"/>
            <w:noWrap/>
            <w:hideMark/>
          </w:tcPr>
          <w:p w:rsidR="00257485" w:rsidRPr="00430439" w:rsidRDefault="00257485" w:rsidP="007A64E7">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12" w:type="pct"/>
            <w:noWrap/>
            <w:hideMark/>
          </w:tcPr>
          <w:p w:rsidR="00257485" w:rsidRPr="00430439" w:rsidRDefault="00257485" w:rsidP="007A64E7">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563" w:type="pct"/>
            <w:noWrap/>
            <w:hideMark/>
          </w:tcPr>
          <w:p w:rsidR="00257485" w:rsidRPr="00430439" w:rsidRDefault="00257485" w:rsidP="007A64E7">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sz w:val="17"/>
                <w:szCs w:val="17"/>
                <w:lang w:val="en-AU" w:eastAsia="en-AU"/>
              </w:rPr>
            </w:pPr>
          </w:p>
        </w:tc>
        <w:tc>
          <w:tcPr>
            <w:tcW w:w="464" w:type="pct"/>
            <w:noWrap/>
            <w:hideMark/>
          </w:tcPr>
          <w:p w:rsidR="00257485" w:rsidRPr="00430439" w:rsidRDefault="00257485" w:rsidP="007A64E7">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 xml:space="preserve">Decrease </w:t>
            </w:r>
          </w:p>
        </w:tc>
        <w:tc>
          <w:tcPr>
            <w:tcW w:w="423" w:type="pct"/>
            <w:noWrap/>
            <w:hideMark/>
          </w:tcPr>
          <w:p w:rsidR="00257485" w:rsidRPr="00430439" w:rsidRDefault="00257485" w:rsidP="007A64E7">
            <w:pPr>
              <w:suppressAutoHyphens w:val="0"/>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r w:rsidRPr="00430439">
              <w:rPr>
                <w:rFonts w:eastAsia="Times New Roman" w:cstheme="minorHAnsi"/>
                <w:color w:val="000000"/>
                <w:sz w:val="17"/>
                <w:szCs w:val="17"/>
                <w:lang w:val="en-AU" w:eastAsia="en-AU"/>
              </w:rPr>
              <w:t>-1.55</w:t>
            </w:r>
            <w:r w:rsidR="000314F8">
              <w:rPr>
                <w:rFonts w:eastAsia="Times New Roman" w:cstheme="minorHAnsi"/>
                <w:color w:val="000000"/>
                <w:sz w:val="17"/>
                <w:szCs w:val="17"/>
                <w:lang w:val="en-AU" w:eastAsia="en-AU"/>
              </w:rPr>
              <w:t>per cent</w:t>
            </w:r>
          </w:p>
        </w:tc>
        <w:tc>
          <w:tcPr>
            <w:tcW w:w="495" w:type="pct"/>
            <w:noWrap/>
            <w:hideMark/>
          </w:tcPr>
          <w:p w:rsidR="00257485" w:rsidRPr="00430439" w:rsidRDefault="00257485" w:rsidP="007A64E7">
            <w:pPr>
              <w:suppressAutoHyphens w:val="0"/>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7"/>
                <w:szCs w:val="17"/>
                <w:lang w:val="en-AU" w:eastAsia="en-AU"/>
              </w:rPr>
            </w:pPr>
          </w:p>
        </w:tc>
      </w:tr>
    </w:tbl>
    <w:p w:rsidR="00C05D5C" w:rsidRPr="00812509" w:rsidRDefault="00C05D5C" w:rsidP="006D0C5E">
      <w:pPr>
        <w:pStyle w:val="ListBullet"/>
        <w:tabs>
          <w:tab w:val="clear" w:pos="284"/>
        </w:tabs>
        <w:spacing w:before="400"/>
        <w:rPr>
          <w:sz w:val="24"/>
        </w:rPr>
      </w:pPr>
    </w:p>
    <w:p w:rsidR="00EE5180" w:rsidRDefault="00C05D5C">
      <w:pPr>
        <w:suppressAutoHyphens w:val="0"/>
        <w:spacing w:before="0" w:after="120" w:line="440" w:lineRule="atLeast"/>
        <w:rPr>
          <w:rFonts w:asciiTheme="majorHAnsi" w:eastAsiaTheme="majorEastAsia" w:hAnsiTheme="majorHAnsi" w:cstheme="majorBidi"/>
          <w:caps/>
          <w:sz w:val="38"/>
          <w:szCs w:val="26"/>
        </w:rPr>
        <w:sectPr w:rsidR="00EE5180" w:rsidSect="00CA7DD8">
          <w:headerReference w:type="default" r:id="rId31"/>
          <w:pgSz w:w="11906" w:h="16838" w:code="9"/>
          <w:pgMar w:top="1527" w:right="1134" w:bottom="851" w:left="1134" w:header="1418" w:footer="267" w:gutter="0"/>
          <w:cols w:space="397"/>
          <w:docGrid w:linePitch="360"/>
        </w:sectPr>
      </w:pPr>
      <w:r>
        <w:rPr>
          <w:rFonts w:asciiTheme="majorHAnsi" w:eastAsiaTheme="majorEastAsia" w:hAnsiTheme="majorHAnsi" w:cstheme="majorBidi"/>
          <w:caps/>
          <w:sz w:val="38"/>
          <w:szCs w:val="26"/>
        </w:rPr>
        <w:br w:type="page"/>
      </w:r>
    </w:p>
    <w:p w:rsidR="00C05D5C" w:rsidRDefault="00C05D5C">
      <w:pPr>
        <w:suppressAutoHyphens w:val="0"/>
        <w:spacing w:before="0" w:after="120" w:line="440" w:lineRule="atLeast"/>
        <w:rPr>
          <w:rFonts w:asciiTheme="majorHAnsi" w:eastAsiaTheme="majorEastAsia" w:hAnsiTheme="majorHAnsi" w:cstheme="majorBidi"/>
          <w:caps/>
          <w:sz w:val="38"/>
          <w:szCs w:val="26"/>
        </w:rPr>
      </w:pPr>
    </w:p>
    <w:p w:rsidR="00C05D5C" w:rsidRPr="00EF26B5" w:rsidRDefault="00C05D5C" w:rsidP="00C05D5C">
      <w:pPr>
        <w:pStyle w:val="Subtitle"/>
        <w:spacing w:before="360" w:after="120" w:line="300" w:lineRule="exact"/>
        <w:rPr>
          <w:rFonts w:asciiTheme="majorHAnsi" w:hAnsiTheme="majorHAnsi" w:cstheme="majorHAnsi"/>
          <w:bCs w:val="0"/>
          <w:iCs w:val="0"/>
          <w:caps w:val="0"/>
        </w:rPr>
      </w:pPr>
      <w:r w:rsidRPr="00EF26B5">
        <w:rPr>
          <w:rFonts w:asciiTheme="majorHAnsi" w:hAnsiTheme="majorHAnsi" w:cstheme="majorHAnsi"/>
        </w:rPr>
        <w:t>Annex E – Performance Assessment Framework</w:t>
      </w:r>
    </w:p>
    <w:p w:rsidR="00CA7DD8" w:rsidRDefault="00CA7DD8" w:rsidP="00784031"/>
    <w:tbl>
      <w:tblPr>
        <w:tblW w:w="15163" w:type="dxa"/>
        <w:tblLook w:val="04A0" w:firstRow="1" w:lastRow="0" w:firstColumn="1" w:lastColumn="0" w:noHBand="0" w:noVBand="1"/>
      </w:tblPr>
      <w:tblGrid>
        <w:gridCol w:w="1814"/>
        <w:gridCol w:w="2472"/>
        <w:gridCol w:w="1907"/>
        <w:gridCol w:w="1880"/>
        <w:gridCol w:w="1820"/>
        <w:gridCol w:w="1250"/>
        <w:gridCol w:w="1660"/>
        <w:gridCol w:w="1342"/>
        <w:gridCol w:w="1018"/>
      </w:tblGrid>
      <w:tr w:rsidR="00EE5180" w:rsidRPr="00EE5180" w:rsidTr="00EE5180">
        <w:trPr>
          <w:trHeight w:val="443"/>
        </w:trPr>
        <w:tc>
          <w:tcPr>
            <w:tcW w:w="15163" w:type="dxa"/>
            <w:gridSpan w:val="9"/>
            <w:tcBorders>
              <w:top w:val="single" w:sz="4" w:space="0" w:color="auto"/>
              <w:left w:val="single" w:sz="4" w:space="0" w:color="auto"/>
              <w:bottom w:val="single" w:sz="4" w:space="0" w:color="auto"/>
              <w:right w:val="single" w:sz="4" w:space="0" w:color="auto"/>
            </w:tcBorders>
            <w:shd w:val="clear" w:color="000000" w:fill="C65911"/>
            <w:noWrap/>
            <w:vAlign w:val="center"/>
            <w:hideMark/>
          </w:tcPr>
          <w:p w:rsidR="00EE5180" w:rsidRPr="00EE5180" w:rsidRDefault="00EE5180" w:rsidP="00EE5180">
            <w:pPr>
              <w:suppressAutoHyphens w:val="0"/>
              <w:spacing w:before="0" w:after="0" w:line="240" w:lineRule="auto"/>
              <w:jc w:val="center"/>
              <w:rPr>
                <w:rFonts w:ascii="Calibri" w:eastAsia="Times New Roman" w:hAnsi="Calibri" w:cs="Calibri"/>
                <w:b/>
                <w:bCs/>
                <w:i/>
                <w:iCs/>
                <w:color w:val="FFFFFF"/>
                <w:sz w:val="36"/>
                <w:szCs w:val="36"/>
                <w:lang w:val="en-AU" w:eastAsia="en-AU"/>
              </w:rPr>
            </w:pPr>
            <w:bookmarkStart w:id="1" w:name="RANGE!B2:M22"/>
            <w:r w:rsidRPr="00EE5180">
              <w:rPr>
                <w:rFonts w:ascii="Calibri" w:eastAsia="Times New Roman" w:hAnsi="Calibri" w:cs="Calibri"/>
                <w:b/>
                <w:bCs/>
                <w:i/>
                <w:iCs/>
                <w:color w:val="FFFFFF"/>
                <w:sz w:val="36"/>
                <w:szCs w:val="36"/>
                <w:lang w:val="en-AU" w:eastAsia="en-AU"/>
              </w:rPr>
              <w:t xml:space="preserve">AIP Objective 1: Increased Private Sector Development </w:t>
            </w:r>
            <w:bookmarkEnd w:id="1"/>
          </w:p>
        </w:tc>
      </w:tr>
      <w:tr w:rsidR="00EE5180" w:rsidRPr="00EE5180" w:rsidTr="00EE5180">
        <w:trPr>
          <w:trHeight w:val="357"/>
        </w:trPr>
        <w:tc>
          <w:tcPr>
            <w:tcW w:w="15163" w:type="dxa"/>
            <w:gridSpan w:val="9"/>
            <w:tcBorders>
              <w:top w:val="single" w:sz="4" w:space="0" w:color="auto"/>
              <w:left w:val="single" w:sz="4" w:space="0" w:color="auto"/>
              <w:bottom w:val="single" w:sz="4" w:space="0" w:color="auto"/>
              <w:right w:val="single" w:sz="4" w:space="0" w:color="auto"/>
            </w:tcBorders>
            <w:shd w:val="clear" w:color="000000" w:fill="BF8F00"/>
            <w:noWrap/>
            <w:vAlign w:val="center"/>
            <w:hideMark/>
          </w:tcPr>
          <w:p w:rsidR="00EE5180" w:rsidRPr="00EE5180" w:rsidRDefault="00EE5180" w:rsidP="00EE5180">
            <w:pPr>
              <w:suppressAutoHyphens w:val="0"/>
              <w:spacing w:before="0" w:after="0" w:line="240" w:lineRule="auto"/>
              <w:jc w:val="center"/>
              <w:rPr>
                <w:rFonts w:ascii="Calibri" w:eastAsia="Times New Roman" w:hAnsi="Calibri" w:cs="Calibri"/>
                <w:b/>
                <w:bCs/>
                <w:i/>
                <w:iCs/>
                <w:color w:val="000000"/>
                <w:sz w:val="28"/>
                <w:szCs w:val="28"/>
                <w:lang w:val="en-AU" w:eastAsia="en-AU"/>
              </w:rPr>
            </w:pPr>
            <w:r w:rsidRPr="00EE5180">
              <w:rPr>
                <w:rFonts w:ascii="Calibri" w:eastAsia="Times New Roman" w:hAnsi="Calibri" w:cs="Calibri"/>
                <w:b/>
                <w:bCs/>
                <w:i/>
                <w:iCs/>
                <w:color w:val="000000"/>
                <w:sz w:val="28"/>
                <w:szCs w:val="28"/>
                <w:lang w:val="en-AU" w:eastAsia="en-AU"/>
              </w:rPr>
              <w:t> </w:t>
            </w:r>
          </w:p>
        </w:tc>
      </w:tr>
      <w:tr w:rsidR="00EE5180" w:rsidRPr="00B07F14" w:rsidTr="00EE5180">
        <w:trPr>
          <w:trHeight w:val="857"/>
        </w:trPr>
        <w:tc>
          <w:tcPr>
            <w:tcW w:w="1814" w:type="dxa"/>
            <w:tcBorders>
              <w:top w:val="nil"/>
              <w:left w:val="single" w:sz="4" w:space="0" w:color="auto"/>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2472" w:type="dxa"/>
            <w:tcBorders>
              <w:top w:val="nil"/>
              <w:left w:val="nil"/>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Indicator</w:t>
            </w:r>
          </w:p>
        </w:tc>
        <w:tc>
          <w:tcPr>
            <w:tcW w:w="1907" w:type="dxa"/>
            <w:tcBorders>
              <w:top w:val="nil"/>
              <w:left w:val="nil"/>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Baseline</w:t>
            </w:r>
          </w:p>
        </w:tc>
        <w:tc>
          <w:tcPr>
            <w:tcW w:w="1880" w:type="dxa"/>
            <w:tcBorders>
              <w:top w:val="nil"/>
              <w:left w:val="nil"/>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2016-2017 (Actual)</w:t>
            </w:r>
          </w:p>
        </w:tc>
        <w:tc>
          <w:tcPr>
            <w:tcW w:w="1820" w:type="dxa"/>
            <w:tcBorders>
              <w:top w:val="nil"/>
              <w:left w:val="nil"/>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2017-2018 (Actual)</w:t>
            </w:r>
          </w:p>
        </w:tc>
        <w:tc>
          <w:tcPr>
            <w:tcW w:w="1250" w:type="dxa"/>
            <w:tcBorders>
              <w:top w:val="nil"/>
              <w:left w:val="nil"/>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2018-2019 Target</w:t>
            </w:r>
          </w:p>
        </w:tc>
        <w:tc>
          <w:tcPr>
            <w:tcW w:w="1660" w:type="dxa"/>
            <w:tcBorders>
              <w:top w:val="nil"/>
              <w:left w:val="nil"/>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2018-2019 Actual</w:t>
            </w:r>
          </w:p>
        </w:tc>
        <w:tc>
          <w:tcPr>
            <w:tcW w:w="1342" w:type="dxa"/>
            <w:tcBorders>
              <w:top w:val="nil"/>
              <w:left w:val="nil"/>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xml:space="preserve">DFAT Programs contributing to outcome </w:t>
            </w:r>
          </w:p>
        </w:tc>
        <w:tc>
          <w:tcPr>
            <w:tcW w:w="1018" w:type="dxa"/>
            <w:tcBorders>
              <w:top w:val="nil"/>
              <w:left w:val="nil"/>
              <w:bottom w:val="single" w:sz="4" w:space="0" w:color="auto"/>
              <w:right w:val="single" w:sz="4" w:space="0" w:color="auto"/>
            </w:tcBorders>
            <w:shd w:val="clear" w:color="000000" w:fill="FFD966"/>
            <w:vAlign w:val="center"/>
            <w:hideMark/>
          </w:tcPr>
          <w:p w:rsidR="00EE5180" w:rsidRPr="00B07F14" w:rsidRDefault="00EE5180" w:rsidP="00EE5180">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Data collection method</w:t>
            </w:r>
          </w:p>
        </w:tc>
      </w:tr>
      <w:tr w:rsidR="00EE5180" w:rsidRPr="00B07F14" w:rsidTr="00EE5180">
        <w:trPr>
          <w:trHeight w:val="285"/>
        </w:trPr>
        <w:tc>
          <w:tcPr>
            <w:tcW w:w="15163" w:type="dxa"/>
            <w:gridSpan w:val="9"/>
            <w:tcBorders>
              <w:top w:val="single" w:sz="4" w:space="0" w:color="auto"/>
              <w:left w:val="single" w:sz="4" w:space="0" w:color="auto"/>
              <w:bottom w:val="single" w:sz="4" w:space="0" w:color="auto"/>
              <w:right w:val="single" w:sz="4" w:space="0" w:color="auto"/>
            </w:tcBorders>
            <w:shd w:val="clear" w:color="000000" w:fill="BDD7EE"/>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Sub-objective: Poverty for men and women is reduced through a more inclusive and competitive private sector</w:t>
            </w:r>
          </w:p>
        </w:tc>
      </w:tr>
      <w:tr w:rsidR="00EE5180" w:rsidRPr="00B07F14" w:rsidTr="00EE5180">
        <w:trPr>
          <w:trHeight w:val="857"/>
        </w:trPr>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xml:space="preserve">Outcome 1:  </w:t>
            </w:r>
            <w:r w:rsidRPr="00B07F14">
              <w:rPr>
                <w:rFonts w:eastAsia="Times New Roman" w:cstheme="minorHAnsi"/>
                <w:color w:val="000000"/>
                <w:sz w:val="17"/>
                <w:szCs w:val="17"/>
                <w:lang w:val="en-AU" w:eastAsia="en-AU"/>
              </w:rPr>
              <w:t xml:space="preserve">Increased incomes for poor households </w:t>
            </w:r>
          </w:p>
        </w:tc>
        <w:tc>
          <w:tcPr>
            <w:tcW w:w="247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1.1 New formal sector jobs (FTE) created as a result of our aid program</w:t>
            </w:r>
          </w:p>
        </w:tc>
        <w:tc>
          <w:tcPr>
            <w:tcW w:w="1907"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191 (as at Dec 2015)</w:t>
            </w:r>
          </w:p>
        </w:tc>
        <w:tc>
          <w:tcPr>
            <w:tcW w:w="1880"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222 jobs (as at Dec 2016)</w:t>
            </w:r>
          </w:p>
        </w:tc>
        <w:tc>
          <w:tcPr>
            <w:tcW w:w="182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250 jobs (by Dec 2017)</w:t>
            </w:r>
          </w:p>
        </w:tc>
        <w:tc>
          <w:tcPr>
            <w:tcW w:w="125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350 jobs</w:t>
            </w:r>
          </w:p>
        </w:tc>
        <w:tc>
          <w:tcPr>
            <w:tcW w:w="166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 xml:space="preserve">246 jobs (by Dec 2018) </w:t>
            </w:r>
          </w:p>
        </w:tc>
        <w:tc>
          <w:tcPr>
            <w:tcW w:w="134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MDF</w:t>
            </w:r>
          </w:p>
        </w:tc>
        <w:tc>
          <w:tcPr>
            <w:tcW w:w="1018"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Annual reports from DFAT aid programs</w:t>
            </w:r>
          </w:p>
        </w:tc>
      </w:tr>
      <w:tr w:rsidR="00EE5180" w:rsidRPr="00B07F14" w:rsidTr="00EE5180">
        <w:trPr>
          <w:trHeight w:val="857"/>
        </w:trPr>
        <w:tc>
          <w:tcPr>
            <w:tcW w:w="1814"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1.2 Additional personal income for men and women generated as a result of our aid program</w:t>
            </w:r>
          </w:p>
        </w:tc>
        <w:tc>
          <w:tcPr>
            <w:tcW w:w="1907"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USD2.5 million </w:t>
            </w:r>
            <w:r w:rsidRPr="00B07F14">
              <w:rPr>
                <w:rFonts w:eastAsia="Times New Roman" w:cstheme="minorHAnsi"/>
                <w:color w:val="000000"/>
                <w:sz w:val="17"/>
                <w:szCs w:val="17"/>
                <w:lang w:val="en-AU" w:eastAsia="en-AU"/>
              </w:rPr>
              <w:br/>
              <w:t xml:space="preserve">(as at Dec 2015) </w:t>
            </w:r>
          </w:p>
        </w:tc>
        <w:tc>
          <w:tcPr>
            <w:tcW w:w="1880"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USD3.3 million (as at Dec 2016)</w:t>
            </w:r>
          </w:p>
        </w:tc>
        <w:tc>
          <w:tcPr>
            <w:tcW w:w="182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USD4.2 million (by Dec 2017)</w:t>
            </w:r>
          </w:p>
        </w:tc>
        <w:tc>
          <w:tcPr>
            <w:tcW w:w="125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USD5 million</w:t>
            </w:r>
          </w:p>
        </w:tc>
        <w:tc>
          <w:tcPr>
            <w:tcW w:w="166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USD13 million (by Dec 2018)</w:t>
            </w:r>
          </w:p>
        </w:tc>
        <w:tc>
          <w:tcPr>
            <w:tcW w:w="134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MDF</w:t>
            </w:r>
          </w:p>
        </w:tc>
        <w:tc>
          <w:tcPr>
            <w:tcW w:w="1018"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MDF Annual Report</w:t>
            </w:r>
          </w:p>
        </w:tc>
      </w:tr>
      <w:tr w:rsidR="00EE5180" w:rsidRPr="00B07F14" w:rsidTr="00EE5180">
        <w:trPr>
          <w:trHeight w:val="857"/>
        </w:trPr>
        <w:tc>
          <w:tcPr>
            <w:tcW w:w="1814"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1.3 Fiji increases its participation in the Seasonal Worker Program </w:t>
            </w:r>
          </w:p>
        </w:tc>
        <w:tc>
          <w:tcPr>
            <w:tcW w:w="1907"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160</w:t>
            </w:r>
          </w:p>
        </w:tc>
        <w:tc>
          <w:tcPr>
            <w:tcW w:w="1880"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190 (5% female)</w:t>
            </w:r>
          </w:p>
        </w:tc>
        <w:tc>
          <w:tcPr>
            <w:tcW w:w="182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200 (10% female)</w:t>
            </w:r>
          </w:p>
        </w:tc>
        <w:tc>
          <w:tcPr>
            <w:tcW w:w="125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continued increase (numbers)</w:t>
            </w:r>
          </w:p>
        </w:tc>
        <w:tc>
          <w:tcPr>
            <w:tcW w:w="166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300 (10% female) (by December 2018)</w:t>
            </w:r>
          </w:p>
        </w:tc>
        <w:tc>
          <w:tcPr>
            <w:tcW w:w="134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Seasonal Workers Program </w:t>
            </w:r>
          </w:p>
        </w:tc>
        <w:tc>
          <w:tcPr>
            <w:tcW w:w="1018"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DFAT central reporting</w:t>
            </w:r>
          </w:p>
        </w:tc>
      </w:tr>
      <w:tr w:rsidR="00EE5180" w:rsidRPr="00B07F14" w:rsidTr="00EE5180">
        <w:trPr>
          <w:trHeight w:val="293"/>
        </w:trPr>
        <w:tc>
          <w:tcPr>
            <w:tcW w:w="1814" w:type="dxa"/>
            <w:vMerge w:val="restart"/>
            <w:tcBorders>
              <w:top w:val="nil"/>
              <w:left w:val="single" w:sz="4" w:space="0" w:color="auto"/>
              <w:bottom w:val="single" w:sz="4" w:space="0" w:color="000000"/>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xml:space="preserve">Outcome 2: </w:t>
            </w:r>
            <w:r w:rsidRPr="00B07F14">
              <w:rPr>
                <w:rFonts w:eastAsia="Times New Roman" w:cstheme="minorHAnsi"/>
                <w:color w:val="000000"/>
                <w:sz w:val="17"/>
                <w:szCs w:val="17"/>
                <w:lang w:val="en-AU" w:eastAsia="en-AU"/>
              </w:rPr>
              <w:t xml:space="preserve">Fiji's business environment is conducive to inclusive private sector-led growth </w:t>
            </w:r>
          </w:p>
        </w:tc>
        <w:tc>
          <w:tcPr>
            <w:tcW w:w="247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24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2.1 Reduced number of working days to start a business</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58 days</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40 days</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40 days</w:t>
            </w:r>
          </w:p>
        </w:tc>
        <w:tc>
          <w:tcPr>
            <w:tcW w:w="125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Less than previous year</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40 days</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PSDI and IFC</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WB Doing Business Survey </w:t>
            </w:r>
          </w:p>
        </w:tc>
      </w:tr>
      <w:tr w:rsidR="00EE5180" w:rsidRPr="00B07F14" w:rsidTr="00EE5180">
        <w:trPr>
          <w:trHeight w:val="560"/>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907"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8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20" w:type="dxa"/>
            <w:vMerge/>
            <w:tcBorders>
              <w:top w:val="nil"/>
              <w:left w:val="single" w:sz="4" w:space="0" w:color="auto"/>
              <w:bottom w:val="single" w:sz="4" w:space="0" w:color="auto"/>
              <w:right w:val="single" w:sz="4" w:space="0" w:color="auto"/>
            </w:tcBorders>
            <w:vAlign w:val="center"/>
            <w:hideMark/>
          </w:tcPr>
          <w:p w:rsidR="00EE5180" w:rsidRPr="009A35EC" w:rsidRDefault="00EE5180" w:rsidP="00EE5180">
            <w:pPr>
              <w:suppressAutoHyphens w:val="0"/>
              <w:spacing w:before="0" w:after="0" w:line="240" w:lineRule="auto"/>
              <w:rPr>
                <w:rFonts w:eastAsia="Times New Roman" w:cstheme="minorHAnsi"/>
                <w:color w:val="auto"/>
                <w:sz w:val="17"/>
                <w:szCs w:val="17"/>
                <w:lang w:val="en-AU" w:eastAsia="en-AU"/>
              </w:rPr>
            </w:pPr>
          </w:p>
        </w:tc>
        <w:tc>
          <w:tcPr>
            <w:tcW w:w="1250" w:type="dxa"/>
            <w:vMerge/>
            <w:tcBorders>
              <w:top w:val="nil"/>
              <w:left w:val="single" w:sz="4" w:space="0" w:color="auto"/>
              <w:bottom w:val="single" w:sz="4" w:space="0" w:color="auto"/>
              <w:right w:val="single" w:sz="4" w:space="0" w:color="auto"/>
            </w:tcBorders>
            <w:vAlign w:val="center"/>
            <w:hideMark/>
          </w:tcPr>
          <w:p w:rsidR="00EE5180" w:rsidRPr="009A35EC" w:rsidRDefault="00EE5180" w:rsidP="00EE5180">
            <w:pPr>
              <w:suppressAutoHyphens w:val="0"/>
              <w:spacing w:before="0" w:after="0" w:line="240" w:lineRule="auto"/>
              <w:rPr>
                <w:rFonts w:eastAsia="Times New Roman" w:cstheme="minorHAnsi"/>
                <w:color w:val="auto"/>
                <w:sz w:val="17"/>
                <w:szCs w:val="17"/>
                <w:lang w:val="en-AU" w:eastAsia="en-AU"/>
              </w:rPr>
            </w:pPr>
          </w:p>
        </w:tc>
        <w:tc>
          <w:tcPr>
            <w:tcW w:w="1660" w:type="dxa"/>
            <w:vMerge/>
            <w:tcBorders>
              <w:top w:val="nil"/>
              <w:left w:val="single" w:sz="4" w:space="0" w:color="auto"/>
              <w:bottom w:val="single" w:sz="4" w:space="0" w:color="auto"/>
              <w:right w:val="single" w:sz="4" w:space="0" w:color="auto"/>
            </w:tcBorders>
            <w:vAlign w:val="center"/>
            <w:hideMark/>
          </w:tcPr>
          <w:p w:rsidR="00EE5180" w:rsidRPr="009A35EC" w:rsidRDefault="00EE5180" w:rsidP="00EE5180">
            <w:pPr>
              <w:suppressAutoHyphens w:val="0"/>
              <w:spacing w:before="0" w:after="0" w:line="240" w:lineRule="auto"/>
              <w:rPr>
                <w:rFonts w:eastAsia="Times New Roman" w:cstheme="minorHAnsi"/>
                <w:color w:val="auto"/>
                <w:sz w:val="17"/>
                <w:szCs w:val="17"/>
                <w:lang w:val="en-AU" w:eastAsia="en-AU"/>
              </w:rPr>
            </w:pPr>
          </w:p>
        </w:tc>
        <w:tc>
          <w:tcPr>
            <w:tcW w:w="134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018"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r>
      <w:tr w:rsidR="00EE5180" w:rsidRPr="00B07F14" w:rsidTr="00EE5180">
        <w:trPr>
          <w:trHeight w:val="571"/>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2.2 Improved performance of SOEs, as measured by the return on assets (ROA) </w:t>
            </w:r>
          </w:p>
        </w:tc>
        <w:tc>
          <w:tcPr>
            <w:tcW w:w="1907"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1.5% average between 2010-2014</w:t>
            </w:r>
          </w:p>
        </w:tc>
        <w:tc>
          <w:tcPr>
            <w:tcW w:w="1880"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Maintain or increase ROA from baseline</w:t>
            </w:r>
          </w:p>
        </w:tc>
        <w:tc>
          <w:tcPr>
            <w:tcW w:w="182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Maintain or increase ROA from baseline</w:t>
            </w:r>
          </w:p>
        </w:tc>
        <w:tc>
          <w:tcPr>
            <w:tcW w:w="125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Maintain or increase ROA from baseline</w:t>
            </w:r>
          </w:p>
        </w:tc>
        <w:tc>
          <w:tcPr>
            <w:tcW w:w="166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 xml:space="preserve">Limited data available. </w:t>
            </w:r>
          </w:p>
        </w:tc>
        <w:tc>
          <w:tcPr>
            <w:tcW w:w="134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PSDI</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PSDI progress report</w:t>
            </w:r>
          </w:p>
        </w:tc>
      </w:tr>
      <w:tr w:rsidR="00EE5180" w:rsidRPr="00B07F14" w:rsidTr="00EE5180">
        <w:trPr>
          <w:trHeight w:val="1143"/>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2.3 Improved accountability of SOEs, as measured by the proportion of SOEs that publish audited annual reports within statutory timeframes </w:t>
            </w:r>
          </w:p>
        </w:tc>
        <w:tc>
          <w:tcPr>
            <w:tcW w:w="1907"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10-20% of SOEs submit and publish audited annual reports within statutory timeframes</w:t>
            </w:r>
          </w:p>
        </w:tc>
        <w:tc>
          <w:tcPr>
            <w:tcW w:w="1880"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Increase </w:t>
            </w:r>
          </w:p>
        </w:tc>
        <w:tc>
          <w:tcPr>
            <w:tcW w:w="182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Increase</w:t>
            </w:r>
          </w:p>
        </w:tc>
        <w:tc>
          <w:tcPr>
            <w:tcW w:w="125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 xml:space="preserve">Increase  </w:t>
            </w:r>
          </w:p>
        </w:tc>
        <w:tc>
          <w:tcPr>
            <w:tcW w:w="166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 xml:space="preserve">No change from baseline. </w:t>
            </w:r>
          </w:p>
        </w:tc>
        <w:tc>
          <w:tcPr>
            <w:tcW w:w="134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PSDI</w:t>
            </w:r>
          </w:p>
        </w:tc>
        <w:tc>
          <w:tcPr>
            <w:tcW w:w="1018"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r>
      <w:tr w:rsidR="00EE5180" w:rsidRPr="00B07F14" w:rsidTr="00323E4E">
        <w:trPr>
          <w:trHeight w:val="857"/>
        </w:trPr>
        <w:tc>
          <w:tcPr>
            <w:tcW w:w="1814" w:type="dxa"/>
            <w:vMerge/>
            <w:tcBorders>
              <w:top w:val="single" w:sz="4" w:space="0" w:color="auto"/>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2.4 Improved MSMEs access to finance through secured transactions reform</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Moveable assets not able to be used as collateral.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 secured transactions framework developed</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Personal Property Securities Act passed by Parliament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Establish online registry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Online registry established</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PSDI</w:t>
            </w: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r>
      <w:tr w:rsidR="00EE5180" w:rsidRPr="00B07F14" w:rsidTr="00EE5180">
        <w:trPr>
          <w:trHeight w:val="857"/>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2.5 Percentage of adults that have an active mobile money account (used in the last 90 days)</w:t>
            </w:r>
          </w:p>
        </w:tc>
        <w:tc>
          <w:tcPr>
            <w:tcW w:w="1907"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2.16 per cent</w:t>
            </w:r>
          </w:p>
        </w:tc>
        <w:tc>
          <w:tcPr>
            <w:tcW w:w="1880"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2.6 per cent</w:t>
            </w:r>
          </w:p>
        </w:tc>
        <w:tc>
          <w:tcPr>
            <w:tcW w:w="182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3.04 per cent</w:t>
            </w:r>
          </w:p>
        </w:tc>
        <w:tc>
          <w:tcPr>
            <w:tcW w:w="125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10 per cent</w:t>
            </w:r>
          </w:p>
        </w:tc>
        <w:tc>
          <w:tcPr>
            <w:tcW w:w="1660" w:type="dxa"/>
            <w:tcBorders>
              <w:top w:val="nil"/>
              <w:left w:val="nil"/>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3.32 per cent</w:t>
            </w:r>
          </w:p>
        </w:tc>
        <w:tc>
          <w:tcPr>
            <w:tcW w:w="1342"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PFIP</w:t>
            </w:r>
          </w:p>
        </w:tc>
        <w:tc>
          <w:tcPr>
            <w:tcW w:w="1018"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Reserve Bank of Fiji annual report</w:t>
            </w:r>
          </w:p>
        </w:tc>
      </w:tr>
      <w:tr w:rsidR="00EE5180" w:rsidRPr="00B07F14" w:rsidTr="00EE5180">
        <w:trPr>
          <w:trHeight w:val="571"/>
        </w:trPr>
        <w:tc>
          <w:tcPr>
            <w:tcW w:w="1814" w:type="dxa"/>
            <w:vMerge w:val="restart"/>
            <w:tcBorders>
              <w:top w:val="nil"/>
              <w:left w:val="single" w:sz="4" w:space="0" w:color="auto"/>
              <w:bottom w:val="single" w:sz="4" w:space="0" w:color="000000"/>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xml:space="preserve">Outcome 3: </w:t>
            </w:r>
            <w:r w:rsidRPr="00B07F14">
              <w:rPr>
                <w:rFonts w:eastAsia="Times New Roman" w:cstheme="minorHAnsi"/>
                <w:color w:val="000000"/>
                <w:sz w:val="17"/>
                <w:szCs w:val="17"/>
                <w:lang w:val="en-AU" w:eastAsia="en-AU"/>
              </w:rPr>
              <w:t xml:space="preserve">Improved trade competitiveness of key pro-poor sectors </w:t>
            </w:r>
          </w:p>
        </w:tc>
        <w:tc>
          <w:tcPr>
            <w:tcW w:w="247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3.1 Market access maintained or improved for three export commodities (ginger, taro, kava) and new market access opened for new commodities</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Market access protected for fresh ginger, taro and kava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Market access protected for fresh ginger, taro and kava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Breadfruit import risk analysis commenced</w:t>
            </w:r>
          </w:p>
        </w:tc>
        <w:tc>
          <w:tcPr>
            <w:tcW w:w="125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9A35EC" w:rsidRDefault="00EE5180" w:rsidP="006E452C">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 xml:space="preserve">a) Breadruit draft import risk </w:t>
            </w:r>
            <w:r w:rsidR="006E452C" w:rsidRPr="009A35EC">
              <w:rPr>
                <w:rFonts w:eastAsia="Times New Roman" w:cstheme="minorHAnsi"/>
                <w:color w:val="auto"/>
                <w:sz w:val="17"/>
                <w:szCs w:val="17"/>
                <w:lang w:val="en-AU" w:eastAsia="en-AU"/>
              </w:rPr>
              <w:t>analysis</w:t>
            </w:r>
            <w:r w:rsidRPr="009A35EC">
              <w:rPr>
                <w:rFonts w:eastAsia="Times New Roman" w:cstheme="minorHAnsi"/>
                <w:color w:val="auto"/>
                <w:sz w:val="17"/>
                <w:szCs w:val="17"/>
                <w:lang w:val="en-AU" w:eastAsia="en-AU"/>
              </w:rPr>
              <w:t xml:space="preserve"> completed b)start risk assessment for chilli</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 xml:space="preserve">Achieved </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PHAMA</w:t>
            </w:r>
          </w:p>
        </w:tc>
        <w:tc>
          <w:tcPr>
            <w:tcW w:w="1018"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PFIP</w:t>
            </w:r>
          </w:p>
        </w:tc>
      </w:tr>
      <w:tr w:rsidR="00EE5180" w:rsidRPr="00B07F14" w:rsidTr="00EE5180">
        <w:trPr>
          <w:trHeight w:val="560"/>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907"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8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2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B050"/>
                <w:sz w:val="17"/>
                <w:szCs w:val="17"/>
                <w:lang w:val="en-AU" w:eastAsia="en-AU"/>
              </w:rPr>
            </w:pPr>
          </w:p>
        </w:tc>
        <w:tc>
          <w:tcPr>
            <w:tcW w:w="125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B050"/>
                <w:sz w:val="17"/>
                <w:szCs w:val="17"/>
                <w:lang w:val="en-AU" w:eastAsia="en-AU"/>
              </w:rPr>
            </w:pPr>
          </w:p>
        </w:tc>
        <w:tc>
          <w:tcPr>
            <w:tcW w:w="166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B050"/>
                <w:sz w:val="17"/>
                <w:szCs w:val="17"/>
                <w:lang w:val="en-AU" w:eastAsia="en-AU"/>
              </w:rPr>
            </w:pPr>
          </w:p>
        </w:tc>
        <w:tc>
          <w:tcPr>
            <w:tcW w:w="134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PHAMA</w:t>
            </w:r>
          </w:p>
        </w:tc>
      </w:tr>
      <w:tr w:rsidR="00EE5180" w:rsidRPr="00B07F14" w:rsidTr="00EE5180">
        <w:trPr>
          <w:trHeight w:val="560"/>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3.2 Growth in tourist numbers to less visited areas of Fiji (i.e destinations other than Denerau Nadi-Coral Coast-Mamanucas)</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In 2016, 142,000 tourists (or 19% of total tourists) visited other regions</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142,000 (19% market share) in 2016</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143,000 (15% market share) in 2017</w:t>
            </w:r>
          </w:p>
        </w:tc>
        <w:tc>
          <w:tcPr>
            <w:tcW w:w="125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Data not avai</w:t>
            </w:r>
            <w:r w:rsidR="006E452C">
              <w:rPr>
                <w:rFonts w:eastAsia="Times New Roman" w:cstheme="minorHAnsi"/>
                <w:color w:val="000000"/>
                <w:sz w:val="17"/>
                <w:szCs w:val="17"/>
                <w:lang w:val="en-AU" w:eastAsia="en-AU"/>
              </w:rPr>
              <w:t>l</w:t>
            </w:r>
            <w:r w:rsidRPr="00B07F14">
              <w:rPr>
                <w:rFonts w:eastAsia="Times New Roman" w:cstheme="minorHAnsi"/>
                <w:color w:val="000000"/>
                <w:sz w:val="17"/>
                <w:szCs w:val="17"/>
                <w:lang w:val="en-AU" w:eastAsia="en-AU"/>
              </w:rPr>
              <w:t>able</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6E452C">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Data not </w:t>
            </w:r>
            <w:r w:rsidR="006E452C">
              <w:rPr>
                <w:rFonts w:eastAsia="Times New Roman" w:cstheme="minorHAnsi"/>
                <w:color w:val="000000"/>
                <w:sz w:val="17"/>
                <w:szCs w:val="17"/>
                <w:lang w:val="en-AU" w:eastAsia="en-AU"/>
              </w:rPr>
              <w:t>available</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MDF</w:t>
            </w:r>
          </w:p>
        </w:tc>
        <w:tc>
          <w:tcPr>
            <w:tcW w:w="1018"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r>
      <w:tr w:rsidR="00EE5180" w:rsidRPr="00B07F14" w:rsidTr="00EE5180">
        <w:trPr>
          <w:trHeight w:val="560"/>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907"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8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2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auto"/>
                <w:sz w:val="17"/>
                <w:szCs w:val="17"/>
                <w:lang w:val="en-AU" w:eastAsia="en-AU"/>
              </w:rPr>
            </w:pPr>
          </w:p>
        </w:tc>
        <w:tc>
          <w:tcPr>
            <w:tcW w:w="125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66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34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Fiji Bureau of Statistics</w:t>
            </w:r>
          </w:p>
        </w:tc>
      </w:tr>
      <w:tr w:rsidR="00EE5180" w:rsidRPr="00B07F14" w:rsidTr="00EE5180">
        <w:trPr>
          <w:trHeight w:val="560"/>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3.3 Increased private investment due to our aid programs</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USD1.4 million leveraged in 2015 </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USD2.8 million leveraged in 2016</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USD3.5 million (by Dec 2017)</w:t>
            </w:r>
          </w:p>
        </w:tc>
        <w:tc>
          <w:tcPr>
            <w:tcW w:w="12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USD4.5 million</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USD4.9 million (by Dec 2018)</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9A35EC" w:rsidRDefault="00EE5180" w:rsidP="00EE5180">
            <w:pPr>
              <w:suppressAutoHyphens w:val="0"/>
              <w:spacing w:before="0" w:after="0" w:line="240" w:lineRule="auto"/>
              <w:jc w:val="center"/>
              <w:rPr>
                <w:rFonts w:eastAsia="Times New Roman" w:cstheme="minorHAnsi"/>
                <w:color w:val="auto"/>
                <w:sz w:val="17"/>
                <w:szCs w:val="17"/>
                <w:lang w:val="en-AU" w:eastAsia="en-AU"/>
              </w:rPr>
            </w:pPr>
            <w:r w:rsidRPr="009A35EC">
              <w:rPr>
                <w:rFonts w:eastAsia="Times New Roman" w:cstheme="minorHAnsi"/>
                <w:color w:val="auto"/>
                <w:sz w:val="17"/>
                <w:szCs w:val="17"/>
                <w:lang w:val="en-AU" w:eastAsia="en-AU"/>
              </w:rPr>
              <w:t>MDF</w:t>
            </w:r>
          </w:p>
        </w:tc>
        <w:tc>
          <w:tcPr>
            <w:tcW w:w="1018"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r>
      <w:tr w:rsidR="00EE5180" w:rsidRPr="00B07F14" w:rsidTr="00EE5180">
        <w:trPr>
          <w:trHeight w:val="560"/>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907"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8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2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25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B050"/>
                <w:sz w:val="17"/>
                <w:szCs w:val="17"/>
                <w:lang w:val="en-AU" w:eastAsia="en-AU"/>
              </w:rPr>
            </w:pPr>
          </w:p>
        </w:tc>
        <w:tc>
          <w:tcPr>
            <w:tcW w:w="166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B050"/>
                <w:sz w:val="17"/>
                <w:szCs w:val="17"/>
                <w:lang w:val="en-AU" w:eastAsia="en-AU"/>
              </w:rPr>
            </w:pPr>
          </w:p>
        </w:tc>
        <w:tc>
          <w:tcPr>
            <w:tcW w:w="134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Annual reports from DFAT aid programs</w:t>
            </w:r>
          </w:p>
        </w:tc>
      </w:tr>
      <w:tr w:rsidR="00EE5180" w:rsidRPr="00B07F14" w:rsidTr="00EE5180">
        <w:trPr>
          <w:trHeight w:val="560"/>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3.4 Increased aid budget allocated to aid-for-trade initiatives </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10.5 percent (2015-16)</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14.3 percent</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20 percent</w:t>
            </w:r>
          </w:p>
        </w:tc>
        <w:tc>
          <w:tcPr>
            <w:tcW w:w="1250" w:type="dxa"/>
            <w:vMerge w:val="restart"/>
            <w:tcBorders>
              <w:top w:val="nil"/>
              <w:left w:val="single" w:sz="4" w:space="0" w:color="auto"/>
              <w:bottom w:val="single" w:sz="4" w:space="0" w:color="000000"/>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20 per cent</w:t>
            </w:r>
          </w:p>
        </w:tc>
        <w:tc>
          <w:tcPr>
            <w:tcW w:w="1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22 percent</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All</w:t>
            </w:r>
          </w:p>
        </w:tc>
        <w:tc>
          <w:tcPr>
            <w:tcW w:w="1018"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r>
      <w:tr w:rsidR="00EE5180" w:rsidRPr="00B07F14" w:rsidTr="00EE5180">
        <w:trPr>
          <w:trHeight w:val="285"/>
        </w:trPr>
        <w:tc>
          <w:tcPr>
            <w:tcW w:w="1814"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b/>
                <w:bCs/>
                <w:color w:val="000000"/>
                <w:sz w:val="17"/>
                <w:szCs w:val="17"/>
                <w:lang w:val="en-AU" w:eastAsia="en-AU"/>
              </w:rPr>
            </w:pPr>
          </w:p>
        </w:tc>
        <w:tc>
          <w:tcPr>
            <w:tcW w:w="247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907"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8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82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250" w:type="dxa"/>
            <w:vMerge/>
            <w:tcBorders>
              <w:top w:val="nil"/>
              <w:left w:val="single" w:sz="4" w:space="0" w:color="auto"/>
              <w:bottom w:val="single" w:sz="4" w:space="0" w:color="000000"/>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660"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342" w:type="dxa"/>
            <w:vMerge/>
            <w:tcBorders>
              <w:top w:val="nil"/>
              <w:left w:val="single" w:sz="4" w:space="0" w:color="auto"/>
              <w:bottom w:val="single" w:sz="4" w:space="0" w:color="auto"/>
              <w:right w:val="single" w:sz="4" w:space="0" w:color="auto"/>
            </w:tcBorders>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p>
        </w:tc>
        <w:tc>
          <w:tcPr>
            <w:tcW w:w="1018" w:type="dxa"/>
            <w:tcBorders>
              <w:top w:val="nil"/>
              <w:left w:val="nil"/>
              <w:bottom w:val="single" w:sz="4" w:space="0" w:color="auto"/>
              <w:right w:val="single" w:sz="4" w:space="0" w:color="auto"/>
            </w:tcBorders>
            <w:shd w:val="clear" w:color="auto" w:fill="auto"/>
            <w:vAlign w:val="center"/>
            <w:hideMark/>
          </w:tcPr>
          <w:p w:rsidR="00EE5180" w:rsidRPr="00B07F14" w:rsidRDefault="00EE5180" w:rsidP="00EE5180">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AidWorks / Budget data</w:t>
            </w:r>
          </w:p>
        </w:tc>
      </w:tr>
    </w:tbl>
    <w:p w:rsidR="00CA7DD8" w:rsidRPr="00B07F14" w:rsidRDefault="00CA7DD8" w:rsidP="00784031">
      <w:pPr>
        <w:rPr>
          <w:rFonts w:cstheme="minorHAnsi"/>
          <w:sz w:val="17"/>
          <w:szCs w:val="17"/>
        </w:rPr>
      </w:pPr>
    </w:p>
    <w:p w:rsidR="005B3F1A" w:rsidRPr="00B07F14" w:rsidRDefault="005B3F1A" w:rsidP="00784031">
      <w:pPr>
        <w:rPr>
          <w:rFonts w:cstheme="minorHAnsi"/>
          <w:sz w:val="17"/>
          <w:szCs w:val="17"/>
        </w:rPr>
      </w:pPr>
      <w:r w:rsidRPr="00B07F14">
        <w:rPr>
          <w:rFonts w:cstheme="minorHAnsi"/>
          <w:sz w:val="17"/>
          <w:szCs w:val="17"/>
        </w:rPr>
        <w:br w:type="page"/>
      </w:r>
    </w:p>
    <w:p w:rsidR="00CA7DD8" w:rsidRPr="00B07F14" w:rsidRDefault="00CA7DD8" w:rsidP="00784031">
      <w:pPr>
        <w:rPr>
          <w:rFonts w:cstheme="minorHAnsi"/>
          <w:sz w:val="17"/>
          <w:szCs w:val="17"/>
        </w:rPr>
      </w:pPr>
    </w:p>
    <w:p w:rsidR="00EE5180" w:rsidRPr="00B07F14" w:rsidRDefault="00EE5180" w:rsidP="00784031">
      <w:pPr>
        <w:rPr>
          <w:rFonts w:cstheme="minorHAnsi"/>
          <w:sz w:val="17"/>
          <w:szCs w:val="17"/>
        </w:rPr>
      </w:pPr>
    </w:p>
    <w:tbl>
      <w:tblPr>
        <w:tblW w:w="15021" w:type="dxa"/>
        <w:tblLayout w:type="fixed"/>
        <w:tblLook w:val="04A0" w:firstRow="1" w:lastRow="0" w:firstColumn="1" w:lastColumn="0" w:noHBand="0" w:noVBand="1"/>
      </w:tblPr>
      <w:tblGrid>
        <w:gridCol w:w="2547"/>
        <w:gridCol w:w="1559"/>
        <w:gridCol w:w="1418"/>
        <w:gridCol w:w="1474"/>
        <w:gridCol w:w="1474"/>
        <w:gridCol w:w="1747"/>
        <w:gridCol w:w="1701"/>
        <w:gridCol w:w="1698"/>
        <w:gridCol w:w="1403"/>
      </w:tblGrid>
      <w:tr w:rsidR="005B3F1A" w:rsidRPr="00B07F14" w:rsidTr="00A4229E">
        <w:trPr>
          <w:trHeight w:val="831"/>
        </w:trPr>
        <w:tc>
          <w:tcPr>
            <w:tcW w:w="15021" w:type="dxa"/>
            <w:gridSpan w:val="9"/>
            <w:tcBorders>
              <w:top w:val="single" w:sz="4" w:space="0" w:color="auto"/>
              <w:left w:val="single" w:sz="4" w:space="0" w:color="auto"/>
              <w:bottom w:val="single" w:sz="4" w:space="0" w:color="auto"/>
              <w:right w:val="single" w:sz="4" w:space="0" w:color="auto"/>
            </w:tcBorders>
            <w:shd w:val="clear" w:color="000000" w:fill="C65911"/>
            <w:noWrap/>
            <w:vAlign w:val="center"/>
            <w:hideMark/>
          </w:tcPr>
          <w:p w:rsidR="005B3F1A" w:rsidRPr="00B07F14" w:rsidRDefault="005B3F1A" w:rsidP="005B3F1A">
            <w:pPr>
              <w:suppressAutoHyphens w:val="0"/>
              <w:spacing w:before="0" w:after="0" w:line="240" w:lineRule="auto"/>
              <w:jc w:val="center"/>
              <w:rPr>
                <w:rFonts w:asciiTheme="majorHAnsi" w:eastAsia="Times New Roman" w:hAnsiTheme="majorHAnsi" w:cstheme="majorHAnsi"/>
                <w:b/>
                <w:bCs/>
                <w:i/>
                <w:iCs/>
                <w:color w:val="FFFFFF"/>
                <w:sz w:val="36"/>
                <w:szCs w:val="36"/>
                <w:lang w:val="en-AU" w:eastAsia="en-AU"/>
              </w:rPr>
            </w:pPr>
            <w:bookmarkStart w:id="2" w:name="RANGE!B2:L48"/>
            <w:r w:rsidRPr="00B07F14">
              <w:rPr>
                <w:rFonts w:asciiTheme="majorHAnsi" w:eastAsia="Times New Roman" w:hAnsiTheme="majorHAnsi" w:cstheme="majorHAnsi"/>
                <w:b/>
                <w:bCs/>
                <w:i/>
                <w:iCs/>
                <w:color w:val="FFFFFF"/>
                <w:sz w:val="36"/>
                <w:szCs w:val="36"/>
                <w:lang w:val="en-AU" w:eastAsia="en-AU"/>
              </w:rPr>
              <w:t>AIP Objective 2: Improved Human Development</w:t>
            </w:r>
            <w:bookmarkEnd w:id="2"/>
          </w:p>
        </w:tc>
      </w:tr>
      <w:tr w:rsidR="005B3F1A" w:rsidRPr="00B07F14" w:rsidTr="00A4229E">
        <w:trPr>
          <w:trHeight w:val="352"/>
        </w:trPr>
        <w:tc>
          <w:tcPr>
            <w:tcW w:w="15021" w:type="dxa"/>
            <w:gridSpan w:val="9"/>
            <w:tcBorders>
              <w:top w:val="single" w:sz="4" w:space="0" w:color="auto"/>
              <w:left w:val="single" w:sz="4" w:space="0" w:color="auto"/>
              <w:bottom w:val="single" w:sz="4" w:space="0" w:color="auto"/>
              <w:right w:val="single" w:sz="4" w:space="0" w:color="auto"/>
            </w:tcBorders>
            <w:shd w:val="clear" w:color="000000" w:fill="BF8F00"/>
            <w:noWrap/>
            <w:vAlign w:val="center"/>
            <w:hideMark/>
          </w:tcPr>
          <w:p w:rsidR="005B3F1A" w:rsidRPr="00B07F14" w:rsidRDefault="005B3F1A" w:rsidP="005B3F1A">
            <w:pPr>
              <w:suppressAutoHyphens w:val="0"/>
              <w:spacing w:before="0" w:after="0" w:line="240" w:lineRule="auto"/>
              <w:jc w:val="center"/>
              <w:rPr>
                <w:rFonts w:eastAsia="Times New Roman" w:cstheme="minorHAnsi"/>
                <w:b/>
                <w:bCs/>
                <w:i/>
                <w:iCs/>
                <w:color w:val="000000"/>
                <w:sz w:val="17"/>
                <w:szCs w:val="17"/>
                <w:lang w:val="en-AU" w:eastAsia="en-AU"/>
              </w:rPr>
            </w:pPr>
            <w:r w:rsidRPr="00B07F14">
              <w:rPr>
                <w:rFonts w:eastAsia="Times New Roman" w:cstheme="minorHAnsi"/>
                <w:b/>
                <w:bCs/>
                <w:i/>
                <w:iCs/>
                <w:color w:val="000000"/>
                <w:sz w:val="17"/>
                <w:szCs w:val="17"/>
                <w:lang w:val="en-AU" w:eastAsia="en-AU"/>
              </w:rPr>
              <w:t> </w:t>
            </w:r>
          </w:p>
        </w:tc>
      </w:tr>
      <w:tr w:rsidR="005B3F1A" w:rsidRPr="00B07F14" w:rsidTr="00A4229E">
        <w:trPr>
          <w:trHeight w:val="845"/>
        </w:trPr>
        <w:tc>
          <w:tcPr>
            <w:tcW w:w="2547" w:type="dxa"/>
            <w:tcBorders>
              <w:top w:val="nil"/>
              <w:left w:val="single" w:sz="4" w:space="0" w:color="auto"/>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Objective 2: Improved Human Development</w:t>
            </w:r>
          </w:p>
        </w:tc>
        <w:tc>
          <w:tcPr>
            <w:tcW w:w="1559" w:type="dxa"/>
            <w:tcBorders>
              <w:top w:val="nil"/>
              <w:left w:val="nil"/>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Indicator</w:t>
            </w:r>
          </w:p>
        </w:tc>
        <w:tc>
          <w:tcPr>
            <w:tcW w:w="1418" w:type="dxa"/>
            <w:tcBorders>
              <w:top w:val="nil"/>
              <w:left w:val="nil"/>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Baseline</w:t>
            </w:r>
          </w:p>
        </w:tc>
        <w:tc>
          <w:tcPr>
            <w:tcW w:w="1474" w:type="dxa"/>
            <w:tcBorders>
              <w:top w:val="nil"/>
              <w:left w:val="nil"/>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2016-2017 Actual</w:t>
            </w:r>
          </w:p>
        </w:tc>
        <w:tc>
          <w:tcPr>
            <w:tcW w:w="1474" w:type="dxa"/>
            <w:tcBorders>
              <w:top w:val="nil"/>
              <w:left w:val="nil"/>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2017-2018 Actual</w:t>
            </w:r>
          </w:p>
        </w:tc>
        <w:tc>
          <w:tcPr>
            <w:tcW w:w="1747" w:type="dxa"/>
            <w:tcBorders>
              <w:top w:val="nil"/>
              <w:left w:val="nil"/>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2018-19 Target</w:t>
            </w:r>
          </w:p>
        </w:tc>
        <w:tc>
          <w:tcPr>
            <w:tcW w:w="1701" w:type="dxa"/>
            <w:tcBorders>
              <w:top w:val="nil"/>
              <w:left w:val="nil"/>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2018-19 Actual</w:t>
            </w:r>
          </w:p>
        </w:tc>
        <w:tc>
          <w:tcPr>
            <w:tcW w:w="1698" w:type="dxa"/>
            <w:tcBorders>
              <w:top w:val="nil"/>
              <w:left w:val="nil"/>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DFAT Programs contributing to outcome</w:t>
            </w:r>
          </w:p>
        </w:tc>
        <w:tc>
          <w:tcPr>
            <w:tcW w:w="1403" w:type="dxa"/>
            <w:tcBorders>
              <w:top w:val="nil"/>
              <w:left w:val="nil"/>
              <w:bottom w:val="single" w:sz="4" w:space="0" w:color="auto"/>
              <w:right w:val="single" w:sz="4" w:space="0" w:color="auto"/>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Data collection method</w:t>
            </w:r>
          </w:p>
        </w:tc>
      </w:tr>
      <w:tr w:rsidR="005B3F1A" w:rsidRPr="00B07F14" w:rsidTr="00A4229E">
        <w:trPr>
          <w:trHeight w:val="281"/>
        </w:trPr>
        <w:tc>
          <w:tcPr>
            <w:tcW w:w="15021" w:type="dxa"/>
            <w:gridSpan w:val="9"/>
            <w:tcBorders>
              <w:top w:val="single" w:sz="4" w:space="0" w:color="auto"/>
              <w:left w:val="single" w:sz="4" w:space="0" w:color="auto"/>
              <w:bottom w:val="single" w:sz="4" w:space="0" w:color="auto"/>
              <w:right w:val="single" w:sz="4" w:space="0" w:color="auto"/>
            </w:tcBorders>
            <w:shd w:val="clear" w:color="000000" w:fill="9BC2E6"/>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Sub-objective: Education</w:t>
            </w:r>
            <w:r w:rsidRPr="00B07F14">
              <w:rPr>
                <w:rFonts w:eastAsia="Times New Roman" w:cstheme="minorHAnsi"/>
                <w:b/>
                <w:bCs/>
                <w:i/>
                <w:color w:val="000000"/>
                <w:sz w:val="17"/>
                <w:szCs w:val="17"/>
                <w:lang w:val="en-AU" w:eastAsia="en-AU"/>
              </w:rPr>
              <w:t xml:space="preserve"> </w:t>
            </w:r>
            <w:r w:rsidRPr="00B07F14">
              <w:rPr>
                <w:rFonts w:eastAsia="Times New Roman" w:cstheme="minorHAnsi"/>
                <w:b/>
                <w:bCs/>
                <w:i/>
                <w:color w:val="C00000"/>
                <w:sz w:val="17"/>
                <w:szCs w:val="17"/>
                <w:lang w:val="en-AU" w:eastAsia="en-AU"/>
              </w:rPr>
              <w:t>(Please note that the indicators for the new education program are still under consideration and will not be finalised until an alignment exercise to the yet to be approved, Strategic Plan 2019-2023, has been conducted.)</w:t>
            </w:r>
          </w:p>
        </w:tc>
      </w:tr>
      <w:tr w:rsidR="005B3F1A" w:rsidRPr="00B07F14" w:rsidTr="004F7FEF">
        <w:trPr>
          <w:trHeight w:val="436"/>
        </w:trPr>
        <w:tc>
          <w:tcPr>
            <w:tcW w:w="15021" w:type="dxa"/>
            <w:gridSpan w:val="9"/>
            <w:tcBorders>
              <w:top w:val="single" w:sz="4" w:space="0" w:color="auto"/>
              <w:left w:val="single" w:sz="4" w:space="0" w:color="auto"/>
              <w:bottom w:val="single" w:sz="4" w:space="0" w:color="auto"/>
              <w:right w:val="single" w:sz="4" w:space="0" w:color="auto"/>
            </w:tcBorders>
            <w:shd w:val="clear" w:color="auto" w:fill="DDEBF7"/>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xml:space="preserve"> Pillar 1: Central and decentralised systems and partnerships deliver the support to schools that enable all primary girls and boys to learn</w:t>
            </w:r>
          </w:p>
        </w:tc>
      </w:tr>
      <w:tr w:rsidR="005B3F1A" w:rsidRPr="00B07F14" w:rsidTr="00A4229E">
        <w:trPr>
          <w:trHeight w:val="563"/>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color w:val="000000"/>
                <w:sz w:val="17"/>
                <w:szCs w:val="17"/>
                <w:lang w:val="en-AU" w:eastAsia="en-AU"/>
              </w:rPr>
              <w:t>Outcome 1.1:</w:t>
            </w:r>
            <w:r w:rsidRPr="00B07F14">
              <w:rPr>
                <w:rFonts w:eastAsia="Times New Roman" w:cstheme="minorHAnsi"/>
                <w:color w:val="000000"/>
                <w:sz w:val="17"/>
                <w:szCs w:val="17"/>
                <w:lang w:val="en-AU" w:eastAsia="en-AU"/>
              </w:rPr>
              <w:t xml:space="preserve"> Quality and inclusive education prioritised in MEHA strategic planning, policies, resourcing and capacity development</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TBC</w:t>
            </w:r>
          </w:p>
        </w:tc>
        <w:tc>
          <w:tcPr>
            <w:tcW w:w="141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747"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701"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Education Sector Support Program</w:t>
            </w:r>
          </w:p>
        </w:tc>
        <w:tc>
          <w:tcPr>
            <w:tcW w:w="1403"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FEMIS reports</w:t>
            </w:r>
          </w:p>
        </w:tc>
      </w:tr>
      <w:tr w:rsidR="005B3F1A" w:rsidRPr="00B07F14" w:rsidTr="00A4229E">
        <w:trPr>
          <w:trHeight w:val="563"/>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41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747"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701"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Education Sector Support Program</w:t>
            </w:r>
          </w:p>
        </w:tc>
        <w:tc>
          <w:tcPr>
            <w:tcW w:w="1403" w:type="dxa"/>
            <w:tcBorders>
              <w:top w:val="nil"/>
              <w:left w:val="nil"/>
              <w:bottom w:val="single" w:sz="4" w:space="0" w:color="auto"/>
              <w:right w:val="single" w:sz="4" w:space="0" w:color="auto"/>
            </w:tcBorders>
            <w:shd w:val="clear" w:color="auto" w:fill="auto"/>
            <w:noWrap/>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FEMIS reports</w:t>
            </w:r>
          </w:p>
        </w:tc>
      </w:tr>
      <w:tr w:rsidR="005B3F1A" w:rsidRPr="00B07F14" w:rsidTr="00A4229E">
        <w:trPr>
          <w:trHeight w:val="281"/>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color w:val="000000"/>
                <w:sz w:val="17"/>
                <w:szCs w:val="17"/>
                <w:lang w:val="en-AU" w:eastAsia="en-AU"/>
              </w:rPr>
              <w:t>Outcome 1.2:</w:t>
            </w:r>
            <w:r w:rsidRPr="00B07F14">
              <w:rPr>
                <w:rFonts w:eastAsia="Times New Roman" w:cstheme="minorHAnsi"/>
                <w:color w:val="000000"/>
                <w:sz w:val="17"/>
                <w:szCs w:val="17"/>
                <w:lang w:val="en-AU" w:eastAsia="en-AU"/>
              </w:rPr>
              <w:t xml:space="preserve"> MEHA inclusive policies and systems informed by evidence-based analysis</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474"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474"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701" w:type="dxa"/>
            <w:tcBorders>
              <w:top w:val="single" w:sz="4" w:space="0" w:color="auto"/>
              <w:left w:val="nil"/>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vMerge w:val="restart"/>
            <w:tcBorders>
              <w:top w:val="nil"/>
              <w:left w:val="single" w:sz="4" w:space="0" w:color="auto"/>
              <w:bottom w:val="single" w:sz="4" w:space="0" w:color="auto"/>
              <w:right w:val="single" w:sz="4" w:space="0" w:color="auto"/>
            </w:tcBorders>
            <w:shd w:val="clear" w:color="auto" w:fill="auto"/>
            <w:noWrap/>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Education Sector Support Program</w:t>
            </w:r>
          </w:p>
        </w:tc>
        <w:tc>
          <w:tcPr>
            <w:tcW w:w="1403"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FEMIS reports</w:t>
            </w:r>
          </w:p>
        </w:tc>
      </w:tr>
      <w:tr w:rsidR="005B3F1A" w:rsidRPr="00B07F14" w:rsidTr="00A4229E">
        <w:trPr>
          <w:trHeight w:val="239"/>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418"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47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47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7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701" w:type="dxa"/>
            <w:tcBorders>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403"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r>
      <w:tr w:rsidR="005B3F1A" w:rsidRPr="00B07F14" w:rsidTr="00A4229E">
        <w:trPr>
          <w:trHeight w:val="563"/>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41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747"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w:t>
            </w:r>
          </w:p>
        </w:tc>
        <w:tc>
          <w:tcPr>
            <w:tcW w:w="1701" w:type="dxa"/>
            <w:tcBorders>
              <w:top w:val="single" w:sz="4" w:space="0" w:color="auto"/>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Education Sector Support Program</w:t>
            </w:r>
          </w:p>
        </w:tc>
        <w:tc>
          <w:tcPr>
            <w:tcW w:w="1403"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FEMIS reports</w:t>
            </w:r>
          </w:p>
        </w:tc>
      </w:tr>
      <w:tr w:rsidR="005B3F1A" w:rsidRPr="00B07F14" w:rsidTr="004F7FEF">
        <w:trPr>
          <w:trHeight w:val="366"/>
        </w:trPr>
        <w:tc>
          <w:tcPr>
            <w:tcW w:w="15021" w:type="dxa"/>
            <w:gridSpan w:val="9"/>
            <w:tcBorders>
              <w:top w:val="single" w:sz="4" w:space="0" w:color="auto"/>
              <w:left w:val="single" w:sz="4" w:space="0" w:color="auto"/>
              <w:bottom w:val="single" w:sz="4" w:space="0" w:color="auto"/>
              <w:right w:val="single" w:sz="4" w:space="0" w:color="auto"/>
            </w:tcBorders>
            <w:shd w:val="clear" w:color="auto" w:fill="DDEBF7"/>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Pillar 2: District and school systems support teachers and the learning for students</w:t>
            </w:r>
          </w:p>
        </w:tc>
      </w:tr>
      <w:tr w:rsidR="005B3F1A" w:rsidRPr="00B07F14" w:rsidTr="00A4229E">
        <w:trPr>
          <w:trHeight w:val="563"/>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color w:val="000000"/>
                <w:sz w:val="17"/>
                <w:szCs w:val="17"/>
                <w:lang w:val="en-AU" w:eastAsia="en-AU"/>
              </w:rPr>
              <w:t>Outcome 2.1:</w:t>
            </w:r>
            <w:r w:rsidRPr="00B07F14">
              <w:rPr>
                <w:rFonts w:eastAsia="Times New Roman" w:cstheme="minorHAnsi"/>
                <w:color w:val="000000"/>
                <w:sz w:val="17"/>
                <w:szCs w:val="17"/>
                <w:lang w:val="en-AU" w:eastAsia="en-AU"/>
              </w:rPr>
              <w:t xml:space="preserve"> School management and teaching practices are informed by analysis of FEMIS data</w:t>
            </w: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70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r>
      <w:tr w:rsidR="005B3F1A" w:rsidRPr="00B07F14" w:rsidTr="00A4229E">
        <w:trPr>
          <w:trHeight w:val="56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color w:val="000000"/>
                <w:sz w:val="17"/>
                <w:szCs w:val="17"/>
                <w:lang w:val="en-AU" w:eastAsia="en-AU"/>
              </w:rPr>
              <w:t>Outcome 2.2:</w:t>
            </w:r>
            <w:r w:rsidRPr="00B07F14">
              <w:rPr>
                <w:rFonts w:eastAsia="Times New Roman" w:cstheme="minorHAnsi"/>
                <w:color w:val="000000"/>
                <w:sz w:val="17"/>
                <w:szCs w:val="17"/>
                <w:lang w:val="en-AU" w:eastAsia="en-AU"/>
              </w:rPr>
              <w:t xml:space="preserve"> District education officers monitor and support school performance in inclusive learning</w:t>
            </w: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70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r>
      <w:tr w:rsidR="005B3F1A" w:rsidRPr="00B07F14" w:rsidTr="00A4229E">
        <w:trPr>
          <w:trHeight w:val="56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color w:val="000000"/>
                <w:sz w:val="17"/>
                <w:szCs w:val="17"/>
                <w:lang w:val="en-AU" w:eastAsia="en-AU"/>
              </w:rPr>
              <w:t>Outcome 2.3:</w:t>
            </w:r>
            <w:r w:rsidRPr="00B07F14">
              <w:rPr>
                <w:rFonts w:eastAsia="Times New Roman" w:cstheme="minorHAnsi"/>
                <w:color w:val="000000"/>
                <w:sz w:val="17"/>
                <w:szCs w:val="17"/>
                <w:lang w:val="en-AU" w:eastAsia="en-AU"/>
              </w:rPr>
              <w:t xml:space="preserve"> School heads monitor and support inclusive learning in the classroom</w:t>
            </w: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70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 </w:t>
            </w:r>
          </w:p>
        </w:tc>
      </w:tr>
      <w:tr w:rsidR="005B3F1A" w:rsidRPr="00B07F14" w:rsidTr="00A4229E">
        <w:trPr>
          <w:trHeight w:val="8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lastRenderedPageBreak/>
              <w:t xml:space="preserve"> </w:t>
            </w:r>
            <w:r w:rsidRPr="00B07F14">
              <w:rPr>
                <w:rFonts w:eastAsia="Times New Roman" w:cstheme="minorHAnsi"/>
                <w:b/>
                <w:color w:val="000000"/>
                <w:sz w:val="17"/>
                <w:szCs w:val="17"/>
                <w:lang w:val="en-AU" w:eastAsia="en-AU"/>
              </w:rPr>
              <w:t>Outcome 2.4:</w:t>
            </w:r>
            <w:r w:rsidRPr="00B07F14">
              <w:rPr>
                <w:rFonts w:eastAsia="Times New Roman" w:cstheme="minorHAnsi"/>
                <w:color w:val="000000"/>
                <w:sz w:val="17"/>
                <w:szCs w:val="17"/>
                <w:lang w:val="en-AU" w:eastAsia="en-AU"/>
              </w:rPr>
              <w:t xml:space="preserve"> Teachers use skills/knowledge, curriculum, resources and assessment tools for effective L&amp;N learning</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1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747"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701"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03"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r>
      <w:tr w:rsidR="005B3F1A" w:rsidRPr="00B07F14" w:rsidTr="004F7FEF">
        <w:trPr>
          <w:trHeight w:val="436"/>
        </w:trPr>
        <w:tc>
          <w:tcPr>
            <w:tcW w:w="15021" w:type="dxa"/>
            <w:gridSpan w:val="9"/>
            <w:tcBorders>
              <w:top w:val="single" w:sz="4" w:space="0" w:color="auto"/>
              <w:left w:val="single" w:sz="4" w:space="0" w:color="auto"/>
              <w:bottom w:val="single" w:sz="4" w:space="0" w:color="auto"/>
              <w:right w:val="single" w:sz="4" w:space="0" w:color="auto"/>
            </w:tcBorders>
            <w:shd w:val="clear" w:color="auto" w:fill="DDEBF7"/>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Pillar 3: School communities contribute to inclusive teaching and learning</w:t>
            </w:r>
          </w:p>
        </w:tc>
      </w:tr>
      <w:tr w:rsidR="005B3F1A" w:rsidRPr="00B07F14" w:rsidTr="00A4229E">
        <w:trPr>
          <w:trHeight w:val="56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color w:val="000000"/>
                <w:sz w:val="17"/>
                <w:szCs w:val="17"/>
                <w:lang w:val="en-AU" w:eastAsia="en-AU"/>
              </w:rPr>
              <w:t>Outcome 3.1:</w:t>
            </w:r>
            <w:r w:rsidRPr="00B07F14">
              <w:rPr>
                <w:rFonts w:eastAsia="Times New Roman" w:cstheme="minorHAnsi"/>
                <w:color w:val="000000"/>
                <w:sz w:val="17"/>
                <w:szCs w:val="17"/>
                <w:lang w:val="en-AU" w:eastAsia="en-AU"/>
              </w:rPr>
              <w:t xml:space="preserve"> MEHA and school owners collaborate in management of inclusive learning</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1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747"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701"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03"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r>
      <w:tr w:rsidR="005B3F1A" w:rsidRPr="00B07F14" w:rsidTr="00A4229E">
        <w:trPr>
          <w:trHeight w:val="56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color w:val="000000"/>
                <w:sz w:val="17"/>
                <w:szCs w:val="17"/>
                <w:lang w:val="en-AU" w:eastAsia="en-AU"/>
              </w:rPr>
              <w:t>Outcome 3.2:</w:t>
            </w:r>
            <w:r w:rsidRPr="00B07F14">
              <w:rPr>
                <w:rFonts w:eastAsia="Times New Roman" w:cstheme="minorHAnsi"/>
                <w:color w:val="000000"/>
                <w:sz w:val="17"/>
                <w:szCs w:val="17"/>
                <w:lang w:val="en-AU" w:eastAsia="en-AU"/>
              </w:rPr>
              <w:t xml:space="preserve"> Respectful and inclusive learning supported by school communities</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1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747"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701"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03"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r>
      <w:tr w:rsidR="005B3F1A" w:rsidRPr="00B07F14" w:rsidTr="004F7FEF">
        <w:trPr>
          <w:trHeight w:val="380"/>
        </w:trPr>
        <w:tc>
          <w:tcPr>
            <w:tcW w:w="2547" w:type="dxa"/>
            <w:tcBorders>
              <w:top w:val="nil"/>
              <w:left w:val="single" w:sz="4" w:space="0" w:color="auto"/>
              <w:bottom w:val="single" w:sz="4" w:space="0" w:color="auto"/>
              <w:right w:val="single" w:sz="4" w:space="0" w:color="auto"/>
            </w:tcBorders>
            <w:shd w:val="clear" w:color="auto" w:fill="DDEBF7"/>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Pillar 4: Australian Awards</w:t>
            </w:r>
          </w:p>
        </w:tc>
        <w:tc>
          <w:tcPr>
            <w:tcW w:w="1559" w:type="dxa"/>
            <w:tcBorders>
              <w:top w:val="nil"/>
              <w:left w:val="nil"/>
              <w:bottom w:val="single" w:sz="4" w:space="0" w:color="auto"/>
              <w:right w:val="single" w:sz="4" w:space="0" w:color="auto"/>
            </w:tcBorders>
            <w:shd w:val="clear" w:color="auto" w:fill="DDEBF7"/>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18" w:type="dxa"/>
            <w:tcBorders>
              <w:top w:val="nil"/>
              <w:left w:val="nil"/>
              <w:bottom w:val="single" w:sz="4" w:space="0" w:color="auto"/>
              <w:right w:val="single" w:sz="4" w:space="0" w:color="auto"/>
            </w:tcBorders>
            <w:shd w:val="clear" w:color="auto" w:fill="DDEBF7"/>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DDEBF7"/>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74" w:type="dxa"/>
            <w:tcBorders>
              <w:top w:val="nil"/>
              <w:left w:val="nil"/>
              <w:bottom w:val="single" w:sz="4" w:space="0" w:color="auto"/>
              <w:right w:val="single" w:sz="4" w:space="0" w:color="auto"/>
            </w:tcBorders>
            <w:shd w:val="clear" w:color="auto" w:fill="DDEBF7"/>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747" w:type="dxa"/>
            <w:tcBorders>
              <w:top w:val="nil"/>
              <w:left w:val="nil"/>
              <w:bottom w:val="single" w:sz="4" w:space="0" w:color="auto"/>
              <w:right w:val="single" w:sz="4" w:space="0" w:color="auto"/>
            </w:tcBorders>
            <w:shd w:val="clear" w:color="auto" w:fill="DDEBF7"/>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701" w:type="dxa"/>
            <w:tcBorders>
              <w:top w:val="nil"/>
              <w:left w:val="nil"/>
              <w:bottom w:val="single" w:sz="4" w:space="0" w:color="auto"/>
              <w:right w:val="single" w:sz="4" w:space="0" w:color="auto"/>
            </w:tcBorders>
            <w:shd w:val="clear" w:color="auto" w:fill="DDEBF7"/>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98" w:type="dxa"/>
            <w:tcBorders>
              <w:top w:val="nil"/>
              <w:left w:val="nil"/>
              <w:bottom w:val="single" w:sz="4" w:space="0" w:color="auto"/>
              <w:right w:val="single" w:sz="4" w:space="0" w:color="auto"/>
            </w:tcBorders>
            <w:shd w:val="clear" w:color="auto" w:fill="DDEBF7"/>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03" w:type="dxa"/>
            <w:tcBorders>
              <w:top w:val="nil"/>
              <w:left w:val="nil"/>
              <w:bottom w:val="single" w:sz="4" w:space="0" w:color="auto"/>
              <w:right w:val="single" w:sz="4" w:space="0" w:color="auto"/>
            </w:tcBorders>
            <w:shd w:val="clear" w:color="auto" w:fill="DDEBF7"/>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r>
      <w:tr w:rsidR="005B3F1A" w:rsidRPr="00B07F14" w:rsidTr="004F7FEF">
        <w:trPr>
          <w:trHeight w:val="845"/>
        </w:trPr>
        <w:tc>
          <w:tcPr>
            <w:tcW w:w="2547"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4F7FEF">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color w:val="000000"/>
                <w:sz w:val="17"/>
                <w:szCs w:val="17"/>
                <w:lang w:val="en-AU" w:eastAsia="en-AU"/>
              </w:rPr>
              <w:t>Outcome 4.1:</w:t>
            </w:r>
            <w:r w:rsidRPr="00B07F14">
              <w:rPr>
                <w:rFonts w:eastAsia="Times New Roman" w:cstheme="minorHAnsi"/>
                <w:color w:val="000000"/>
                <w:sz w:val="17"/>
                <w:szCs w:val="17"/>
                <w:lang w:val="en-AU" w:eastAsia="en-AU"/>
              </w:rPr>
              <w:t xml:space="preserve">  Fiji alumni have necessary skills and knowledge to progress sustainable development priorities</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3.1 Maintaining proportion of Australia Awards recipients (men and women) who complete their study successfully </w:t>
            </w:r>
          </w:p>
        </w:tc>
        <w:tc>
          <w:tcPr>
            <w:tcW w:w="141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474"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85%</w:t>
            </w:r>
          </w:p>
        </w:tc>
        <w:tc>
          <w:tcPr>
            <w:tcW w:w="1747"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95%</w:t>
            </w:r>
          </w:p>
        </w:tc>
        <w:tc>
          <w:tcPr>
            <w:tcW w:w="1701"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95%</w:t>
            </w:r>
          </w:p>
        </w:tc>
        <w:tc>
          <w:tcPr>
            <w:tcW w:w="169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Australia Awards</w:t>
            </w:r>
          </w:p>
        </w:tc>
        <w:tc>
          <w:tcPr>
            <w:tcW w:w="1403"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OASIS reports</w:t>
            </w:r>
          </w:p>
        </w:tc>
      </w:tr>
      <w:tr w:rsidR="005B3F1A" w:rsidRPr="00B07F14" w:rsidTr="00A4229E">
        <w:trPr>
          <w:trHeight w:val="845"/>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3.2  % of graduates (men and women) who find employment in their area of study within X months of graduating</w:t>
            </w:r>
          </w:p>
        </w:tc>
        <w:tc>
          <w:tcPr>
            <w:tcW w:w="1418" w:type="dxa"/>
            <w:tcBorders>
              <w:top w:val="nil"/>
              <w:left w:val="nil"/>
              <w:bottom w:val="single" w:sz="4" w:space="0" w:color="auto"/>
              <w:right w:val="single" w:sz="4" w:space="0" w:color="auto"/>
            </w:tcBorders>
            <w:shd w:val="clear" w:color="auto" w:fill="auto"/>
            <w:noWrap/>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80%</w:t>
            </w:r>
          </w:p>
        </w:tc>
        <w:tc>
          <w:tcPr>
            <w:tcW w:w="1474" w:type="dxa"/>
            <w:tcBorders>
              <w:top w:val="nil"/>
              <w:left w:val="nil"/>
              <w:bottom w:val="single" w:sz="4" w:space="0" w:color="auto"/>
              <w:right w:val="single" w:sz="4" w:space="0" w:color="auto"/>
            </w:tcBorders>
            <w:shd w:val="clear" w:color="auto" w:fill="auto"/>
            <w:noWrap/>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90%</w:t>
            </w:r>
          </w:p>
        </w:tc>
        <w:tc>
          <w:tcPr>
            <w:tcW w:w="1474" w:type="dxa"/>
            <w:tcBorders>
              <w:top w:val="nil"/>
              <w:left w:val="nil"/>
              <w:bottom w:val="single" w:sz="4" w:space="0" w:color="auto"/>
              <w:right w:val="single" w:sz="4" w:space="0" w:color="auto"/>
            </w:tcBorders>
            <w:shd w:val="clear" w:color="auto" w:fill="auto"/>
            <w:noWrap/>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85%</w:t>
            </w:r>
          </w:p>
        </w:tc>
        <w:tc>
          <w:tcPr>
            <w:tcW w:w="1747" w:type="dxa"/>
            <w:tcBorders>
              <w:top w:val="nil"/>
              <w:left w:val="nil"/>
              <w:bottom w:val="single" w:sz="4" w:space="0" w:color="auto"/>
              <w:right w:val="single" w:sz="4" w:space="0" w:color="auto"/>
            </w:tcBorders>
            <w:shd w:val="clear" w:color="auto" w:fill="auto"/>
            <w:noWrap/>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90%</w:t>
            </w:r>
          </w:p>
        </w:tc>
        <w:tc>
          <w:tcPr>
            <w:tcW w:w="1701" w:type="dxa"/>
            <w:tcBorders>
              <w:top w:val="nil"/>
              <w:left w:val="nil"/>
              <w:bottom w:val="single" w:sz="4" w:space="0" w:color="auto"/>
              <w:right w:val="single" w:sz="4" w:space="0" w:color="auto"/>
            </w:tcBorders>
            <w:shd w:val="clear" w:color="auto" w:fill="auto"/>
            <w:noWrap/>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90%</w:t>
            </w:r>
          </w:p>
        </w:tc>
        <w:tc>
          <w:tcPr>
            <w:tcW w:w="1698"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Australia Awards</w:t>
            </w:r>
          </w:p>
        </w:tc>
        <w:tc>
          <w:tcPr>
            <w:tcW w:w="1403" w:type="dxa"/>
            <w:tcBorders>
              <w:top w:val="nil"/>
              <w:left w:val="nil"/>
              <w:bottom w:val="single" w:sz="4" w:space="0" w:color="auto"/>
              <w:right w:val="single" w:sz="4" w:space="0" w:color="auto"/>
            </w:tcBorders>
            <w:shd w:val="clear" w:color="auto" w:fill="auto"/>
            <w:noWrap/>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OASIS reports</w:t>
            </w:r>
          </w:p>
        </w:tc>
      </w:tr>
      <w:tr w:rsidR="005B3F1A" w:rsidRPr="00B07F14" w:rsidTr="00A4229E">
        <w:trPr>
          <w:trHeight w:val="647"/>
        </w:trPr>
        <w:tc>
          <w:tcPr>
            <w:tcW w:w="15021" w:type="dxa"/>
            <w:gridSpan w:val="9"/>
            <w:tcBorders>
              <w:top w:val="single" w:sz="4" w:space="0" w:color="auto"/>
              <w:left w:val="single" w:sz="4" w:space="0" w:color="auto"/>
              <w:bottom w:val="single" w:sz="4" w:space="0" w:color="auto"/>
              <w:right w:val="single" w:sz="4" w:space="0" w:color="auto"/>
            </w:tcBorders>
            <w:shd w:val="clear" w:color="000000" w:fill="9BC2E6"/>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Sub-Objective: Health (Health program has commenced in late 2017. Over the next 18 months, outcome areas and indicators are pitched at an intermediate level that sit below shared Ministry of Health and Australian health program long-term outcomes)</w:t>
            </w:r>
          </w:p>
        </w:tc>
      </w:tr>
      <w:tr w:rsidR="005B3F1A" w:rsidRPr="00B07F14" w:rsidTr="004F7FEF">
        <w:trPr>
          <w:trHeight w:val="338"/>
        </w:trPr>
        <w:tc>
          <w:tcPr>
            <w:tcW w:w="15021" w:type="dxa"/>
            <w:gridSpan w:val="9"/>
            <w:tcBorders>
              <w:top w:val="single" w:sz="4" w:space="0" w:color="auto"/>
              <w:left w:val="single" w:sz="4" w:space="0" w:color="auto"/>
              <w:bottom w:val="single" w:sz="4" w:space="0" w:color="auto"/>
              <w:right w:val="single" w:sz="4" w:space="0" w:color="auto"/>
            </w:tcBorders>
            <w:shd w:val="clear" w:color="auto" w:fill="DDEBF7"/>
            <w:vAlign w:val="bottom"/>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Long-term Outcome I: Sub-divisional hospitals managing decentralised clinical services</w:t>
            </w:r>
          </w:p>
        </w:tc>
      </w:tr>
      <w:tr w:rsidR="005B3F1A" w:rsidRPr="00B07F14" w:rsidTr="00BB18E3">
        <w:trPr>
          <w:trHeight w:val="1690"/>
        </w:trPr>
        <w:tc>
          <w:tcPr>
            <w:tcW w:w="2547" w:type="dxa"/>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Intermediate Outcome 1: Quality obstetric care at sub-divisional hospitals</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1.1 Average % attendance to Mother Safe Hospital Initiative (MSHI) standards in subdivisional hospitals</w:t>
            </w:r>
          </w:p>
        </w:tc>
        <w:tc>
          <w:tcPr>
            <w:tcW w:w="1418"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38% (2014)</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Increase from previous years actual</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58% adherence to MSHI standards </w:t>
            </w:r>
            <w:r w:rsidR="00A214A1" w:rsidRPr="00B07F14">
              <w:rPr>
                <w:rFonts w:eastAsia="Times New Roman" w:cstheme="minorHAnsi"/>
                <w:color w:val="000000"/>
                <w:sz w:val="17"/>
                <w:szCs w:val="17"/>
                <w:lang w:val="en-AU" w:eastAsia="en-AU"/>
              </w:rPr>
              <w:t>across four sub-divisional hosp</w:t>
            </w:r>
            <w:r w:rsidRPr="00B07F14">
              <w:rPr>
                <w:rFonts w:eastAsia="Times New Roman" w:cstheme="minorHAnsi"/>
                <w:color w:val="000000"/>
                <w:sz w:val="17"/>
                <w:szCs w:val="17"/>
                <w:lang w:val="en-AU" w:eastAsia="en-AU"/>
              </w:rPr>
              <w:t xml:space="preserve">itals that we are working in. </w:t>
            </w:r>
          </w:p>
        </w:tc>
        <w:tc>
          <w:tcPr>
            <w:tcW w:w="1747"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Increase from previous years actual</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73% adherence to MSHI standards across four sub-divisional hospitals that the program is working in.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 Progress Report</w:t>
            </w:r>
          </w:p>
        </w:tc>
      </w:tr>
    </w:tbl>
    <w:p w:rsidR="00323E4E" w:rsidRDefault="00323E4E">
      <w:r>
        <w:br w:type="page"/>
      </w:r>
    </w:p>
    <w:tbl>
      <w:tblPr>
        <w:tblW w:w="15021" w:type="dxa"/>
        <w:tblLayout w:type="fixed"/>
        <w:tblLook w:val="04A0" w:firstRow="1" w:lastRow="0" w:firstColumn="1" w:lastColumn="0" w:noHBand="0" w:noVBand="1"/>
      </w:tblPr>
      <w:tblGrid>
        <w:gridCol w:w="2547"/>
        <w:gridCol w:w="1559"/>
        <w:gridCol w:w="1418"/>
        <w:gridCol w:w="1474"/>
        <w:gridCol w:w="1474"/>
        <w:gridCol w:w="1747"/>
        <w:gridCol w:w="1701"/>
        <w:gridCol w:w="1698"/>
        <w:gridCol w:w="1403"/>
      </w:tblGrid>
      <w:tr w:rsidR="005B3F1A" w:rsidRPr="00B07F14" w:rsidTr="00BB18E3">
        <w:trPr>
          <w:trHeight w:val="845"/>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lastRenderedPageBreak/>
              <w:t>Intermediate Outcome 2: Strengthened clinical governance for non-communicable diseases (NCDs) at sub-divisional and district hospitals</w:t>
            </w:r>
          </w:p>
        </w:tc>
        <w:tc>
          <w:tcPr>
            <w:tcW w:w="1559" w:type="dxa"/>
            <w:tcBorders>
              <w:top w:val="single" w:sz="4" w:space="0" w:color="auto"/>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1.2 # of Mortality and Morbidity NCD Reviews held in a quarter in sub-divisional and district hospitals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 X# out of 20 hospitals (DH/SDH)</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47" w:type="dxa"/>
            <w:tcBorders>
              <w:top w:val="single" w:sz="4" w:space="0" w:color="auto"/>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 Progress Report</w:t>
            </w:r>
          </w:p>
        </w:tc>
      </w:tr>
      <w:tr w:rsidR="005B3F1A" w:rsidRPr="00B07F14" w:rsidTr="00BB18E3">
        <w:trPr>
          <w:trHeight w:val="845"/>
        </w:trPr>
        <w:tc>
          <w:tcPr>
            <w:tcW w:w="2547" w:type="dxa"/>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Intermediate Outcome 3: Strengthened surveillance and response to vaccine preventable diseases </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1.3 # of surveillance reports (Hospital based Active Surveillance (HBAS)) submitted monthly</w:t>
            </w:r>
          </w:p>
        </w:tc>
        <w:tc>
          <w:tcPr>
            <w:tcW w:w="1418"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tbc: X# out of 20 hospitals (DH/SDH)</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47"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 Progress Report</w:t>
            </w:r>
          </w:p>
        </w:tc>
      </w:tr>
      <w:tr w:rsidR="005B3F1A" w:rsidRPr="00B07F14" w:rsidTr="00BB18E3">
        <w:trPr>
          <w:trHeight w:val="2253"/>
        </w:trPr>
        <w:tc>
          <w:tcPr>
            <w:tcW w:w="2547" w:type="dxa"/>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Intermediate Outcome 4: Strengthened relationships between CSOs and MOHMS to improve service delivery</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1.4 # of CSOs contracted to  provide services in line with MOHMS priorities</w:t>
            </w:r>
          </w:p>
        </w:tc>
        <w:tc>
          <w:tcPr>
            <w:tcW w:w="1418"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TBD by HSSP and MOHMS</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A214A1"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Program inception</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First Targeted Call for CSO Support completed. Facility CSO Grant framework and Strategy completed. Ministry CSO program management support  strengthened. CR 100%</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Second Open Call for wider CSO Grants for Health Sector made. Ministry CSO Program Management engaged in the process. CR 100%</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5 CSOs contracted: Save ther Children Fiji, Medical Services Pacific, Empower Pacific, Partners in Community Development Fiji and FRIEND</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 Progress Report</w:t>
            </w:r>
          </w:p>
        </w:tc>
      </w:tr>
    </w:tbl>
    <w:p w:rsidR="00323E4E" w:rsidRDefault="00323E4E">
      <w:r>
        <w:br w:type="page"/>
      </w:r>
    </w:p>
    <w:tbl>
      <w:tblPr>
        <w:tblW w:w="15021" w:type="dxa"/>
        <w:tblLayout w:type="fixed"/>
        <w:tblLook w:val="04A0" w:firstRow="1" w:lastRow="0" w:firstColumn="1" w:lastColumn="0" w:noHBand="0" w:noVBand="1"/>
      </w:tblPr>
      <w:tblGrid>
        <w:gridCol w:w="2547"/>
        <w:gridCol w:w="1559"/>
        <w:gridCol w:w="1418"/>
        <w:gridCol w:w="1474"/>
        <w:gridCol w:w="1474"/>
        <w:gridCol w:w="1747"/>
        <w:gridCol w:w="1701"/>
        <w:gridCol w:w="1698"/>
        <w:gridCol w:w="1403"/>
      </w:tblGrid>
      <w:tr w:rsidR="005B3F1A" w:rsidRPr="00B07F14" w:rsidTr="00A4229E">
        <w:trPr>
          <w:trHeight w:val="338"/>
        </w:trPr>
        <w:tc>
          <w:tcPr>
            <w:tcW w:w="15021" w:type="dxa"/>
            <w:gridSpan w:val="9"/>
            <w:tcBorders>
              <w:top w:val="single" w:sz="4" w:space="0" w:color="auto"/>
              <w:left w:val="single" w:sz="4" w:space="0" w:color="auto"/>
              <w:bottom w:val="single" w:sz="4" w:space="0" w:color="auto"/>
              <w:right w:val="single" w:sz="4" w:space="0" w:color="auto"/>
            </w:tcBorders>
            <w:shd w:val="clear" w:color="000000" w:fill="DDEBF7"/>
            <w:vAlign w:val="bottom"/>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lastRenderedPageBreak/>
              <w:t>Long-term Outcome II: Functional annual planning-implementation-monitoring-reporting cycles consistently applied within MOHMS</w:t>
            </w:r>
          </w:p>
        </w:tc>
      </w:tr>
      <w:tr w:rsidR="005B3F1A" w:rsidRPr="00B07F14" w:rsidTr="00BB18E3">
        <w:trPr>
          <w:trHeight w:val="1690"/>
        </w:trPr>
        <w:tc>
          <w:tcPr>
            <w:tcW w:w="2547" w:type="dxa"/>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Intermediate Outcome 5 - Improved capacity of MoHMS Director of Policy and Planning, and Director Finance to improve links between the </w:t>
            </w:r>
            <w:r w:rsidR="006E452C">
              <w:rPr>
                <w:rFonts w:eastAsia="Times New Roman" w:cstheme="minorHAnsi"/>
                <w:color w:val="000000"/>
                <w:sz w:val="17"/>
                <w:szCs w:val="17"/>
                <w:lang w:val="en-AU" w:eastAsia="en-AU"/>
              </w:rPr>
              <w:t>MoHMS planning process and well-</w:t>
            </w:r>
            <w:r w:rsidRPr="00B07F14">
              <w:rPr>
                <w:rFonts w:eastAsia="Times New Roman" w:cstheme="minorHAnsi"/>
                <w:color w:val="000000"/>
                <w:sz w:val="17"/>
                <w:szCs w:val="17"/>
                <w:lang w:val="en-AU" w:eastAsia="en-AU"/>
              </w:rPr>
              <w:t xml:space="preserve">costed and successful budget bids. </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2.1 % of spending against Budgeted expenditure</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2016 Budget expenditure figures at 61%</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61% is the current spending capacity of the Ministry.</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6E452C" w:rsidP="005B3F1A">
            <w:pPr>
              <w:suppressAutoHyphens w:val="0"/>
              <w:spacing w:before="0" w:after="0" w:line="240" w:lineRule="auto"/>
              <w:jc w:val="center"/>
              <w:rPr>
                <w:rFonts w:eastAsia="Times New Roman" w:cstheme="minorHAnsi"/>
                <w:color w:val="000000"/>
                <w:sz w:val="17"/>
                <w:szCs w:val="17"/>
                <w:lang w:val="en-AU" w:eastAsia="en-AU"/>
              </w:rPr>
            </w:pPr>
            <w:r>
              <w:rPr>
                <w:rFonts w:eastAsia="Times New Roman" w:cstheme="minorHAnsi"/>
                <w:color w:val="000000"/>
                <w:sz w:val="17"/>
                <w:szCs w:val="17"/>
                <w:lang w:val="en-AU" w:eastAsia="en-AU"/>
              </w:rPr>
              <w:t>65% Spending target. Planning and Budget submission</w:t>
            </w:r>
            <w:r w:rsidR="005B3F1A" w:rsidRPr="00B07F14">
              <w:rPr>
                <w:rFonts w:eastAsia="Times New Roman" w:cstheme="minorHAnsi"/>
                <w:color w:val="000000"/>
                <w:sz w:val="17"/>
                <w:szCs w:val="17"/>
                <w:lang w:val="en-AU" w:eastAsia="en-AU"/>
              </w:rPr>
              <w:t>s and F</w:t>
            </w:r>
            <w:r>
              <w:rPr>
                <w:rFonts w:eastAsia="Times New Roman" w:cstheme="minorHAnsi"/>
                <w:color w:val="000000"/>
                <w:sz w:val="17"/>
                <w:szCs w:val="17"/>
                <w:lang w:val="en-AU" w:eastAsia="en-AU"/>
              </w:rPr>
              <w:t>iscal frameworks and changes to</w:t>
            </w:r>
            <w:r w:rsidR="005B3F1A" w:rsidRPr="00B07F14">
              <w:rPr>
                <w:rFonts w:eastAsia="Times New Roman" w:cstheme="minorHAnsi"/>
                <w:color w:val="000000"/>
                <w:sz w:val="17"/>
                <w:szCs w:val="17"/>
                <w:lang w:val="en-AU" w:eastAsia="en-AU"/>
              </w:rPr>
              <w:t xml:space="preserve"> policies identified.</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70% Spending target. Embedding planning approaches within the planning cycle. Fiscal policies for cabinet approval.  </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6E452C">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Too early to tell as 2018/2019 financial year has just ended. Indi</w:t>
            </w:r>
            <w:r w:rsidR="006E452C">
              <w:rPr>
                <w:rFonts w:eastAsia="Times New Roman" w:cstheme="minorHAnsi"/>
                <w:color w:val="000000"/>
                <w:sz w:val="17"/>
                <w:szCs w:val="17"/>
                <w:lang w:val="en-AU" w:eastAsia="en-AU"/>
              </w:rPr>
              <w:t>cations are that it was on track to hit</w:t>
            </w:r>
            <w:r w:rsidRPr="00B07F14">
              <w:rPr>
                <w:rFonts w:eastAsia="Times New Roman" w:cstheme="minorHAnsi"/>
                <w:color w:val="000000"/>
                <w:sz w:val="17"/>
                <w:szCs w:val="17"/>
                <w:lang w:val="en-AU" w:eastAsia="en-AU"/>
              </w:rPr>
              <w:t xml:space="preserve"> 85%.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Annual Budget and the Annual National Health Accounts</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Annual</w:t>
            </w:r>
          </w:p>
        </w:tc>
      </w:tr>
      <w:tr w:rsidR="005B3F1A" w:rsidRPr="00B07F14" w:rsidTr="00BB18E3">
        <w:trPr>
          <w:trHeight w:val="1126"/>
        </w:trPr>
        <w:tc>
          <w:tcPr>
            <w:tcW w:w="2547"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Intermediate Outcome 6: Strengthened and adequately staffed health workforce to deliver quality services, through the successful establishment of the Learning and Development Unit </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2.2 Ratio of vacancies to establishment for clinical cadres</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30% (2014)</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47"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No target set</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21%</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 Progress Report/MOHMS HRD records</w:t>
            </w:r>
          </w:p>
        </w:tc>
      </w:tr>
      <w:tr w:rsidR="005B3F1A" w:rsidRPr="00B07F14" w:rsidTr="00BB18E3">
        <w:trPr>
          <w:trHeight w:val="1126"/>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2.3 Ratio of vacancies to establishment for non-clinical cadres</w:t>
            </w:r>
          </w:p>
        </w:tc>
        <w:tc>
          <w:tcPr>
            <w:tcW w:w="1418"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474"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47"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 Progress Report/MOHMS HRD records</w:t>
            </w:r>
          </w:p>
        </w:tc>
      </w:tr>
      <w:tr w:rsidR="005B3F1A" w:rsidRPr="00B07F14" w:rsidTr="00BB18E3">
        <w:trPr>
          <w:trHeight w:val="1126"/>
        </w:trPr>
        <w:tc>
          <w:tcPr>
            <w:tcW w:w="2547"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Intermediate Outcome 7: Established NCD information system capable of providing accurate data for patient detection, management, and tracking. </w:t>
            </w: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2.4 Number of people (sex / age disaggregated) screened and referred to the next level of care in the health system</w:t>
            </w:r>
          </w:p>
        </w:tc>
        <w:tc>
          <w:tcPr>
            <w:tcW w:w="1418" w:type="dxa"/>
            <w:tcBorders>
              <w:top w:val="nil"/>
              <w:left w:val="nil"/>
              <w:bottom w:val="single" w:sz="4" w:space="0" w:color="auto"/>
              <w:right w:val="single" w:sz="4" w:space="0" w:color="auto"/>
            </w:tcBorders>
            <w:shd w:val="clear" w:color="000000" w:fill="FFFFFF"/>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This was part of previous Health Program</w:t>
            </w:r>
          </w:p>
        </w:tc>
        <w:tc>
          <w:tcPr>
            <w:tcW w:w="1474" w:type="dxa"/>
            <w:tcBorders>
              <w:top w:val="nil"/>
              <w:left w:val="nil"/>
              <w:bottom w:val="single" w:sz="4" w:space="0" w:color="auto"/>
              <w:right w:val="single" w:sz="4" w:space="0" w:color="auto"/>
            </w:tcBorders>
            <w:shd w:val="clear" w:color="000000" w:fill="FFFFFF"/>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This was part of previous Health Program</w:t>
            </w:r>
          </w:p>
        </w:tc>
        <w:tc>
          <w:tcPr>
            <w:tcW w:w="1474" w:type="dxa"/>
            <w:tcBorders>
              <w:top w:val="nil"/>
              <w:left w:val="nil"/>
              <w:bottom w:val="single" w:sz="4" w:space="0" w:color="auto"/>
              <w:right w:val="single" w:sz="4" w:space="0" w:color="auto"/>
            </w:tcBorders>
            <w:shd w:val="clear" w:color="000000" w:fill="FFFFFF"/>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This was part of previous Health Program</w:t>
            </w:r>
          </w:p>
        </w:tc>
        <w:tc>
          <w:tcPr>
            <w:tcW w:w="1747"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Screening reports (MOHMS / CSOs)</w:t>
            </w:r>
          </w:p>
        </w:tc>
      </w:tr>
      <w:tr w:rsidR="005B3F1A" w:rsidRPr="00B07F14" w:rsidTr="00BB18E3">
        <w:trPr>
          <w:trHeight w:val="1126"/>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2.5 Number of people (sex / age disaggregated) referred to and captured by next level of care in the health system</w:t>
            </w:r>
          </w:p>
        </w:tc>
        <w:tc>
          <w:tcPr>
            <w:tcW w:w="1418" w:type="dxa"/>
            <w:tcBorders>
              <w:top w:val="nil"/>
              <w:left w:val="nil"/>
              <w:bottom w:val="single" w:sz="4" w:space="0" w:color="auto"/>
              <w:right w:val="single" w:sz="4" w:space="0" w:color="auto"/>
            </w:tcBorders>
            <w:shd w:val="clear" w:color="000000" w:fill="FFFFFF"/>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This was part of previous Health Program</w:t>
            </w:r>
          </w:p>
        </w:tc>
        <w:tc>
          <w:tcPr>
            <w:tcW w:w="1474" w:type="dxa"/>
            <w:tcBorders>
              <w:top w:val="nil"/>
              <w:left w:val="nil"/>
              <w:bottom w:val="single" w:sz="4" w:space="0" w:color="auto"/>
              <w:right w:val="single" w:sz="4" w:space="0" w:color="auto"/>
            </w:tcBorders>
            <w:shd w:val="clear" w:color="000000" w:fill="FFFFFF"/>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This was part of previous Health Program</w:t>
            </w:r>
          </w:p>
        </w:tc>
        <w:tc>
          <w:tcPr>
            <w:tcW w:w="1474" w:type="dxa"/>
            <w:tcBorders>
              <w:top w:val="nil"/>
              <w:left w:val="nil"/>
              <w:bottom w:val="single" w:sz="4" w:space="0" w:color="auto"/>
              <w:right w:val="single" w:sz="4" w:space="0" w:color="auto"/>
            </w:tcBorders>
            <w:shd w:val="clear" w:color="000000" w:fill="FFFFFF"/>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This was part of previous Health Program</w:t>
            </w:r>
          </w:p>
        </w:tc>
        <w:tc>
          <w:tcPr>
            <w:tcW w:w="1747"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Information not held by Program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Health Sector Support Program</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BB18E3">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Screening reports (MOHMS / CSOs)</w:t>
            </w:r>
          </w:p>
        </w:tc>
      </w:tr>
    </w:tbl>
    <w:p w:rsidR="00323E4E" w:rsidRDefault="00323E4E">
      <w:r>
        <w:br w:type="page"/>
      </w:r>
    </w:p>
    <w:tbl>
      <w:tblPr>
        <w:tblW w:w="15021" w:type="dxa"/>
        <w:tblLayout w:type="fixed"/>
        <w:tblLook w:val="04A0" w:firstRow="1" w:lastRow="0" w:firstColumn="1" w:lastColumn="0" w:noHBand="0" w:noVBand="1"/>
      </w:tblPr>
      <w:tblGrid>
        <w:gridCol w:w="2547"/>
        <w:gridCol w:w="1559"/>
        <w:gridCol w:w="1418"/>
        <w:gridCol w:w="1474"/>
        <w:gridCol w:w="1474"/>
        <w:gridCol w:w="1747"/>
        <w:gridCol w:w="1701"/>
        <w:gridCol w:w="1698"/>
        <w:gridCol w:w="1403"/>
      </w:tblGrid>
      <w:tr w:rsidR="005B3F1A" w:rsidRPr="00B07F14" w:rsidTr="00A4229E">
        <w:trPr>
          <w:trHeight w:val="436"/>
        </w:trPr>
        <w:tc>
          <w:tcPr>
            <w:tcW w:w="15021" w:type="dxa"/>
            <w:gridSpan w:val="9"/>
            <w:tcBorders>
              <w:top w:val="single" w:sz="4" w:space="0" w:color="auto"/>
              <w:left w:val="single" w:sz="4" w:space="0" w:color="auto"/>
              <w:bottom w:val="single" w:sz="4" w:space="0" w:color="auto"/>
              <w:right w:val="single" w:sz="4" w:space="0" w:color="auto"/>
            </w:tcBorders>
            <w:shd w:val="clear" w:color="000000" w:fill="BDD7EE"/>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lastRenderedPageBreak/>
              <w:t>Sub-objective: Gender and social inclusion</w:t>
            </w:r>
          </w:p>
        </w:tc>
      </w:tr>
      <w:tr w:rsidR="005B3F1A" w:rsidRPr="00B07F14" w:rsidTr="004F7FEF">
        <w:trPr>
          <w:trHeight w:val="1366"/>
        </w:trPr>
        <w:tc>
          <w:tcPr>
            <w:tcW w:w="2547"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4F7FEF">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Outcome 1: Women (including survivors of violence) and communities in Fiji have access to responsive support services and justice to reduce violence against women.</w:t>
            </w: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1.1 Increased numbers of women reporting domestic violence and sexual assault to the police</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630 (2015)</w:t>
            </w:r>
          </w:p>
        </w:tc>
        <w:tc>
          <w:tcPr>
            <w:tcW w:w="1474" w:type="dxa"/>
            <w:tcBorders>
              <w:top w:val="nil"/>
              <w:left w:val="nil"/>
              <w:bottom w:val="single" w:sz="4" w:space="0" w:color="auto"/>
              <w:right w:val="single" w:sz="4" w:space="0" w:color="auto"/>
            </w:tcBorders>
            <w:shd w:val="clear" w:color="auto" w:fill="auto"/>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950</w:t>
            </w:r>
          </w:p>
        </w:tc>
        <w:tc>
          <w:tcPr>
            <w:tcW w:w="1474" w:type="dxa"/>
            <w:tcBorders>
              <w:top w:val="nil"/>
              <w:left w:val="nil"/>
              <w:bottom w:val="single" w:sz="4" w:space="0" w:color="auto"/>
              <w:right w:val="single" w:sz="4" w:space="0" w:color="auto"/>
            </w:tcBorders>
            <w:shd w:val="clear" w:color="auto" w:fill="auto"/>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1000</w:t>
            </w:r>
          </w:p>
        </w:tc>
        <w:tc>
          <w:tcPr>
            <w:tcW w:w="1747" w:type="dxa"/>
            <w:tcBorders>
              <w:top w:val="nil"/>
              <w:left w:val="nil"/>
              <w:bottom w:val="single" w:sz="4" w:space="0" w:color="auto"/>
              <w:right w:val="single" w:sz="4" w:space="0" w:color="auto"/>
            </w:tcBorders>
            <w:shd w:val="clear" w:color="auto" w:fill="auto"/>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1000</w:t>
            </w:r>
          </w:p>
        </w:tc>
        <w:tc>
          <w:tcPr>
            <w:tcW w:w="1701" w:type="dxa"/>
            <w:tcBorders>
              <w:top w:val="nil"/>
              <w:left w:val="nil"/>
              <w:bottom w:val="single" w:sz="4" w:space="0" w:color="auto"/>
              <w:right w:val="single" w:sz="4" w:space="0" w:color="auto"/>
            </w:tcBorders>
            <w:shd w:val="clear" w:color="000000" w:fill="FFFFFF"/>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435</w:t>
            </w:r>
          </w:p>
        </w:tc>
        <w:tc>
          <w:tcPr>
            <w:tcW w:w="1698" w:type="dxa"/>
            <w:tcBorders>
              <w:top w:val="nil"/>
              <w:left w:val="nil"/>
              <w:bottom w:val="single" w:sz="4" w:space="0" w:color="auto"/>
              <w:right w:val="single" w:sz="4" w:space="0" w:color="auto"/>
            </w:tcBorders>
            <w:shd w:val="clear" w:color="auto" w:fill="auto"/>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GESI</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FWCC Client Data Reports</w:t>
            </w:r>
          </w:p>
        </w:tc>
      </w:tr>
      <w:tr w:rsidR="005B3F1A" w:rsidRPr="00B07F14" w:rsidTr="00A4229E">
        <w:trPr>
          <w:trHeight w:val="1690"/>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1.2 Number of women survivors of violence receiving support services (counselling, financial, legal and medical services)</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2,761 survivors of violence (including 33 with disabilities) received counselling, financial, legal and medical services (2016)</w:t>
            </w:r>
          </w:p>
        </w:tc>
        <w:tc>
          <w:tcPr>
            <w:tcW w:w="1474" w:type="dxa"/>
            <w:tcBorders>
              <w:top w:val="nil"/>
              <w:left w:val="nil"/>
              <w:bottom w:val="single" w:sz="4" w:space="0" w:color="auto"/>
              <w:right w:val="single" w:sz="4" w:space="0" w:color="auto"/>
            </w:tcBorders>
            <w:shd w:val="clear" w:color="auto" w:fill="auto"/>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2,761</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2800</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2900</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1713</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GESI</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Implementing partner reports</w:t>
            </w:r>
          </w:p>
        </w:tc>
      </w:tr>
      <w:tr w:rsidR="005B3F1A" w:rsidRPr="00B07F14" w:rsidTr="00A4229E">
        <w:trPr>
          <w:trHeight w:val="845"/>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 xml:space="preserve">1.3 Number of police and law and justice officials trained (women and men) </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389 (208 men and 181 women) in 2016-17</w:t>
            </w:r>
          </w:p>
        </w:tc>
        <w:tc>
          <w:tcPr>
            <w:tcW w:w="1474" w:type="dxa"/>
            <w:tcBorders>
              <w:top w:val="nil"/>
              <w:left w:val="nil"/>
              <w:bottom w:val="single" w:sz="4" w:space="0" w:color="auto"/>
              <w:right w:val="single" w:sz="4" w:space="0" w:color="auto"/>
            </w:tcBorders>
            <w:shd w:val="clear" w:color="auto" w:fill="auto"/>
            <w:noWrap/>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389</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390</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450</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126</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GESI</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Implementing partner reports</w:t>
            </w:r>
          </w:p>
        </w:tc>
      </w:tr>
      <w:tr w:rsidR="005B3F1A" w:rsidRPr="00B07F14" w:rsidTr="00A4229E">
        <w:trPr>
          <w:trHeight w:val="1408"/>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Outcome 2: Women in Fiji have increased capacity to access to income generating, business and employment opportunities</w:t>
            </w: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2.1 Number of poor women accessing financial literacy training and business services</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93 women market vendors receiving financial literacy and business management training</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93</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829 women market vendors/farmers(M4C) and 21 from FWF Grantees</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GESI</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Implementing partner reports </w:t>
            </w:r>
          </w:p>
        </w:tc>
      </w:tr>
    </w:tbl>
    <w:p w:rsidR="00323E4E" w:rsidRDefault="00323E4E">
      <w:r>
        <w:br w:type="page"/>
      </w:r>
    </w:p>
    <w:tbl>
      <w:tblPr>
        <w:tblW w:w="15021" w:type="dxa"/>
        <w:tblLayout w:type="fixed"/>
        <w:tblLook w:val="04A0" w:firstRow="1" w:lastRow="0" w:firstColumn="1" w:lastColumn="0" w:noHBand="0" w:noVBand="1"/>
      </w:tblPr>
      <w:tblGrid>
        <w:gridCol w:w="2547"/>
        <w:gridCol w:w="1559"/>
        <w:gridCol w:w="1418"/>
        <w:gridCol w:w="1474"/>
        <w:gridCol w:w="1474"/>
        <w:gridCol w:w="1747"/>
        <w:gridCol w:w="1701"/>
        <w:gridCol w:w="1698"/>
        <w:gridCol w:w="1403"/>
      </w:tblGrid>
      <w:tr w:rsidR="004F7FEF" w:rsidRPr="00B07F14" w:rsidTr="004F7FEF">
        <w:trPr>
          <w:trHeight w:val="1971"/>
        </w:trPr>
        <w:tc>
          <w:tcPr>
            <w:tcW w:w="2547" w:type="dxa"/>
            <w:vMerge w:val="restart"/>
            <w:tcBorders>
              <w:top w:val="single" w:sz="4" w:space="0" w:color="auto"/>
              <w:left w:val="single" w:sz="4" w:space="0" w:color="auto"/>
              <w:right w:val="single" w:sz="4" w:space="0" w:color="auto"/>
            </w:tcBorders>
            <w:shd w:val="clear" w:color="auto" w:fill="auto"/>
            <w:hideMark/>
          </w:tcPr>
          <w:p w:rsidR="004F7FEF" w:rsidRPr="00B07F14" w:rsidRDefault="004F7FEF" w:rsidP="004F7FEF">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lastRenderedPageBreak/>
              <w:t xml:space="preserve">Outcome 3: Women in Fiji undertake leadership and decision making roles. </w:t>
            </w:r>
          </w:p>
          <w:p w:rsidR="004F7FEF" w:rsidRPr="00B07F14" w:rsidRDefault="004F7FEF" w:rsidP="004F7FEF">
            <w:pPr>
              <w:spacing w:before="0" w:after="0" w:line="240" w:lineRule="auto"/>
              <w:rPr>
                <w:rFonts w:eastAsia="Times New Roman" w:cstheme="minorHAnsi"/>
                <w:color w:val="auto"/>
                <w:sz w:val="17"/>
                <w:szCs w:val="17"/>
                <w:lang w:val="en-AU" w:eastAsia="en-AU"/>
              </w:rPr>
            </w:pPr>
            <w:r>
              <w:br w:type="page"/>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3.1 a. Number of management committees in which women are equally represented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FEF" w:rsidRPr="00B07F14" w:rsidRDefault="004F7FEF" w:rsidP="006E452C">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Women are underrepresented in decision making and leadership processes. At the school management level, at schools considered the most disadvantaged in rural and remote areas, women occupy only 10% of positions on school committees. 16% (8 out of 50 members) of Fiji's National Parliament </w:t>
            </w:r>
            <w:r w:rsidR="006E452C">
              <w:rPr>
                <w:rFonts w:eastAsia="Times New Roman" w:cstheme="minorHAnsi"/>
                <w:color w:val="000000"/>
                <w:sz w:val="17"/>
                <w:szCs w:val="17"/>
                <w:lang w:val="en-AU" w:eastAsia="en-AU"/>
              </w:rPr>
              <w:t>are</w:t>
            </w:r>
            <w:r w:rsidRPr="00B07F14">
              <w:rPr>
                <w:rFonts w:eastAsia="Times New Roman" w:cstheme="minorHAnsi"/>
                <w:color w:val="000000"/>
                <w:sz w:val="17"/>
                <w:szCs w:val="17"/>
                <w:lang w:val="en-AU" w:eastAsia="en-AU"/>
              </w:rPr>
              <w:t xml:space="preserve"> women.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9 out of 12 marketplaces with a market vendor executive committee has at least 50% women in leadership roles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9 out of 12 marketplaces with a market vendor executive committee has at least 50% women in leadership roles </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12 out of 12 marketplaces with a market vendor executive committee has at least 50% women in leadership roles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12</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GESI</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Implementing partner reports </w:t>
            </w:r>
          </w:p>
        </w:tc>
      </w:tr>
      <w:tr w:rsidR="004F7FEF" w:rsidRPr="00B07F14" w:rsidTr="00353EFA">
        <w:trPr>
          <w:trHeight w:val="2816"/>
        </w:trPr>
        <w:tc>
          <w:tcPr>
            <w:tcW w:w="2547" w:type="dxa"/>
            <w:vMerge/>
            <w:tcBorders>
              <w:left w:val="single" w:sz="4" w:space="0" w:color="auto"/>
              <w:bottom w:val="single" w:sz="4" w:space="0" w:color="auto"/>
              <w:right w:val="single" w:sz="4" w:space="0" w:color="auto"/>
            </w:tcBorders>
            <w:vAlign w:val="center"/>
            <w:hideMark/>
          </w:tcPr>
          <w:p w:rsidR="004F7FEF" w:rsidRPr="00B07F14" w:rsidRDefault="004F7FEF" w:rsidP="005B3F1A">
            <w:pPr>
              <w:suppressAutoHyphens w:val="0"/>
              <w:spacing w:before="0" w:after="0" w:line="240" w:lineRule="auto"/>
              <w:rPr>
                <w:rFonts w:eastAsia="Times New Roman" w:cstheme="minorHAnsi"/>
                <w:color w:val="auto"/>
                <w:sz w:val="17"/>
                <w:szCs w:val="17"/>
                <w:lang w:val="en-AU" w:eastAsia="en-A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3.1.b. Increased number of women taking up a leadership/decision making role at a local, sub-national or national level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7FEF" w:rsidRPr="00B07F14" w:rsidRDefault="004F7FEF" w:rsidP="005B3F1A">
            <w:pPr>
              <w:suppressAutoHyphens w:val="0"/>
              <w:spacing w:before="0" w:after="0" w:line="240" w:lineRule="auto"/>
              <w:rPr>
                <w:rFonts w:eastAsia="Times New Roman" w:cstheme="minorHAnsi"/>
                <w:color w:val="000000"/>
                <w:sz w:val="17"/>
                <w:szCs w:val="17"/>
                <w:lang w:val="en-AU" w:eastAsia="en-AU"/>
              </w:rPr>
            </w:pP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jc w:val="center"/>
              <w:rPr>
                <w:rFonts w:eastAsia="Times New Roman" w:cstheme="minorHAnsi"/>
                <w:color w:val="FF0000"/>
                <w:sz w:val="17"/>
                <w:szCs w:val="17"/>
                <w:lang w:val="en-AU" w:eastAsia="en-AU"/>
              </w:rPr>
            </w:pPr>
            <w:r w:rsidRPr="00B07F14">
              <w:rPr>
                <w:rFonts w:eastAsia="Times New Roman" w:cstheme="minorHAnsi"/>
                <w:color w:val="FF0000"/>
                <w:sz w:val="17"/>
                <w:szCs w:val="17"/>
                <w:lang w:val="en-AU" w:eastAsia="en-AU"/>
              </w:rPr>
              <w:t>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12 (M4C) and 81 (FWF)</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GESI</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F7FEF" w:rsidRPr="00B07F14" w:rsidRDefault="004F7FEF"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Implementing partner reports </w:t>
            </w:r>
          </w:p>
        </w:tc>
      </w:tr>
      <w:tr w:rsidR="005B3F1A" w:rsidRPr="00B07F14" w:rsidTr="004F7FEF">
        <w:trPr>
          <w:trHeight w:val="1408"/>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Outcome 4: Gender is effectively addressed in all Australian bilateral aid investments (DFAT performance benchmark)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4.1 At least 80 per cent of investments effectively address gender issues in their implementation </w:t>
            </w:r>
            <w:r w:rsidRPr="00B07F14">
              <w:rPr>
                <w:rFonts w:eastAsia="Times New Roman" w:cstheme="minorHAnsi"/>
                <w:color w:val="000000"/>
                <w:sz w:val="17"/>
                <w:szCs w:val="17"/>
                <w:lang w:val="en-AU" w:eastAsia="en-AU"/>
              </w:rPr>
              <w:lastRenderedPageBreak/>
              <w:t>(score 4 or higher in AQCs)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lastRenderedPageBreak/>
              <w:t>In 2015-2016, the Fiji program scored 83% (5 out of the 6 investments scored 4 or higher)</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75%</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75%</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66%</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GESI</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Aid investment AQC reports </w:t>
            </w:r>
          </w:p>
        </w:tc>
      </w:tr>
      <w:tr w:rsidR="005B3F1A" w:rsidRPr="00B07F14" w:rsidTr="00A4229E">
        <w:trPr>
          <w:trHeight w:val="16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Outcome 5: Enhance the participation of people with disabilities as contributors, leaders and decision makers in their communities</w:t>
            </w: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5.1 Percentage of investments that actively involve people with disabilities and/or Disabled People’s Organisations in planning, implementation and monitoring and evaluation.</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 (2015-16)</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38%</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Annual Investment Aid Quality Checks</w:t>
            </w:r>
          </w:p>
        </w:tc>
      </w:tr>
      <w:tr w:rsidR="005B3F1A" w:rsidRPr="00B07F14" w:rsidTr="00323E4E">
        <w:trPr>
          <w:trHeight w:val="1408"/>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Outcome 6: Improve equity of access of people with disabilities to benefit from Australian bilateral aid investments.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6.1 Percentage of investments that identify and address barriers to inclusion for people with disabilities to enable them to benefit equally from the aid investment.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 (2015-16)</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80%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53%</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Annual Investment Aid Quality Checks</w:t>
            </w:r>
          </w:p>
        </w:tc>
      </w:tr>
    </w:tbl>
    <w:p w:rsidR="004F7FEF" w:rsidRDefault="004F7FEF">
      <w:r>
        <w:br w:type="page"/>
      </w:r>
    </w:p>
    <w:tbl>
      <w:tblPr>
        <w:tblW w:w="15021" w:type="dxa"/>
        <w:tblLayout w:type="fixed"/>
        <w:tblLook w:val="04A0" w:firstRow="1" w:lastRow="0" w:firstColumn="1" w:lastColumn="0" w:noHBand="0" w:noVBand="1"/>
      </w:tblPr>
      <w:tblGrid>
        <w:gridCol w:w="2547"/>
        <w:gridCol w:w="1559"/>
        <w:gridCol w:w="1418"/>
        <w:gridCol w:w="1474"/>
        <w:gridCol w:w="1474"/>
        <w:gridCol w:w="1747"/>
        <w:gridCol w:w="1701"/>
        <w:gridCol w:w="1698"/>
        <w:gridCol w:w="1403"/>
      </w:tblGrid>
      <w:tr w:rsidR="005B3F1A" w:rsidRPr="00B07F14" w:rsidTr="00A4229E">
        <w:trPr>
          <w:trHeight w:val="436"/>
        </w:trPr>
        <w:tc>
          <w:tcPr>
            <w:tcW w:w="15021" w:type="dxa"/>
            <w:gridSpan w:val="9"/>
            <w:tcBorders>
              <w:top w:val="single" w:sz="4" w:space="0" w:color="auto"/>
              <w:left w:val="single" w:sz="4" w:space="0" w:color="auto"/>
              <w:bottom w:val="single" w:sz="4" w:space="0" w:color="auto"/>
              <w:right w:val="single" w:sz="4" w:space="0" w:color="auto"/>
            </w:tcBorders>
            <w:shd w:val="clear" w:color="000000" w:fill="BDD7EE"/>
            <w:vAlign w:val="center"/>
            <w:hideMark/>
          </w:tcPr>
          <w:p w:rsidR="005B3F1A" w:rsidRPr="00B07F14" w:rsidRDefault="005B3F1A" w:rsidP="005B3F1A">
            <w:pPr>
              <w:suppressAutoHyphens w:val="0"/>
              <w:spacing w:before="0" w:after="0" w:line="240" w:lineRule="auto"/>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lastRenderedPageBreak/>
              <w:t>Sub objective: Climate and Disaster preparedness and response</w:t>
            </w:r>
          </w:p>
        </w:tc>
      </w:tr>
      <w:tr w:rsidR="005B3F1A" w:rsidRPr="00B07F14" w:rsidTr="004F7FEF">
        <w:trPr>
          <w:trHeight w:val="1098"/>
        </w:trPr>
        <w:tc>
          <w:tcPr>
            <w:tcW w:w="2547" w:type="dxa"/>
            <w:vMerge w:val="restart"/>
            <w:tcBorders>
              <w:top w:val="nil"/>
              <w:left w:val="single" w:sz="4" w:space="0" w:color="auto"/>
              <w:bottom w:val="single" w:sz="4" w:space="0" w:color="auto"/>
              <w:right w:val="single" w:sz="4" w:space="0" w:color="auto"/>
            </w:tcBorders>
            <w:shd w:val="clear" w:color="auto" w:fill="auto"/>
            <w:hideMark/>
          </w:tcPr>
          <w:p w:rsidR="005B3F1A" w:rsidRPr="00B07F14" w:rsidRDefault="005B3F1A" w:rsidP="004F7FEF">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Outcome 1: Increased focus on climate change and disaster resilience in Australian bilateral aid investments. </w:t>
            </w: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1.1 Percentage of investments that are actively managing risks &amp; action on climate change and disaster resilience.</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75%</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80%</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90%</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50%</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All programs</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Risk Register/Aid Quality Checks</w:t>
            </w:r>
          </w:p>
        </w:tc>
      </w:tr>
      <w:tr w:rsidR="005B3F1A" w:rsidRPr="00B07F14" w:rsidTr="00A4229E">
        <w:trPr>
          <w:trHeight w:val="985"/>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1.2 Percentage of investments that align with Fiji's climate &amp; disaster resilience priorities.</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75%</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80%</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90%</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50%</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All programs</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Annual Investment Aid Quality Checks</w:t>
            </w:r>
          </w:p>
        </w:tc>
      </w:tr>
      <w:tr w:rsidR="005B3F1A" w:rsidRPr="00B07F14" w:rsidTr="00A4229E">
        <w:trPr>
          <w:trHeight w:val="1380"/>
        </w:trPr>
        <w:tc>
          <w:tcPr>
            <w:tcW w:w="2547"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155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1.3 Annual contingency fund of at least 2 per cent of the bilateral aid program in Fiji is programmed to prepare for and respond to disasters. </w:t>
            </w:r>
          </w:p>
        </w:tc>
        <w:tc>
          <w:tcPr>
            <w:tcW w:w="141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Contingency set aside in previous years but only for emergency response.</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w:t>
            </w:r>
          </w:p>
        </w:tc>
        <w:tc>
          <w:tcPr>
            <w:tcW w:w="1474"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 per cent of bilateral funding</w:t>
            </w:r>
          </w:p>
        </w:tc>
        <w:tc>
          <w:tcPr>
            <w:tcW w:w="174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 per cent of bilateral funding</w:t>
            </w:r>
          </w:p>
        </w:tc>
        <w:tc>
          <w:tcPr>
            <w:tcW w:w="1701"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0.7% of Bilateral funding </w:t>
            </w:r>
          </w:p>
        </w:tc>
        <w:tc>
          <w:tcPr>
            <w:tcW w:w="1698"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Facility</w:t>
            </w:r>
          </w:p>
        </w:tc>
        <w:tc>
          <w:tcPr>
            <w:tcW w:w="140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Facility bi-annual and annual reports</w:t>
            </w:r>
          </w:p>
        </w:tc>
      </w:tr>
    </w:tbl>
    <w:p w:rsidR="00EE5180" w:rsidRPr="00B07F14" w:rsidRDefault="00EE5180" w:rsidP="00784031">
      <w:pPr>
        <w:rPr>
          <w:rFonts w:cstheme="minorHAnsi"/>
          <w:sz w:val="17"/>
          <w:szCs w:val="17"/>
        </w:rPr>
      </w:pPr>
    </w:p>
    <w:p w:rsidR="004F7FEF" w:rsidRDefault="004F7FEF">
      <w:pPr>
        <w:suppressAutoHyphens w:val="0"/>
        <w:spacing w:before="0" w:after="120" w:line="440" w:lineRule="atLeast"/>
        <w:rPr>
          <w:rFonts w:cstheme="minorHAnsi"/>
          <w:sz w:val="17"/>
          <w:szCs w:val="17"/>
        </w:rPr>
      </w:pPr>
      <w:r>
        <w:rPr>
          <w:rFonts w:cstheme="minorHAnsi"/>
          <w:sz w:val="17"/>
          <w:szCs w:val="17"/>
        </w:rPr>
        <w:br w:type="page"/>
      </w:r>
    </w:p>
    <w:tbl>
      <w:tblPr>
        <w:tblW w:w="15414" w:type="dxa"/>
        <w:tblLook w:val="04A0" w:firstRow="1" w:lastRow="0" w:firstColumn="1" w:lastColumn="0" w:noHBand="0" w:noVBand="1"/>
      </w:tblPr>
      <w:tblGrid>
        <w:gridCol w:w="2034"/>
        <w:gridCol w:w="2657"/>
        <w:gridCol w:w="1497"/>
        <w:gridCol w:w="1381"/>
        <w:gridCol w:w="1586"/>
        <w:gridCol w:w="1602"/>
        <w:gridCol w:w="1602"/>
        <w:gridCol w:w="1386"/>
        <w:gridCol w:w="1669"/>
      </w:tblGrid>
      <w:tr w:rsidR="005B3F1A" w:rsidRPr="00B07F14" w:rsidTr="005B3F1A">
        <w:trPr>
          <w:trHeight w:val="411"/>
        </w:trPr>
        <w:tc>
          <w:tcPr>
            <w:tcW w:w="15414" w:type="dxa"/>
            <w:gridSpan w:val="9"/>
            <w:tcBorders>
              <w:top w:val="single" w:sz="4" w:space="0" w:color="1F4E78"/>
              <w:left w:val="single" w:sz="4" w:space="0" w:color="1F4E78"/>
              <w:bottom w:val="single" w:sz="4" w:space="0" w:color="1F4E78"/>
              <w:right w:val="nil"/>
            </w:tcBorders>
            <w:shd w:val="clear" w:color="000000" w:fill="C65911"/>
            <w:noWrap/>
            <w:vAlign w:val="center"/>
            <w:hideMark/>
          </w:tcPr>
          <w:p w:rsidR="005B3F1A" w:rsidRPr="00B07F14" w:rsidRDefault="005B3F1A" w:rsidP="005B3F1A">
            <w:pPr>
              <w:suppressAutoHyphens w:val="0"/>
              <w:spacing w:before="0" w:after="0" w:line="240" w:lineRule="auto"/>
              <w:jc w:val="center"/>
              <w:rPr>
                <w:rFonts w:asciiTheme="majorHAnsi" w:eastAsia="Times New Roman" w:hAnsiTheme="majorHAnsi" w:cstheme="majorHAnsi"/>
                <w:b/>
                <w:bCs/>
                <w:i/>
                <w:iCs/>
                <w:color w:val="FFFFFF"/>
                <w:sz w:val="36"/>
                <w:szCs w:val="36"/>
                <w:lang w:val="en-AU" w:eastAsia="en-AU"/>
              </w:rPr>
            </w:pPr>
            <w:bookmarkStart w:id="3" w:name="RANGE!B2:M4"/>
            <w:r w:rsidRPr="00B07F14">
              <w:rPr>
                <w:rFonts w:asciiTheme="majorHAnsi" w:eastAsia="Times New Roman" w:hAnsiTheme="majorHAnsi" w:cstheme="majorHAnsi"/>
                <w:b/>
                <w:bCs/>
                <w:i/>
                <w:iCs/>
                <w:color w:val="FFFFFF"/>
                <w:sz w:val="36"/>
                <w:szCs w:val="36"/>
                <w:lang w:val="en-AU" w:eastAsia="en-AU"/>
              </w:rPr>
              <w:lastRenderedPageBreak/>
              <w:t>AIP Objective 3: Tropical Cyclone Winston Recovery</w:t>
            </w:r>
            <w:bookmarkEnd w:id="3"/>
          </w:p>
        </w:tc>
      </w:tr>
      <w:tr w:rsidR="005B3F1A" w:rsidRPr="00B07F14" w:rsidTr="005B3F1A">
        <w:trPr>
          <w:trHeight w:val="331"/>
        </w:trPr>
        <w:tc>
          <w:tcPr>
            <w:tcW w:w="15414" w:type="dxa"/>
            <w:gridSpan w:val="9"/>
            <w:tcBorders>
              <w:top w:val="single" w:sz="4" w:space="0" w:color="1F4E78"/>
              <w:left w:val="single" w:sz="4" w:space="0" w:color="1F4E78"/>
              <w:bottom w:val="single" w:sz="4" w:space="0" w:color="1F4E78"/>
              <w:right w:val="nil"/>
            </w:tcBorders>
            <w:shd w:val="clear" w:color="000000" w:fill="BF8F00"/>
            <w:noWrap/>
            <w:vAlign w:val="center"/>
            <w:hideMark/>
          </w:tcPr>
          <w:p w:rsidR="005B3F1A" w:rsidRPr="00B07F14" w:rsidRDefault="005B3F1A" w:rsidP="005B3F1A">
            <w:pPr>
              <w:suppressAutoHyphens w:val="0"/>
              <w:spacing w:before="0" w:after="0" w:line="240" w:lineRule="auto"/>
              <w:jc w:val="center"/>
              <w:rPr>
                <w:rFonts w:eastAsia="Times New Roman" w:cstheme="minorHAnsi"/>
                <w:b/>
                <w:bCs/>
                <w:i/>
                <w:iCs/>
                <w:color w:val="000000"/>
                <w:sz w:val="17"/>
                <w:szCs w:val="17"/>
                <w:lang w:val="en-AU" w:eastAsia="en-AU"/>
              </w:rPr>
            </w:pPr>
            <w:r w:rsidRPr="00B07F14">
              <w:rPr>
                <w:rFonts w:eastAsia="Times New Roman" w:cstheme="minorHAnsi"/>
                <w:b/>
                <w:bCs/>
                <w:i/>
                <w:iCs/>
                <w:color w:val="000000"/>
                <w:sz w:val="17"/>
                <w:szCs w:val="17"/>
                <w:lang w:val="en-AU" w:eastAsia="en-AU"/>
              </w:rPr>
              <w:t> </w:t>
            </w:r>
          </w:p>
        </w:tc>
      </w:tr>
      <w:tr w:rsidR="005B3F1A" w:rsidRPr="00B07F14" w:rsidTr="00BB18E3">
        <w:trPr>
          <w:trHeight w:val="795"/>
        </w:trPr>
        <w:tc>
          <w:tcPr>
            <w:tcW w:w="2034" w:type="dxa"/>
            <w:tcBorders>
              <w:top w:val="nil"/>
              <w:left w:val="single" w:sz="4" w:space="0" w:color="1F4E78"/>
              <w:bottom w:val="nil"/>
              <w:right w:val="single" w:sz="4" w:space="0" w:color="1F4E78"/>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Objective 3: TC Winston Recovery</w:t>
            </w:r>
          </w:p>
        </w:tc>
        <w:tc>
          <w:tcPr>
            <w:tcW w:w="2673" w:type="dxa"/>
            <w:tcBorders>
              <w:top w:val="nil"/>
              <w:left w:val="nil"/>
              <w:bottom w:val="nil"/>
              <w:right w:val="single" w:sz="4" w:space="0" w:color="1F4E78"/>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Indicator</w:t>
            </w:r>
          </w:p>
        </w:tc>
        <w:tc>
          <w:tcPr>
            <w:tcW w:w="1497" w:type="dxa"/>
            <w:tcBorders>
              <w:top w:val="nil"/>
              <w:left w:val="nil"/>
              <w:bottom w:val="nil"/>
              <w:right w:val="single" w:sz="4" w:space="0" w:color="1F4E78"/>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Baseline</w:t>
            </w:r>
          </w:p>
        </w:tc>
        <w:tc>
          <w:tcPr>
            <w:tcW w:w="1381" w:type="dxa"/>
            <w:tcBorders>
              <w:top w:val="nil"/>
              <w:left w:val="nil"/>
              <w:bottom w:val="nil"/>
              <w:right w:val="nil"/>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2016-2017</w:t>
            </w:r>
          </w:p>
        </w:tc>
        <w:tc>
          <w:tcPr>
            <w:tcW w:w="1586" w:type="dxa"/>
            <w:tcBorders>
              <w:top w:val="nil"/>
              <w:left w:val="single" w:sz="4" w:space="0" w:color="1F4E78"/>
              <w:bottom w:val="nil"/>
              <w:right w:val="nil"/>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2017-2018</w:t>
            </w:r>
          </w:p>
        </w:tc>
        <w:tc>
          <w:tcPr>
            <w:tcW w:w="1602" w:type="dxa"/>
            <w:tcBorders>
              <w:top w:val="nil"/>
              <w:left w:val="single" w:sz="4" w:space="0" w:color="1F4E78"/>
              <w:bottom w:val="nil"/>
              <w:right w:val="single" w:sz="4" w:space="0" w:color="1F4E78"/>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2018-19 Target</w:t>
            </w:r>
          </w:p>
        </w:tc>
        <w:tc>
          <w:tcPr>
            <w:tcW w:w="1602" w:type="dxa"/>
            <w:tcBorders>
              <w:top w:val="nil"/>
              <w:left w:val="nil"/>
              <w:bottom w:val="nil"/>
              <w:right w:val="single" w:sz="4" w:space="0" w:color="1F4E78"/>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2018 -19 Actual</w:t>
            </w:r>
          </w:p>
        </w:tc>
        <w:tc>
          <w:tcPr>
            <w:tcW w:w="1370" w:type="dxa"/>
            <w:tcBorders>
              <w:top w:val="nil"/>
              <w:left w:val="nil"/>
              <w:bottom w:val="nil"/>
              <w:right w:val="single" w:sz="4" w:space="0" w:color="1F4E78"/>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DFAT Program contributing to outcome</w:t>
            </w:r>
          </w:p>
        </w:tc>
        <w:tc>
          <w:tcPr>
            <w:tcW w:w="1669" w:type="dxa"/>
            <w:tcBorders>
              <w:top w:val="nil"/>
              <w:left w:val="nil"/>
              <w:bottom w:val="nil"/>
              <w:right w:val="single" w:sz="4" w:space="0" w:color="1F4E78"/>
            </w:tcBorders>
            <w:shd w:val="clear" w:color="000000" w:fill="FFD966"/>
            <w:vAlign w:val="center"/>
            <w:hideMark/>
          </w:tcPr>
          <w:p w:rsidR="005B3F1A" w:rsidRPr="00B07F14" w:rsidRDefault="005B3F1A" w:rsidP="005B3F1A">
            <w:pPr>
              <w:suppressAutoHyphens w:val="0"/>
              <w:spacing w:before="0" w:after="0" w:line="240" w:lineRule="auto"/>
              <w:jc w:val="center"/>
              <w:rPr>
                <w:rFonts w:eastAsia="Times New Roman" w:cstheme="minorHAnsi"/>
                <w:b/>
                <w:bCs/>
                <w:color w:val="000000"/>
                <w:sz w:val="17"/>
                <w:szCs w:val="17"/>
                <w:lang w:val="en-AU" w:eastAsia="en-AU"/>
              </w:rPr>
            </w:pPr>
            <w:r w:rsidRPr="00B07F14">
              <w:rPr>
                <w:rFonts w:eastAsia="Times New Roman" w:cstheme="minorHAnsi"/>
                <w:b/>
                <w:bCs/>
                <w:color w:val="000000"/>
                <w:sz w:val="17"/>
                <w:szCs w:val="17"/>
                <w:lang w:val="en-AU" w:eastAsia="en-AU"/>
              </w:rPr>
              <w:t>Data collection method</w:t>
            </w:r>
          </w:p>
        </w:tc>
      </w:tr>
      <w:tr w:rsidR="005B3F1A" w:rsidRPr="00B07F14" w:rsidTr="00BB18E3">
        <w:trPr>
          <w:trHeight w:val="79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bCs/>
                <w:color w:val="000000"/>
                <w:sz w:val="17"/>
                <w:szCs w:val="17"/>
                <w:lang w:val="en-AU" w:eastAsia="en-AU"/>
              </w:rPr>
              <w:t xml:space="preserve">Outcome 1: </w:t>
            </w:r>
            <w:r w:rsidRPr="00B07F14">
              <w:rPr>
                <w:rFonts w:eastAsia="Times New Roman" w:cstheme="minorHAnsi"/>
                <w:color w:val="000000"/>
                <w:sz w:val="17"/>
                <w:szCs w:val="17"/>
                <w:lang w:val="en-AU" w:eastAsia="en-AU"/>
              </w:rPr>
              <w:t>Timely and efficient implementation of TC Winston $20m recovery package</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1.1 Percentage of recovery funds ($20m) programmed and spent.</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20% spent &amp; programmed (as of 1 July 2016)</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52% spent; 100% programmed</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100% spent by June 2018</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AQEP/UN Women M4C/Oxfam/ACC</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Aidworks / Budget data</w:t>
            </w:r>
          </w:p>
        </w:tc>
      </w:tr>
      <w:tr w:rsidR="005B3F1A" w:rsidRPr="00B07F14" w:rsidTr="00BB18E3">
        <w:trPr>
          <w:trHeight w:val="1591"/>
        </w:trPr>
        <w:tc>
          <w:tcPr>
            <w:tcW w:w="2034" w:type="dxa"/>
            <w:vMerge w:val="restart"/>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b/>
                <w:bCs/>
                <w:color w:val="000000"/>
                <w:sz w:val="17"/>
                <w:szCs w:val="17"/>
                <w:lang w:val="en-AU" w:eastAsia="en-AU"/>
              </w:rPr>
              <w:t>Outcome 2:</w:t>
            </w:r>
            <w:r w:rsidRPr="00B07F14">
              <w:rPr>
                <w:rFonts w:eastAsia="Times New Roman" w:cstheme="minorHAnsi"/>
                <w:color w:val="000000"/>
                <w:sz w:val="17"/>
                <w:szCs w:val="17"/>
                <w:lang w:val="en-AU" w:eastAsia="en-AU"/>
              </w:rPr>
              <w:t xml:space="preserve"> Improved health and educati</w:t>
            </w:r>
            <w:r w:rsidRPr="00B07F14">
              <w:rPr>
                <w:rFonts w:eastAsia="Times New Roman" w:cstheme="minorHAnsi"/>
                <w:color w:val="auto"/>
                <w:sz w:val="17"/>
                <w:szCs w:val="17"/>
                <w:lang w:val="en-AU" w:eastAsia="en-AU"/>
              </w:rPr>
              <w:t>on facilities through repaired/rebuilt buildings in select communities Ra and Koro</w:t>
            </w: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xml:space="preserve">2.1 Percentage of rebuilt schools and health centres that receive certification as complying with Fiji's National Building Code or </w:t>
            </w:r>
            <w:r w:rsidRPr="00B07F14">
              <w:rPr>
                <w:rFonts w:eastAsia="Times New Roman" w:cstheme="minorHAnsi"/>
                <w:color w:val="auto"/>
                <w:sz w:val="17"/>
                <w:szCs w:val="17"/>
                <w:lang w:val="en-AU" w:eastAsia="en-AU"/>
              </w:rPr>
              <w:t>higher certified by a engineer</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0 (as at 1 July 2016)</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Health centre 5% complete; schools 39% complete</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100% by December 2017</w:t>
            </w:r>
          </w:p>
        </w:tc>
        <w:tc>
          <w:tcPr>
            <w:tcW w:w="1602"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Almost fully completed</w:t>
            </w:r>
          </w:p>
        </w:tc>
        <w:tc>
          <w:tcPr>
            <w:tcW w:w="1602"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Will be 100% by end of Dec 2019.</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AQEP/ACC</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Weekly reports; monthly monitoring meetings; monitoring visits (DFAT, ACC, MC); site meetings; quarterly reports; exception reports.</w:t>
            </w:r>
          </w:p>
        </w:tc>
      </w:tr>
      <w:tr w:rsidR="005B3F1A" w:rsidRPr="00B07F14" w:rsidTr="00BB18E3">
        <w:trPr>
          <w:trHeight w:val="1591"/>
        </w:trPr>
        <w:tc>
          <w:tcPr>
            <w:tcW w:w="203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2.2 Number of TC-Winston schools with rebuilt facilities (including early childhood centres)</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 xml:space="preserve">0 of 18 (as at 1 July 2016) </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Average of 39% of work completed across 18 schools</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18 schools (12 Ra &amp; 6 Koro) complete by December 2017</w:t>
            </w:r>
          </w:p>
        </w:tc>
        <w:tc>
          <w:tcPr>
            <w:tcW w:w="1602" w:type="dxa"/>
            <w:tcBorders>
              <w:top w:val="nil"/>
              <w:left w:val="nil"/>
              <w:bottom w:val="single" w:sz="4" w:space="0" w:color="auto"/>
              <w:right w:val="single" w:sz="4" w:space="0" w:color="auto"/>
            </w:tcBorders>
            <w:shd w:val="clear" w:color="000000" w:fill="FFFFFF"/>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Almost fully completed</w:t>
            </w:r>
          </w:p>
        </w:tc>
        <w:tc>
          <w:tcPr>
            <w:tcW w:w="1602" w:type="dxa"/>
            <w:tcBorders>
              <w:top w:val="nil"/>
              <w:left w:val="nil"/>
              <w:bottom w:val="single" w:sz="4" w:space="0" w:color="auto"/>
              <w:right w:val="single" w:sz="4" w:space="0" w:color="auto"/>
            </w:tcBorders>
            <w:shd w:val="clear" w:color="000000" w:fill="FFFFFF"/>
            <w:vAlign w:val="center"/>
            <w:hideMark/>
          </w:tcPr>
          <w:p w:rsidR="005B3F1A" w:rsidRPr="00B07F14" w:rsidRDefault="006E452C" w:rsidP="006E452C">
            <w:pPr>
              <w:suppressAutoHyphens w:val="0"/>
              <w:spacing w:before="0" w:after="0" w:line="240" w:lineRule="auto"/>
              <w:jc w:val="center"/>
              <w:rPr>
                <w:rFonts w:eastAsia="Times New Roman" w:cstheme="minorHAnsi"/>
                <w:color w:val="000000"/>
                <w:sz w:val="17"/>
                <w:szCs w:val="17"/>
                <w:lang w:val="en-AU" w:eastAsia="en-AU"/>
              </w:rPr>
            </w:pPr>
            <w:r>
              <w:rPr>
                <w:rFonts w:eastAsia="Times New Roman" w:cstheme="minorHAnsi"/>
                <w:color w:val="000000"/>
                <w:sz w:val="17"/>
                <w:szCs w:val="17"/>
                <w:lang w:val="en-AU" w:eastAsia="en-AU"/>
              </w:rPr>
              <w:t>Schools have been completed.  A</w:t>
            </w:r>
            <w:r w:rsidR="005B3F1A" w:rsidRPr="00B07F14">
              <w:rPr>
                <w:rFonts w:eastAsia="Times New Roman" w:cstheme="minorHAnsi"/>
                <w:color w:val="000000"/>
                <w:sz w:val="17"/>
                <w:szCs w:val="17"/>
                <w:lang w:val="en-AU" w:eastAsia="en-AU"/>
              </w:rPr>
              <w:t>waiting engine</w:t>
            </w:r>
            <w:r>
              <w:rPr>
                <w:rFonts w:eastAsia="Times New Roman" w:cstheme="minorHAnsi"/>
                <w:color w:val="000000"/>
                <w:sz w:val="17"/>
                <w:szCs w:val="17"/>
                <w:lang w:val="en-AU" w:eastAsia="en-AU"/>
              </w:rPr>
              <w:t xml:space="preserve">ering completion certificates. </w:t>
            </w:r>
            <w:r w:rsidR="005B3F1A" w:rsidRPr="00B07F14">
              <w:rPr>
                <w:rFonts w:eastAsia="Times New Roman" w:cstheme="minorHAnsi"/>
                <w:color w:val="000000"/>
                <w:sz w:val="17"/>
                <w:szCs w:val="17"/>
                <w:lang w:val="en-AU" w:eastAsia="en-AU"/>
              </w:rPr>
              <w:t xml:space="preserve">Handover of the schools in Koro to </w:t>
            </w:r>
            <w:r>
              <w:rPr>
                <w:rFonts w:eastAsia="Times New Roman" w:cstheme="minorHAnsi"/>
                <w:color w:val="000000"/>
                <w:sz w:val="17"/>
                <w:szCs w:val="17"/>
                <w:lang w:val="en-AU" w:eastAsia="en-AU"/>
              </w:rPr>
              <w:t>have occurred</w:t>
            </w:r>
            <w:r w:rsidR="005B3F1A" w:rsidRPr="00B07F14">
              <w:rPr>
                <w:rFonts w:eastAsia="Times New Roman" w:cstheme="minorHAnsi"/>
                <w:color w:val="000000"/>
                <w:sz w:val="17"/>
                <w:szCs w:val="17"/>
                <w:lang w:val="en-AU" w:eastAsia="en-AU"/>
              </w:rPr>
              <w:t xml:space="preserve"> by Dec 2019.</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AQEP/ACC</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Weekly reports; monthly monitoring meetings; monitoring visits (DFAT, ACC, MC); site meetings; quarterly reports; exception reports.</w:t>
            </w:r>
          </w:p>
        </w:tc>
      </w:tr>
      <w:tr w:rsidR="005B3F1A" w:rsidRPr="00B07F14" w:rsidTr="00BB18E3">
        <w:trPr>
          <w:trHeight w:val="1591"/>
        </w:trPr>
        <w:tc>
          <w:tcPr>
            <w:tcW w:w="203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2.3 Number of health facilities with improved facilities (including new or replaced solar systems, medical equipment)</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 xml:space="preserve">0 of 2 (as at 1 July 2016) </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Waimaro Health Centre rebuilding 5% complete; equipment procured</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Waimaro Health Centre complete by December 2017; Nasau Health Centre has improved facilities/equipment by June 2018</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AQEP/ACC</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4F7FEF">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Weekly reports; monthly monitoring</w:t>
            </w:r>
            <w:r w:rsidR="004F7FEF">
              <w:rPr>
                <w:rFonts w:eastAsia="Times New Roman" w:cstheme="minorHAnsi"/>
                <w:color w:val="auto"/>
                <w:sz w:val="17"/>
                <w:szCs w:val="17"/>
                <w:lang w:val="en-AU" w:eastAsia="en-AU"/>
              </w:rPr>
              <w:t xml:space="preserve"> </w:t>
            </w:r>
            <w:r w:rsidRPr="00B07F14">
              <w:rPr>
                <w:rFonts w:eastAsia="Times New Roman" w:cstheme="minorHAnsi"/>
                <w:color w:val="auto"/>
                <w:sz w:val="17"/>
                <w:szCs w:val="17"/>
                <w:lang w:val="en-AU" w:eastAsia="en-AU"/>
              </w:rPr>
              <w:t xml:space="preserve">meetings; monitoring visits (DFAT, ACC, MC); site meetings; quarterly </w:t>
            </w:r>
            <w:r w:rsidR="004F7FEF">
              <w:rPr>
                <w:rFonts w:eastAsia="Times New Roman" w:cstheme="minorHAnsi"/>
                <w:color w:val="auto"/>
                <w:sz w:val="17"/>
                <w:szCs w:val="17"/>
                <w:lang w:val="en-AU" w:eastAsia="en-AU"/>
              </w:rPr>
              <w:t xml:space="preserve">rpts </w:t>
            </w:r>
            <w:r w:rsidRPr="00B07F14">
              <w:rPr>
                <w:rFonts w:eastAsia="Times New Roman" w:cstheme="minorHAnsi"/>
                <w:color w:val="auto"/>
                <w:sz w:val="17"/>
                <w:szCs w:val="17"/>
                <w:lang w:val="en-AU" w:eastAsia="en-AU"/>
              </w:rPr>
              <w:t xml:space="preserve">exception </w:t>
            </w:r>
            <w:r w:rsidR="004F7FEF">
              <w:rPr>
                <w:rFonts w:eastAsia="Times New Roman" w:cstheme="minorHAnsi"/>
                <w:color w:val="auto"/>
                <w:sz w:val="17"/>
                <w:szCs w:val="17"/>
                <w:lang w:val="en-AU" w:eastAsia="en-AU"/>
              </w:rPr>
              <w:t>rpts</w:t>
            </w:r>
            <w:r w:rsidRPr="00B07F14">
              <w:rPr>
                <w:rFonts w:eastAsia="Times New Roman" w:cstheme="minorHAnsi"/>
                <w:color w:val="auto"/>
                <w:sz w:val="17"/>
                <w:szCs w:val="17"/>
                <w:lang w:val="en-AU" w:eastAsia="en-AU"/>
              </w:rPr>
              <w:t>.</w:t>
            </w:r>
          </w:p>
        </w:tc>
      </w:tr>
      <w:tr w:rsidR="005B3F1A" w:rsidRPr="00B07F14" w:rsidTr="00BB18E3">
        <w:trPr>
          <w:trHeight w:val="1591"/>
        </w:trPr>
        <w:tc>
          <w:tcPr>
            <w:tcW w:w="203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2.4 Percentage of reconstructed buildings that meet universal access standards (note: not applicable to repaired buildings).</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0 (as at 1 July 2016)</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Health centre 5% complete; schools 39% complete</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100%</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AQEP/ACC</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Weekly reports; monthly monitoring meetings; monitoring visits (DFAT, ACC, MC); site meetings; quarterly reports; exception reports.</w:t>
            </w:r>
          </w:p>
        </w:tc>
      </w:tr>
      <w:tr w:rsidR="005B3F1A" w:rsidRPr="00B07F14" w:rsidTr="00BB18E3">
        <w:trPr>
          <w:trHeight w:val="1326"/>
        </w:trPr>
        <w:tc>
          <w:tcPr>
            <w:tcW w:w="2034" w:type="dxa"/>
            <w:vMerge w:val="restart"/>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b/>
                <w:bCs/>
                <w:color w:val="auto"/>
                <w:sz w:val="17"/>
                <w:szCs w:val="17"/>
                <w:lang w:val="en-AU" w:eastAsia="en-AU"/>
              </w:rPr>
              <w:t>Outcome 3:</w:t>
            </w:r>
            <w:r w:rsidRPr="00B07F14">
              <w:rPr>
                <w:rFonts w:eastAsia="Times New Roman" w:cstheme="minorHAnsi"/>
                <w:color w:val="auto"/>
                <w:sz w:val="17"/>
                <w:szCs w:val="17"/>
                <w:lang w:val="en-AU" w:eastAsia="en-AU"/>
              </w:rPr>
              <w:t xml:space="preserve"> Increased livelihood opportunities for those affected, particularly women, in Rakiraki, Savusavu and Nausori</w:t>
            </w: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3.1 Number of TC Winston-affected marketplaces with improved gender-responsive infrastructure that better meets the health, safety, universal access, and convenience needs of women market vendors.</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 xml:space="preserve">0 of 3 (as at 1 July 2016) </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Work commenced on Rakiraki Municipal Market</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Rakiraki, Savusvau and Nausori market upgrades complete by June 2018, including accommodation centres</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UN Women</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Site meetings; site visits; bi-annual reports; stakeholder (incl. GoF) meetings.</w:t>
            </w:r>
          </w:p>
        </w:tc>
      </w:tr>
      <w:tr w:rsidR="005B3F1A" w:rsidRPr="00B07F14" w:rsidTr="00BB18E3">
        <w:trPr>
          <w:trHeight w:val="795"/>
        </w:trPr>
        <w:tc>
          <w:tcPr>
            <w:tcW w:w="203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3.2 Number of post-TC Winston market infrastructure development plans which have been developed based on consultations with women market vendors.</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0 (as at 1 July 2016)</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Rakiraki Municipal Market infrastructure plan complete</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Savusavu/Nausori markets infrastructure plans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UN Women</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Bi-annual reports; monthly meetings; monitoring visits.</w:t>
            </w:r>
          </w:p>
        </w:tc>
      </w:tr>
      <w:tr w:rsidR="005B3F1A" w:rsidRPr="00B07F14" w:rsidTr="00BB18E3">
        <w:trPr>
          <w:trHeight w:val="530"/>
        </w:trPr>
        <w:tc>
          <w:tcPr>
            <w:tcW w:w="2034" w:type="dxa"/>
            <w:vMerge w:val="restart"/>
            <w:tcBorders>
              <w:top w:val="nil"/>
              <w:left w:val="single" w:sz="4" w:space="0" w:color="auto"/>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r w:rsidRPr="00B07F14">
              <w:rPr>
                <w:rFonts w:eastAsia="Times New Roman" w:cstheme="minorHAnsi"/>
                <w:b/>
                <w:bCs/>
                <w:color w:val="auto"/>
                <w:sz w:val="17"/>
                <w:szCs w:val="17"/>
                <w:lang w:val="en-AU" w:eastAsia="en-AU"/>
              </w:rPr>
              <w:t xml:space="preserve">Outcome 4: </w:t>
            </w:r>
            <w:r w:rsidRPr="00B07F14">
              <w:rPr>
                <w:rFonts w:eastAsia="Times New Roman" w:cstheme="minorHAnsi"/>
                <w:color w:val="auto"/>
                <w:sz w:val="17"/>
                <w:szCs w:val="17"/>
                <w:lang w:val="en-AU" w:eastAsia="en-AU"/>
              </w:rPr>
              <w:t>Restored access to water and sanitation facilities and services for those affected in target areas (tbd)</w:t>
            </w: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4.1 Number of water systems repaired</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0 of 127 (as at 1 July 2016)</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127</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Oxfam</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Implementing partner reports</w:t>
            </w:r>
          </w:p>
        </w:tc>
      </w:tr>
      <w:tr w:rsidR="005B3F1A" w:rsidRPr="00B07F14" w:rsidTr="00BB18E3">
        <w:trPr>
          <w:trHeight w:val="530"/>
        </w:trPr>
        <w:tc>
          <w:tcPr>
            <w:tcW w:w="203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4.2 Number of sanitation facilities repaired or constructed</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0 of 574 (as at 1 July 2016)</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574 repaired; 271 constructed</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Oxfam</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Implementing partner reports</w:t>
            </w:r>
          </w:p>
        </w:tc>
      </w:tr>
      <w:tr w:rsidR="005B3F1A" w:rsidRPr="00B07F14" w:rsidTr="00BB18E3">
        <w:trPr>
          <w:trHeight w:val="530"/>
        </w:trPr>
        <w:tc>
          <w:tcPr>
            <w:tcW w:w="203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4.3 Number of villages with WASH Action Plans developed</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0 of 43 (as at 1 July 2016)</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43</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Oxfam</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Implementing partner reports</w:t>
            </w:r>
          </w:p>
        </w:tc>
      </w:tr>
      <w:tr w:rsidR="005B3F1A" w:rsidRPr="00B07F14" w:rsidTr="00BB18E3">
        <w:trPr>
          <w:trHeight w:val="795"/>
        </w:trPr>
        <w:tc>
          <w:tcPr>
            <w:tcW w:w="2034" w:type="dxa"/>
            <w:vMerge/>
            <w:tcBorders>
              <w:top w:val="nil"/>
              <w:left w:val="single" w:sz="4" w:space="0" w:color="auto"/>
              <w:bottom w:val="single" w:sz="4" w:space="0" w:color="auto"/>
              <w:right w:val="single" w:sz="4" w:space="0" w:color="auto"/>
            </w:tcBorders>
            <w:vAlign w:val="center"/>
            <w:hideMark/>
          </w:tcPr>
          <w:p w:rsidR="005B3F1A" w:rsidRPr="00B07F14" w:rsidRDefault="005B3F1A" w:rsidP="005B3F1A">
            <w:pPr>
              <w:suppressAutoHyphens w:val="0"/>
              <w:spacing w:before="0" w:after="0" w:line="240" w:lineRule="auto"/>
              <w:rPr>
                <w:rFonts w:eastAsia="Times New Roman" w:cstheme="minorHAnsi"/>
                <w:color w:val="auto"/>
                <w:sz w:val="17"/>
                <w:szCs w:val="17"/>
                <w:lang w:val="en-AU" w:eastAsia="en-AU"/>
              </w:rPr>
            </w:pPr>
          </w:p>
        </w:tc>
        <w:tc>
          <w:tcPr>
            <w:tcW w:w="2673"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4.4 Number of beneficiaries (male, female and PWD) with improved access to water and/or sanitation facilities in TC Winston affected areas</w:t>
            </w:r>
          </w:p>
        </w:tc>
        <w:tc>
          <w:tcPr>
            <w:tcW w:w="1497"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auto"/>
                <w:sz w:val="17"/>
                <w:szCs w:val="17"/>
                <w:lang w:val="en-AU" w:eastAsia="en-AU"/>
              </w:rPr>
            </w:pPr>
            <w:r w:rsidRPr="00B07F14">
              <w:rPr>
                <w:rFonts w:eastAsia="Times New Roman" w:cstheme="minorHAnsi"/>
                <w:color w:val="auto"/>
                <w:sz w:val="17"/>
                <w:szCs w:val="17"/>
                <w:lang w:val="en-AU" w:eastAsia="en-AU"/>
              </w:rPr>
              <w:t>0 of 11,747 (as at 1 July 2016)</w:t>
            </w:r>
          </w:p>
        </w:tc>
        <w:tc>
          <w:tcPr>
            <w:tcW w:w="1381"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11,747 beneficiaries</w:t>
            </w:r>
          </w:p>
        </w:tc>
        <w:tc>
          <w:tcPr>
            <w:tcW w:w="1586"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NA (complete)</w:t>
            </w:r>
          </w:p>
        </w:tc>
        <w:tc>
          <w:tcPr>
            <w:tcW w:w="1602"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 </w:t>
            </w:r>
          </w:p>
        </w:tc>
        <w:tc>
          <w:tcPr>
            <w:tcW w:w="1370"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jc w:val="center"/>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Oxfam</w:t>
            </w:r>
          </w:p>
        </w:tc>
        <w:tc>
          <w:tcPr>
            <w:tcW w:w="1669" w:type="dxa"/>
            <w:tcBorders>
              <w:top w:val="nil"/>
              <w:left w:val="nil"/>
              <w:bottom w:val="single" w:sz="4" w:space="0" w:color="auto"/>
              <w:right w:val="single" w:sz="4" w:space="0" w:color="auto"/>
            </w:tcBorders>
            <w:shd w:val="clear" w:color="auto" w:fill="auto"/>
            <w:vAlign w:val="center"/>
            <w:hideMark/>
          </w:tcPr>
          <w:p w:rsidR="005B3F1A" w:rsidRPr="00B07F14" w:rsidRDefault="005B3F1A" w:rsidP="005B3F1A">
            <w:pPr>
              <w:suppressAutoHyphens w:val="0"/>
              <w:spacing w:before="0" w:after="0" w:line="240" w:lineRule="auto"/>
              <w:rPr>
                <w:rFonts w:eastAsia="Times New Roman" w:cstheme="minorHAnsi"/>
                <w:color w:val="000000"/>
                <w:sz w:val="17"/>
                <w:szCs w:val="17"/>
                <w:lang w:val="en-AU" w:eastAsia="en-AU"/>
              </w:rPr>
            </w:pPr>
            <w:r w:rsidRPr="00B07F14">
              <w:rPr>
                <w:rFonts w:eastAsia="Times New Roman" w:cstheme="minorHAnsi"/>
                <w:color w:val="000000"/>
                <w:sz w:val="17"/>
                <w:szCs w:val="17"/>
                <w:lang w:val="en-AU" w:eastAsia="en-AU"/>
              </w:rPr>
              <w:t>Implementing partner reports</w:t>
            </w:r>
          </w:p>
        </w:tc>
      </w:tr>
    </w:tbl>
    <w:p w:rsidR="00EE5180" w:rsidRPr="00B07F14" w:rsidRDefault="00EE5180">
      <w:pPr>
        <w:suppressAutoHyphens w:val="0"/>
        <w:spacing w:before="0" w:after="120" w:line="440" w:lineRule="atLeast"/>
        <w:rPr>
          <w:rFonts w:eastAsiaTheme="majorEastAsia" w:cstheme="minorHAnsi"/>
          <w:bCs/>
          <w:iCs/>
          <w:caps/>
          <w:spacing w:val="-10"/>
          <w:kern w:val="28"/>
          <w:sz w:val="17"/>
          <w:szCs w:val="17"/>
        </w:rPr>
        <w:sectPr w:rsidR="00EE5180" w:rsidRPr="00B07F14" w:rsidSect="00EE5180">
          <w:pgSz w:w="16838" w:h="11906" w:orient="landscape" w:code="9"/>
          <w:pgMar w:top="1134" w:right="1527" w:bottom="1134" w:left="851" w:header="1418" w:footer="267" w:gutter="0"/>
          <w:cols w:space="397"/>
          <w:docGrid w:linePitch="360"/>
        </w:sectPr>
      </w:pPr>
    </w:p>
    <w:p w:rsidR="00EE5180" w:rsidRDefault="00EE5180">
      <w:pPr>
        <w:suppressAutoHyphens w:val="0"/>
        <w:spacing w:before="0" w:after="120" w:line="440" w:lineRule="atLeast"/>
        <w:rPr>
          <w:rFonts w:eastAsiaTheme="majorEastAsia" w:cstheme="majorBidi"/>
          <w:bCs/>
          <w:iCs/>
          <w:caps/>
          <w:spacing w:val="-10"/>
          <w:kern w:val="28"/>
          <w:sz w:val="38"/>
          <w:szCs w:val="24"/>
        </w:rPr>
        <w:sectPr w:rsidR="00EE5180" w:rsidSect="00EE5180">
          <w:pgSz w:w="11906" w:h="16838" w:code="9"/>
          <w:pgMar w:top="1527" w:right="1134" w:bottom="851" w:left="1134" w:header="1418" w:footer="267" w:gutter="0"/>
          <w:cols w:space="397"/>
          <w:docGrid w:linePitch="360"/>
        </w:sectPr>
      </w:pPr>
    </w:p>
    <w:p w:rsidR="00C05D5C" w:rsidRPr="00EF26B5" w:rsidRDefault="00C05D5C" w:rsidP="00C05D5C">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rsidTr="00D05246">
        <w:trPr>
          <w:trHeight w:val="1156"/>
        </w:trPr>
        <w:tc>
          <w:tcPr>
            <w:tcW w:w="1271" w:type="dxa"/>
            <w:shd w:val="clear" w:color="auto" w:fill="D7DEE2" w:themeFill="text2" w:themeFillTint="33"/>
          </w:tcPr>
          <w:p w:rsidR="00BE737D" w:rsidRDefault="00BE737D" w:rsidP="00D05246">
            <w:pPr>
              <w:spacing w:before="80" w:after="80"/>
            </w:pPr>
            <w:r w:rsidRPr="00F75380">
              <w:rPr>
                <w:noProof/>
                <w:lang w:val="en-AU" w:eastAsia="en-AU"/>
              </w:rPr>
              <w:drawing>
                <wp:inline distT="0" distB="0" distL="0" distR="0" wp14:anchorId="79C89AFA" wp14:editId="1FEE673A">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7FAE008" wp14:editId="0E716315">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2EF2DDBE" wp14:editId="363195F2">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2752292D" wp14:editId="16026909">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75842EE5" wp14:editId="6B0802F8">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2D66E6FF" wp14:editId="5FB884B3">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4C7AC7B" wp14:editId="3B30C246">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899DE3B" wp14:editId="21EF5F5E">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772A5C22" wp14:editId="2F1D6D07">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6EC75F2" wp14:editId="08757492">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D05CC99" wp14:editId="0286CEF8">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08BEBB37" wp14:editId="1820EC86">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21E9C59" wp14:editId="2B60DE75">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3E4301AD" wp14:editId="2BA41527">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0CC41B3" wp14:editId="47014346">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67EA6B4" wp14:editId="13CE0BCE">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62A78B17" wp14:editId="508FE678">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Pr="00AB289B" w:rsidRDefault="00BE737D" w:rsidP="00D05246">
            <w:pPr>
              <w:spacing w:before="80" w:after="80"/>
              <w:rPr>
                <w:sz w:val="16"/>
              </w:rPr>
            </w:pPr>
          </w:p>
        </w:tc>
        <w:tc>
          <w:tcPr>
            <w:tcW w:w="3544" w:type="dxa"/>
            <w:shd w:val="clear" w:color="auto" w:fill="D7DEE2" w:themeFill="text2" w:themeFillTint="33"/>
          </w:tcPr>
          <w:p w:rsidR="00BE737D" w:rsidRPr="00AB289B" w:rsidRDefault="00BE737D" w:rsidP="00D05246">
            <w:pPr>
              <w:spacing w:before="80" w:after="80"/>
              <w:rPr>
                <w:sz w:val="16"/>
              </w:rPr>
            </w:pPr>
          </w:p>
        </w:tc>
      </w:tr>
    </w:tbl>
    <w:p w:rsidR="006C4F09" w:rsidRPr="005C78DB" w:rsidRDefault="006C4F09" w:rsidP="00091476"/>
    <w:sectPr w:rsidR="006C4F09" w:rsidRPr="005C78DB" w:rsidSect="00EE5180">
      <w:type w:val="continuous"/>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B7" w:rsidRDefault="00454EB7" w:rsidP="00EF4574">
      <w:pPr>
        <w:spacing w:before="0" w:after="0" w:line="240" w:lineRule="auto"/>
      </w:pPr>
      <w:r>
        <w:separator/>
      </w:r>
    </w:p>
  </w:endnote>
  <w:endnote w:type="continuationSeparator" w:id="0">
    <w:p w:rsidR="00454EB7" w:rsidRDefault="00454EB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D2" w:rsidRDefault="0065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E4" w:rsidRPr="00CD0E4B" w:rsidRDefault="00A84BE4" w:rsidP="00C406F0">
    <w:pPr>
      <w:pStyle w:val="Footer"/>
    </w:pPr>
    <w:r w:rsidRPr="00CD0E4B">
      <w:rPr>
        <w:noProof/>
        <w:lang w:val="en-AU" w:eastAsia="en-AU"/>
      </w:rPr>
      <w:drawing>
        <wp:inline distT="0" distB="0" distL="0" distR="0" wp14:anchorId="066B115C" wp14:editId="5485A673">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A84BE4" w:rsidRDefault="00A84BE4">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D2" w:rsidRDefault="0065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B7" w:rsidRPr="008C5A0E" w:rsidRDefault="00454EB7" w:rsidP="001D663E">
      <w:pPr>
        <w:pStyle w:val="Footer"/>
        <w:pBdr>
          <w:top w:val="single" w:sz="4" w:space="1" w:color="495965" w:themeColor="text2"/>
        </w:pBdr>
      </w:pPr>
    </w:p>
  </w:footnote>
  <w:footnote w:type="continuationSeparator" w:id="0">
    <w:p w:rsidR="00454EB7" w:rsidRDefault="00454EB7" w:rsidP="00EF4574">
      <w:pPr>
        <w:spacing w:before="0" w:after="0" w:line="240" w:lineRule="auto"/>
      </w:pPr>
      <w:r>
        <w:continuationSeparator/>
      </w:r>
    </w:p>
  </w:footnote>
  <w:footnote w:id="1">
    <w:p w:rsidR="00A84BE4" w:rsidRPr="00244091" w:rsidRDefault="00A84BE4" w:rsidP="0076701E">
      <w:pPr>
        <w:pStyle w:val="FootnoteText"/>
        <w:rPr>
          <w:lang w:val="en-AU"/>
        </w:rPr>
      </w:pPr>
      <w:r>
        <w:rPr>
          <w:rStyle w:val="FootnoteReference"/>
        </w:rPr>
        <w:footnoteRef/>
      </w:r>
      <w:r>
        <w:t xml:space="preserve"> </w:t>
      </w:r>
      <w:r>
        <w:rPr>
          <w:lang w:val="en-AU"/>
        </w:rPr>
        <w:t>OECD-DAC database, accessed 9 September 2019</w:t>
      </w:r>
    </w:p>
  </w:footnote>
  <w:footnote w:id="2">
    <w:p w:rsidR="00A84BE4" w:rsidRPr="00873314" w:rsidRDefault="00A84BE4" w:rsidP="0076701E">
      <w:pPr>
        <w:pStyle w:val="FootnoteText"/>
        <w:rPr>
          <w:lang w:val="en-AU"/>
        </w:rPr>
      </w:pPr>
      <w:r>
        <w:rPr>
          <w:rStyle w:val="FootnoteReference"/>
        </w:rPr>
        <w:footnoteRef/>
      </w:r>
      <w:r>
        <w:t xml:space="preserve"> </w:t>
      </w:r>
      <w:hyperlink r:id="rId1" w:history="1">
        <w:r w:rsidRPr="00C67772">
          <w:rPr>
            <w:rStyle w:val="Hyperlink"/>
            <w:rFonts w:eastAsiaTheme="majorEastAsia"/>
          </w:rPr>
          <w:t>https://data.worldbank.org/indicator/DT.ODA.ODAT.GN.ZS?locations=FJ</w:t>
        </w:r>
      </w:hyperlink>
      <w:r w:rsidRPr="00C67772">
        <w:rPr>
          <w:color w:val="1F497D"/>
        </w:rPr>
        <w:t>). </w:t>
      </w:r>
    </w:p>
  </w:footnote>
  <w:footnote w:id="3">
    <w:p w:rsidR="00A84BE4" w:rsidRPr="00AE265E" w:rsidRDefault="00A84BE4">
      <w:pPr>
        <w:pStyle w:val="FootnoteText"/>
        <w:rPr>
          <w:lang w:val="en-AU"/>
        </w:rPr>
      </w:pPr>
      <w:r>
        <w:rPr>
          <w:rStyle w:val="FootnoteReference"/>
        </w:rPr>
        <w:footnoteRef/>
      </w:r>
      <w:r>
        <w:t xml:space="preserve"> </w:t>
      </w:r>
      <w:hyperlink r:id="rId2" w:history="1">
        <w:r w:rsidRPr="006E5F66">
          <w:rPr>
            <w:rStyle w:val="Hyperlink"/>
            <w:rFonts w:cstheme="minorBidi"/>
          </w:rPr>
          <w:t>https://marketdevelopmentfacility.org/wp-content/uploads/2019/07/MDF-Annual-Report-Revised-DFAT-Comments-.pdf</w:t>
        </w:r>
      </w:hyperlink>
      <w:r>
        <w:t xml:space="preserve"> p20</w:t>
      </w:r>
    </w:p>
  </w:footnote>
  <w:footnote w:id="4">
    <w:p w:rsidR="00A84BE4" w:rsidRPr="00AE265E" w:rsidRDefault="00A84BE4">
      <w:pPr>
        <w:pStyle w:val="FootnoteText"/>
        <w:rPr>
          <w:lang w:val="en-AU"/>
        </w:rPr>
      </w:pPr>
      <w:r>
        <w:rPr>
          <w:rStyle w:val="FootnoteReference"/>
        </w:rPr>
        <w:footnoteRef/>
      </w:r>
      <w:r>
        <w:t xml:space="preserve"> </w:t>
      </w:r>
      <w:hyperlink r:id="rId3" w:history="1">
        <w:r w:rsidRPr="006E5F66">
          <w:rPr>
            <w:rStyle w:val="Hyperlink"/>
            <w:rFonts w:cstheme="minorBidi"/>
          </w:rPr>
          <w:t>https://marketdevelopmentfacility.org/wp-content/uploads/2019/07/MDF-Annual-Report-Revised-DFAT-Comments-.pdf</w:t>
        </w:r>
      </w:hyperlink>
      <w:r>
        <w:t xml:space="preserve"> p 23</w:t>
      </w:r>
    </w:p>
  </w:footnote>
  <w:footnote w:id="5">
    <w:p w:rsidR="00A84BE4" w:rsidRPr="00EC69F7" w:rsidRDefault="00A84BE4">
      <w:pPr>
        <w:pStyle w:val="FootnoteText"/>
        <w:rPr>
          <w:lang w:val="en-AU"/>
        </w:rPr>
      </w:pPr>
      <w:r>
        <w:rPr>
          <w:rStyle w:val="FootnoteReference"/>
        </w:rPr>
        <w:footnoteRef/>
      </w:r>
      <w:r>
        <w:t xml:space="preserve"> </w:t>
      </w:r>
      <w:hyperlink r:id="rId4" w:history="1">
        <w:r w:rsidRPr="00723DC9">
          <w:rPr>
            <w:rStyle w:val="Hyperlink"/>
            <w:rFonts w:cstheme="minorBidi"/>
          </w:rPr>
          <w:t>https://docs.wixstatic.com/ugd/70ff7f_3b750fd0ac914d968eff8748b69b1575.pdf</w:t>
        </w:r>
      </w:hyperlink>
      <w:r>
        <w:t xml:space="preserve"> [Final Report ofhte Multinational Observer Group]</w:t>
      </w:r>
    </w:p>
  </w:footnote>
  <w:footnote w:id="6">
    <w:p w:rsidR="00A84BE4" w:rsidRDefault="00A84BE4" w:rsidP="00A22848">
      <w:pPr>
        <w:pStyle w:val="FootnoteText"/>
      </w:pPr>
      <w:r>
        <w:rPr>
          <w:rStyle w:val="FootnoteReference"/>
        </w:rPr>
        <w:footnoteRef/>
      </w:r>
      <w:r>
        <w:t xml:space="preserve"> World Development Report 2018, at </w:t>
      </w:r>
      <w:hyperlink r:id="rId5" w:history="1">
        <w:r w:rsidRPr="008C4165">
          <w:rPr>
            <w:rStyle w:val="Hyperlink"/>
          </w:rPr>
          <w:t>https://www.worldbank.org/en/publication/wdr2018</w:t>
        </w:r>
      </w:hyperlink>
      <w:r>
        <w:t xml:space="preserve"> </w:t>
      </w:r>
    </w:p>
  </w:footnote>
  <w:footnote w:id="7">
    <w:p w:rsidR="00A84BE4" w:rsidRPr="007807A6" w:rsidRDefault="00A84BE4">
      <w:pPr>
        <w:pStyle w:val="FootnoteText"/>
        <w:rPr>
          <w:lang w:val="en-AU"/>
        </w:rPr>
      </w:pPr>
      <w:r>
        <w:rPr>
          <w:rStyle w:val="FootnoteReference"/>
        </w:rPr>
        <w:footnoteRef/>
      </w:r>
      <w:r>
        <w:t xml:space="preserve"> United Nations Economic and Social Commission for Asia and the Pacific, at </w:t>
      </w:r>
      <w:hyperlink r:id="rId6" w:history="1">
        <w:r w:rsidRPr="009805EA">
          <w:rPr>
            <w:rStyle w:val="Hyperlink"/>
            <w:rFonts w:cstheme="minorBidi"/>
          </w:rPr>
          <w:t>https://www.unescap.org/blog/escaping-gravitational-pull-gdp</w:t>
        </w:r>
      </w:hyperlink>
    </w:p>
  </w:footnote>
  <w:footnote w:id="8">
    <w:p w:rsidR="00A84BE4" w:rsidRPr="00DC7E36" w:rsidRDefault="00A84BE4" w:rsidP="00A63A0F">
      <w:pPr>
        <w:spacing w:line="240" w:lineRule="auto"/>
        <w:rPr>
          <w:rFonts w:cs="Arial"/>
          <w:sz w:val="16"/>
          <w:szCs w:val="16"/>
        </w:rPr>
      </w:pPr>
      <w:r w:rsidRPr="00DC7E36">
        <w:rPr>
          <w:rStyle w:val="FootnoteReference"/>
          <w:rFonts w:cs="Arial"/>
          <w:sz w:val="16"/>
          <w:szCs w:val="16"/>
        </w:rPr>
        <w:footnoteRef/>
      </w:r>
      <w:r w:rsidRPr="00DC7E36">
        <w:rPr>
          <w:rFonts w:cs="Arial"/>
          <w:sz w:val="16"/>
          <w:szCs w:val="16"/>
        </w:rPr>
        <w:t xml:space="preserve"> The FEMIS Source Code is a collection of small files that instruct a software application what to do, from telling the application the colours and fonts to use to how to perform complex calculations and render reports. Source code files do not include data.</w:t>
      </w:r>
      <w:r>
        <w:rPr>
          <w:rFonts w:cs="Arial"/>
          <w:sz w:val="16"/>
          <w:szCs w:val="16"/>
        </w:rPr>
        <w:t xml:space="preserve"> </w:t>
      </w:r>
    </w:p>
  </w:footnote>
  <w:footnote w:id="9">
    <w:p w:rsidR="00A84BE4" w:rsidRDefault="00A84BE4" w:rsidP="00BD57AE">
      <w:pPr>
        <w:pStyle w:val="FootnoteText"/>
      </w:pPr>
      <w:r>
        <w:rPr>
          <w:rStyle w:val="FootnoteReference"/>
        </w:rPr>
        <w:footnoteRef/>
      </w:r>
      <w:r>
        <w:t xml:space="preserve"> </w:t>
      </w:r>
      <w:hyperlink r:id="rId7" w:history="1">
        <w:r w:rsidRPr="00A07AE1">
          <w:rPr>
            <w:rStyle w:val="Hyperlink"/>
          </w:rPr>
          <w:t>https://iris.wpro.who.int/bitstream/handle/10665.1/13963/9789290618409-eng.pdf</w:t>
        </w:r>
      </w:hyperlink>
      <w:r>
        <w:t xml:space="preserve"> </w:t>
      </w:r>
    </w:p>
  </w:footnote>
  <w:footnote w:id="10">
    <w:p w:rsidR="00A84BE4" w:rsidRDefault="00A84BE4" w:rsidP="00C226FD">
      <w:pPr>
        <w:pStyle w:val="FootnoteText"/>
      </w:pPr>
      <w:r>
        <w:rPr>
          <w:rStyle w:val="FootnoteReference"/>
        </w:rPr>
        <w:footnoteRef/>
      </w:r>
      <w:r>
        <w:t xml:space="preserve"> The Global Gender Report 2018</w:t>
      </w:r>
    </w:p>
  </w:footnote>
  <w:footnote w:id="11">
    <w:p w:rsidR="00A84BE4" w:rsidRDefault="00A84BE4" w:rsidP="00C226FD">
      <w:pPr>
        <w:pStyle w:val="FootnoteText"/>
      </w:pPr>
      <w:r>
        <w:rPr>
          <w:rStyle w:val="FootnoteReference"/>
        </w:rPr>
        <w:footnoteRef/>
      </w:r>
      <w:r>
        <w:t xml:space="preserve"> Fiji VNR Goal 5 and Others Brief, 2019</w:t>
      </w:r>
    </w:p>
  </w:footnote>
  <w:footnote w:id="12">
    <w:p w:rsidR="00A84BE4" w:rsidRDefault="00A84BE4" w:rsidP="00C226FD">
      <w:pPr>
        <w:pStyle w:val="FootnoteText"/>
      </w:pPr>
      <w:r>
        <w:rPr>
          <w:rStyle w:val="FootnoteReference"/>
        </w:rPr>
        <w:footnoteRef/>
      </w:r>
      <w:r>
        <w:t xml:space="preserve"> Fiji VNR Goal 5 and Others Brief, 2019</w:t>
      </w:r>
    </w:p>
    <w:p w:rsidR="00A84BE4" w:rsidRPr="007728F0" w:rsidRDefault="00A84BE4" w:rsidP="00C226FD">
      <w:pPr>
        <w:pStyle w:val="FootnoteText"/>
      </w:pPr>
      <w:r>
        <w:rPr>
          <w:vertAlign w:val="subscript"/>
        </w:rPr>
        <w:t xml:space="preserve">6 </w:t>
      </w:r>
      <w:r>
        <w:t>UN Women Markets for Change 6 monthly report</w:t>
      </w:r>
    </w:p>
  </w:footnote>
  <w:footnote w:id="13">
    <w:p w:rsidR="00A84BE4" w:rsidRPr="006056D9" w:rsidRDefault="00A84BE4">
      <w:pPr>
        <w:pStyle w:val="FootnoteText"/>
        <w:rPr>
          <w:lang w:val="en-AU"/>
        </w:rPr>
      </w:pPr>
      <w:r>
        <w:rPr>
          <w:rStyle w:val="FootnoteReference"/>
        </w:rPr>
        <w:footnoteRef/>
      </w:r>
      <w:r w:rsidRPr="006056D9">
        <w:rPr>
          <w:rStyle w:val="FootnoteReference"/>
        </w:rPr>
        <w:t xml:space="preserve"> </w:t>
      </w:r>
      <w:r w:rsidRPr="006056D9">
        <w:rPr>
          <w:rFonts w:ascii="Calibri" w:hAnsi="Calibri" w:cs="Calibri"/>
          <w:color w:val="auto"/>
          <w:sz w:val="18"/>
          <w:szCs w:val="18"/>
          <w:lang w:val="en-AU"/>
        </w:rPr>
        <w:t xml:space="preserve">See </w:t>
      </w:r>
      <w:r>
        <w:rPr>
          <w:rFonts w:ascii="Calibri" w:hAnsi="Calibri" w:cs="Calibri"/>
          <w:color w:val="auto"/>
          <w:sz w:val="18"/>
          <w:szCs w:val="18"/>
          <w:lang w:val="en-AU"/>
        </w:rPr>
        <w:t xml:space="preserve">the Fiji Aid Program Performance Report 2017-18 at </w:t>
      </w:r>
      <w:hyperlink r:id="rId8" w:history="1">
        <w:r w:rsidRPr="002102D3">
          <w:rPr>
            <w:rStyle w:val="Hyperlink"/>
            <w:rFonts w:ascii="Calibri" w:hAnsi="Calibri" w:cs="Calibri"/>
            <w:sz w:val="18"/>
            <w:szCs w:val="18"/>
            <w:lang w:val="en-AU"/>
          </w:rPr>
          <w:t>https://dfat.gov.au/about-us/publications/Documents/fiji-appr-2017-18.pdf</w:t>
        </w:r>
      </w:hyperlink>
      <w:r>
        <w:rPr>
          <w:rFonts w:ascii="Calibri" w:hAnsi="Calibri" w:cs="Calibri"/>
          <w:color w:val="auto"/>
          <w:sz w:val="18"/>
          <w:szCs w:val="18"/>
          <w:lang w:val="en-AU"/>
        </w:rPr>
        <w:t xml:space="preserve"> for a full analysis of the TC Winston recovery package</w:t>
      </w:r>
    </w:p>
  </w:footnote>
  <w:footnote w:id="14">
    <w:p w:rsidR="00A84BE4" w:rsidRPr="000668B2" w:rsidRDefault="00A84BE4">
      <w:pPr>
        <w:pStyle w:val="FootnoteText"/>
        <w:rPr>
          <w:lang w:val="en-AU"/>
        </w:rPr>
      </w:pPr>
      <w:r>
        <w:rPr>
          <w:rStyle w:val="FootnoteReference"/>
        </w:rPr>
        <w:footnoteRef/>
      </w:r>
      <w:r>
        <w:t xml:space="preserve"> </w:t>
      </w:r>
      <w:r>
        <w:rPr>
          <w:rFonts w:ascii="Calibri" w:hAnsi="Calibri" w:cs="Calibri"/>
          <w:color w:val="auto"/>
          <w:sz w:val="18"/>
          <w:szCs w:val="18"/>
          <w:lang w:val="en-AU"/>
        </w:rPr>
        <w:t>Fiji Sugar Corporation, Investment Fiji, Fiji Commerce and Employers Federation, Denarau Marina, Pacific Bed Bank, and Vou Dance Group</w:t>
      </w:r>
    </w:p>
  </w:footnote>
  <w:footnote w:id="15">
    <w:p w:rsidR="00A84BE4" w:rsidRPr="00873314" w:rsidRDefault="00A84BE4">
      <w:pPr>
        <w:pStyle w:val="FootnoteText"/>
        <w:rPr>
          <w:lang w:val="en-AU"/>
        </w:rPr>
      </w:pPr>
      <w:r>
        <w:rPr>
          <w:rStyle w:val="FootnoteReference"/>
        </w:rPr>
        <w:footnoteRef/>
      </w:r>
      <w:r>
        <w:t xml:space="preserve"> </w:t>
      </w:r>
      <w:r>
        <w:rPr>
          <w:lang w:val="en-AU"/>
        </w:rPr>
        <w:t>Annual report 2018-19, unpublished at APPR report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D2" w:rsidRDefault="00655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E4" w:rsidRPr="00333501" w:rsidRDefault="00A84BE4" w:rsidP="008F56A8">
    <w:pPr>
      <w:pStyle w:val="Header"/>
      <w:jc w:val="left"/>
    </w:pPr>
    <w:r>
      <w:rPr>
        <w:noProof/>
        <w:lang w:val="en-AU" w:eastAsia="en-AU"/>
      </w:rPr>
      <w:drawing>
        <wp:anchor distT="0" distB="0" distL="114300" distR="114300" simplePos="0" relativeHeight="251681792" behindDoc="1" locked="1" layoutInCell="1" allowOverlap="1" wp14:anchorId="2D273D7B" wp14:editId="556E6023">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D2" w:rsidRDefault="00655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E4" w:rsidRPr="00333501" w:rsidRDefault="00A84BE4" w:rsidP="008F56A8">
    <w:pPr>
      <w:pStyle w:val="Header"/>
      <w:jc w:val="left"/>
    </w:pPr>
    <w:r>
      <w:rPr>
        <w:noProof/>
        <w:lang w:val="en-AU" w:eastAsia="en-AU"/>
      </w:rPr>
      <w:drawing>
        <wp:anchor distT="0" distB="0" distL="114300" distR="114300" simplePos="0" relativeHeight="251703296" behindDoc="1" locked="1" layoutInCell="1" allowOverlap="1" wp14:anchorId="264F742D" wp14:editId="5128B97D">
          <wp:simplePos x="0" y="0"/>
          <wp:positionH relativeFrom="page">
            <wp:posOffset>40640</wp:posOffset>
          </wp:positionH>
          <wp:positionV relativeFrom="margin">
            <wp:posOffset>-721995</wp:posOffset>
          </wp:positionV>
          <wp:extent cx="10754360" cy="7082790"/>
          <wp:effectExtent l="0" t="0" r="889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701248" behindDoc="1" locked="1" layoutInCell="1" allowOverlap="1" wp14:anchorId="2260D3C4" wp14:editId="77A8DA7F">
          <wp:simplePos x="0" y="0"/>
          <wp:positionH relativeFrom="page">
            <wp:posOffset>40640</wp:posOffset>
          </wp:positionH>
          <wp:positionV relativeFrom="margin">
            <wp:posOffset>-721995</wp:posOffset>
          </wp:positionV>
          <wp:extent cx="10754360" cy="7082790"/>
          <wp:effectExtent l="0" t="0" r="889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E4" w:rsidRPr="003D352D" w:rsidRDefault="00A84BE4" w:rsidP="003D352D">
    <w:pPr>
      <w:pStyle w:val="Header"/>
      <w:jc w:val="left"/>
    </w:pPr>
    <w:r>
      <w:rPr>
        <w:noProof/>
        <w:lang w:val="en-AU" w:eastAsia="en-AU"/>
      </w:rPr>
      <w:drawing>
        <wp:anchor distT="0" distB="0" distL="114300" distR="114300" simplePos="0" relativeHeight="251704320" behindDoc="1" locked="1" layoutInCell="1" allowOverlap="1" wp14:anchorId="23D3213D" wp14:editId="75AEF899">
          <wp:simplePos x="0" y="0"/>
          <wp:positionH relativeFrom="page">
            <wp:posOffset>-15875</wp:posOffset>
          </wp:positionH>
          <wp:positionV relativeFrom="page">
            <wp:posOffset>0</wp:posOffset>
          </wp:positionV>
          <wp:extent cx="10702290" cy="7458075"/>
          <wp:effectExtent l="0" t="0" r="3810" b="952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702272" behindDoc="1" locked="1" layoutInCell="1" allowOverlap="1" wp14:anchorId="548404CF" wp14:editId="67B96385">
          <wp:simplePos x="0" y="0"/>
          <wp:positionH relativeFrom="page">
            <wp:posOffset>-15875</wp:posOffset>
          </wp:positionH>
          <wp:positionV relativeFrom="page">
            <wp:posOffset>0</wp:posOffset>
          </wp:positionV>
          <wp:extent cx="10702290" cy="7458075"/>
          <wp:effectExtent l="0" t="0" r="3810" b="9525"/>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E4" w:rsidRPr="00333501" w:rsidRDefault="00A84BE4" w:rsidP="008F56A8">
    <w:pPr>
      <w:pStyle w:val="Header"/>
      <w:jc w:val="left"/>
    </w:pPr>
    <w:r>
      <w:rPr>
        <w:noProof/>
        <w:lang w:val="en-AU" w:eastAsia="en-AU"/>
      </w:rPr>
      <w:drawing>
        <wp:anchor distT="0" distB="0" distL="114300" distR="114300" simplePos="0" relativeHeight="251699200" behindDoc="1" locked="1" layoutInCell="1" allowOverlap="1" wp14:anchorId="4E2BDBDA" wp14:editId="039E21AD">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F36307D"/>
    <w:multiLevelType w:val="multilevel"/>
    <w:tmpl w:val="F1F60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B3374F"/>
    <w:multiLevelType w:val="multilevel"/>
    <w:tmpl w:val="1FB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22B9D"/>
    <w:multiLevelType w:val="hybridMultilevel"/>
    <w:tmpl w:val="E30E1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3D94BDC"/>
    <w:multiLevelType w:val="hybridMultilevel"/>
    <w:tmpl w:val="F4B088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84238"/>
    <w:multiLevelType w:val="hybridMultilevel"/>
    <w:tmpl w:val="1AC8E000"/>
    <w:lvl w:ilvl="0" w:tplc="0C090001">
      <w:start w:val="1"/>
      <w:numFmt w:val="bullet"/>
      <w:lvlText w:val=""/>
      <w:lvlJc w:val="left"/>
      <w:pPr>
        <w:ind w:left="681" w:hanging="360"/>
      </w:pPr>
      <w:rPr>
        <w:rFonts w:ascii="Symbol" w:hAnsi="Symbol" w:hint="default"/>
      </w:rPr>
    </w:lvl>
    <w:lvl w:ilvl="1" w:tplc="0C090003" w:tentative="1">
      <w:start w:val="1"/>
      <w:numFmt w:val="bullet"/>
      <w:lvlText w:val="o"/>
      <w:lvlJc w:val="left"/>
      <w:pPr>
        <w:ind w:left="1401" w:hanging="360"/>
      </w:pPr>
      <w:rPr>
        <w:rFonts w:ascii="Courier New" w:hAnsi="Courier New" w:cs="Courier New" w:hint="default"/>
      </w:rPr>
    </w:lvl>
    <w:lvl w:ilvl="2" w:tplc="0C090005" w:tentative="1">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ourier New"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ourier New" w:hint="default"/>
      </w:rPr>
    </w:lvl>
    <w:lvl w:ilvl="8" w:tplc="0C090005" w:tentative="1">
      <w:start w:val="1"/>
      <w:numFmt w:val="bullet"/>
      <w:lvlText w:val=""/>
      <w:lvlJc w:val="left"/>
      <w:pPr>
        <w:ind w:left="6441" w:hanging="360"/>
      </w:pPr>
      <w:rPr>
        <w:rFonts w:ascii="Wingdings" w:hAnsi="Wingdings" w:hint="default"/>
      </w:rPr>
    </w:lvl>
  </w:abstractNum>
  <w:abstractNum w:abstractNumId="9" w15:restartNumberingAfterBreak="0">
    <w:nsid w:val="58033F44"/>
    <w:multiLevelType w:val="hybridMultilevel"/>
    <w:tmpl w:val="3A6803D0"/>
    <w:lvl w:ilvl="0" w:tplc="0C090001">
      <w:start w:val="1"/>
      <w:numFmt w:val="bullet"/>
      <w:lvlText w:val=""/>
      <w:lvlJc w:val="left"/>
      <w:pPr>
        <w:ind w:left="360" w:hanging="360"/>
      </w:pPr>
      <w:rPr>
        <w:rFonts w:ascii="Symbol" w:hAnsi="Symbol" w:hint="default"/>
      </w:rPr>
    </w:lvl>
    <w:lvl w:ilvl="1" w:tplc="53B0E272">
      <w:numFmt w:val="bullet"/>
      <w:lvlText w:val="•"/>
      <w:lvlJc w:val="left"/>
      <w:pPr>
        <w:ind w:left="1440" w:hanging="720"/>
      </w:pPr>
      <w:rPr>
        <w:rFonts w:ascii="Arial" w:eastAsiaTheme="minorHAnsi" w:hAnsi="Arial" w:cs="Arial" w:hint="default"/>
        <w:b/>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D3C1EA7"/>
    <w:multiLevelType w:val="multilevel"/>
    <w:tmpl w:val="43428892"/>
    <w:numStyleLink w:val="BulletsList"/>
  </w:abstractNum>
  <w:abstractNum w:abstractNumId="1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99B1B25"/>
    <w:multiLevelType w:val="hybridMultilevel"/>
    <w:tmpl w:val="2EA00EFA"/>
    <w:lvl w:ilvl="0" w:tplc="0C090001">
      <w:start w:val="1"/>
      <w:numFmt w:val="bullet"/>
      <w:lvlText w:val=""/>
      <w:lvlJc w:val="left"/>
      <w:pPr>
        <w:ind w:left="681" w:hanging="360"/>
      </w:pPr>
      <w:rPr>
        <w:rFonts w:ascii="Symbol" w:hAnsi="Symbol" w:hint="default"/>
      </w:rPr>
    </w:lvl>
    <w:lvl w:ilvl="1" w:tplc="0C090003" w:tentative="1">
      <w:start w:val="1"/>
      <w:numFmt w:val="bullet"/>
      <w:lvlText w:val="o"/>
      <w:lvlJc w:val="left"/>
      <w:pPr>
        <w:ind w:left="1401" w:hanging="360"/>
      </w:pPr>
      <w:rPr>
        <w:rFonts w:ascii="Courier New" w:hAnsi="Courier New" w:cs="Courier New" w:hint="default"/>
      </w:rPr>
    </w:lvl>
    <w:lvl w:ilvl="2" w:tplc="0C090005" w:tentative="1">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ourier New"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ourier New" w:hint="default"/>
      </w:rPr>
    </w:lvl>
    <w:lvl w:ilvl="8" w:tplc="0C090005" w:tentative="1">
      <w:start w:val="1"/>
      <w:numFmt w:val="bullet"/>
      <w:lvlText w:val=""/>
      <w:lvlJc w:val="left"/>
      <w:pPr>
        <w:ind w:left="6441" w:hanging="360"/>
      </w:pPr>
      <w:rPr>
        <w:rFonts w:ascii="Wingdings" w:hAnsi="Wingdings" w:hint="default"/>
      </w:rPr>
    </w:lvl>
  </w:abstractNum>
  <w:abstractNum w:abstractNumId="1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8425F34"/>
    <w:multiLevelType w:val="hybridMultilevel"/>
    <w:tmpl w:val="0F06A8A2"/>
    <w:lvl w:ilvl="0" w:tplc="38FEE0F8">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0"/>
  </w:num>
  <w:num w:numId="5">
    <w:abstractNumId w:val="12"/>
  </w:num>
  <w:num w:numId="6">
    <w:abstractNumId w:val="5"/>
  </w:num>
  <w:num w:numId="7">
    <w:abstractNumId w:val="11"/>
  </w:num>
  <w:num w:numId="8">
    <w:abstractNumId w:val="0"/>
  </w:num>
  <w:num w:numId="9">
    <w:abstractNumId w:val="7"/>
  </w:num>
  <w:num w:numId="10">
    <w:abstractNumId w:val="4"/>
  </w:num>
  <w:num w:numId="11">
    <w:abstractNumId w:val="13"/>
  </w:num>
  <w:num w:numId="12">
    <w:abstractNumId w:val="8"/>
  </w:num>
  <w:num w:numId="13">
    <w:abstractNumId w:val="9"/>
  </w:num>
  <w:num w:numId="14">
    <w:abstractNumId w:val="3"/>
  </w:num>
  <w:num w:numId="15">
    <w:abstractNumId w:val="6"/>
  </w:num>
  <w:num w:numId="16">
    <w:abstractNumId w:val="2"/>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066"/>
    <w:rsid w:val="00001DA8"/>
    <w:rsid w:val="000060EE"/>
    <w:rsid w:val="0000645E"/>
    <w:rsid w:val="00015316"/>
    <w:rsid w:val="0002080A"/>
    <w:rsid w:val="0002782F"/>
    <w:rsid w:val="00027F29"/>
    <w:rsid w:val="000314F8"/>
    <w:rsid w:val="00031512"/>
    <w:rsid w:val="00033AB7"/>
    <w:rsid w:val="0003643B"/>
    <w:rsid w:val="00047298"/>
    <w:rsid w:val="00047FFB"/>
    <w:rsid w:val="00054E4D"/>
    <w:rsid w:val="00055688"/>
    <w:rsid w:val="000572B5"/>
    <w:rsid w:val="00060073"/>
    <w:rsid w:val="00060268"/>
    <w:rsid w:val="00063AEA"/>
    <w:rsid w:val="000665E9"/>
    <w:rsid w:val="000668B2"/>
    <w:rsid w:val="000834AE"/>
    <w:rsid w:val="00084483"/>
    <w:rsid w:val="00085126"/>
    <w:rsid w:val="00086E04"/>
    <w:rsid w:val="00091476"/>
    <w:rsid w:val="000A53A5"/>
    <w:rsid w:val="000B2139"/>
    <w:rsid w:val="000B5609"/>
    <w:rsid w:val="000B658F"/>
    <w:rsid w:val="000C3139"/>
    <w:rsid w:val="000D66D6"/>
    <w:rsid w:val="000E314A"/>
    <w:rsid w:val="000E31E3"/>
    <w:rsid w:val="000E636A"/>
    <w:rsid w:val="000F5CAB"/>
    <w:rsid w:val="00100158"/>
    <w:rsid w:val="00100555"/>
    <w:rsid w:val="00101EE2"/>
    <w:rsid w:val="0010335D"/>
    <w:rsid w:val="001076C6"/>
    <w:rsid w:val="001103E6"/>
    <w:rsid w:val="00114524"/>
    <w:rsid w:val="0012378E"/>
    <w:rsid w:val="0012616C"/>
    <w:rsid w:val="00126597"/>
    <w:rsid w:val="001270D0"/>
    <w:rsid w:val="0013337D"/>
    <w:rsid w:val="0013373F"/>
    <w:rsid w:val="00152FD2"/>
    <w:rsid w:val="001541EA"/>
    <w:rsid w:val="00155B5C"/>
    <w:rsid w:val="00162218"/>
    <w:rsid w:val="00162A67"/>
    <w:rsid w:val="00166962"/>
    <w:rsid w:val="001704B2"/>
    <w:rsid w:val="00174B8C"/>
    <w:rsid w:val="00184818"/>
    <w:rsid w:val="00186EA3"/>
    <w:rsid w:val="001A0C69"/>
    <w:rsid w:val="001B015D"/>
    <w:rsid w:val="001B21A2"/>
    <w:rsid w:val="001B3A41"/>
    <w:rsid w:val="001B3C09"/>
    <w:rsid w:val="001B5019"/>
    <w:rsid w:val="001C2530"/>
    <w:rsid w:val="001D663E"/>
    <w:rsid w:val="001E1DC0"/>
    <w:rsid w:val="001E3764"/>
    <w:rsid w:val="001F65C5"/>
    <w:rsid w:val="00201FF1"/>
    <w:rsid w:val="0020363F"/>
    <w:rsid w:val="00210EB5"/>
    <w:rsid w:val="00220171"/>
    <w:rsid w:val="002309D8"/>
    <w:rsid w:val="00233F0D"/>
    <w:rsid w:val="00236A53"/>
    <w:rsid w:val="0023750D"/>
    <w:rsid w:val="00244091"/>
    <w:rsid w:val="00244EDC"/>
    <w:rsid w:val="002532F3"/>
    <w:rsid w:val="00253439"/>
    <w:rsid w:val="00257485"/>
    <w:rsid w:val="00257BB4"/>
    <w:rsid w:val="002667EE"/>
    <w:rsid w:val="00275DB7"/>
    <w:rsid w:val="0027602A"/>
    <w:rsid w:val="00284957"/>
    <w:rsid w:val="0028602A"/>
    <w:rsid w:val="002A51CA"/>
    <w:rsid w:val="002A6AC8"/>
    <w:rsid w:val="002B3E95"/>
    <w:rsid w:val="002B5E10"/>
    <w:rsid w:val="002C3DEF"/>
    <w:rsid w:val="002C4C2E"/>
    <w:rsid w:val="002D2697"/>
    <w:rsid w:val="002D2B16"/>
    <w:rsid w:val="002D37BC"/>
    <w:rsid w:val="002F1F29"/>
    <w:rsid w:val="002F43F6"/>
    <w:rsid w:val="00300047"/>
    <w:rsid w:val="003002C0"/>
    <w:rsid w:val="00300DCF"/>
    <w:rsid w:val="00301144"/>
    <w:rsid w:val="003148B7"/>
    <w:rsid w:val="003158C3"/>
    <w:rsid w:val="00320251"/>
    <w:rsid w:val="00323E4E"/>
    <w:rsid w:val="00324651"/>
    <w:rsid w:val="00325C8B"/>
    <w:rsid w:val="003274CD"/>
    <w:rsid w:val="003278E1"/>
    <w:rsid w:val="00332EC9"/>
    <w:rsid w:val="00333501"/>
    <w:rsid w:val="003433B5"/>
    <w:rsid w:val="003457C4"/>
    <w:rsid w:val="0035119D"/>
    <w:rsid w:val="00355959"/>
    <w:rsid w:val="003560D5"/>
    <w:rsid w:val="003714F6"/>
    <w:rsid w:val="003757F1"/>
    <w:rsid w:val="00385DFD"/>
    <w:rsid w:val="003A44F8"/>
    <w:rsid w:val="003B0E44"/>
    <w:rsid w:val="003B3CC4"/>
    <w:rsid w:val="003B4F12"/>
    <w:rsid w:val="003C00D4"/>
    <w:rsid w:val="003C38AA"/>
    <w:rsid w:val="003D352D"/>
    <w:rsid w:val="003D5F47"/>
    <w:rsid w:val="003E2BE7"/>
    <w:rsid w:val="003F155C"/>
    <w:rsid w:val="00400B0F"/>
    <w:rsid w:val="00402ACC"/>
    <w:rsid w:val="004038C0"/>
    <w:rsid w:val="00407EDB"/>
    <w:rsid w:val="004120EC"/>
    <w:rsid w:val="004140FD"/>
    <w:rsid w:val="00420F38"/>
    <w:rsid w:val="004238E4"/>
    <w:rsid w:val="00423F31"/>
    <w:rsid w:val="00427270"/>
    <w:rsid w:val="00430439"/>
    <w:rsid w:val="00431899"/>
    <w:rsid w:val="00431E2C"/>
    <w:rsid w:val="00433B03"/>
    <w:rsid w:val="0043564E"/>
    <w:rsid w:val="00435BAD"/>
    <w:rsid w:val="00440D8E"/>
    <w:rsid w:val="00444678"/>
    <w:rsid w:val="00452C5D"/>
    <w:rsid w:val="00453F65"/>
    <w:rsid w:val="00454EB7"/>
    <w:rsid w:val="00460F1E"/>
    <w:rsid w:val="00465B18"/>
    <w:rsid w:val="00473916"/>
    <w:rsid w:val="00473FF1"/>
    <w:rsid w:val="0048037F"/>
    <w:rsid w:val="0048375F"/>
    <w:rsid w:val="00486804"/>
    <w:rsid w:val="00486E4B"/>
    <w:rsid w:val="004934DB"/>
    <w:rsid w:val="00496A76"/>
    <w:rsid w:val="004977A1"/>
    <w:rsid w:val="004A5FAB"/>
    <w:rsid w:val="004B2A36"/>
    <w:rsid w:val="004B3775"/>
    <w:rsid w:val="004C5BF4"/>
    <w:rsid w:val="004D0BA0"/>
    <w:rsid w:val="004D3C5E"/>
    <w:rsid w:val="004D43F3"/>
    <w:rsid w:val="004D6DD6"/>
    <w:rsid w:val="004E0264"/>
    <w:rsid w:val="004E058F"/>
    <w:rsid w:val="004E3B87"/>
    <w:rsid w:val="004E4C52"/>
    <w:rsid w:val="004F437F"/>
    <w:rsid w:val="004F7208"/>
    <w:rsid w:val="004F7FEF"/>
    <w:rsid w:val="0050048F"/>
    <w:rsid w:val="00505D81"/>
    <w:rsid w:val="00510921"/>
    <w:rsid w:val="00510AD3"/>
    <w:rsid w:val="00510FAB"/>
    <w:rsid w:val="00513348"/>
    <w:rsid w:val="00527A0C"/>
    <w:rsid w:val="00527DDE"/>
    <w:rsid w:val="00533B5D"/>
    <w:rsid w:val="00537810"/>
    <w:rsid w:val="00537F20"/>
    <w:rsid w:val="00547E2C"/>
    <w:rsid w:val="005511BF"/>
    <w:rsid w:val="00582C1E"/>
    <w:rsid w:val="005877FC"/>
    <w:rsid w:val="00587F4F"/>
    <w:rsid w:val="00590DDB"/>
    <w:rsid w:val="0059146A"/>
    <w:rsid w:val="0059150F"/>
    <w:rsid w:val="00591C2E"/>
    <w:rsid w:val="005A7E23"/>
    <w:rsid w:val="005B2306"/>
    <w:rsid w:val="005B2F1E"/>
    <w:rsid w:val="005B3F1A"/>
    <w:rsid w:val="005B4960"/>
    <w:rsid w:val="005B53E5"/>
    <w:rsid w:val="005B5769"/>
    <w:rsid w:val="005C6276"/>
    <w:rsid w:val="005D3655"/>
    <w:rsid w:val="005D530D"/>
    <w:rsid w:val="005D7784"/>
    <w:rsid w:val="005E08BE"/>
    <w:rsid w:val="005E0A54"/>
    <w:rsid w:val="005E606B"/>
    <w:rsid w:val="00600479"/>
    <w:rsid w:val="00601F6B"/>
    <w:rsid w:val="006039C2"/>
    <w:rsid w:val="006056D9"/>
    <w:rsid w:val="0060780C"/>
    <w:rsid w:val="00615669"/>
    <w:rsid w:val="006163DC"/>
    <w:rsid w:val="00620350"/>
    <w:rsid w:val="00623283"/>
    <w:rsid w:val="00623BA1"/>
    <w:rsid w:val="006313C5"/>
    <w:rsid w:val="006346BC"/>
    <w:rsid w:val="006358AA"/>
    <w:rsid w:val="00635CB0"/>
    <w:rsid w:val="00643C14"/>
    <w:rsid w:val="006550D2"/>
    <w:rsid w:val="00657AEE"/>
    <w:rsid w:val="00665C90"/>
    <w:rsid w:val="0066652A"/>
    <w:rsid w:val="00667378"/>
    <w:rsid w:val="00667750"/>
    <w:rsid w:val="006766C2"/>
    <w:rsid w:val="006772EA"/>
    <w:rsid w:val="00680522"/>
    <w:rsid w:val="00681066"/>
    <w:rsid w:val="00681F08"/>
    <w:rsid w:val="00682167"/>
    <w:rsid w:val="00682F01"/>
    <w:rsid w:val="0069225D"/>
    <w:rsid w:val="006926A1"/>
    <w:rsid w:val="006A5F02"/>
    <w:rsid w:val="006A7235"/>
    <w:rsid w:val="006C42AF"/>
    <w:rsid w:val="006C4F09"/>
    <w:rsid w:val="006C75AF"/>
    <w:rsid w:val="006D0C5E"/>
    <w:rsid w:val="006D57F0"/>
    <w:rsid w:val="006E452C"/>
    <w:rsid w:val="006E6F91"/>
    <w:rsid w:val="006F089F"/>
    <w:rsid w:val="006F27B1"/>
    <w:rsid w:val="00700BEA"/>
    <w:rsid w:val="0070785B"/>
    <w:rsid w:val="00711D8E"/>
    <w:rsid w:val="00712672"/>
    <w:rsid w:val="007213E8"/>
    <w:rsid w:val="0072170F"/>
    <w:rsid w:val="00734E3F"/>
    <w:rsid w:val="00736985"/>
    <w:rsid w:val="0073786E"/>
    <w:rsid w:val="0074361B"/>
    <w:rsid w:val="00745DF5"/>
    <w:rsid w:val="00752C09"/>
    <w:rsid w:val="00753C9E"/>
    <w:rsid w:val="0075471F"/>
    <w:rsid w:val="00755C30"/>
    <w:rsid w:val="00760C59"/>
    <w:rsid w:val="0076225C"/>
    <w:rsid w:val="0076250F"/>
    <w:rsid w:val="0076701E"/>
    <w:rsid w:val="00771B53"/>
    <w:rsid w:val="007738F7"/>
    <w:rsid w:val="007807A6"/>
    <w:rsid w:val="007811B8"/>
    <w:rsid w:val="00784031"/>
    <w:rsid w:val="007914F1"/>
    <w:rsid w:val="007A64E7"/>
    <w:rsid w:val="007B4865"/>
    <w:rsid w:val="007B6200"/>
    <w:rsid w:val="007C2540"/>
    <w:rsid w:val="007C466B"/>
    <w:rsid w:val="007C7418"/>
    <w:rsid w:val="007D0299"/>
    <w:rsid w:val="007D1DC2"/>
    <w:rsid w:val="007D2E25"/>
    <w:rsid w:val="007F2264"/>
    <w:rsid w:val="007F3395"/>
    <w:rsid w:val="00801B9F"/>
    <w:rsid w:val="00803542"/>
    <w:rsid w:val="008057FD"/>
    <w:rsid w:val="008131DD"/>
    <w:rsid w:val="008139D3"/>
    <w:rsid w:val="0083009C"/>
    <w:rsid w:val="00834CC3"/>
    <w:rsid w:val="008475F0"/>
    <w:rsid w:val="008518C3"/>
    <w:rsid w:val="00853457"/>
    <w:rsid w:val="0086013C"/>
    <w:rsid w:val="00860C80"/>
    <w:rsid w:val="00861E21"/>
    <w:rsid w:val="00863737"/>
    <w:rsid w:val="00864210"/>
    <w:rsid w:val="00864F23"/>
    <w:rsid w:val="00866883"/>
    <w:rsid w:val="00866D4F"/>
    <w:rsid w:val="00873314"/>
    <w:rsid w:val="00877499"/>
    <w:rsid w:val="00880004"/>
    <w:rsid w:val="008821C2"/>
    <w:rsid w:val="00886889"/>
    <w:rsid w:val="00891631"/>
    <w:rsid w:val="008959E3"/>
    <w:rsid w:val="008A2464"/>
    <w:rsid w:val="008A5AFE"/>
    <w:rsid w:val="008A69F0"/>
    <w:rsid w:val="008B0374"/>
    <w:rsid w:val="008B335B"/>
    <w:rsid w:val="008B45A8"/>
    <w:rsid w:val="008B68D7"/>
    <w:rsid w:val="008B7D42"/>
    <w:rsid w:val="008C2F58"/>
    <w:rsid w:val="008C5A0E"/>
    <w:rsid w:val="008C6149"/>
    <w:rsid w:val="008D1DD6"/>
    <w:rsid w:val="008D26A4"/>
    <w:rsid w:val="008D598F"/>
    <w:rsid w:val="008E1DCE"/>
    <w:rsid w:val="008F0C31"/>
    <w:rsid w:val="008F56A8"/>
    <w:rsid w:val="00901B73"/>
    <w:rsid w:val="0091707C"/>
    <w:rsid w:val="009170C5"/>
    <w:rsid w:val="00926514"/>
    <w:rsid w:val="00927E08"/>
    <w:rsid w:val="00934BA8"/>
    <w:rsid w:val="009437A0"/>
    <w:rsid w:val="009530CA"/>
    <w:rsid w:val="00956D76"/>
    <w:rsid w:val="00961442"/>
    <w:rsid w:val="00962DC8"/>
    <w:rsid w:val="00965A3E"/>
    <w:rsid w:val="00970924"/>
    <w:rsid w:val="009731C7"/>
    <w:rsid w:val="00985217"/>
    <w:rsid w:val="009903F3"/>
    <w:rsid w:val="00992C76"/>
    <w:rsid w:val="009A35EC"/>
    <w:rsid w:val="009A3863"/>
    <w:rsid w:val="009B1F2D"/>
    <w:rsid w:val="009B4D3B"/>
    <w:rsid w:val="009B5A1D"/>
    <w:rsid w:val="009C24CE"/>
    <w:rsid w:val="009D0857"/>
    <w:rsid w:val="009D33F3"/>
    <w:rsid w:val="009D7407"/>
    <w:rsid w:val="009E0866"/>
    <w:rsid w:val="009E2C57"/>
    <w:rsid w:val="009E3DDE"/>
    <w:rsid w:val="009E7BB8"/>
    <w:rsid w:val="009F5488"/>
    <w:rsid w:val="009F6423"/>
    <w:rsid w:val="00A05D01"/>
    <w:rsid w:val="00A214A1"/>
    <w:rsid w:val="00A22848"/>
    <w:rsid w:val="00A24A62"/>
    <w:rsid w:val="00A26D9C"/>
    <w:rsid w:val="00A31C9F"/>
    <w:rsid w:val="00A3292B"/>
    <w:rsid w:val="00A4144F"/>
    <w:rsid w:val="00A4229E"/>
    <w:rsid w:val="00A54034"/>
    <w:rsid w:val="00A54FB5"/>
    <w:rsid w:val="00A56F14"/>
    <w:rsid w:val="00A63A0F"/>
    <w:rsid w:val="00A63FB4"/>
    <w:rsid w:val="00A76DB9"/>
    <w:rsid w:val="00A80F95"/>
    <w:rsid w:val="00A8197B"/>
    <w:rsid w:val="00A84BE4"/>
    <w:rsid w:val="00A90D1C"/>
    <w:rsid w:val="00A90F28"/>
    <w:rsid w:val="00A9305F"/>
    <w:rsid w:val="00AA53F2"/>
    <w:rsid w:val="00AA7BE3"/>
    <w:rsid w:val="00AB1976"/>
    <w:rsid w:val="00AB3DD9"/>
    <w:rsid w:val="00AB45B8"/>
    <w:rsid w:val="00AB5E7F"/>
    <w:rsid w:val="00AC027A"/>
    <w:rsid w:val="00AC164A"/>
    <w:rsid w:val="00AC302F"/>
    <w:rsid w:val="00AC577D"/>
    <w:rsid w:val="00AD400E"/>
    <w:rsid w:val="00AD4E44"/>
    <w:rsid w:val="00AE265E"/>
    <w:rsid w:val="00AE6553"/>
    <w:rsid w:val="00AE74B6"/>
    <w:rsid w:val="00AF0A07"/>
    <w:rsid w:val="00AF1B85"/>
    <w:rsid w:val="00AF2050"/>
    <w:rsid w:val="00AF47B9"/>
    <w:rsid w:val="00AF5B45"/>
    <w:rsid w:val="00AF68FA"/>
    <w:rsid w:val="00B03CA8"/>
    <w:rsid w:val="00B07F14"/>
    <w:rsid w:val="00B12E75"/>
    <w:rsid w:val="00B21BA9"/>
    <w:rsid w:val="00B22CD4"/>
    <w:rsid w:val="00B331DC"/>
    <w:rsid w:val="00B37C19"/>
    <w:rsid w:val="00B438D3"/>
    <w:rsid w:val="00B55E19"/>
    <w:rsid w:val="00B623A2"/>
    <w:rsid w:val="00B65EC7"/>
    <w:rsid w:val="00B77C8D"/>
    <w:rsid w:val="00B869A8"/>
    <w:rsid w:val="00B93CA6"/>
    <w:rsid w:val="00BA0FAF"/>
    <w:rsid w:val="00BA1E92"/>
    <w:rsid w:val="00BA2A92"/>
    <w:rsid w:val="00BA2EF6"/>
    <w:rsid w:val="00BA4B6D"/>
    <w:rsid w:val="00BB18E3"/>
    <w:rsid w:val="00BB254C"/>
    <w:rsid w:val="00BB26C5"/>
    <w:rsid w:val="00BC337C"/>
    <w:rsid w:val="00BC4A27"/>
    <w:rsid w:val="00BC4B67"/>
    <w:rsid w:val="00BD3122"/>
    <w:rsid w:val="00BD57AE"/>
    <w:rsid w:val="00BE6C6D"/>
    <w:rsid w:val="00BE737D"/>
    <w:rsid w:val="00BE7391"/>
    <w:rsid w:val="00BF4DE6"/>
    <w:rsid w:val="00C05D5C"/>
    <w:rsid w:val="00C152EF"/>
    <w:rsid w:val="00C16033"/>
    <w:rsid w:val="00C226FD"/>
    <w:rsid w:val="00C36255"/>
    <w:rsid w:val="00C37399"/>
    <w:rsid w:val="00C406F0"/>
    <w:rsid w:val="00C42CDE"/>
    <w:rsid w:val="00C500D7"/>
    <w:rsid w:val="00C5182A"/>
    <w:rsid w:val="00C53417"/>
    <w:rsid w:val="00C63EE9"/>
    <w:rsid w:val="00C64A15"/>
    <w:rsid w:val="00C65806"/>
    <w:rsid w:val="00C6626C"/>
    <w:rsid w:val="00C7297E"/>
    <w:rsid w:val="00C74569"/>
    <w:rsid w:val="00C823D7"/>
    <w:rsid w:val="00C8425C"/>
    <w:rsid w:val="00C9007D"/>
    <w:rsid w:val="00C90AA1"/>
    <w:rsid w:val="00C9666F"/>
    <w:rsid w:val="00C970FF"/>
    <w:rsid w:val="00CA37B1"/>
    <w:rsid w:val="00CA7DD8"/>
    <w:rsid w:val="00CB1959"/>
    <w:rsid w:val="00CB2F9F"/>
    <w:rsid w:val="00CC1E62"/>
    <w:rsid w:val="00CD0E4B"/>
    <w:rsid w:val="00CE0155"/>
    <w:rsid w:val="00CE01CA"/>
    <w:rsid w:val="00CE0C7F"/>
    <w:rsid w:val="00CE421E"/>
    <w:rsid w:val="00CE5DF0"/>
    <w:rsid w:val="00CF46F2"/>
    <w:rsid w:val="00CF62AE"/>
    <w:rsid w:val="00D00802"/>
    <w:rsid w:val="00D01763"/>
    <w:rsid w:val="00D0296C"/>
    <w:rsid w:val="00D02B0C"/>
    <w:rsid w:val="00D05246"/>
    <w:rsid w:val="00D139A0"/>
    <w:rsid w:val="00D146A2"/>
    <w:rsid w:val="00D15A00"/>
    <w:rsid w:val="00D15B12"/>
    <w:rsid w:val="00D173EF"/>
    <w:rsid w:val="00D17811"/>
    <w:rsid w:val="00D22B5F"/>
    <w:rsid w:val="00D25AC7"/>
    <w:rsid w:val="00D25DA0"/>
    <w:rsid w:val="00D25EE9"/>
    <w:rsid w:val="00D3315E"/>
    <w:rsid w:val="00D33BF8"/>
    <w:rsid w:val="00D40AEB"/>
    <w:rsid w:val="00D45D71"/>
    <w:rsid w:val="00D460DC"/>
    <w:rsid w:val="00D64BD1"/>
    <w:rsid w:val="00D72760"/>
    <w:rsid w:val="00D73EFE"/>
    <w:rsid w:val="00D7713F"/>
    <w:rsid w:val="00D86954"/>
    <w:rsid w:val="00D93E65"/>
    <w:rsid w:val="00DA040F"/>
    <w:rsid w:val="00DA4D92"/>
    <w:rsid w:val="00DA55B2"/>
    <w:rsid w:val="00DA59BB"/>
    <w:rsid w:val="00DB3355"/>
    <w:rsid w:val="00DC635A"/>
    <w:rsid w:val="00DD1986"/>
    <w:rsid w:val="00DD321B"/>
    <w:rsid w:val="00DE084C"/>
    <w:rsid w:val="00DE34FC"/>
    <w:rsid w:val="00DE7CDE"/>
    <w:rsid w:val="00DF4978"/>
    <w:rsid w:val="00E02F2A"/>
    <w:rsid w:val="00E042C5"/>
    <w:rsid w:val="00E060D8"/>
    <w:rsid w:val="00E0719C"/>
    <w:rsid w:val="00E07262"/>
    <w:rsid w:val="00E155B4"/>
    <w:rsid w:val="00E22D9C"/>
    <w:rsid w:val="00E245D7"/>
    <w:rsid w:val="00E30859"/>
    <w:rsid w:val="00E357B7"/>
    <w:rsid w:val="00E36F91"/>
    <w:rsid w:val="00E423AC"/>
    <w:rsid w:val="00E452F6"/>
    <w:rsid w:val="00E47CE3"/>
    <w:rsid w:val="00E5071B"/>
    <w:rsid w:val="00E53800"/>
    <w:rsid w:val="00E5602E"/>
    <w:rsid w:val="00E5691D"/>
    <w:rsid w:val="00E6081F"/>
    <w:rsid w:val="00E620F6"/>
    <w:rsid w:val="00E82B87"/>
    <w:rsid w:val="00E86D78"/>
    <w:rsid w:val="00E96EFE"/>
    <w:rsid w:val="00E97955"/>
    <w:rsid w:val="00EA04B2"/>
    <w:rsid w:val="00EA0ED4"/>
    <w:rsid w:val="00EA20F3"/>
    <w:rsid w:val="00EA5969"/>
    <w:rsid w:val="00EA783C"/>
    <w:rsid w:val="00EA7EE3"/>
    <w:rsid w:val="00EB2D0F"/>
    <w:rsid w:val="00EC69F7"/>
    <w:rsid w:val="00EC6E7D"/>
    <w:rsid w:val="00EC7DA1"/>
    <w:rsid w:val="00ED2831"/>
    <w:rsid w:val="00ED43D1"/>
    <w:rsid w:val="00ED6F5A"/>
    <w:rsid w:val="00EE4EE1"/>
    <w:rsid w:val="00EE5180"/>
    <w:rsid w:val="00EE5927"/>
    <w:rsid w:val="00EE6CA8"/>
    <w:rsid w:val="00EF4574"/>
    <w:rsid w:val="00EF6543"/>
    <w:rsid w:val="00EF6EB9"/>
    <w:rsid w:val="00F03CF2"/>
    <w:rsid w:val="00F120FA"/>
    <w:rsid w:val="00F1403D"/>
    <w:rsid w:val="00F145A7"/>
    <w:rsid w:val="00F24484"/>
    <w:rsid w:val="00F26475"/>
    <w:rsid w:val="00F2684E"/>
    <w:rsid w:val="00F26F3F"/>
    <w:rsid w:val="00F26FB4"/>
    <w:rsid w:val="00F46D79"/>
    <w:rsid w:val="00F5404C"/>
    <w:rsid w:val="00F611B7"/>
    <w:rsid w:val="00F729EF"/>
    <w:rsid w:val="00F739F3"/>
    <w:rsid w:val="00F770B7"/>
    <w:rsid w:val="00F77CAE"/>
    <w:rsid w:val="00F77ECA"/>
    <w:rsid w:val="00F82271"/>
    <w:rsid w:val="00F83428"/>
    <w:rsid w:val="00F96BB9"/>
    <w:rsid w:val="00F96E4C"/>
    <w:rsid w:val="00FB6737"/>
    <w:rsid w:val="00FB74A9"/>
    <w:rsid w:val="00FC5BE2"/>
    <w:rsid w:val="00FD0E43"/>
    <w:rsid w:val="00FE1005"/>
    <w:rsid w:val="00FE62B6"/>
    <w:rsid w:val="00FE653A"/>
    <w:rsid w:val="00FE6D51"/>
    <w:rsid w:val="00FF09F3"/>
    <w:rsid w:val="00FF4860"/>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aliases w:val="ftref,footnote ref,16 Point,Superscript 6 Point,(NECG) Footnote Reference,Ref,de nota al pie,FnR-ANZDEC,Fußnotenzeichen DISS,fr,Footnote Ref in FtNote,SUPERS,BVI fnr,Normal + Font:9 Point,Superscript 3 Point Times,Footnote Reference1"/>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Bahnschrift SemiLight" w:hAnsi="Bahnschrift SemiLight"/>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1A2"/>
    <w:rPr>
      <w:sz w:val="16"/>
      <w:szCs w:val="16"/>
    </w:rPr>
  </w:style>
  <w:style w:type="paragraph" w:styleId="CommentText">
    <w:name w:val="annotation text"/>
    <w:basedOn w:val="Normal"/>
    <w:link w:val="CommentTextChar"/>
    <w:uiPriority w:val="99"/>
    <w:unhideWhenUsed/>
    <w:rsid w:val="001B21A2"/>
    <w:pPr>
      <w:spacing w:line="240" w:lineRule="auto"/>
    </w:pPr>
    <w:rPr>
      <w:sz w:val="20"/>
      <w:szCs w:val="20"/>
    </w:rPr>
  </w:style>
  <w:style w:type="character" w:customStyle="1" w:styleId="CommentTextChar">
    <w:name w:val="Comment Text Char"/>
    <w:basedOn w:val="DefaultParagraphFont"/>
    <w:link w:val="CommentText"/>
    <w:uiPriority w:val="99"/>
    <w:rsid w:val="001B21A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74361B"/>
    <w:rPr>
      <w:b/>
      <w:bCs/>
    </w:rPr>
  </w:style>
  <w:style w:type="character" w:customStyle="1" w:styleId="CommentSubjectChar">
    <w:name w:val="Comment Subject Char"/>
    <w:basedOn w:val="CommentTextChar"/>
    <w:link w:val="CommentSubject"/>
    <w:uiPriority w:val="99"/>
    <w:semiHidden/>
    <w:rsid w:val="0074361B"/>
    <w:rPr>
      <w:b/>
      <w:bCs/>
      <w:color w:val="495965" w:themeColor="text2"/>
      <w:sz w:val="20"/>
      <w:szCs w:val="20"/>
      <w:lang w:val="en-GB"/>
    </w:rPr>
  </w:style>
  <w:style w:type="paragraph" w:styleId="Revision">
    <w:name w:val="Revision"/>
    <w:hidden/>
    <w:uiPriority w:val="99"/>
    <w:semiHidden/>
    <w:rsid w:val="004A5FAB"/>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BA1E9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A1E92"/>
    <w:rPr>
      <w:color w:val="495965" w:themeColor="text2"/>
      <w:sz w:val="20"/>
      <w:szCs w:val="20"/>
      <w:lang w:val="en-GB"/>
    </w:rPr>
  </w:style>
  <w:style w:type="character" w:styleId="EndnoteReference">
    <w:name w:val="endnote reference"/>
    <w:basedOn w:val="DefaultParagraphFont"/>
    <w:uiPriority w:val="99"/>
    <w:semiHidden/>
    <w:unhideWhenUsed/>
    <w:rsid w:val="00BA1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8605">
      <w:bodyDiv w:val="1"/>
      <w:marLeft w:val="0"/>
      <w:marRight w:val="0"/>
      <w:marTop w:val="0"/>
      <w:marBottom w:val="0"/>
      <w:divBdr>
        <w:top w:val="none" w:sz="0" w:space="0" w:color="auto"/>
        <w:left w:val="none" w:sz="0" w:space="0" w:color="auto"/>
        <w:bottom w:val="none" w:sz="0" w:space="0" w:color="auto"/>
        <w:right w:val="none" w:sz="0" w:space="0" w:color="auto"/>
      </w:divBdr>
    </w:div>
    <w:div w:id="82531872">
      <w:bodyDiv w:val="1"/>
      <w:marLeft w:val="0"/>
      <w:marRight w:val="0"/>
      <w:marTop w:val="0"/>
      <w:marBottom w:val="0"/>
      <w:divBdr>
        <w:top w:val="none" w:sz="0" w:space="0" w:color="auto"/>
        <w:left w:val="none" w:sz="0" w:space="0" w:color="auto"/>
        <w:bottom w:val="none" w:sz="0" w:space="0" w:color="auto"/>
        <w:right w:val="none" w:sz="0" w:space="0" w:color="auto"/>
      </w:divBdr>
    </w:div>
    <w:div w:id="633634300">
      <w:bodyDiv w:val="1"/>
      <w:marLeft w:val="0"/>
      <w:marRight w:val="0"/>
      <w:marTop w:val="0"/>
      <w:marBottom w:val="0"/>
      <w:divBdr>
        <w:top w:val="none" w:sz="0" w:space="0" w:color="auto"/>
        <w:left w:val="none" w:sz="0" w:space="0" w:color="auto"/>
        <w:bottom w:val="none" w:sz="0" w:space="0" w:color="auto"/>
        <w:right w:val="none" w:sz="0" w:space="0" w:color="auto"/>
      </w:divBdr>
    </w:div>
    <w:div w:id="924413108">
      <w:bodyDiv w:val="1"/>
      <w:marLeft w:val="0"/>
      <w:marRight w:val="0"/>
      <w:marTop w:val="0"/>
      <w:marBottom w:val="0"/>
      <w:divBdr>
        <w:top w:val="none" w:sz="0" w:space="0" w:color="auto"/>
        <w:left w:val="none" w:sz="0" w:space="0" w:color="auto"/>
        <w:bottom w:val="none" w:sz="0" w:space="0" w:color="auto"/>
        <w:right w:val="none" w:sz="0" w:space="0" w:color="auto"/>
      </w:divBdr>
    </w:div>
    <w:div w:id="961227124">
      <w:bodyDiv w:val="1"/>
      <w:marLeft w:val="0"/>
      <w:marRight w:val="0"/>
      <w:marTop w:val="0"/>
      <w:marBottom w:val="0"/>
      <w:divBdr>
        <w:top w:val="none" w:sz="0" w:space="0" w:color="auto"/>
        <w:left w:val="none" w:sz="0" w:space="0" w:color="auto"/>
        <w:bottom w:val="none" w:sz="0" w:space="0" w:color="auto"/>
        <w:right w:val="none" w:sz="0" w:space="0" w:color="auto"/>
      </w:divBdr>
    </w:div>
    <w:div w:id="1410542006">
      <w:bodyDiv w:val="1"/>
      <w:marLeft w:val="0"/>
      <w:marRight w:val="0"/>
      <w:marTop w:val="0"/>
      <w:marBottom w:val="0"/>
      <w:divBdr>
        <w:top w:val="none" w:sz="0" w:space="0" w:color="auto"/>
        <w:left w:val="none" w:sz="0" w:space="0" w:color="auto"/>
        <w:bottom w:val="none" w:sz="0" w:space="0" w:color="auto"/>
        <w:right w:val="none" w:sz="0" w:space="0" w:color="auto"/>
      </w:divBdr>
    </w:div>
    <w:div w:id="1634821539">
      <w:bodyDiv w:val="1"/>
      <w:marLeft w:val="0"/>
      <w:marRight w:val="0"/>
      <w:marTop w:val="0"/>
      <w:marBottom w:val="0"/>
      <w:divBdr>
        <w:top w:val="none" w:sz="0" w:space="0" w:color="auto"/>
        <w:left w:val="none" w:sz="0" w:space="0" w:color="auto"/>
        <w:bottom w:val="none" w:sz="0" w:space="0" w:color="auto"/>
        <w:right w:val="none" w:sz="0" w:space="0" w:color="auto"/>
      </w:divBdr>
    </w:div>
    <w:div w:id="1650744644">
      <w:bodyDiv w:val="1"/>
      <w:marLeft w:val="0"/>
      <w:marRight w:val="0"/>
      <w:marTop w:val="0"/>
      <w:marBottom w:val="0"/>
      <w:divBdr>
        <w:top w:val="none" w:sz="0" w:space="0" w:color="auto"/>
        <w:left w:val="none" w:sz="0" w:space="0" w:color="auto"/>
        <w:bottom w:val="none" w:sz="0" w:space="0" w:color="auto"/>
        <w:right w:val="none" w:sz="0" w:space="0" w:color="auto"/>
      </w:divBdr>
    </w:div>
    <w:div w:id="1713729028">
      <w:bodyDiv w:val="1"/>
      <w:marLeft w:val="0"/>
      <w:marRight w:val="0"/>
      <w:marTop w:val="0"/>
      <w:marBottom w:val="0"/>
      <w:divBdr>
        <w:top w:val="none" w:sz="0" w:space="0" w:color="auto"/>
        <w:left w:val="none" w:sz="0" w:space="0" w:color="auto"/>
        <w:bottom w:val="none" w:sz="0" w:space="0" w:color="auto"/>
        <w:right w:val="none" w:sz="0" w:space="0" w:color="auto"/>
      </w:divBdr>
    </w:div>
    <w:div w:id="1789466421">
      <w:bodyDiv w:val="1"/>
      <w:marLeft w:val="0"/>
      <w:marRight w:val="0"/>
      <w:marTop w:val="0"/>
      <w:marBottom w:val="0"/>
      <w:divBdr>
        <w:top w:val="none" w:sz="0" w:space="0" w:color="auto"/>
        <w:left w:val="none" w:sz="0" w:space="0" w:color="auto"/>
        <w:bottom w:val="none" w:sz="0" w:space="0" w:color="auto"/>
        <w:right w:val="none" w:sz="0" w:space="0" w:color="auto"/>
      </w:divBdr>
    </w:div>
    <w:div w:id="1820732519">
      <w:bodyDiv w:val="1"/>
      <w:marLeft w:val="0"/>
      <w:marRight w:val="0"/>
      <w:marTop w:val="0"/>
      <w:marBottom w:val="0"/>
      <w:divBdr>
        <w:top w:val="none" w:sz="0" w:space="0" w:color="auto"/>
        <w:left w:val="none" w:sz="0" w:space="0" w:color="auto"/>
        <w:bottom w:val="none" w:sz="0" w:space="0" w:color="auto"/>
        <w:right w:val="none" w:sz="0" w:space="0" w:color="auto"/>
      </w:divBdr>
    </w:div>
    <w:div w:id="21001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hyperlink" Target="https://www.ifc.org/wps/wcm/connect/news_ext_content/ifc_external_corporate_site/news+and+events/news/fiji-tackling+childcare" TargetMode="External"/><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image" Target="media/image13.jpeg"/><Relationship Id="rId42" Type="http://schemas.openxmlformats.org/officeDocument/2006/relationships/image" Target="media/image21.png"/><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fc.org/wps/wcm/connect/region__ext_content/ifc_external_corporate_site/east+asia+and+the+pacific/resources/fiji-domestic+and+sexual+violence+report" TargetMode="External"/><Relationship Id="rId29" Type="http://schemas.openxmlformats.org/officeDocument/2006/relationships/header" Target="header4.xml"/><Relationship Id="rId11" Type="http://schemas.openxmlformats.org/officeDocument/2006/relationships/header" Target="header2.xml"/><Relationship Id="rId24" Type="http://schemas.openxmlformats.org/officeDocument/2006/relationships/hyperlink" Target="https://www.rbf.gov.fj/Left-Menu/Financial-Market-Operations/Domestic-Markets/Green-Bond-Prospectus" TargetMode="External"/><Relationship Id="rId32" Type="http://schemas.openxmlformats.org/officeDocument/2006/relationships/image" Target="media/image11.png"/><Relationship Id="rId37" Type="http://schemas.openxmlformats.org/officeDocument/2006/relationships/image" Target="media/image16.jpeg"/><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yperlink" Target="https://www.ifc.org/wps/wcm/connect/news_ext_content/ifc_external_corporate_site/news+and+events/news/ifc+study+reveals+path+to+boost+links+between+agriculture+and+tourism+in+fiji" TargetMode="External"/><Relationship Id="rId36" Type="http://schemas.openxmlformats.org/officeDocument/2006/relationships/image" Target="media/image15.png"/><Relationship Id="rId49"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6.JPG"/><Relationship Id="rId31" Type="http://schemas.openxmlformats.org/officeDocument/2006/relationships/header" Target="header6.xml"/><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hyperlink" Target="https://nam03.safelinks.protection.outlook.com/?url=http%3A%2F%2Fmarketdevelopmentfacility.org%2Fwp-content%2Fuploads%2F2019%2F02%2FFiji-Yachting-Study-Hi_Res-copy1.pdf&amp;data=02%7C01%7Cacooper4%40ifc.org%7Cb8734402a0ab40c8ce7608d7331017f1%7C31a2fec0266b4c67b56e2796d8f59c36%7C0%7C1%7C637034016535282502&amp;sdata=XewnlGsKekPW15QCAbICDuUkC2bosPkO9iy4En6EhO0%3D&amp;reserved=0" TargetMode="External"/><Relationship Id="rId30" Type="http://schemas.openxmlformats.org/officeDocument/2006/relationships/header" Target="header5.xml"/><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ifc.org/wps/wcm/connect/news_ext_content/ifc_external_corporate_site/news+and+events/news/fiji-tackling+childcare" TargetMode="External"/><Relationship Id="rId25" Type="http://schemas.openxmlformats.org/officeDocument/2006/relationships/hyperlink" Target="https://www.ifc.org/wps/wcm/connect/region__ext_content/ifc_external_corporate_site/east+asia+and+the+pacific/resources/fiji-domestic+and+sexual+violence+report" TargetMode="External"/><Relationship Id="rId33" Type="http://schemas.openxmlformats.org/officeDocument/2006/relationships/image" Target="media/image12.png"/><Relationship Id="rId38" Type="http://schemas.openxmlformats.org/officeDocument/2006/relationships/image" Target="media/image17.jpeg"/><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dfat.gov.au/about-us/publications/Documents/fiji-appr-2017-18.pdf" TargetMode="External"/><Relationship Id="rId3" Type="http://schemas.openxmlformats.org/officeDocument/2006/relationships/hyperlink" Target="https://marketdevelopmentfacility.org/wp-content/uploads/2019/07/MDF-Annual-Report-Revised-DFAT-Comments-.pdf" TargetMode="External"/><Relationship Id="rId7" Type="http://schemas.openxmlformats.org/officeDocument/2006/relationships/hyperlink" Target="https://iris.wpro.who.int/bitstream/handle/10665.1/13963/9789290618409-eng.pdf" TargetMode="External"/><Relationship Id="rId2" Type="http://schemas.openxmlformats.org/officeDocument/2006/relationships/hyperlink" Target="https://marketdevelopmentfacility.org/wp-content/uploads/2019/07/MDF-Annual-Report-Revised-DFAT-Comments-.pdf" TargetMode="External"/><Relationship Id="rId1" Type="http://schemas.openxmlformats.org/officeDocument/2006/relationships/hyperlink" Target="https://data.worldbank.org/indicator/DT.ODA.ODAT.GN.ZS?locations=FJ" TargetMode="External"/><Relationship Id="rId6" Type="http://schemas.openxmlformats.org/officeDocument/2006/relationships/hyperlink" Target="https://www.unescap.org/blog/escaping-gravitational-pull-gdp" TargetMode="External"/><Relationship Id="rId5" Type="http://schemas.openxmlformats.org/officeDocument/2006/relationships/hyperlink" Target="https://www.worldbank.org/en/publication/wdr2018" TargetMode="External"/><Relationship Id="rId4" Type="http://schemas.openxmlformats.org/officeDocument/2006/relationships/hyperlink" Target="https://docs.wixstatic.com/ugd/70ff7f_3b750fd0ac914d968eff8748b69b157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9F8D3C-6FE2-4CD0-935B-3AA3C68C4715}"/>
</file>

<file path=customXml/itemProps2.xml><?xml version="1.0" encoding="utf-8"?>
<ds:datastoreItem xmlns:ds="http://schemas.openxmlformats.org/officeDocument/2006/customXml" ds:itemID="{44A2B9EC-89F0-4718-BCC5-BAAA560C2737}"/>
</file>

<file path=customXml/itemProps3.xml><?xml version="1.0" encoding="utf-8"?>
<ds:datastoreItem xmlns:ds="http://schemas.openxmlformats.org/officeDocument/2006/customXml" ds:itemID="{21AC7D8E-FE96-487A-9DC4-29335CE4AE80}"/>
</file>

<file path=customXml/itemProps4.xml><?xml version="1.0" encoding="utf-8"?>
<ds:datastoreItem xmlns:ds="http://schemas.openxmlformats.org/officeDocument/2006/customXml" ds:itemID="{8745D318-F387-482C-B5AB-F766E12C33F9}"/>
</file>

<file path=docProps/app.xml><?xml version="1.0" encoding="utf-8"?>
<Properties xmlns="http://schemas.openxmlformats.org/officeDocument/2006/extended-properties" xmlns:vt="http://schemas.openxmlformats.org/officeDocument/2006/docPropsVTypes">
  <Template>Normal.dotm</Template>
  <TotalTime>0</TotalTime>
  <Pages>40</Pages>
  <Words>15928</Words>
  <Characters>90790</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2019-10-28T01:57:00Z</dcterms:created>
  <dcterms:modified xsi:type="dcterms:W3CDTF">2019-10-28T01:57:00Z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67d0a360-0433-467c-a931-0f7c9c3962fe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1272300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