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F19E0" w14:textId="77777777" w:rsidR="00076EDF" w:rsidRDefault="00076EDF" w:rsidP="00076EDF">
      <w:pPr>
        <w:pStyle w:val="ListBullet"/>
        <w:tabs>
          <w:tab w:val="clear" w:pos="284"/>
          <w:tab w:val="left" w:pos="720"/>
        </w:tabs>
      </w:pPr>
      <w:bookmarkStart w:id="0" w:name="_GoBack"/>
      <w:bookmarkEnd w:id="0"/>
    </w:p>
    <w:p w14:paraId="09108649" w14:textId="77777777" w:rsidR="00076EDF" w:rsidRDefault="00076EDF" w:rsidP="00076EDF">
      <w:pPr>
        <w:pStyle w:val="ListBullet"/>
        <w:tabs>
          <w:tab w:val="clear" w:pos="284"/>
          <w:tab w:val="left" w:pos="720"/>
        </w:tabs>
      </w:pPr>
    </w:p>
    <w:p w14:paraId="59FC652D" w14:textId="77777777" w:rsidR="00076EDF" w:rsidRDefault="00076EDF" w:rsidP="00076EDF">
      <w:pPr>
        <w:pStyle w:val="ListBullet"/>
        <w:tabs>
          <w:tab w:val="clear" w:pos="284"/>
          <w:tab w:val="left" w:pos="720"/>
        </w:tabs>
      </w:pPr>
    </w:p>
    <w:p w14:paraId="42C25434" w14:textId="77777777" w:rsidR="00076EDF" w:rsidRDefault="00076EDF" w:rsidP="00076EDF">
      <w:pPr>
        <w:pStyle w:val="ListBullet"/>
        <w:tabs>
          <w:tab w:val="clear" w:pos="284"/>
          <w:tab w:val="left" w:pos="720"/>
        </w:tabs>
      </w:pPr>
    </w:p>
    <w:p w14:paraId="34251519" w14:textId="77777777" w:rsidR="00076EDF" w:rsidRDefault="00076EDF" w:rsidP="00076EDF">
      <w:pPr>
        <w:spacing w:after="200" w:line="276" w:lineRule="auto"/>
        <w:rPr>
          <w:b/>
        </w:rPr>
      </w:pPr>
    </w:p>
    <w:p w14:paraId="0DA7417E" w14:textId="77777777" w:rsidR="00076EDF" w:rsidRDefault="00076EDF" w:rsidP="00076EDF">
      <w:pPr>
        <w:spacing w:after="200" w:line="276" w:lineRule="auto"/>
        <w:rPr>
          <w:b/>
        </w:rPr>
      </w:pPr>
    </w:p>
    <w:p w14:paraId="64883758" w14:textId="77777777" w:rsidR="00076EDF" w:rsidRDefault="00076EDF" w:rsidP="00076EDF"/>
    <w:p w14:paraId="58C00A20" w14:textId="77777777" w:rsidR="00076EDF" w:rsidRDefault="00076EDF" w:rsidP="00076EDF"/>
    <w:p w14:paraId="5A5161B0" w14:textId="77777777" w:rsidR="00076EDF" w:rsidRDefault="00076EDF" w:rsidP="00076EDF"/>
    <w:p w14:paraId="7F1D84A2" w14:textId="77777777" w:rsidR="00076EDF" w:rsidRDefault="00076EDF" w:rsidP="00076EDF"/>
    <w:p w14:paraId="2A764A0B" w14:textId="77777777" w:rsidR="00076EDF" w:rsidRDefault="00076EDF" w:rsidP="00076EDF"/>
    <w:p w14:paraId="17033FF8" w14:textId="77777777" w:rsidR="00076EDF" w:rsidRDefault="00076EDF" w:rsidP="00076EDF"/>
    <w:p w14:paraId="72B9DADE" w14:textId="77777777" w:rsidR="00076EDF" w:rsidRDefault="00076EDF" w:rsidP="00076EDF"/>
    <w:p w14:paraId="5F0E6551" w14:textId="77777777" w:rsidR="00076EDF" w:rsidRDefault="00076EDF" w:rsidP="00076EDF"/>
    <w:p w14:paraId="4651B934" w14:textId="77777777" w:rsidR="00076EDF" w:rsidRDefault="00076EDF" w:rsidP="00076EDF"/>
    <w:p w14:paraId="483AE57E" w14:textId="77777777" w:rsidR="00076EDF" w:rsidRDefault="00076EDF" w:rsidP="00076EDF"/>
    <w:p w14:paraId="1682F84E" w14:textId="77777777" w:rsidR="00076EDF" w:rsidRDefault="00076EDF" w:rsidP="00076EDF"/>
    <w:p w14:paraId="397C8088" w14:textId="77777777" w:rsidR="00076EDF" w:rsidRDefault="00076EDF" w:rsidP="00076EDF"/>
    <w:p w14:paraId="785BC415" w14:textId="77777777" w:rsidR="00076EDF" w:rsidRDefault="00076EDF" w:rsidP="00076EDF"/>
    <w:p w14:paraId="737E624C" w14:textId="77777777" w:rsidR="00076EDF" w:rsidRDefault="00076EDF" w:rsidP="00076EDF"/>
    <w:p w14:paraId="528DE370" w14:textId="77777777" w:rsidR="00076EDF" w:rsidRDefault="00076EDF" w:rsidP="00076EDF"/>
    <w:p w14:paraId="285B13D5" w14:textId="77777777" w:rsidR="00076EDF" w:rsidRDefault="00076EDF" w:rsidP="00076EDF"/>
    <w:p w14:paraId="4914AB8B" w14:textId="77777777" w:rsidR="00076EDF" w:rsidRDefault="00076EDF" w:rsidP="00076EDF"/>
    <w:p w14:paraId="3905D32E" w14:textId="77777777" w:rsidR="00076EDF" w:rsidRDefault="00076EDF" w:rsidP="00076EDF"/>
    <w:p w14:paraId="2F8363D4" w14:textId="77777777" w:rsidR="00076EDF" w:rsidRDefault="00076EDF" w:rsidP="00076EDF"/>
    <w:p w14:paraId="5E9986DE" w14:textId="77777777" w:rsidR="00076EDF" w:rsidRDefault="00076EDF" w:rsidP="00076EDF"/>
    <w:p w14:paraId="42D7DE19" w14:textId="77777777" w:rsidR="00076EDF" w:rsidRDefault="00076EDF" w:rsidP="00076EDF"/>
    <w:p w14:paraId="6E702AB0" w14:textId="77777777" w:rsidR="00076EDF" w:rsidRDefault="00076EDF" w:rsidP="00076EDF">
      <w:pPr>
        <w:pStyle w:val="Title"/>
        <w:spacing w:after="120" w:line="600" w:lineRule="exact"/>
        <w:rPr>
          <w:spacing w:val="-20"/>
          <w:sz w:val="60"/>
        </w:rPr>
      </w:pPr>
      <w:r>
        <w:rPr>
          <w:noProof/>
          <w:lang w:val="en-AU" w:eastAsia="en-AU"/>
        </w:rPr>
        <w:drawing>
          <wp:anchor distT="0" distB="0" distL="114300" distR="114300" simplePos="0" relativeHeight="251660288" behindDoc="1" locked="1" layoutInCell="1" allowOverlap="1" wp14:anchorId="43B35526" wp14:editId="51D66154">
            <wp:simplePos x="0" y="0"/>
            <wp:positionH relativeFrom="page">
              <wp:posOffset>872490</wp:posOffset>
            </wp:positionH>
            <wp:positionV relativeFrom="page">
              <wp:posOffset>1561465</wp:posOffset>
            </wp:positionV>
            <wp:extent cx="3167380" cy="5543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7380" cy="55435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2860BB25" wp14:editId="21F835F0">
            <wp:simplePos x="0" y="0"/>
            <wp:positionH relativeFrom="page">
              <wp:posOffset>7620</wp:posOffset>
            </wp:positionH>
            <wp:positionV relativeFrom="page">
              <wp:posOffset>-7620</wp:posOffset>
            </wp:positionV>
            <wp:extent cx="7750810" cy="10725785"/>
            <wp:effectExtent l="0" t="0" r="254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0810" cy="10725785"/>
                    </a:xfrm>
                    <a:prstGeom prst="rect">
                      <a:avLst/>
                    </a:prstGeom>
                    <a:noFill/>
                  </pic:spPr>
                </pic:pic>
              </a:graphicData>
            </a:graphic>
            <wp14:sizeRelH relativeFrom="margin">
              <wp14:pctWidth>0</wp14:pctWidth>
            </wp14:sizeRelH>
            <wp14:sizeRelV relativeFrom="margin">
              <wp14:pctHeight>0</wp14:pctHeight>
            </wp14:sizeRelV>
          </wp:anchor>
        </w:drawing>
      </w:r>
      <w:r>
        <w:rPr>
          <w:spacing w:val="-20"/>
          <w:sz w:val="60"/>
        </w:rPr>
        <w:t xml:space="preserve">Aid Program Performance </w:t>
      </w:r>
    </w:p>
    <w:p w14:paraId="60229853" w14:textId="77777777" w:rsidR="00076EDF" w:rsidRDefault="00076EDF" w:rsidP="00076EDF">
      <w:pPr>
        <w:pStyle w:val="Title"/>
        <w:spacing w:after="120" w:line="600" w:lineRule="exact"/>
        <w:rPr>
          <w:spacing w:val="-20"/>
          <w:sz w:val="60"/>
        </w:rPr>
      </w:pPr>
      <w:r>
        <w:rPr>
          <w:spacing w:val="-20"/>
          <w:sz w:val="60"/>
        </w:rPr>
        <w:t>Report 2016-17</w:t>
      </w:r>
    </w:p>
    <w:p w14:paraId="2A3A81B1" w14:textId="77777777" w:rsidR="00076EDF" w:rsidRDefault="00076EDF" w:rsidP="00076EDF">
      <w:r>
        <w:rPr>
          <w:sz w:val="40"/>
        </w:rPr>
        <w:t>Fiji</w:t>
      </w:r>
    </w:p>
    <w:p w14:paraId="218E3F77" w14:textId="77777777" w:rsidR="00076EDF" w:rsidRDefault="00076EDF" w:rsidP="00076EDF">
      <w:pPr>
        <w:rPr>
          <w:sz w:val="24"/>
        </w:rPr>
      </w:pPr>
      <w:r>
        <w:rPr>
          <w:sz w:val="24"/>
        </w:rPr>
        <w:t>September 2017</w:t>
      </w:r>
    </w:p>
    <w:p w14:paraId="69257BBD" w14:textId="77777777" w:rsidR="00076EDF" w:rsidRDefault="00076EDF" w:rsidP="00076EDF">
      <w:pPr>
        <w:suppressAutoHyphens w:val="0"/>
        <w:spacing w:before="0" w:after="0" w:line="240" w:lineRule="auto"/>
        <w:sectPr w:rsidR="00076EDF">
          <w:headerReference w:type="even" r:id="rId9"/>
          <w:headerReference w:type="default" r:id="rId10"/>
          <w:footerReference w:type="even" r:id="rId11"/>
          <w:footerReference w:type="default" r:id="rId12"/>
          <w:headerReference w:type="first" r:id="rId13"/>
          <w:footerReference w:type="first" r:id="rId14"/>
          <w:pgSz w:w="11906" w:h="16838"/>
          <w:pgMar w:top="1952" w:right="1134" w:bottom="851" w:left="1134" w:header="1814" w:footer="567" w:gutter="0"/>
          <w:cols w:space="720"/>
        </w:sectPr>
      </w:pPr>
    </w:p>
    <w:p w14:paraId="5E08F4C0" w14:textId="77777777" w:rsidR="00076EDF" w:rsidRPr="00BE2622" w:rsidRDefault="00076EDF" w:rsidP="00076EDF">
      <w:pPr>
        <w:pStyle w:val="ListBullet"/>
        <w:tabs>
          <w:tab w:val="clear" w:pos="284"/>
          <w:tab w:val="left" w:pos="720"/>
        </w:tabs>
        <w:spacing w:before="360"/>
        <w:rPr>
          <w:rFonts w:asciiTheme="majorHAnsi" w:eastAsiaTheme="majorEastAsia" w:hAnsiTheme="majorHAnsi"/>
          <w:caps/>
          <w:color w:val="595959" w:themeColor="text1" w:themeTint="A6"/>
          <w:sz w:val="38"/>
          <w:lang w:val="en-GB"/>
        </w:rPr>
      </w:pPr>
      <w:r w:rsidRPr="00BE2622">
        <w:rPr>
          <w:rFonts w:asciiTheme="majorHAnsi" w:eastAsiaTheme="majorEastAsia" w:hAnsiTheme="majorHAnsi" w:cstheme="majorBidi"/>
          <w:caps/>
          <w:color w:val="595959" w:themeColor="text1" w:themeTint="A6"/>
          <w:sz w:val="38"/>
          <w:szCs w:val="26"/>
          <w:lang w:val="en-GB" w:eastAsia="en-US"/>
        </w:rPr>
        <w:lastRenderedPageBreak/>
        <w:t>Key Messages</w:t>
      </w:r>
    </w:p>
    <w:p w14:paraId="2407C988" w14:textId="4E751684" w:rsidR="00076EDF" w:rsidRPr="00BE2622" w:rsidRDefault="00076EDF" w:rsidP="00076EDF">
      <w:pPr>
        <w:rPr>
          <w:rFonts w:ascii="Calibri Light" w:eastAsia="Calibri Light" w:hAnsi="Calibri Light" w:cs="Times New Roman"/>
          <w:color w:val="595959" w:themeColor="text1" w:themeTint="A6"/>
        </w:rPr>
      </w:pPr>
      <w:r w:rsidRPr="00BE2622">
        <w:rPr>
          <w:rFonts w:ascii="Calibri Light" w:hAnsi="Calibri Light"/>
          <w:color w:val="595959" w:themeColor="text1" w:themeTint="A6"/>
        </w:rPr>
        <w:t xml:space="preserve">This report summarises the performance of Australia’s aid program in </w:t>
      </w:r>
      <w:r w:rsidRPr="00BE2622">
        <w:rPr>
          <w:rFonts w:ascii="Calibri Light" w:eastAsia="Calibri Light" w:hAnsi="Calibri Light" w:cs="Times New Roman"/>
          <w:color w:val="595959" w:themeColor="text1" w:themeTint="A6"/>
        </w:rPr>
        <w:t>Fiji</w:t>
      </w:r>
      <w:r w:rsidRPr="00BE2622">
        <w:rPr>
          <w:rFonts w:ascii="Calibri Light" w:hAnsi="Calibri Light"/>
          <w:color w:val="595959" w:themeColor="text1" w:themeTint="A6"/>
        </w:rPr>
        <w:t xml:space="preserve"> from July 2016 to June 2017 against the </w:t>
      </w:r>
      <w:r w:rsidRPr="00BE2622">
        <w:rPr>
          <w:rFonts w:ascii="Calibri Light" w:eastAsia="Calibri Light" w:hAnsi="Calibri Light" w:cs="Times New Roman"/>
          <w:color w:val="595959" w:themeColor="text1" w:themeTint="A6"/>
        </w:rPr>
        <w:t>2015-16 to 2018-19</w:t>
      </w:r>
      <w:r w:rsidRPr="00BE2622">
        <w:rPr>
          <w:rFonts w:ascii="Calibri Light" w:hAnsi="Calibri Light"/>
          <w:color w:val="595959" w:themeColor="text1" w:themeTint="A6"/>
        </w:rPr>
        <w:t xml:space="preserve"> Aid Investment Plan</w:t>
      </w:r>
      <w:r w:rsidRPr="00BE2622">
        <w:rPr>
          <w:rFonts w:ascii="Calibri Light" w:eastAsia="Calibri Light" w:hAnsi="Calibri Light" w:cs="Times New Roman"/>
          <w:color w:val="595959" w:themeColor="text1" w:themeTint="A6"/>
        </w:rPr>
        <w:t>.</w:t>
      </w:r>
      <w:r w:rsidRPr="00BE2622">
        <w:rPr>
          <w:rFonts w:ascii="Calibri Light" w:hAnsi="Calibri Light"/>
          <w:color w:val="595959" w:themeColor="text1" w:themeTint="A6"/>
        </w:rPr>
        <w:t xml:space="preserve">  </w:t>
      </w:r>
      <w:r w:rsidR="004423BA" w:rsidRPr="00BE2622">
        <w:rPr>
          <w:rFonts w:ascii="Calibri Light" w:eastAsia="Calibri Light" w:hAnsi="Calibri Light" w:cs="Times New Roman"/>
          <w:color w:val="595959" w:themeColor="text1" w:themeTint="A6"/>
        </w:rPr>
        <w:t xml:space="preserve">We assess that </w:t>
      </w:r>
      <w:r w:rsidR="00E92DA3" w:rsidRPr="00BE2622">
        <w:rPr>
          <w:rFonts w:ascii="Calibri Light" w:eastAsia="Calibri Light" w:hAnsi="Calibri Light" w:cs="Times New Roman"/>
          <w:color w:val="595959" w:themeColor="text1" w:themeTint="A6"/>
        </w:rPr>
        <w:t>t</w:t>
      </w:r>
      <w:r w:rsidRPr="00BE2622">
        <w:rPr>
          <w:rFonts w:ascii="Calibri Light" w:eastAsia="Calibri Light" w:hAnsi="Calibri Light" w:cs="Times New Roman"/>
          <w:color w:val="595959" w:themeColor="text1" w:themeTint="A6"/>
        </w:rPr>
        <w:t xml:space="preserve">he aid program in Fiji performed strongly </w:t>
      </w:r>
      <w:r w:rsidR="00F03D85">
        <w:rPr>
          <w:rFonts w:ascii="Calibri Light" w:eastAsia="Calibri Light" w:hAnsi="Calibri Light" w:cs="Times New Roman"/>
          <w:color w:val="595959" w:themeColor="text1" w:themeTint="A6"/>
        </w:rPr>
        <w:t xml:space="preserve">in achieving our objectives in the </w:t>
      </w:r>
      <w:r w:rsidR="00E92DA3" w:rsidRPr="00BE2622">
        <w:rPr>
          <w:rFonts w:ascii="Calibri Light" w:eastAsia="Calibri Light" w:hAnsi="Calibri Light" w:cs="Times New Roman"/>
          <w:color w:val="595959" w:themeColor="text1" w:themeTint="A6"/>
        </w:rPr>
        <w:t>priority areas of private sector development</w:t>
      </w:r>
      <w:r w:rsidR="001E70FF">
        <w:rPr>
          <w:rFonts w:ascii="Calibri Light" w:eastAsia="Calibri Light" w:hAnsi="Calibri Light" w:cs="Times New Roman"/>
          <w:color w:val="595959" w:themeColor="text1" w:themeTint="A6"/>
        </w:rPr>
        <w:t xml:space="preserve"> and </w:t>
      </w:r>
      <w:r w:rsidR="00E92DA3" w:rsidRPr="00BE2622">
        <w:rPr>
          <w:rFonts w:ascii="Calibri Light" w:eastAsia="Calibri Light" w:hAnsi="Calibri Light" w:cs="Times New Roman"/>
          <w:color w:val="595959" w:themeColor="text1" w:themeTint="A6"/>
        </w:rPr>
        <w:t>human development</w:t>
      </w:r>
      <w:r w:rsidR="001E70FF">
        <w:rPr>
          <w:rFonts w:ascii="Calibri Light" w:eastAsia="Calibri Light" w:hAnsi="Calibri Light" w:cs="Times New Roman"/>
          <w:color w:val="595959" w:themeColor="text1" w:themeTint="A6"/>
        </w:rPr>
        <w:t xml:space="preserve">.  </w:t>
      </w:r>
      <w:r w:rsidR="008E12E2">
        <w:rPr>
          <w:rFonts w:ascii="Calibri Light" w:eastAsia="Calibri Light" w:hAnsi="Calibri Light" w:cs="Times New Roman"/>
          <w:color w:val="595959" w:themeColor="text1" w:themeTint="A6"/>
        </w:rPr>
        <w:t>Substantial</w:t>
      </w:r>
      <w:r w:rsidR="004A46C7">
        <w:rPr>
          <w:rFonts w:ascii="Calibri Light" w:eastAsia="Calibri Light" w:hAnsi="Calibri Light" w:cs="Times New Roman"/>
          <w:color w:val="595959" w:themeColor="text1" w:themeTint="A6"/>
        </w:rPr>
        <w:t xml:space="preserve"> </w:t>
      </w:r>
      <w:r w:rsidR="001E70FF">
        <w:rPr>
          <w:rFonts w:ascii="Calibri Light" w:eastAsia="Calibri Light" w:hAnsi="Calibri Light" w:cs="Times New Roman"/>
          <w:color w:val="595959" w:themeColor="text1" w:themeTint="A6"/>
        </w:rPr>
        <w:t>progress was also made in support</w:t>
      </w:r>
      <w:r w:rsidR="004A46C7">
        <w:rPr>
          <w:rFonts w:ascii="Calibri Light" w:eastAsia="Calibri Light" w:hAnsi="Calibri Light" w:cs="Times New Roman"/>
          <w:color w:val="595959" w:themeColor="text1" w:themeTint="A6"/>
        </w:rPr>
        <w:t>ing</w:t>
      </w:r>
      <w:r w:rsidR="001E70FF">
        <w:rPr>
          <w:rFonts w:ascii="Calibri Light" w:eastAsia="Calibri Light" w:hAnsi="Calibri Light" w:cs="Times New Roman"/>
          <w:color w:val="595959" w:themeColor="text1" w:themeTint="A6"/>
        </w:rPr>
        <w:t xml:space="preserve"> Fiji’s recovery from </w:t>
      </w:r>
      <w:r w:rsidR="00E92DA3" w:rsidRPr="00BE2622">
        <w:rPr>
          <w:rFonts w:ascii="Calibri Light" w:eastAsia="Calibri Light" w:hAnsi="Calibri Light" w:cs="Times New Roman"/>
          <w:color w:val="595959" w:themeColor="text1" w:themeTint="A6"/>
        </w:rPr>
        <w:t>Tropical Cyclone (TC) Winston</w:t>
      </w:r>
      <w:r w:rsidR="001E70FF">
        <w:rPr>
          <w:rFonts w:ascii="Calibri Light" w:eastAsia="Calibri Light" w:hAnsi="Calibri Light" w:cs="Times New Roman"/>
          <w:color w:val="595959" w:themeColor="text1" w:themeTint="A6"/>
        </w:rPr>
        <w:t xml:space="preserve">, </w:t>
      </w:r>
      <w:r w:rsidR="00F03D85">
        <w:rPr>
          <w:rFonts w:ascii="Calibri Light" w:eastAsia="Calibri Light" w:hAnsi="Calibri Light" w:cs="Times New Roman"/>
          <w:color w:val="595959" w:themeColor="text1" w:themeTint="A6"/>
        </w:rPr>
        <w:t xml:space="preserve">but </w:t>
      </w:r>
      <w:r w:rsidR="008E12E2">
        <w:rPr>
          <w:rFonts w:ascii="Calibri Light" w:eastAsia="Calibri Light" w:hAnsi="Calibri Light" w:cs="Times New Roman"/>
          <w:color w:val="595959" w:themeColor="text1" w:themeTint="A6"/>
        </w:rPr>
        <w:t xml:space="preserve">it </w:t>
      </w:r>
      <w:r w:rsidR="001E70FF">
        <w:rPr>
          <w:rFonts w:ascii="Calibri Light" w:eastAsia="Calibri Light" w:hAnsi="Calibri Light" w:cs="Times New Roman"/>
          <w:color w:val="595959" w:themeColor="text1" w:themeTint="A6"/>
        </w:rPr>
        <w:t>was less than we had expected</w:t>
      </w:r>
      <w:r w:rsidRPr="00BE2622">
        <w:rPr>
          <w:rFonts w:ascii="Calibri Light" w:eastAsia="Calibri Light" w:hAnsi="Calibri Light" w:cs="Times New Roman"/>
          <w:color w:val="595959" w:themeColor="text1" w:themeTint="A6"/>
        </w:rPr>
        <w:t>.</w:t>
      </w:r>
    </w:p>
    <w:p w14:paraId="7DBA61B3" w14:textId="44543231" w:rsidR="00E92DA3" w:rsidRPr="00BE2622" w:rsidRDefault="00F03D85" w:rsidP="00076EDF">
      <w:pPr>
        <w:rPr>
          <w:rFonts w:ascii="Calibri Light" w:eastAsia="Calibri Light" w:hAnsi="Calibri Light" w:cs="Times New Roman"/>
          <w:color w:val="595959" w:themeColor="text1" w:themeTint="A6"/>
        </w:rPr>
      </w:pPr>
      <w:r>
        <w:rPr>
          <w:rFonts w:ascii="Calibri Light" w:eastAsia="Calibri Light" w:hAnsi="Calibri Light" w:cs="Times New Roman"/>
          <w:color w:val="595959" w:themeColor="text1" w:themeTint="A6"/>
        </w:rPr>
        <w:t xml:space="preserve">The aid program </w:t>
      </w:r>
      <w:r w:rsidR="00420110">
        <w:rPr>
          <w:rFonts w:ascii="Calibri Light" w:eastAsia="Calibri Light" w:hAnsi="Calibri Light" w:cs="Times New Roman"/>
          <w:color w:val="595959" w:themeColor="text1" w:themeTint="A6"/>
        </w:rPr>
        <w:t xml:space="preserve">took a </w:t>
      </w:r>
      <w:r w:rsidR="002773D6">
        <w:rPr>
          <w:rFonts w:ascii="Calibri Light" w:eastAsia="Calibri Light" w:hAnsi="Calibri Light" w:cs="Times New Roman"/>
          <w:color w:val="595959" w:themeColor="text1" w:themeTint="A6"/>
        </w:rPr>
        <w:t>comprehensive</w:t>
      </w:r>
      <w:r w:rsidR="00420110">
        <w:rPr>
          <w:rFonts w:ascii="Calibri Light" w:eastAsia="Calibri Light" w:hAnsi="Calibri Light" w:cs="Times New Roman"/>
          <w:color w:val="595959" w:themeColor="text1" w:themeTint="A6"/>
        </w:rPr>
        <w:t xml:space="preserve"> approach to supporting private sector development</w:t>
      </w:r>
      <w:r>
        <w:rPr>
          <w:rFonts w:ascii="Calibri Light" w:eastAsia="Calibri Light" w:hAnsi="Calibri Light" w:cs="Times New Roman"/>
          <w:color w:val="595959" w:themeColor="text1" w:themeTint="A6"/>
        </w:rPr>
        <w:t xml:space="preserve"> in Fiji</w:t>
      </w:r>
      <w:r w:rsidR="001974E0" w:rsidRPr="00BE2622">
        <w:rPr>
          <w:rFonts w:ascii="Calibri Light" w:eastAsia="Calibri Light" w:hAnsi="Calibri Light" w:cs="Times New Roman"/>
          <w:color w:val="595959" w:themeColor="text1" w:themeTint="A6"/>
        </w:rPr>
        <w:t xml:space="preserve">.  </w:t>
      </w:r>
      <w:r w:rsidR="001F5659">
        <w:rPr>
          <w:rFonts w:ascii="Calibri Light" w:eastAsia="Calibri Light" w:hAnsi="Calibri Light" w:cs="Times New Roman"/>
          <w:color w:val="595959" w:themeColor="text1" w:themeTint="A6"/>
        </w:rPr>
        <w:t xml:space="preserve">We </w:t>
      </w:r>
      <w:r w:rsidR="00420110">
        <w:rPr>
          <w:rFonts w:ascii="Calibri Light" w:eastAsia="Calibri Light" w:hAnsi="Calibri Light" w:cs="Times New Roman"/>
          <w:color w:val="595959" w:themeColor="text1" w:themeTint="A6"/>
        </w:rPr>
        <w:t>direct</w:t>
      </w:r>
      <w:r w:rsidR="003F2EF2">
        <w:rPr>
          <w:rFonts w:ascii="Calibri Light" w:eastAsia="Calibri Light" w:hAnsi="Calibri Light" w:cs="Times New Roman"/>
          <w:color w:val="595959" w:themeColor="text1" w:themeTint="A6"/>
        </w:rPr>
        <w:t>ly</w:t>
      </w:r>
      <w:r w:rsidR="00420110">
        <w:rPr>
          <w:rFonts w:ascii="Calibri Light" w:eastAsia="Calibri Light" w:hAnsi="Calibri Light" w:cs="Times New Roman"/>
          <w:color w:val="595959" w:themeColor="text1" w:themeTint="A6"/>
        </w:rPr>
        <w:t xml:space="preserve"> </w:t>
      </w:r>
      <w:r w:rsidR="003F2EF2">
        <w:rPr>
          <w:rFonts w:ascii="Calibri Light" w:eastAsia="Calibri Light" w:hAnsi="Calibri Light" w:cs="Times New Roman"/>
          <w:color w:val="595959" w:themeColor="text1" w:themeTint="A6"/>
        </w:rPr>
        <w:t>assist</w:t>
      </w:r>
      <w:r w:rsidR="00AE721A">
        <w:rPr>
          <w:rFonts w:ascii="Calibri Light" w:eastAsia="Calibri Light" w:hAnsi="Calibri Light" w:cs="Times New Roman"/>
          <w:color w:val="595959" w:themeColor="text1" w:themeTint="A6"/>
        </w:rPr>
        <w:t>ed</w:t>
      </w:r>
      <w:r w:rsidR="001F5659">
        <w:rPr>
          <w:rFonts w:ascii="Calibri Light" w:eastAsia="Calibri Light" w:hAnsi="Calibri Light" w:cs="Times New Roman"/>
          <w:color w:val="595959" w:themeColor="text1" w:themeTint="A6"/>
        </w:rPr>
        <w:t xml:space="preserve"> </w:t>
      </w:r>
      <w:r w:rsidR="00E92DA3" w:rsidRPr="00BE2622">
        <w:rPr>
          <w:rFonts w:ascii="Calibri Light" w:eastAsia="Calibri Light" w:hAnsi="Calibri Light" w:cs="Times New Roman"/>
          <w:color w:val="595959" w:themeColor="text1" w:themeTint="A6"/>
        </w:rPr>
        <w:t xml:space="preserve">businesses </w:t>
      </w:r>
      <w:r w:rsidR="004423BA" w:rsidRPr="00BE2622">
        <w:rPr>
          <w:rFonts w:ascii="Calibri Light" w:eastAsia="Calibri Light" w:hAnsi="Calibri Light" w:cs="Times New Roman"/>
          <w:color w:val="595959" w:themeColor="text1" w:themeTint="A6"/>
        </w:rPr>
        <w:t xml:space="preserve">to </w:t>
      </w:r>
      <w:r w:rsidR="00E92DA3" w:rsidRPr="00BE2622">
        <w:rPr>
          <w:rFonts w:ascii="Calibri Light" w:eastAsia="Calibri Light" w:hAnsi="Calibri Light" w:cs="Times New Roman"/>
          <w:color w:val="595959" w:themeColor="text1" w:themeTint="A6"/>
        </w:rPr>
        <w:t>innovate and expand</w:t>
      </w:r>
      <w:r w:rsidR="002B5550">
        <w:rPr>
          <w:rFonts w:ascii="Calibri Light" w:eastAsia="Calibri Light" w:hAnsi="Calibri Light" w:cs="Times New Roman"/>
          <w:color w:val="595959" w:themeColor="text1" w:themeTint="A6"/>
        </w:rPr>
        <w:t xml:space="preserve">; </w:t>
      </w:r>
      <w:r w:rsidR="00E92DA3" w:rsidRPr="00BE2622">
        <w:rPr>
          <w:rFonts w:ascii="Calibri Light" w:eastAsia="Calibri Light" w:hAnsi="Calibri Light" w:cs="Times New Roman"/>
          <w:color w:val="595959" w:themeColor="text1" w:themeTint="A6"/>
        </w:rPr>
        <w:t>Phase 1 of the Market Development Facility</w:t>
      </w:r>
      <w:r w:rsidR="002B5550">
        <w:rPr>
          <w:rFonts w:ascii="Calibri Light" w:eastAsia="Calibri Light" w:hAnsi="Calibri Light" w:cs="Times New Roman"/>
          <w:color w:val="595959" w:themeColor="text1" w:themeTint="A6"/>
        </w:rPr>
        <w:t xml:space="preserve"> created </w:t>
      </w:r>
      <w:r w:rsidR="00B22F78">
        <w:rPr>
          <w:rFonts w:ascii="Calibri Light" w:eastAsia="Calibri Light" w:hAnsi="Calibri Light" w:cs="Times New Roman"/>
          <w:color w:val="595959" w:themeColor="text1" w:themeTint="A6"/>
        </w:rPr>
        <w:t xml:space="preserve">over </w:t>
      </w:r>
      <w:r w:rsidR="00E92DA3" w:rsidRPr="00BE2622">
        <w:rPr>
          <w:rFonts w:ascii="Calibri Light" w:eastAsia="Calibri Light" w:hAnsi="Calibri Light" w:cs="Times New Roman"/>
          <w:color w:val="595959" w:themeColor="text1" w:themeTint="A6"/>
        </w:rPr>
        <w:t xml:space="preserve">200 new jobs and </w:t>
      </w:r>
      <w:r w:rsidR="002B5550">
        <w:rPr>
          <w:rFonts w:ascii="Calibri Light" w:eastAsia="Calibri Light" w:hAnsi="Calibri Light" w:cs="Times New Roman"/>
          <w:color w:val="595959" w:themeColor="text1" w:themeTint="A6"/>
        </w:rPr>
        <w:t xml:space="preserve">generated </w:t>
      </w:r>
      <w:r w:rsidR="00C653EC" w:rsidRPr="00BE2622">
        <w:rPr>
          <w:rFonts w:ascii="Calibri Light" w:eastAsia="Calibri Light" w:hAnsi="Calibri Light" w:cs="Times New Roman"/>
          <w:color w:val="595959" w:themeColor="text1" w:themeTint="A6"/>
        </w:rPr>
        <w:t xml:space="preserve">an additional </w:t>
      </w:r>
      <w:r w:rsidR="00E92DA3" w:rsidRPr="00BE2622">
        <w:rPr>
          <w:rFonts w:ascii="Calibri Light" w:eastAsia="Calibri Light" w:hAnsi="Calibri Light" w:cs="Times New Roman"/>
          <w:color w:val="595959" w:themeColor="text1" w:themeTint="A6"/>
        </w:rPr>
        <w:t>US</w:t>
      </w:r>
      <w:r w:rsidR="00AE721A">
        <w:rPr>
          <w:rFonts w:ascii="Calibri Light" w:eastAsia="Calibri Light" w:hAnsi="Calibri Light" w:cs="Times New Roman"/>
          <w:color w:val="595959" w:themeColor="text1" w:themeTint="A6"/>
        </w:rPr>
        <w:t>D</w:t>
      </w:r>
      <w:r w:rsidR="00E92DA3" w:rsidRPr="00BE2622">
        <w:rPr>
          <w:rFonts w:ascii="Calibri Light" w:eastAsia="Calibri Light" w:hAnsi="Calibri Light" w:cs="Times New Roman"/>
          <w:color w:val="595959" w:themeColor="text1" w:themeTint="A6"/>
        </w:rPr>
        <w:t xml:space="preserve">12 million in economic activity.  </w:t>
      </w:r>
      <w:r w:rsidR="001974E0" w:rsidRPr="00BE2622">
        <w:rPr>
          <w:rFonts w:ascii="Calibri Light" w:eastAsia="Calibri Light" w:hAnsi="Calibri Light" w:cs="Times New Roman"/>
          <w:color w:val="595959" w:themeColor="text1" w:themeTint="A6"/>
        </w:rPr>
        <w:t>Complementing this</w:t>
      </w:r>
      <w:r w:rsidR="00C653EC" w:rsidRPr="00BE2622">
        <w:rPr>
          <w:rFonts w:ascii="Calibri Light" w:eastAsia="Calibri Light" w:hAnsi="Calibri Light" w:cs="Times New Roman"/>
          <w:color w:val="595959" w:themeColor="text1" w:themeTint="A6"/>
        </w:rPr>
        <w:t>, our ongoing s</w:t>
      </w:r>
      <w:r w:rsidR="00E92DA3" w:rsidRPr="00BE2622">
        <w:rPr>
          <w:rFonts w:ascii="Calibri Light" w:eastAsia="Calibri Light" w:hAnsi="Calibri Light" w:cs="Times New Roman"/>
          <w:color w:val="595959" w:themeColor="text1" w:themeTint="A6"/>
        </w:rPr>
        <w:t xml:space="preserve">upport for structural </w:t>
      </w:r>
      <w:r w:rsidR="004423BA" w:rsidRPr="00BE2622">
        <w:rPr>
          <w:rFonts w:ascii="Calibri Light" w:eastAsia="Calibri Light" w:hAnsi="Calibri Light" w:cs="Times New Roman"/>
          <w:color w:val="595959" w:themeColor="text1" w:themeTint="A6"/>
        </w:rPr>
        <w:t xml:space="preserve">and institutional </w:t>
      </w:r>
      <w:r w:rsidR="00E92DA3" w:rsidRPr="00BE2622">
        <w:rPr>
          <w:rFonts w:ascii="Calibri Light" w:eastAsia="Calibri Light" w:hAnsi="Calibri Light" w:cs="Times New Roman"/>
          <w:color w:val="595959" w:themeColor="text1" w:themeTint="A6"/>
        </w:rPr>
        <w:t>reforms</w:t>
      </w:r>
      <w:r w:rsidR="00C653EC" w:rsidRPr="00BE2622">
        <w:rPr>
          <w:rFonts w:ascii="Calibri Light" w:eastAsia="Calibri Light" w:hAnsi="Calibri Light" w:cs="Times New Roman"/>
          <w:color w:val="595959" w:themeColor="text1" w:themeTint="A6"/>
        </w:rPr>
        <w:t xml:space="preserve"> </w:t>
      </w:r>
      <w:r w:rsidR="00B22F78">
        <w:rPr>
          <w:rFonts w:ascii="Calibri Light" w:eastAsia="Calibri Light" w:hAnsi="Calibri Light" w:cs="Times New Roman"/>
          <w:color w:val="595959" w:themeColor="text1" w:themeTint="A6"/>
        </w:rPr>
        <w:t xml:space="preserve">helped </w:t>
      </w:r>
      <w:r w:rsidR="00420110">
        <w:rPr>
          <w:rFonts w:ascii="Calibri Light" w:eastAsia="Calibri Light" w:hAnsi="Calibri Light" w:cs="Times New Roman"/>
          <w:color w:val="595959" w:themeColor="text1" w:themeTint="A6"/>
        </w:rPr>
        <w:t>enhance</w:t>
      </w:r>
      <w:r w:rsidR="00C653EC" w:rsidRPr="00BE2622">
        <w:rPr>
          <w:rFonts w:ascii="Calibri Light" w:eastAsia="Calibri Light" w:hAnsi="Calibri Light" w:cs="Times New Roman"/>
          <w:color w:val="595959" w:themeColor="text1" w:themeTint="A6"/>
        </w:rPr>
        <w:t xml:space="preserve"> the operating environment for the private sector.  This ambitious </w:t>
      </w:r>
      <w:r w:rsidR="001974E0" w:rsidRPr="00BE2622">
        <w:rPr>
          <w:rFonts w:ascii="Calibri Light" w:eastAsia="Calibri Light" w:hAnsi="Calibri Light" w:cs="Times New Roman"/>
          <w:color w:val="595959" w:themeColor="text1" w:themeTint="A6"/>
        </w:rPr>
        <w:t xml:space="preserve">work included </w:t>
      </w:r>
      <w:r w:rsidR="00C653EC" w:rsidRPr="00BE2622">
        <w:rPr>
          <w:rFonts w:ascii="Calibri Light" w:eastAsia="Calibri Light" w:hAnsi="Calibri Light" w:cs="Times New Roman"/>
          <w:color w:val="595959" w:themeColor="text1" w:themeTint="A6"/>
        </w:rPr>
        <w:t xml:space="preserve">projects to </w:t>
      </w:r>
      <w:r w:rsidR="00420110">
        <w:rPr>
          <w:rFonts w:ascii="Calibri Light" w:eastAsia="Calibri Light" w:hAnsi="Calibri Light" w:cs="Times New Roman"/>
          <w:color w:val="595959" w:themeColor="text1" w:themeTint="A6"/>
        </w:rPr>
        <w:t>improve</w:t>
      </w:r>
      <w:r w:rsidR="00C653EC" w:rsidRPr="00BE2622">
        <w:rPr>
          <w:rFonts w:ascii="Calibri Light" w:eastAsia="Calibri Light" w:hAnsi="Calibri Light" w:cs="Times New Roman"/>
          <w:color w:val="595959" w:themeColor="text1" w:themeTint="A6"/>
        </w:rPr>
        <w:t xml:space="preserve"> trade competitiveness, reform state-owned enterprises and strengthen </w:t>
      </w:r>
      <w:r>
        <w:rPr>
          <w:rFonts w:ascii="Calibri Light" w:eastAsia="Calibri Light" w:hAnsi="Calibri Light" w:cs="Times New Roman"/>
          <w:color w:val="595959" w:themeColor="text1" w:themeTint="A6"/>
        </w:rPr>
        <w:t xml:space="preserve">Fiji’s </w:t>
      </w:r>
      <w:r w:rsidR="00C653EC" w:rsidRPr="00BE2622">
        <w:rPr>
          <w:rFonts w:ascii="Calibri Light" w:eastAsia="Calibri Light" w:hAnsi="Calibri Light" w:cs="Times New Roman"/>
          <w:color w:val="595959" w:themeColor="text1" w:themeTint="A6"/>
        </w:rPr>
        <w:t>civil service.  A</w:t>
      </w:r>
      <w:r w:rsidR="004423BA" w:rsidRPr="00BE2622">
        <w:rPr>
          <w:rFonts w:ascii="Calibri Light" w:eastAsia="Calibri Light" w:hAnsi="Calibri Light" w:cs="Times New Roman"/>
          <w:color w:val="595959" w:themeColor="text1" w:themeTint="A6"/>
        </w:rPr>
        <w:t xml:space="preserve"> new </w:t>
      </w:r>
      <w:r w:rsidR="00E92DA3" w:rsidRPr="00BE2622">
        <w:rPr>
          <w:rFonts w:ascii="Calibri Light" w:eastAsia="Calibri Light" w:hAnsi="Calibri Light" w:cs="Times New Roman"/>
          <w:color w:val="595959" w:themeColor="text1" w:themeTint="A6"/>
        </w:rPr>
        <w:t>$12 million partnership between DFAT and the International Finance Corporation (IFC)</w:t>
      </w:r>
      <w:r w:rsidR="00C653EC" w:rsidRPr="00BE2622">
        <w:rPr>
          <w:rFonts w:ascii="Calibri Light" w:eastAsia="Calibri Light" w:hAnsi="Calibri Light" w:cs="Times New Roman"/>
          <w:color w:val="595959" w:themeColor="text1" w:themeTint="A6"/>
        </w:rPr>
        <w:t xml:space="preserve"> </w:t>
      </w:r>
      <w:r w:rsidR="00B22F78">
        <w:rPr>
          <w:rFonts w:ascii="Calibri Light" w:eastAsia="Calibri Light" w:hAnsi="Calibri Light" w:cs="Times New Roman"/>
          <w:color w:val="595959" w:themeColor="text1" w:themeTint="A6"/>
        </w:rPr>
        <w:t xml:space="preserve">also </w:t>
      </w:r>
      <w:r w:rsidR="00C653EC" w:rsidRPr="00BE2622">
        <w:rPr>
          <w:rFonts w:ascii="Calibri Light" w:eastAsia="Calibri Light" w:hAnsi="Calibri Light" w:cs="Times New Roman"/>
          <w:color w:val="595959" w:themeColor="text1" w:themeTint="A6"/>
        </w:rPr>
        <w:t>boosted our support for policy and regulatory reform</w:t>
      </w:r>
      <w:r w:rsidR="00E92DA3" w:rsidRPr="00BE2622">
        <w:rPr>
          <w:rFonts w:ascii="Calibri Light" w:eastAsia="Calibri Light" w:hAnsi="Calibri Light" w:cs="Times New Roman"/>
          <w:color w:val="595959" w:themeColor="text1" w:themeTint="A6"/>
        </w:rPr>
        <w:t>.</w:t>
      </w:r>
    </w:p>
    <w:p w14:paraId="5F9B858C" w14:textId="0EFC1DFD" w:rsidR="00076EDF" w:rsidRDefault="00B22F78" w:rsidP="00076EDF">
      <w:pPr>
        <w:rPr>
          <w:rFonts w:ascii="Calibri Light" w:eastAsia="Calibri Light" w:hAnsi="Calibri Light" w:cs="Times New Roman"/>
          <w:color w:val="595959" w:themeColor="text1" w:themeTint="A6"/>
        </w:rPr>
      </w:pPr>
      <w:r>
        <w:rPr>
          <w:rFonts w:ascii="Calibri Light" w:eastAsia="Calibri Light" w:hAnsi="Calibri Light" w:cs="Times New Roman"/>
          <w:color w:val="595959" w:themeColor="text1" w:themeTint="A6"/>
        </w:rPr>
        <w:t>In 2015-16 and the early part of 2016-17</w:t>
      </w:r>
      <w:r w:rsidR="004423BA" w:rsidRPr="00BE2622">
        <w:rPr>
          <w:rFonts w:ascii="Calibri Light" w:eastAsia="Calibri Light" w:hAnsi="Calibri Light" w:cs="Times New Roman"/>
          <w:color w:val="595959" w:themeColor="text1" w:themeTint="A6"/>
        </w:rPr>
        <w:t>,</w:t>
      </w:r>
      <w:r w:rsidR="00076EDF" w:rsidRPr="00BE2622">
        <w:rPr>
          <w:rFonts w:ascii="Calibri Light" w:eastAsia="Calibri Light" w:hAnsi="Calibri Light" w:cs="Times New Roman"/>
          <w:color w:val="595959" w:themeColor="text1" w:themeTint="A6"/>
        </w:rPr>
        <w:t xml:space="preserve"> our investments in human development </w:t>
      </w:r>
      <w:r w:rsidR="009C5271" w:rsidRPr="00BE2622">
        <w:rPr>
          <w:rFonts w:ascii="Calibri Light" w:eastAsia="Calibri Light" w:hAnsi="Calibri Light" w:cs="Times New Roman"/>
          <w:color w:val="595959" w:themeColor="text1" w:themeTint="A6"/>
        </w:rPr>
        <w:t xml:space="preserve">responded to </w:t>
      </w:r>
      <w:r w:rsidR="00885797">
        <w:rPr>
          <w:rFonts w:ascii="Calibri Light" w:eastAsia="Calibri Light" w:hAnsi="Calibri Light" w:cs="Times New Roman"/>
          <w:color w:val="595959" w:themeColor="text1" w:themeTint="A6"/>
        </w:rPr>
        <w:t xml:space="preserve">Fiji’s </w:t>
      </w:r>
      <w:r>
        <w:rPr>
          <w:rFonts w:ascii="Calibri Light" w:eastAsia="Calibri Light" w:hAnsi="Calibri Light" w:cs="Times New Roman"/>
          <w:color w:val="595959" w:themeColor="text1" w:themeTint="A6"/>
        </w:rPr>
        <w:t>immediate needs following</w:t>
      </w:r>
      <w:r w:rsidR="009C5271" w:rsidRPr="00BE2622">
        <w:rPr>
          <w:rFonts w:ascii="Calibri Light" w:eastAsia="Calibri Light" w:hAnsi="Calibri Light" w:cs="Times New Roman"/>
          <w:color w:val="595959" w:themeColor="text1" w:themeTint="A6"/>
        </w:rPr>
        <w:t xml:space="preserve"> TC Winston, </w:t>
      </w:r>
      <w:r w:rsidR="00CF529A">
        <w:rPr>
          <w:rFonts w:ascii="Calibri Light" w:eastAsia="Calibri Light" w:hAnsi="Calibri Light" w:cs="Times New Roman"/>
          <w:color w:val="595959" w:themeColor="text1" w:themeTint="A6"/>
        </w:rPr>
        <w:t>providing</w:t>
      </w:r>
      <w:r w:rsidR="00076EDF" w:rsidRPr="00BE2622">
        <w:rPr>
          <w:rFonts w:ascii="Calibri Light" w:eastAsia="Calibri Light" w:hAnsi="Calibri Light" w:cs="Times New Roman"/>
          <w:color w:val="595959" w:themeColor="text1" w:themeTint="A6"/>
        </w:rPr>
        <w:t xml:space="preserve"> </w:t>
      </w:r>
      <w:r w:rsidR="00BC4341" w:rsidRPr="00BE2622">
        <w:rPr>
          <w:rFonts w:ascii="Calibri Light" w:eastAsia="Calibri Light" w:hAnsi="Calibri Light" w:cs="Times New Roman"/>
          <w:color w:val="595959" w:themeColor="text1" w:themeTint="A6"/>
        </w:rPr>
        <w:t>humanitarian</w:t>
      </w:r>
      <w:r w:rsidR="00076EDF" w:rsidRPr="00BE2622">
        <w:rPr>
          <w:rFonts w:ascii="Calibri Light" w:eastAsia="Calibri Light" w:hAnsi="Calibri Light" w:cs="Times New Roman"/>
          <w:color w:val="595959" w:themeColor="text1" w:themeTint="A6"/>
        </w:rPr>
        <w:t xml:space="preserve"> relief and emergency services to more than 200,000 people.  </w:t>
      </w:r>
      <w:r w:rsidR="004A46C7">
        <w:rPr>
          <w:rFonts w:ascii="Calibri Light" w:eastAsia="Calibri Light" w:hAnsi="Calibri Light" w:cs="Times New Roman"/>
          <w:color w:val="595959" w:themeColor="text1" w:themeTint="A6"/>
        </w:rPr>
        <w:t xml:space="preserve">This year, </w:t>
      </w:r>
      <w:r w:rsidR="00076EDF" w:rsidRPr="00BE2622">
        <w:rPr>
          <w:rFonts w:ascii="Calibri Light" w:eastAsia="Calibri Light" w:hAnsi="Calibri Light" w:cs="Times New Roman"/>
          <w:color w:val="595959" w:themeColor="text1" w:themeTint="A6"/>
        </w:rPr>
        <w:t xml:space="preserve">these </w:t>
      </w:r>
      <w:r w:rsidR="009C5271" w:rsidRPr="00BE2622">
        <w:rPr>
          <w:rFonts w:ascii="Calibri Light" w:eastAsia="Calibri Light" w:hAnsi="Calibri Light" w:cs="Times New Roman"/>
          <w:color w:val="595959" w:themeColor="text1" w:themeTint="A6"/>
        </w:rPr>
        <w:t xml:space="preserve">investments </w:t>
      </w:r>
      <w:r w:rsidR="00076EDF" w:rsidRPr="00BE2622">
        <w:rPr>
          <w:rFonts w:ascii="Calibri Light" w:eastAsia="Calibri Light" w:hAnsi="Calibri Light" w:cs="Times New Roman"/>
          <w:color w:val="595959" w:themeColor="text1" w:themeTint="A6"/>
        </w:rPr>
        <w:t>refocus</w:t>
      </w:r>
      <w:r>
        <w:rPr>
          <w:rFonts w:ascii="Calibri Light" w:eastAsia="Calibri Light" w:hAnsi="Calibri Light" w:cs="Times New Roman"/>
          <w:color w:val="595959" w:themeColor="text1" w:themeTint="A6"/>
        </w:rPr>
        <w:t>ed</w:t>
      </w:r>
      <w:r w:rsidR="00076EDF" w:rsidRPr="00BE2622">
        <w:rPr>
          <w:rFonts w:ascii="Calibri Light" w:eastAsia="Calibri Light" w:hAnsi="Calibri Light" w:cs="Times New Roman"/>
          <w:color w:val="595959" w:themeColor="text1" w:themeTint="A6"/>
        </w:rPr>
        <w:t xml:space="preserve"> on core activities</w:t>
      </w:r>
      <w:r w:rsidR="009C5271" w:rsidRPr="00BE2622">
        <w:rPr>
          <w:rFonts w:ascii="Calibri Light" w:eastAsia="Calibri Light" w:hAnsi="Calibri Light" w:cs="Times New Roman"/>
          <w:color w:val="595959" w:themeColor="text1" w:themeTint="A6"/>
        </w:rPr>
        <w:t xml:space="preserve"> </w:t>
      </w:r>
      <w:r w:rsidR="00F03D85">
        <w:rPr>
          <w:rFonts w:ascii="Calibri Light" w:eastAsia="Calibri Light" w:hAnsi="Calibri Light" w:cs="Times New Roman"/>
          <w:color w:val="595959" w:themeColor="text1" w:themeTint="A6"/>
        </w:rPr>
        <w:t xml:space="preserve">and </w:t>
      </w:r>
      <w:r w:rsidR="009C5271" w:rsidRPr="00BE2622">
        <w:rPr>
          <w:rFonts w:ascii="Calibri Light" w:eastAsia="Calibri Light" w:hAnsi="Calibri Light" w:cs="Times New Roman"/>
          <w:color w:val="595959" w:themeColor="text1" w:themeTint="A6"/>
        </w:rPr>
        <w:t>deliver</w:t>
      </w:r>
      <w:r w:rsidR="00F03D85">
        <w:rPr>
          <w:rFonts w:ascii="Calibri Light" w:eastAsia="Calibri Light" w:hAnsi="Calibri Light" w:cs="Times New Roman"/>
          <w:color w:val="595959" w:themeColor="text1" w:themeTint="A6"/>
        </w:rPr>
        <w:t>ed</w:t>
      </w:r>
      <w:r w:rsidR="009C5271" w:rsidRPr="00BE2622">
        <w:rPr>
          <w:rFonts w:ascii="Calibri Light" w:eastAsia="Calibri Light" w:hAnsi="Calibri Light" w:cs="Times New Roman"/>
          <w:color w:val="595959" w:themeColor="text1" w:themeTint="A6"/>
        </w:rPr>
        <w:t xml:space="preserve"> strong results as </w:t>
      </w:r>
      <w:r w:rsidR="00CF529A">
        <w:rPr>
          <w:rFonts w:ascii="Calibri Light" w:eastAsia="Calibri Light" w:hAnsi="Calibri Light" w:cs="Times New Roman"/>
          <w:color w:val="595959" w:themeColor="text1" w:themeTint="A6"/>
        </w:rPr>
        <w:t xml:space="preserve">a number of </w:t>
      </w:r>
      <w:r w:rsidR="009C5271" w:rsidRPr="00BE2622">
        <w:rPr>
          <w:rFonts w:ascii="Calibri Light" w:eastAsia="Calibri Light" w:hAnsi="Calibri Light" w:cs="Times New Roman"/>
          <w:color w:val="595959" w:themeColor="text1" w:themeTint="A6"/>
        </w:rPr>
        <w:t>program</w:t>
      </w:r>
      <w:r w:rsidR="00CF529A">
        <w:rPr>
          <w:rFonts w:ascii="Calibri Light" w:eastAsia="Calibri Light" w:hAnsi="Calibri Light" w:cs="Times New Roman"/>
          <w:color w:val="595959" w:themeColor="text1" w:themeTint="A6"/>
        </w:rPr>
        <w:t>s</w:t>
      </w:r>
      <w:r w:rsidR="009C5271" w:rsidRPr="00BE2622">
        <w:rPr>
          <w:rFonts w:ascii="Calibri Light" w:eastAsia="Calibri Light" w:hAnsi="Calibri Light" w:cs="Times New Roman"/>
          <w:color w:val="595959" w:themeColor="text1" w:themeTint="A6"/>
        </w:rPr>
        <w:t xml:space="preserve"> came to an end.  </w:t>
      </w:r>
      <w:r w:rsidR="00CF529A">
        <w:rPr>
          <w:rFonts w:ascii="Calibri Light" w:eastAsia="Calibri Light" w:hAnsi="Calibri Light" w:cs="Times New Roman"/>
          <w:color w:val="595959" w:themeColor="text1" w:themeTint="A6"/>
        </w:rPr>
        <w:t>T</w:t>
      </w:r>
      <w:r w:rsidR="00E61CBE" w:rsidRPr="00BE2622">
        <w:rPr>
          <w:rFonts w:ascii="Calibri Light" w:eastAsia="Calibri Light" w:hAnsi="Calibri Light" w:cs="Times New Roman"/>
          <w:color w:val="595959" w:themeColor="text1" w:themeTint="A6"/>
        </w:rPr>
        <w:t xml:space="preserve">he Access to Quality Education Program (2010-18) met end of program targets relating to access, quality and sustainability, and </w:t>
      </w:r>
      <w:r w:rsidR="00CF31B8">
        <w:rPr>
          <w:rFonts w:ascii="Calibri Light" w:eastAsia="Calibri Light" w:hAnsi="Calibri Light" w:cs="Times New Roman"/>
          <w:color w:val="595959" w:themeColor="text1" w:themeTint="A6"/>
        </w:rPr>
        <w:t>improved education options for children with disabilities</w:t>
      </w:r>
      <w:r w:rsidR="00E61CBE" w:rsidRPr="00BE2622">
        <w:rPr>
          <w:rFonts w:ascii="Calibri Light" w:eastAsia="Calibri Light" w:hAnsi="Calibri Light" w:cs="Times New Roman"/>
          <w:color w:val="595959" w:themeColor="text1" w:themeTint="A6"/>
        </w:rPr>
        <w:t>.  The Fiji</w:t>
      </w:r>
      <w:r w:rsidR="00CF529A">
        <w:rPr>
          <w:rFonts w:ascii="Calibri Light" w:eastAsia="Calibri Light" w:hAnsi="Calibri Light" w:cs="Times New Roman"/>
          <w:color w:val="595959" w:themeColor="text1" w:themeTint="A6"/>
        </w:rPr>
        <w:t xml:space="preserve"> Community Development Program was found to have alleviated social and economic hardship in vulnerable communities and outperformed against end of program targets.  </w:t>
      </w:r>
    </w:p>
    <w:p w14:paraId="644CE410" w14:textId="0981661F" w:rsidR="00D91A85" w:rsidRDefault="00B22F78" w:rsidP="004D1217">
      <w:pPr>
        <w:rPr>
          <w:rFonts w:ascii="Calibri Light" w:eastAsia="Calibri Light" w:hAnsi="Calibri Light" w:cs="Times New Roman"/>
          <w:color w:val="595959" w:themeColor="text1" w:themeTint="A6"/>
        </w:rPr>
      </w:pPr>
      <w:r>
        <w:rPr>
          <w:rFonts w:ascii="Calibri Light" w:eastAsia="Calibri Light" w:hAnsi="Calibri Light" w:cs="Times New Roman"/>
          <w:color w:val="595959" w:themeColor="text1" w:themeTint="A6"/>
        </w:rPr>
        <w:t>In 20</w:t>
      </w:r>
      <w:r w:rsidR="007C657D">
        <w:rPr>
          <w:rFonts w:ascii="Calibri Light" w:eastAsia="Calibri Light" w:hAnsi="Calibri Light" w:cs="Times New Roman"/>
          <w:color w:val="595959" w:themeColor="text1" w:themeTint="A6"/>
        </w:rPr>
        <w:t>1</w:t>
      </w:r>
      <w:r>
        <w:rPr>
          <w:rFonts w:ascii="Calibri Light" w:eastAsia="Calibri Light" w:hAnsi="Calibri Light" w:cs="Times New Roman"/>
          <w:color w:val="595959" w:themeColor="text1" w:themeTint="A6"/>
        </w:rPr>
        <w:t>6-17, w</w:t>
      </w:r>
      <w:r w:rsidR="00076EDF" w:rsidRPr="00BE2622">
        <w:rPr>
          <w:rFonts w:ascii="Calibri Light" w:eastAsia="Calibri Light" w:hAnsi="Calibri Light" w:cs="Times New Roman"/>
          <w:color w:val="595959" w:themeColor="text1" w:themeTint="A6"/>
        </w:rPr>
        <w:t xml:space="preserve">e </w:t>
      </w:r>
      <w:r w:rsidR="00D91A85">
        <w:rPr>
          <w:rFonts w:ascii="Calibri Light" w:eastAsia="Calibri Light" w:hAnsi="Calibri Light" w:cs="Times New Roman"/>
          <w:color w:val="595959" w:themeColor="text1" w:themeTint="A6"/>
        </w:rPr>
        <w:t>completed the</w:t>
      </w:r>
      <w:r w:rsidR="007C6800" w:rsidRPr="00BE2622">
        <w:rPr>
          <w:rFonts w:ascii="Calibri Light" w:eastAsia="Calibri Light" w:hAnsi="Calibri Light" w:cs="Times New Roman"/>
          <w:color w:val="595959" w:themeColor="text1" w:themeTint="A6"/>
        </w:rPr>
        <w:t xml:space="preserve"> </w:t>
      </w:r>
      <w:r w:rsidR="00F57255">
        <w:rPr>
          <w:rFonts w:ascii="Calibri Light" w:eastAsia="Calibri Light" w:hAnsi="Calibri Light" w:cs="Times New Roman"/>
          <w:color w:val="595959" w:themeColor="text1" w:themeTint="A6"/>
        </w:rPr>
        <w:t xml:space="preserve">implementation </w:t>
      </w:r>
      <w:r w:rsidR="007C6800" w:rsidRPr="00BE2622">
        <w:rPr>
          <w:rFonts w:ascii="Calibri Light" w:eastAsia="Calibri Light" w:hAnsi="Calibri Light" w:cs="Times New Roman"/>
          <w:color w:val="595959" w:themeColor="text1" w:themeTint="A6"/>
        </w:rPr>
        <w:t xml:space="preserve">of Australia’s $15 million </w:t>
      </w:r>
      <w:r>
        <w:rPr>
          <w:rFonts w:ascii="Calibri Light" w:eastAsia="Calibri Light" w:hAnsi="Calibri Light" w:cs="Times New Roman"/>
          <w:color w:val="595959" w:themeColor="text1" w:themeTint="A6"/>
        </w:rPr>
        <w:t xml:space="preserve">TC Winston </w:t>
      </w:r>
      <w:r w:rsidR="007C6800" w:rsidRPr="00BE2622">
        <w:rPr>
          <w:rFonts w:ascii="Calibri Light" w:eastAsia="Calibri Light" w:hAnsi="Calibri Light" w:cs="Times New Roman"/>
          <w:color w:val="595959" w:themeColor="text1" w:themeTint="A6"/>
        </w:rPr>
        <w:t xml:space="preserve">response package and </w:t>
      </w:r>
      <w:r w:rsidR="007C657D">
        <w:rPr>
          <w:rFonts w:ascii="Calibri Light" w:eastAsia="Calibri Light" w:hAnsi="Calibri Light" w:cs="Times New Roman"/>
          <w:color w:val="595959" w:themeColor="text1" w:themeTint="A6"/>
        </w:rPr>
        <w:t xml:space="preserve">made substantial progress in </w:t>
      </w:r>
      <w:r w:rsidR="00076EDF" w:rsidRPr="00BE2622">
        <w:rPr>
          <w:rFonts w:ascii="Calibri Light" w:eastAsia="Calibri Light" w:hAnsi="Calibri Light" w:cs="Times New Roman"/>
          <w:color w:val="595959" w:themeColor="text1" w:themeTint="A6"/>
        </w:rPr>
        <w:t>deliver</w:t>
      </w:r>
      <w:r w:rsidR="007C657D">
        <w:rPr>
          <w:rFonts w:ascii="Calibri Light" w:eastAsia="Calibri Light" w:hAnsi="Calibri Light" w:cs="Times New Roman"/>
          <w:color w:val="595959" w:themeColor="text1" w:themeTint="A6"/>
        </w:rPr>
        <w:t>ing</w:t>
      </w:r>
      <w:r w:rsidR="00076EDF" w:rsidRPr="00BE2622">
        <w:rPr>
          <w:rFonts w:ascii="Calibri Light" w:eastAsia="Calibri Light" w:hAnsi="Calibri Light" w:cs="Times New Roman"/>
          <w:color w:val="595959" w:themeColor="text1" w:themeTint="A6"/>
        </w:rPr>
        <w:t xml:space="preserve"> Australia’s $20 million </w:t>
      </w:r>
      <w:r w:rsidR="007C657D">
        <w:rPr>
          <w:rFonts w:ascii="Calibri Light" w:eastAsia="Calibri Light" w:hAnsi="Calibri Light" w:cs="Times New Roman"/>
          <w:color w:val="595959" w:themeColor="text1" w:themeTint="A6"/>
        </w:rPr>
        <w:t xml:space="preserve">recovery </w:t>
      </w:r>
      <w:r w:rsidR="00076EDF" w:rsidRPr="00BE2622">
        <w:rPr>
          <w:rFonts w:ascii="Calibri Light" w:eastAsia="Calibri Light" w:hAnsi="Calibri Light" w:cs="Times New Roman"/>
          <w:color w:val="595959" w:themeColor="text1" w:themeTint="A6"/>
        </w:rPr>
        <w:t xml:space="preserve">package.  Notable achievements were made in rebuilding damaged infrastructure, </w:t>
      </w:r>
      <w:r w:rsidR="007C6800" w:rsidRPr="00BE2622">
        <w:rPr>
          <w:rFonts w:ascii="Calibri Light" w:eastAsia="Calibri Light" w:hAnsi="Calibri Light" w:cs="Times New Roman"/>
          <w:color w:val="595959" w:themeColor="text1" w:themeTint="A6"/>
        </w:rPr>
        <w:t xml:space="preserve">with </w:t>
      </w:r>
      <w:r w:rsidR="007C657D">
        <w:rPr>
          <w:rFonts w:ascii="Calibri Light" w:eastAsia="Calibri Light" w:hAnsi="Calibri Light" w:cs="Times New Roman"/>
          <w:color w:val="595959" w:themeColor="text1" w:themeTint="A6"/>
        </w:rPr>
        <w:t xml:space="preserve">repairs to </w:t>
      </w:r>
      <w:r w:rsidR="00A60B10">
        <w:rPr>
          <w:rFonts w:ascii="Calibri Light" w:eastAsia="Calibri Light" w:hAnsi="Calibri Light" w:cs="Times New Roman"/>
          <w:color w:val="595959" w:themeColor="text1" w:themeTint="A6"/>
        </w:rPr>
        <w:t xml:space="preserve">16 </w:t>
      </w:r>
      <w:r w:rsidR="007C657D">
        <w:rPr>
          <w:rFonts w:ascii="Calibri Light" w:eastAsia="Calibri Light" w:hAnsi="Calibri Light" w:cs="Times New Roman"/>
          <w:color w:val="595959" w:themeColor="text1" w:themeTint="A6"/>
        </w:rPr>
        <w:t xml:space="preserve">schools completed and work </w:t>
      </w:r>
      <w:r w:rsidR="00885797">
        <w:rPr>
          <w:rFonts w:ascii="Calibri Light" w:eastAsia="Calibri Light" w:hAnsi="Calibri Light" w:cs="Times New Roman"/>
          <w:color w:val="595959" w:themeColor="text1" w:themeTint="A6"/>
        </w:rPr>
        <w:t xml:space="preserve">rebuilding </w:t>
      </w:r>
      <w:r w:rsidR="007C657D">
        <w:rPr>
          <w:rFonts w:ascii="Calibri Light" w:eastAsia="Calibri Light" w:hAnsi="Calibri Light" w:cs="Times New Roman"/>
          <w:color w:val="595959" w:themeColor="text1" w:themeTint="A6"/>
        </w:rPr>
        <w:t xml:space="preserve">a further </w:t>
      </w:r>
      <w:r w:rsidR="00A60B10">
        <w:rPr>
          <w:rFonts w:ascii="Calibri Light" w:eastAsia="Calibri Light" w:hAnsi="Calibri Light" w:cs="Times New Roman"/>
          <w:color w:val="595959" w:themeColor="text1" w:themeTint="A6"/>
        </w:rPr>
        <w:t xml:space="preserve">18 </w:t>
      </w:r>
      <w:r w:rsidR="00076EDF" w:rsidRPr="00BE2622">
        <w:rPr>
          <w:rFonts w:ascii="Calibri Light" w:eastAsia="Calibri Light" w:hAnsi="Calibri Light" w:cs="Times New Roman"/>
          <w:color w:val="595959" w:themeColor="text1" w:themeTint="A6"/>
        </w:rPr>
        <w:t>schools, a health centre and a major municipal market</w:t>
      </w:r>
      <w:r w:rsidR="007C657D">
        <w:rPr>
          <w:rFonts w:ascii="Calibri Light" w:eastAsia="Calibri Light" w:hAnsi="Calibri Light" w:cs="Times New Roman"/>
          <w:color w:val="595959" w:themeColor="text1" w:themeTint="A6"/>
        </w:rPr>
        <w:t xml:space="preserve"> well underway</w:t>
      </w:r>
      <w:r w:rsidR="00076EDF" w:rsidRPr="00BE2622">
        <w:rPr>
          <w:rFonts w:ascii="Calibri Light" w:eastAsia="Calibri Light" w:hAnsi="Calibri Light" w:cs="Times New Roman"/>
          <w:color w:val="595959" w:themeColor="text1" w:themeTint="A6"/>
        </w:rPr>
        <w:t xml:space="preserve">. </w:t>
      </w:r>
      <w:r w:rsidR="00D91A85">
        <w:rPr>
          <w:rFonts w:ascii="Calibri Light" w:eastAsia="Calibri Light" w:hAnsi="Calibri Light" w:cs="Times New Roman"/>
          <w:color w:val="595959" w:themeColor="text1" w:themeTint="A6"/>
        </w:rPr>
        <w:t xml:space="preserve"> </w:t>
      </w:r>
      <w:r w:rsidR="00076EDF" w:rsidRPr="00BE2622">
        <w:rPr>
          <w:rFonts w:ascii="Calibri Light" w:eastAsia="Calibri Light" w:hAnsi="Calibri Light" w:cs="Times New Roman"/>
          <w:color w:val="595959" w:themeColor="text1" w:themeTint="A6"/>
        </w:rPr>
        <w:t xml:space="preserve">While broadly on track, </w:t>
      </w:r>
      <w:r w:rsidR="00885797">
        <w:rPr>
          <w:rFonts w:ascii="Calibri Light" w:eastAsia="Calibri Light" w:hAnsi="Calibri Light" w:cs="Times New Roman"/>
          <w:color w:val="595959" w:themeColor="text1" w:themeTint="A6"/>
        </w:rPr>
        <w:t xml:space="preserve">progress in constructing </w:t>
      </w:r>
      <w:r w:rsidR="007C657D">
        <w:rPr>
          <w:rFonts w:ascii="Calibri Light" w:eastAsia="Calibri Light" w:hAnsi="Calibri Light" w:cs="Times New Roman"/>
          <w:color w:val="595959" w:themeColor="text1" w:themeTint="A6"/>
        </w:rPr>
        <w:t xml:space="preserve">these </w:t>
      </w:r>
      <w:r w:rsidR="00885797">
        <w:rPr>
          <w:rFonts w:ascii="Calibri Light" w:eastAsia="Calibri Light" w:hAnsi="Calibri Light" w:cs="Times New Roman"/>
          <w:color w:val="595959" w:themeColor="text1" w:themeTint="A6"/>
        </w:rPr>
        <w:t xml:space="preserve">new buildings </w:t>
      </w:r>
      <w:r w:rsidR="007C657D">
        <w:rPr>
          <w:rFonts w:ascii="Calibri Light" w:eastAsia="Calibri Light" w:hAnsi="Calibri Light" w:cs="Times New Roman"/>
          <w:color w:val="595959" w:themeColor="text1" w:themeTint="A6"/>
        </w:rPr>
        <w:t>was</w:t>
      </w:r>
      <w:r w:rsidR="00076EDF" w:rsidRPr="00BE2622">
        <w:rPr>
          <w:rFonts w:ascii="Calibri Light" w:eastAsia="Calibri Light" w:hAnsi="Calibri Light" w:cs="Times New Roman"/>
          <w:color w:val="595959" w:themeColor="text1" w:themeTint="A6"/>
        </w:rPr>
        <w:t xml:space="preserve"> delayed by </w:t>
      </w:r>
      <w:r w:rsidR="00885797">
        <w:rPr>
          <w:rFonts w:ascii="Calibri Light" w:eastAsia="Calibri Light" w:hAnsi="Calibri Light" w:cs="Times New Roman"/>
          <w:color w:val="595959" w:themeColor="text1" w:themeTint="A6"/>
        </w:rPr>
        <w:t xml:space="preserve">a range of </w:t>
      </w:r>
      <w:r w:rsidR="00076EDF" w:rsidRPr="00BE2622">
        <w:rPr>
          <w:rFonts w:ascii="Calibri Light" w:eastAsia="Calibri Light" w:hAnsi="Calibri Light" w:cs="Times New Roman"/>
          <w:color w:val="595959" w:themeColor="text1" w:themeTint="A6"/>
        </w:rPr>
        <w:t>challenges</w:t>
      </w:r>
      <w:r w:rsidR="00885797">
        <w:rPr>
          <w:rFonts w:ascii="Calibri Light" w:eastAsia="Calibri Light" w:hAnsi="Calibri Light" w:cs="Times New Roman"/>
          <w:color w:val="595959" w:themeColor="text1" w:themeTint="A6"/>
        </w:rPr>
        <w:t xml:space="preserve">, including </w:t>
      </w:r>
      <w:r w:rsidR="00076EDF" w:rsidRPr="00BE2622">
        <w:rPr>
          <w:rFonts w:ascii="Calibri Light" w:eastAsia="Calibri Light" w:hAnsi="Calibri Light" w:cs="Times New Roman"/>
          <w:color w:val="595959" w:themeColor="text1" w:themeTint="A6"/>
        </w:rPr>
        <w:t xml:space="preserve">material shortages and bad weather.  </w:t>
      </w:r>
      <w:r w:rsidR="001F5659">
        <w:rPr>
          <w:rFonts w:ascii="Calibri Light" w:eastAsia="Calibri Light" w:hAnsi="Calibri Light" w:cs="Times New Roman"/>
          <w:color w:val="595959" w:themeColor="text1" w:themeTint="A6"/>
        </w:rPr>
        <w:t>We now expect this work to be completed in 2017-18.</w:t>
      </w:r>
    </w:p>
    <w:p w14:paraId="5C095224" w14:textId="6DDF0DE9" w:rsidR="00076EDF" w:rsidRPr="00BE2622" w:rsidRDefault="00B607B5" w:rsidP="004D1217">
      <w:pPr>
        <w:rPr>
          <w:rFonts w:ascii="Calibri Light" w:eastAsia="Calibri Light" w:hAnsi="Calibri Light" w:cs="Times New Roman"/>
          <w:color w:val="595959" w:themeColor="text1" w:themeTint="A6"/>
        </w:rPr>
      </w:pPr>
      <w:r>
        <w:rPr>
          <w:rFonts w:ascii="Calibri Light" w:eastAsia="Calibri Light" w:hAnsi="Calibri Light" w:cs="Times New Roman"/>
          <w:color w:val="595959" w:themeColor="text1" w:themeTint="A6"/>
        </w:rPr>
        <w:t>We also strengthened our work on disaster risk reduction and resilience activities</w:t>
      </w:r>
      <w:r w:rsidR="00F03D85">
        <w:rPr>
          <w:rFonts w:ascii="Calibri Light" w:eastAsia="Calibri Light" w:hAnsi="Calibri Light" w:cs="Times New Roman"/>
          <w:color w:val="595959" w:themeColor="text1" w:themeTint="A6"/>
        </w:rPr>
        <w:t>,</w:t>
      </w:r>
      <w:r>
        <w:rPr>
          <w:rFonts w:ascii="Calibri Light" w:eastAsia="Calibri Light" w:hAnsi="Calibri Light" w:cs="Times New Roman"/>
          <w:color w:val="595959" w:themeColor="text1" w:themeTint="A6"/>
        </w:rPr>
        <w:t xml:space="preserve"> and </w:t>
      </w:r>
      <w:r w:rsidR="00076EDF" w:rsidRPr="00BE2622">
        <w:rPr>
          <w:rFonts w:ascii="Calibri Light" w:eastAsia="Calibri Light" w:hAnsi="Calibri Light" w:cs="Times New Roman"/>
          <w:color w:val="595959" w:themeColor="text1" w:themeTint="A6"/>
        </w:rPr>
        <w:t>support</w:t>
      </w:r>
      <w:r w:rsidR="00F03D85">
        <w:rPr>
          <w:rFonts w:ascii="Calibri Light" w:eastAsia="Calibri Light" w:hAnsi="Calibri Light" w:cs="Times New Roman"/>
          <w:color w:val="595959" w:themeColor="text1" w:themeTint="A6"/>
        </w:rPr>
        <w:t>ed</w:t>
      </w:r>
      <w:r>
        <w:rPr>
          <w:rFonts w:ascii="Calibri Light" w:eastAsia="Calibri Light" w:hAnsi="Calibri Light" w:cs="Times New Roman"/>
          <w:color w:val="595959" w:themeColor="text1" w:themeTint="A6"/>
        </w:rPr>
        <w:t xml:space="preserve"> Fiji’s </w:t>
      </w:r>
      <w:r w:rsidR="00076EDF" w:rsidRPr="00BE2622">
        <w:rPr>
          <w:rFonts w:ascii="Calibri Light" w:eastAsia="Calibri Light" w:hAnsi="Calibri Light" w:cs="Times New Roman"/>
          <w:color w:val="595959" w:themeColor="text1" w:themeTint="A6"/>
        </w:rPr>
        <w:t>Presidency of the 23rd Conference of the Parties to the UN Framework Convention on Climate Change (COP</w:t>
      </w:r>
      <w:r w:rsidR="00D91A85">
        <w:rPr>
          <w:rFonts w:ascii="Calibri Light" w:eastAsia="Calibri Light" w:hAnsi="Calibri Light" w:cs="Times New Roman"/>
          <w:color w:val="595959" w:themeColor="text1" w:themeTint="A6"/>
        </w:rPr>
        <w:t> </w:t>
      </w:r>
      <w:r w:rsidR="00076EDF" w:rsidRPr="00BE2622">
        <w:rPr>
          <w:rFonts w:ascii="Calibri Light" w:eastAsia="Calibri Light" w:hAnsi="Calibri Light" w:cs="Times New Roman"/>
          <w:color w:val="595959" w:themeColor="text1" w:themeTint="A6"/>
        </w:rPr>
        <w:t>23)</w:t>
      </w:r>
      <w:r w:rsidR="00F03D85">
        <w:rPr>
          <w:rFonts w:ascii="Calibri Light" w:eastAsia="Calibri Light" w:hAnsi="Calibri Light" w:cs="Times New Roman"/>
          <w:color w:val="595959" w:themeColor="text1" w:themeTint="A6"/>
        </w:rPr>
        <w:t xml:space="preserve">.  Australia’s $6 million in support for Fiji’s Presidency will </w:t>
      </w:r>
      <w:r>
        <w:rPr>
          <w:rFonts w:ascii="Calibri Light" w:eastAsia="Calibri Light" w:hAnsi="Calibri Light" w:cs="Times New Roman"/>
          <w:color w:val="595959" w:themeColor="text1" w:themeTint="A6"/>
        </w:rPr>
        <w:t xml:space="preserve">help </w:t>
      </w:r>
      <w:r w:rsidR="00F03D85">
        <w:rPr>
          <w:rFonts w:ascii="Calibri Light" w:eastAsia="Calibri Light" w:hAnsi="Calibri Light" w:cs="Times New Roman"/>
          <w:color w:val="595959" w:themeColor="text1" w:themeTint="A6"/>
        </w:rPr>
        <w:t>it</w:t>
      </w:r>
      <w:r w:rsidR="00076EDF" w:rsidRPr="00BE2622">
        <w:rPr>
          <w:rFonts w:ascii="Calibri Light" w:eastAsia="Calibri Light" w:hAnsi="Calibri Light" w:cs="Times New Roman"/>
          <w:color w:val="595959" w:themeColor="text1" w:themeTint="A6"/>
        </w:rPr>
        <w:t xml:space="preserve"> steer international negotiations on the implementation of the Paris Agreement on climate change</w:t>
      </w:r>
      <w:r>
        <w:rPr>
          <w:rFonts w:ascii="Calibri Light" w:eastAsia="Calibri Light" w:hAnsi="Calibri Light" w:cs="Times New Roman"/>
          <w:color w:val="595959" w:themeColor="text1" w:themeTint="A6"/>
        </w:rPr>
        <w:t>.</w:t>
      </w:r>
    </w:p>
    <w:p w14:paraId="750924CA" w14:textId="5ADDC6F1" w:rsidR="00081910" w:rsidRPr="00FE69A2" w:rsidRDefault="00076EDF" w:rsidP="00FE69A2">
      <w:pPr>
        <w:rPr>
          <w:rFonts w:ascii="Calibri Light" w:eastAsia="Calibri Light" w:hAnsi="Calibri Light" w:cs="Times New Roman"/>
          <w:color w:val="595959" w:themeColor="text1" w:themeTint="A6"/>
        </w:rPr>
      </w:pPr>
      <w:r w:rsidRPr="00BE2622">
        <w:rPr>
          <w:rFonts w:ascii="Calibri Light" w:eastAsia="Calibri Light" w:hAnsi="Calibri Light" w:cs="Times New Roman"/>
          <w:color w:val="595959" w:themeColor="text1" w:themeTint="A6"/>
        </w:rPr>
        <w:t xml:space="preserve">In 2016-17 we also laid the foundations for a more relevant and effective aid program in the future.  Our major health and education programs concluded and the design of a new health program was completed, with substantial progress also made in designing a new education program.  </w:t>
      </w:r>
      <w:r w:rsidR="007C657D">
        <w:rPr>
          <w:rFonts w:ascii="Calibri Light" w:eastAsia="Calibri Light" w:hAnsi="Calibri Light" w:cs="Times New Roman"/>
          <w:color w:val="595959" w:themeColor="text1" w:themeTint="A6"/>
        </w:rPr>
        <w:t xml:space="preserve">A new Fiji Program Support Facility, operated by </w:t>
      </w:r>
      <w:r w:rsidRPr="00BE2622">
        <w:rPr>
          <w:rFonts w:ascii="Calibri Light" w:eastAsia="Calibri Light" w:hAnsi="Calibri Light" w:cs="Times New Roman"/>
          <w:color w:val="595959" w:themeColor="text1" w:themeTint="A6"/>
        </w:rPr>
        <w:t>Coffey International</w:t>
      </w:r>
      <w:r w:rsidR="007C657D">
        <w:rPr>
          <w:rFonts w:ascii="Calibri Light" w:eastAsia="Calibri Light" w:hAnsi="Calibri Light" w:cs="Times New Roman"/>
          <w:color w:val="595959" w:themeColor="text1" w:themeTint="A6"/>
        </w:rPr>
        <w:t>,</w:t>
      </w:r>
      <w:r w:rsidRPr="00BE2622">
        <w:rPr>
          <w:rFonts w:ascii="Calibri Light" w:eastAsia="Calibri Light" w:hAnsi="Calibri Light" w:cs="Times New Roman"/>
          <w:color w:val="595959" w:themeColor="text1" w:themeTint="A6"/>
        </w:rPr>
        <w:t xml:space="preserve"> was </w:t>
      </w:r>
      <w:r w:rsidR="007C657D">
        <w:rPr>
          <w:rFonts w:ascii="Calibri Light" w:eastAsia="Calibri Light" w:hAnsi="Calibri Light" w:cs="Times New Roman"/>
          <w:color w:val="595959" w:themeColor="text1" w:themeTint="A6"/>
        </w:rPr>
        <w:t>established</w:t>
      </w:r>
      <w:r w:rsidRPr="00BE2622">
        <w:rPr>
          <w:rFonts w:ascii="Calibri Light" w:eastAsia="Calibri Light" w:hAnsi="Calibri Light" w:cs="Times New Roman"/>
          <w:color w:val="595959" w:themeColor="text1" w:themeTint="A6"/>
        </w:rPr>
        <w:t xml:space="preserve"> to manage </w:t>
      </w:r>
      <w:r w:rsidR="00416106">
        <w:rPr>
          <w:rFonts w:ascii="Calibri Light" w:eastAsia="Calibri Light" w:hAnsi="Calibri Light" w:cs="Times New Roman"/>
          <w:color w:val="595959" w:themeColor="text1" w:themeTint="A6"/>
        </w:rPr>
        <w:t xml:space="preserve">the </w:t>
      </w:r>
      <w:r w:rsidRPr="00BE2622">
        <w:rPr>
          <w:rFonts w:ascii="Calibri Light" w:eastAsia="Calibri Light" w:hAnsi="Calibri Light" w:cs="Times New Roman"/>
          <w:color w:val="595959" w:themeColor="text1" w:themeTint="A6"/>
        </w:rPr>
        <w:t>new health and education programs, as well as our scholarships and community grants programs</w:t>
      </w:r>
      <w:r w:rsidR="00B607B5">
        <w:rPr>
          <w:rFonts w:ascii="Calibri Light" w:eastAsia="Calibri Light" w:hAnsi="Calibri Light" w:cs="Times New Roman"/>
          <w:color w:val="595959" w:themeColor="text1" w:themeTint="A6"/>
        </w:rPr>
        <w:t>.</w:t>
      </w:r>
    </w:p>
    <w:p w14:paraId="7A2A822B" w14:textId="1E79BFF0" w:rsidR="00076EDF" w:rsidRPr="00BE2622" w:rsidRDefault="00076EDF" w:rsidP="00076EDF">
      <w:pPr>
        <w:pStyle w:val="ListBullet"/>
        <w:tabs>
          <w:tab w:val="clear" w:pos="284"/>
          <w:tab w:val="left" w:pos="720"/>
        </w:tabs>
        <w:spacing w:before="360"/>
        <w:rPr>
          <w:color w:val="595959" w:themeColor="text1" w:themeTint="A6"/>
          <w:kern w:val="28"/>
        </w:rPr>
      </w:pPr>
      <w:r w:rsidRPr="00BE2622">
        <w:rPr>
          <w:rFonts w:asciiTheme="majorHAnsi" w:eastAsiaTheme="majorEastAsia" w:hAnsiTheme="majorHAnsi" w:cstheme="majorBidi"/>
          <w:caps/>
          <w:color w:val="595959" w:themeColor="text1" w:themeTint="A6"/>
          <w:sz w:val="38"/>
          <w:szCs w:val="26"/>
          <w:lang w:val="en-GB" w:eastAsia="en-US"/>
        </w:rPr>
        <w:t xml:space="preserve">Context </w:t>
      </w:r>
      <w:r w:rsidRPr="00BE2622">
        <w:rPr>
          <w:rFonts w:asciiTheme="majorHAnsi" w:eastAsiaTheme="majorEastAsia" w:hAnsiTheme="majorHAnsi" w:cstheme="majorBidi"/>
          <w:caps/>
          <w:color w:val="595959" w:themeColor="text1" w:themeTint="A6"/>
          <w:sz w:val="38"/>
          <w:szCs w:val="26"/>
          <w:lang w:val="en-GB" w:eastAsia="en-US"/>
        </w:rPr>
        <w:tab/>
      </w:r>
      <w:r w:rsidRPr="00BE2622">
        <w:rPr>
          <w:rFonts w:ascii="Helvetica" w:hAnsi="Helvetica" w:cs="Arial"/>
          <w:color w:val="595959" w:themeColor="text1" w:themeTint="A6"/>
          <w:kern w:val="28"/>
          <w:sz w:val="32"/>
          <w:szCs w:val="32"/>
        </w:rPr>
        <w:tab/>
      </w:r>
      <w:r w:rsidRPr="00BE2622">
        <w:rPr>
          <w:color w:val="595959" w:themeColor="text1" w:themeTint="A6"/>
          <w:kern w:val="28"/>
        </w:rPr>
        <w:tab/>
      </w:r>
      <w:r w:rsidRPr="00BE2622">
        <w:rPr>
          <w:color w:val="595959" w:themeColor="text1" w:themeTint="A6"/>
          <w:kern w:val="28"/>
        </w:rPr>
        <w:tab/>
      </w:r>
      <w:r w:rsidRPr="00BE2622">
        <w:rPr>
          <w:color w:val="595959" w:themeColor="text1" w:themeTint="A6"/>
          <w:kern w:val="28"/>
        </w:rPr>
        <w:tab/>
      </w:r>
      <w:r w:rsidRPr="00BE2622">
        <w:rPr>
          <w:color w:val="595959" w:themeColor="text1" w:themeTint="A6"/>
          <w:kern w:val="28"/>
        </w:rPr>
        <w:tab/>
      </w:r>
      <w:r w:rsidRPr="00BE2622">
        <w:rPr>
          <w:color w:val="595959" w:themeColor="text1" w:themeTint="A6"/>
          <w:kern w:val="28"/>
        </w:rPr>
        <w:tab/>
      </w:r>
    </w:p>
    <w:p w14:paraId="7A93C584" w14:textId="212586C7" w:rsidR="00DC5784" w:rsidRPr="00BE2622" w:rsidRDefault="007917E1" w:rsidP="00DC5784">
      <w:pPr>
        <w:rPr>
          <w:rFonts w:ascii="Calibri Light" w:hAnsi="Calibri Light"/>
          <w:color w:val="595959" w:themeColor="text1" w:themeTint="A6"/>
        </w:rPr>
      </w:pPr>
      <w:r w:rsidRPr="00BE2622">
        <w:rPr>
          <w:rFonts w:ascii="Calibri Light" w:hAnsi="Calibri Light"/>
          <w:color w:val="595959" w:themeColor="text1" w:themeTint="A6"/>
        </w:rPr>
        <w:t xml:space="preserve">The overarching goal of Australia’s aid program in Fiji is to achieve inclusive economic growth to reduce poverty.  </w:t>
      </w:r>
      <w:r w:rsidR="00DC5784" w:rsidRPr="00BE2622">
        <w:rPr>
          <w:rFonts w:ascii="Calibri Light" w:hAnsi="Calibri Light"/>
          <w:color w:val="595959" w:themeColor="text1" w:themeTint="A6"/>
        </w:rPr>
        <w:t xml:space="preserve">The Aid Investment Plan identifies increased private sector development and improved human development as the two strategic priorities </w:t>
      </w:r>
      <w:r w:rsidRPr="00BE2622">
        <w:rPr>
          <w:rFonts w:ascii="Calibri Light" w:hAnsi="Calibri Light"/>
          <w:color w:val="595959" w:themeColor="text1" w:themeTint="A6"/>
        </w:rPr>
        <w:t>that support this objective</w:t>
      </w:r>
      <w:r w:rsidR="00DC5784" w:rsidRPr="00BE2622">
        <w:rPr>
          <w:rFonts w:ascii="Calibri Light" w:hAnsi="Calibri Light"/>
          <w:color w:val="595959" w:themeColor="text1" w:themeTint="A6"/>
        </w:rPr>
        <w:t>.  Following TC Winston in February 2016, a third strategic priority –</w:t>
      </w:r>
      <w:r w:rsidRPr="00BE2622">
        <w:rPr>
          <w:rFonts w:ascii="Calibri Light" w:hAnsi="Calibri Light"/>
          <w:color w:val="595959" w:themeColor="text1" w:themeTint="A6"/>
        </w:rPr>
        <w:t xml:space="preserve"> </w:t>
      </w:r>
      <w:r w:rsidR="00DC5784" w:rsidRPr="00BE2622">
        <w:rPr>
          <w:rFonts w:ascii="Calibri Light" w:hAnsi="Calibri Light"/>
          <w:color w:val="595959" w:themeColor="text1" w:themeTint="A6"/>
        </w:rPr>
        <w:t xml:space="preserve">TC Winston recovery – was added. </w:t>
      </w:r>
      <w:r w:rsidRPr="00BE2622">
        <w:rPr>
          <w:rFonts w:ascii="Calibri Light" w:hAnsi="Calibri Light"/>
          <w:color w:val="595959" w:themeColor="text1" w:themeTint="A6"/>
        </w:rPr>
        <w:t xml:space="preserve"> </w:t>
      </w:r>
      <w:r w:rsidR="00D91A85">
        <w:rPr>
          <w:rFonts w:ascii="Calibri Light" w:hAnsi="Calibri Light"/>
          <w:color w:val="595959" w:themeColor="text1" w:themeTint="A6"/>
        </w:rPr>
        <w:t xml:space="preserve">With our work on TC Winston recovery expected to end shortly and the Government’s decision in June 2017 to support Fiji’s COP 23 Presidency in June 2017, we will review our objectives and </w:t>
      </w:r>
      <w:r w:rsidR="002B5550">
        <w:rPr>
          <w:rFonts w:ascii="Calibri Light" w:hAnsi="Calibri Light"/>
          <w:color w:val="595959" w:themeColor="text1" w:themeTint="A6"/>
        </w:rPr>
        <w:t xml:space="preserve">Australia’s </w:t>
      </w:r>
      <w:r w:rsidR="00D91A85">
        <w:rPr>
          <w:rFonts w:ascii="Calibri Light" w:hAnsi="Calibri Light"/>
          <w:color w:val="595959" w:themeColor="text1" w:themeTint="A6"/>
        </w:rPr>
        <w:t>Aid Investment Plan in 2017-18</w:t>
      </w:r>
      <w:r w:rsidRPr="00BE2622">
        <w:rPr>
          <w:rFonts w:ascii="Calibri Light" w:hAnsi="Calibri Light"/>
          <w:color w:val="595959" w:themeColor="text1" w:themeTint="A6"/>
        </w:rPr>
        <w:t>.</w:t>
      </w:r>
    </w:p>
    <w:p w14:paraId="0BEBAB2E" w14:textId="49A27763" w:rsidR="007917E1" w:rsidRPr="00BE2622" w:rsidRDefault="007917E1" w:rsidP="007917E1">
      <w:pPr>
        <w:rPr>
          <w:color w:val="595959" w:themeColor="text1" w:themeTint="A6"/>
        </w:rPr>
      </w:pPr>
      <w:r w:rsidRPr="00BE2622">
        <w:rPr>
          <w:color w:val="595959" w:themeColor="text1" w:themeTint="A6"/>
        </w:rPr>
        <w:t xml:space="preserve">Fiji faces development challenges associated with geographic isolation, </w:t>
      </w:r>
      <w:r w:rsidR="002B5550">
        <w:rPr>
          <w:color w:val="595959" w:themeColor="text1" w:themeTint="A6"/>
        </w:rPr>
        <w:t>a</w:t>
      </w:r>
      <w:r w:rsidRPr="00BE2622">
        <w:rPr>
          <w:color w:val="595959" w:themeColor="text1" w:themeTint="A6"/>
        </w:rPr>
        <w:t xml:space="preserve"> narrow economic base and a high regulatory burden.  The Fiji Government continues to prioritise economic diversification and the growth of small and medium enterprises.  It also seeks to implement sustainable improvements to essential services such as health</w:t>
      </w:r>
      <w:r w:rsidR="00F64058">
        <w:rPr>
          <w:color w:val="595959" w:themeColor="text1" w:themeTint="A6"/>
        </w:rPr>
        <w:t xml:space="preserve"> and</w:t>
      </w:r>
      <w:r w:rsidRPr="00BE2622">
        <w:rPr>
          <w:color w:val="595959" w:themeColor="text1" w:themeTint="A6"/>
        </w:rPr>
        <w:t xml:space="preserve"> education.</w:t>
      </w:r>
      <w:r w:rsidR="00070647">
        <w:rPr>
          <w:color w:val="595959" w:themeColor="text1" w:themeTint="A6"/>
        </w:rPr>
        <w:t xml:space="preserve">  </w:t>
      </w:r>
      <w:r w:rsidRPr="00BE2622">
        <w:rPr>
          <w:color w:val="595959" w:themeColor="text1" w:themeTint="A6"/>
        </w:rPr>
        <w:t xml:space="preserve">Fiji </w:t>
      </w:r>
      <w:r w:rsidR="002B5550">
        <w:rPr>
          <w:color w:val="595959" w:themeColor="text1" w:themeTint="A6"/>
        </w:rPr>
        <w:t xml:space="preserve">will </w:t>
      </w:r>
      <w:r w:rsidRPr="00BE2622">
        <w:rPr>
          <w:color w:val="595959" w:themeColor="text1" w:themeTint="A6"/>
        </w:rPr>
        <w:t>hold a census in September 2017 and a national election in 2018.</w:t>
      </w:r>
    </w:p>
    <w:p w14:paraId="1D45E775" w14:textId="152B7153" w:rsidR="00076EDF" w:rsidRPr="00BE2622" w:rsidRDefault="007917E1" w:rsidP="000A54F9">
      <w:pPr>
        <w:rPr>
          <w:color w:val="595959" w:themeColor="text1" w:themeTint="A6"/>
        </w:rPr>
      </w:pPr>
      <w:r w:rsidRPr="00BE2622">
        <w:rPr>
          <w:color w:val="595959" w:themeColor="text1" w:themeTint="A6"/>
        </w:rPr>
        <w:lastRenderedPageBreak/>
        <w:t>T</w:t>
      </w:r>
      <w:r w:rsidR="00FB0AE4" w:rsidRPr="00BE2622">
        <w:rPr>
          <w:color w:val="595959" w:themeColor="text1" w:themeTint="A6"/>
        </w:rPr>
        <w:t xml:space="preserve">he foundations of Fiji’s economy are solid and </w:t>
      </w:r>
      <w:r w:rsidR="00076EDF" w:rsidRPr="00BE2622">
        <w:rPr>
          <w:color w:val="595959" w:themeColor="text1" w:themeTint="A6"/>
        </w:rPr>
        <w:t xml:space="preserve">Fiji registered its seventh straight year of economic growth in 2016.  A recent </w:t>
      </w:r>
      <w:r w:rsidR="002B5550">
        <w:rPr>
          <w:color w:val="595959" w:themeColor="text1" w:themeTint="A6"/>
        </w:rPr>
        <w:t xml:space="preserve">(2017) </w:t>
      </w:r>
      <w:r w:rsidR="00076EDF" w:rsidRPr="00BE2622">
        <w:rPr>
          <w:color w:val="595959" w:themeColor="text1" w:themeTint="A6"/>
        </w:rPr>
        <w:t>World Bank assessment found that extreme poverty is rare, with only 2.3 percent of the population living on less than US</w:t>
      </w:r>
      <w:r w:rsidR="00081910">
        <w:rPr>
          <w:color w:val="595959" w:themeColor="text1" w:themeTint="A6"/>
        </w:rPr>
        <w:t>D</w:t>
      </w:r>
      <w:r w:rsidR="00076EDF" w:rsidRPr="00BE2622">
        <w:rPr>
          <w:color w:val="595959" w:themeColor="text1" w:themeTint="A6"/>
        </w:rPr>
        <w:t>1.40 per day.</w:t>
      </w:r>
      <w:r w:rsidR="00467448">
        <w:rPr>
          <w:rStyle w:val="FootnoteReference"/>
          <w:color w:val="595959" w:themeColor="text1" w:themeTint="A6"/>
        </w:rPr>
        <w:footnoteReference w:id="2"/>
      </w:r>
      <w:r w:rsidR="00076EDF" w:rsidRPr="00BE2622">
        <w:rPr>
          <w:color w:val="595959" w:themeColor="text1" w:themeTint="A6"/>
        </w:rPr>
        <w:t xml:space="preserve">  </w:t>
      </w:r>
      <w:r w:rsidR="00FB0AE4" w:rsidRPr="00BE2622">
        <w:rPr>
          <w:color w:val="595959" w:themeColor="text1" w:themeTint="A6"/>
        </w:rPr>
        <w:t>However, a</w:t>
      </w:r>
      <w:r w:rsidR="00076EDF" w:rsidRPr="00BE2622">
        <w:rPr>
          <w:color w:val="595959" w:themeColor="text1" w:themeTint="A6"/>
        </w:rPr>
        <w:t xml:space="preserve">ccording to the national definition of poverty, </w:t>
      </w:r>
      <w:r w:rsidR="00322767" w:rsidRPr="00BE2622">
        <w:rPr>
          <w:color w:val="595959" w:themeColor="text1" w:themeTint="A6"/>
        </w:rPr>
        <w:t>34</w:t>
      </w:r>
      <w:r w:rsidR="00076EDF" w:rsidRPr="00BE2622">
        <w:rPr>
          <w:color w:val="595959" w:themeColor="text1" w:themeTint="A6"/>
        </w:rPr>
        <w:t xml:space="preserve"> percent of the population live below the poverty line</w:t>
      </w:r>
      <w:r w:rsidR="00322767" w:rsidRPr="00BE2622">
        <w:rPr>
          <w:color w:val="595959" w:themeColor="text1" w:themeTint="A6"/>
        </w:rPr>
        <w:t xml:space="preserve"> and the incidence of poverty is moderately higher for women (37 percent) </w:t>
      </w:r>
      <w:r w:rsidR="002B5550">
        <w:rPr>
          <w:color w:val="595959" w:themeColor="text1" w:themeTint="A6"/>
        </w:rPr>
        <w:t xml:space="preserve">than </w:t>
      </w:r>
      <w:r w:rsidR="00322767" w:rsidRPr="00BE2622">
        <w:rPr>
          <w:color w:val="595959" w:themeColor="text1" w:themeTint="A6"/>
        </w:rPr>
        <w:t>men (33 percent).</w:t>
      </w:r>
      <w:r w:rsidR="00467448">
        <w:rPr>
          <w:rStyle w:val="FootnoteReference"/>
          <w:color w:val="595959" w:themeColor="text1" w:themeTint="A6"/>
        </w:rPr>
        <w:footnoteReference w:id="3"/>
      </w:r>
      <w:r w:rsidR="00322767" w:rsidRPr="00BE2622">
        <w:rPr>
          <w:color w:val="595959" w:themeColor="text1" w:themeTint="A6"/>
        </w:rPr>
        <w:t xml:space="preserve"> </w:t>
      </w:r>
      <w:r w:rsidR="00FB0AE4" w:rsidRPr="00BE2622">
        <w:rPr>
          <w:color w:val="595959" w:themeColor="text1" w:themeTint="A6"/>
        </w:rPr>
        <w:t xml:space="preserve"> </w:t>
      </w:r>
    </w:p>
    <w:p w14:paraId="53EF5B21" w14:textId="74B40428" w:rsidR="007917E1" w:rsidRPr="00BE2622" w:rsidRDefault="007917E1" w:rsidP="007917E1">
      <w:pPr>
        <w:rPr>
          <w:color w:val="595959" w:themeColor="text1" w:themeTint="A6"/>
        </w:rPr>
      </w:pPr>
      <w:r w:rsidRPr="00BE2622">
        <w:rPr>
          <w:color w:val="595959" w:themeColor="text1" w:themeTint="A6"/>
        </w:rPr>
        <w:t>Fiji is highly vulnerable to the impacts of climate change</w:t>
      </w:r>
      <w:r w:rsidR="00467448">
        <w:rPr>
          <w:color w:val="595959" w:themeColor="text1" w:themeTint="A6"/>
        </w:rPr>
        <w:t xml:space="preserve"> and natural disasters</w:t>
      </w:r>
      <w:r w:rsidRPr="00BE2622">
        <w:rPr>
          <w:color w:val="595959" w:themeColor="text1" w:themeTint="A6"/>
        </w:rPr>
        <w:t>, a</w:t>
      </w:r>
      <w:r w:rsidR="00467448">
        <w:rPr>
          <w:color w:val="595959" w:themeColor="text1" w:themeTint="A6"/>
        </w:rPr>
        <w:t>s TC Winston demonstrated</w:t>
      </w:r>
      <w:r w:rsidRPr="00BE2622">
        <w:rPr>
          <w:color w:val="595959" w:themeColor="text1" w:themeTint="A6"/>
        </w:rPr>
        <w:t xml:space="preserve">.  </w:t>
      </w:r>
      <w:r w:rsidR="00AE2C00">
        <w:rPr>
          <w:color w:val="595959" w:themeColor="text1" w:themeTint="A6"/>
        </w:rPr>
        <w:t xml:space="preserve">The Government of Fiji </w:t>
      </w:r>
      <w:r w:rsidR="00606345">
        <w:rPr>
          <w:color w:val="595959" w:themeColor="text1" w:themeTint="A6"/>
        </w:rPr>
        <w:t>has taken on</w:t>
      </w:r>
      <w:r w:rsidR="00AE2C00">
        <w:rPr>
          <w:color w:val="595959" w:themeColor="text1" w:themeTint="A6"/>
        </w:rPr>
        <w:t xml:space="preserve"> a key </w:t>
      </w:r>
      <w:r w:rsidR="00AE2C00" w:rsidRPr="00BE2622">
        <w:rPr>
          <w:color w:val="595959" w:themeColor="text1" w:themeTint="A6"/>
        </w:rPr>
        <w:t>leadership role in international efforts to address climate change</w:t>
      </w:r>
      <w:r w:rsidR="00AE2C00">
        <w:rPr>
          <w:color w:val="595959" w:themeColor="text1" w:themeTint="A6"/>
        </w:rPr>
        <w:t xml:space="preserve"> by assuming the Presidency of </w:t>
      </w:r>
      <w:r w:rsidR="00AE2C00" w:rsidRPr="00BE2622">
        <w:rPr>
          <w:color w:val="595959" w:themeColor="text1" w:themeTint="A6"/>
        </w:rPr>
        <w:t>COP</w:t>
      </w:r>
      <w:r w:rsidR="007D3F50">
        <w:rPr>
          <w:color w:val="595959" w:themeColor="text1" w:themeTint="A6"/>
        </w:rPr>
        <w:t xml:space="preserve"> </w:t>
      </w:r>
      <w:r w:rsidR="00AE2C00" w:rsidRPr="00BE2622">
        <w:rPr>
          <w:color w:val="595959" w:themeColor="text1" w:themeTint="A6"/>
        </w:rPr>
        <w:t xml:space="preserve">23 </w:t>
      </w:r>
      <w:r w:rsidR="00070647">
        <w:rPr>
          <w:color w:val="595959" w:themeColor="text1" w:themeTint="A6"/>
        </w:rPr>
        <w:t xml:space="preserve">to be held </w:t>
      </w:r>
      <w:r w:rsidR="00AE2C00" w:rsidRPr="00BE2622">
        <w:rPr>
          <w:color w:val="595959" w:themeColor="text1" w:themeTint="A6"/>
        </w:rPr>
        <w:t>in Bonn, Germany, in November 2017.</w:t>
      </w:r>
    </w:p>
    <w:p w14:paraId="6056D93A" w14:textId="212505EA" w:rsidR="009022A0" w:rsidRPr="00BE2622" w:rsidRDefault="007917E1" w:rsidP="009022A0">
      <w:pPr>
        <w:rPr>
          <w:color w:val="595959" w:themeColor="text1" w:themeTint="A6"/>
        </w:rPr>
      </w:pPr>
      <w:r w:rsidRPr="00BE2622">
        <w:rPr>
          <w:color w:val="595959" w:themeColor="text1" w:themeTint="A6"/>
        </w:rPr>
        <w:t>Achieving gender equality is a priority of the Fiji Government</w:t>
      </w:r>
      <w:r w:rsidR="008F1063">
        <w:rPr>
          <w:color w:val="595959" w:themeColor="text1" w:themeTint="A6"/>
        </w:rPr>
        <w:t>;</w:t>
      </w:r>
      <w:r w:rsidRPr="00BE2622">
        <w:rPr>
          <w:color w:val="595959" w:themeColor="text1" w:themeTint="A6"/>
        </w:rPr>
        <w:t xml:space="preserve"> however</w:t>
      </w:r>
      <w:r w:rsidR="008F1063">
        <w:rPr>
          <w:color w:val="595959" w:themeColor="text1" w:themeTint="A6"/>
        </w:rPr>
        <w:t>,</w:t>
      </w:r>
      <w:r w:rsidRPr="00BE2622">
        <w:rPr>
          <w:color w:val="595959" w:themeColor="text1" w:themeTint="A6"/>
        </w:rPr>
        <w:t xml:space="preserve"> </w:t>
      </w:r>
      <w:r w:rsidR="009022A0" w:rsidRPr="00A418B1">
        <w:rPr>
          <w:color w:val="595959" w:themeColor="text1" w:themeTint="A6"/>
        </w:rPr>
        <w:t>patriarchal practices</w:t>
      </w:r>
      <w:r w:rsidR="00DD4449" w:rsidRPr="00BE2622">
        <w:rPr>
          <w:color w:val="595959" w:themeColor="text1" w:themeTint="A6"/>
        </w:rPr>
        <w:t xml:space="preserve">, perpetuated by discrimination </w:t>
      </w:r>
      <w:r w:rsidRPr="00BE2622">
        <w:rPr>
          <w:color w:val="595959" w:themeColor="text1" w:themeTint="A6"/>
        </w:rPr>
        <w:t xml:space="preserve">and unequal access to resources, constrain </w:t>
      </w:r>
      <w:r w:rsidR="009022A0" w:rsidRPr="00A418B1">
        <w:rPr>
          <w:color w:val="595959" w:themeColor="text1" w:themeTint="A6"/>
        </w:rPr>
        <w:t>women</w:t>
      </w:r>
      <w:r w:rsidRPr="00BE2622">
        <w:rPr>
          <w:color w:val="595959" w:themeColor="text1" w:themeTint="A6"/>
        </w:rPr>
        <w:t xml:space="preserve">’s participation </w:t>
      </w:r>
      <w:r w:rsidR="009022A0" w:rsidRPr="00A418B1">
        <w:rPr>
          <w:color w:val="595959" w:themeColor="text1" w:themeTint="A6"/>
        </w:rPr>
        <w:t>in decision</w:t>
      </w:r>
      <w:r w:rsidR="008F1063">
        <w:rPr>
          <w:color w:val="595959" w:themeColor="text1" w:themeTint="A6"/>
        </w:rPr>
        <w:t>-</w:t>
      </w:r>
      <w:r w:rsidR="009022A0" w:rsidRPr="00A418B1">
        <w:rPr>
          <w:color w:val="595959" w:themeColor="text1" w:themeTint="A6"/>
        </w:rPr>
        <w:t>making</w:t>
      </w:r>
      <w:r w:rsidRPr="00BE2622">
        <w:rPr>
          <w:color w:val="595959" w:themeColor="text1" w:themeTint="A6"/>
        </w:rPr>
        <w:t xml:space="preserve">.  </w:t>
      </w:r>
      <w:r w:rsidR="00DD4449" w:rsidRPr="00BE2622">
        <w:rPr>
          <w:color w:val="595959" w:themeColor="text1" w:themeTint="A6"/>
        </w:rPr>
        <w:t>R</w:t>
      </w:r>
      <w:r w:rsidRPr="00BE2622">
        <w:rPr>
          <w:color w:val="595959" w:themeColor="text1" w:themeTint="A6"/>
        </w:rPr>
        <w:t>ates of violence against women</w:t>
      </w:r>
      <w:r w:rsidR="00DD4449" w:rsidRPr="00BE2622">
        <w:rPr>
          <w:color w:val="595959" w:themeColor="text1" w:themeTint="A6"/>
        </w:rPr>
        <w:t xml:space="preserve"> remain unacceptably high</w:t>
      </w:r>
      <w:r w:rsidRPr="00BE2622">
        <w:rPr>
          <w:color w:val="595959" w:themeColor="text1" w:themeTint="A6"/>
        </w:rPr>
        <w:t>.</w:t>
      </w:r>
    </w:p>
    <w:p w14:paraId="11043147" w14:textId="58423070" w:rsidR="00F84993" w:rsidRDefault="004D1217" w:rsidP="008C660F">
      <w:pPr>
        <w:spacing w:line="240" w:lineRule="auto"/>
        <w:rPr>
          <w:color w:val="595959" w:themeColor="text1" w:themeTint="A6"/>
        </w:rPr>
      </w:pPr>
      <w:r>
        <w:rPr>
          <w:color w:val="595959" w:themeColor="text1" w:themeTint="A6"/>
        </w:rPr>
        <w:t>O</w:t>
      </w:r>
      <w:r w:rsidR="00B177D1">
        <w:rPr>
          <w:color w:val="595959" w:themeColor="text1" w:themeTint="A6"/>
        </w:rPr>
        <w:t xml:space="preserve">verseas </w:t>
      </w:r>
      <w:r w:rsidR="00076EDF" w:rsidRPr="00BE2622">
        <w:rPr>
          <w:color w:val="595959" w:themeColor="text1" w:themeTint="A6"/>
        </w:rPr>
        <w:t xml:space="preserve">Development </w:t>
      </w:r>
      <w:r w:rsidR="00B177D1">
        <w:rPr>
          <w:color w:val="595959" w:themeColor="text1" w:themeTint="A6"/>
        </w:rPr>
        <w:t>A</w:t>
      </w:r>
      <w:r w:rsidR="00076EDF" w:rsidRPr="00BE2622">
        <w:rPr>
          <w:color w:val="595959" w:themeColor="text1" w:themeTint="A6"/>
        </w:rPr>
        <w:t xml:space="preserve">ssistance </w:t>
      </w:r>
      <w:r w:rsidR="00B177D1">
        <w:rPr>
          <w:color w:val="595959" w:themeColor="text1" w:themeTint="A6"/>
        </w:rPr>
        <w:t xml:space="preserve">(ODA) </w:t>
      </w:r>
      <w:r w:rsidR="00076EDF" w:rsidRPr="00BE2622">
        <w:rPr>
          <w:color w:val="595959" w:themeColor="text1" w:themeTint="A6"/>
        </w:rPr>
        <w:t xml:space="preserve">constitutes a relatively minor proportion of Fiji's GNI at approximately </w:t>
      </w:r>
      <w:r>
        <w:rPr>
          <w:color w:val="595959" w:themeColor="text1" w:themeTint="A6"/>
        </w:rPr>
        <w:t xml:space="preserve">2.5 </w:t>
      </w:r>
      <w:r w:rsidR="00076EDF" w:rsidRPr="00BE2622">
        <w:rPr>
          <w:color w:val="595959" w:themeColor="text1" w:themeTint="A6"/>
        </w:rPr>
        <w:t>per cent</w:t>
      </w:r>
      <w:r w:rsidRPr="008C660F">
        <w:footnoteReference w:id="4"/>
      </w:r>
      <w:r w:rsidR="00076EDF" w:rsidRPr="00BE2622">
        <w:rPr>
          <w:color w:val="595959" w:themeColor="text1" w:themeTint="A6"/>
        </w:rPr>
        <w:t>.</w:t>
      </w:r>
      <w:r w:rsidR="00CE2871" w:rsidRPr="00BE2622">
        <w:rPr>
          <w:color w:val="595959" w:themeColor="text1" w:themeTint="A6"/>
        </w:rPr>
        <w:t xml:space="preserve">  Australia focuses its aid program on sectors where it can have the most impact and strives to avoid duplication amongst the work of donors.  Australia is Fiji’s lead</w:t>
      </w:r>
      <w:r w:rsidR="00F84993">
        <w:rPr>
          <w:color w:val="595959" w:themeColor="text1" w:themeTint="A6"/>
        </w:rPr>
        <w:t>ing</w:t>
      </w:r>
      <w:r w:rsidR="00CE2871" w:rsidRPr="00BE2622">
        <w:rPr>
          <w:color w:val="595959" w:themeColor="text1" w:themeTint="A6"/>
        </w:rPr>
        <w:t xml:space="preserve"> donor </w:t>
      </w:r>
      <w:r w:rsidR="00DD4449" w:rsidRPr="00BE2622">
        <w:rPr>
          <w:color w:val="595959" w:themeColor="text1" w:themeTint="A6"/>
        </w:rPr>
        <w:t xml:space="preserve">to the health, </w:t>
      </w:r>
      <w:r w:rsidR="00CE2871" w:rsidRPr="00BE2622">
        <w:rPr>
          <w:color w:val="595959" w:themeColor="text1" w:themeTint="A6"/>
        </w:rPr>
        <w:t>education</w:t>
      </w:r>
      <w:r w:rsidR="00DD4449" w:rsidRPr="00BE2622">
        <w:rPr>
          <w:color w:val="595959" w:themeColor="text1" w:themeTint="A6"/>
        </w:rPr>
        <w:t xml:space="preserve"> and civil society sectors</w:t>
      </w:r>
      <w:r w:rsidR="00F84993">
        <w:rPr>
          <w:color w:val="595959" w:themeColor="text1" w:themeTint="A6"/>
        </w:rPr>
        <w:t xml:space="preserve"> and a significant donor in the areas of </w:t>
      </w:r>
      <w:r w:rsidR="00CE2871" w:rsidRPr="00BE2622">
        <w:rPr>
          <w:color w:val="595959" w:themeColor="text1" w:themeTint="A6"/>
        </w:rPr>
        <w:t>private sector development, good governance and gender equality.  These areas align with Fiji's major development challenges</w:t>
      </w:r>
      <w:r w:rsidR="002B5550">
        <w:rPr>
          <w:color w:val="595959" w:themeColor="text1" w:themeTint="A6"/>
        </w:rPr>
        <w:t>.</w:t>
      </w:r>
    </w:p>
    <w:p w14:paraId="6C725485" w14:textId="32D5CA85" w:rsidR="00EE2EA8" w:rsidRDefault="00EE2EA8" w:rsidP="008C660F">
      <w:pPr>
        <w:spacing w:line="240" w:lineRule="auto"/>
        <w:rPr>
          <w:color w:val="595959" w:themeColor="text1" w:themeTint="A6"/>
        </w:rPr>
      </w:pPr>
      <w:r>
        <w:rPr>
          <w:color w:val="595959" w:themeColor="text1" w:themeTint="A6"/>
        </w:rPr>
        <w:t>Fiji is currently preparing a National Development Plan that will include a comprehensive development plan for the next five years and a 20-year strategic development framework.  Once finalised, we will use this Plan as the basis for an Aid Partnership arrangement with the Government of Fiji when finalised.</w:t>
      </w:r>
    </w:p>
    <w:p w14:paraId="1F94E5D8" w14:textId="5507A0B6" w:rsidR="00CE2871" w:rsidRPr="00BE2622" w:rsidRDefault="00076EDF" w:rsidP="00CE2871">
      <w:pPr>
        <w:pStyle w:val="ListBullet"/>
        <w:tabs>
          <w:tab w:val="clear" w:pos="284"/>
          <w:tab w:val="left" w:pos="720"/>
        </w:tabs>
        <w:spacing w:before="360"/>
        <w:rPr>
          <w:color w:val="595959" w:themeColor="text1" w:themeTint="A6"/>
        </w:rPr>
      </w:pPr>
      <w:r w:rsidRPr="00BE2622">
        <w:rPr>
          <w:rFonts w:asciiTheme="majorHAnsi" w:eastAsiaTheme="majorEastAsia" w:hAnsiTheme="majorHAnsi" w:cstheme="majorBidi"/>
          <w:caps/>
          <w:color w:val="595959" w:themeColor="text1" w:themeTint="A6"/>
          <w:sz w:val="38"/>
          <w:szCs w:val="26"/>
          <w:lang w:val="en-GB" w:eastAsia="en-US"/>
        </w:rPr>
        <w:t>Expenditure</w:t>
      </w:r>
    </w:p>
    <w:p w14:paraId="2E424E43" w14:textId="37BFF291" w:rsidR="00076EDF" w:rsidRPr="00BE2622" w:rsidRDefault="00076EDF" w:rsidP="00076EDF">
      <w:pPr>
        <w:rPr>
          <w:color w:val="595959" w:themeColor="text1" w:themeTint="A6"/>
        </w:rPr>
      </w:pPr>
      <w:r w:rsidRPr="00BE2622">
        <w:rPr>
          <w:color w:val="595959" w:themeColor="text1" w:themeTint="A6"/>
        </w:rPr>
        <w:t>In 2016-17</w:t>
      </w:r>
      <w:r w:rsidR="007E131D" w:rsidRPr="00BE2622">
        <w:rPr>
          <w:color w:val="595959" w:themeColor="text1" w:themeTint="A6"/>
        </w:rPr>
        <w:t>,</w:t>
      </w:r>
      <w:r w:rsidRPr="00BE2622">
        <w:rPr>
          <w:color w:val="595959" w:themeColor="text1" w:themeTint="A6"/>
        </w:rPr>
        <w:t xml:space="preserve"> Australia delivered $76.7 million in ODA to Fiji as planned. </w:t>
      </w:r>
      <w:r w:rsidR="007E131D" w:rsidRPr="00BE2622">
        <w:rPr>
          <w:color w:val="595959" w:themeColor="text1" w:themeTint="A6"/>
        </w:rPr>
        <w:t xml:space="preserve"> </w:t>
      </w:r>
      <w:r w:rsidRPr="00BE2622">
        <w:rPr>
          <w:color w:val="595959" w:themeColor="text1" w:themeTint="A6"/>
        </w:rPr>
        <w:t xml:space="preserve">There were some reallocations within the ODA budget, largely as a result of slower than anticipated progress in rebuilding infrastructure damaged by TC Winston. </w:t>
      </w:r>
      <w:r w:rsidR="007E131D" w:rsidRPr="00BE2622">
        <w:rPr>
          <w:color w:val="595959" w:themeColor="text1" w:themeTint="A6"/>
        </w:rPr>
        <w:t xml:space="preserve"> </w:t>
      </w:r>
      <w:r w:rsidRPr="00BE2622">
        <w:rPr>
          <w:color w:val="595959" w:themeColor="text1" w:themeTint="A6"/>
        </w:rPr>
        <w:t xml:space="preserve">The remaining $9.6 million balance of Australia’s $35 million TC Winston expenditure package </w:t>
      </w:r>
      <w:r w:rsidR="00F84993">
        <w:rPr>
          <w:color w:val="595959" w:themeColor="text1" w:themeTint="A6"/>
        </w:rPr>
        <w:t xml:space="preserve">(originally expected to be fully disbursed by the end of 2016-17) </w:t>
      </w:r>
      <w:r w:rsidRPr="00BE2622">
        <w:rPr>
          <w:color w:val="595959" w:themeColor="text1" w:themeTint="A6"/>
        </w:rPr>
        <w:t xml:space="preserve">will </w:t>
      </w:r>
      <w:r w:rsidR="008D5D89">
        <w:rPr>
          <w:color w:val="595959" w:themeColor="text1" w:themeTint="A6"/>
        </w:rPr>
        <w:t xml:space="preserve">now </w:t>
      </w:r>
      <w:r w:rsidRPr="00BE2622">
        <w:rPr>
          <w:color w:val="595959" w:themeColor="text1" w:themeTint="A6"/>
        </w:rPr>
        <w:t xml:space="preserve">be spent in 2017-18. </w:t>
      </w:r>
    </w:p>
    <w:p w14:paraId="4B5E3C5F" w14:textId="4EC72AAE" w:rsidR="00076EDF" w:rsidRPr="00BE2622" w:rsidRDefault="00076EDF" w:rsidP="00076EDF">
      <w:pPr>
        <w:rPr>
          <w:color w:val="595959" w:themeColor="text1" w:themeTint="A6"/>
        </w:rPr>
      </w:pPr>
      <w:r w:rsidRPr="00BE2622">
        <w:rPr>
          <w:color w:val="595959" w:themeColor="text1" w:themeTint="A6"/>
        </w:rPr>
        <w:t xml:space="preserve">The deferral of expenditure on TC Winston recovery activities to 2017-18 was offset by Australia’s </w:t>
      </w:r>
      <w:r w:rsidR="00F84993">
        <w:rPr>
          <w:color w:val="595959" w:themeColor="text1" w:themeTint="A6"/>
        </w:rPr>
        <w:t xml:space="preserve">$6 million </w:t>
      </w:r>
      <w:r w:rsidRPr="00BE2622">
        <w:rPr>
          <w:color w:val="595959" w:themeColor="text1" w:themeTint="A6"/>
        </w:rPr>
        <w:t xml:space="preserve">contribution to the </w:t>
      </w:r>
      <w:r w:rsidR="00910995" w:rsidRPr="00BE2622">
        <w:rPr>
          <w:color w:val="595959" w:themeColor="text1" w:themeTint="A6"/>
        </w:rPr>
        <w:t xml:space="preserve">Fiji </w:t>
      </w:r>
      <w:r w:rsidRPr="00BE2622">
        <w:rPr>
          <w:color w:val="595959" w:themeColor="text1" w:themeTint="A6"/>
        </w:rPr>
        <w:t xml:space="preserve">Government </w:t>
      </w:r>
      <w:r w:rsidR="00910995" w:rsidRPr="00BE2622">
        <w:rPr>
          <w:color w:val="595959" w:themeColor="text1" w:themeTint="A6"/>
        </w:rPr>
        <w:t>to support</w:t>
      </w:r>
      <w:r w:rsidRPr="00BE2622">
        <w:rPr>
          <w:color w:val="595959" w:themeColor="text1" w:themeTint="A6"/>
        </w:rPr>
        <w:t xml:space="preserve"> its Presidency of COP 23 and an increase in spending on </w:t>
      </w:r>
      <w:r w:rsidR="007E131D" w:rsidRPr="00BE2622">
        <w:rPr>
          <w:color w:val="595959" w:themeColor="text1" w:themeTint="A6"/>
        </w:rPr>
        <w:t>p</w:t>
      </w:r>
      <w:r w:rsidRPr="00BE2622">
        <w:rPr>
          <w:color w:val="595959" w:themeColor="text1" w:themeTint="A6"/>
        </w:rPr>
        <w:t xml:space="preserve">rivate </w:t>
      </w:r>
      <w:r w:rsidR="007E131D" w:rsidRPr="00BE2622">
        <w:rPr>
          <w:color w:val="595959" w:themeColor="text1" w:themeTint="A6"/>
        </w:rPr>
        <w:t>s</w:t>
      </w:r>
      <w:r w:rsidRPr="00BE2622">
        <w:rPr>
          <w:color w:val="595959" w:themeColor="text1" w:themeTint="A6"/>
        </w:rPr>
        <w:t xml:space="preserve">ector </w:t>
      </w:r>
      <w:r w:rsidR="007E131D" w:rsidRPr="00BE2622">
        <w:rPr>
          <w:color w:val="595959" w:themeColor="text1" w:themeTint="A6"/>
        </w:rPr>
        <w:t>d</w:t>
      </w:r>
      <w:r w:rsidRPr="00BE2622">
        <w:rPr>
          <w:color w:val="595959" w:themeColor="text1" w:themeTint="A6"/>
        </w:rPr>
        <w:t xml:space="preserve">evelopment, primarily </w:t>
      </w:r>
      <w:r w:rsidR="007E131D" w:rsidRPr="00BE2622">
        <w:rPr>
          <w:color w:val="595959" w:themeColor="text1" w:themeTint="A6"/>
        </w:rPr>
        <w:t>through</w:t>
      </w:r>
      <w:r w:rsidRPr="00BE2622">
        <w:rPr>
          <w:color w:val="595959" w:themeColor="text1" w:themeTint="A6"/>
        </w:rPr>
        <w:t xml:space="preserve"> the commencement of our partnership with the IFC.</w:t>
      </w:r>
      <w:r w:rsidR="00EE2EA8">
        <w:rPr>
          <w:color w:val="595959" w:themeColor="text1" w:themeTint="A6"/>
        </w:rPr>
        <w:t xml:space="preserve">  </w:t>
      </w:r>
      <w:r w:rsidRPr="00BE2622">
        <w:rPr>
          <w:color w:val="595959" w:themeColor="text1" w:themeTint="A6"/>
        </w:rPr>
        <w:t>Other areas of expenditure in 2016-17 were broadly similar to the previous year.</w:t>
      </w:r>
    </w:p>
    <w:p w14:paraId="7D7B5CFC" w14:textId="0FD9B2D1" w:rsidR="00076EDF" w:rsidRPr="00BE2622" w:rsidRDefault="00076EDF" w:rsidP="006E478E">
      <w:pPr>
        <w:suppressAutoHyphens w:val="0"/>
        <w:spacing w:before="0" w:after="120" w:line="440" w:lineRule="atLeast"/>
        <w:rPr>
          <w:b/>
          <w:color w:val="595959" w:themeColor="text1" w:themeTint="A6"/>
          <w:sz w:val="24"/>
        </w:rPr>
      </w:pPr>
      <w:r w:rsidRPr="00BE2622">
        <w:rPr>
          <w:b/>
          <w:color w:val="595959" w:themeColor="text1" w:themeTint="A6"/>
          <w:sz w:val="24"/>
        </w:rPr>
        <w:t xml:space="preserve">Table </w:t>
      </w:r>
      <w:r w:rsidRPr="00BE2622">
        <w:rPr>
          <w:b/>
          <w:color w:val="595959" w:themeColor="text1" w:themeTint="A6"/>
          <w:sz w:val="24"/>
        </w:rPr>
        <w:fldChar w:fldCharType="begin"/>
      </w:r>
      <w:r w:rsidRPr="00BE2622">
        <w:rPr>
          <w:b/>
          <w:color w:val="595959" w:themeColor="text1" w:themeTint="A6"/>
          <w:sz w:val="24"/>
        </w:rPr>
        <w:instrText xml:space="preserve"> SEQ Table \* ARABIC </w:instrText>
      </w:r>
      <w:r w:rsidRPr="00BE2622">
        <w:rPr>
          <w:b/>
          <w:color w:val="595959" w:themeColor="text1" w:themeTint="A6"/>
          <w:sz w:val="24"/>
        </w:rPr>
        <w:fldChar w:fldCharType="separate"/>
      </w:r>
      <w:r w:rsidR="00027031">
        <w:rPr>
          <w:b/>
          <w:noProof/>
          <w:color w:val="595959" w:themeColor="text1" w:themeTint="A6"/>
          <w:sz w:val="24"/>
        </w:rPr>
        <w:t>1</w:t>
      </w:r>
      <w:r w:rsidRPr="00BE2622">
        <w:rPr>
          <w:b/>
          <w:noProof/>
          <w:color w:val="595959" w:themeColor="text1" w:themeTint="A6"/>
          <w:sz w:val="24"/>
        </w:rPr>
        <w:fldChar w:fldCharType="end"/>
      </w:r>
      <w:r w:rsidRPr="00BE2622">
        <w:rPr>
          <w:b/>
          <w:color w:val="595959" w:themeColor="text1" w:themeTint="A6"/>
          <w:sz w:val="24"/>
        </w:rPr>
        <w:t xml:space="preserve"> Total ODA Expenditure in FY 2016-17</w:t>
      </w:r>
    </w:p>
    <w:tbl>
      <w:tblPr>
        <w:tblStyle w:val="TableGrid"/>
        <w:tblW w:w="963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842"/>
      </w:tblGrid>
      <w:tr w:rsidR="00076EDF" w:rsidRPr="00BE2622" w14:paraId="55FFAFDA" w14:textId="77777777" w:rsidTr="00076EDF">
        <w:tc>
          <w:tcPr>
            <w:tcW w:w="6374" w:type="dxa"/>
            <w:tcBorders>
              <w:top w:val="single" w:sz="12" w:space="0" w:color="auto"/>
              <w:left w:val="nil"/>
              <w:bottom w:val="nil"/>
              <w:right w:val="nil"/>
            </w:tcBorders>
            <w:hideMark/>
          </w:tcPr>
          <w:p w14:paraId="00AB1E12" w14:textId="77777777" w:rsidR="00076EDF" w:rsidRPr="00BE2622" w:rsidRDefault="00076EDF">
            <w:pPr>
              <w:rPr>
                <w:b/>
                <w:color w:val="595959" w:themeColor="text1" w:themeTint="A6"/>
                <w:sz w:val="24"/>
              </w:rPr>
            </w:pPr>
            <w:r w:rsidRPr="00BE2622">
              <w:rPr>
                <w:color w:val="595959" w:themeColor="text1" w:themeTint="A6"/>
                <w:sz w:val="20"/>
              </w:rPr>
              <w:t>Objective</w:t>
            </w:r>
          </w:p>
        </w:tc>
        <w:tc>
          <w:tcPr>
            <w:tcW w:w="1423" w:type="dxa"/>
            <w:tcBorders>
              <w:top w:val="single" w:sz="12" w:space="0" w:color="auto"/>
              <w:left w:val="nil"/>
              <w:bottom w:val="nil"/>
              <w:right w:val="nil"/>
            </w:tcBorders>
            <w:hideMark/>
          </w:tcPr>
          <w:p w14:paraId="3FAD4905" w14:textId="77777777" w:rsidR="00076EDF" w:rsidRPr="00BE2622" w:rsidRDefault="00076EDF">
            <w:pPr>
              <w:jc w:val="center"/>
              <w:rPr>
                <w:b/>
                <w:color w:val="595959" w:themeColor="text1" w:themeTint="A6"/>
                <w:sz w:val="24"/>
              </w:rPr>
            </w:pPr>
            <w:r w:rsidRPr="00BE2622">
              <w:rPr>
                <w:color w:val="595959" w:themeColor="text1" w:themeTint="A6"/>
                <w:sz w:val="20"/>
              </w:rPr>
              <w:t>A$ million</w:t>
            </w:r>
          </w:p>
        </w:tc>
        <w:tc>
          <w:tcPr>
            <w:tcW w:w="1842" w:type="dxa"/>
            <w:tcBorders>
              <w:top w:val="single" w:sz="12" w:space="0" w:color="auto"/>
              <w:left w:val="nil"/>
              <w:bottom w:val="nil"/>
              <w:right w:val="nil"/>
            </w:tcBorders>
            <w:hideMark/>
          </w:tcPr>
          <w:p w14:paraId="75D70C4C" w14:textId="77777777" w:rsidR="00076EDF" w:rsidRPr="00BE2622" w:rsidRDefault="00076EDF">
            <w:pPr>
              <w:ind w:right="-546"/>
              <w:jc w:val="center"/>
              <w:rPr>
                <w:b/>
                <w:color w:val="595959" w:themeColor="text1" w:themeTint="A6"/>
                <w:sz w:val="24"/>
              </w:rPr>
            </w:pPr>
            <w:r w:rsidRPr="00BE2622">
              <w:rPr>
                <w:color w:val="595959" w:themeColor="text1" w:themeTint="A6"/>
                <w:sz w:val="20"/>
              </w:rPr>
              <w:t>% of total ODA</w:t>
            </w:r>
          </w:p>
        </w:tc>
      </w:tr>
      <w:tr w:rsidR="00076EDF" w:rsidRPr="00BE2622" w14:paraId="21120652" w14:textId="77777777" w:rsidTr="00076EDF">
        <w:tc>
          <w:tcPr>
            <w:tcW w:w="6374" w:type="dxa"/>
            <w:tcBorders>
              <w:top w:val="nil"/>
              <w:left w:val="nil"/>
              <w:bottom w:val="nil"/>
              <w:right w:val="nil"/>
            </w:tcBorders>
            <w:hideMark/>
          </w:tcPr>
          <w:p w14:paraId="4D0A1BEE" w14:textId="77777777" w:rsidR="00076EDF" w:rsidRPr="00BE2622" w:rsidRDefault="00076EDF">
            <w:pPr>
              <w:rPr>
                <w:b/>
                <w:color w:val="595959" w:themeColor="text1" w:themeTint="A6"/>
                <w:sz w:val="24"/>
              </w:rPr>
            </w:pPr>
            <w:r w:rsidRPr="00BE2622">
              <w:rPr>
                <w:color w:val="595959" w:themeColor="text1" w:themeTint="A6"/>
                <w:sz w:val="20"/>
              </w:rPr>
              <w:t>Objective 1: Private Sector Development</w:t>
            </w:r>
          </w:p>
        </w:tc>
        <w:tc>
          <w:tcPr>
            <w:tcW w:w="1423" w:type="dxa"/>
            <w:tcBorders>
              <w:top w:val="nil"/>
              <w:left w:val="nil"/>
              <w:bottom w:val="nil"/>
              <w:right w:val="nil"/>
            </w:tcBorders>
            <w:hideMark/>
          </w:tcPr>
          <w:p w14:paraId="17DE5C38" w14:textId="77777777" w:rsidR="00076EDF" w:rsidRPr="00BE2622" w:rsidRDefault="00076EDF">
            <w:pPr>
              <w:jc w:val="center"/>
              <w:rPr>
                <w:color w:val="595959" w:themeColor="text1" w:themeTint="A6"/>
                <w:sz w:val="20"/>
                <w:szCs w:val="20"/>
              </w:rPr>
            </w:pPr>
            <w:r w:rsidRPr="00BE2622">
              <w:rPr>
                <w:color w:val="595959" w:themeColor="text1" w:themeTint="A6"/>
                <w:sz w:val="20"/>
                <w:szCs w:val="20"/>
              </w:rPr>
              <w:t>12.7</w:t>
            </w:r>
          </w:p>
        </w:tc>
        <w:tc>
          <w:tcPr>
            <w:tcW w:w="1842" w:type="dxa"/>
            <w:tcBorders>
              <w:top w:val="nil"/>
              <w:left w:val="nil"/>
              <w:bottom w:val="nil"/>
              <w:right w:val="nil"/>
            </w:tcBorders>
            <w:hideMark/>
          </w:tcPr>
          <w:p w14:paraId="48849341" w14:textId="77777777" w:rsidR="00076EDF" w:rsidRPr="00BE2622" w:rsidRDefault="00076EDF">
            <w:pPr>
              <w:jc w:val="center"/>
              <w:rPr>
                <w:color w:val="595959" w:themeColor="text1" w:themeTint="A6"/>
                <w:sz w:val="20"/>
                <w:szCs w:val="20"/>
              </w:rPr>
            </w:pPr>
            <w:r w:rsidRPr="00BE2622">
              <w:rPr>
                <w:color w:val="595959" w:themeColor="text1" w:themeTint="A6"/>
                <w:sz w:val="20"/>
                <w:szCs w:val="20"/>
              </w:rPr>
              <w:t>16.6</w:t>
            </w:r>
          </w:p>
        </w:tc>
      </w:tr>
      <w:tr w:rsidR="00076EDF" w:rsidRPr="00BE2622" w14:paraId="7DDE0D38" w14:textId="77777777" w:rsidTr="00076EDF">
        <w:tc>
          <w:tcPr>
            <w:tcW w:w="6374" w:type="dxa"/>
            <w:tcBorders>
              <w:top w:val="nil"/>
              <w:left w:val="nil"/>
              <w:bottom w:val="nil"/>
              <w:right w:val="nil"/>
            </w:tcBorders>
            <w:hideMark/>
          </w:tcPr>
          <w:p w14:paraId="4B894C3C" w14:textId="77777777" w:rsidR="00076EDF" w:rsidRPr="00BE2622" w:rsidRDefault="00076EDF">
            <w:pPr>
              <w:rPr>
                <w:b/>
                <w:color w:val="595959" w:themeColor="text1" w:themeTint="A6"/>
                <w:sz w:val="24"/>
              </w:rPr>
            </w:pPr>
            <w:r w:rsidRPr="00BE2622">
              <w:rPr>
                <w:color w:val="595959" w:themeColor="text1" w:themeTint="A6"/>
                <w:sz w:val="20"/>
              </w:rPr>
              <w:t>Objective 2: Human Development</w:t>
            </w:r>
          </w:p>
        </w:tc>
        <w:tc>
          <w:tcPr>
            <w:tcW w:w="1423" w:type="dxa"/>
            <w:tcBorders>
              <w:top w:val="nil"/>
              <w:left w:val="nil"/>
              <w:bottom w:val="nil"/>
              <w:right w:val="nil"/>
            </w:tcBorders>
            <w:hideMark/>
          </w:tcPr>
          <w:p w14:paraId="6D3E6878" w14:textId="77777777" w:rsidR="00076EDF" w:rsidRPr="00BE2622" w:rsidRDefault="00076EDF">
            <w:pPr>
              <w:jc w:val="center"/>
              <w:rPr>
                <w:color w:val="595959" w:themeColor="text1" w:themeTint="A6"/>
                <w:sz w:val="20"/>
                <w:szCs w:val="20"/>
              </w:rPr>
            </w:pPr>
            <w:r w:rsidRPr="00BE2622">
              <w:rPr>
                <w:color w:val="595959" w:themeColor="text1" w:themeTint="A6"/>
                <w:sz w:val="20"/>
                <w:szCs w:val="20"/>
              </w:rPr>
              <w:t>25.1</w:t>
            </w:r>
          </w:p>
        </w:tc>
        <w:tc>
          <w:tcPr>
            <w:tcW w:w="1842" w:type="dxa"/>
            <w:tcBorders>
              <w:top w:val="nil"/>
              <w:left w:val="nil"/>
              <w:bottom w:val="nil"/>
              <w:right w:val="nil"/>
            </w:tcBorders>
            <w:hideMark/>
          </w:tcPr>
          <w:p w14:paraId="0E3AB929" w14:textId="77777777" w:rsidR="00076EDF" w:rsidRPr="00BE2622" w:rsidRDefault="00076EDF">
            <w:pPr>
              <w:jc w:val="center"/>
              <w:rPr>
                <w:color w:val="595959" w:themeColor="text1" w:themeTint="A6"/>
                <w:sz w:val="20"/>
                <w:szCs w:val="20"/>
              </w:rPr>
            </w:pPr>
            <w:r w:rsidRPr="00BE2622">
              <w:rPr>
                <w:color w:val="595959" w:themeColor="text1" w:themeTint="A6"/>
                <w:sz w:val="20"/>
                <w:szCs w:val="20"/>
              </w:rPr>
              <w:t>32.6</w:t>
            </w:r>
          </w:p>
        </w:tc>
      </w:tr>
      <w:tr w:rsidR="00076EDF" w:rsidRPr="00BE2622" w14:paraId="701CC384" w14:textId="77777777" w:rsidTr="00076EDF">
        <w:tc>
          <w:tcPr>
            <w:tcW w:w="6374" w:type="dxa"/>
            <w:tcBorders>
              <w:top w:val="nil"/>
              <w:left w:val="nil"/>
              <w:bottom w:val="nil"/>
              <w:right w:val="nil"/>
            </w:tcBorders>
            <w:hideMark/>
          </w:tcPr>
          <w:p w14:paraId="4AAE0771" w14:textId="77777777" w:rsidR="00076EDF" w:rsidRPr="00BE2622" w:rsidRDefault="00076EDF">
            <w:pPr>
              <w:rPr>
                <w:b/>
                <w:color w:val="595959" w:themeColor="text1" w:themeTint="A6"/>
                <w:sz w:val="24"/>
              </w:rPr>
            </w:pPr>
            <w:r w:rsidRPr="00BE2622">
              <w:rPr>
                <w:color w:val="595959" w:themeColor="text1" w:themeTint="A6"/>
                <w:sz w:val="20"/>
              </w:rPr>
              <w:t xml:space="preserve">Objective 3: TC Winston </w:t>
            </w:r>
          </w:p>
        </w:tc>
        <w:tc>
          <w:tcPr>
            <w:tcW w:w="1423" w:type="dxa"/>
            <w:tcBorders>
              <w:top w:val="nil"/>
              <w:left w:val="nil"/>
              <w:bottom w:val="nil"/>
              <w:right w:val="nil"/>
            </w:tcBorders>
            <w:hideMark/>
          </w:tcPr>
          <w:p w14:paraId="11605BAF" w14:textId="77777777" w:rsidR="00076EDF" w:rsidRPr="00BE2622" w:rsidRDefault="00076EDF">
            <w:pPr>
              <w:jc w:val="center"/>
              <w:rPr>
                <w:color w:val="595959" w:themeColor="text1" w:themeTint="A6"/>
                <w:sz w:val="20"/>
                <w:szCs w:val="20"/>
              </w:rPr>
            </w:pPr>
            <w:r w:rsidRPr="00BE2622">
              <w:rPr>
                <w:color w:val="595959" w:themeColor="text1" w:themeTint="A6"/>
                <w:sz w:val="20"/>
                <w:szCs w:val="20"/>
              </w:rPr>
              <w:t>6.4</w:t>
            </w:r>
          </w:p>
        </w:tc>
        <w:tc>
          <w:tcPr>
            <w:tcW w:w="1842" w:type="dxa"/>
            <w:tcBorders>
              <w:top w:val="nil"/>
              <w:left w:val="nil"/>
              <w:bottom w:val="nil"/>
              <w:right w:val="nil"/>
            </w:tcBorders>
            <w:hideMark/>
          </w:tcPr>
          <w:p w14:paraId="38AA160D" w14:textId="77777777" w:rsidR="00076EDF" w:rsidRPr="00BE2622" w:rsidRDefault="00076EDF">
            <w:pPr>
              <w:jc w:val="center"/>
              <w:rPr>
                <w:color w:val="595959" w:themeColor="text1" w:themeTint="A6"/>
                <w:sz w:val="20"/>
                <w:szCs w:val="20"/>
              </w:rPr>
            </w:pPr>
            <w:r w:rsidRPr="00BE2622">
              <w:rPr>
                <w:color w:val="595959" w:themeColor="text1" w:themeTint="A6"/>
                <w:sz w:val="20"/>
                <w:szCs w:val="20"/>
              </w:rPr>
              <w:t>8.3</w:t>
            </w:r>
          </w:p>
        </w:tc>
      </w:tr>
      <w:tr w:rsidR="00076EDF" w:rsidRPr="00BE2622" w14:paraId="68468993" w14:textId="77777777" w:rsidTr="00076EDF">
        <w:tc>
          <w:tcPr>
            <w:tcW w:w="6374" w:type="dxa"/>
            <w:tcBorders>
              <w:top w:val="nil"/>
              <w:left w:val="nil"/>
              <w:bottom w:val="nil"/>
              <w:right w:val="nil"/>
            </w:tcBorders>
            <w:hideMark/>
          </w:tcPr>
          <w:p w14:paraId="1A859425" w14:textId="77777777" w:rsidR="00076EDF" w:rsidRPr="00BE2622" w:rsidRDefault="00076EDF">
            <w:pPr>
              <w:rPr>
                <w:color w:val="595959" w:themeColor="text1" w:themeTint="A6"/>
                <w:sz w:val="20"/>
              </w:rPr>
            </w:pPr>
            <w:r w:rsidRPr="00BE2622">
              <w:rPr>
                <w:color w:val="595959" w:themeColor="text1" w:themeTint="A6"/>
                <w:sz w:val="20"/>
              </w:rPr>
              <w:t xml:space="preserve">Support for Fiji’s Presidency of COP 23 </w:t>
            </w:r>
          </w:p>
        </w:tc>
        <w:tc>
          <w:tcPr>
            <w:tcW w:w="1423" w:type="dxa"/>
            <w:tcBorders>
              <w:top w:val="nil"/>
              <w:left w:val="nil"/>
              <w:bottom w:val="nil"/>
              <w:right w:val="nil"/>
            </w:tcBorders>
            <w:hideMark/>
          </w:tcPr>
          <w:p w14:paraId="11910638" w14:textId="77777777" w:rsidR="00076EDF" w:rsidRPr="00BE2622" w:rsidRDefault="00076EDF">
            <w:pPr>
              <w:jc w:val="center"/>
              <w:rPr>
                <w:color w:val="595959" w:themeColor="text1" w:themeTint="A6"/>
                <w:sz w:val="20"/>
                <w:szCs w:val="20"/>
              </w:rPr>
            </w:pPr>
            <w:r w:rsidRPr="00BE2622">
              <w:rPr>
                <w:color w:val="595959" w:themeColor="text1" w:themeTint="A6"/>
                <w:sz w:val="20"/>
                <w:szCs w:val="20"/>
              </w:rPr>
              <w:t>6.0</w:t>
            </w:r>
          </w:p>
        </w:tc>
        <w:tc>
          <w:tcPr>
            <w:tcW w:w="1842" w:type="dxa"/>
            <w:tcBorders>
              <w:top w:val="nil"/>
              <w:left w:val="nil"/>
              <w:bottom w:val="nil"/>
              <w:right w:val="nil"/>
            </w:tcBorders>
            <w:hideMark/>
          </w:tcPr>
          <w:p w14:paraId="03A83D5B" w14:textId="77777777" w:rsidR="00076EDF" w:rsidRPr="00BE2622" w:rsidRDefault="00076EDF">
            <w:pPr>
              <w:jc w:val="center"/>
              <w:rPr>
                <w:color w:val="595959" w:themeColor="text1" w:themeTint="A6"/>
                <w:sz w:val="20"/>
                <w:szCs w:val="20"/>
              </w:rPr>
            </w:pPr>
            <w:r w:rsidRPr="00BE2622">
              <w:rPr>
                <w:color w:val="595959" w:themeColor="text1" w:themeTint="A6"/>
                <w:sz w:val="20"/>
                <w:szCs w:val="20"/>
              </w:rPr>
              <w:t>7.8</w:t>
            </w:r>
          </w:p>
        </w:tc>
      </w:tr>
      <w:tr w:rsidR="00076EDF" w:rsidRPr="00BE2622" w14:paraId="250627DD" w14:textId="77777777" w:rsidTr="00076EDF">
        <w:tc>
          <w:tcPr>
            <w:tcW w:w="6374" w:type="dxa"/>
            <w:tcBorders>
              <w:top w:val="nil"/>
              <w:left w:val="nil"/>
              <w:bottom w:val="nil"/>
              <w:right w:val="nil"/>
            </w:tcBorders>
            <w:hideMark/>
          </w:tcPr>
          <w:p w14:paraId="7518AB1C" w14:textId="77777777" w:rsidR="00076EDF" w:rsidRPr="00BE2622" w:rsidRDefault="00076EDF">
            <w:pPr>
              <w:rPr>
                <w:b/>
                <w:color w:val="595959" w:themeColor="text1" w:themeTint="A6"/>
                <w:sz w:val="24"/>
              </w:rPr>
            </w:pPr>
            <w:r w:rsidRPr="00BE2622">
              <w:rPr>
                <w:b/>
                <w:color w:val="595959" w:themeColor="text1" w:themeTint="A6"/>
                <w:sz w:val="20"/>
              </w:rPr>
              <w:t>Sub-Total Bilateral</w:t>
            </w:r>
          </w:p>
        </w:tc>
        <w:tc>
          <w:tcPr>
            <w:tcW w:w="1423" w:type="dxa"/>
            <w:tcBorders>
              <w:top w:val="nil"/>
              <w:left w:val="nil"/>
              <w:bottom w:val="nil"/>
              <w:right w:val="nil"/>
            </w:tcBorders>
            <w:hideMark/>
          </w:tcPr>
          <w:p w14:paraId="4E6941CA" w14:textId="77777777" w:rsidR="00076EDF" w:rsidRPr="00BE2622" w:rsidRDefault="00076EDF">
            <w:pPr>
              <w:jc w:val="center"/>
              <w:rPr>
                <w:b/>
                <w:color w:val="595959" w:themeColor="text1" w:themeTint="A6"/>
                <w:sz w:val="20"/>
                <w:szCs w:val="20"/>
              </w:rPr>
            </w:pPr>
            <w:r w:rsidRPr="00BE2622">
              <w:rPr>
                <w:b/>
                <w:color w:val="595959" w:themeColor="text1" w:themeTint="A6"/>
                <w:sz w:val="20"/>
                <w:szCs w:val="20"/>
              </w:rPr>
              <w:t>50.2</w:t>
            </w:r>
          </w:p>
        </w:tc>
        <w:tc>
          <w:tcPr>
            <w:tcW w:w="1842" w:type="dxa"/>
            <w:tcBorders>
              <w:top w:val="nil"/>
              <w:left w:val="nil"/>
              <w:bottom w:val="nil"/>
              <w:right w:val="nil"/>
            </w:tcBorders>
            <w:hideMark/>
          </w:tcPr>
          <w:p w14:paraId="370DBC86" w14:textId="77777777" w:rsidR="00076EDF" w:rsidRPr="00BE2622" w:rsidRDefault="00076EDF">
            <w:pPr>
              <w:jc w:val="center"/>
              <w:rPr>
                <w:b/>
                <w:color w:val="595959" w:themeColor="text1" w:themeTint="A6"/>
                <w:sz w:val="20"/>
                <w:szCs w:val="20"/>
              </w:rPr>
            </w:pPr>
            <w:r w:rsidRPr="00BE2622">
              <w:rPr>
                <w:b/>
                <w:color w:val="595959" w:themeColor="text1" w:themeTint="A6"/>
                <w:sz w:val="20"/>
                <w:szCs w:val="20"/>
              </w:rPr>
              <w:t>65.4</w:t>
            </w:r>
          </w:p>
        </w:tc>
      </w:tr>
      <w:tr w:rsidR="00076EDF" w:rsidRPr="00BE2622" w14:paraId="74A41D66" w14:textId="77777777" w:rsidTr="00076EDF">
        <w:tc>
          <w:tcPr>
            <w:tcW w:w="6374" w:type="dxa"/>
            <w:tcBorders>
              <w:top w:val="nil"/>
              <w:left w:val="nil"/>
              <w:bottom w:val="nil"/>
              <w:right w:val="nil"/>
            </w:tcBorders>
            <w:hideMark/>
          </w:tcPr>
          <w:p w14:paraId="78341230" w14:textId="77777777" w:rsidR="00076EDF" w:rsidRPr="00BE2622" w:rsidRDefault="00076EDF">
            <w:pPr>
              <w:rPr>
                <w:b/>
                <w:color w:val="595959" w:themeColor="text1" w:themeTint="A6"/>
                <w:sz w:val="24"/>
              </w:rPr>
            </w:pPr>
            <w:r w:rsidRPr="00BE2622">
              <w:rPr>
                <w:color w:val="595959" w:themeColor="text1" w:themeTint="A6"/>
                <w:sz w:val="20"/>
              </w:rPr>
              <w:t>Regional and Global</w:t>
            </w:r>
          </w:p>
        </w:tc>
        <w:tc>
          <w:tcPr>
            <w:tcW w:w="1423" w:type="dxa"/>
            <w:tcBorders>
              <w:top w:val="nil"/>
              <w:left w:val="nil"/>
              <w:bottom w:val="nil"/>
              <w:right w:val="nil"/>
            </w:tcBorders>
            <w:hideMark/>
          </w:tcPr>
          <w:p w14:paraId="00AAB187" w14:textId="77777777" w:rsidR="00076EDF" w:rsidRPr="00BE2622" w:rsidRDefault="00076EDF">
            <w:pPr>
              <w:jc w:val="center"/>
              <w:rPr>
                <w:color w:val="595959" w:themeColor="text1" w:themeTint="A6"/>
                <w:sz w:val="20"/>
                <w:szCs w:val="20"/>
              </w:rPr>
            </w:pPr>
            <w:r w:rsidRPr="00BE2622">
              <w:rPr>
                <w:color w:val="595959" w:themeColor="text1" w:themeTint="A6"/>
                <w:sz w:val="20"/>
                <w:szCs w:val="20"/>
              </w:rPr>
              <w:t>24.0</w:t>
            </w:r>
          </w:p>
        </w:tc>
        <w:tc>
          <w:tcPr>
            <w:tcW w:w="1842" w:type="dxa"/>
            <w:tcBorders>
              <w:top w:val="nil"/>
              <w:left w:val="nil"/>
              <w:bottom w:val="nil"/>
              <w:right w:val="nil"/>
            </w:tcBorders>
            <w:hideMark/>
          </w:tcPr>
          <w:p w14:paraId="2F6945B6" w14:textId="77777777" w:rsidR="00076EDF" w:rsidRPr="00BE2622" w:rsidRDefault="00076EDF">
            <w:pPr>
              <w:jc w:val="center"/>
              <w:rPr>
                <w:color w:val="595959" w:themeColor="text1" w:themeTint="A6"/>
                <w:sz w:val="20"/>
                <w:szCs w:val="20"/>
              </w:rPr>
            </w:pPr>
            <w:r w:rsidRPr="00BE2622">
              <w:rPr>
                <w:color w:val="595959" w:themeColor="text1" w:themeTint="A6"/>
                <w:sz w:val="20"/>
                <w:szCs w:val="20"/>
              </w:rPr>
              <w:t>31.3</w:t>
            </w:r>
          </w:p>
        </w:tc>
      </w:tr>
      <w:tr w:rsidR="00076EDF" w:rsidRPr="00BE2622" w14:paraId="18E2FC5F" w14:textId="77777777" w:rsidTr="00076EDF">
        <w:tc>
          <w:tcPr>
            <w:tcW w:w="6374" w:type="dxa"/>
            <w:tcBorders>
              <w:top w:val="nil"/>
              <w:left w:val="nil"/>
              <w:bottom w:val="nil"/>
              <w:right w:val="nil"/>
            </w:tcBorders>
            <w:hideMark/>
          </w:tcPr>
          <w:p w14:paraId="5708C5EE" w14:textId="77777777" w:rsidR="00076EDF" w:rsidRPr="00BE2622" w:rsidRDefault="00076EDF">
            <w:pPr>
              <w:rPr>
                <w:b/>
                <w:color w:val="595959" w:themeColor="text1" w:themeTint="A6"/>
                <w:sz w:val="24"/>
              </w:rPr>
            </w:pPr>
            <w:r w:rsidRPr="00BE2622">
              <w:rPr>
                <w:color w:val="595959" w:themeColor="text1" w:themeTint="A6"/>
                <w:sz w:val="20"/>
              </w:rPr>
              <w:t>Other Government Departments</w:t>
            </w:r>
          </w:p>
        </w:tc>
        <w:tc>
          <w:tcPr>
            <w:tcW w:w="1423" w:type="dxa"/>
            <w:tcBorders>
              <w:top w:val="nil"/>
              <w:left w:val="nil"/>
              <w:bottom w:val="nil"/>
              <w:right w:val="nil"/>
            </w:tcBorders>
            <w:hideMark/>
          </w:tcPr>
          <w:p w14:paraId="069E250A" w14:textId="77777777" w:rsidR="00076EDF" w:rsidRPr="00BE2622" w:rsidRDefault="00076EDF">
            <w:pPr>
              <w:jc w:val="center"/>
              <w:rPr>
                <w:color w:val="595959" w:themeColor="text1" w:themeTint="A6"/>
                <w:sz w:val="20"/>
                <w:szCs w:val="20"/>
              </w:rPr>
            </w:pPr>
            <w:r w:rsidRPr="00BE2622">
              <w:rPr>
                <w:color w:val="595959" w:themeColor="text1" w:themeTint="A6"/>
                <w:sz w:val="20"/>
                <w:szCs w:val="20"/>
              </w:rPr>
              <w:t>2.5</w:t>
            </w:r>
          </w:p>
        </w:tc>
        <w:tc>
          <w:tcPr>
            <w:tcW w:w="1842" w:type="dxa"/>
            <w:tcBorders>
              <w:top w:val="nil"/>
              <w:left w:val="nil"/>
              <w:bottom w:val="nil"/>
              <w:right w:val="nil"/>
            </w:tcBorders>
            <w:hideMark/>
          </w:tcPr>
          <w:p w14:paraId="7BFFA17C" w14:textId="77777777" w:rsidR="00076EDF" w:rsidRPr="00BE2622" w:rsidRDefault="00076EDF">
            <w:pPr>
              <w:jc w:val="center"/>
              <w:rPr>
                <w:color w:val="595959" w:themeColor="text1" w:themeTint="A6"/>
                <w:sz w:val="20"/>
                <w:szCs w:val="20"/>
              </w:rPr>
            </w:pPr>
            <w:r w:rsidRPr="00BE2622">
              <w:rPr>
                <w:color w:val="595959" w:themeColor="text1" w:themeTint="A6"/>
                <w:sz w:val="20"/>
                <w:szCs w:val="20"/>
              </w:rPr>
              <w:t>3.3</w:t>
            </w:r>
          </w:p>
        </w:tc>
      </w:tr>
      <w:tr w:rsidR="00076EDF" w:rsidRPr="00BE2622" w14:paraId="29E49D68" w14:textId="77777777" w:rsidTr="00076EDF">
        <w:tc>
          <w:tcPr>
            <w:tcW w:w="6374" w:type="dxa"/>
            <w:tcBorders>
              <w:top w:val="nil"/>
              <w:left w:val="nil"/>
              <w:bottom w:val="single" w:sz="12" w:space="0" w:color="auto"/>
              <w:right w:val="nil"/>
            </w:tcBorders>
            <w:hideMark/>
          </w:tcPr>
          <w:p w14:paraId="56F898C2" w14:textId="77777777" w:rsidR="00076EDF" w:rsidRPr="00BE2622" w:rsidRDefault="00076EDF">
            <w:pPr>
              <w:rPr>
                <w:b/>
                <w:color w:val="595959" w:themeColor="text1" w:themeTint="A6"/>
                <w:sz w:val="24"/>
              </w:rPr>
            </w:pPr>
            <w:r w:rsidRPr="00BE2622">
              <w:rPr>
                <w:b/>
                <w:color w:val="595959" w:themeColor="text1" w:themeTint="A6"/>
                <w:sz w:val="20"/>
              </w:rPr>
              <w:t>Total ODA Expenditure</w:t>
            </w:r>
          </w:p>
        </w:tc>
        <w:tc>
          <w:tcPr>
            <w:tcW w:w="1423" w:type="dxa"/>
            <w:tcBorders>
              <w:top w:val="nil"/>
              <w:left w:val="nil"/>
              <w:bottom w:val="single" w:sz="12" w:space="0" w:color="auto"/>
              <w:right w:val="nil"/>
            </w:tcBorders>
            <w:hideMark/>
          </w:tcPr>
          <w:p w14:paraId="1A0938EC" w14:textId="77777777" w:rsidR="00076EDF" w:rsidRPr="00BE2622" w:rsidRDefault="00076EDF">
            <w:pPr>
              <w:jc w:val="center"/>
              <w:rPr>
                <w:b/>
                <w:color w:val="595959" w:themeColor="text1" w:themeTint="A6"/>
                <w:sz w:val="20"/>
                <w:szCs w:val="20"/>
              </w:rPr>
            </w:pPr>
            <w:r w:rsidRPr="00BE2622">
              <w:rPr>
                <w:b/>
                <w:color w:val="595959" w:themeColor="text1" w:themeTint="A6"/>
                <w:sz w:val="20"/>
                <w:szCs w:val="20"/>
              </w:rPr>
              <w:t>76.7</w:t>
            </w:r>
          </w:p>
        </w:tc>
        <w:tc>
          <w:tcPr>
            <w:tcW w:w="1842" w:type="dxa"/>
            <w:tcBorders>
              <w:top w:val="nil"/>
              <w:left w:val="nil"/>
              <w:bottom w:val="single" w:sz="12" w:space="0" w:color="auto"/>
              <w:right w:val="nil"/>
            </w:tcBorders>
            <w:hideMark/>
          </w:tcPr>
          <w:p w14:paraId="6ED98588" w14:textId="77777777" w:rsidR="00076EDF" w:rsidRPr="00BE2622" w:rsidRDefault="00076EDF">
            <w:pPr>
              <w:jc w:val="center"/>
              <w:rPr>
                <w:b/>
                <w:color w:val="595959" w:themeColor="text1" w:themeTint="A6"/>
                <w:sz w:val="20"/>
                <w:szCs w:val="20"/>
              </w:rPr>
            </w:pPr>
            <w:r w:rsidRPr="00BE2622">
              <w:rPr>
                <w:b/>
                <w:color w:val="595959" w:themeColor="text1" w:themeTint="A6"/>
                <w:sz w:val="20"/>
                <w:szCs w:val="20"/>
              </w:rPr>
              <w:t>100.0</w:t>
            </w:r>
          </w:p>
        </w:tc>
      </w:tr>
    </w:tbl>
    <w:p w14:paraId="427760F1" w14:textId="349C84EF" w:rsidR="00076EDF" w:rsidRPr="00BE2622" w:rsidRDefault="00076EDF" w:rsidP="00A418B1">
      <w:pPr>
        <w:suppressAutoHyphens w:val="0"/>
        <w:spacing w:before="0" w:after="120" w:line="440" w:lineRule="atLeast"/>
        <w:rPr>
          <w:rFonts w:asciiTheme="majorHAnsi" w:eastAsiaTheme="majorEastAsia" w:hAnsiTheme="majorHAnsi" w:cstheme="majorBidi"/>
          <w:caps/>
          <w:color w:val="595959" w:themeColor="text1" w:themeTint="A6"/>
          <w:sz w:val="38"/>
          <w:szCs w:val="26"/>
        </w:rPr>
      </w:pPr>
      <w:r w:rsidRPr="00BE2622">
        <w:rPr>
          <w:rFonts w:asciiTheme="majorHAnsi" w:eastAsiaTheme="majorEastAsia" w:hAnsiTheme="majorHAnsi" w:cstheme="majorBidi"/>
          <w:caps/>
          <w:color w:val="595959" w:themeColor="text1" w:themeTint="A6"/>
          <w:sz w:val="38"/>
          <w:szCs w:val="26"/>
        </w:rPr>
        <w:lastRenderedPageBreak/>
        <w:t>PERFORMANCE AGAINST STRATEGIC OBJECTIVES</w:t>
      </w:r>
    </w:p>
    <w:p w14:paraId="78CEE64C" w14:textId="45E91B11" w:rsidR="00076EDF" w:rsidRPr="00BE2622" w:rsidRDefault="00076EDF" w:rsidP="00A15C2D">
      <w:pPr>
        <w:rPr>
          <w:rFonts w:ascii="Calibri Light" w:eastAsia="Calibri Light" w:hAnsi="Calibri Light" w:cs="Times New Roman"/>
          <w:color w:val="595959" w:themeColor="text1" w:themeTint="A6"/>
        </w:rPr>
      </w:pPr>
      <w:r w:rsidRPr="00BE2622">
        <w:rPr>
          <w:rFonts w:ascii="Calibri Light" w:eastAsia="Calibri Light" w:hAnsi="Calibri Light" w:cs="Times New Roman"/>
          <w:color w:val="595959" w:themeColor="text1" w:themeTint="A6"/>
        </w:rPr>
        <w:t xml:space="preserve">In 2016-17, progress towards </w:t>
      </w:r>
      <w:r w:rsidR="00910995" w:rsidRPr="00BE2622">
        <w:rPr>
          <w:rFonts w:ascii="Calibri Light" w:eastAsia="Calibri Light" w:hAnsi="Calibri Light" w:cs="Times New Roman"/>
          <w:color w:val="595959" w:themeColor="text1" w:themeTint="A6"/>
        </w:rPr>
        <w:t xml:space="preserve">the </w:t>
      </w:r>
      <w:r w:rsidRPr="00BE2622">
        <w:rPr>
          <w:rFonts w:ascii="Calibri Light" w:eastAsia="Calibri Light" w:hAnsi="Calibri Light" w:cs="Times New Roman"/>
          <w:color w:val="595959" w:themeColor="text1" w:themeTint="A6"/>
        </w:rPr>
        <w:t>strategic objective</w:t>
      </w:r>
      <w:r w:rsidR="005C7611" w:rsidRPr="00BE2622">
        <w:rPr>
          <w:rFonts w:ascii="Calibri Light" w:eastAsia="Calibri Light" w:hAnsi="Calibri Light" w:cs="Times New Roman"/>
          <w:color w:val="595959" w:themeColor="text1" w:themeTint="A6"/>
        </w:rPr>
        <w:t xml:space="preserve"> </w:t>
      </w:r>
      <w:r w:rsidRPr="00BE2622">
        <w:rPr>
          <w:rFonts w:ascii="Calibri Light" w:eastAsia="Calibri Light" w:hAnsi="Calibri Light" w:cs="Times New Roman"/>
          <w:color w:val="595959" w:themeColor="text1" w:themeTint="A6"/>
        </w:rPr>
        <w:t>of private sector development was rated green.</w:t>
      </w:r>
      <w:r w:rsidR="00A15C2D" w:rsidRPr="00BE2622">
        <w:rPr>
          <w:rFonts w:ascii="Calibri Light" w:eastAsia="Calibri Light" w:hAnsi="Calibri Light" w:cs="Times New Roman"/>
          <w:color w:val="595959" w:themeColor="text1" w:themeTint="A6"/>
        </w:rPr>
        <w:t xml:space="preserve">  </w:t>
      </w:r>
      <w:r w:rsidR="00910995" w:rsidRPr="00BE2622">
        <w:rPr>
          <w:rFonts w:ascii="Calibri Light" w:eastAsia="Calibri Light" w:hAnsi="Calibri Light" w:cs="Times New Roman"/>
          <w:color w:val="595959" w:themeColor="text1" w:themeTint="A6"/>
        </w:rPr>
        <w:t>The majority of i</w:t>
      </w:r>
      <w:r w:rsidR="00A15C2D" w:rsidRPr="00BE2622">
        <w:rPr>
          <w:rFonts w:ascii="Calibri Light" w:eastAsia="Calibri Light" w:hAnsi="Calibri Light" w:cs="Times New Roman"/>
          <w:color w:val="595959" w:themeColor="text1" w:themeTint="A6"/>
        </w:rPr>
        <w:t xml:space="preserve">nvestments </w:t>
      </w:r>
      <w:r w:rsidR="00910995" w:rsidRPr="00BE2622">
        <w:rPr>
          <w:rFonts w:ascii="Calibri Light" w:eastAsia="Calibri Light" w:hAnsi="Calibri Light" w:cs="Times New Roman"/>
          <w:color w:val="595959" w:themeColor="text1" w:themeTint="A6"/>
        </w:rPr>
        <w:t xml:space="preserve">in this sector </w:t>
      </w:r>
      <w:r w:rsidR="00A15C2D" w:rsidRPr="00BE2622">
        <w:rPr>
          <w:rFonts w:ascii="Calibri Light" w:eastAsia="Calibri Light" w:hAnsi="Calibri Light" w:cs="Times New Roman"/>
          <w:color w:val="595959" w:themeColor="text1" w:themeTint="A6"/>
        </w:rPr>
        <w:t>delivered strong results</w:t>
      </w:r>
      <w:r w:rsidR="00910995" w:rsidRPr="00BE2622">
        <w:rPr>
          <w:rFonts w:ascii="Calibri Light" w:eastAsia="Calibri Light" w:hAnsi="Calibri Light" w:cs="Times New Roman"/>
          <w:color w:val="595959" w:themeColor="text1" w:themeTint="A6"/>
        </w:rPr>
        <w:t xml:space="preserve"> and </w:t>
      </w:r>
      <w:r w:rsidR="00A15C2D" w:rsidRPr="00BE2622">
        <w:rPr>
          <w:rFonts w:ascii="Calibri Light" w:eastAsia="Calibri Light" w:hAnsi="Calibri Light" w:cs="Times New Roman"/>
          <w:color w:val="595959" w:themeColor="text1" w:themeTint="A6"/>
        </w:rPr>
        <w:t>aid-for-trade initiatives</w:t>
      </w:r>
      <w:r w:rsidR="00910995" w:rsidRPr="00BE2622">
        <w:rPr>
          <w:rFonts w:ascii="Calibri Light" w:eastAsia="Calibri Light" w:hAnsi="Calibri Light" w:cs="Times New Roman"/>
          <w:color w:val="595959" w:themeColor="text1" w:themeTint="A6"/>
        </w:rPr>
        <w:t xml:space="preserve"> </w:t>
      </w:r>
      <w:r w:rsidR="00D50258" w:rsidRPr="00BE2622">
        <w:rPr>
          <w:rFonts w:ascii="Calibri Light" w:eastAsia="Calibri Light" w:hAnsi="Calibri Light" w:cs="Times New Roman"/>
          <w:color w:val="595959" w:themeColor="text1" w:themeTint="A6"/>
        </w:rPr>
        <w:t xml:space="preserve">met </w:t>
      </w:r>
      <w:r w:rsidR="004A46C7">
        <w:rPr>
          <w:rFonts w:ascii="Calibri Light" w:eastAsia="Calibri Light" w:hAnsi="Calibri Light" w:cs="Times New Roman"/>
          <w:color w:val="595959" w:themeColor="text1" w:themeTint="A6"/>
        </w:rPr>
        <w:t xml:space="preserve">our </w:t>
      </w:r>
      <w:r w:rsidR="00910995" w:rsidRPr="00BE2622">
        <w:rPr>
          <w:rFonts w:ascii="Calibri Light" w:eastAsia="Calibri Light" w:hAnsi="Calibri Light" w:cs="Times New Roman"/>
          <w:color w:val="595959" w:themeColor="text1" w:themeTint="A6"/>
        </w:rPr>
        <w:t xml:space="preserve">target </w:t>
      </w:r>
      <w:r w:rsidR="004A46C7">
        <w:rPr>
          <w:rFonts w:ascii="Calibri Light" w:eastAsia="Calibri Light" w:hAnsi="Calibri Light" w:cs="Times New Roman"/>
          <w:color w:val="595959" w:themeColor="text1" w:themeTint="A6"/>
        </w:rPr>
        <w:t>o</w:t>
      </w:r>
      <w:r w:rsidR="00D50258" w:rsidRPr="00BE2622">
        <w:rPr>
          <w:rFonts w:ascii="Calibri Light" w:eastAsia="Calibri Light" w:hAnsi="Calibri Light" w:cs="Times New Roman"/>
          <w:color w:val="595959" w:themeColor="text1" w:themeTint="A6"/>
        </w:rPr>
        <w:t>f 15 percent</w:t>
      </w:r>
      <w:r w:rsidR="004A46C7">
        <w:rPr>
          <w:rFonts w:ascii="Calibri Light" w:eastAsia="Calibri Light" w:hAnsi="Calibri Light" w:cs="Times New Roman"/>
          <w:color w:val="595959" w:themeColor="text1" w:themeTint="A6"/>
        </w:rPr>
        <w:t xml:space="preserve"> of the program budget</w:t>
      </w:r>
      <w:r w:rsidR="00910995" w:rsidRPr="00BE2622">
        <w:rPr>
          <w:rFonts w:ascii="Calibri Light" w:eastAsia="Calibri Light" w:hAnsi="Calibri Light" w:cs="Times New Roman"/>
          <w:color w:val="595959" w:themeColor="text1" w:themeTint="A6"/>
        </w:rPr>
        <w:t>.</w:t>
      </w:r>
      <w:r w:rsidR="004A46C7">
        <w:rPr>
          <w:rStyle w:val="FootnoteReference"/>
          <w:rFonts w:ascii="Calibri Light" w:eastAsia="Calibri Light" w:hAnsi="Calibri Light" w:cs="Times New Roman"/>
          <w:color w:val="595959" w:themeColor="text1" w:themeTint="A6"/>
        </w:rPr>
        <w:footnoteReference w:id="5"/>
      </w:r>
    </w:p>
    <w:p w14:paraId="7378F204" w14:textId="24227831" w:rsidR="005C7611" w:rsidRPr="00BE2622" w:rsidRDefault="005C7611" w:rsidP="005C7611">
      <w:pPr>
        <w:rPr>
          <w:rFonts w:ascii="Calibri Light" w:eastAsia="Calibri Light" w:hAnsi="Calibri Light" w:cs="Times New Roman"/>
          <w:color w:val="595959" w:themeColor="text1" w:themeTint="A6"/>
        </w:rPr>
      </w:pPr>
      <w:r w:rsidRPr="00BE2622">
        <w:rPr>
          <w:rFonts w:ascii="Calibri Light" w:eastAsia="Calibri Light" w:hAnsi="Calibri Light" w:cs="Times New Roman"/>
          <w:color w:val="595959" w:themeColor="text1" w:themeTint="A6"/>
        </w:rPr>
        <w:t>In 2015-16, TC Winston disrupted our education and health programs and, as a result, progress on human development in th</w:t>
      </w:r>
      <w:r w:rsidR="003A667F">
        <w:rPr>
          <w:rFonts w:ascii="Calibri Light" w:eastAsia="Calibri Light" w:hAnsi="Calibri Light" w:cs="Times New Roman"/>
          <w:color w:val="595959" w:themeColor="text1" w:themeTint="A6"/>
        </w:rPr>
        <w:t>e previous peri</w:t>
      </w:r>
      <w:r w:rsidR="00D02841">
        <w:rPr>
          <w:rFonts w:ascii="Calibri Light" w:eastAsia="Calibri Light" w:hAnsi="Calibri Light" w:cs="Times New Roman"/>
          <w:color w:val="595959" w:themeColor="text1" w:themeTint="A6"/>
        </w:rPr>
        <w:t>o</w:t>
      </w:r>
      <w:r w:rsidR="003A667F">
        <w:rPr>
          <w:rFonts w:ascii="Calibri Light" w:eastAsia="Calibri Light" w:hAnsi="Calibri Light" w:cs="Times New Roman"/>
          <w:color w:val="595959" w:themeColor="text1" w:themeTint="A6"/>
        </w:rPr>
        <w:t>d</w:t>
      </w:r>
      <w:r w:rsidR="00D02841">
        <w:rPr>
          <w:rFonts w:ascii="Calibri Light" w:eastAsia="Calibri Light" w:hAnsi="Calibri Light" w:cs="Times New Roman"/>
          <w:color w:val="595959" w:themeColor="text1" w:themeTint="A6"/>
        </w:rPr>
        <w:t xml:space="preserve"> </w:t>
      </w:r>
      <w:r w:rsidRPr="00BE2622">
        <w:rPr>
          <w:rFonts w:ascii="Calibri Light" w:eastAsia="Calibri Light" w:hAnsi="Calibri Light" w:cs="Times New Roman"/>
          <w:color w:val="595959" w:themeColor="text1" w:themeTint="A6"/>
        </w:rPr>
        <w:t xml:space="preserve">was rated amber.  This year, our human development programs </w:t>
      </w:r>
      <w:r w:rsidR="004428EA">
        <w:rPr>
          <w:rFonts w:ascii="Calibri Light" w:eastAsia="Calibri Light" w:hAnsi="Calibri Light" w:cs="Times New Roman"/>
          <w:color w:val="595959" w:themeColor="text1" w:themeTint="A6"/>
        </w:rPr>
        <w:t xml:space="preserve">were </w:t>
      </w:r>
      <w:r w:rsidRPr="00BE2622">
        <w:rPr>
          <w:rFonts w:ascii="Calibri Light" w:eastAsia="Calibri Light" w:hAnsi="Calibri Light" w:cs="Times New Roman"/>
          <w:color w:val="595959" w:themeColor="text1" w:themeTint="A6"/>
        </w:rPr>
        <w:t>able to refocus on their core activities and achieve outcomes in line with expectations</w:t>
      </w:r>
      <w:r w:rsidR="00E7257B">
        <w:rPr>
          <w:rFonts w:ascii="Calibri Light" w:eastAsia="Calibri Light" w:hAnsi="Calibri Light" w:cs="Times New Roman"/>
          <w:color w:val="595959" w:themeColor="text1" w:themeTint="A6"/>
        </w:rPr>
        <w:t xml:space="preserve">.  As result, </w:t>
      </w:r>
      <w:r w:rsidRPr="00BE2622">
        <w:rPr>
          <w:rFonts w:ascii="Calibri Light" w:eastAsia="Calibri Light" w:hAnsi="Calibri Light" w:cs="Times New Roman"/>
          <w:color w:val="595959" w:themeColor="text1" w:themeTint="A6"/>
        </w:rPr>
        <w:t>progress is rated green.</w:t>
      </w:r>
    </w:p>
    <w:p w14:paraId="123EC8C7" w14:textId="5815CC34" w:rsidR="00076EDF" w:rsidRPr="00BE2622" w:rsidRDefault="003A667F" w:rsidP="00076EDF">
      <w:pPr>
        <w:rPr>
          <w:rFonts w:ascii="Calibri Light" w:eastAsia="Calibri Light" w:hAnsi="Calibri Light" w:cs="Times New Roman"/>
          <w:color w:val="595959" w:themeColor="text1" w:themeTint="A6"/>
        </w:rPr>
      </w:pPr>
      <w:r>
        <w:rPr>
          <w:rFonts w:ascii="Calibri Light" w:eastAsia="Calibri Light" w:hAnsi="Calibri Light" w:cs="Times New Roman"/>
          <w:color w:val="595959" w:themeColor="text1" w:themeTint="A6"/>
        </w:rPr>
        <w:t xml:space="preserve">Substantial progress was also made in delivering Australia’s support for Fiji’s recovery from TC Winston.  </w:t>
      </w:r>
      <w:r w:rsidR="00E7257B">
        <w:rPr>
          <w:rFonts w:ascii="Calibri Light" w:eastAsia="Calibri Light" w:hAnsi="Calibri Light" w:cs="Times New Roman"/>
          <w:color w:val="595959" w:themeColor="text1" w:themeTint="A6"/>
        </w:rPr>
        <w:t>W</w:t>
      </w:r>
      <w:r w:rsidR="00E7257B" w:rsidRPr="00BE2622">
        <w:rPr>
          <w:rFonts w:ascii="Calibri Light" w:eastAsia="Calibri Light" w:hAnsi="Calibri Light" w:cs="Times New Roman"/>
          <w:color w:val="595959" w:themeColor="text1" w:themeTint="A6"/>
        </w:rPr>
        <w:t xml:space="preserve">e </w:t>
      </w:r>
      <w:r w:rsidR="00E7257B">
        <w:rPr>
          <w:rFonts w:ascii="Calibri Light" w:eastAsia="Calibri Light" w:hAnsi="Calibri Light" w:cs="Times New Roman"/>
          <w:color w:val="595959" w:themeColor="text1" w:themeTint="A6"/>
        </w:rPr>
        <w:t>completed the</w:t>
      </w:r>
      <w:r w:rsidR="00E7257B" w:rsidRPr="00BE2622">
        <w:rPr>
          <w:rFonts w:ascii="Calibri Light" w:eastAsia="Calibri Light" w:hAnsi="Calibri Light" w:cs="Times New Roman"/>
          <w:color w:val="595959" w:themeColor="text1" w:themeTint="A6"/>
        </w:rPr>
        <w:t xml:space="preserve"> </w:t>
      </w:r>
      <w:r w:rsidR="00E7257B">
        <w:rPr>
          <w:rFonts w:ascii="Calibri Light" w:eastAsia="Calibri Light" w:hAnsi="Calibri Light" w:cs="Times New Roman"/>
          <w:color w:val="595959" w:themeColor="text1" w:themeTint="A6"/>
        </w:rPr>
        <w:t xml:space="preserve">implementation </w:t>
      </w:r>
      <w:r w:rsidR="00E7257B" w:rsidRPr="00BE2622">
        <w:rPr>
          <w:rFonts w:ascii="Calibri Light" w:eastAsia="Calibri Light" w:hAnsi="Calibri Light" w:cs="Times New Roman"/>
          <w:color w:val="595959" w:themeColor="text1" w:themeTint="A6"/>
        </w:rPr>
        <w:t xml:space="preserve">of Australia’s $15 million </w:t>
      </w:r>
      <w:r w:rsidR="00E7257B">
        <w:rPr>
          <w:rFonts w:ascii="Calibri Light" w:eastAsia="Calibri Light" w:hAnsi="Calibri Light" w:cs="Times New Roman"/>
          <w:color w:val="595959" w:themeColor="text1" w:themeTint="A6"/>
        </w:rPr>
        <w:t xml:space="preserve">TC Winston </w:t>
      </w:r>
      <w:r w:rsidR="00E7257B" w:rsidRPr="00BE2622">
        <w:rPr>
          <w:rFonts w:ascii="Calibri Light" w:eastAsia="Calibri Light" w:hAnsi="Calibri Light" w:cs="Times New Roman"/>
          <w:color w:val="595959" w:themeColor="text1" w:themeTint="A6"/>
        </w:rPr>
        <w:t xml:space="preserve">response package and </w:t>
      </w:r>
      <w:r w:rsidR="00E7257B">
        <w:rPr>
          <w:rFonts w:ascii="Calibri Light" w:eastAsia="Calibri Light" w:hAnsi="Calibri Light" w:cs="Times New Roman"/>
          <w:color w:val="595959" w:themeColor="text1" w:themeTint="A6"/>
        </w:rPr>
        <w:t xml:space="preserve">made substantial progress in </w:t>
      </w:r>
      <w:r w:rsidR="00E7257B" w:rsidRPr="00BE2622">
        <w:rPr>
          <w:rFonts w:ascii="Calibri Light" w:eastAsia="Calibri Light" w:hAnsi="Calibri Light" w:cs="Times New Roman"/>
          <w:color w:val="595959" w:themeColor="text1" w:themeTint="A6"/>
        </w:rPr>
        <w:t>deliver</w:t>
      </w:r>
      <w:r w:rsidR="00E7257B">
        <w:rPr>
          <w:rFonts w:ascii="Calibri Light" w:eastAsia="Calibri Light" w:hAnsi="Calibri Light" w:cs="Times New Roman"/>
          <w:color w:val="595959" w:themeColor="text1" w:themeTint="A6"/>
        </w:rPr>
        <w:t>ing</w:t>
      </w:r>
      <w:r w:rsidR="00E7257B" w:rsidRPr="00BE2622">
        <w:rPr>
          <w:rFonts w:ascii="Calibri Light" w:eastAsia="Calibri Light" w:hAnsi="Calibri Light" w:cs="Times New Roman"/>
          <w:color w:val="595959" w:themeColor="text1" w:themeTint="A6"/>
        </w:rPr>
        <w:t xml:space="preserve"> Australia’s $20 million </w:t>
      </w:r>
      <w:r w:rsidR="00E7257B">
        <w:rPr>
          <w:rFonts w:ascii="Calibri Light" w:eastAsia="Calibri Light" w:hAnsi="Calibri Light" w:cs="Times New Roman"/>
          <w:color w:val="595959" w:themeColor="text1" w:themeTint="A6"/>
        </w:rPr>
        <w:t xml:space="preserve">recovery </w:t>
      </w:r>
      <w:r w:rsidR="00E7257B" w:rsidRPr="00BE2622">
        <w:rPr>
          <w:rFonts w:ascii="Calibri Light" w:eastAsia="Calibri Light" w:hAnsi="Calibri Light" w:cs="Times New Roman"/>
          <w:color w:val="595959" w:themeColor="text1" w:themeTint="A6"/>
        </w:rPr>
        <w:t xml:space="preserve">package.  </w:t>
      </w:r>
      <w:r w:rsidR="00076EDF" w:rsidRPr="00BE2622">
        <w:rPr>
          <w:rFonts w:ascii="Calibri Light" w:eastAsia="Calibri Light" w:hAnsi="Calibri Light" w:cs="Times New Roman"/>
          <w:color w:val="595959" w:themeColor="text1" w:themeTint="A6"/>
        </w:rPr>
        <w:t>However, due to bad weather, difficulties in accessing sites, shortages of building materials and some sub-standard contractors, we experienced delays in rebuilding a number of schools, a community health centre and a major municipal market.  Progress against this objective was therefore less than expected and rated amber.</w:t>
      </w:r>
    </w:p>
    <w:p w14:paraId="0DA937AA" w14:textId="48E667A9" w:rsidR="00076EDF" w:rsidRPr="00BE2622" w:rsidRDefault="00076EDF" w:rsidP="00076EDF">
      <w:pPr>
        <w:rPr>
          <w:b/>
          <w:color w:val="595959" w:themeColor="text1" w:themeTint="A6"/>
          <w:sz w:val="24"/>
        </w:rPr>
      </w:pPr>
      <w:r w:rsidRPr="00BE2622">
        <w:rPr>
          <w:b/>
          <w:color w:val="595959" w:themeColor="text1" w:themeTint="A6"/>
          <w:sz w:val="24"/>
        </w:rPr>
        <w:t xml:space="preserve">Table </w:t>
      </w:r>
      <w:r w:rsidRPr="00BE2622">
        <w:rPr>
          <w:b/>
          <w:color w:val="595959" w:themeColor="text1" w:themeTint="A6"/>
          <w:sz w:val="24"/>
        </w:rPr>
        <w:fldChar w:fldCharType="begin"/>
      </w:r>
      <w:r w:rsidRPr="00BE2622">
        <w:rPr>
          <w:b/>
          <w:color w:val="595959" w:themeColor="text1" w:themeTint="A6"/>
          <w:sz w:val="24"/>
        </w:rPr>
        <w:instrText xml:space="preserve"> SEQ Table \* ARABIC </w:instrText>
      </w:r>
      <w:r w:rsidRPr="00BE2622">
        <w:rPr>
          <w:b/>
          <w:color w:val="595959" w:themeColor="text1" w:themeTint="A6"/>
          <w:sz w:val="24"/>
        </w:rPr>
        <w:fldChar w:fldCharType="separate"/>
      </w:r>
      <w:r w:rsidR="00027031">
        <w:rPr>
          <w:b/>
          <w:noProof/>
          <w:color w:val="595959" w:themeColor="text1" w:themeTint="A6"/>
          <w:sz w:val="24"/>
        </w:rPr>
        <w:t>2</w:t>
      </w:r>
      <w:r w:rsidRPr="00BE2622">
        <w:rPr>
          <w:b/>
          <w:noProof/>
          <w:color w:val="595959" w:themeColor="text1" w:themeTint="A6"/>
          <w:sz w:val="24"/>
        </w:rPr>
        <w:fldChar w:fldCharType="end"/>
      </w:r>
      <w:r w:rsidRPr="00BE2622">
        <w:rPr>
          <w:b/>
          <w:color w:val="595959" w:themeColor="text1" w:themeTint="A6"/>
          <w:sz w:val="24"/>
        </w:rPr>
        <w:t xml:space="preserve"> Rating of the Program's Progress towards Australia’s Aid Objectives</w:t>
      </w:r>
    </w:p>
    <w:tbl>
      <w:tblPr>
        <w:tblStyle w:val="APPR"/>
        <w:tblW w:w="4854" w:type="pct"/>
        <w:tblLook w:val="04A0" w:firstRow="1" w:lastRow="0" w:firstColumn="1" w:lastColumn="0" w:noHBand="0" w:noVBand="1"/>
      </w:tblPr>
      <w:tblGrid>
        <w:gridCol w:w="6759"/>
        <w:gridCol w:w="1321"/>
        <w:gridCol w:w="1277"/>
      </w:tblGrid>
      <w:tr w:rsidR="00076EDF" w:rsidRPr="00BE2622" w14:paraId="56EBFC3C" w14:textId="77777777" w:rsidTr="00076EDF">
        <w:trPr>
          <w:cnfStyle w:val="100000000000" w:firstRow="1" w:lastRow="0" w:firstColumn="0" w:lastColumn="0" w:oddVBand="0" w:evenVBand="0" w:oddHBand="0" w:evenHBand="0" w:firstRowFirstColumn="0" w:firstRowLastColumn="0" w:lastRowFirstColumn="0" w:lastRowLastColumn="0"/>
          <w:trHeight w:val="651"/>
        </w:trPr>
        <w:tc>
          <w:tcPr>
            <w:tcW w:w="6717" w:type="dxa"/>
            <w:tcBorders>
              <w:left w:val="nil"/>
              <w:right w:val="nil"/>
            </w:tcBorders>
            <w:hideMark/>
          </w:tcPr>
          <w:p w14:paraId="2FC91F2B" w14:textId="77777777" w:rsidR="00076EDF" w:rsidRPr="00BE2622" w:rsidRDefault="00076EDF">
            <w:pPr>
              <w:pStyle w:val="NormalIndented"/>
              <w:rPr>
                <w:rFonts w:ascii="Franklin Gothic Book" w:hAnsi="Franklin Gothic Book"/>
                <w:b w:val="0"/>
                <w:color w:val="595959" w:themeColor="text1" w:themeTint="A6"/>
                <w:sz w:val="18"/>
              </w:rPr>
            </w:pPr>
            <w:r w:rsidRPr="00BE2622">
              <w:rPr>
                <w:rFonts w:ascii="Franklin Gothic Book" w:hAnsi="Franklin Gothic Book"/>
                <w:noProof/>
                <w:color w:val="595959" w:themeColor="text1" w:themeTint="A6"/>
                <w:lang w:val="en-AU"/>
              </w:rPr>
              <w:drawing>
                <wp:anchor distT="0" distB="0" distL="114300" distR="114300" simplePos="0" relativeHeight="251661312" behindDoc="0" locked="0" layoutInCell="1" allowOverlap="1" wp14:anchorId="4A39F434" wp14:editId="2C5A5BB0">
                  <wp:simplePos x="0" y="0"/>
                  <wp:positionH relativeFrom="column">
                    <wp:posOffset>0</wp:posOffset>
                  </wp:positionH>
                  <wp:positionV relativeFrom="paragraph">
                    <wp:posOffset>0</wp:posOffset>
                  </wp:positionV>
                  <wp:extent cx="1857375" cy="228600"/>
                  <wp:effectExtent l="0" t="0" r="9525" b="0"/>
                  <wp:wrapNone/>
                  <wp:docPr id="72" name="Picture 7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pic:spPr>
                      </pic:pic>
                    </a:graphicData>
                  </a:graphic>
                  <wp14:sizeRelH relativeFrom="page">
                    <wp14:pctWidth>0</wp14:pctWidth>
                  </wp14:sizeRelH>
                  <wp14:sizeRelV relativeFrom="page">
                    <wp14:pctHeight>0</wp14:pctHeight>
                  </wp14:sizeRelV>
                </wp:anchor>
              </w:drawing>
            </w:r>
            <w:r w:rsidRPr="00BE2622">
              <w:rPr>
                <w:color w:val="595959" w:themeColor="text1" w:themeTint="A6"/>
                <w:sz w:val="18"/>
              </w:rPr>
              <w:t>Objective</w:t>
            </w:r>
          </w:p>
        </w:tc>
        <w:tc>
          <w:tcPr>
            <w:tcW w:w="1293" w:type="dxa"/>
            <w:tcBorders>
              <w:left w:val="nil"/>
              <w:right w:val="nil"/>
            </w:tcBorders>
            <w:hideMark/>
          </w:tcPr>
          <w:p w14:paraId="51BD871E" w14:textId="77777777" w:rsidR="00076EDF" w:rsidRPr="00BE2622" w:rsidRDefault="00076EDF">
            <w:pPr>
              <w:pStyle w:val="NormalIndented"/>
              <w:rPr>
                <w:rFonts w:ascii="Franklin Gothic Book" w:hAnsi="Franklin Gothic Book"/>
                <w:color w:val="595959" w:themeColor="text1" w:themeTint="A6"/>
                <w:sz w:val="18"/>
              </w:rPr>
            </w:pPr>
            <w:r w:rsidRPr="00BE2622">
              <w:rPr>
                <w:color w:val="595959" w:themeColor="text1" w:themeTint="A6"/>
                <w:sz w:val="18"/>
              </w:rPr>
              <w:t>Previous Rating</w:t>
            </w:r>
          </w:p>
        </w:tc>
        <w:tc>
          <w:tcPr>
            <w:tcW w:w="1235" w:type="dxa"/>
            <w:tcBorders>
              <w:left w:val="nil"/>
              <w:right w:val="nil"/>
            </w:tcBorders>
            <w:hideMark/>
          </w:tcPr>
          <w:p w14:paraId="6EF56336" w14:textId="77777777" w:rsidR="00076EDF" w:rsidRPr="00BE2622" w:rsidRDefault="00076EDF">
            <w:pPr>
              <w:pStyle w:val="NormalIndented"/>
              <w:rPr>
                <w:rFonts w:ascii="Franklin Gothic Book" w:hAnsi="Franklin Gothic Book"/>
                <w:color w:val="595959" w:themeColor="text1" w:themeTint="A6"/>
                <w:sz w:val="18"/>
              </w:rPr>
            </w:pPr>
            <w:r w:rsidRPr="00BE2622">
              <w:rPr>
                <w:color w:val="595959" w:themeColor="text1" w:themeTint="A6"/>
                <w:sz w:val="18"/>
              </w:rPr>
              <w:t>Current Rating</w:t>
            </w:r>
          </w:p>
        </w:tc>
      </w:tr>
      <w:tr w:rsidR="00076EDF" w:rsidRPr="00BE2622" w14:paraId="1BBE92D6" w14:textId="77777777" w:rsidTr="00076EDF">
        <w:trPr>
          <w:cnfStyle w:val="100000000000" w:firstRow="1" w:lastRow="0" w:firstColumn="0" w:lastColumn="0" w:oddVBand="0" w:evenVBand="0" w:oddHBand="0" w:evenHBand="0" w:firstRowFirstColumn="0" w:firstRowLastColumn="0" w:lastRowFirstColumn="0" w:lastRowLastColumn="0"/>
        </w:trPr>
        <w:tc>
          <w:tcPr>
            <w:tcW w:w="6717" w:type="dxa"/>
            <w:tcBorders>
              <w:top w:val="nil"/>
              <w:left w:val="nil"/>
              <w:right w:val="nil"/>
            </w:tcBorders>
            <w:hideMark/>
          </w:tcPr>
          <w:p w14:paraId="3638801C" w14:textId="77777777" w:rsidR="00076EDF" w:rsidRPr="00BE2622" w:rsidRDefault="00076EDF">
            <w:pPr>
              <w:pStyle w:val="NormalIndented"/>
              <w:rPr>
                <w:rFonts w:ascii="Franklin Gothic Book" w:hAnsi="Franklin Gothic Book"/>
                <w:color w:val="595959" w:themeColor="text1" w:themeTint="A6"/>
                <w:sz w:val="16"/>
              </w:rPr>
            </w:pPr>
            <w:r w:rsidRPr="00BE2622">
              <w:rPr>
                <w:color w:val="595959" w:themeColor="text1" w:themeTint="A6"/>
                <w:sz w:val="16"/>
              </w:rPr>
              <w:t>Objective 1: Private Sector Development</w:t>
            </w:r>
          </w:p>
        </w:tc>
        <w:tc>
          <w:tcPr>
            <w:tcW w:w="1293" w:type="dxa"/>
            <w:tcBorders>
              <w:top w:val="nil"/>
              <w:left w:val="nil"/>
              <w:right w:val="nil"/>
            </w:tcBorders>
            <w:shd w:val="clear" w:color="auto" w:fill="72AF2F"/>
            <w:noWrap/>
            <w:hideMark/>
          </w:tcPr>
          <w:p w14:paraId="309784BE" w14:textId="77777777" w:rsidR="00076EDF" w:rsidRPr="00BE2622" w:rsidRDefault="00076EDF">
            <w:pPr>
              <w:pStyle w:val="NormalIndented"/>
              <w:rPr>
                <w:rFonts w:ascii="Franklin Gothic Book" w:hAnsi="Franklin Gothic Book"/>
                <w:color w:val="595959" w:themeColor="text1" w:themeTint="A6"/>
                <w:sz w:val="16"/>
              </w:rPr>
            </w:pPr>
            <w:r w:rsidRPr="00BE2622">
              <w:rPr>
                <w:color w:val="595959" w:themeColor="text1" w:themeTint="A6"/>
                <w:sz w:val="16"/>
              </w:rPr>
              <w:t>Green</w:t>
            </w:r>
          </w:p>
        </w:tc>
        <w:tc>
          <w:tcPr>
            <w:tcW w:w="1235" w:type="dxa"/>
            <w:tcBorders>
              <w:top w:val="nil"/>
              <w:left w:val="nil"/>
              <w:right w:val="nil"/>
            </w:tcBorders>
            <w:shd w:val="clear" w:color="auto" w:fill="7FB64D" w:themeFill="accent3" w:themeFillShade="BF"/>
            <w:noWrap/>
            <w:hideMark/>
          </w:tcPr>
          <w:p w14:paraId="3FCC4D4E" w14:textId="77777777" w:rsidR="00076EDF" w:rsidRPr="00BE2622" w:rsidRDefault="00076EDF">
            <w:pPr>
              <w:pStyle w:val="NormalIndented"/>
              <w:rPr>
                <w:rFonts w:ascii="Franklin Gothic Book" w:hAnsi="Franklin Gothic Book"/>
                <w:color w:val="595959" w:themeColor="text1" w:themeTint="A6"/>
                <w:sz w:val="16"/>
              </w:rPr>
            </w:pPr>
            <w:r w:rsidRPr="00BE2622">
              <w:rPr>
                <w:color w:val="595959" w:themeColor="text1" w:themeTint="A6"/>
                <w:sz w:val="16"/>
              </w:rPr>
              <w:t>Green</w:t>
            </w:r>
          </w:p>
        </w:tc>
      </w:tr>
      <w:tr w:rsidR="00076EDF" w:rsidRPr="00BE2622" w14:paraId="0B1A154D" w14:textId="77777777" w:rsidTr="00076EDF">
        <w:trPr>
          <w:cnfStyle w:val="100000000000" w:firstRow="1" w:lastRow="0" w:firstColumn="0" w:lastColumn="0" w:oddVBand="0" w:evenVBand="0" w:oddHBand="0" w:evenHBand="0" w:firstRowFirstColumn="0" w:firstRowLastColumn="0" w:lastRowFirstColumn="0" w:lastRowLastColumn="0"/>
        </w:trPr>
        <w:tc>
          <w:tcPr>
            <w:tcW w:w="6717" w:type="dxa"/>
            <w:tcBorders>
              <w:top w:val="nil"/>
              <w:left w:val="nil"/>
              <w:right w:val="nil"/>
            </w:tcBorders>
            <w:hideMark/>
          </w:tcPr>
          <w:p w14:paraId="7913EBFD" w14:textId="77777777" w:rsidR="00076EDF" w:rsidRPr="00BE2622" w:rsidRDefault="00076EDF">
            <w:pPr>
              <w:pStyle w:val="NormalIndented"/>
              <w:rPr>
                <w:rFonts w:ascii="Franklin Gothic Book" w:hAnsi="Franklin Gothic Book"/>
                <w:color w:val="595959" w:themeColor="text1" w:themeTint="A6"/>
                <w:sz w:val="16"/>
              </w:rPr>
            </w:pPr>
            <w:r w:rsidRPr="00BE2622">
              <w:rPr>
                <w:color w:val="595959" w:themeColor="text1" w:themeTint="A6"/>
                <w:sz w:val="16"/>
              </w:rPr>
              <w:t>Objective 2: Human Development</w:t>
            </w:r>
          </w:p>
        </w:tc>
        <w:tc>
          <w:tcPr>
            <w:tcW w:w="1293" w:type="dxa"/>
            <w:tcBorders>
              <w:top w:val="nil"/>
              <w:left w:val="nil"/>
              <w:right w:val="nil"/>
            </w:tcBorders>
            <w:shd w:val="clear" w:color="auto" w:fill="E36C0A"/>
            <w:noWrap/>
            <w:hideMark/>
          </w:tcPr>
          <w:p w14:paraId="0C51375C" w14:textId="77777777" w:rsidR="00076EDF" w:rsidRPr="00BE2622" w:rsidRDefault="00076EDF">
            <w:pPr>
              <w:pStyle w:val="NormalIndented"/>
              <w:rPr>
                <w:rFonts w:ascii="Franklin Gothic Book" w:hAnsi="Franklin Gothic Book"/>
                <w:color w:val="595959" w:themeColor="text1" w:themeTint="A6"/>
                <w:sz w:val="16"/>
              </w:rPr>
            </w:pPr>
            <w:r w:rsidRPr="00BE2622">
              <w:rPr>
                <w:color w:val="595959" w:themeColor="text1" w:themeTint="A6"/>
                <w:sz w:val="16"/>
              </w:rPr>
              <w:t>Amber</w:t>
            </w:r>
          </w:p>
        </w:tc>
        <w:tc>
          <w:tcPr>
            <w:tcW w:w="1235" w:type="dxa"/>
            <w:tcBorders>
              <w:top w:val="nil"/>
              <w:left w:val="nil"/>
              <w:right w:val="nil"/>
            </w:tcBorders>
            <w:shd w:val="clear" w:color="auto" w:fill="72AF2F"/>
            <w:noWrap/>
            <w:hideMark/>
          </w:tcPr>
          <w:p w14:paraId="22C56E02" w14:textId="77777777" w:rsidR="00076EDF" w:rsidRPr="00BE2622" w:rsidRDefault="00076EDF">
            <w:pPr>
              <w:pStyle w:val="NormalIndented"/>
              <w:rPr>
                <w:rFonts w:ascii="Franklin Gothic Book" w:hAnsi="Franklin Gothic Book"/>
                <w:color w:val="595959" w:themeColor="text1" w:themeTint="A6"/>
                <w:sz w:val="16"/>
              </w:rPr>
            </w:pPr>
            <w:r w:rsidRPr="00BE2622">
              <w:rPr>
                <w:color w:val="595959" w:themeColor="text1" w:themeTint="A6"/>
                <w:sz w:val="16"/>
              </w:rPr>
              <w:t>Green</w:t>
            </w:r>
          </w:p>
        </w:tc>
      </w:tr>
      <w:tr w:rsidR="00076EDF" w:rsidRPr="00BE2622" w14:paraId="21D2744A" w14:textId="77777777" w:rsidTr="00076EDF">
        <w:trPr>
          <w:cnfStyle w:val="100000000000" w:firstRow="1" w:lastRow="0" w:firstColumn="0" w:lastColumn="0" w:oddVBand="0" w:evenVBand="0" w:oddHBand="0" w:evenHBand="0" w:firstRowFirstColumn="0" w:firstRowLastColumn="0" w:lastRowFirstColumn="0" w:lastRowLastColumn="0"/>
        </w:trPr>
        <w:tc>
          <w:tcPr>
            <w:tcW w:w="6717" w:type="dxa"/>
            <w:tcBorders>
              <w:top w:val="nil"/>
              <w:left w:val="nil"/>
              <w:right w:val="nil"/>
            </w:tcBorders>
            <w:hideMark/>
          </w:tcPr>
          <w:p w14:paraId="02AFE4E5" w14:textId="77777777" w:rsidR="00076EDF" w:rsidRPr="00BE2622" w:rsidRDefault="00076EDF">
            <w:pPr>
              <w:pStyle w:val="NormalIndented"/>
              <w:rPr>
                <w:rFonts w:ascii="Franklin Gothic Book" w:hAnsi="Franklin Gothic Book"/>
                <w:color w:val="595959" w:themeColor="text1" w:themeTint="A6"/>
                <w:sz w:val="16"/>
              </w:rPr>
            </w:pPr>
            <w:r w:rsidRPr="00BE2622">
              <w:rPr>
                <w:color w:val="595959" w:themeColor="text1" w:themeTint="A6"/>
                <w:sz w:val="16"/>
              </w:rPr>
              <w:t xml:space="preserve">Objective 3: TC Winston </w:t>
            </w:r>
          </w:p>
        </w:tc>
        <w:tc>
          <w:tcPr>
            <w:tcW w:w="1293" w:type="dxa"/>
            <w:tcBorders>
              <w:top w:val="nil"/>
              <w:left w:val="nil"/>
              <w:right w:val="nil"/>
            </w:tcBorders>
            <w:shd w:val="clear" w:color="auto" w:fill="72AF2F"/>
            <w:noWrap/>
            <w:hideMark/>
          </w:tcPr>
          <w:p w14:paraId="30ECE854" w14:textId="77777777" w:rsidR="00076EDF" w:rsidRPr="00BE2622" w:rsidRDefault="00076EDF">
            <w:pPr>
              <w:pStyle w:val="NormalIndented"/>
              <w:rPr>
                <w:rFonts w:ascii="Franklin Gothic Book" w:hAnsi="Franklin Gothic Book"/>
                <w:color w:val="595959" w:themeColor="text1" w:themeTint="A6"/>
                <w:sz w:val="16"/>
              </w:rPr>
            </w:pPr>
            <w:r w:rsidRPr="00BE2622">
              <w:rPr>
                <w:color w:val="595959" w:themeColor="text1" w:themeTint="A6"/>
                <w:sz w:val="16"/>
              </w:rPr>
              <w:t>Green</w:t>
            </w:r>
          </w:p>
        </w:tc>
        <w:tc>
          <w:tcPr>
            <w:tcW w:w="1235" w:type="dxa"/>
            <w:tcBorders>
              <w:top w:val="nil"/>
              <w:left w:val="nil"/>
              <w:right w:val="nil"/>
            </w:tcBorders>
            <w:shd w:val="clear" w:color="auto" w:fill="E36C0A"/>
            <w:noWrap/>
            <w:hideMark/>
          </w:tcPr>
          <w:p w14:paraId="0B99AEC5" w14:textId="77777777" w:rsidR="00076EDF" w:rsidRPr="00BE2622" w:rsidRDefault="00076EDF">
            <w:pPr>
              <w:pStyle w:val="NormalIndented"/>
              <w:rPr>
                <w:rFonts w:ascii="Franklin Gothic Book" w:hAnsi="Franklin Gothic Book"/>
                <w:color w:val="595959" w:themeColor="text1" w:themeTint="A6"/>
                <w:sz w:val="16"/>
              </w:rPr>
            </w:pPr>
            <w:r w:rsidRPr="00BE2622">
              <w:rPr>
                <w:color w:val="595959" w:themeColor="text1" w:themeTint="A6"/>
                <w:sz w:val="16"/>
              </w:rPr>
              <w:t>Amber</w:t>
            </w:r>
          </w:p>
        </w:tc>
      </w:tr>
    </w:tbl>
    <w:p w14:paraId="21C4019E" w14:textId="77777777" w:rsidR="00076EDF" w:rsidRPr="00BE2622" w:rsidRDefault="00076EDF" w:rsidP="00076EDF">
      <w:pPr>
        <w:pStyle w:val="NormalIndented"/>
        <w:rPr>
          <w:color w:val="595959" w:themeColor="text1" w:themeTint="A6"/>
          <w:sz w:val="16"/>
        </w:rPr>
      </w:pPr>
      <w:r w:rsidRPr="00BE2622">
        <w:rPr>
          <w:color w:val="595959" w:themeColor="text1" w:themeTint="A6"/>
          <w:sz w:val="16"/>
        </w:rPr>
        <w:sym w:font="Webdings" w:char="F067"/>
      </w:r>
      <w:r w:rsidRPr="00BE2622">
        <w:rPr>
          <w:color w:val="595959" w:themeColor="text1" w:themeTint="A6"/>
          <w:sz w:val="16"/>
        </w:rPr>
        <w:t> </w:t>
      </w:r>
      <w:r w:rsidRPr="00BE2622">
        <w:rPr>
          <w:color w:val="595959" w:themeColor="text1" w:themeTint="A6"/>
          <w:sz w:val="16"/>
        </w:rPr>
        <w:t xml:space="preserve"> </w:t>
      </w:r>
      <w:r w:rsidRPr="00BE2622">
        <w:rPr>
          <w:b/>
          <w:color w:val="595959" w:themeColor="text1" w:themeTint="A6"/>
          <w:sz w:val="16"/>
        </w:rPr>
        <w:t>Green</w:t>
      </w:r>
      <w:r w:rsidRPr="00BE2622">
        <w:rPr>
          <w:color w:val="595959" w:themeColor="text1" w:themeTint="A6"/>
          <w:sz w:val="16"/>
        </w:rPr>
        <w:t>. Progress is as expected at this stage of implementation and it is likely that the objective will be achieved. Standard program management practices are sufficient.</w:t>
      </w:r>
    </w:p>
    <w:p w14:paraId="777ECFDB" w14:textId="77777777" w:rsidR="00076EDF" w:rsidRPr="00BE2622" w:rsidRDefault="00076EDF" w:rsidP="00076EDF">
      <w:pPr>
        <w:pStyle w:val="NormalIndented"/>
        <w:rPr>
          <w:color w:val="595959" w:themeColor="text1" w:themeTint="A6"/>
          <w:sz w:val="16"/>
        </w:rPr>
      </w:pPr>
      <w:r w:rsidRPr="00BE2622">
        <w:rPr>
          <w:color w:val="595959" w:themeColor="text1" w:themeTint="A6"/>
          <w:sz w:val="16"/>
        </w:rPr>
        <w:sym w:font="Webdings" w:char="F067"/>
      </w:r>
      <w:r w:rsidRPr="00BE2622">
        <w:rPr>
          <w:color w:val="595959" w:themeColor="text1" w:themeTint="A6"/>
          <w:sz w:val="16"/>
        </w:rPr>
        <w:t> </w:t>
      </w:r>
      <w:r w:rsidRPr="00BE2622">
        <w:rPr>
          <w:color w:val="595959" w:themeColor="text1" w:themeTint="A6"/>
          <w:sz w:val="16"/>
        </w:rPr>
        <w:t xml:space="preserve"> </w:t>
      </w:r>
      <w:r w:rsidRPr="00BE2622">
        <w:rPr>
          <w:b/>
          <w:color w:val="595959" w:themeColor="text1" w:themeTint="A6"/>
          <w:sz w:val="16"/>
        </w:rPr>
        <w:t>Amber</w:t>
      </w:r>
      <w:r w:rsidRPr="00BE2622">
        <w:rPr>
          <w:color w:val="595959" w:themeColor="text1" w:themeTint="A6"/>
          <w:sz w:val="16"/>
        </w:rPr>
        <w:t>. Progress is somewhat less than expected at this stage of implementation and restorative action will be necessary if the objective is to be achieved. Close performance monitoring is recommended.</w:t>
      </w:r>
    </w:p>
    <w:p w14:paraId="56F8ED02" w14:textId="77777777" w:rsidR="00076EDF" w:rsidRPr="00BE2622" w:rsidRDefault="00076EDF" w:rsidP="00076EDF">
      <w:pPr>
        <w:pStyle w:val="NormalIndented"/>
        <w:rPr>
          <w:color w:val="595959" w:themeColor="text1" w:themeTint="A6"/>
          <w:sz w:val="16"/>
        </w:rPr>
      </w:pPr>
      <w:r w:rsidRPr="00BE2622">
        <w:rPr>
          <w:color w:val="595959" w:themeColor="text1" w:themeTint="A6"/>
          <w:sz w:val="16"/>
        </w:rPr>
        <w:sym w:font="Webdings" w:char="F067"/>
      </w:r>
      <w:r w:rsidRPr="00BE2622">
        <w:rPr>
          <w:color w:val="595959" w:themeColor="text1" w:themeTint="A6"/>
          <w:sz w:val="16"/>
        </w:rPr>
        <w:t> </w:t>
      </w:r>
      <w:r w:rsidRPr="00BE2622">
        <w:rPr>
          <w:color w:val="595959" w:themeColor="text1" w:themeTint="A6"/>
          <w:sz w:val="16"/>
        </w:rPr>
        <w:t xml:space="preserve"> </w:t>
      </w:r>
      <w:r w:rsidRPr="00BE2622">
        <w:rPr>
          <w:b/>
          <w:color w:val="595959" w:themeColor="text1" w:themeTint="A6"/>
          <w:sz w:val="16"/>
        </w:rPr>
        <w:t>Red.</w:t>
      </w:r>
      <w:r w:rsidRPr="00BE2622">
        <w:rPr>
          <w:color w:val="595959" w:themeColor="text1" w:themeTint="A6"/>
          <w:sz w:val="16"/>
        </w:rPr>
        <w:t xml:space="preserve"> Progress is significantly less than expected at this stage of implementation and the objective is not likely to be met given available resources and priorities. Recasting the objective may be required.</w:t>
      </w:r>
    </w:p>
    <w:p w14:paraId="6C892EE9" w14:textId="07DD64DB" w:rsidR="00076EDF" w:rsidRPr="00BE2622" w:rsidRDefault="00076EDF" w:rsidP="00076EDF">
      <w:pPr>
        <w:pStyle w:val="ListBullet"/>
        <w:tabs>
          <w:tab w:val="clear" w:pos="284"/>
          <w:tab w:val="left" w:pos="720"/>
        </w:tabs>
        <w:spacing w:before="360"/>
        <w:rPr>
          <w:rFonts w:asciiTheme="majorHAnsi" w:eastAsiaTheme="majorEastAsia" w:hAnsiTheme="majorHAnsi" w:cstheme="majorBidi"/>
          <w:caps/>
          <w:color w:val="595959" w:themeColor="text1" w:themeTint="A6"/>
          <w:sz w:val="38"/>
          <w:szCs w:val="26"/>
          <w:lang w:val="en-GB" w:eastAsia="en-US"/>
        </w:rPr>
      </w:pPr>
      <w:r w:rsidRPr="00BE2622">
        <w:rPr>
          <w:rFonts w:asciiTheme="majorHAnsi" w:eastAsiaTheme="majorEastAsia" w:hAnsiTheme="majorHAnsi" w:cstheme="majorBidi"/>
          <w:caps/>
          <w:color w:val="595959" w:themeColor="text1" w:themeTint="A6"/>
          <w:sz w:val="38"/>
          <w:szCs w:val="26"/>
          <w:lang w:val="en-GB" w:eastAsia="en-US"/>
        </w:rPr>
        <w:t>OBJECTIVE 1 - INCREASED PRIVATE SECTOR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076EDF" w:rsidRPr="00BE2622" w14:paraId="7BB808C7" w14:textId="77777777" w:rsidTr="00076EDF">
        <w:tc>
          <w:tcPr>
            <w:tcW w:w="2016" w:type="dxa"/>
            <w:hideMark/>
          </w:tcPr>
          <w:p w14:paraId="65D99754" w14:textId="77777777" w:rsidR="00076EDF" w:rsidRPr="00BE2622" w:rsidRDefault="00076EDF">
            <w:pPr>
              <w:pStyle w:val="ListBullet"/>
              <w:tabs>
                <w:tab w:val="clear" w:pos="284"/>
                <w:tab w:val="left" w:pos="720"/>
              </w:tabs>
              <w:spacing w:before="80" w:after="80" w:line="240" w:lineRule="auto"/>
              <w:jc w:val="center"/>
              <w:rPr>
                <w:rFonts w:asciiTheme="majorHAnsi" w:eastAsiaTheme="majorEastAsia" w:hAnsiTheme="majorHAnsi" w:cstheme="majorBidi"/>
                <w:caps/>
                <w:color w:val="595959" w:themeColor="text1" w:themeTint="A6"/>
                <w:sz w:val="38"/>
                <w:szCs w:val="26"/>
                <w:lang w:val="en-GB" w:eastAsia="en-US"/>
              </w:rPr>
            </w:pPr>
            <w:r w:rsidRPr="00BE2622">
              <w:rPr>
                <w:rFonts w:asciiTheme="majorHAnsi" w:eastAsiaTheme="majorEastAsia" w:hAnsiTheme="majorHAnsi" w:cstheme="majorBidi"/>
                <w:caps/>
                <w:noProof/>
                <w:color w:val="595959" w:themeColor="text1" w:themeTint="A6"/>
                <w:sz w:val="38"/>
                <w:szCs w:val="26"/>
              </w:rPr>
              <w:drawing>
                <wp:inline distT="0" distB="0" distL="0" distR="0" wp14:anchorId="217C3EE3" wp14:editId="36855D09">
                  <wp:extent cx="1133475" cy="7239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inline>
              </w:drawing>
            </w:r>
          </w:p>
        </w:tc>
        <w:tc>
          <w:tcPr>
            <w:tcW w:w="1904" w:type="dxa"/>
            <w:hideMark/>
          </w:tcPr>
          <w:p w14:paraId="678F66ED" w14:textId="77777777" w:rsidR="00076EDF" w:rsidRPr="00BE2622" w:rsidRDefault="00076EDF">
            <w:pPr>
              <w:pStyle w:val="ListBullet"/>
              <w:tabs>
                <w:tab w:val="clear" w:pos="284"/>
                <w:tab w:val="left" w:pos="720"/>
              </w:tabs>
              <w:spacing w:before="160" w:after="80" w:line="240" w:lineRule="auto"/>
              <w:jc w:val="center"/>
              <w:rPr>
                <w:rFonts w:asciiTheme="majorHAnsi" w:eastAsiaTheme="majorEastAsia" w:hAnsiTheme="majorHAnsi" w:cstheme="majorBidi"/>
                <w:caps/>
                <w:color w:val="595959" w:themeColor="text1" w:themeTint="A6"/>
                <w:sz w:val="38"/>
                <w:szCs w:val="26"/>
                <w:lang w:val="en-GB" w:eastAsia="en-US"/>
              </w:rPr>
            </w:pPr>
            <w:r w:rsidRPr="00BE2622">
              <w:rPr>
                <w:rFonts w:asciiTheme="majorHAnsi" w:eastAsiaTheme="majorEastAsia" w:hAnsiTheme="majorHAnsi" w:cstheme="majorBidi"/>
                <w:caps/>
                <w:noProof/>
                <w:color w:val="595959" w:themeColor="text1" w:themeTint="A6"/>
                <w:sz w:val="38"/>
                <w:szCs w:val="26"/>
              </w:rPr>
              <w:drawing>
                <wp:inline distT="0" distB="0" distL="0" distR="0" wp14:anchorId="354F028E" wp14:editId="3321C4B9">
                  <wp:extent cx="609600" cy="6096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hideMark/>
          </w:tcPr>
          <w:p w14:paraId="036C8424" w14:textId="77777777" w:rsidR="00076EDF" w:rsidRPr="00BE2622" w:rsidRDefault="00076EDF">
            <w:pPr>
              <w:pStyle w:val="ListBullet"/>
              <w:tabs>
                <w:tab w:val="clear" w:pos="284"/>
                <w:tab w:val="left" w:pos="720"/>
              </w:tabs>
              <w:spacing w:before="160" w:after="80" w:line="240" w:lineRule="auto"/>
              <w:jc w:val="center"/>
              <w:rPr>
                <w:rFonts w:asciiTheme="majorHAnsi" w:eastAsiaTheme="majorEastAsia" w:hAnsiTheme="majorHAnsi" w:cstheme="majorBidi"/>
                <w:caps/>
                <w:color w:val="595959" w:themeColor="text1" w:themeTint="A6"/>
                <w:sz w:val="38"/>
                <w:szCs w:val="26"/>
                <w:lang w:val="en-GB" w:eastAsia="en-US"/>
              </w:rPr>
            </w:pPr>
            <w:r w:rsidRPr="00BE2622">
              <w:rPr>
                <w:noProof/>
                <w:color w:val="595959" w:themeColor="text1" w:themeTint="A6"/>
              </w:rPr>
              <w:drawing>
                <wp:inline distT="0" distB="0" distL="0" distR="0" wp14:anchorId="3184BD75" wp14:editId="4C64F996">
                  <wp:extent cx="609600" cy="609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hideMark/>
          </w:tcPr>
          <w:p w14:paraId="75161E16" w14:textId="77777777" w:rsidR="00076EDF" w:rsidRPr="00BE2622" w:rsidRDefault="00076EDF">
            <w:pPr>
              <w:pStyle w:val="ListBullet"/>
              <w:tabs>
                <w:tab w:val="clear" w:pos="284"/>
                <w:tab w:val="left" w:pos="720"/>
              </w:tabs>
              <w:spacing w:before="160" w:after="80" w:line="240" w:lineRule="auto"/>
              <w:jc w:val="center"/>
              <w:rPr>
                <w:rFonts w:asciiTheme="majorHAnsi" w:eastAsiaTheme="majorEastAsia" w:hAnsiTheme="majorHAnsi" w:cstheme="majorBidi"/>
                <w:caps/>
                <w:color w:val="595959" w:themeColor="text1" w:themeTint="A6"/>
                <w:sz w:val="38"/>
                <w:szCs w:val="26"/>
                <w:lang w:val="en-GB" w:eastAsia="en-US"/>
              </w:rPr>
            </w:pPr>
            <w:r w:rsidRPr="00BE2622">
              <w:rPr>
                <w:noProof/>
                <w:color w:val="595959" w:themeColor="text1" w:themeTint="A6"/>
              </w:rPr>
              <w:drawing>
                <wp:inline distT="0" distB="0" distL="0" distR="0" wp14:anchorId="58C7BF4A" wp14:editId="020264E2">
                  <wp:extent cx="609600" cy="609600"/>
                  <wp:effectExtent l="0" t="0" r="0" b="0"/>
                  <wp:docPr id="67" name="Picture 67" descr="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DG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hideMark/>
          </w:tcPr>
          <w:p w14:paraId="6C8D16FE" w14:textId="77777777" w:rsidR="00076EDF" w:rsidRPr="00BE2622" w:rsidRDefault="00076EDF">
            <w:pPr>
              <w:pStyle w:val="ListBullet"/>
              <w:tabs>
                <w:tab w:val="clear" w:pos="284"/>
                <w:tab w:val="left" w:pos="720"/>
              </w:tabs>
              <w:spacing w:before="160" w:after="80" w:line="240" w:lineRule="auto"/>
              <w:jc w:val="center"/>
              <w:rPr>
                <w:rFonts w:asciiTheme="majorHAnsi" w:eastAsiaTheme="majorEastAsia" w:hAnsiTheme="majorHAnsi" w:cstheme="majorBidi"/>
                <w:caps/>
                <w:color w:val="595959" w:themeColor="text1" w:themeTint="A6"/>
                <w:sz w:val="38"/>
                <w:szCs w:val="26"/>
                <w:lang w:val="en-GB" w:eastAsia="en-US"/>
              </w:rPr>
            </w:pPr>
            <w:r w:rsidRPr="00BE2622">
              <w:rPr>
                <w:noProof/>
                <w:color w:val="595959" w:themeColor="text1" w:themeTint="A6"/>
              </w:rPr>
              <w:drawing>
                <wp:inline distT="0" distB="0" distL="0" distR="0" wp14:anchorId="30E4F444" wp14:editId="5A7B9717">
                  <wp:extent cx="609600" cy="609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bl>
    <w:p w14:paraId="257E005A" w14:textId="0C424084" w:rsidR="00076EDF" w:rsidRDefault="00076EDF" w:rsidP="00076EDF">
      <w:pPr>
        <w:spacing w:after="120" w:line="280" w:lineRule="exact"/>
        <w:rPr>
          <w:rFonts w:eastAsia="Times New Roman"/>
          <w:color w:val="595959" w:themeColor="text1" w:themeTint="A6"/>
        </w:rPr>
      </w:pPr>
      <w:r w:rsidRPr="00BE2622" w:rsidDel="00D33502">
        <w:rPr>
          <w:rFonts w:eastAsia="Times New Roman"/>
          <w:color w:val="595959" w:themeColor="text1" w:themeTint="A6"/>
        </w:rPr>
        <w:t>The private sector is the engine of economic growth</w:t>
      </w:r>
      <w:r w:rsidR="004F73EB" w:rsidRPr="00BE2622">
        <w:rPr>
          <w:rFonts w:eastAsia="Times New Roman"/>
          <w:color w:val="595959" w:themeColor="text1" w:themeTint="A6"/>
        </w:rPr>
        <w:t xml:space="preserve"> and provides pathways out of poverty</w:t>
      </w:r>
      <w:r w:rsidRPr="00BE2622" w:rsidDel="00D33502">
        <w:rPr>
          <w:rFonts w:eastAsia="Times New Roman"/>
          <w:color w:val="595959" w:themeColor="text1" w:themeTint="A6"/>
        </w:rPr>
        <w:t xml:space="preserve">.  </w:t>
      </w:r>
      <w:r w:rsidR="004F73EB" w:rsidRPr="00BE2622">
        <w:rPr>
          <w:rFonts w:eastAsia="Times New Roman"/>
          <w:color w:val="595959" w:themeColor="text1" w:themeTint="A6"/>
        </w:rPr>
        <w:t xml:space="preserve">Australia supports </w:t>
      </w:r>
      <w:r w:rsidRPr="00BE2622">
        <w:rPr>
          <w:rFonts w:eastAsia="Times New Roman"/>
          <w:color w:val="595959" w:themeColor="text1" w:themeTint="A6"/>
        </w:rPr>
        <w:t xml:space="preserve">private sector </w:t>
      </w:r>
      <w:r w:rsidR="004F73EB" w:rsidRPr="00BE2622">
        <w:rPr>
          <w:rFonts w:eastAsia="Times New Roman"/>
          <w:color w:val="595959" w:themeColor="text1" w:themeTint="A6"/>
        </w:rPr>
        <w:t xml:space="preserve">development in Fiji at </w:t>
      </w:r>
      <w:r w:rsidR="00A04084">
        <w:rPr>
          <w:rFonts w:eastAsia="Times New Roman"/>
          <w:color w:val="595959" w:themeColor="text1" w:themeTint="A6"/>
        </w:rPr>
        <w:t xml:space="preserve">multiple </w:t>
      </w:r>
      <w:r w:rsidR="004F73EB" w:rsidRPr="00BE2622">
        <w:rPr>
          <w:rFonts w:eastAsia="Times New Roman"/>
          <w:color w:val="595959" w:themeColor="text1" w:themeTint="A6"/>
        </w:rPr>
        <w:t>levels</w:t>
      </w:r>
      <w:r w:rsidRPr="00BE2622">
        <w:rPr>
          <w:rFonts w:eastAsia="Times New Roman"/>
          <w:color w:val="595959" w:themeColor="text1" w:themeTint="A6"/>
        </w:rPr>
        <w:t>.</w:t>
      </w:r>
      <w:r w:rsidR="00157DD7" w:rsidRPr="00BE2622">
        <w:rPr>
          <w:color w:val="595959" w:themeColor="text1" w:themeTint="A6"/>
        </w:rPr>
        <w:t xml:space="preserve">  </w:t>
      </w:r>
      <w:r w:rsidRPr="00BE2622">
        <w:rPr>
          <w:rFonts w:eastAsia="Times New Roman"/>
          <w:color w:val="595959" w:themeColor="text1" w:themeTint="A6"/>
        </w:rPr>
        <w:t xml:space="preserve">First, </w:t>
      </w:r>
      <w:r w:rsidR="00215B35" w:rsidRPr="00BE2622">
        <w:rPr>
          <w:rFonts w:eastAsia="Times New Roman"/>
          <w:color w:val="595959" w:themeColor="text1" w:themeTint="A6"/>
        </w:rPr>
        <w:t>we</w:t>
      </w:r>
      <w:r w:rsidRPr="00BE2622">
        <w:rPr>
          <w:rFonts w:eastAsia="Times New Roman"/>
          <w:color w:val="595959" w:themeColor="text1" w:themeTint="A6"/>
        </w:rPr>
        <w:t xml:space="preserve"> provide direct support to businesses</w:t>
      </w:r>
      <w:r w:rsidR="00215B35" w:rsidRPr="00BE2622">
        <w:rPr>
          <w:rFonts w:eastAsia="Times New Roman"/>
          <w:color w:val="595959" w:themeColor="text1" w:themeTint="A6"/>
        </w:rPr>
        <w:t xml:space="preserve">, particularly those owned by women and rural households, </w:t>
      </w:r>
      <w:r w:rsidRPr="00BE2622">
        <w:rPr>
          <w:rFonts w:eastAsia="Times New Roman"/>
          <w:color w:val="595959" w:themeColor="text1" w:themeTint="A6"/>
        </w:rPr>
        <w:t>to stimulate innovation</w:t>
      </w:r>
      <w:r w:rsidR="00E7257B">
        <w:rPr>
          <w:rFonts w:eastAsia="Times New Roman"/>
          <w:color w:val="595959" w:themeColor="text1" w:themeTint="A6"/>
        </w:rPr>
        <w:t>, trade, investment</w:t>
      </w:r>
      <w:r w:rsidRPr="00BE2622">
        <w:rPr>
          <w:rFonts w:eastAsia="Times New Roman"/>
          <w:color w:val="595959" w:themeColor="text1" w:themeTint="A6"/>
        </w:rPr>
        <w:t xml:space="preserve"> and job creation.  Second, we promote ‘governance for growth’ by supporting structural and regulatory reforms to improve the enabling environment for the private sector</w:t>
      </w:r>
      <w:r w:rsidR="00A04084">
        <w:rPr>
          <w:rFonts w:eastAsia="Times New Roman"/>
          <w:color w:val="595959" w:themeColor="text1" w:themeTint="A6"/>
        </w:rPr>
        <w:t>.  G</w:t>
      </w:r>
      <w:r w:rsidR="004F73EB" w:rsidRPr="00BE2622">
        <w:rPr>
          <w:rFonts w:eastAsia="Times New Roman"/>
          <w:color w:val="595959" w:themeColor="text1" w:themeTint="A6"/>
        </w:rPr>
        <w:t xml:space="preserve">iven </w:t>
      </w:r>
      <w:r w:rsidRPr="00BE2622">
        <w:rPr>
          <w:rFonts w:eastAsia="Times New Roman"/>
          <w:color w:val="595959" w:themeColor="text1" w:themeTint="A6"/>
        </w:rPr>
        <w:t xml:space="preserve">the importance of </w:t>
      </w:r>
      <w:r w:rsidR="00A04084">
        <w:rPr>
          <w:rFonts w:eastAsia="Times New Roman"/>
          <w:color w:val="595959" w:themeColor="text1" w:themeTint="A6"/>
        </w:rPr>
        <w:t xml:space="preserve">a capable civil service and </w:t>
      </w:r>
      <w:r w:rsidRPr="00BE2622">
        <w:rPr>
          <w:rFonts w:eastAsia="Times New Roman"/>
          <w:color w:val="595959" w:themeColor="text1" w:themeTint="A6"/>
        </w:rPr>
        <w:t xml:space="preserve">effective public institutions to good governance and investor confidence, we also support </w:t>
      </w:r>
      <w:r w:rsidR="00A04084">
        <w:rPr>
          <w:rFonts w:eastAsia="Times New Roman"/>
          <w:color w:val="595959" w:themeColor="text1" w:themeTint="A6"/>
        </w:rPr>
        <w:t xml:space="preserve">the </w:t>
      </w:r>
      <w:r w:rsidRPr="00BE2622">
        <w:rPr>
          <w:rFonts w:eastAsia="Times New Roman"/>
          <w:color w:val="595959" w:themeColor="text1" w:themeTint="A6"/>
        </w:rPr>
        <w:t>Fiji Government</w:t>
      </w:r>
      <w:r w:rsidR="00A04084">
        <w:rPr>
          <w:rFonts w:eastAsia="Times New Roman"/>
          <w:color w:val="595959" w:themeColor="text1" w:themeTint="A6"/>
        </w:rPr>
        <w:t>’s</w:t>
      </w:r>
      <w:r w:rsidRPr="00BE2622">
        <w:rPr>
          <w:rFonts w:eastAsia="Times New Roman"/>
          <w:color w:val="595959" w:themeColor="text1" w:themeTint="A6"/>
        </w:rPr>
        <w:t xml:space="preserve"> reform efforts in these areas. </w:t>
      </w:r>
    </w:p>
    <w:p w14:paraId="64B1BB94" w14:textId="77777777" w:rsidR="00EE2EA8" w:rsidRDefault="00EE2EA8" w:rsidP="00076EDF">
      <w:pPr>
        <w:spacing w:after="120" w:line="280" w:lineRule="exact"/>
        <w:rPr>
          <w:rFonts w:eastAsia="Times New Roman"/>
          <w:color w:val="595959" w:themeColor="text1" w:themeTint="A6"/>
        </w:rPr>
      </w:pPr>
    </w:p>
    <w:p w14:paraId="0E54B066" w14:textId="77777777" w:rsidR="00076EDF" w:rsidRPr="00BE2622" w:rsidRDefault="00076EDF" w:rsidP="00076EDF">
      <w:pPr>
        <w:spacing w:before="240"/>
        <w:rPr>
          <w:color w:val="595959" w:themeColor="text1" w:themeTint="A6"/>
        </w:rPr>
      </w:pPr>
      <w:r w:rsidRPr="00BE2622">
        <w:rPr>
          <w:b/>
          <w:color w:val="595959" w:themeColor="text1" w:themeTint="A6"/>
        </w:rPr>
        <w:lastRenderedPageBreak/>
        <w:t>Stimulate investment, trade and economic activity to increase incomes of the poor</w:t>
      </w:r>
    </w:p>
    <w:p w14:paraId="61FFE376" w14:textId="49BD314C" w:rsidR="00076EDF" w:rsidRPr="00BE2622" w:rsidRDefault="00215B35" w:rsidP="00157DD7">
      <w:pPr>
        <w:spacing w:before="240"/>
        <w:rPr>
          <w:color w:val="595959" w:themeColor="text1" w:themeTint="A6"/>
        </w:rPr>
      </w:pPr>
      <w:r w:rsidRPr="00BE2622">
        <w:rPr>
          <w:color w:val="595959" w:themeColor="text1" w:themeTint="A6"/>
        </w:rPr>
        <w:t xml:space="preserve">In 2016-17, </w:t>
      </w:r>
      <w:r w:rsidR="00076EDF" w:rsidRPr="00BE2622">
        <w:rPr>
          <w:color w:val="595959" w:themeColor="text1" w:themeTint="A6"/>
        </w:rPr>
        <w:t>Australia direct</w:t>
      </w:r>
      <w:r w:rsidRPr="00BE2622">
        <w:rPr>
          <w:color w:val="595959" w:themeColor="text1" w:themeTint="A6"/>
        </w:rPr>
        <w:t>ly</w:t>
      </w:r>
      <w:r w:rsidR="00076EDF" w:rsidRPr="00BE2622">
        <w:rPr>
          <w:color w:val="595959" w:themeColor="text1" w:themeTint="A6"/>
        </w:rPr>
        <w:t xml:space="preserve"> support</w:t>
      </w:r>
      <w:r w:rsidRPr="00BE2622">
        <w:rPr>
          <w:color w:val="595959" w:themeColor="text1" w:themeTint="A6"/>
        </w:rPr>
        <w:t xml:space="preserve">ed Fiji’s </w:t>
      </w:r>
      <w:r w:rsidR="00076EDF" w:rsidRPr="00BE2622">
        <w:rPr>
          <w:color w:val="595959" w:themeColor="text1" w:themeTint="A6"/>
        </w:rPr>
        <w:t>private sector</w:t>
      </w:r>
      <w:r w:rsidRPr="00BE2622">
        <w:rPr>
          <w:color w:val="595959" w:themeColor="text1" w:themeTint="A6"/>
        </w:rPr>
        <w:t xml:space="preserve"> through th</w:t>
      </w:r>
      <w:r w:rsidR="00E7257B">
        <w:rPr>
          <w:color w:val="595959" w:themeColor="text1" w:themeTint="A6"/>
        </w:rPr>
        <w:t>re</w:t>
      </w:r>
      <w:r w:rsidRPr="00BE2622">
        <w:rPr>
          <w:color w:val="595959" w:themeColor="text1" w:themeTint="A6"/>
        </w:rPr>
        <w:t xml:space="preserve">e </w:t>
      </w:r>
      <w:r w:rsidR="00076EDF" w:rsidRPr="00BE2622">
        <w:rPr>
          <w:color w:val="595959" w:themeColor="text1" w:themeTint="A6"/>
        </w:rPr>
        <w:t xml:space="preserve">programs:  the Market Development Facility (MDF, $8.8 million, 2013-17, bilateral); the Pacific Horticultural and Market Access program (PHAMA, $25.7 million, 2013-18, regional); and the Pacific Financial Inclusion Program (PFIP, $5 million, 2013-17, </w:t>
      </w:r>
      <w:r w:rsidR="008E12E2">
        <w:rPr>
          <w:color w:val="595959" w:themeColor="text1" w:themeTint="A6"/>
        </w:rPr>
        <w:t>regional</w:t>
      </w:r>
      <w:r w:rsidR="00076EDF" w:rsidRPr="00BE2622">
        <w:rPr>
          <w:color w:val="595959" w:themeColor="text1" w:themeTint="A6"/>
        </w:rPr>
        <w:t>).</w:t>
      </w:r>
      <w:r w:rsidR="00157DD7" w:rsidRPr="00BE2622">
        <w:rPr>
          <w:color w:val="595959" w:themeColor="text1" w:themeTint="A6"/>
        </w:rPr>
        <w:t xml:space="preserve">  </w:t>
      </w:r>
    </w:p>
    <w:p w14:paraId="012E5BC3" w14:textId="62B6B131" w:rsidR="00E7257B" w:rsidRDefault="00076EDF" w:rsidP="00076EDF">
      <w:pPr>
        <w:spacing w:before="240"/>
        <w:rPr>
          <w:rFonts w:cs="Arial"/>
          <w:color w:val="595959" w:themeColor="text1" w:themeTint="A6"/>
        </w:rPr>
      </w:pPr>
      <w:r w:rsidRPr="00BE2622">
        <w:rPr>
          <w:rFonts w:cs="Arial"/>
          <w:color w:val="595959" w:themeColor="text1" w:themeTint="A6"/>
        </w:rPr>
        <w:t xml:space="preserve">MDF </w:t>
      </w:r>
      <w:r w:rsidR="00CF5B23" w:rsidRPr="00BE2622">
        <w:rPr>
          <w:rFonts w:cs="Arial"/>
          <w:color w:val="595959" w:themeColor="text1" w:themeTint="A6"/>
        </w:rPr>
        <w:t xml:space="preserve">achieved impressive results </w:t>
      </w:r>
      <w:r w:rsidR="00A04084">
        <w:rPr>
          <w:rFonts w:cs="Arial"/>
          <w:color w:val="595959" w:themeColor="text1" w:themeTint="A6"/>
        </w:rPr>
        <w:t xml:space="preserve">in 2016-17 </w:t>
      </w:r>
      <w:r w:rsidR="00CF5B23" w:rsidRPr="00BE2622">
        <w:rPr>
          <w:rFonts w:cs="Arial"/>
          <w:color w:val="595959" w:themeColor="text1" w:themeTint="A6"/>
        </w:rPr>
        <w:t xml:space="preserve">by </w:t>
      </w:r>
      <w:r w:rsidRPr="00BE2622">
        <w:rPr>
          <w:rFonts w:cs="Arial"/>
          <w:color w:val="595959" w:themeColor="text1" w:themeTint="A6"/>
        </w:rPr>
        <w:t>partner</w:t>
      </w:r>
      <w:r w:rsidR="00CF5B23" w:rsidRPr="00BE2622">
        <w:rPr>
          <w:rFonts w:cs="Arial"/>
          <w:color w:val="595959" w:themeColor="text1" w:themeTint="A6"/>
        </w:rPr>
        <w:t xml:space="preserve">ing </w:t>
      </w:r>
      <w:r w:rsidRPr="00BE2622">
        <w:rPr>
          <w:rFonts w:cs="Arial"/>
          <w:color w:val="595959" w:themeColor="text1" w:themeTint="A6"/>
        </w:rPr>
        <w:t xml:space="preserve">with businesses </w:t>
      </w:r>
      <w:r w:rsidR="00CF5B23" w:rsidRPr="00BE2622">
        <w:rPr>
          <w:rFonts w:cs="Arial"/>
          <w:color w:val="595959" w:themeColor="text1" w:themeTint="A6"/>
        </w:rPr>
        <w:t xml:space="preserve">in the horticulture, tourism and export processing sectors </w:t>
      </w:r>
      <w:r w:rsidR="00E7257B">
        <w:rPr>
          <w:rFonts w:cs="Arial"/>
          <w:color w:val="595959" w:themeColor="text1" w:themeTint="A6"/>
        </w:rPr>
        <w:t xml:space="preserve">with </w:t>
      </w:r>
      <w:r w:rsidRPr="00BE2622">
        <w:rPr>
          <w:rFonts w:cs="Arial"/>
          <w:color w:val="595959" w:themeColor="text1" w:themeTint="A6"/>
        </w:rPr>
        <w:t xml:space="preserve">the potential </w:t>
      </w:r>
      <w:r w:rsidR="00207DB7" w:rsidRPr="00BE2622">
        <w:rPr>
          <w:rFonts w:cs="Arial"/>
          <w:color w:val="595959" w:themeColor="text1" w:themeTint="A6"/>
        </w:rPr>
        <w:t xml:space="preserve">to grow and achieve </w:t>
      </w:r>
      <w:r w:rsidR="0083359F">
        <w:rPr>
          <w:rFonts w:cs="Arial"/>
          <w:color w:val="595959" w:themeColor="text1" w:themeTint="A6"/>
        </w:rPr>
        <w:t xml:space="preserve">significant </w:t>
      </w:r>
      <w:r w:rsidRPr="00BE2622">
        <w:rPr>
          <w:rFonts w:cs="Arial"/>
          <w:color w:val="595959" w:themeColor="text1" w:themeTint="A6"/>
        </w:rPr>
        <w:t>pro-poor impact</w:t>
      </w:r>
      <w:r w:rsidR="0083359F">
        <w:rPr>
          <w:rFonts w:cs="Arial"/>
          <w:color w:val="595959" w:themeColor="text1" w:themeTint="A6"/>
        </w:rPr>
        <w:t>s</w:t>
      </w:r>
      <w:r w:rsidRPr="00BE2622">
        <w:rPr>
          <w:rFonts w:cs="Arial"/>
          <w:color w:val="595959" w:themeColor="text1" w:themeTint="A6"/>
        </w:rPr>
        <w:t>.</w:t>
      </w:r>
      <w:r w:rsidR="00F86A88" w:rsidRPr="00BE2622">
        <w:rPr>
          <w:rFonts w:cs="Arial"/>
          <w:color w:val="595959" w:themeColor="text1" w:themeTint="A6"/>
        </w:rPr>
        <w:t xml:space="preserve">  </w:t>
      </w:r>
      <w:r w:rsidR="00CF5B23" w:rsidRPr="00BE2622">
        <w:rPr>
          <w:rFonts w:eastAsia="Times New Roman"/>
          <w:color w:val="595959" w:themeColor="text1" w:themeTint="A6"/>
        </w:rPr>
        <w:t xml:space="preserve">In the horticulture sector, </w:t>
      </w:r>
      <w:r w:rsidR="00207DB7" w:rsidRPr="00BE2622">
        <w:rPr>
          <w:rFonts w:eastAsia="Times New Roman"/>
          <w:color w:val="595959" w:themeColor="text1" w:themeTint="A6"/>
        </w:rPr>
        <w:t>MDF</w:t>
      </w:r>
      <w:r w:rsidR="00CF5B23" w:rsidRPr="00BE2622">
        <w:rPr>
          <w:rFonts w:eastAsia="Times New Roman"/>
          <w:color w:val="595959" w:themeColor="text1" w:themeTint="A6"/>
        </w:rPr>
        <w:t xml:space="preserve"> </w:t>
      </w:r>
      <w:r w:rsidR="00207DB7" w:rsidRPr="00BE2622">
        <w:rPr>
          <w:rFonts w:cs="Arial"/>
          <w:color w:val="595959" w:themeColor="text1" w:themeTint="A6"/>
        </w:rPr>
        <w:t>expan</w:t>
      </w:r>
      <w:r w:rsidR="00CF5B23" w:rsidRPr="00BE2622">
        <w:rPr>
          <w:rFonts w:cs="Arial"/>
          <w:color w:val="595959" w:themeColor="text1" w:themeTint="A6"/>
        </w:rPr>
        <w:t>ded</w:t>
      </w:r>
      <w:r w:rsidR="00207DB7" w:rsidRPr="00BE2622">
        <w:rPr>
          <w:rFonts w:cs="Arial"/>
          <w:color w:val="595959" w:themeColor="text1" w:themeTint="A6"/>
        </w:rPr>
        <w:t xml:space="preserve"> </w:t>
      </w:r>
      <w:r w:rsidR="004E5AB5" w:rsidRPr="00BE2622">
        <w:rPr>
          <w:rFonts w:cs="Arial"/>
          <w:color w:val="595959" w:themeColor="text1" w:themeTint="A6"/>
        </w:rPr>
        <w:t>the market for farm inputs</w:t>
      </w:r>
      <w:r w:rsidR="00CF5B23" w:rsidRPr="00BE2622">
        <w:rPr>
          <w:rFonts w:cs="Arial"/>
          <w:color w:val="595959" w:themeColor="text1" w:themeTint="A6"/>
        </w:rPr>
        <w:t xml:space="preserve">.  </w:t>
      </w:r>
      <w:r w:rsidR="00070647">
        <w:rPr>
          <w:rFonts w:cs="Arial"/>
          <w:color w:val="595959" w:themeColor="text1" w:themeTint="A6"/>
        </w:rPr>
        <w:t>An assessment by an Independent Advisory Group (</w:t>
      </w:r>
      <w:r w:rsidR="004E5AB5" w:rsidRPr="00BE2622">
        <w:rPr>
          <w:rFonts w:cs="Arial"/>
          <w:color w:val="595959" w:themeColor="text1" w:themeTint="A6"/>
        </w:rPr>
        <w:t>IAG</w:t>
      </w:r>
      <w:r w:rsidR="00070647">
        <w:rPr>
          <w:rFonts w:cs="Arial"/>
          <w:color w:val="595959" w:themeColor="text1" w:themeTint="A6"/>
        </w:rPr>
        <w:t>)</w:t>
      </w:r>
      <w:r w:rsidR="004E5AB5" w:rsidRPr="00BE2622">
        <w:rPr>
          <w:rFonts w:cs="Arial"/>
          <w:color w:val="595959" w:themeColor="text1" w:themeTint="A6"/>
        </w:rPr>
        <w:t xml:space="preserve"> found there are now more market actors offering more farmers a greater choice of agricultural inputs and services along with </w:t>
      </w:r>
      <w:r w:rsidR="0083359F">
        <w:rPr>
          <w:rFonts w:cs="Arial"/>
          <w:color w:val="595959" w:themeColor="text1" w:themeTint="A6"/>
        </w:rPr>
        <w:t xml:space="preserve">an </w:t>
      </w:r>
      <w:r w:rsidR="004E5AB5" w:rsidRPr="00BE2622">
        <w:rPr>
          <w:rFonts w:cs="Arial"/>
          <w:color w:val="595959" w:themeColor="text1" w:themeTint="A6"/>
        </w:rPr>
        <w:t>expan</w:t>
      </w:r>
      <w:r w:rsidR="0083359F">
        <w:rPr>
          <w:rFonts w:cs="Arial"/>
          <w:color w:val="595959" w:themeColor="text1" w:themeTint="A6"/>
        </w:rPr>
        <w:t xml:space="preserve">ded range </w:t>
      </w:r>
      <w:r w:rsidR="004E5AB5" w:rsidRPr="00BE2622">
        <w:rPr>
          <w:rFonts w:cs="Arial"/>
          <w:color w:val="595959" w:themeColor="text1" w:themeTint="A6"/>
        </w:rPr>
        <w:t>of distribution lines. In 2016</w:t>
      </w:r>
      <w:r w:rsidR="00F86A88" w:rsidRPr="00BE2622">
        <w:rPr>
          <w:rFonts w:cs="Arial"/>
          <w:color w:val="595959" w:themeColor="text1" w:themeTint="A6"/>
        </w:rPr>
        <w:t>,</w:t>
      </w:r>
      <w:r w:rsidR="004E5AB5" w:rsidRPr="00BE2622">
        <w:rPr>
          <w:rFonts w:cs="Arial"/>
          <w:color w:val="595959" w:themeColor="text1" w:themeTint="A6"/>
        </w:rPr>
        <w:t xml:space="preserve"> 20,500 bags of aglime w</w:t>
      </w:r>
      <w:r w:rsidR="0083359F">
        <w:rPr>
          <w:rFonts w:cs="Arial"/>
          <w:color w:val="595959" w:themeColor="text1" w:themeTint="A6"/>
        </w:rPr>
        <w:t>ere</w:t>
      </w:r>
      <w:r w:rsidR="004E5AB5" w:rsidRPr="00BE2622">
        <w:rPr>
          <w:rFonts w:cs="Arial"/>
          <w:color w:val="595959" w:themeColor="text1" w:themeTint="A6"/>
        </w:rPr>
        <w:t xml:space="preserve"> distributed to farmers, up from 3,000 in 2015</w:t>
      </w:r>
      <w:r w:rsidR="0083359F">
        <w:rPr>
          <w:rFonts w:cs="Arial"/>
          <w:color w:val="595959" w:themeColor="text1" w:themeTint="A6"/>
        </w:rPr>
        <w:t xml:space="preserve">, </w:t>
      </w:r>
      <w:r w:rsidR="00CF5B23" w:rsidRPr="00BE2622">
        <w:rPr>
          <w:rFonts w:cs="Arial"/>
          <w:color w:val="595959" w:themeColor="text1" w:themeTint="A6"/>
        </w:rPr>
        <w:t>boost</w:t>
      </w:r>
      <w:r w:rsidR="0083359F">
        <w:rPr>
          <w:rFonts w:cs="Arial"/>
          <w:color w:val="595959" w:themeColor="text1" w:themeTint="A6"/>
        </w:rPr>
        <w:t xml:space="preserve">ing </w:t>
      </w:r>
      <w:r w:rsidR="00CF5B23" w:rsidRPr="00BE2622">
        <w:rPr>
          <w:rFonts w:cs="Arial"/>
          <w:color w:val="595959" w:themeColor="text1" w:themeTint="A6"/>
        </w:rPr>
        <w:t>farmer productivity and reduc</w:t>
      </w:r>
      <w:r w:rsidR="0083359F">
        <w:rPr>
          <w:rFonts w:cs="Arial"/>
          <w:color w:val="595959" w:themeColor="text1" w:themeTint="A6"/>
        </w:rPr>
        <w:t>ing</w:t>
      </w:r>
      <w:r w:rsidR="00CF5B23" w:rsidRPr="00BE2622">
        <w:rPr>
          <w:rFonts w:cs="Arial"/>
          <w:color w:val="595959" w:themeColor="text1" w:themeTint="A6"/>
        </w:rPr>
        <w:t xml:space="preserve"> soil acidity.</w:t>
      </w:r>
    </w:p>
    <w:p w14:paraId="444D1D43" w14:textId="179CFEC6" w:rsidR="004E5AB5" w:rsidRPr="00BE2622" w:rsidRDefault="004E5AB5" w:rsidP="00076EDF">
      <w:pPr>
        <w:spacing w:before="240"/>
        <w:rPr>
          <w:rFonts w:cs="Arial"/>
          <w:color w:val="595959" w:themeColor="text1" w:themeTint="A6"/>
        </w:rPr>
      </w:pPr>
      <w:r w:rsidRPr="00BE2622">
        <w:rPr>
          <w:rFonts w:cs="Arial"/>
          <w:color w:val="595959" w:themeColor="text1" w:themeTint="A6"/>
        </w:rPr>
        <w:t xml:space="preserve">In tourism, MDF </w:t>
      </w:r>
      <w:r w:rsidR="00CF5B23" w:rsidRPr="00BE2622">
        <w:rPr>
          <w:rFonts w:cs="Arial"/>
          <w:color w:val="595959" w:themeColor="text1" w:themeTint="A6"/>
        </w:rPr>
        <w:t xml:space="preserve">worked </w:t>
      </w:r>
      <w:r w:rsidR="00F86A88" w:rsidRPr="00BE2622">
        <w:rPr>
          <w:rFonts w:cs="Arial"/>
          <w:color w:val="595959" w:themeColor="text1" w:themeTint="A6"/>
        </w:rPr>
        <w:t xml:space="preserve">to </w:t>
      </w:r>
      <w:r w:rsidR="00CF5B23" w:rsidRPr="00BE2622">
        <w:rPr>
          <w:rFonts w:cs="Arial"/>
          <w:color w:val="595959" w:themeColor="text1" w:themeTint="A6"/>
        </w:rPr>
        <w:t>increase</w:t>
      </w:r>
      <w:r w:rsidR="00F86A88" w:rsidRPr="00BE2622">
        <w:rPr>
          <w:rFonts w:cs="Arial"/>
          <w:color w:val="595959" w:themeColor="text1" w:themeTint="A6"/>
        </w:rPr>
        <w:t xml:space="preserve"> visitor numbers to </w:t>
      </w:r>
      <w:r w:rsidRPr="00BE2622">
        <w:rPr>
          <w:rFonts w:cs="Arial"/>
          <w:color w:val="595959" w:themeColor="text1" w:themeTint="A6"/>
        </w:rPr>
        <w:t>remote regions</w:t>
      </w:r>
      <w:r w:rsidR="00207DB7" w:rsidRPr="00BE2622">
        <w:rPr>
          <w:rFonts w:cs="Arial"/>
          <w:color w:val="595959" w:themeColor="text1" w:themeTint="A6"/>
        </w:rPr>
        <w:t xml:space="preserve"> </w:t>
      </w:r>
      <w:r w:rsidR="002012C8" w:rsidRPr="00BE2622">
        <w:rPr>
          <w:rFonts w:cs="Arial"/>
          <w:color w:val="595959" w:themeColor="text1" w:themeTint="A6"/>
        </w:rPr>
        <w:t>(</w:t>
      </w:r>
      <w:r w:rsidR="00207DB7" w:rsidRPr="00BE2622">
        <w:rPr>
          <w:rFonts w:cs="Arial"/>
          <w:color w:val="595959" w:themeColor="text1" w:themeTint="A6"/>
        </w:rPr>
        <w:t xml:space="preserve">currently </w:t>
      </w:r>
      <w:r w:rsidR="002012C8" w:rsidRPr="00BE2622">
        <w:rPr>
          <w:rFonts w:cs="Arial"/>
          <w:color w:val="595959" w:themeColor="text1" w:themeTint="A6"/>
        </w:rPr>
        <w:t xml:space="preserve">85 percent of tourists stay in established tourist areas). </w:t>
      </w:r>
      <w:r w:rsidRPr="00BE2622">
        <w:rPr>
          <w:rFonts w:cs="Arial"/>
          <w:color w:val="595959" w:themeColor="text1" w:themeTint="A6"/>
        </w:rPr>
        <w:t xml:space="preserve"> MDF</w:t>
      </w:r>
      <w:r w:rsidR="00F86A88" w:rsidRPr="00BE2622">
        <w:rPr>
          <w:rFonts w:cs="Arial"/>
          <w:color w:val="595959" w:themeColor="text1" w:themeTint="A6"/>
        </w:rPr>
        <w:t xml:space="preserve"> supported the formation of a new tourism association (‘Simply Sabeto’) and </w:t>
      </w:r>
      <w:r w:rsidR="00207DB7" w:rsidRPr="00BE2622">
        <w:rPr>
          <w:rFonts w:cs="Arial"/>
          <w:color w:val="595959" w:themeColor="text1" w:themeTint="A6"/>
        </w:rPr>
        <w:t xml:space="preserve">the launch of websites by </w:t>
      </w:r>
      <w:r w:rsidR="00F86A88" w:rsidRPr="00BE2622">
        <w:rPr>
          <w:rFonts w:cs="Arial"/>
          <w:color w:val="595959" w:themeColor="text1" w:themeTint="A6"/>
        </w:rPr>
        <w:t xml:space="preserve">two other </w:t>
      </w:r>
      <w:r w:rsidR="00E654CE">
        <w:rPr>
          <w:rFonts w:cs="Arial"/>
          <w:color w:val="595959" w:themeColor="text1" w:themeTint="A6"/>
        </w:rPr>
        <w:t xml:space="preserve">local tourism </w:t>
      </w:r>
      <w:r w:rsidR="00F86A88" w:rsidRPr="00BE2622">
        <w:rPr>
          <w:rFonts w:cs="Arial"/>
          <w:color w:val="595959" w:themeColor="text1" w:themeTint="A6"/>
        </w:rPr>
        <w:t xml:space="preserve">associations </w:t>
      </w:r>
      <w:r w:rsidRPr="00BE2622">
        <w:rPr>
          <w:rFonts w:cs="Arial"/>
          <w:color w:val="595959" w:themeColor="text1" w:themeTint="A6"/>
        </w:rPr>
        <w:t xml:space="preserve">in 2016. </w:t>
      </w:r>
      <w:r w:rsidR="00207DB7" w:rsidRPr="00BE2622">
        <w:rPr>
          <w:rFonts w:cs="Arial"/>
          <w:color w:val="595959" w:themeColor="text1" w:themeTint="A6"/>
        </w:rPr>
        <w:t xml:space="preserve"> </w:t>
      </w:r>
      <w:r w:rsidR="00F86A88" w:rsidRPr="00BE2622">
        <w:rPr>
          <w:rFonts w:cs="Arial"/>
          <w:color w:val="595959" w:themeColor="text1" w:themeTint="A6"/>
        </w:rPr>
        <w:t xml:space="preserve">It </w:t>
      </w:r>
      <w:r w:rsidR="00207DB7" w:rsidRPr="00BE2622">
        <w:rPr>
          <w:rFonts w:cs="Arial"/>
          <w:color w:val="595959" w:themeColor="text1" w:themeTint="A6"/>
        </w:rPr>
        <w:t xml:space="preserve">also </w:t>
      </w:r>
      <w:r w:rsidRPr="00BE2622">
        <w:rPr>
          <w:rFonts w:cs="Arial"/>
          <w:color w:val="595959" w:themeColor="text1" w:themeTint="A6"/>
        </w:rPr>
        <w:t xml:space="preserve">facilitated the first visit </w:t>
      </w:r>
      <w:r w:rsidR="00CF5B23" w:rsidRPr="00BE2622">
        <w:rPr>
          <w:rFonts w:cs="Arial"/>
          <w:color w:val="595959" w:themeColor="text1" w:themeTint="A6"/>
        </w:rPr>
        <w:t xml:space="preserve">to Fiji </w:t>
      </w:r>
      <w:r w:rsidRPr="00BE2622">
        <w:rPr>
          <w:rFonts w:cs="Arial"/>
          <w:color w:val="595959" w:themeColor="text1" w:themeTint="A6"/>
        </w:rPr>
        <w:t>by TripAdvisor to hold a workshop on improv</w:t>
      </w:r>
      <w:r w:rsidR="00F86A88" w:rsidRPr="00BE2622">
        <w:rPr>
          <w:rFonts w:cs="Arial"/>
          <w:color w:val="595959" w:themeColor="text1" w:themeTint="A6"/>
        </w:rPr>
        <w:t>ing</w:t>
      </w:r>
      <w:r w:rsidRPr="00BE2622">
        <w:rPr>
          <w:rFonts w:cs="Arial"/>
          <w:color w:val="595959" w:themeColor="text1" w:themeTint="A6"/>
        </w:rPr>
        <w:t xml:space="preserve"> online marketing</w:t>
      </w:r>
      <w:r w:rsidR="00207DB7" w:rsidRPr="00BE2622">
        <w:rPr>
          <w:rFonts w:cs="Arial"/>
          <w:color w:val="595959" w:themeColor="text1" w:themeTint="A6"/>
        </w:rPr>
        <w:t xml:space="preserve">.  This resulted </w:t>
      </w:r>
      <w:r w:rsidR="00F86A88" w:rsidRPr="00BE2622">
        <w:rPr>
          <w:rFonts w:cs="Arial"/>
          <w:color w:val="595959" w:themeColor="text1" w:themeTint="A6"/>
        </w:rPr>
        <w:t xml:space="preserve">in </w:t>
      </w:r>
      <w:r w:rsidRPr="00BE2622">
        <w:rPr>
          <w:rFonts w:cs="Arial"/>
          <w:color w:val="595959" w:themeColor="text1" w:themeTint="A6"/>
        </w:rPr>
        <w:t xml:space="preserve">Tourism Fiji and Fiji Airways featuring </w:t>
      </w:r>
      <w:r w:rsidR="00207DB7" w:rsidRPr="00BE2622">
        <w:rPr>
          <w:rFonts w:cs="Arial"/>
          <w:color w:val="595959" w:themeColor="text1" w:themeTint="A6"/>
        </w:rPr>
        <w:t xml:space="preserve">remote </w:t>
      </w:r>
      <w:r w:rsidRPr="00BE2622">
        <w:rPr>
          <w:rFonts w:cs="Arial"/>
          <w:color w:val="595959" w:themeColor="text1" w:themeTint="A6"/>
        </w:rPr>
        <w:t xml:space="preserve">regions more often in their marketing activities. </w:t>
      </w:r>
      <w:r w:rsidR="00207DB7" w:rsidRPr="00BE2622">
        <w:rPr>
          <w:rFonts w:cs="Arial"/>
          <w:color w:val="595959" w:themeColor="text1" w:themeTint="A6"/>
        </w:rPr>
        <w:t xml:space="preserve"> W</w:t>
      </w:r>
      <w:r w:rsidRPr="00BE2622">
        <w:rPr>
          <w:rFonts w:cs="Arial"/>
          <w:color w:val="595959" w:themeColor="text1" w:themeTint="A6"/>
        </w:rPr>
        <w:t xml:space="preserve">e </w:t>
      </w:r>
      <w:r w:rsidR="00CF5B23" w:rsidRPr="00BE2622">
        <w:rPr>
          <w:rFonts w:cs="Arial"/>
          <w:color w:val="595959" w:themeColor="text1" w:themeTint="A6"/>
        </w:rPr>
        <w:t xml:space="preserve">will report </w:t>
      </w:r>
      <w:r w:rsidR="0019496E">
        <w:rPr>
          <w:rFonts w:cs="Arial"/>
          <w:color w:val="595959" w:themeColor="text1" w:themeTint="A6"/>
        </w:rPr>
        <w:t xml:space="preserve">further </w:t>
      </w:r>
      <w:r w:rsidR="00CF5B23" w:rsidRPr="00BE2622">
        <w:rPr>
          <w:rFonts w:cs="Arial"/>
          <w:color w:val="595959" w:themeColor="text1" w:themeTint="A6"/>
        </w:rPr>
        <w:t xml:space="preserve">on the impact of this work in the coming years. </w:t>
      </w:r>
    </w:p>
    <w:p w14:paraId="4C756818" w14:textId="178D29A4" w:rsidR="004E5AB5" w:rsidRPr="00BE2622" w:rsidRDefault="004E5AB5" w:rsidP="00076EDF">
      <w:pPr>
        <w:spacing w:before="240"/>
        <w:rPr>
          <w:rFonts w:cs="Arial"/>
          <w:color w:val="595959" w:themeColor="text1" w:themeTint="A6"/>
        </w:rPr>
      </w:pPr>
      <w:r w:rsidRPr="00BE2622">
        <w:rPr>
          <w:rFonts w:cs="Arial"/>
          <w:color w:val="595959" w:themeColor="text1" w:themeTint="A6"/>
        </w:rPr>
        <w:t>MDF</w:t>
      </w:r>
      <w:r w:rsidR="00784BEB" w:rsidRPr="00BE2622">
        <w:rPr>
          <w:rFonts w:cs="Arial"/>
          <w:color w:val="595959" w:themeColor="text1" w:themeTint="A6"/>
        </w:rPr>
        <w:t xml:space="preserve"> encountered difficulty in encouraging </w:t>
      </w:r>
      <w:r w:rsidRPr="00BE2622">
        <w:rPr>
          <w:rFonts w:cs="Arial"/>
          <w:color w:val="595959" w:themeColor="text1" w:themeTint="A6"/>
        </w:rPr>
        <w:t>hotels</w:t>
      </w:r>
      <w:r w:rsidR="00002BB5" w:rsidRPr="00BE2622">
        <w:rPr>
          <w:rFonts w:cs="Arial"/>
          <w:color w:val="595959" w:themeColor="text1" w:themeTint="A6"/>
        </w:rPr>
        <w:t xml:space="preserve"> to purchase more </w:t>
      </w:r>
      <w:r w:rsidR="00784BEB" w:rsidRPr="00BE2622">
        <w:rPr>
          <w:rFonts w:cs="Arial"/>
          <w:color w:val="595959" w:themeColor="text1" w:themeTint="A6"/>
        </w:rPr>
        <w:t>local products</w:t>
      </w:r>
      <w:r w:rsidR="006D30CF" w:rsidRPr="00BE2622">
        <w:rPr>
          <w:rFonts w:cs="Arial"/>
          <w:color w:val="595959" w:themeColor="text1" w:themeTint="A6"/>
        </w:rPr>
        <w:t xml:space="preserve"> </w:t>
      </w:r>
      <w:r w:rsidR="00E654CE">
        <w:rPr>
          <w:rFonts w:cs="Arial"/>
          <w:color w:val="595959" w:themeColor="text1" w:themeTint="A6"/>
        </w:rPr>
        <w:t xml:space="preserve">because </w:t>
      </w:r>
      <w:r w:rsidRPr="00BE2622">
        <w:rPr>
          <w:rFonts w:cs="Arial"/>
          <w:color w:val="595959" w:themeColor="text1" w:themeTint="A6"/>
        </w:rPr>
        <w:t>established supply chains</w:t>
      </w:r>
      <w:r w:rsidR="0019496E">
        <w:rPr>
          <w:rFonts w:cs="Arial"/>
          <w:color w:val="595959" w:themeColor="text1" w:themeTint="A6"/>
        </w:rPr>
        <w:t xml:space="preserve"> of imported products are </w:t>
      </w:r>
      <w:r w:rsidRPr="00BE2622">
        <w:rPr>
          <w:rFonts w:cs="Arial"/>
          <w:color w:val="595959" w:themeColor="text1" w:themeTint="A6"/>
        </w:rPr>
        <w:t xml:space="preserve">cheaper and </w:t>
      </w:r>
      <w:r w:rsidR="00002BB5" w:rsidRPr="00BE2622">
        <w:rPr>
          <w:rFonts w:cs="Arial"/>
          <w:color w:val="595959" w:themeColor="text1" w:themeTint="A6"/>
        </w:rPr>
        <w:t>easier</w:t>
      </w:r>
      <w:r w:rsidRPr="00BE2622">
        <w:rPr>
          <w:rFonts w:cs="Arial"/>
          <w:color w:val="595959" w:themeColor="text1" w:themeTint="A6"/>
        </w:rPr>
        <w:t xml:space="preserve">. </w:t>
      </w:r>
      <w:r w:rsidR="00784BEB" w:rsidRPr="00BE2622">
        <w:rPr>
          <w:rFonts w:cs="Arial"/>
          <w:color w:val="595959" w:themeColor="text1" w:themeTint="A6"/>
        </w:rPr>
        <w:t xml:space="preserve">Despite </w:t>
      </w:r>
      <w:r w:rsidRPr="00BE2622">
        <w:rPr>
          <w:rFonts w:cs="Arial"/>
          <w:color w:val="595959" w:themeColor="text1" w:themeTint="A6"/>
        </w:rPr>
        <w:t>pockets of success</w:t>
      </w:r>
      <w:r w:rsidR="00784BEB" w:rsidRPr="00BE2622">
        <w:rPr>
          <w:rFonts w:cs="Arial"/>
          <w:color w:val="595959" w:themeColor="text1" w:themeTint="A6"/>
        </w:rPr>
        <w:t xml:space="preserve">, work undertaken to date </w:t>
      </w:r>
      <w:r w:rsidR="00002BB5" w:rsidRPr="00BE2622">
        <w:rPr>
          <w:rFonts w:cs="Arial"/>
          <w:color w:val="595959" w:themeColor="text1" w:themeTint="A6"/>
        </w:rPr>
        <w:t>show</w:t>
      </w:r>
      <w:r w:rsidR="00784BEB" w:rsidRPr="00BE2622">
        <w:rPr>
          <w:rFonts w:cs="Arial"/>
          <w:color w:val="595959" w:themeColor="text1" w:themeTint="A6"/>
        </w:rPr>
        <w:t>s</w:t>
      </w:r>
      <w:r w:rsidR="00002BB5" w:rsidRPr="00BE2622">
        <w:rPr>
          <w:rFonts w:cs="Arial"/>
          <w:color w:val="595959" w:themeColor="text1" w:themeTint="A6"/>
        </w:rPr>
        <w:t xml:space="preserve"> that </w:t>
      </w:r>
      <w:r w:rsidRPr="00BE2622">
        <w:rPr>
          <w:rFonts w:cs="Arial"/>
          <w:color w:val="595959" w:themeColor="text1" w:themeTint="A6"/>
        </w:rPr>
        <w:t>sector</w:t>
      </w:r>
      <w:r w:rsidR="00002BB5" w:rsidRPr="00BE2622">
        <w:rPr>
          <w:rFonts w:cs="Arial"/>
          <w:color w:val="595959" w:themeColor="text1" w:themeTint="A6"/>
        </w:rPr>
        <w:t>-</w:t>
      </w:r>
      <w:r w:rsidRPr="00BE2622">
        <w:rPr>
          <w:rFonts w:cs="Arial"/>
          <w:color w:val="595959" w:themeColor="text1" w:themeTint="A6"/>
        </w:rPr>
        <w:t xml:space="preserve">wide change </w:t>
      </w:r>
      <w:r w:rsidR="00784BEB" w:rsidRPr="00BE2622">
        <w:rPr>
          <w:rFonts w:cs="Arial"/>
          <w:color w:val="595959" w:themeColor="text1" w:themeTint="A6"/>
        </w:rPr>
        <w:t xml:space="preserve">is unlikely </w:t>
      </w:r>
      <w:r w:rsidRPr="00BE2622">
        <w:rPr>
          <w:rFonts w:cs="Arial"/>
          <w:color w:val="595959" w:themeColor="text1" w:themeTint="A6"/>
        </w:rPr>
        <w:t xml:space="preserve">in the established tourism areas. </w:t>
      </w:r>
      <w:r w:rsidR="00002BB5" w:rsidRPr="00BE2622">
        <w:rPr>
          <w:rFonts w:cs="Arial"/>
          <w:color w:val="595959" w:themeColor="text1" w:themeTint="A6"/>
        </w:rPr>
        <w:t xml:space="preserve"> </w:t>
      </w:r>
      <w:r w:rsidRPr="00BE2622">
        <w:rPr>
          <w:rFonts w:cs="Arial"/>
          <w:color w:val="595959" w:themeColor="text1" w:themeTint="A6"/>
        </w:rPr>
        <w:t>MDF is therefore redirecting its focus to the new tourism regions so that</w:t>
      </w:r>
      <w:r w:rsidR="0019496E">
        <w:rPr>
          <w:rFonts w:cs="Arial"/>
          <w:color w:val="595959" w:themeColor="text1" w:themeTint="A6"/>
        </w:rPr>
        <w:t>,</w:t>
      </w:r>
      <w:r w:rsidRPr="00BE2622">
        <w:rPr>
          <w:rFonts w:cs="Arial"/>
          <w:color w:val="595959" w:themeColor="text1" w:themeTint="A6"/>
        </w:rPr>
        <w:t xml:space="preserve"> as visitor numbers grow, the local market has capacity to supply hotels and restaurants and grow with it. </w:t>
      </w:r>
      <w:r w:rsidR="00002BB5" w:rsidRPr="00BE2622">
        <w:rPr>
          <w:rFonts w:cs="Arial"/>
          <w:color w:val="595959" w:themeColor="text1" w:themeTint="A6"/>
        </w:rPr>
        <w:t xml:space="preserve"> </w:t>
      </w:r>
      <w:r w:rsidRPr="00BE2622">
        <w:rPr>
          <w:rFonts w:cs="Arial"/>
          <w:color w:val="595959" w:themeColor="text1" w:themeTint="A6"/>
        </w:rPr>
        <w:t xml:space="preserve">A Tourism Multiplier Study conducted in 2016 provides the analytical basis for this strategic shift. </w:t>
      </w:r>
    </w:p>
    <w:p w14:paraId="0D695616" w14:textId="4983A287" w:rsidR="00076EDF" w:rsidRPr="00BE2622" w:rsidRDefault="00091CF3" w:rsidP="00076EDF">
      <w:pPr>
        <w:spacing w:after="120" w:line="280" w:lineRule="exact"/>
        <w:rPr>
          <w:rFonts w:eastAsia="Times New Roman"/>
          <w:color w:val="595959" w:themeColor="text1" w:themeTint="A6"/>
        </w:rPr>
      </w:pPr>
      <w:r>
        <w:rPr>
          <w:rFonts w:cs="Arial"/>
          <w:color w:val="595959" w:themeColor="text1" w:themeTint="A6"/>
        </w:rPr>
        <w:t>T</w:t>
      </w:r>
      <w:r w:rsidR="00606345">
        <w:rPr>
          <w:rFonts w:cs="Arial"/>
          <w:color w:val="595959" w:themeColor="text1" w:themeTint="A6"/>
        </w:rPr>
        <w:t>he first five-year phase</w:t>
      </w:r>
      <w:r>
        <w:rPr>
          <w:rFonts w:cs="Arial"/>
          <w:color w:val="595959" w:themeColor="text1" w:themeTint="A6"/>
        </w:rPr>
        <w:t xml:space="preserve"> of MDF concluded in June 2017.  As at December 2016, it </w:t>
      </w:r>
      <w:r w:rsidR="00606345" w:rsidRPr="00BE2622">
        <w:rPr>
          <w:rFonts w:cs="Arial"/>
          <w:color w:val="595959" w:themeColor="text1" w:themeTint="A6"/>
        </w:rPr>
        <w:t>had 19 active and 47 completed partnerships</w:t>
      </w:r>
      <w:r>
        <w:rPr>
          <w:rFonts w:cs="Arial"/>
          <w:color w:val="595959" w:themeColor="text1" w:themeTint="A6"/>
        </w:rPr>
        <w:t xml:space="preserve">; </w:t>
      </w:r>
      <w:r w:rsidR="00606345">
        <w:rPr>
          <w:rFonts w:cs="Arial"/>
          <w:color w:val="595959" w:themeColor="text1" w:themeTint="A6"/>
        </w:rPr>
        <w:t xml:space="preserve">had </w:t>
      </w:r>
      <w:r w:rsidR="00606345" w:rsidRPr="00BE2622">
        <w:rPr>
          <w:rFonts w:cs="Arial"/>
          <w:color w:val="595959" w:themeColor="text1" w:themeTint="A6"/>
        </w:rPr>
        <w:t>reached 5,500 beneficiaries (50 per cent women)</w:t>
      </w:r>
      <w:r>
        <w:rPr>
          <w:rFonts w:cs="Arial"/>
          <w:color w:val="595959" w:themeColor="text1" w:themeTint="A6"/>
        </w:rPr>
        <w:t>;</w:t>
      </w:r>
      <w:r w:rsidR="00606345" w:rsidRPr="00BE2622">
        <w:rPr>
          <w:rFonts w:cs="Arial"/>
          <w:color w:val="595959" w:themeColor="text1" w:themeTint="A6"/>
        </w:rPr>
        <w:t xml:space="preserve"> leveraged US</w:t>
      </w:r>
      <w:r w:rsidR="00606345">
        <w:rPr>
          <w:rFonts w:cs="Arial"/>
          <w:color w:val="595959" w:themeColor="text1" w:themeTint="A6"/>
        </w:rPr>
        <w:t>D</w:t>
      </w:r>
      <w:r w:rsidR="00606345" w:rsidRPr="00BE2622">
        <w:rPr>
          <w:rFonts w:cs="Arial"/>
          <w:color w:val="595959" w:themeColor="text1" w:themeTint="A6"/>
        </w:rPr>
        <w:t>2.83 million in private sector investment</w:t>
      </w:r>
      <w:r>
        <w:rPr>
          <w:rFonts w:cs="Arial"/>
          <w:color w:val="595959" w:themeColor="text1" w:themeTint="A6"/>
        </w:rPr>
        <w:t>;</w:t>
      </w:r>
      <w:r w:rsidR="00606345" w:rsidRPr="00BE2622">
        <w:rPr>
          <w:rFonts w:cs="Arial"/>
          <w:color w:val="595959" w:themeColor="text1" w:themeTint="A6"/>
        </w:rPr>
        <w:t xml:space="preserve"> and generated US</w:t>
      </w:r>
      <w:r w:rsidR="00606345">
        <w:rPr>
          <w:rFonts w:cs="Arial"/>
          <w:color w:val="595959" w:themeColor="text1" w:themeTint="A6"/>
        </w:rPr>
        <w:t>D</w:t>
      </w:r>
      <w:r w:rsidR="00606345" w:rsidRPr="00BE2622">
        <w:rPr>
          <w:rFonts w:cs="Arial"/>
          <w:color w:val="595959" w:themeColor="text1" w:themeTint="A6"/>
        </w:rPr>
        <w:t>12 million in economic activity.  It had also created 222 jobs (of which 114 were for women)</w:t>
      </w:r>
      <w:r w:rsidR="00606345">
        <w:rPr>
          <w:rFonts w:cs="Arial"/>
          <w:color w:val="595959" w:themeColor="text1" w:themeTint="A6"/>
        </w:rPr>
        <w:t xml:space="preserve"> and </w:t>
      </w:r>
      <w:r w:rsidR="00606345" w:rsidRPr="00BE2622">
        <w:rPr>
          <w:rFonts w:cs="Arial"/>
          <w:color w:val="595959" w:themeColor="text1" w:themeTint="A6"/>
        </w:rPr>
        <w:t xml:space="preserve">was on track to achieving the performance benchmark target of creating 260 new formal sector jobs for the poor by June 2017.  </w:t>
      </w:r>
      <w:r>
        <w:rPr>
          <w:rFonts w:cs="Arial"/>
          <w:color w:val="595959" w:themeColor="text1" w:themeTint="A6"/>
        </w:rPr>
        <w:t>The assessment by the IAG</w:t>
      </w:r>
      <w:r w:rsidR="00606345" w:rsidRPr="00BE2622">
        <w:rPr>
          <w:rFonts w:cs="Arial"/>
          <w:color w:val="595959" w:themeColor="text1" w:themeTint="A6"/>
        </w:rPr>
        <w:t xml:space="preserve"> confirmed MDF’s effectiveness in promoting systemic changes in Fiji</w:t>
      </w:r>
      <w:r>
        <w:rPr>
          <w:rFonts w:cs="Arial"/>
          <w:color w:val="595959" w:themeColor="text1" w:themeTint="A6"/>
        </w:rPr>
        <w:t xml:space="preserve"> and </w:t>
      </w:r>
      <w:r w:rsidR="00606345" w:rsidRPr="00BE2622">
        <w:rPr>
          <w:rFonts w:eastAsia="Times New Roman"/>
          <w:color w:val="595959" w:themeColor="text1" w:themeTint="A6"/>
        </w:rPr>
        <w:t xml:space="preserve">commended </w:t>
      </w:r>
      <w:r>
        <w:rPr>
          <w:rFonts w:eastAsia="Times New Roman"/>
          <w:color w:val="595959" w:themeColor="text1" w:themeTint="A6"/>
        </w:rPr>
        <w:t xml:space="preserve">it </w:t>
      </w:r>
      <w:r w:rsidR="00606345" w:rsidRPr="00BE2622">
        <w:rPr>
          <w:rFonts w:eastAsia="Times New Roman"/>
          <w:color w:val="595959" w:themeColor="text1" w:themeTint="A6"/>
        </w:rPr>
        <w:t xml:space="preserve">for integrating women’s economic empowerment into its processes. </w:t>
      </w:r>
      <w:r w:rsidR="00606345">
        <w:rPr>
          <w:rFonts w:eastAsia="Times New Roman"/>
          <w:color w:val="595959" w:themeColor="text1" w:themeTint="A6"/>
        </w:rPr>
        <w:t xml:space="preserve"> </w:t>
      </w:r>
      <w:r w:rsidR="00606345" w:rsidRPr="00BE2622">
        <w:rPr>
          <w:rFonts w:eastAsia="Times New Roman"/>
          <w:color w:val="595959" w:themeColor="text1" w:themeTint="A6"/>
        </w:rPr>
        <w:t xml:space="preserve">MDF staff are trained to integrate women’s economic empowerment principles into their work, and information on gender is collected as part of the results management system.  </w:t>
      </w:r>
      <w:r w:rsidR="00076EDF" w:rsidRPr="00BE2622">
        <w:rPr>
          <w:rFonts w:eastAsia="Times New Roman"/>
          <w:color w:val="595959" w:themeColor="text1" w:themeTint="A6"/>
        </w:rPr>
        <w:t xml:space="preserve">Australia </w:t>
      </w:r>
      <w:r w:rsidR="00E654CE">
        <w:rPr>
          <w:rFonts w:eastAsia="Times New Roman"/>
          <w:color w:val="595959" w:themeColor="text1" w:themeTint="A6"/>
        </w:rPr>
        <w:t xml:space="preserve">has </w:t>
      </w:r>
      <w:r w:rsidR="00076EDF" w:rsidRPr="00BE2622">
        <w:rPr>
          <w:rFonts w:eastAsia="Times New Roman"/>
          <w:color w:val="595959" w:themeColor="text1" w:themeTint="A6"/>
        </w:rPr>
        <w:t>extend</w:t>
      </w:r>
      <w:r w:rsidR="00E654CE">
        <w:rPr>
          <w:rFonts w:eastAsia="Times New Roman"/>
          <w:color w:val="595959" w:themeColor="text1" w:themeTint="A6"/>
        </w:rPr>
        <w:t>ed</w:t>
      </w:r>
      <w:r w:rsidR="00076EDF" w:rsidRPr="00BE2622">
        <w:rPr>
          <w:rFonts w:eastAsia="Times New Roman"/>
          <w:color w:val="595959" w:themeColor="text1" w:themeTint="A6"/>
        </w:rPr>
        <w:t xml:space="preserve"> the MDF </w:t>
      </w:r>
      <w:r w:rsidR="00241B89">
        <w:rPr>
          <w:rFonts w:eastAsia="Times New Roman"/>
          <w:color w:val="595959" w:themeColor="text1" w:themeTint="A6"/>
        </w:rPr>
        <w:t xml:space="preserve">in Fiji </w:t>
      </w:r>
      <w:r w:rsidR="00076EDF" w:rsidRPr="00BE2622">
        <w:rPr>
          <w:rFonts w:eastAsia="Times New Roman"/>
          <w:color w:val="595959" w:themeColor="text1" w:themeTint="A6"/>
        </w:rPr>
        <w:t xml:space="preserve">for another phase </w:t>
      </w:r>
      <w:r w:rsidR="00241B89">
        <w:rPr>
          <w:rFonts w:eastAsia="Times New Roman"/>
          <w:color w:val="595959" w:themeColor="text1" w:themeTint="A6"/>
        </w:rPr>
        <w:t xml:space="preserve">(from 2017 to 2022) </w:t>
      </w:r>
      <w:r w:rsidR="00076EDF" w:rsidRPr="00BE2622">
        <w:rPr>
          <w:rFonts w:eastAsia="Times New Roman"/>
          <w:color w:val="595959" w:themeColor="text1" w:themeTint="A6"/>
        </w:rPr>
        <w:t xml:space="preserve">at a cost of $17.5 million. </w:t>
      </w:r>
    </w:p>
    <w:p w14:paraId="1D182F62" w14:textId="7AC2256F" w:rsidR="00076EDF" w:rsidRPr="00BE2622" w:rsidRDefault="00743097" w:rsidP="00076EDF">
      <w:pPr>
        <w:spacing w:after="120" w:line="280" w:lineRule="exact"/>
        <w:rPr>
          <w:rFonts w:eastAsia="Times New Roman"/>
          <w:color w:val="595959" w:themeColor="text1" w:themeTint="A6"/>
        </w:rPr>
      </w:pPr>
      <w:r w:rsidRPr="00BE2622">
        <w:rPr>
          <w:rFonts w:eastAsia="Times New Roman"/>
          <w:color w:val="595959" w:themeColor="text1" w:themeTint="A6"/>
        </w:rPr>
        <w:t>In 2016-17, w</w:t>
      </w:r>
      <w:r w:rsidR="00076EDF" w:rsidRPr="00BE2622">
        <w:rPr>
          <w:rFonts w:eastAsia="Times New Roman"/>
          <w:color w:val="595959" w:themeColor="text1" w:themeTint="A6"/>
        </w:rPr>
        <w:t>e assist</w:t>
      </w:r>
      <w:r w:rsidRPr="00BE2622">
        <w:rPr>
          <w:rFonts w:eastAsia="Times New Roman"/>
          <w:color w:val="595959" w:themeColor="text1" w:themeTint="A6"/>
        </w:rPr>
        <w:t>ed</w:t>
      </w:r>
      <w:r w:rsidR="00076EDF" w:rsidRPr="00BE2622">
        <w:rPr>
          <w:rFonts w:eastAsia="Times New Roman"/>
          <w:color w:val="595959" w:themeColor="text1" w:themeTint="A6"/>
        </w:rPr>
        <w:t xml:space="preserve"> Fiji to gain and maintain market access for agricultural exports </w:t>
      </w:r>
      <w:r w:rsidR="00322767" w:rsidRPr="00BE2622">
        <w:rPr>
          <w:rFonts w:eastAsia="Times New Roman"/>
          <w:color w:val="595959" w:themeColor="text1" w:themeTint="A6"/>
        </w:rPr>
        <w:t xml:space="preserve">to key overseas markets </w:t>
      </w:r>
      <w:r w:rsidR="00076EDF" w:rsidRPr="00BE2622">
        <w:rPr>
          <w:rFonts w:eastAsia="Times New Roman"/>
          <w:color w:val="595959" w:themeColor="text1" w:themeTint="A6"/>
        </w:rPr>
        <w:t xml:space="preserve">under the PHAMA program.  </w:t>
      </w:r>
      <w:r w:rsidRPr="00BE2622">
        <w:rPr>
          <w:rFonts w:eastAsia="Times New Roman"/>
          <w:color w:val="595959" w:themeColor="text1" w:themeTint="A6"/>
        </w:rPr>
        <w:t>PHAMA s</w:t>
      </w:r>
      <w:r w:rsidR="00076EDF" w:rsidRPr="00BE2622">
        <w:rPr>
          <w:rFonts w:eastAsia="Times New Roman"/>
          <w:color w:val="595959" w:themeColor="text1" w:themeTint="A6"/>
        </w:rPr>
        <w:t>upport</w:t>
      </w:r>
      <w:r w:rsidRPr="00BE2622">
        <w:rPr>
          <w:rFonts w:eastAsia="Times New Roman"/>
          <w:color w:val="595959" w:themeColor="text1" w:themeTint="A6"/>
        </w:rPr>
        <w:t>ed</w:t>
      </w:r>
      <w:r w:rsidR="00076EDF" w:rsidRPr="00BE2622">
        <w:rPr>
          <w:rFonts w:eastAsia="Times New Roman"/>
          <w:color w:val="595959" w:themeColor="text1" w:themeTint="A6"/>
        </w:rPr>
        <w:t xml:space="preserve"> the finalisation of a national kava standard and quality manuals</w:t>
      </w:r>
      <w:r w:rsidRPr="00BE2622">
        <w:rPr>
          <w:rFonts w:eastAsia="Times New Roman"/>
          <w:color w:val="595959" w:themeColor="text1" w:themeTint="A6"/>
        </w:rPr>
        <w:t xml:space="preserve"> – </w:t>
      </w:r>
      <w:r w:rsidR="00076EDF" w:rsidRPr="00BE2622">
        <w:rPr>
          <w:rFonts w:eastAsia="Times New Roman"/>
          <w:color w:val="595959" w:themeColor="text1" w:themeTint="A6"/>
        </w:rPr>
        <w:t>important</w:t>
      </w:r>
      <w:r w:rsidRPr="00BE2622">
        <w:rPr>
          <w:rFonts w:eastAsia="Times New Roman"/>
          <w:color w:val="595959" w:themeColor="text1" w:themeTint="A6"/>
        </w:rPr>
        <w:t xml:space="preserve"> </w:t>
      </w:r>
      <w:r w:rsidR="00076EDF" w:rsidRPr="00BE2622">
        <w:rPr>
          <w:rFonts w:eastAsia="Times New Roman"/>
          <w:color w:val="595959" w:themeColor="text1" w:themeTint="A6"/>
        </w:rPr>
        <w:t xml:space="preserve">pillars of a new quality assurance system </w:t>
      </w:r>
      <w:r w:rsidRPr="00BE2622">
        <w:rPr>
          <w:rFonts w:eastAsia="Times New Roman"/>
          <w:color w:val="595959" w:themeColor="text1" w:themeTint="A6"/>
        </w:rPr>
        <w:t>that will</w:t>
      </w:r>
      <w:r w:rsidR="00076EDF" w:rsidRPr="00BE2622">
        <w:rPr>
          <w:rFonts w:eastAsia="Times New Roman"/>
          <w:color w:val="595959" w:themeColor="text1" w:themeTint="A6"/>
        </w:rPr>
        <w:t xml:space="preserve"> protect Fiji's $15 million annual exports of kava and the livelihoods of approximately 21,000 kava growing households.  Five local processing companies, previously supported by PHAMA, maintain</w:t>
      </w:r>
      <w:r w:rsidR="00E654CE">
        <w:rPr>
          <w:rFonts w:eastAsia="Times New Roman"/>
          <w:color w:val="595959" w:themeColor="text1" w:themeTint="A6"/>
        </w:rPr>
        <w:t>ed</w:t>
      </w:r>
      <w:r w:rsidR="00076EDF" w:rsidRPr="00BE2622">
        <w:rPr>
          <w:rFonts w:eastAsia="Times New Roman"/>
          <w:color w:val="595959" w:themeColor="text1" w:themeTint="A6"/>
        </w:rPr>
        <w:t xml:space="preserve"> their HACCP (food safety) accreditation</w:t>
      </w:r>
      <w:r w:rsidR="00E654CE">
        <w:rPr>
          <w:rFonts w:eastAsia="Times New Roman"/>
          <w:color w:val="595959" w:themeColor="text1" w:themeTint="A6"/>
        </w:rPr>
        <w:t xml:space="preserve"> in 2016-17</w:t>
      </w:r>
      <w:r w:rsidR="00076EDF" w:rsidRPr="00BE2622">
        <w:rPr>
          <w:rFonts w:eastAsia="Times New Roman"/>
          <w:color w:val="595959" w:themeColor="text1" w:themeTint="A6"/>
        </w:rPr>
        <w:t xml:space="preserve">, </w:t>
      </w:r>
      <w:r w:rsidR="00E654CE">
        <w:rPr>
          <w:rFonts w:eastAsia="Times New Roman"/>
          <w:color w:val="595959" w:themeColor="text1" w:themeTint="A6"/>
        </w:rPr>
        <w:t xml:space="preserve">ensuring </w:t>
      </w:r>
      <w:r w:rsidR="00076EDF" w:rsidRPr="00BE2622">
        <w:rPr>
          <w:rFonts w:eastAsia="Times New Roman"/>
          <w:color w:val="595959" w:themeColor="text1" w:themeTint="A6"/>
        </w:rPr>
        <w:t xml:space="preserve">continued access to overseas markets. Through HACCP accreditation, at least 110 new formal jobs were created, most of them for women in processing plants. </w:t>
      </w:r>
    </w:p>
    <w:p w14:paraId="43DE8E94" w14:textId="79E7D3D7" w:rsidR="009435A8" w:rsidRPr="00BE2622" w:rsidRDefault="0017048B" w:rsidP="00076EDF">
      <w:pPr>
        <w:spacing w:after="120" w:line="280" w:lineRule="exact"/>
        <w:rPr>
          <w:rFonts w:eastAsia="Times New Roman"/>
          <w:color w:val="595959" w:themeColor="text1" w:themeTint="A6"/>
        </w:rPr>
      </w:pPr>
      <w:r w:rsidRPr="00BE2622">
        <w:rPr>
          <w:rFonts w:eastAsia="Times New Roman"/>
          <w:color w:val="595959" w:themeColor="text1" w:themeTint="A6"/>
        </w:rPr>
        <w:t xml:space="preserve">The </w:t>
      </w:r>
      <w:r w:rsidR="00076EDF" w:rsidRPr="00BE2622">
        <w:rPr>
          <w:rFonts w:eastAsia="Times New Roman"/>
          <w:color w:val="595959" w:themeColor="text1" w:themeTint="A6"/>
        </w:rPr>
        <w:t xml:space="preserve">PFIP </w:t>
      </w:r>
      <w:r w:rsidRPr="00BE2622">
        <w:rPr>
          <w:rFonts w:eastAsia="Times New Roman"/>
          <w:color w:val="595959" w:themeColor="text1" w:themeTint="A6"/>
        </w:rPr>
        <w:t xml:space="preserve">program </w:t>
      </w:r>
      <w:r w:rsidR="00076EDF" w:rsidRPr="00BE2622">
        <w:rPr>
          <w:rFonts w:eastAsia="Times New Roman"/>
          <w:color w:val="595959" w:themeColor="text1" w:themeTint="A6"/>
        </w:rPr>
        <w:t xml:space="preserve">aims to increase the use of formal financial services by low-income </w:t>
      </w:r>
      <w:r w:rsidR="00E654CE">
        <w:rPr>
          <w:rFonts w:eastAsia="Times New Roman"/>
          <w:color w:val="595959" w:themeColor="text1" w:themeTint="A6"/>
        </w:rPr>
        <w:t>earners</w:t>
      </w:r>
      <w:r w:rsidR="00076EDF" w:rsidRPr="00BE2622">
        <w:rPr>
          <w:rFonts w:eastAsia="Times New Roman"/>
          <w:color w:val="595959" w:themeColor="text1" w:themeTint="A6"/>
        </w:rPr>
        <w:t xml:space="preserve"> through partnerships with financial service providers.  With PFIP’s support, BIMA, a</w:t>
      </w:r>
      <w:r w:rsidRPr="00BE2622">
        <w:rPr>
          <w:rFonts w:eastAsia="Times New Roman"/>
          <w:color w:val="595959" w:themeColor="text1" w:themeTint="A6"/>
        </w:rPr>
        <w:t xml:space="preserve"> micro</w:t>
      </w:r>
      <w:r w:rsidR="00076EDF" w:rsidRPr="00BE2622">
        <w:rPr>
          <w:rFonts w:eastAsia="Times New Roman"/>
          <w:color w:val="595959" w:themeColor="text1" w:themeTint="A6"/>
        </w:rPr>
        <w:t xml:space="preserve"> insurance provider, established a call centre in Fiji</w:t>
      </w:r>
      <w:r w:rsidRPr="00BE2622">
        <w:rPr>
          <w:rFonts w:eastAsia="Times New Roman"/>
          <w:color w:val="595959" w:themeColor="text1" w:themeTint="A6"/>
        </w:rPr>
        <w:t xml:space="preserve">, employing </w:t>
      </w:r>
      <w:r w:rsidR="00076EDF" w:rsidRPr="00BE2622">
        <w:rPr>
          <w:rFonts w:eastAsia="Times New Roman"/>
          <w:color w:val="595959" w:themeColor="text1" w:themeTint="A6"/>
        </w:rPr>
        <w:t>approximately 30 staff</w:t>
      </w:r>
      <w:r w:rsidRPr="00BE2622">
        <w:rPr>
          <w:rFonts w:eastAsia="Times New Roman"/>
          <w:color w:val="595959" w:themeColor="text1" w:themeTint="A6"/>
        </w:rPr>
        <w:t xml:space="preserve">.  This centre will serve </w:t>
      </w:r>
      <w:r w:rsidR="00076EDF" w:rsidRPr="00BE2622">
        <w:rPr>
          <w:rFonts w:eastAsia="Times New Roman"/>
          <w:color w:val="595959" w:themeColor="text1" w:themeTint="A6"/>
        </w:rPr>
        <w:t xml:space="preserve">as an operational hub to offer products to customers in Fiji, Vanuatu, Tonga and Samoa.  Since </w:t>
      </w:r>
      <w:r w:rsidR="00076EDF" w:rsidRPr="00BE2622">
        <w:rPr>
          <w:rFonts w:ascii="Calibri Light" w:hAnsi="Calibri Light"/>
          <w:color w:val="595959" w:themeColor="text1" w:themeTint="A6"/>
        </w:rPr>
        <w:t>June 2016</w:t>
      </w:r>
      <w:r w:rsidR="00076EDF" w:rsidRPr="00BE2622">
        <w:rPr>
          <w:rFonts w:eastAsia="Times New Roman"/>
          <w:color w:val="595959" w:themeColor="text1" w:themeTint="A6"/>
        </w:rPr>
        <w:t xml:space="preserve">, BIMA has registered almost 36,000 Fijians with micro insurance.  PFIP is also supporting the HFC Bank to integrate its services on Vodafone Fiji’s mobile network.  Once operational, </w:t>
      </w:r>
      <w:r w:rsidRPr="00BE2622">
        <w:rPr>
          <w:rFonts w:eastAsia="Times New Roman"/>
          <w:color w:val="595959" w:themeColor="text1" w:themeTint="A6"/>
        </w:rPr>
        <w:t>around</w:t>
      </w:r>
      <w:r w:rsidR="00076EDF" w:rsidRPr="00BE2622">
        <w:rPr>
          <w:rFonts w:eastAsia="Times New Roman"/>
          <w:color w:val="595959" w:themeColor="text1" w:themeTint="A6"/>
        </w:rPr>
        <w:t xml:space="preserve"> 66,000 HFC Bank customers will be able to carry </w:t>
      </w:r>
      <w:r w:rsidR="00076EDF" w:rsidRPr="00BE2622">
        <w:rPr>
          <w:rFonts w:eastAsia="Times New Roman"/>
          <w:color w:val="595959" w:themeColor="text1" w:themeTint="A6"/>
        </w:rPr>
        <w:lastRenderedPageBreak/>
        <w:t xml:space="preserve">out transactions </w:t>
      </w:r>
      <w:r w:rsidRPr="00BE2622">
        <w:rPr>
          <w:rFonts w:eastAsia="Times New Roman"/>
          <w:color w:val="595959" w:themeColor="text1" w:themeTint="A6"/>
        </w:rPr>
        <w:t>on</w:t>
      </w:r>
      <w:r w:rsidR="00076EDF" w:rsidRPr="00BE2622">
        <w:rPr>
          <w:rFonts w:eastAsia="Times New Roman"/>
          <w:color w:val="595959" w:themeColor="text1" w:themeTint="A6"/>
        </w:rPr>
        <w:t xml:space="preserve"> their mobile phones and through Vodafone’s M-Paisa agent network.  </w:t>
      </w:r>
      <w:r w:rsidR="004E1FF0">
        <w:rPr>
          <w:rFonts w:eastAsia="Times New Roman"/>
          <w:color w:val="595959" w:themeColor="text1" w:themeTint="A6"/>
        </w:rPr>
        <w:t xml:space="preserve">A mid-term review confirmed that PFIP </w:t>
      </w:r>
      <w:r w:rsidR="00885AD7">
        <w:rPr>
          <w:rFonts w:eastAsia="Times New Roman"/>
          <w:color w:val="595959" w:themeColor="text1" w:themeTint="A6"/>
        </w:rPr>
        <w:t xml:space="preserve">is performing </w:t>
      </w:r>
      <w:r w:rsidR="004E1FF0">
        <w:rPr>
          <w:rFonts w:eastAsia="Times New Roman"/>
          <w:color w:val="595959" w:themeColor="text1" w:themeTint="A6"/>
        </w:rPr>
        <w:t>well against program objectives.</w:t>
      </w:r>
    </w:p>
    <w:p w14:paraId="4C10A4A6" w14:textId="7A191383" w:rsidR="00076EDF" w:rsidRPr="00BE2622" w:rsidRDefault="00382146" w:rsidP="009435A8">
      <w:pPr>
        <w:spacing w:after="120" w:line="280" w:lineRule="exact"/>
        <w:rPr>
          <w:rFonts w:eastAsia="Times New Roman"/>
          <w:color w:val="595959" w:themeColor="text1" w:themeTint="A6"/>
        </w:rPr>
      </w:pPr>
      <w:r w:rsidRPr="00BE2622">
        <w:rPr>
          <w:rFonts w:eastAsia="Times New Roman"/>
          <w:color w:val="595959" w:themeColor="text1" w:themeTint="A6"/>
        </w:rPr>
        <w:t xml:space="preserve">The number of </w:t>
      </w:r>
      <w:r w:rsidR="009435A8" w:rsidRPr="00BE2622">
        <w:rPr>
          <w:rFonts w:eastAsia="Times New Roman"/>
          <w:color w:val="595959" w:themeColor="text1" w:themeTint="A6"/>
        </w:rPr>
        <w:t>Fiji</w:t>
      </w:r>
      <w:r w:rsidRPr="00BE2622">
        <w:rPr>
          <w:rFonts w:eastAsia="Times New Roman"/>
          <w:color w:val="595959" w:themeColor="text1" w:themeTint="A6"/>
        </w:rPr>
        <w:t xml:space="preserve">an workers participating in the </w:t>
      </w:r>
      <w:r w:rsidR="009435A8" w:rsidRPr="00BE2622">
        <w:rPr>
          <w:rFonts w:eastAsia="Times New Roman"/>
          <w:color w:val="595959" w:themeColor="text1" w:themeTint="A6"/>
        </w:rPr>
        <w:t>Seasonal Worker Programme (SWP)</w:t>
      </w:r>
      <w:r w:rsidR="0017048B" w:rsidRPr="00BE2622">
        <w:rPr>
          <w:rFonts w:eastAsia="Times New Roman"/>
          <w:color w:val="595959" w:themeColor="text1" w:themeTint="A6"/>
        </w:rPr>
        <w:t xml:space="preserve"> </w:t>
      </w:r>
      <w:r w:rsidRPr="00BE2622">
        <w:rPr>
          <w:rFonts w:eastAsia="Times New Roman"/>
          <w:color w:val="595959" w:themeColor="text1" w:themeTint="A6"/>
        </w:rPr>
        <w:t xml:space="preserve">remained modest </w:t>
      </w:r>
      <w:r w:rsidR="00E654CE">
        <w:rPr>
          <w:rFonts w:eastAsia="Times New Roman"/>
          <w:color w:val="595959" w:themeColor="text1" w:themeTint="A6"/>
        </w:rPr>
        <w:t xml:space="preserve">in 2016-17 </w:t>
      </w:r>
      <w:r w:rsidR="00345D87" w:rsidRPr="00BE2622">
        <w:rPr>
          <w:rFonts w:eastAsia="Times New Roman"/>
          <w:color w:val="595959" w:themeColor="text1" w:themeTint="A6"/>
        </w:rPr>
        <w:t>(</w:t>
      </w:r>
      <w:r w:rsidR="009435A8" w:rsidRPr="00BE2622">
        <w:rPr>
          <w:rFonts w:eastAsia="Times New Roman"/>
          <w:color w:val="595959" w:themeColor="text1" w:themeTint="A6"/>
        </w:rPr>
        <w:t xml:space="preserve">190 workers, </w:t>
      </w:r>
      <w:r w:rsidRPr="00BE2622">
        <w:rPr>
          <w:rFonts w:eastAsia="Times New Roman"/>
          <w:color w:val="595959" w:themeColor="text1" w:themeTint="A6"/>
        </w:rPr>
        <w:t xml:space="preserve">up from </w:t>
      </w:r>
      <w:r w:rsidR="009435A8" w:rsidRPr="00BE2622">
        <w:rPr>
          <w:rFonts w:eastAsia="Times New Roman"/>
          <w:color w:val="595959" w:themeColor="text1" w:themeTint="A6"/>
        </w:rPr>
        <w:t xml:space="preserve">160 the previous </w:t>
      </w:r>
      <w:r w:rsidR="00345D87" w:rsidRPr="00BE2622">
        <w:rPr>
          <w:rFonts w:eastAsia="Times New Roman"/>
          <w:color w:val="595959" w:themeColor="text1" w:themeTint="A6"/>
        </w:rPr>
        <w:t>year)</w:t>
      </w:r>
      <w:r w:rsidR="0017048B" w:rsidRPr="00BE2622">
        <w:rPr>
          <w:rFonts w:eastAsia="Times New Roman"/>
          <w:color w:val="595959" w:themeColor="text1" w:themeTint="A6"/>
        </w:rPr>
        <w:t xml:space="preserve">.  </w:t>
      </w:r>
      <w:r w:rsidR="00ED70F9" w:rsidRPr="00BE2622">
        <w:rPr>
          <w:rFonts w:eastAsia="Times New Roman"/>
          <w:color w:val="595959" w:themeColor="text1" w:themeTint="A6"/>
        </w:rPr>
        <w:t xml:space="preserve">To increase the number and quality of workers sent to Australia through the SWP, </w:t>
      </w:r>
      <w:r w:rsidRPr="00BE2622">
        <w:rPr>
          <w:rFonts w:eastAsia="Times New Roman"/>
          <w:color w:val="595959" w:themeColor="text1" w:themeTint="A6"/>
        </w:rPr>
        <w:t xml:space="preserve">Australia funded the Labour Mobility Assistance Program (LMAP) </w:t>
      </w:r>
      <w:r w:rsidR="00ED70F9" w:rsidRPr="00BE2622">
        <w:rPr>
          <w:rFonts w:eastAsia="Times New Roman"/>
          <w:color w:val="595959" w:themeColor="text1" w:themeTint="A6"/>
        </w:rPr>
        <w:t xml:space="preserve">to </w:t>
      </w:r>
      <w:r w:rsidR="009435A8" w:rsidRPr="00BE2622">
        <w:rPr>
          <w:rFonts w:eastAsia="Times New Roman"/>
          <w:color w:val="595959" w:themeColor="text1" w:themeTint="A6"/>
        </w:rPr>
        <w:t>deliver</w:t>
      </w:r>
      <w:r w:rsidR="00ED70F9" w:rsidRPr="00BE2622">
        <w:rPr>
          <w:rFonts w:eastAsia="Times New Roman"/>
          <w:color w:val="595959" w:themeColor="text1" w:themeTint="A6"/>
        </w:rPr>
        <w:t xml:space="preserve"> </w:t>
      </w:r>
      <w:r w:rsidR="009435A8" w:rsidRPr="00BE2622">
        <w:rPr>
          <w:rFonts w:eastAsia="Times New Roman"/>
          <w:color w:val="595959" w:themeColor="text1" w:themeTint="A6"/>
        </w:rPr>
        <w:t>a marketing workshop and develop a marketing strategy</w:t>
      </w:r>
      <w:r w:rsidRPr="00BE2622">
        <w:rPr>
          <w:rFonts w:eastAsia="Times New Roman"/>
          <w:color w:val="595959" w:themeColor="text1" w:themeTint="A6"/>
        </w:rPr>
        <w:t xml:space="preserve"> to </w:t>
      </w:r>
      <w:r w:rsidR="009435A8" w:rsidRPr="00BE2622">
        <w:rPr>
          <w:rFonts w:eastAsia="Times New Roman"/>
          <w:color w:val="595959" w:themeColor="text1" w:themeTint="A6"/>
        </w:rPr>
        <w:t xml:space="preserve">connect more </w:t>
      </w:r>
      <w:r w:rsidR="002245C7" w:rsidRPr="00BE2622">
        <w:rPr>
          <w:rFonts w:eastAsia="Times New Roman"/>
          <w:color w:val="595959" w:themeColor="text1" w:themeTint="A6"/>
        </w:rPr>
        <w:t xml:space="preserve">Fijian </w:t>
      </w:r>
      <w:r w:rsidR="009435A8" w:rsidRPr="00BE2622">
        <w:rPr>
          <w:rFonts w:eastAsia="Times New Roman"/>
          <w:color w:val="595959" w:themeColor="text1" w:themeTint="A6"/>
        </w:rPr>
        <w:t xml:space="preserve">workers with Australian employers.  </w:t>
      </w:r>
      <w:r w:rsidR="00ED70F9" w:rsidRPr="00BE2622">
        <w:rPr>
          <w:rFonts w:eastAsia="Times New Roman"/>
          <w:color w:val="595959" w:themeColor="text1" w:themeTint="A6"/>
        </w:rPr>
        <w:t xml:space="preserve">The </w:t>
      </w:r>
      <w:r w:rsidR="009435A8" w:rsidRPr="00BE2622">
        <w:rPr>
          <w:rFonts w:eastAsia="Times New Roman"/>
          <w:color w:val="595959" w:themeColor="text1" w:themeTint="A6"/>
        </w:rPr>
        <w:t>Fiji Government</w:t>
      </w:r>
      <w:r w:rsidR="00ED70F9" w:rsidRPr="00BE2622">
        <w:rPr>
          <w:rFonts w:eastAsia="Times New Roman"/>
          <w:color w:val="595959" w:themeColor="text1" w:themeTint="A6"/>
        </w:rPr>
        <w:t xml:space="preserve"> also </w:t>
      </w:r>
      <w:r w:rsidR="009435A8" w:rsidRPr="00BE2622">
        <w:rPr>
          <w:rFonts w:eastAsia="Times New Roman"/>
          <w:color w:val="595959" w:themeColor="text1" w:themeTint="A6"/>
        </w:rPr>
        <w:t>commit</w:t>
      </w:r>
      <w:r w:rsidR="00ED70F9" w:rsidRPr="00BE2622">
        <w:rPr>
          <w:rFonts w:eastAsia="Times New Roman"/>
          <w:color w:val="595959" w:themeColor="text1" w:themeTint="A6"/>
        </w:rPr>
        <w:t xml:space="preserve">ted </w:t>
      </w:r>
      <w:r w:rsidR="009435A8" w:rsidRPr="00BE2622">
        <w:rPr>
          <w:rFonts w:eastAsia="Times New Roman"/>
          <w:color w:val="595959" w:themeColor="text1" w:themeTint="A6"/>
        </w:rPr>
        <w:t>to mak</w:t>
      </w:r>
      <w:r w:rsidR="004C6A4C">
        <w:rPr>
          <w:rFonts w:eastAsia="Times New Roman"/>
          <w:color w:val="595959" w:themeColor="text1" w:themeTint="A6"/>
        </w:rPr>
        <w:t>e</w:t>
      </w:r>
      <w:r w:rsidR="007842EF" w:rsidRPr="00BE2622">
        <w:rPr>
          <w:rFonts w:eastAsia="Times New Roman"/>
          <w:color w:val="595959" w:themeColor="text1" w:themeTint="A6"/>
        </w:rPr>
        <w:t xml:space="preserve"> </w:t>
      </w:r>
      <w:r w:rsidR="009435A8" w:rsidRPr="00BE2622">
        <w:rPr>
          <w:rFonts w:eastAsia="Times New Roman"/>
          <w:color w:val="595959" w:themeColor="text1" w:themeTint="A6"/>
        </w:rPr>
        <w:t>the program more inclusive and ensur</w:t>
      </w:r>
      <w:r w:rsidR="004C6A4C">
        <w:rPr>
          <w:rFonts w:eastAsia="Times New Roman"/>
          <w:color w:val="595959" w:themeColor="text1" w:themeTint="A6"/>
        </w:rPr>
        <w:t>e</w:t>
      </w:r>
      <w:r w:rsidR="007842EF" w:rsidRPr="00BE2622">
        <w:rPr>
          <w:rFonts w:eastAsia="Times New Roman"/>
          <w:color w:val="595959" w:themeColor="text1" w:themeTint="A6"/>
        </w:rPr>
        <w:t xml:space="preserve"> the selection of </w:t>
      </w:r>
      <w:r w:rsidR="009435A8" w:rsidRPr="00BE2622">
        <w:rPr>
          <w:rFonts w:eastAsia="Times New Roman"/>
          <w:color w:val="595959" w:themeColor="text1" w:themeTint="A6"/>
        </w:rPr>
        <w:t xml:space="preserve">quality workers </w:t>
      </w:r>
      <w:r w:rsidRPr="00BE2622">
        <w:rPr>
          <w:rFonts w:eastAsia="Times New Roman"/>
          <w:color w:val="595959" w:themeColor="text1" w:themeTint="A6"/>
        </w:rPr>
        <w:t xml:space="preserve">by </w:t>
      </w:r>
      <w:r w:rsidR="009435A8" w:rsidRPr="00BE2622">
        <w:rPr>
          <w:rFonts w:eastAsia="Times New Roman"/>
          <w:color w:val="595959" w:themeColor="text1" w:themeTint="A6"/>
        </w:rPr>
        <w:t xml:space="preserve">marketing the program to rural populations, producing better team leaders and preventing poor </w:t>
      </w:r>
      <w:r w:rsidR="007842EF" w:rsidRPr="00BE2622">
        <w:rPr>
          <w:rFonts w:eastAsia="Times New Roman"/>
          <w:color w:val="595959" w:themeColor="text1" w:themeTint="A6"/>
        </w:rPr>
        <w:t xml:space="preserve">performing </w:t>
      </w:r>
      <w:r w:rsidR="009435A8" w:rsidRPr="00BE2622">
        <w:rPr>
          <w:rFonts w:eastAsia="Times New Roman"/>
          <w:color w:val="595959" w:themeColor="text1" w:themeTint="A6"/>
        </w:rPr>
        <w:t xml:space="preserve">workers from participating.  </w:t>
      </w:r>
      <w:r w:rsidR="002245C7" w:rsidRPr="00BE2622">
        <w:rPr>
          <w:rFonts w:eastAsia="Times New Roman"/>
          <w:color w:val="595959" w:themeColor="text1" w:themeTint="A6"/>
        </w:rPr>
        <w:t xml:space="preserve">Several factors contributed to the decline in participation by Fijian women </w:t>
      </w:r>
      <w:r w:rsidR="000A026C">
        <w:rPr>
          <w:rFonts w:eastAsia="Times New Roman"/>
          <w:color w:val="595959" w:themeColor="text1" w:themeTint="A6"/>
        </w:rPr>
        <w:t xml:space="preserve">from 39 </w:t>
      </w:r>
      <w:r w:rsidR="002245C7" w:rsidRPr="00BE2622">
        <w:rPr>
          <w:rFonts w:eastAsia="Times New Roman"/>
          <w:color w:val="595959" w:themeColor="text1" w:themeTint="A6"/>
        </w:rPr>
        <w:t>in 201</w:t>
      </w:r>
      <w:r w:rsidR="000A026C">
        <w:rPr>
          <w:rFonts w:eastAsia="Times New Roman"/>
          <w:color w:val="595959" w:themeColor="text1" w:themeTint="A6"/>
        </w:rPr>
        <w:t>5</w:t>
      </w:r>
      <w:r w:rsidR="002245C7" w:rsidRPr="00BE2622">
        <w:rPr>
          <w:rFonts w:eastAsia="Times New Roman"/>
          <w:color w:val="595959" w:themeColor="text1" w:themeTint="A6"/>
        </w:rPr>
        <w:t>-1</w:t>
      </w:r>
      <w:r w:rsidR="000A026C">
        <w:rPr>
          <w:rFonts w:eastAsia="Times New Roman"/>
          <w:color w:val="595959" w:themeColor="text1" w:themeTint="A6"/>
        </w:rPr>
        <w:t>6 to 14 in 2016-17</w:t>
      </w:r>
      <w:r w:rsidR="002245C7" w:rsidRPr="00BE2622">
        <w:rPr>
          <w:rFonts w:eastAsia="Times New Roman"/>
          <w:color w:val="595959" w:themeColor="text1" w:themeTint="A6"/>
        </w:rPr>
        <w:t xml:space="preserve">, </w:t>
      </w:r>
      <w:r w:rsidR="00502261">
        <w:rPr>
          <w:rFonts w:eastAsia="Times New Roman"/>
          <w:color w:val="595959" w:themeColor="text1" w:themeTint="A6"/>
        </w:rPr>
        <w:t xml:space="preserve">including the larger role given to village chiefs in proposing workers, which has reduced </w:t>
      </w:r>
      <w:r w:rsidR="00091CF3">
        <w:rPr>
          <w:rFonts w:eastAsia="Times New Roman"/>
          <w:color w:val="595959" w:themeColor="text1" w:themeTint="A6"/>
        </w:rPr>
        <w:t xml:space="preserve">the </w:t>
      </w:r>
      <w:r w:rsidR="00502261">
        <w:rPr>
          <w:rFonts w:eastAsia="Times New Roman"/>
          <w:color w:val="595959" w:themeColor="text1" w:themeTint="A6"/>
        </w:rPr>
        <w:t>number of women put forward</w:t>
      </w:r>
      <w:r w:rsidR="002245C7" w:rsidRPr="00BE2622">
        <w:rPr>
          <w:rFonts w:eastAsia="Times New Roman"/>
          <w:color w:val="595959" w:themeColor="text1" w:themeTint="A6"/>
        </w:rPr>
        <w:t>.  The LMAP has identified a number of activities to boost women</w:t>
      </w:r>
      <w:r w:rsidR="00ED70F9" w:rsidRPr="00BE2622">
        <w:rPr>
          <w:rFonts w:eastAsia="Times New Roman"/>
          <w:color w:val="595959" w:themeColor="text1" w:themeTint="A6"/>
        </w:rPr>
        <w:t>’s participation next year.</w:t>
      </w:r>
    </w:p>
    <w:p w14:paraId="358948D3" w14:textId="77777777" w:rsidR="00076EDF" w:rsidRPr="00BE2622" w:rsidRDefault="00076EDF" w:rsidP="00076EDF">
      <w:pPr>
        <w:spacing w:after="120" w:line="280" w:lineRule="exact"/>
        <w:rPr>
          <w:rFonts w:eastAsia="Times New Roman"/>
          <w:b/>
          <w:color w:val="595959" w:themeColor="text1" w:themeTint="A6"/>
        </w:rPr>
      </w:pPr>
      <w:r w:rsidRPr="00BE2622">
        <w:rPr>
          <w:rFonts w:eastAsia="Times New Roman"/>
          <w:b/>
          <w:color w:val="595959" w:themeColor="text1" w:themeTint="A6"/>
        </w:rPr>
        <w:t>Governance for growth</w:t>
      </w:r>
    </w:p>
    <w:p w14:paraId="6EBB9C4B" w14:textId="0DEF004E" w:rsidR="00076EDF" w:rsidRPr="00BE2622" w:rsidRDefault="00540063" w:rsidP="00076EDF">
      <w:pPr>
        <w:spacing w:before="240"/>
        <w:rPr>
          <w:color w:val="595959" w:themeColor="text1" w:themeTint="A6"/>
        </w:rPr>
      </w:pPr>
      <w:r w:rsidRPr="00BE2622">
        <w:rPr>
          <w:color w:val="595959" w:themeColor="text1" w:themeTint="A6"/>
        </w:rPr>
        <w:t xml:space="preserve">In 2016-17, </w:t>
      </w:r>
      <w:r w:rsidR="00FE3F0A">
        <w:rPr>
          <w:color w:val="595959" w:themeColor="text1" w:themeTint="A6"/>
        </w:rPr>
        <w:t>three</w:t>
      </w:r>
      <w:r w:rsidR="004C6A4C">
        <w:rPr>
          <w:color w:val="595959" w:themeColor="text1" w:themeTint="A6"/>
        </w:rPr>
        <w:t xml:space="preserve"> </w:t>
      </w:r>
      <w:r w:rsidR="00076EDF" w:rsidRPr="00BE2622">
        <w:rPr>
          <w:color w:val="595959" w:themeColor="text1" w:themeTint="A6"/>
        </w:rPr>
        <w:t>programs focused on governance for growth</w:t>
      </w:r>
      <w:r w:rsidRPr="00BE2622">
        <w:rPr>
          <w:color w:val="595959" w:themeColor="text1" w:themeTint="A6"/>
        </w:rPr>
        <w:t xml:space="preserve">:  </w:t>
      </w:r>
      <w:r w:rsidR="00076EDF" w:rsidRPr="00BE2622">
        <w:rPr>
          <w:color w:val="595959" w:themeColor="text1" w:themeTint="A6"/>
        </w:rPr>
        <w:t>the IFC partnership ($12 million, 2016-20</w:t>
      </w:r>
      <w:r w:rsidR="00D15C84">
        <w:rPr>
          <w:color w:val="595959" w:themeColor="text1" w:themeTint="A6"/>
        </w:rPr>
        <w:t>, bilateral</w:t>
      </w:r>
      <w:r w:rsidR="00076EDF" w:rsidRPr="00BE2622">
        <w:rPr>
          <w:color w:val="595959" w:themeColor="text1" w:themeTint="A6"/>
        </w:rPr>
        <w:t>); the Private Sector Development Initiative (PSDI, $24.3 million, 2013-19, regional); and the Institutional Partnerships Program (IPP, $16 million, 2015-19</w:t>
      </w:r>
      <w:r w:rsidR="00D15C84">
        <w:rPr>
          <w:color w:val="595959" w:themeColor="text1" w:themeTint="A6"/>
        </w:rPr>
        <w:t>, bilateral</w:t>
      </w:r>
      <w:r w:rsidR="00076EDF" w:rsidRPr="00BE2622">
        <w:rPr>
          <w:color w:val="595959" w:themeColor="text1" w:themeTint="A6"/>
        </w:rPr>
        <w:t>).</w:t>
      </w:r>
    </w:p>
    <w:p w14:paraId="2E67DAB0" w14:textId="77777777" w:rsidR="00076EDF" w:rsidRPr="00BE2622" w:rsidRDefault="00076EDF" w:rsidP="00076EDF">
      <w:pPr>
        <w:spacing w:before="240"/>
        <w:rPr>
          <w:i/>
          <w:color w:val="595959" w:themeColor="text1" w:themeTint="A6"/>
        </w:rPr>
      </w:pPr>
      <w:r w:rsidRPr="00BE2622">
        <w:rPr>
          <w:i/>
          <w:color w:val="595959" w:themeColor="text1" w:themeTint="A6"/>
        </w:rPr>
        <w:t>Improved business enabling environment</w:t>
      </w:r>
    </w:p>
    <w:p w14:paraId="613D6C13" w14:textId="6B8C58A8" w:rsidR="00076EDF" w:rsidRPr="00BE2622" w:rsidRDefault="00076EDF" w:rsidP="00076EDF">
      <w:pPr>
        <w:rPr>
          <w:color w:val="595959" w:themeColor="text1" w:themeTint="A6"/>
        </w:rPr>
      </w:pPr>
      <w:r w:rsidRPr="00BE2622">
        <w:rPr>
          <w:color w:val="595959" w:themeColor="text1" w:themeTint="A6"/>
        </w:rPr>
        <w:t xml:space="preserve">Under the PSDI, work continued on a </w:t>
      </w:r>
      <w:r w:rsidR="00070647" w:rsidRPr="00E90A76">
        <w:rPr>
          <w:i/>
          <w:color w:val="595959" w:themeColor="text1" w:themeTint="A6"/>
        </w:rPr>
        <w:t>Secured Transactions Bill</w:t>
      </w:r>
      <w:r w:rsidRPr="00BE2622">
        <w:rPr>
          <w:color w:val="595959" w:themeColor="text1" w:themeTint="A6"/>
        </w:rPr>
        <w:t xml:space="preserve">.  </w:t>
      </w:r>
      <w:r w:rsidR="00151A73">
        <w:rPr>
          <w:color w:val="595959" w:themeColor="text1" w:themeTint="A6"/>
        </w:rPr>
        <w:t>The Bill is currently being considered by Parliament.  If passed, w</w:t>
      </w:r>
      <w:r w:rsidR="007842EF" w:rsidRPr="00BE2622">
        <w:rPr>
          <w:color w:val="595959" w:themeColor="text1" w:themeTint="A6"/>
        </w:rPr>
        <w:t>e expect a registry will be developed in 2018-19</w:t>
      </w:r>
      <w:r w:rsidR="00151A73">
        <w:rPr>
          <w:color w:val="595959" w:themeColor="text1" w:themeTint="A6"/>
        </w:rPr>
        <w:t xml:space="preserve"> </w:t>
      </w:r>
      <w:r w:rsidR="007842EF" w:rsidRPr="00BE2622">
        <w:rPr>
          <w:color w:val="595959" w:themeColor="text1" w:themeTint="A6"/>
        </w:rPr>
        <w:t xml:space="preserve">and the reform will begin to be utilised by banks in 2019-20.  Although it will be some time before we are able to measure the impact of this reform, it will </w:t>
      </w:r>
      <w:r w:rsidRPr="00BE2622">
        <w:rPr>
          <w:color w:val="595959" w:themeColor="text1" w:themeTint="A6"/>
        </w:rPr>
        <w:t xml:space="preserve">allow non-land assets to be used as collateral for loans, increasing access to finance for people in customary land ownership settings and for women who do not hold land titles. </w:t>
      </w:r>
    </w:p>
    <w:p w14:paraId="0C680273" w14:textId="02321EA5" w:rsidR="00076EDF" w:rsidRPr="00BE2622" w:rsidRDefault="00076EDF" w:rsidP="00076EDF">
      <w:pPr>
        <w:rPr>
          <w:color w:val="595959" w:themeColor="text1" w:themeTint="A6"/>
        </w:rPr>
      </w:pPr>
      <w:r w:rsidRPr="00BE2622">
        <w:rPr>
          <w:color w:val="595959" w:themeColor="text1" w:themeTint="A6"/>
        </w:rPr>
        <w:t xml:space="preserve">In the area of state-owned enterprise (SOE) reform, PSDI continued its work with the Ministry of Public Enterprise to update the 1996 </w:t>
      </w:r>
      <w:r w:rsidRPr="00B462FE">
        <w:rPr>
          <w:i/>
          <w:color w:val="595959" w:themeColor="text1" w:themeTint="A6"/>
        </w:rPr>
        <w:t>Public Enterprise Act</w:t>
      </w:r>
      <w:r w:rsidRPr="00BE2622">
        <w:rPr>
          <w:color w:val="595959" w:themeColor="text1" w:themeTint="A6"/>
        </w:rPr>
        <w:t xml:space="preserve"> and develop processes for the establishment of public-private partnerships.  PSDI also provided advice to the </w:t>
      </w:r>
      <w:r w:rsidR="00412202" w:rsidRPr="00BE2622">
        <w:rPr>
          <w:color w:val="595959" w:themeColor="text1" w:themeTint="A6"/>
        </w:rPr>
        <w:t xml:space="preserve">Fiji </w:t>
      </w:r>
      <w:r w:rsidRPr="00BE2622">
        <w:rPr>
          <w:color w:val="595959" w:themeColor="text1" w:themeTint="A6"/>
        </w:rPr>
        <w:t xml:space="preserve">Government on </w:t>
      </w:r>
      <w:r w:rsidR="00412202" w:rsidRPr="00BE2622">
        <w:rPr>
          <w:color w:val="595959" w:themeColor="text1" w:themeTint="A6"/>
        </w:rPr>
        <w:t>specific</w:t>
      </w:r>
      <w:r w:rsidRPr="00BE2622">
        <w:rPr>
          <w:color w:val="595959" w:themeColor="text1" w:themeTint="A6"/>
        </w:rPr>
        <w:t xml:space="preserve"> SOE transactions, </w:t>
      </w:r>
      <w:r w:rsidR="00412202" w:rsidRPr="00BE2622">
        <w:rPr>
          <w:color w:val="595959" w:themeColor="text1" w:themeTint="A6"/>
        </w:rPr>
        <w:t>inclu</w:t>
      </w:r>
      <w:r w:rsidR="000A026C">
        <w:rPr>
          <w:color w:val="595959" w:themeColor="text1" w:themeTint="A6"/>
        </w:rPr>
        <w:t>d</w:t>
      </w:r>
      <w:r w:rsidR="00412202" w:rsidRPr="00BE2622">
        <w:rPr>
          <w:color w:val="595959" w:themeColor="text1" w:themeTint="A6"/>
        </w:rPr>
        <w:t xml:space="preserve">ing those involving </w:t>
      </w:r>
      <w:r w:rsidRPr="00BE2622">
        <w:rPr>
          <w:color w:val="595959" w:themeColor="text1" w:themeTint="A6"/>
        </w:rPr>
        <w:t xml:space="preserve">the Fiji Electricity Authority and Airports Fiji Limited. </w:t>
      </w:r>
      <w:r w:rsidR="00412202" w:rsidRPr="00BE2622">
        <w:rPr>
          <w:color w:val="595959" w:themeColor="text1" w:themeTint="A6"/>
        </w:rPr>
        <w:t xml:space="preserve"> </w:t>
      </w:r>
      <w:r w:rsidRPr="00BE2622">
        <w:rPr>
          <w:color w:val="595959" w:themeColor="text1" w:themeTint="A6"/>
        </w:rPr>
        <w:t>In 2017-18</w:t>
      </w:r>
      <w:r w:rsidR="00412202" w:rsidRPr="00BE2622">
        <w:rPr>
          <w:color w:val="595959" w:themeColor="text1" w:themeTint="A6"/>
        </w:rPr>
        <w:t xml:space="preserve">, </w:t>
      </w:r>
      <w:r w:rsidRPr="00BE2622">
        <w:rPr>
          <w:color w:val="595959" w:themeColor="text1" w:themeTint="A6"/>
        </w:rPr>
        <w:t xml:space="preserve">the </w:t>
      </w:r>
      <w:r w:rsidR="00412202" w:rsidRPr="00BE2622">
        <w:rPr>
          <w:color w:val="595959" w:themeColor="text1" w:themeTint="A6"/>
        </w:rPr>
        <w:t xml:space="preserve">amended </w:t>
      </w:r>
      <w:r w:rsidRPr="00B462FE">
        <w:rPr>
          <w:i/>
          <w:color w:val="595959" w:themeColor="text1" w:themeTint="A6"/>
        </w:rPr>
        <w:t>Public Enterprise Act</w:t>
      </w:r>
      <w:r w:rsidRPr="00BE2622">
        <w:rPr>
          <w:color w:val="595959" w:themeColor="text1" w:themeTint="A6"/>
        </w:rPr>
        <w:t xml:space="preserve"> will be tabled in Parliament, and attention will shift to supporting the </w:t>
      </w:r>
      <w:r w:rsidR="00412202" w:rsidRPr="00BE2622">
        <w:rPr>
          <w:color w:val="595959" w:themeColor="text1" w:themeTint="A6"/>
        </w:rPr>
        <w:t xml:space="preserve">Ministry of Public Enterprise </w:t>
      </w:r>
      <w:r w:rsidRPr="00BE2622">
        <w:rPr>
          <w:color w:val="595959" w:themeColor="text1" w:themeTint="A6"/>
        </w:rPr>
        <w:t>to inform SOEs about the new requirements under the Act (for instance</w:t>
      </w:r>
      <w:r w:rsidR="00412202" w:rsidRPr="00BE2622">
        <w:rPr>
          <w:color w:val="595959" w:themeColor="text1" w:themeTint="A6"/>
        </w:rPr>
        <w:t>,</w:t>
      </w:r>
      <w:r w:rsidRPr="00BE2622">
        <w:rPr>
          <w:color w:val="595959" w:themeColor="text1" w:themeTint="A6"/>
        </w:rPr>
        <w:t xml:space="preserve"> around Board membership and financial reporting requirements) and to monitor </w:t>
      </w:r>
      <w:r w:rsidR="00412202" w:rsidRPr="00BE2622">
        <w:rPr>
          <w:color w:val="595959" w:themeColor="text1" w:themeTint="A6"/>
        </w:rPr>
        <w:t>compliance</w:t>
      </w:r>
      <w:r w:rsidRPr="00BE2622">
        <w:rPr>
          <w:color w:val="595959" w:themeColor="text1" w:themeTint="A6"/>
        </w:rPr>
        <w:t xml:space="preserve">.  </w:t>
      </w:r>
      <w:r w:rsidR="00412202" w:rsidRPr="00BE2622">
        <w:rPr>
          <w:color w:val="595959" w:themeColor="text1" w:themeTint="A6"/>
        </w:rPr>
        <w:t>T</w:t>
      </w:r>
      <w:r w:rsidRPr="00BE2622">
        <w:rPr>
          <w:color w:val="595959" w:themeColor="text1" w:themeTint="A6"/>
        </w:rPr>
        <w:t xml:space="preserve">hese reforms </w:t>
      </w:r>
      <w:r w:rsidR="00412202" w:rsidRPr="00BE2622">
        <w:rPr>
          <w:color w:val="595959" w:themeColor="text1" w:themeTint="A6"/>
        </w:rPr>
        <w:t xml:space="preserve">are expected to </w:t>
      </w:r>
      <w:r w:rsidRPr="00BE2622">
        <w:rPr>
          <w:color w:val="595959" w:themeColor="text1" w:themeTint="A6"/>
        </w:rPr>
        <w:t xml:space="preserve">improve SOE efficiency, </w:t>
      </w:r>
      <w:r w:rsidR="0019496E">
        <w:rPr>
          <w:color w:val="595959" w:themeColor="text1" w:themeTint="A6"/>
        </w:rPr>
        <w:t>al</w:t>
      </w:r>
      <w:r w:rsidRPr="00BE2622">
        <w:rPr>
          <w:color w:val="595959" w:themeColor="text1" w:themeTint="A6"/>
        </w:rPr>
        <w:t>though</w:t>
      </w:r>
      <w:r w:rsidR="0019496E">
        <w:rPr>
          <w:color w:val="595959" w:themeColor="text1" w:themeTint="A6"/>
        </w:rPr>
        <w:t>,</w:t>
      </w:r>
      <w:r w:rsidRPr="00BE2622">
        <w:rPr>
          <w:color w:val="595959" w:themeColor="text1" w:themeTint="A6"/>
        </w:rPr>
        <w:t xml:space="preserve"> </w:t>
      </w:r>
      <w:r w:rsidR="000A026C">
        <w:rPr>
          <w:color w:val="595959" w:themeColor="text1" w:themeTint="A6"/>
        </w:rPr>
        <w:t>on</w:t>
      </w:r>
      <w:r w:rsidR="00FD6CF3">
        <w:rPr>
          <w:color w:val="595959" w:themeColor="text1" w:themeTint="A6"/>
        </w:rPr>
        <w:t>c</w:t>
      </w:r>
      <w:r w:rsidR="000A026C">
        <w:rPr>
          <w:color w:val="595959" w:themeColor="text1" w:themeTint="A6"/>
        </w:rPr>
        <w:t>e again</w:t>
      </w:r>
      <w:r w:rsidR="0019496E">
        <w:rPr>
          <w:color w:val="595959" w:themeColor="text1" w:themeTint="A6"/>
        </w:rPr>
        <w:t>,</w:t>
      </w:r>
      <w:r w:rsidR="000A026C">
        <w:rPr>
          <w:color w:val="595959" w:themeColor="text1" w:themeTint="A6"/>
        </w:rPr>
        <w:t xml:space="preserve"> </w:t>
      </w:r>
      <w:r w:rsidRPr="00BE2622">
        <w:rPr>
          <w:color w:val="595959" w:themeColor="text1" w:themeTint="A6"/>
        </w:rPr>
        <w:t xml:space="preserve">it will be some time before </w:t>
      </w:r>
      <w:r w:rsidR="004C6A4C">
        <w:rPr>
          <w:color w:val="595959" w:themeColor="text1" w:themeTint="A6"/>
        </w:rPr>
        <w:t xml:space="preserve">the </w:t>
      </w:r>
      <w:r w:rsidRPr="00BE2622">
        <w:rPr>
          <w:color w:val="595959" w:themeColor="text1" w:themeTint="A6"/>
        </w:rPr>
        <w:t xml:space="preserve">impact </w:t>
      </w:r>
      <w:r w:rsidR="00412202" w:rsidRPr="00BE2622">
        <w:rPr>
          <w:color w:val="595959" w:themeColor="text1" w:themeTint="A6"/>
        </w:rPr>
        <w:t xml:space="preserve">can </w:t>
      </w:r>
      <w:r w:rsidRPr="00BE2622">
        <w:rPr>
          <w:color w:val="595959" w:themeColor="text1" w:themeTint="A6"/>
        </w:rPr>
        <w:t xml:space="preserve">be measured. </w:t>
      </w:r>
    </w:p>
    <w:p w14:paraId="6ECA0F4C" w14:textId="5ABDC4D2" w:rsidR="00076EDF" w:rsidRPr="00BE2622" w:rsidRDefault="00076EDF" w:rsidP="00076EDF">
      <w:pPr>
        <w:spacing w:after="120" w:line="280" w:lineRule="exact"/>
        <w:rPr>
          <w:color w:val="595959" w:themeColor="text1" w:themeTint="A6"/>
        </w:rPr>
      </w:pPr>
      <w:r w:rsidRPr="00BE2622">
        <w:rPr>
          <w:color w:val="595959" w:themeColor="text1" w:themeTint="A6"/>
        </w:rPr>
        <w:t>Australia significantly boosted its support for policy and regulatory reform with a four</w:t>
      </w:r>
      <w:r w:rsidR="00FD6CF3">
        <w:rPr>
          <w:color w:val="595959" w:themeColor="text1" w:themeTint="A6"/>
        </w:rPr>
        <w:t>-</w:t>
      </w:r>
      <w:r w:rsidRPr="00BE2622">
        <w:rPr>
          <w:color w:val="595959" w:themeColor="text1" w:themeTint="A6"/>
        </w:rPr>
        <w:t>year partnership agreement signed with the IFC in August 2016.  Th</w:t>
      </w:r>
      <w:r w:rsidR="00640410">
        <w:rPr>
          <w:color w:val="595959" w:themeColor="text1" w:themeTint="A6"/>
        </w:rPr>
        <w:t xml:space="preserve">e partnership, which commenced in October 2016, </w:t>
      </w:r>
      <w:r w:rsidRPr="00BE2622">
        <w:rPr>
          <w:color w:val="595959" w:themeColor="text1" w:themeTint="A6"/>
        </w:rPr>
        <w:t>has set a number of ambitious goals, including generating US</w:t>
      </w:r>
      <w:r w:rsidR="005C3FE2">
        <w:rPr>
          <w:color w:val="595959" w:themeColor="text1" w:themeTint="A6"/>
        </w:rPr>
        <w:t>D</w:t>
      </w:r>
      <w:r w:rsidRPr="00BE2622">
        <w:rPr>
          <w:color w:val="595959" w:themeColor="text1" w:themeTint="A6"/>
        </w:rPr>
        <w:t>200 million in new private sector investment by June 2020</w:t>
      </w:r>
      <w:r w:rsidR="00412202" w:rsidRPr="00BE2622">
        <w:rPr>
          <w:color w:val="595959" w:themeColor="text1" w:themeTint="A6"/>
        </w:rPr>
        <w:t xml:space="preserve"> and </w:t>
      </w:r>
      <w:r w:rsidRPr="00BE2622">
        <w:rPr>
          <w:color w:val="595959" w:themeColor="text1" w:themeTint="A6"/>
        </w:rPr>
        <w:t>improv</w:t>
      </w:r>
      <w:r w:rsidR="00412202" w:rsidRPr="00BE2622">
        <w:rPr>
          <w:color w:val="595959" w:themeColor="text1" w:themeTint="A6"/>
        </w:rPr>
        <w:t xml:space="preserve">ing </w:t>
      </w:r>
      <w:r w:rsidRPr="00BE2622">
        <w:rPr>
          <w:color w:val="595959" w:themeColor="text1" w:themeTint="A6"/>
        </w:rPr>
        <w:t>the economic empowerment of 10,000 women.</w:t>
      </w:r>
      <w:r w:rsidR="00412202" w:rsidRPr="00BE2622">
        <w:rPr>
          <w:color w:val="595959" w:themeColor="text1" w:themeTint="A6"/>
        </w:rPr>
        <w:t xml:space="preserve">  I</w:t>
      </w:r>
      <w:r w:rsidRPr="00BE2622">
        <w:rPr>
          <w:color w:val="595959" w:themeColor="text1" w:themeTint="A6"/>
        </w:rPr>
        <w:t>n 2016-17</w:t>
      </w:r>
      <w:r w:rsidR="00540063" w:rsidRPr="00BE2622">
        <w:rPr>
          <w:color w:val="595959" w:themeColor="text1" w:themeTint="A6"/>
        </w:rPr>
        <w:t>,</w:t>
      </w:r>
      <w:r w:rsidRPr="00BE2622">
        <w:rPr>
          <w:color w:val="595959" w:themeColor="text1" w:themeTint="A6"/>
        </w:rPr>
        <w:t xml:space="preserve"> </w:t>
      </w:r>
      <w:r w:rsidR="00640410">
        <w:rPr>
          <w:color w:val="595959" w:themeColor="text1" w:themeTint="A6"/>
        </w:rPr>
        <w:t xml:space="preserve">the partnership </w:t>
      </w:r>
      <w:r w:rsidRPr="00BE2622">
        <w:rPr>
          <w:color w:val="595959" w:themeColor="text1" w:themeTint="A6"/>
        </w:rPr>
        <w:t xml:space="preserve">began </w:t>
      </w:r>
      <w:r w:rsidR="00640410">
        <w:rPr>
          <w:color w:val="595959" w:themeColor="text1" w:themeTint="A6"/>
        </w:rPr>
        <w:t xml:space="preserve">work </w:t>
      </w:r>
      <w:r w:rsidRPr="00BE2622">
        <w:rPr>
          <w:color w:val="595959" w:themeColor="text1" w:themeTint="A6"/>
        </w:rPr>
        <w:t xml:space="preserve">on a number of projects with a focus on trade and competitiveness.  </w:t>
      </w:r>
      <w:r w:rsidR="00640410">
        <w:rPr>
          <w:color w:val="595959" w:themeColor="text1" w:themeTint="A6"/>
        </w:rPr>
        <w:t xml:space="preserve">It is </w:t>
      </w:r>
      <w:r w:rsidRPr="00BE2622">
        <w:rPr>
          <w:color w:val="595959" w:themeColor="text1" w:themeTint="A6"/>
        </w:rPr>
        <w:t xml:space="preserve">assessing the feasibility of developing a special economic zone in the west of Fiji.  Support </w:t>
      </w:r>
      <w:r w:rsidR="00640410">
        <w:rPr>
          <w:color w:val="595959" w:themeColor="text1" w:themeTint="A6"/>
        </w:rPr>
        <w:t xml:space="preserve">is </w:t>
      </w:r>
      <w:r w:rsidR="00412202" w:rsidRPr="00BE2622">
        <w:rPr>
          <w:color w:val="595959" w:themeColor="text1" w:themeTint="A6"/>
        </w:rPr>
        <w:t>also</w:t>
      </w:r>
      <w:r w:rsidRPr="00BE2622">
        <w:rPr>
          <w:color w:val="595959" w:themeColor="text1" w:themeTint="A6"/>
        </w:rPr>
        <w:t xml:space="preserve"> being provided to the Ministry of Industry, Trade and Tourism to streamline Fiji’s investment policies and procedures</w:t>
      </w:r>
      <w:r w:rsidR="00412202" w:rsidRPr="00BE2622">
        <w:rPr>
          <w:color w:val="595959" w:themeColor="text1" w:themeTint="A6"/>
        </w:rPr>
        <w:t>,</w:t>
      </w:r>
      <w:r w:rsidRPr="00BE2622">
        <w:rPr>
          <w:color w:val="595959" w:themeColor="text1" w:themeTint="A6"/>
        </w:rPr>
        <w:t xml:space="preserve"> and to develop a national tourism development plan. </w:t>
      </w:r>
      <w:r w:rsidR="00412202" w:rsidRPr="00BE2622">
        <w:rPr>
          <w:color w:val="595959" w:themeColor="text1" w:themeTint="A6"/>
        </w:rPr>
        <w:t xml:space="preserve"> A monitoring and evaluation framework </w:t>
      </w:r>
      <w:r w:rsidR="00640410">
        <w:rPr>
          <w:color w:val="595959" w:themeColor="text1" w:themeTint="A6"/>
        </w:rPr>
        <w:t xml:space="preserve">has </w:t>
      </w:r>
      <w:r w:rsidR="00412202" w:rsidRPr="00BE2622">
        <w:rPr>
          <w:color w:val="595959" w:themeColor="text1" w:themeTint="A6"/>
        </w:rPr>
        <w:t xml:space="preserve">also </w:t>
      </w:r>
      <w:r w:rsidR="00640410">
        <w:rPr>
          <w:color w:val="595959" w:themeColor="text1" w:themeTint="A6"/>
        </w:rPr>
        <w:t xml:space="preserve">been </w:t>
      </w:r>
      <w:r w:rsidR="00412202" w:rsidRPr="00BE2622">
        <w:rPr>
          <w:color w:val="595959" w:themeColor="text1" w:themeTint="A6"/>
        </w:rPr>
        <w:t>developed</w:t>
      </w:r>
      <w:r w:rsidR="00FD6CF3">
        <w:rPr>
          <w:color w:val="595959" w:themeColor="text1" w:themeTint="A6"/>
        </w:rPr>
        <w:t>,</w:t>
      </w:r>
      <w:r w:rsidR="00412202" w:rsidRPr="00BE2622">
        <w:rPr>
          <w:color w:val="595959" w:themeColor="text1" w:themeTint="A6"/>
        </w:rPr>
        <w:t xml:space="preserve"> </w:t>
      </w:r>
      <w:r w:rsidR="00640410">
        <w:rPr>
          <w:color w:val="595959" w:themeColor="text1" w:themeTint="A6"/>
        </w:rPr>
        <w:t xml:space="preserve">which will be used to report </w:t>
      </w:r>
      <w:r w:rsidR="00412202" w:rsidRPr="00BE2622">
        <w:rPr>
          <w:color w:val="595959" w:themeColor="text1" w:themeTint="A6"/>
        </w:rPr>
        <w:t>the progress of these and other projects in future reports.</w:t>
      </w:r>
    </w:p>
    <w:p w14:paraId="58B9BAA3" w14:textId="36EDCEAB" w:rsidR="00076EDF" w:rsidRPr="00BE2622" w:rsidRDefault="00076EDF" w:rsidP="00076EDF">
      <w:pPr>
        <w:spacing w:after="120" w:line="280" w:lineRule="exact"/>
        <w:rPr>
          <w:color w:val="595959" w:themeColor="text1" w:themeTint="A6"/>
        </w:rPr>
      </w:pPr>
      <w:r w:rsidRPr="00BE2622">
        <w:rPr>
          <w:color w:val="595959" w:themeColor="text1" w:themeTint="A6"/>
        </w:rPr>
        <w:t xml:space="preserve">In 2016-17, the World Bank and the ADB continued their discussions with the </w:t>
      </w:r>
      <w:r w:rsidR="00412202" w:rsidRPr="00BE2622">
        <w:rPr>
          <w:color w:val="595959" w:themeColor="text1" w:themeTint="A6"/>
        </w:rPr>
        <w:t xml:space="preserve">Fiji </w:t>
      </w:r>
      <w:r w:rsidRPr="00BE2622">
        <w:rPr>
          <w:color w:val="595959" w:themeColor="text1" w:themeTint="A6"/>
        </w:rPr>
        <w:t xml:space="preserve">Government </w:t>
      </w:r>
      <w:r w:rsidR="00640410">
        <w:rPr>
          <w:color w:val="595959" w:themeColor="text1" w:themeTint="A6"/>
        </w:rPr>
        <w:t xml:space="preserve">on </w:t>
      </w:r>
      <w:r w:rsidRPr="00BE2622">
        <w:rPr>
          <w:color w:val="595959" w:themeColor="text1" w:themeTint="A6"/>
        </w:rPr>
        <w:t xml:space="preserve">establishing a budget support program that would be tied to the implementation of economic and public sector reforms, including </w:t>
      </w:r>
      <w:r w:rsidR="00151A73">
        <w:rPr>
          <w:color w:val="595959" w:themeColor="text1" w:themeTint="A6"/>
        </w:rPr>
        <w:t xml:space="preserve">those </w:t>
      </w:r>
      <w:r w:rsidRPr="00BE2622">
        <w:rPr>
          <w:color w:val="595959" w:themeColor="text1" w:themeTint="A6"/>
        </w:rPr>
        <w:t xml:space="preserve">Australia is supporting through </w:t>
      </w:r>
      <w:r w:rsidR="00151A73">
        <w:rPr>
          <w:color w:val="595959" w:themeColor="text1" w:themeTint="A6"/>
        </w:rPr>
        <w:t xml:space="preserve">the </w:t>
      </w:r>
      <w:r w:rsidRPr="00BE2622">
        <w:rPr>
          <w:color w:val="595959" w:themeColor="text1" w:themeTint="A6"/>
        </w:rPr>
        <w:t xml:space="preserve">provision of technical assistance </w:t>
      </w:r>
      <w:r w:rsidR="00151A73">
        <w:rPr>
          <w:color w:val="595959" w:themeColor="text1" w:themeTint="A6"/>
        </w:rPr>
        <w:t xml:space="preserve">(see following section).  </w:t>
      </w:r>
      <w:r w:rsidR="00412202" w:rsidRPr="00BE2622">
        <w:rPr>
          <w:color w:val="595959" w:themeColor="text1" w:themeTint="A6"/>
        </w:rPr>
        <w:t xml:space="preserve">We will continue to </w:t>
      </w:r>
      <w:r w:rsidRPr="00BE2622">
        <w:rPr>
          <w:color w:val="595959" w:themeColor="text1" w:themeTint="A6"/>
        </w:rPr>
        <w:t>work closely with the World Bank and the ADB on the development of this program.</w:t>
      </w:r>
    </w:p>
    <w:p w14:paraId="6839EBEF" w14:textId="77777777" w:rsidR="00076EDF" w:rsidRPr="00BE2622" w:rsidRDefault="00076EDF" w:rsidP="00076EDF">
      <w:pPr>
        <w:spacing w:before="240"/>
        <w:rPr>
          <w:i/>
          <w:color w:val="595959" w:themeColor="text1" w:themeTint="A6"/>
        </w:rPr>
      </w:pPr>
      <w:r w:rsidRPr="00BE2622">
        <w:rPr>
          <w:i/>
          <w:color w:val="595959" w:themeColor="text1" w:themeTint="A6"/>
        </w:rPr>
        <w:t>Improved civil service performance and accountable and inclusive politics</w:t>
      </w:r>
    </w:p>
    <w:p w14:paraId="111D1F2C" w14:textId="5C1E5488" w:rsidR="00076EDF" w:rsidRPr="00BE2622" w:rsidRDefault="00076EDF" w:rsidP="00076EDF">
      <w:pPr>
        <w:spacing w:before="240"/>
        <w:rPr>
          <w:rFonts w:cs="Arial"/>
          <w:color w:val="595959" w:themeColor="text1" w:themeTint="A6"/>
          <w:lang w:val="en-AU"/>
        </w:rPr>
      </w:pPr>
      <w:r w:rsidRPr="00BE2622">
        <w:rPr>
          <w:color w:val="595959" w:themeColor="text1" w:themeTint="A6"/>
        </w:rPr>
        <w:lastRenderedPageBreak/>
        <w:t xml:space="preserve">In 2016-17, </w:t>
      </w:r>
      <w:r w:rsidRPr="00BE2622">
        <w:rPr>
          <w:rFonts w:cs="Arial"/>
          <w:color w:val="595959" w:themeColor="text1" w:themeTint="A6"/>
          <w:lang w:val="en-AU"/>
        </w:rPr>
        <w:t xml:space="preserve">progress was made </w:t>
      </w:r>
      <w:r w:rsidR="00E8211F" w:rsidRPr="00BE2622">
        <w:rPr>
          <w:rFonts w:cs="Arial"/>
          <w:color w:val="595959" w:themeColor="text1" w:themeTint="A6"/>
          <w:lang w:val="en-AU"/>
        </w:rPr>
        <w:t xml:space="preserve">on </w:t>
      </w:r>
      <w:r w:rsidRPr="00BE2622">
        <w:rPr>
          <w:rFonts w:cs="Arial"/>
          <w:color w:val="595959" w:themeColor="text1" w:themeTint="A6"/>
          <w:lang w:val="en-AU"/>
        </w:rPr>
        <w:t xml:space="preserve">civil service reform, including the introduction of open, merit-based recruitment and selection across the senior ranks of the public service. </w:t>
      </w:r>
      <w:r w:rsidR="00E8211F" w:rsidRPr="00BE2622">
        <w:rPr>
          <w:rFonts w:cs="Arial"/>
          <w:color w:val="595959" w:themeColor="text1" w:themeTint="A6"/>
          <w:lang w:val="en-AU"/>
        </w:rPr>
        <w:t xml:space="preserve"> </w:t>
      </w:r>
      <w:r w:rsidRPr="00BE2622">
        <w:rPr>
          <w:rFonts w:cs="Arial"/>
          <w:color w:val="595959" w:themeColor="text1" w:themeTint="A6"/>
          <w:lang w:val="en-AU"/>
        </w:rPr>
        <w:t>With support</w:t>
      </w:r>
      <w:r w:rsidR="00151A73">
        <w:rPr>
          <w:rFonts w:cs="Arial"/>
          <w:color w:val="595959" w:themeColor="text1" w:themeTint="A6"/>
          <w:lang w:val="en-AU"/>
        </w:rPr>
        <w:t xml:space="preserve"> from the IPP</w:t>
      </w:r>
      <w:r w:rsidRPr="00BE2622">
        <w:rPr>
          <w:rFonts w:cs="Arial"/>
          <w:color w:val="595959" w:themeColor="text1" w:themeTint="A6"/>
          <w:lang w:val="en-AU"/>
        </w:rPr>
        <w:t xml:space="preserve">, the Fiji Government also developed plans </w:t>
      </w:r>
      <w:r w:rsidR="00E8211F" w:rsidRPr="00BE2622">
        <w:rPr>
          <w:rFonts w:cs="Arial"/>
          <w:color w:val="595959" w:themeColor="text1" w:themeTint="A6"/>
          <w:lang w:val="en-AU"/>
        </w:rPr>
        <w:t xml:space="preserve">and guidelines </w:t>
      </w:r>
      <w:r w:rsidRPr="00BE2622">
        <w:rPr>
          <w:rFonts w:cs="Arial"/>
          <w:color w:val="595959" w:themeColor="text1" w:themeTint="A6"/>
          <w:lang w:val="en-AU"/>
        </w:rPr>
        <w:t xml:space="preserve">for </w:t>
      </w:r>
      <w:r w:rsidR="00E8211F" w:rsidRPr="00BE2622">
        <w:rPr>
          <w:rFonts w:cs="Arial"/>
          <w:color w:val="595959" w:themeColor="text1" w:themeTint="A6"/>
          <w:lang w:val="en-AU"/>
        </w:rPr>
        <w:t xml:space="preserve">performance management and </w:t>
      </w:r>
      <w:r w:rsidRPr="00BE2622">
        <w:rPr>
          <w:rFonts w:cs="Arial"/>
          <w:color w:val="595959" w:themeColor="text1" w:themeTint="A6"/>
          <w:lang w:val="en-AU"/>
        </w:rPr>
        <w:t xml:space="preserve">more competitive remuneration for the public service. </w:t>
      </w:r>
      <w:r w:rsidR="00E8211F" w:rsidRPr="00BE2622">
        <w:rPr>
          <w:rFonts w:cs="Arial"/>
          <w:color w:val="595959" w:themeColor="text1" w:themeTint="A6"/>
          <w:lang w:val="en-AU"/>
        </w:rPr>
        <w:t xml:space="preserve"> </w:t>
      </w:r>
      <w:r w:rsidRPr="00BE2622">
        <w:rPr>
          <w:rFonts w:cs="Arial"/>
          <w:color w:val="595959" w:themeColor="text1" w:themeTint="A6"/>
          <w:lang w:val="en-AU"/>
        </w:rPr>
        <w:t xml:space="preserve">These activities have not yet led to measurably improved public sector performance, but they </w:t>
      </w:r>
      <w:r w:rsidR="00640410">
        <w:rPr>
          <w:rFonts w:cs="Arial"/>
          <w:color w:val="595959" w:themeColor="text1" w:themeTint="A6"/>
          <w:lang w:val="en-AU"/>
        </w:rPr>
        <w:t xml:space="preserve">have provided </w:t>
      </w:r>
      <w:r w:rsidRPr="00BE2622">
        <w:rPr>
          <w:rFonts w:cs="Arial"/>
          <w:color w:val="595959" w:themeColor="text1" w:themeTint="A6"/>
          <w:lang w:val="en-AU"/>
        </w:rPr>
        <w:t xml:space="preserve">some of the key building blocks towards this long-term outcome. </w:t>
      </w:r>
    </w:p>
    <w:p w14:paraId="25418B51" w14:textId="61860D41" w:rsidR="00076EDF" w:rsidRPr="00BE2622" w:rsidRDefault="00076EDF" w:rsidP="00076EDF">
      <w:pPr>
        <w:spacing w:after="120" w:line="280" w:lineRule="exact"/>
        <w:rPr>
          <w:rFonts w:cs="Arial"/>
          <w:color w:val="595959" w:themeColor="text1" w:themeTint="A6"/>
          <w:lang w:val="en-AU"/>
        </w:rPr>
      </w:pPr>
      <w:r w:rsidRPr="00BE2622">
        <w:rPr>
          <w:rFonts w:cs="Arial"/>
          <w:color w:val="595959" w:themeColor="text1" w:themeTint="A6"/>
          <w:lang w:val="en-AU"/>
        </w:rPr>
        <w:t xml:space="preserve">The IPP supported Fiji’s Parliament to perform its important constitutional role. </w:t>
      </w:r>
      <w:r w:rsidR="00151A73">
        <w:rPr>
          <w:rFonts w:cs="Arial"/>
          <w:color w:val="595959" w:themeColor="text1" w:themeTint="A6"/>
          <w:lang w:val="en-AU"/>
        </w:rPr>
        <w:t xml:space="preserve"> </w:t>
      </w:r>
      <w:r w:rsidRPr="00BE2622">
        <w:rPr>
          <w:rFonts w:cs="Arial"/>
          <w:color w:val="595959" w:themeColor="text1" w:themeTint="A6"/>
          <w:lang w:val="en-AU"/>
        </w:rPr>
        <w:t xml:space="preserve">This included supporting the work of committees through targeted technical assistance; organising outreach activities </w:t>
      </w:r>
      <w:r w:rsidR="00E8211F" w:rsidRPr="00BE2622">
        <w:rPr>
          <w:rFonts w:cs="Arial"/>
          <w:color w:val="595959" w:themeColor="text1" w:themeTint="A6"/>
          <w:lang w:val="en-AU"/>
        </w:rPr>
        <w:t xml:space="preserve">to </w:t>
      </w:r>
      <w:r w:rsidRPr="00BE2622">
        <w:rPr>
          <w:rFonts w:cs="Arial"/>
          <w:color w:val="595959" w:themeColor="text1" w:themeTint="A6"/>
          <w:lang w:val="en-AU"/>
        </w:rPr>
        <w:t>educat</w:t>
      </w:r>
      <w:r w:rsidR="00E8211F" w:rsidRPr="00BE2622">
        <w:rPr>
          <w:rFonts w:cs="Arial"/>
          <w:color w:val="595959" w:themeColor="text1" w:themeTint="A6"/>
          <w:lang w:val="en-AU"/>
        </w:rPr>
        <w:t>e</w:t>
      </w:r>
      <w:r w:rsidRPr="00BE2622">
        <w:rPr>
          <w:rFonts w:cs="Arial"/>
          <w:color w:val="595959" w:themeColor="text1" w:themeTint="A6"/>
          <w:lang w:val="en-AU"/>
        </w:rPr>
        <w:t xml:space="preserve"> Fijians about the work of Parliament; supporting budget analysis; and </w:t>
      </w:r>
      <w:r w:rsidR="00E8211F" w:rsidRPr="00BE2622">
        <w:rPr>
          <w:rFonts w:cs="Arial"/>
          <w:color w:val="595959" w:themeColor="text1" w:themeTint="A6"/>
          <w:lang w:val="en-AU"/>
        </w:rPr>
        <w:t xml:space="preserve">facilitating the </w:t>
      </w:r>
      <w:r w:rsidRPr="00BE2622">
        <w:rPr>
          <w:rFonts w:cs="Arial"/>
          <w:color w:val="595959" w:themeColor="text1" w:themeTint="A6"/>
          <w:lang w:val="en-AU"/>
        </w:rPr>
        <w:t xml:space="preserve">live streaming of Parliamentary proceedings. </w:t>
      </w:r>
      <w:r w:rsidR="00E8211F" w:rsidRPr="00BE2622">
        <w:rPr>
          <w:rFonts w:cs="Arial"/>
          <w:color w:val="595959" w:themeColor="text1" w:themeTint="A6"/>
          <w:lang w:val="en-AU"/>
        </w:rPr>
        <w:t xml:space="preserve"> </w:t>
      </w:r>
      <w:r w:rsidRPr="00BE2622">
        <w:rPr>
          <w:rFonts w:cs="Arial"/>
          <w:color w:val="595959" w:themeColor="text1" w:themeTint="A6"/>
          <w:lang w:val="en-AU"/>
        </w:rPr>
        <w:t xml:space="preserve">One notable outcome was that in March 2017 Fiji became the first Parliament in the region to </w:t>
      </w:r>
      <w:r w:rsidRPr="00BE2622">
        <w:rPr>
          <w:color w:val="595959" w:themeColor="text1" w:themeTint="A6"/>
        </w:rPr>
        <w:t xml:space="preserve">incorporate </w:t>
      </w:r>
      <w:r w:rsidRPr="00BE2622">
        <w:rPr>
          <w:bCs/>
          <w:color w:val="595959" w:themeColor="text1" w:themeTint="A6"/>
        </w:rPr>
        <w:t>scrutiny of legislation from a gender perspective</w:t>
      </w:r>
      <w:r w:rsidRPr="00BE2622">
        <w:rPr>
          <w:b/>
          <w:bCs/>
          <w:color w:val="595959" w:themeColor="text1" w:themeTint="A6"/>
        </w:rPr>
        <w:t xml:space="preserve"> </w:t>
      </w:r>
      <w:r w:rsidRPr="00BE2622">
        <w:rPr>
          <w:color w:val="595959" w:themeColor="text1" w:themeTint="A6"/>
        </w:rPr>
        <w:t xml:space="preserve">as part of </w:t>
      </w:r>
      <w:r w:rsidR="00151A73">
        <w:rPr>
          <w:color w:val="595959" w:themeColor="text1" w:themeTint="A6"/>
        </w:rPr>
        <w:t xml:space="preserve">its </w:t>
      </w:r>
      <w:r w:rsidRPr="00BE2622">
        <w:rPr>
          <w:color w:val="595959" w:themeColor="text1" w:themeTint="A6"/>
        </w:rPr>
        <w:t>Standing Orders.</w:t>
      </w:r>
    </w:p>
    <w:p w14:paraId="5E8A5BF8" w14:textId="0A2E17C7" w:rsidR="00076EDF" w:rsidRPr="00BE2622" w:rsidRDefault="00076EDF" w:rsidP="00076EDF">
      <w:pPr>
        <w:spacing w:before="240"/>
        <w:rPr>
          <w:rFonts w:eastAsia="Times New Roman"/>
          <w:color w:val="595959" w:themeColor="text1" w:themeTint="A6"/>
        </w:rPr>
      </w:pPr>
      <w:r w:rsidRPr="00BE2622">
        <w:rPr>
          <w:rFonts w:cs="Arial"/>
          <w:color w:val="595959" w:themeColor="text1" w:themeTint="A6"/>
          <w:lang w:val="en-AU"/>
        </w:rPr>
        <w:t xml:space="preserve">The IPP supported an ongoing </w:t>
      </w:r>
      <w:r w:rsidRPr="00BE2622">
        <w:rPr>
          <w:rFonts w:eastAsia="Times New Roman"/>
          <w:color w:val="595959" w:themeColor="text1" w:themeTint="A6"/>
        </w:rPr>
        <w:t xml:space="preserve">twinning arrangement between the Australian Electoral Commission and the Fijian Elections Office.  In March 2017, a Memorandum of Understanding between the two agencies was signed to formalise cooperation on election administration ahead of Fiji’s 2018 national election.  </w:t>
      </w:r>
      <w:r w:rsidR="00E8211F" w:rsidRPr="00BE2622">
        <w:rPr>
          <w:rFonts w:eastAsia="Times New Roman"/>
          <w:color w:val="595959" w:themeColor="text1" w:themeTint="A6"/>
        </w:rPr>
        <w:t xml:space="preserve">A </w:t>
      </w:r>
      <w:r w:rsidRPr="00BE2622">
        <w:rPr>
          <w:rFonts w:eastAsia="Times New Roman"/>
          <w:color w:val="595959" w:themeColor="text1" w:themeTint="A6"/>
        </w:rPr>
        <w:t>new twinning arrangement between Australia</w:t>
      </w:r>
      <w:r w:rsidR="00E8211F" w:rsidRPr="00BE2622">
        <w:rPr>
          <w:rFonts w:eastAsia="Times New Roman"/>
          <w:color w:val="595959" w:themeColor="text1" w:themeTint="A6"/>
        </w:rPr>
        <w:t xml:space="preserve">’s Bureau of Statistics and its Fijian counterpart </w:t>
      </w:r>
      <w:r w:rsidR="00151A73">
        <w:rPr>
          <w:rFonts w:eastAsia="Times New Roman"/>
          <w:color w:val="595959" w:themeColor="text1" w:themeTint="A6"/>
        </w:rPr>
        <w:t xml:space="preserve">is </w:t>
      </w:r>
      <w:r w:rsidRPr="00BE2622">
        <w:rPr>
          <w:rFonts w:eastAsia="Times New Roman"/>
          <w:color w:val="595959" w:themeColor="text1" w:themeTint="A6"/>
        </w:rPr>
        <w:t>support</w:t>
      </w:r>
      <w:r w:rsidR="00151A73">
        <w:rPr>
          <w:rFonts w:eastAsia="Times New Roman"/>
          <w:color w:val="595959" w:themeColor="text1" w:themeTint="A6"/>
        </w:rPr>
        <w:t>ing</w:t>
      </w:r>
      <w:r w:rsidRPr="00BE2622">
        <w:rPr>
          <w:rFonts w:eastAsia="Times New Roman"/>
          <w:color w:val="595959" w:themeColor="text1" w:themeTint="A6"/>
        </w:rPr>
        <w:t xml:space="preserve"> planning for Fiji’s 2017 national census.</w:t>
      </w:r>
    </w:p>
    <w:p w14:paraId="7CF7261C" w14:textId="754F1C05" w:rsidR="00076EDF" w:rsidRPr="00BE2622" w:rsidRDefault="00A502CF" w:rsidP="00076EDF">
      <w:pPr>
        <w:spacing w:before="240"/>
        <w:rPr>
          <w:rFonts w:eastAsia="Times New Roman"/>
          <w:color w:val="595959" w:themeColor="text1" w:themeTint="A6"/>
        </w:rPr>
      </w:pPr>
      <w:r>
        <w:rPr>
          <w:rFonts w:eastAsia="Times New Roman"/>
          <w:color w:val="595959" w:themeColor="text1" w:themeTint="A6"/>
        </w:rPr>
        <w:t>A mid-term review found that the IPP i</w:t>
      </w:r>
      <w:r w:rsidR="00076EDF" w:rsidRPr="00BE2622">
        <w:rPr>
          <w:rFonts w:eastAsia="Times New Roman"/>
          <w:color w:val="595959" w:themeColor="text1" w:themeTint="A6"/>
        </w:rPr>
        <w:t xml:space="preserve">s </w:t>
      </w:r>
      <w:r w:rsidRPr="00BE2622">
        <w:rPr>
          <w:rFonts w:eastAsia="Times New Roman"/>
          <w:color w:val="595959" w:themeColor="text1" w:themeTint="A6"/>
        </w:rPr>
        <w:t>ma</w:t>
      </w:r>
      <w:r>
        <w:rPr>
          <w:rFonts w:eastAsia="Times New Roman"/>
          <w:color w:val="595959" w:themeColor="text1" w:themeTint="A6"/>
        </w:rPr>
        <w:t xml:space="preserve">king good progress but that </w:t>
      </w:r>
      <w:r w:rsidR="00076EDF" w:rsidRPr="00BE2622">
        <w:rPr>
          <w:rFonts w:eastAsia="Times New Roman"/>
          <w:color w:val="595959" w:themeColor="text1" w:themeTint="A6"/>
        </w:rPr>
        <w:t xml:space="preserve">more needs to be done to systematically address gender and disability in all investments and to ensure a robust monitoring framework is in place to collect results data.  </w:t>
      </w:r>
      <w:r w:rsidR="00101DBF" w:rsidRPr="00BE2622">
        <w:rPr>
          <w:rFonts w:eastAsia="Times New Roman"/>
          <w:color w:val="595959" w:themeColor="text1" w:themeTint="A6"/>
        </w:rPr>
        <w:t xml:space="preserve">Relevant targets will be included in </w:t>
      </w:r>
      <w:r w:rsidR="00640410">
        <w:rPr>
          <w:rFonts w:eastAsia="Times New Roman"/>
          <w:color w:val="595959" w:themeColor="text1" w:themeTint="A6"/>
        </w:rPr>
        <w:t xml:space="preserve">the program’s </w:t>
      </w:r>
      <w:r w:rsidR="00101DBF" w:rsidRPr="00BE2622">
        <w:rPr>
          <w:rFonts w:eastAsia="Times New Roman"/>
          <w:color w:val="595959" w:themeColor="text1" w:themeTint="A6"/>
        </w:rPr>
        <w:t>Performance Assessment Framework.</w:t>
      </w:r>
    </w:p>
    <w:p w14:paraId="307E0B64" w14:textId="76F79F4A" w:rsidR="00076EDF" w:rsidRPr="00BE2622" w:rsidRDefault="00076EDF" w:rsidP="00076EDF">
      <w:pPr>
        <w:pStyle w:val="ListBullet"/>
        <w:tabs>
          <w:tab w:val="clear" w:pos="284"/>
          <w:tab w:val="left" w:pos="720"/>
        </w:tabs>
        <w:spacing w:before="360"/>
        <w:rPr>
          <w:rFonts w:asciiTheme="majorHAnsi" w:eastAsiaTheme="majorEastAsia" w:hAnsiTheme="majorHAnsi" w:cstheme="majorBidi"/>
          <w:caps/>
          <w:color w:val="595959" w:themeColor="text1" w:themeTint="A6"/>
          <w:sz w:val="38"/>
          <w:szCs w:val="26"/>
          <w:lang w:val="en-GB" w:eastAsia="en-US"/>
        </w:rPr>
      </w:pPr>
      <w:r w:rsidRPr="00BE2622">
        <w:rPr>
          <w:rFonts w:asciiTheme="majorHAnsi" w:eastAsiaTheme="majorEastAsia" w:hAnsiTheme="majorHAnsi" w:cstheme="majorBidi"/>
          <w:caps/>
          <w:color w:val="595959" w:themeColor="text1" w:themeTint="A6"/>
          <w:sz w:val="38"/>
          <w:szCs w:val="26"/>
          <w:lang w:val="en-GB" w:eastAsia="en-US"/>
        </w:rPr>
        <w:t>Objective 2 – improved human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751"/>
        <w:gridCol w:w="1753"/>
        <w:gridCol w:w="1753"/>
        <w:gridCol w:w="1753"/>
      </w:tblGrid>
      <w:tr w:rsidR="00076EDF" w:rsidRPr="00BE2622" w14:paraId="3E9E8E9F" w14:textId="77777777" w:rsidTr="00076EDF">
        <w:tc>
          <w:tcPr>
            <w:tcW w:w="2016" w:type="dxa"/>
            <w:hideMark/>
          </w:tcPr>
          <w:p w14:paraId="6E87C1AF" w14:textId="77777777" w:rsidR="00076EDF" w:rsidRPr="00BE2622" w:rsidRDefault="00076EDF">
            <w:pPr>
              <w:spacing w:before="80" w:after="80"/>
              <w:jc w:val="center"/>
              <w:rPr>
                <w:rFonts w:asciiTheme="majorHAnsi" w:eastAsiaTheme="majorEastAsia" w:hAnsiTheme="majorHAnsi" w:cstheme="majorBidi"/>
                <w:caps/>
                <w:color w:val="595959" w:themeColor="text1" w:themeTint="A6"/>
                <w:sz w:val="38"/>
                <w:szCs w:val="26"/>
              </w:rPr>
            </w:pPr>
            <w:r w:rsidRPr="00BE2622">
              <w:rPr>
                <w:rFonts w:asciiTheme="majorHAnsi" w:eastAsiaTheme="majorEastAsia" w:hAnsiTheme="majorHAnsi" w:cstheme="majorBidi"/>
                <w:caps/>
                <w:noProof/>
                <w:color w:val="595959" w:themeColor="text1" w:themeTint="A6"/>
                <w:sz w:val="38"/>
                <w:szCs w:val="26"/>
                <w:lang w:val="en-AU" w:eastAsia="en-AU"/>
              </w:rPr>
              <w:drawing>
                <wp:inline distT="0" distB="0" distL="0" distR="0" wp14:anchorId="52603BA6" wp14:editId="50DD3787">
                  <wp:extent cx="1133475" cy="7239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inline>
              </w:drawing>
            </w:r>
          </w:p>
        </w:tc>
        <w:tc>
          <w:tcPr>
            <w:tcW w:w="1751" w:type="dxa"/>
            <w:hideMark/>
          </w:tcPr>
          <w:p w14:paraId="691E45EA" w14:textId="77777777" w:rsidR="00076EDF" w:rsidRPr="00BE2622" w:rsidRDefault="00076EDF">
            <w:pPr>
              <w:spacing w:before="160" w:after="80"/>
              <w:jc w:val="center"/>
              <w:rPr>
                <w:rFonts w:asciiTheme="majorHAnsi" w:eastAsiaTheme="majorEastAsia" w:hAnsiTheme="majorHAnsi" w:cstheme="majorBidi"/>
                <w:caps/>
                <w:color w:val="595959" w:themeColor="text1" w:themeTint="A6"/>
                <w:sz w:val="38"/>
                <w:szCs w:val="26"/>
              </w:rPr>
            </w:pPr>
            <w:r w:rsidRPr="00BE2622">
              <w:rPr>
                <w:rFonts w:ascii="Franklin Gothic Book" w:hAnsi="Franklin Gothic Book"/>
                <w:noProof/>
                <w:color w:val="595959" w:themeColor="text1" w:themeTint="A6"/>
                <w:sz w:val="21"/>
                <w:szCs w:val="24"/>
                <w:lang w:val="en-AU" w:eastAsia="en-AU"/>
              </w:rPr>
              <w:drawing>
                <wp:inline distT="0" distB="0" distL="0" distR="0" wp14:anchorId="51A82948" wp14:editId="3B4496EF">
                  <wp:extent cx="609600" cy="609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753" w:type="dxa"/>
            <w:hideMark/>
          </w:tcPr>
          <w:p w14:paraId="496D1F36" w14:textId="77777777" w:rsidR="00076EDF" w:rsidRPr="00BE2622" w:rsidRDefault="00076EDF">
            <w:pPr>
              <w:spacing w:before="160" w:after="80"/>
              <w:jc w:val="center"/>
              <w:rPr>
                <w:rFonts w:asciiTheme="majorHAnsi" w:eastAsiaTheme="majorEastAsia" w:hAnsiTheme="majorHAnsi" w:cstheme="majorBidi"/>
                <w:caps/>
                <w:color w:val="595959" w:themeColor="text1" w:themeTint="A6"/>
                <w:sz w:val="38"/>
                <w:szCs w:val="26"/>
              </w:rPr>
            </w:pPr>
            <w:r w:rsidRPr="00BE2622">
              <w:rPr>
                <w:rFonts w:ascii="Franklin Gothic Book" w:hAnsi="Franklin Gothic Book"/>
                <w:noProof/>
                <w:color w:val="595959" w:themeColor="text1" w:themeTint="A6"/>
                <w:sz w:val="21"/>
                <w:szCs w:val="24"/>
                <w:lang w:val="en-AU" w:eastAsia="en-AU"/>
              </w:rPr>
              <w:drawing>
                <wp:inline distT="0" distB="0" distL="0" distR="0" wp14:anchorId="515F1841" wp14:editId="48324FC0">
                  <wp:extent cx="609600" cy="609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753" w:type="dxa"/>
            <w:hideMark/>
          </w:tcPr>
          <w:p w14:paraId="7A534875" w14:textId="77777777" w:rsidR="00076EDF" w:rsidRPr="00BE2622" w:rsidRDefault="00076EDF">
            <w:pPr>
              <w:spacing w:before="160" w:after="80"/>
              <w:jc w:val="center"/>
              <w:rPr>
                <w:rFonts w:asciiTheme="majorHAnsi" w:eastAsiaTheme="majorEastAsia" w:hAnsiTheme="majorHAnsi" w:cstheme="majorBidi"/>
                <w:caps/>
                <w:color w:val="595959" w:themeColor="text1" w:themeTint="A6"/>
                <w:sz w:val="38"/>
                <w:szCs w:val="26"/>
              </w:rPr>
            </w:pPr>
            <w:r w:rsidRPr="00BE2622">
              <w:rPr>
                <w:noProof/>
                <w:color w:val="595959" w:themeColor="text1" w:themeTint="A6"/>
                <w:lang w:val="en-AU" w:eastAsia="en-AU"/>
              </w:rPr>
              <w:drawing>
                <wp:inline distT="0" distB="0" distL="0" distR="0" wp14:anchorId="4D2A664B" wp14:editId="6EA33A83">
                  <wp:extent cx="609600" cy="609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753" w:type="dxa"/>
          </w:tcPr>
          <w:p w14:paraId="680FBBA5" w14:textId="77777777" w:rsidR="00076EDF" w:rsidRPr="00BE2622" w:rsidRDefault="00076EDF">
            <w:pPr>
              <w:spacing w:before="160" w:after="80"/>
              <w:jc w:val="center"/>
              <w:rPr>
                <w:rFonts w:asciiTheme="majorHAnsi" w:eastAsiaTheme="majorEastAsia" w:hAnsiTheme="majorHAnsi" w:cstheme="majorBidi"/>
                <w:caps/>
                <w:color w:val="595959" w:themeColor="text1" w:themeTint="A6"/>
                <w:sz w:val="38"/>
                <w:szCs w:val="26"/>
              </w:rPr>
            </w:pPr>
          </w:p>
        </w:tc>
      </w:tr>
    </w:tbl>
    <w:p w14:paraId="11843EA2" w14:textId="328080B1" w:rsidR="00076EDF" w:rsidRPr="00BE2622" w:rsidRDefault="00076EDF" w:rsidP="00076EDF">
      <w:pPr>
        <w:rPr>
          <w:color w:val="595959" w:themeColor="text1" w:themeTint="A6"/>
        </w:rPr>
      </w:pPr>
      <w:r w:rsidRPr="00BE2622">
        <w:rPr>
          <w:color w:val="595959" w:themeColor="text1" w:themeTint="A6"/>
        </w:rPr>
        <w:t xml:space="preserve">Australia invests in education and health to ensure all Fijians can benefit from and contribute to </w:t>
      </w:r>
      <w:r w:rsidR="00151A73">
        <w:rPr>
          <w:color w:val="595959" w:themeColor="text1" w:themeTint="A6"/>
        </w:rPr>
        <w:t xml:space="preserve">the country’s </w:t>
      </w:r>
      <w:r w:rsidRPr="00BE2622">
        <w:rPr>
          <w:color w:val="595959" w:themeColor="text1" w:themeTint="A6"/>
        </w:rPr>
        <w:t>economic growth, particularly disadvantaged segments of the population.  We partner with civil society organisations (CSOs) to extend our reach into vulnerable communities</w:t>
      </w:r>
      <w:r w:rsidR="00151A73">
        <w:rPr>
          <w:color w:val="595959" w:themeColor="text1" w:themeTint="A6"/>
        </w:rPr>
        <w:t xml:space="preserve">, </w:t>
      </w:r>
      <w:r w:rsidRPr="00BE2622">
        <w:rPr>
          <w:color w:val="595959" w:themeColor="text1" w:themeTint="A6"/>
        </w:rPr>
        <w:t>mitigate economic and social hardship</w:t>
      </w:r>
      <w:r w:rsidR="00E454A3" w:rsidRPr="00BE2622">
        <w:rPr>
          <w:color w:val="595959" w:themeColor="text1" w:themeTint="A6"/>
        </w:rPr>
        <w:t xml:space="preserve"> and promote equality between women and men.  </w:t>
      </w:r>
      <w:r w:rsidR="00151A73">
        <w:rPr>
          <w:color w:val="595959" w:themeColor="text1" w:themeTint="A6"/>
        </w:rPr>
        <w:t xml:space="preserve">Through our programs, we seek to </w:t>
      </w:r>
      <w:r w:rsidRPr="00BE2622">
        <w:rPr>
          <w:color w:val="595959" w:themeColor="text1" w:themeTint="A6"/>
        </w:rPr>
        <w:t xml:space="preserve">build networks of skilled individuals who are able to respond to Fiji’s development needs, now and in the future. </w:t>
      </w:r>
      <w:r w:rsidR="0044195F" w:rsidRPr="00BE2622">
        <w:rPr>
          <w:color w:val="595959" w:themeColor="text1" w:themeTint="A6"/>
        </w:rPr>
        <w:t xml:space="preserve"> </w:t>
      </w:r>
    </w:p>
    <w:p w14:paraId="486F0266" w14:textId="623238CB" w:rsidR="000656D6" w:rsidRPr="00BE2622" w:rsidRDefault="00076EDF" w:rsidP="00076EDF">
      <w:pPr>
        <w:rPr>
          <w:color w:val="595959" w:themeColor="text1" w:themeTint="A6"/>
        </w:rPr>
      </w:pPr>
      <w:r w:rsidRPr="00BE2622">
        <w:rPr>
          <w:color w:val="595959" w:themeColor="text1" w:themeTint="A6"/>
        </w:rPr>
        <w:t xml:space="preserve">2016-17 was a year of review and transition for our human development programs.  </w:t>
      </w:r>
      <w:r w:rsidR="006E3361" w:rsidRPr="00BE2622">
        <w:rPr>
          <w:color w:val="595959" w:themeColor="text1" w:themeTint="A6"/>
        </w:rPr>
        <w:t xml:space="preserve">The core work of the Access to Quality Education Program (AQEP, $64 million, 2010-18) ended in June 2017, with AQEP continuing only to support reconstruction efforts following TC Winston.  </w:t>
      </w:r>
      <w:r w:rsidRPr="00BE2622">
        <w:rPr>
          <w:color w:val="595959" w:themeColor="text1" w:themeTint="A6"/>
        </w:rPr>
        <w:t>The Fiji Health Sector Support Program (FHSSP, $33 million, 2011-17)</w:t>
      </w:r>
      <w:r w:rsidR="00151A73">
        <w:rPr>
          <w:color w:val="595959" w:themeColor="text1" w:themeTint="A6"/>
        </w:rPr>
        <w:t>,</w:t>
      </w:r>
      <w:r w:rsidRPr="00BE2622">
        <w:rPr>
          <w:color w:val="595959" w:themeColor="text1" w:themeTint="A6"/>
        </w:rPr>
        <w:t xml:space="preserve"> the Fiji Community Development Program (</w:t>
      </w:r>
      <w:r w:rsidR="006E3361" w:rsidRPr="00BE2622">
        <w:rPr>
          <w:color w:val="595959" w:themeColor="text1" w:themeTint="A6"/>
        </w:rPr>
        <w:t xml:space="preserve">FCDP, </w:t>
      </w:r>
      <w:r w:rsidR="00E454A3" w:rsidRPr="00BE2622">
        <w:rPr>
          <w:color w:val="595959" w:themeColor="text1" w:themeTint="A6"/>
        </w:rPr>
        <w:t xml:space="preserve">$21 million, 2012-2017) and Phase 1 of the Pacific Women </w:t>
      </w:r>
      <w:r w:rsidR="0014098A">
        <w:rPr>
          <w:color w:val="595959" w:themeColor="text1" w:themeTint="A6"/>
        </w:rPr>
        <w:t xml:space="preserve">Shaping Pacific Development </w:t>
      </w:r>
      <w:r w:rsidR="00E454A3" w:rsidRPr="00BE2622">
        <w:rPr>
          <w:color w:val="595959" w:themeColor="text1" w:themeTint="A6"/>
        </w:rPr>
        <w:t xml:space="preserve">program in Fiji </w:t>
      </w:r>
      <w:r w:rsidR="0014098A">
        <w:rPr>
          <w:color w:val="595959" w:themeColor="text1" w:themeTint="A6"/>
        </w:rPr>
        <w:t xml:space="preserve">(Pacific Women) </w:t>
      </w:r>
      <w:r w:rsidR="003E4BE4">
        <w:rPr>
          <w:color w:val="595959" w:themeColor="text1" w:themeTint="A6"/>
        </w:rPr>
        <w:t xml:space="preserve">all </w:t>
      </w:r>
      <w:r w:rsidRPr="00BE2622">
        <w:rPr>
          <w:color w:val="595959" w:themeColor="text1" w:themeTint="A6"/>
        </w:rPr>
        <w:t xml:space="preserve">ended, and evaluations </w:t>
      </w:r>
      <w:r w:rsidR="003E4BE4">
        <w:rPr>
          <w:color w:val="595959" w:themeColor="text1" w:themeTint="A6"/>
        </w:rPr>
        <w:t xml:space="preserve">were undertaken to </w:t>
      </w:r>
      <w:r w:rsidRPr="00BE2622">
        <w:rPr>
          <w:color w:val="595959" w:themeColor="text1" w:themeTint="A6"/>
        </w:rPr>
        <w:t>inform the design of new phases.</w:t>
      </w:r>
      <w:r w:rsidR="00644B75">
        <w:rPr>
          <w:color w:val="595959" w:themeColor="text1" w:themeTint="A6"/>
        </w:rPr>
        <w:t xml:space="preserve">  </w:t>
      </w:r>
      <w:r w:rsidR="003E4BE4">
        <w:rPr>
          <w:color w:val="595959" w:themeColor="text1" w:themeTint="A6"/>
        </w:rPr>
        <w:t>Substantial w</w:t>
      </w:r>
      <w:r w:rsidR="000656D6" w:rsidRPr="00BE2622">
        <w:rPr>
          <w:color w:val="595959" w:themeColor="text1" w:themeTint="A6"/>
        </w:rPr>
        <w:t xml:space="preserve">ork was also undertaken to transfer the management of the education, health, community development and scholarships programs to the </w:t>
      </w:r>
      <w:r w:rsidR="003E4BE4">
        <w:rPr>
          <w:color w:val="595959" w:themeColor="text1" w:themeTint="A6"/>
        </w:rPr>
        <w:t xml:space="preserve">new </w:t>
      </w:r>
      <w:r w:rsidR="000656D6" w:rsidRPr="00BE2622">
        <w:rPr>
          <w:color w:val="595959" w:themeColor="text1" w:themeTint="A6"/>
        </w:rPr>
        <w:t>Fiji Program Support Facility.</w:t>
      </w:r>
    </w:p>
    <w:p w14:paraId="5C46E62E" w14:textId="77777777" w:rsidR="00076EDF" w:rsidRPr="00BE2622" w:rsidRDefault="00076EDF" w:rsidP="00076EDF">
      <w:pPr>
        <w:rPr>
          <w:color w:val="595959" w:themeColor="text1" w:themeTint="A6"/>
        </w:rPr>
      </w:pPr>
      <w:r w:rsidRPr="00BE2622">
        <w:rPr>
          <w:b/>
          <w:color w:val="595959" w:themeColor="text1" w:themeTint="A6"/>
        </w:rPr>
        <w:t>Improved access to quality education</w:t>
      </w:r>
    </w:p>
    <w:p w14:paraId="1EFCEB84" w14:textId="3BB9A89A" w:rsidR="00C21FB5" w:rsidRPr="00BE2622" w:rsidRDefault="00076EDF" w:rsidP="00076EDF">
      <w:pPr>
        <w:rPr>
          <w:color w:val="595959" w:themeColor="text1" w:themeTint="A6"/>
        </w:rPr>
      </w:pPr>
      <w:r w:rsidRPr="00BE2622">
        <w:rPr>
          <w:color w:val="595959" w:themeColor="text1" w:themeTint="A6"/>
        </w:rPr>
        <w:t>AQEP</w:t>
      </w:r>
      <w:r w:rsidR="00B16FBC">
        <w:rPr>
          <w:color w:val="595959" w:themeColor="text1" w:themeTint="A6"/>
        </w:rPr>
        <w:t>’s</w:t>
      </w:r>
      <w:r w:rsidRPr="00BE2622">
        <w:rPr>
          <w:color w:val="595959" w:themeColor="text1" w:themeTint="A6"/>
        </w:rPr>
        <w:t xml:space="preserve"> support centred on school-based management grants to improve access to schools (including through building renovations) and literacy and numeracy outcomes (through teaching and learning resources).  The program also worked with the Ministry of Education to improve information management systems and literacy and numeracy processes.  </w:t>
      </w:r>
    </w:p>
    <w:p w14:paraId="523BB5D6" w14:textId="535E8D56" w:rsidR="00076EDF" w:rsidRPr="00BE2622" w:rsidRDefault="00CC687E" w:rsidP="007E7E4F">
      <w:pPr>
        <w:rPr>
          <w:color w:val="595959" w:themeColor="text1" w:themeTint="A6"/>
        </w:rPr>
      </w:pPr>
      <w:r w:rsidRPr="00BE2622">
        <w:rPr>
          <w:color w:val="595959" w:themeColor="text1" w:themeTint="A6"/>
        </w:rPr>
        <w:t>A</w:t>
      </w:r>
      <w:r w:rsidR="00624232" w:rsidRPr="00BE2622">
        <w:rPr>
          <w:color w:val="595959" w:themeColor="text1" w:themeTint="A6"/>
        </w:rPr>
        <w:t xml:space="preserve">n end of program evaluation found that </w:t>
      </w:r>
      <w:r w:rsidR="00076EDF" w:rsidRPr="00BE2622">
        <w:rPr>
          <w:color w:val="595959" w:themeColor="text1" w:themeTint="A6"/>
        </w:rPr>
        <w:t>the three end of program outcomes relating to access, quality and sustainability</w:t>
      </w:r>
      <w:r w:rsidR="00C21FB5" w:rsidRPr="00BE2622">
        <w:rPr>
          <w:color w:val="595959" w:themeColor="text1" w:themeTint="A6"/>
        </w:rPr>
        <w:t xml:space="preserve"> were achieved</w:t>
      </w:r>
      <w:r w:rsidR="00076EDF" w:rsidRPr="00BE2622">
        <w:rPr>
          <w:color w:val="595959" w:themeColor="text1" w:themeTint="A6"/>
        </w:rPr>
        <w:t xml:space="preserve">.  </w:t>
      </w:r>
      <w:r w:rsidR="00B16FBC">
        <w:rPr>
          <w:color w:val="595959" w:themeColor="text1" w:themeTint="A6"/>
        </w:rPr>
        <w:t xml:space="preserve">AQEP’s </w:t>
      </w:r>
      <w:r w:rsidR="00076EDF" w:rsidRPr="00BE2622">
        <w:rPr>
          <w:color w:val="595959" w:themeColor="text1" w:themeTint="A6"/>
        </w:rPr>
        <w:t xml:space="preserve">end of program target </w:t>
      </w:r>
      <w:r w:rsidR="00B16FBC">
        <w:rPr>
          <w:color w:val="595959" w:themeColor="text1" w:themeTint="A6"/>
        </w:rPr>
        <w:t xml:space="preserve">for access </w:t>
      </w:r>
      <w:r w:rsidR="00076EDF" w:rsidRPr="00BE2622">
        <w:rPr>
          <w:color w:val="595959" w:themeColor="text1" w:themeTint="A6"/>
        </w:rPr>
        <w:t>of average student attendance of at least 90</w:t>
      </w:r>
      <w:r w:rsidR="00C21FB5" w:rsidRPr="00BE2622">
        <w:rPr>
          <w:color w:val="595959" w:themeColor="text1" w:themeTint="A6"/>
        </w:rPr>
        <w:t xml:space="preserve"> percent</w:t>
      </w:r>
      <w:r w:rsidR="00076EDF" w:rsidRPr="00BE2622">
        <w:rPr>
          <w:color w:val="595959" w:themeColor="text1" w:themeTint="A6"/>
        </w:rPr>
        <w:t xml:space="preserve"> was met (91</w:t>
      </w:r>
      <w:r w:rsidR="00C21FB5" w:rsidRPr="00BE2622">
        <w:rPr>
          <w:color w:val="595959" w:themeColor="text1" w:themeTint="A6"/>
        </w:rPr>
        <w:t xml:space="preserve"> percent</w:t>
      </w:r>
      <w:r w:rsidR="00076EDF" w:rsidRPr="00BE2622">
        <w:rPr>
          <w:color w:val="595959" w:themeColor="text1" w:themeTint="A6"/>
        </w:rPr>
        <w:t xml:space="preserve"> in Term 1, 2017). </w:t>
      </w:r>
      <w:r w:rsidR="00023B75" w:rsidRPr="00BE2622">
        <w:rPr>
          <w:color w:val="595959" w:themeColor="text1" w:themeTint="A6"/>
        </w:rPr>
        <w:t xml:space="preserve"> </w:t>
      </w:r>
      <w:r w:rsidR="00C21FB5" w:rsidRPr="00BE2622">
        <w:rPr>
          <w:color w:val="595959" w:themeColor="text1" w:themeTint="A6"/>
        </w:rPr>
        <w:t xml:space="preserve">The </w:t>
      </w:r>
      <w:r w:rsidR="00076EDF" w:rsidRPr="00BE2622">
        <w:rPr>
          <w:color w:val="595959" w:themeColor="text1" w:themeTint="A6"/>
        </w:rPr>
        <w:t xml:space="preserve">end of program target </w:t>
      </w:r>
      <w:r w:rsidR="00C21FB5" w:rsidRPr="00BE2622">
        <w:rPr>
          <w:color w:val="595959" w:themeColor="text1" w:themeTint="A6"/>
        </w:rPr>
        <w:t xml:space="preserve">for quality was that </w:t>
      </w:r>
      <w:r w:rsidR="00076EDF" w:rsidRPr="00BE2622">
        <w:rPr>
          <w:color w:val="595959" w:themeColor="text1" w:themeTint="A6"/>
        </w:rPr>
        <w:t xml:space="preserve">no </w:t>
      </w:r>
      <w:r w:rsidR="00076EDF" w:rsidRPr="00BE2622">
        <w:rPr>
          <w:color w:val="595959" w:themeColor="text1" w:themeTint="A6"/>
        </w:rPr>
        <w:lastRenderedPageBreak/>
        <w:t>more than 25</w:t>
      </w:r>
      <w:r w:rsidR="00C21FB5" w:rsidRPr="00BE2622">
        <w:rPr>
          <w:color w:val="595959" w:themeColor="text1" w:themeTint="A6"/>
        </w:rPr>
        <w:t xml:space="preserve"> percent</w:t>
      </w:r>
      <w:r w:rsidR="00076EDF" w:rsidRPr="00BE2622">
        <w:rPr>
          <w:color w:val="595959" w:themeColor="text1" w:themeTint="A6"/>
        </w:rPr>
        <w:t xml:space="preserve"> of students at AQEP-supported schools </w:t>
      </w:r>
      <w:r w:rsidR="00C21FB5" w:rsidRPr="00BE2622">
        <w:rPr>
          <w:color w:val="595959" w:themeColor="text1" w:themeTint="A6"/>
        </w:rPr>
        <w:t>were</w:t>
      </w:r>
      <w:r w:rsidR="00076EDF" w:rsidRPr="00BE2622">
        <w:rPr>
          <w:color w:val="595959" w:themeColor="text1" w:themeTint="A6"/>
        </w:rPr>
        <w:t xml:space="preserve"> in the bottom quartile nationally of the Ministry of Education’s Literacy and Numeracy Assessment (LANA) Year 5 examinations</w:t>
      </w:r>
      <w:r w:rsidR="00C21FB5" w:rsidRPr="00BE2622">
        <w:rPr>
          <w:color w:val="595959" w:themeColor="text1" w:themeTint="A6"/>
        </w:rPr>
        <w:t>.  This was met</w:t>
      </w:r>
      <w:r w:rsidR="00076EDF" w:rsidRPr="00BE2622">
        <w:rPr>
          <w:color w:val="595959" w:themeColor="text1" w:themeTint="A6"/>
        </w:rPr>
        <w:t xml:space="preserve"> in 2016</w:t>
      </w:r>
      <w:r w:rsidR="00C21FB5" w:rsidRPr="00BE2622">
        <w:rPr>
          <w:color w:val="595959" w:themeColor="text1" w:themeTint="A6"/>
        </w:rPr>
        <w:t xml:space="preserve">, </w:t>
      </w:r>
      <w:r w:rsidR="00076EDF" w:rsidRPr="00BE2622">
        <w:rPr>
          <w:color w:val="595959" w:themeColor="text1" w:themeTint="A6"/>
        </w:rPr>
        <w:t xml:space="preserve">despite TC Winston adversely </w:t>
      </w:r>
      <w:r w:rsidR="00CE6AF4" w:rsidRPr="00BE2622">
        <w:rPr>
          <w:color w:val="595959" w:themeColor="text1" w:themeTint="A6"/>
        </w:rPr>
        <w:t xml:space="preserve">affecting </w:t>
      </w:r>
      <w:r w:rsidR="00076EDF" w:rsidRPr="00BE2622">
        <w:rPr>
          <w:color w:val="595959" w:themeColor="text1" w:themeTint="A6"/>
        </w:rPr>
        <w:t xml:space="preserve">attendance and learning at over half of the </w:t>
      </w:r>
      <w:r w:rsidR="00E314E6">
        <w:rPr>
          <w:color w:val="595959" w:themeColor="text1" w:themeTint="A6"/>
        </w:rPr>
        <w:t xml:space="preserve">85 AQEP </w:t>
      </w:r>
      <w:r w:rsidR="00076EDF" w:rsidRPr="00BE2622">
        <w:rPr>
          <w:color w:val="595959" w:themeColor="text1" w:themeTint="A6"/>
        </w:rPr>
        <w:t xml:space="preserve">schools. </w:t>
      </w:r>
      <w:r w:rsidR="00023B75" w:rsidRPr="00BE2622">
        <w:rPr>
          <w:color w:val="595959" w:themeColor="text1" w:themeTint="A6"/>
        </w:rPr>
        <w:t xml:space="preserve"> </w:t>
      </w:r>
      <w:r w:rsidR="00076EDF" w:rsidRPr="00BE2622">
        <w:rPr>
          <w:color w:val="595959" w:themeColor="text1" w:themeTint="A6"/>
        </w:rPr>
        <w:t xml:space="preserve">AQEP </w:t>
      </w:r>
      <w:r w:rsidR="00B16FBC">
        <w:rPr>
          <w:color w:val="595959" w:themeColor="text1" w:themeTint="A6"/>
        </w:rPr>
        <w:t xml:space="preserve">also </w:t>
      </w:r>
      <w:r w:rsidR="00076EDF" w:rsidRPr="00BE2622">
        <w:rPr>
          <w:color w:val="595959" w:themeColor="text1" w:themeTint="A6"/>
        </w:rPr>
        <w:t xml:space="preserve">met </w:t>
      </w:r>
      <w:r w:rsidR="00B16FBC">
        <w:rPr>
          <w:color w:val="595959" w:themeColor="text1" w:themeTint="A6"/>
        </w:rPr>
        <w:t xml:space="preserve">its </w:t>
      </w:r>
      <w:r w:rsidR="00076EDF" w:rsidRPr="00BE2622">
        <w:rPr>
          <w:color w:val="595959" w:themeColor="text1" w:themeTint="A6"/>
        </w:rPr>
        <w:t xml:space="preserve">end of program </w:t>
      </w:r>
      <w:r w:rsidR="00C21FB5" w:rsidRPr="00BE2622">
        <w:rPr>
          <w:color w:val="595959" w:themeColor="text1" w:themeTint="A6"/>
        </w:rPr>
        <w:t xml:space="preserve">sustainability </w:t>
      </w:r>
      <w:r w:rsidR="00076EDF" w:rsidRPr="00BE2622">
        <w:rPr>
          <w:color w:val="595959" w:themeColor="text1" w:themeTint="A6"/>
        </w:rPr>
        <w:t>target of 95</w:t>
      </w:r>
      <w:r w:rsidR="00C21FB5" w:rsidRPr="00BE2622">
        <w:rPr>
          <w:color w:val="595959" w:themeColor="text1" w:themeTint="A6"/>
        </w:rPr>
        <w:t xml:space="preserve"> percent</w:t>
      </w:r>
      <w:r w:rsidR="00076EDF" w:rsidRPr="00BE2622">
        <w:rPr>
          <w:color w:val="595959" w:themeColor="text1" w:themeTint="A6"/>
        </w:rPr>
        <w:t xml:space="preserve"> compliance in attendance reporting on the Fiji Education </w:t>
      </w:r>
      <w:r w:rsidR="00CE6AF4" w:rsidRPr="00BE2622">
        <w:rPr>
          <w:color w:val="595959" w:themeColor="text1" w:themeTint="A6"/>
        </w:rPr>
        <w:t xml:space="preserve">Management </w:t>
      </w:r>
      <w:r w:rsidR="00076EDF" w:rsidRPr="00BE2622">
        <w:rPr>
          <w:color w:val="595959" w:themeColor="text1" w:themeTint="A6"/>
        </w:rPr>
        <w:t>Information System (FEMIS), which improved from 79</w:t>
      </w:r>
      <w:r w:rsidR="00C21FB5" w:rsidRPr="00BE2622">
        <w:rPr>
          <w:color w:val="595959" w:themeColor="text1" w:themeTint="A6"/>
        </w:rPr>
        <w:t xml:space="preserve"> percent</w:t>
      </w:r>
      <w:r w:rsidR="00076EDF" w:rsidRPr="00BE2622">
        <w:rPr>
          <w:color w:val="595959" w:themeColor="text1" w:themeTint="A6"/>
        </w:rPr>
        <w:t xml:space="preserve"> in 2014. </w:t>
      </w:r>
      <w:r w:rsidR="00C21FB5" w:rsidRPr="00BE2622">
        <w:rPr>
          <w:color w:val="595959" w:themeColor="text1" w:themeTint="A6"/>
        </w:rPr>
        <w:t xml:space="preserve"> </w:t>
      </w:r>
      <w:r w:rsidRPr="00BE2622">
        <w:rPr>
          <w:color w:val="595959" w:themeColor="text1" w:themeTint="A6"/>
        </w:rPr>
        <w:t>T</w:t>
      </w:r>
      <w:r w:rsidR="00076EDF" w:rsidRPr="00BE2622">
        <w:rPr>
          <w:color w:val="595959" w:themeColor="text1" w:themeTint="A6"/>
        </w:rPr>
        <w:t>he second sustainability target was also achieved, with 76 of the 84 schools open in Term 1 2017 undertaking income-generation activities (90</w:t>
      </w:r>
      <w:r w:rsidR="00C21FB5" w:rsidRPr="00BE2622">
        <w:rPr>
          <w:color w:val="595959" w:themeColor="text1" w:themeTint="A6"/>
        </w:rPr>
        <w:t xml:space="preserve"> percent</w:t>
      </w:r>
      <w:r w:rsidR="00076EDF" w:rsidRPr="00BE2622">
        <w:rPr>
          <w:color w:val="595959" w:themeColor="text1" w:themeTint="A6"/>
        </w:rPr>
        <w:t xml:space="preserve"> against the end of program target of 90</w:t>
      </w:r>
      <w:r w:rsidR="00C21FB5" w:rsidRPr="00BE2622">
        <w:rPr>
          <w:color w:val="595959" w:themeColor="text1" w:themeTint="A6"/>
        </w:rPr>
        <w:t xml:space="preserve"> percent</w:t>
      </w:r>
      <w:r w:rsidR="00076EDF" w:rsidRPr="00BE2622">
        <w:rPr>
          <w:color w:val="595959" w:themeColor="text1" w:themeTint="A6"/>
        </w:rPr>
        <w:t xml:space="preserve">). </w:t>
      </w:r>
    </w:p>
    <w:p w14:paraId="57BBC262" w14:textId="72CE9046" w:rsidR="00076EDF" w:rsidRPr="00BE2622" w:rsidRDefault="00076EDF" w:rsidP="00076EDF">
      <w:pPr>
        <w:rPr>
          <w:color w:val="595959" w:themeColor="text1" w:themeTint="A6"/>
        </w:rPr>
      </w:pPr>
      <w:r w:rsidRPr="00BE2622">
        <w:rPr>
          <w:color w:val="595959" w:themeColor="text1" w:themeTint="A6"/>
        </w:rPr>
        <w:t xml:space="preserve">AQEP </w:t>
      </w:r>
      <w:r w:rsidR="003E4BE4">
        <w:rPr>
          <w:color w:val="595959" w:themeColor="text1" w:themeTint="A6"/>
        </w:rPr>
        <w:t xml:space="preserve">also </w:t>
      </w:r>
      <w:r w:rsidRPr="00BE2622">
        <w:rPr>
          <w:color w:val="595959" w:themeColor="text1" w:themeTint="A6"/>
        </w:rPr>
        <w:t>improv</w:t>
      </w:r>
      <w:r w:rsidR="004428EA">
        <w:rPr>
          <w:color w:val="595959" w:themeColor="text1" w:themeTint="A6"/>
        </w:rPr>
        <w:t>ed</w:t>
      </w:r>
      <w:r w:rsidRPr="00BE2622">
        <w:rPr>
          <w:color w:val="595959" w:themeColor="text1" w:themeTint="A6"/>
        </w:rPr>
        <w:t xml:space="preserve"> education options for children with disabilities.  Five ‘Inclusive Education Demonstration Schools’ piloted disability inclusive education.  The number of children with disabilities not attending school decreased by 43</w:t>
      </w:r>
      <w:r w:rsidR="00C21FB5" w:rsidRPr="00BE2622">
        <w:rPr>
          <w:color w:val="595959" w:themeColor="text1" w:themeTint="A6"/>
        </w:rPr>
        <w:t xml:space="preserve"> percent</w:t>
      </w:r>
      <w:r w:rsidRPr="00BE2622">
        <w:rPr>
          <w:color w:val="595959" w:themeColor="text1" w:themeTint="A6"/>
        </w:rPr>
        <w:t xml:space="preserve"> between 2013 and 2016, while the number of children with disabilities attending inclusive schools grew from six in 2011 to 69 in 2017.  By 2017, 58</w:t>
      </w:r>
      <w:r w:rsidR="00C21FB5" w:rsidRPr="00BE2622">
        <w:rPr>
          <w:color w:val="595959" w:themeColor="text1" w:themeTint="A6"/>
        </w:rPr>
        <w:t xml:space="preserve"> percent</w:t>
      </w:r>
      <w:r w:rsidRPr="00BE2622">
        <w:rPr>
          <w:color w:val="595959" w:themeColor="text1" w:themeTint="A6"/>
        </w:rPr>
        <w:t xml:space="preserve"> of AQEP supported schools had been made physically accessible for people with disabilities, and 323 children with disabilities were enrolled at 60 AQEP supported schools.  Lessons captured from the pilot schools informed the development of the Ministry of Education’s </w:t>
      </w:r>
      <w:r w:rsidRPr="00BE2622">
        <w:rPr>
          <w:i/>
          <w:color w:val="595959" w:themeColor="text1" w:themeTint="A6"/>
        </w:rPr>
        <w:t>Special and Inclusive Education Policy and Implementation Plan 2017-2022</w:t>
      </w:r>
      <w:r w:rsidRPr="00BE2622">
        <w:rPr>
          <w:color w:val="595959" w:themeColor="text1" w:themeTint="A6"/>
        </w:rPr>
        <w:t>, launched in November 2016.</w:t>
      </w:r>
    </w:p>
    <w:p w14:paraId="591D1C2A" w14:textId="5A49B503" w:rsidR="009435A8" w:rsidRPr="00BE2622" w:rsidRDefault="009435A8" w:rsidP="009435A8">
      <w:pPr>
        <w:rPr>
          <w:color w:val="595959" w:themeColor="text1" w:themeTint="A6"/>
        </w:rPr>
      </w:pPr>
      <w:r w:rsidRPr="00BE2622">
        <w:rPr>
          <w:color w:val="595959" w:themeColor="text1" w:themeTint="A6"/>
        </w:rPr>
        <w:t xml:space="preserve">Gender equality </w:t>
      </w:r>
      <w:r w:rsidR="00CC687E" w:rsidRPr="00BE2622">
        <w:rPr>
          <w:color w:val="595959" w:themeColor="text1" w:themeTint="A6"/>
        </w:rPr>
        <w:t>was</w:t>
      </w:r>
      <w:r w:rsidRPr="00BE2622">
        <w:rPr>
          <w:color w:val="595959" w:themeColor="text1" w:themeTint="A6"/>
        </w:rPr>
        <w:t xml:space="preserve"> a key principle of AQEP, </w:t>
      </w:r>
      <w:r w:rsidR="00CC687E" w:rsidRPr="00BE2622">
        <w:rPr>
          <w:color w:val="595959" w:themeColor="text1" w:themeTint="A6"/>
        </w:rPr>
        <w:t>and a</w:t>
      </w:r>
      <w:r w:rsidRPr="00BE2622">
        <w:rPr>
          <w:color w:val="595959" w:themeColor="text1" w:themeTint="A6"/>
        </w:rPr>
        <w:t xml:space="preserve">n AQEP Gender Study found that </w:t>
      </w:r>
      <w:r w:rsidR="00CC687E" w:rsidRPr="00BE2622">
        <w:rPr>
          <w:color w:val="595959" w:themeColor="text1" w:themeTint="A6"/>
        </w:rPr>
        <w:t xml:space="preserve">the program succeeded in improving </w:t>
      </w:r>
      <w:r w:rsidRPr="00BE2622">
        <w:rPr>
          <w:color w:val="595959" w:themeColor="text1" w:themeTint="A6"/>
        </w:rPr>
        <w:t xml:space="preserve">attendance and learning outcomes </w:t>
      </w:r>
      <w:r w:rsidR="00CF31B8">
        <w:rPr>
          <w:color w:val="595959" w:themeColor="text1" w:themeTint="A6"/>
        </w:rPr>
        <w:t xml:space="preserve">for </w:t>
      </w:r>
      <w:r w:rsidRPr="00BE2622">
        <w:rPr>
          <w:color w:val="595959" w:themeColor="text1" w:themeTint="A6"/>
        </w:rPr>
        <w:t xml:space="preserve">girls at supported schools.  Average attendance </w:t>
      </w:r>
      <w:r w:rsidR="00CC687E" w:rsidRPr="00BE2622">
        <w:rPr>
          <w:color w:val="595959" w:themeColor="text1" w:themeTint="A6"/>
        </w:rPr>
        <w:t xml:space="preserve">was </w:t>
      </w:r>
      <w:r w:rsidRPr="00BE2622">
        <w:rPr>
          <w:color w:val="595959" w:themeColor="text1" w:themeTint="A6"/>
        </w:rPr>
        <w:t>92</w:t>
      </w:r>
      <w:r w:rsidR="00C21FB5" w:rsidRPr="00BE2622">
        <w:rPr>
          <w:color w:val="595959" w:themeColor="text1" w:themeTint="A6"/>
        </w:rPr>
        <w:t xml:space="preserve"> percent</w:t>
      </w:r>
      <w:r w:rsidRPr="00BE2622">
        <w:rPr>
          <w:color w:val="595959" w:themeColor="text1" w:themeTint="A6"/>
        </w:rPr>
        <w:t xml:space="preserve"> in Term 1 2017 for girls</w:t>
      </w:r>
      <w:r w:rsidR="00CC687E" w:rsidRPr="00BE2622">
        <w:rPr>
          <w:color w:val="595959" w:themeColor="text1" w:themeTint="A6"/>
        </w:rPr>
        <w:t>,</w:t>
      </w:r>
      <w:r w:rsidRPr="00BE2622">
        <w:rPr>
          <w:color w:val="595959" w:themeColor="text1" w:themeTint="A6"/>
        </w:rPr>
        <w:t xml:space="preserve"> </w:t>
      </w:r>
      <w:r w:rsidR="00CF31B8">
        <w:rPr>
          <w:color w:val="595959" w:themeColor="text1" w:themeTint="A6"/>
        </w:rPr>
        <w:t xml:space="preserve">up </w:t>
      </w:r>
      <w:r w:rsidRPr="00BE2622">
        <w:rPr>
          <w:color w:val="595959" w:themeColor="text1" w:themeTint="A6"/>
        </w:rPr>
        <w:t>from just under 86</w:t>
      </w:r>
      <w:r w:rsidR="00C21FB5" w:rsidRPr="00BE2622">
        <w:rPr>
          <w:color w:val="595959" w:themeColor="text1" w:themeTint="A6"/>
        </w:rPr>
        <w:t xml:space="preserve"> percent</w:t>
      </w:r>
      <w:r w:rsidRPr="00BE2622">
        <w:rPr>
          <w:color w:val="595959" w:themeColor="text1" w:themeTint="A6"/>
        </w:rPr>
        <w:t xml:space="preserve"> in 2012</w:t>
      </w:r>
      <w:r w:rsidR="00CC687E" w:rsidRPr="00BE2622">
        <w:rPr>
          <w:color w:val="595959" w:themeColor="text1" w:themeTint="A6"/>
        </w:rPr>
        <w:t xml:space="preserve">.  </w:t>
      </w:r>
      <w:r w:rsidRPr="00BE2622">
        <w:rPr>
          <w:color w:val="595959" w:themeColor="text1" w:themeTint="A6"/>
        </w:rPr>
        <w:t>In 2016, 57</w:t>
      </w:r>
      <w:r w:rsidR="007E7E4F" w:rsidRPr="00BE2622">
        <w:rPr>
          <w:color w:val="595959" w:themeColor="text1" w:themeTint="A6"/>
        </w:rPr>
        <w:t xml:space="preserve"> percent</w:t>
      </w:r>
      <w:r w:rsidRPr="00BE2622">
        <w:rPr>
          <w:color w:val="595959" w:themeColor="text1" w:themeTint="A6"/>
        </w:rPr>
        <w:t xml:space="preserve"> of girls scored above the national average in numeracy </w:t>
      </w:r>
      <w:r w:rsidR="007E7E4F" w:rsidRPr="00BE2622">
        <w:rPr>
          <w:color w:val="595959" w:themeColor="text1" w:themeTint="A6"/>
        </w:rPr>
        <w:t>(up from 41 percent in 2012) and</w:t>
      </w:r>
      <w:r w:rsidRPr="00BE2622">
        <w:rPr>
          <w:color w:val="595959" w:themeColor="text1" w:themeTint="A6"/>
        </w:rPr>
        <w:t xml:space="preserve"> 53</w:t>
      </w:r>
      <w:r w:rsidR="00D15C84">
        <w:rPr>
          <w:color w:val="595959" w:themeColor="text1" w:themeTint="A6"/>
        </w:rPr>
        <w:t xml:space="preserve"> per</w:t>
      </w:r>
      <w:r w:rsidR="00732695">
        <w:rPr>
          <w:color w:val="595959" w:themeColor="text1" w:themeTint="A6"/>
        </w:rPr>
        <w:t xml:space="preserve"> </w:t>
      </w:r>
      <w:r w:rsidR="00D15C84">
        <w:rPr>
          <w:color w:val="595959" w:themeColor="text1" w:themeTint="A6"/>
        </w:rPr>
        <w:t>cent</w:t>
      </w:r>
      <w:r w:rsidR="00732695">
        <w:rPr>
          <w:color w:val="595959" w:themeColor="text1" w:themeTint="A6"/>
        </w:rPr>
        <w:t xml:space="preserve"> </w:t>
      </w:r>
      <w:r w:rsidRPr="00BE2622">
        <w:rPr>
          <w:color w:val="595959" w:themeColor="text1" w:themeTint="A6"/>
        </w:rPr>
        <w:t xml:space="preserve">of girls scored above the national </w:t>
      </w:r>
      <w:r w:rsidR="007E7E4F" w:rsidRPr="00BE2622">
        <w:rPr>
          <w:color w:val="595959" w:themeColor="text1" w:themeTint="A6"/>
        </w:rPr>
        <w:t xml:space="preserve">literacy </w:t>
      </w:r>
      <w:r w:rsidRPr="00BE2622">
        <w:rPr>
          <w:color w:val="595959" w:themeColor="text1" w:themeTint="A6"/>
        </w:rPr>
        <w:t xml:space="preserve">average </w:t>
      </w:r>
      <w:r w:rsidR="007E7E4F" w:rsidRPr="00BE2622">
        <w:rPr>
          <w:color w:val="595959" w:themeColor="text1" w:themeTint="A6"/>
        </w:rPr>
        <w:t>(</w:t>
      </w:r>
      <w:r w:rsidR="00CF31B8">
        <w:rPr>
          <w:color w:val="595959" w:themeColor="text1" w:themeTint="A6"/>
        </w:rPr>
        <w:t xml:space="preserve">up </w:t>
      </w:r>
      <w:r w:rsidR="007E7E4F" w:rsidRPr="00BE2622">
        <w:rPr>
          <w:color w:val="595959" w:themeColor="text1" w:themeTint="A6"/>
        </w:rPr>
        <w:t xml:space="preserve">from 42 percent in 2012).  </w:t>
      </w:r>
    </w:p>
    <w:p w14:paraId="4CCE6D0B" w14:textId="42265120" w:rsidR="009435A8" w:rsidRPr="00BE2622" w:rsidRDefault="009435A8" w:rsidP="009435A8">
      <w:pPr>
        <w:rPr>
          <w:color w:val="595959" w:themeColor="text1" w:themeTint="A6"/>
        </w:rPr>
      </w:pPr>
      <w:r w:rsidRPr="00BE2622">
        <w:rPr>
          <w:color w:val="595959" w:themeColor="text1" w:themeTint="A6"/>
        </w:rPr>
        <w:t xml:space="preserve">The </w:t>
      </w:r>
      <w:r w:rsidR="00CF31B8">
        <w:rPr>
          <w:color w:val="595959" w:themeColor="text1" w:themeTint="A6"/>
        </w:rPr>
        <w:t xml:space="preserve">AQEP </w:t>
      </w:r>
      <w:r w:rsidRPr="00BE2622">
        <w:rPr>
          <w:color w:val="595959" w:themeColor="text1" w:themeTint="A6"/>
        </w:rPr>
        <w:t xml:space="preserve">Gender Study </w:t>
      </w:r>
      <w:r w:rsidR="007E7E4F" w:rsidRPr="00BE2622">
        <w:rPr>
          <w:color w:val="595959" w:themeColor="text1" w:themeTint="A6"/>
        </w:rPr>
        <w:t xml:space="preserve">also </w:t>
      </w:r>
      <w:r w:rsidRPr="00BE2622">
        <w:rPr>
          <w:color w:val="595959" w:themeColor="text1" w:themeTint="A6"/>
        </w:rPr>
        <w:t xml:space="preserve">found that female representation in school management committee </w:t>
      </w:r>
      <w:r w:rsidR="007E7E4F" w:rsidRPr="00BE2622">
        <w:rPr>
          <w:color w:val="595959" w:themeColor="text1" w:themeTint="A6"/>
        </w:rPr>
        <w:t xml:space="preserve">executive </w:t>
      </w:r>
      <w:r w:rsidRPr="00BE2622">
        <w:rPr>
          <w:color w:val="595959" w:themeColor="text1" w:themeTint="A6"/>
        </w:rPr>
        <w:t xml:space="preserve">roles increased from </w:t>
      </w:r>
      <w:r w:rsidR="00D15C84">
        <w:rPr>
          <w:color w:val="595959" w:themeColor="text1" w:themeTint="A6"/>
        </w:rPr>
        <w:t xml:space="preserve">six </w:t>
      </w:r>
      <w:r w:rsidR="007E7E4F" w:rsidRPr="00BE2622">
        <w:rPr>
          <w:color w:val="595959" w:themeColor="text1" w:themeTint="A6"/>
        </w:rPr>
        <w:t>percent</w:t>
      </w:r>
      <w:r w:rsidRPr="00BE2622">
        <w:rPr>
          <w:color w:val="595959" w:themeColor="text1" w:themeTint="A6"/>
        </w:rPr>
        <w:t xml:space="preserve"> in 2013 to 18</w:t>
      </w:r>
      <w:r w:rsidR="007E7E4F" w:rsidRPr="00BE2622">
        <w:rPr>
          <w:color w:val="595959" w:themeColor="text1" w:themeTint="A6"/>
        </w:rPr>
        <w:t xml:space="preserve"> percent</w:t>
      </w:r>
      <w:r w:rsidRPr="00BE2622">
        <w:rPr>
          <w:color w:val="595959" w:themeColor="text1" w:themeTint="A6"/>
        </w:rPr>
        <w:t xml:space="preserve"> in 2016, and from 10</w:t>
      </w:r>
      <w:r w:rsidR="007E7E4F" w:rsidRPr="00BE2622">
        <w:rPr>
          <w:color w:val="595959" w:themeColor="text1" w:themeTint="A6"/>
        </w:rPr>
        <w:t xml:space="preserve"> percent</w:t>
      </w:r>
      <w:r w:rsidRPr="00BE2622">
        <w:rPr>
          <w:color w:val="595959" w:themeColor="text1" w:themeTint="A6"/>
        </w:rPr>
        <w:t xml:space="preserve"> to 34</w:t>
      </w:r>
      <w:r w:rsidR="007E7E4F" w:rsidRPr="00BE2622">
        <w:rPr>
          <w:color w:val="595959" w:themeColor="text1" w:themeTint="A6"/>
        </w:rPr>
        <w:t xml:space="preserve"> percent</w:t>
      </w:r>
      <w:r w:rsidRPr="00BE2622">
        <w:rPr>
          <w:color w:val="595959" w:themeColor="text1" w:themeTint="A6"/>
        </w:rPr>
        <w:t xml:space="preserve"> across all roles</w:t>
      </w:r>
      <w:r w:rsidR="007E7E4F" w:rsidRPr="00BE2622">
        <w:rPr>
          <w:color w:val="595959" w:themeColor="text1" w:themeTint="A6"/>
        </w:rPr>
        <w:t xml:space="preserve"> – a </w:t>
      </w:r>
      <w:r w:rsidRPr="00BE2622">
        <w:rPr>
          <w:color w:val="595959" w:themeColor="text1" w:themeTint="A6"/>
        </w:rPr>
        <w:t>significant</w:t>
      </w:r>
      <w:r w:rsidR="007E7E4F" w:rsidRPr="00BE2622">
        <w:rPr>
          <w:color w:val="595959" w:themeColor="text1" w:themeTint="A6"/>
        </w:rPr>
        <w:t xml:space="preserve"> </w:t>
      </w:r>
      <w:r w:rsidRPr="00BE2622">
        <w:rPr>
          <w:color w:val="595959" w:themeColor="text1" w:themeTint="A6"/>
        </w:rPr>
        <w:t>improvement given th</w:t>
      </w:r>
      <w:r w:rsidR="00CF31B8">
        <w:rPr>
          <w:color w:val="595959" w:themeColor="text1" w:themeTint="A6"/>
        </w:rPr>
        <w:t>at</w:t>
      </w:r>
      <w:r w:rsidRPr="00BE2622">
        <w:rPr>
          <w:color w:val="595959" w:themeColor="text1" w:themeTint="A6"/>
        </w:rPr>
        <w:t xml:space="preserve"> </w:t>
      </w:r>
      <w:r w:rsidR="007E7E4F" w:rsidRPr="00BE2622">
        <w:rPr>
          <w:color w:val="595959" w:themeColor="text1" w:themeTint="A6"/>
        </w:rPr>
        <w:t xml:space="preserve">committees have </w:t>
      </w:r>
      <w:r w:rsidRPr="00BE2622">
        <w:rPr>
          <w:color w:val="595959" w:themeColor="text1" w:themeTint="A6"/>
        </w:rPr>
        <w:t>traditional</w:t>
      </w:r>
      <w:r w:rsidR="007E7E4F" w:rsidRPr="00BE2622">
        <w:rPr>
          <w:color w:val="595959" w:themeColor="text1" w:themeTint="A6"/>
        </w:rPr>
        <w:t xml:space="preserve">ly been </w:t>
      </w:r>
      <w:r w:rsidRPr="00BE2622">
        <w:rPr>
          <w:color w:val="595959" w:themeColor="text1" w:themeTint="A6"/>
        </w:rPr>
        <w:t xml:space="preserve">male dominated.  The </w:t>
      </w:r>
      <w:r w:rsidR="00B16FBC">
        <w:rPr>
          <w:color w:val="595959" w:themeColor="text1" w:themeTint="A6"/>
        </w:rPr>
        <w:t>s</w:t>
      </w:r>
      <w:r w:rsidRPr="00BE2622">
        <w:rPr>
          <w:color w:val="595959" w:themeColor="text1" w:themeTint="A6"/>
        </w:rPr>
        <w:t>tudy also found that the experience and confidence gained through these representative roles provided a catalyst for other opportunities, with several women going on to pursue further studies or full time employment.</w:t>
      </w:r>
    </w:p>
    <w:p w14:paraId="263A2D84" w14:textId="7880CAAA" w:rsidR="00076EDF" w:rsidRPr="00BE2622" w:rsidRDefault="00076EDF" w:rsidP="009435A8">
      <w:pPr>
        <w:rPr>
          <w:color w:val="595959" w:themeColor="text1" w:themeTint="A6"/>
        </w:rPr>
      </w:pPr>
      <w:r w:rsidRPr="00BE2622">
        <w:rPr>
          <w:color w:val="595959" w:themeColor="text1" w:themeTint="A6"/>
        </w:rPr>
        <w:t>The next phase of Australia’s education support to Fiji</w:t>
      </w:r>
      <w:r w:rsidR="00136B88">
        <w:rPr>
          <w:color w:val="595959" w:themeColor="text1" w:themeTint="A6"/>
        </w:rPr>
        <w:t xml:space="preserve">, estimated at $25 million, </w:t>
      </w:r>
      <w:r w:rsidRPr="00BE2622">
        <w:rPr>
          <w:color w:val="595959" w:themeColor="text1" w:themeTint="A6"/>
        </w:rPr>
        <w:t>will operate from 2017 to 2022.</w:t>
      </w:r>
    </w:p>
    <w:p w14:paraId="20F0F7B9" w14:textId="77777777" w:rsidR="00076EDF" w:rsidRPr="00BE2622" w:rsidRDefault="00076EDF" w:rsidP="00076EDF">
      <w:pPr>
        <w:rPr>
          <w:color w:val="595959" w:themeColor="text1" w:themeTint="A6"/>
        </w:rPr>
      </w:pPr>
      <w:r w:rsidRPr="00BE2622">
        <w:rPr>
          <w:b/>
          <w:color w:val="595959" w:themeColor="text1" w:themeTint="A6"/>
        </w:rPr>
        <w:t>Improved health outcomes</w:t>
      </w:r>
    </w:p>
    <w:p w14:paraId="575C34B8" w14:textId="608A2293" w:rsidR="00076EDF" w:rsidRPr="00BE2622" w:rsidRDefault="00076EDF" w:rsidP="00076EDF">
      <w:pPr>
        <w:rPr>
          <w:color w:val="595959" w:themeColor="text1" w:themeTint="A6"/>
        </w:rPr>
      </w:pPr>
      <w:r w:rsidRPr="00BE2622">
        <w:rPr>
          <w:color w:val="595959" w:themeColor="text1" w:themeTint="A6"/>
        </w:rPr>
        <w:t>The main work of the FHSSP was completed prior to this reporting period</w:t>
      </w:r>
      <w:r w:rsidR="004E3159">
        <w:rPr>
          <w:color w:val="595959" w:themeColor="text1" w:themeTint="A6"/>
        </w:rPr>
        <w:t xml:space="preserve"> with </w:t>
      </w:r>
      <w:r w:rsidR="00B16FBC">
        <w:rPr>
          <w:color w:val="595959" w:themeColor="text1" w:themeTint="A6"/>
        </w:rPr>
        <w:t xml:space="preserve">the key </w:t>
      </w:r>
      <w:r w:rsidR="004E3159">
        <w:rPr>
          <w:color w:val="595959" w:themeColor="text1" w:themeTint="A6"/>
        </w:rPr>
        <w:t xml:space="preserve">results </w:t>
      </w:r>
      <w:r w:rsidR="00B16FBC">
        <w:rPr>
          <w:color w:val="595959" w:themeColor="text1" w:themeTint="A6"/>
        </w:rPr>
        <w:t xml:space="preserve">reported </w:t>
      </w:r>
      <w:r w:rsidR="004E3159">
        <w:rPr>
          <w:color w:val="595959" w:themeColor="text1" w:themeTint="A6"/>
        </w:rPr>
        <w:t>in the 2015-16 APPR</w:t>
      </w:r>
      <w:r w:rsidRPr="00BE2622">
        <w:rPr>
          <w:color w:val="595959" w:themeColor="text1" w:themeTint="A6"/>
        </w:rPr>
        <w:t>.  However, the program was extended until June 2017 to rebuild health facilities damaged by TC Winston</w:t>
      </w:r>
      <w:r w:rsidR="003A7805" w:rsidRPr="00BE2622">
        <w:rPr>
          <w:color w:val="595959" w:themeColor="text1" w:themeTint="A6"/>
        </w:rPr>
        <w:t xml:space="preserve"> </w:t>
      </w:r>
      <w:r w:rsidRPr="00BE2622">
        <w:rPr>
          <w:color w:val="595959" w:themeColor="text1" w:themeTint="A6"/>
        </w:rPr>
        <w:t>and to support Fiji’s capacity in the field of disease outbreak detection in emergency settings.</w:t>
      </w:r>
    </w:p>
    <w:p w14:paraId="075F5FBF" w14:textId="4B5C0111" w:rsidR="00076EDF" w:rsidRPr="00BE2622" w:rsidRDefault="00076EDF" w:rsidP="00624232">
      <w:pPr>
        <w:rPr>
          <w:color w:val="595959" w:themeColor="text1" w:themeTint="A6"/>
        </w:rPr>
      </w:pPr>
      <w:r w:rsidRPr="00BE2622">
        <w:rPr>
          <w:color w:val="595959" w:themeColor="text1" w:themeTint="A6"/>
        </w:rPr>
        <w:t xml:space="preserve">The extended year of FHSSP also allowed the program to strengthen the sustainability of investments in some core areas of primary health care.  A </w:t>
      </w:r>
      <w:r w:rsidR="0044195F" w:rsidRPr="00BE2622">
        <w:rPr>
          <w:color w:val="595959" w:themeColor="text1" w:themeTint="A6"/>
        </w:rPr>
        <w:t>Memorandum of Understanding</w:t>
      </w:r>
      <w:r w:rsidRPr="00BE2622">
        <w:rPr>
          <w:color w:val="595959" w:themeColor="text1" w:themeTint="A6"/>
        </w:rPr>
        <w:t xml:space="preserve"> between the Health Ministry and the Department of i-Taukei Affairs formalised the role and remuneration arrangements for Community Health Workers, ensuring </w:t>
      </w:r>
      <w:r w:rsidR="003A7805" w:rsidRPr="00BE2622">
        <w:rPr>
          <w:color w:val="595959" w:themeColor="text1" w:themeTint="A6"/>
        </w:rPr>
        <w:t xml:space="preserve">recognition of their </w:t>
      </w:r>
      <w:r w:rsidRPr="00BE2622">
        <w:rPr>
          <w:color w:val="595959" w:themeColor="text1" w:themeTint="A6"/>
        </w:rPr>
        <w:t xml:space="preserve">critical primary health care </w:t>
      </w:r>
      <w:r w:rsidR="003A7805" w:rsidRPr="00BE2622">
        <w:rPr>
          <w:color w:val="595959" w:themeColor="text1" w:themeTint="A6"/>
        </w:rPr>
        <w:t>role</w:t>
      </w:r>
      <w:r w:rsidRPr="00BE2622">
        <w:rPr>
          <w:color w:val="595959" w:themeColor="text1" w:themeTint="A6"/>
        </w:rPr>
        <w:t>.  We also supported the development of a footcare manual and associated training to improve the quality of footcare management for diabetics with foot sepsis.</w:t>
      </w:r>
    </w:p>
    <w:p w14:paraId="70E8E140" w14:textId="1AC2FB79" w:rsidR="00076EDF" w:rsidRPr="00BE2622" w:rsidRDefault="00076EDF" w:rsidP="00076EDF">
      <w:pPr>
        <w:rPr>
          <w:color w:val="595959" w:themeColor="text1" w:themeTint="A6"/>
        </w:rPr>
      </w:pPr>
      <w:r w:rsidRPr="00BE2622">
        <w:rPr>
          <w:color w:val="595959" w:themeColor="text1" w:themeTint="A6"/>
        </w:rPr>
        <w:t xml:space="preserve">During the reporting period, the FHSSP supported the Ministry of Health </w:t>
      </w:r>
      <w:r w:rsidR="00CF31B8">
        <w:rPr>
          <w:color w:val="595959" w:themeColor="text1" w:themeTint="A6"/>
        </w:rPr>
        <w:t xml:space="preserve">and Medical Services </w:t>
      </w:r>
      <w:r w:rsidRPr="00BE2622">
        <w:rPr>
          <w:color w:val="595959" w:themeColor="text1" w:themeTint="A6"/>
        </w:rPr>
        <w:t>as it underwent significant change as part of the IPP-supported civil service reform work (see Objective 1 – Private Sector Development).  We expect that the benefits of reform – particularly in relation to greater clarity around job descriptions and processes – will begin to be realised in the coming year and will provide a solid foundation for future health systems strengthening work.</w:t>
      </w:r>
    </w:p>
    <w:p w14:paraId="31163D4D" w14:textId="70CA4B48" w:rsidR="00076EDF" w:rsidRPr="00BE2622" w:rsidRDefault="00076EDF" w:rsidP="00076EDF">
      <w:pPr>
        <w:rPr>
          <w:color w:val="595959" w:themeColor="text1" w:themeTint="A6"/>
        </w:rPr>
      </w:pPr>
      <w:r w:rsidRPr="00BE2622">
        <w:rPr>
          <w:color w:val="595959" w:themeColor="text1" w:themeTint="A6"/>
        </w:rPr>
        <w:t xml:space="preserve">A number of </w:t>
      </w:r>
      <w:r w:rsidR="00624232" w:rsidRPr="00BE2622">
        <w:rPr>
          <w:color w:val="595959" w:themeColor="text1" w:themeTint="A6"/>
        </w:rPr>
        <w:t xml:space="preserve">activity </w:t>
      </w:r>
      <w:r w:rsidRPr="00BE2622">
        <w:rPr>
          <w:color w:val="595959" w:themeColor="text1" w:themeTint="A6"/>
        </w:rPr>
        <w:t>reviews completed during 2016-17</w:t>
      </w:r>
      <w:r w:rsidR="004246CA" w:rsidRPr="00BE2622">
        <w:rPr>
          <w:color w:val="595959" w:themeColor="text1" w:themeTint="A6"/>
        </w:rPr>
        <w:t xml:space="preserve"> </w:t>
      </w:r>
      <w:r w:rsidRPr="00BE2622">
        <w:rPr>
          <w:color w:val="595959" w:themeColor="text1" w:themeTint="A6"/>
        </w:rPr>
        <w:t>found that support to primary health care and public health remained appropriate.  The reviews also found that many issues in service delivery stemmed from shortcomings in resource management and planning at the ministry level</w:t>
      </w:r>
      <w:r w:rsidR="001B7DF7" w:rsidRPr="00BE2622">
        <w:rPr>
          <w:color w:val="595959" w:themeColor="text1" w:themeTint="A6"/>
        </w:rPr>
        <w:t xml:space="preserve">.  They </w:t>
      </w:r>
      <w:r w:rsidRPr="00BE2622">
        <w:rPr>
          <w:color w:val="595959" w:themeColor="text1" w:themeTint="A6"/>
        </w:rPr>
        <w:t xml:space="preserve">recommended that future Australian assistance </w:t>
      </w:r>
      <w:r w:rsidR="00B76924" w:rsidRPr="00BE2622">
        <w:rPr>
          <w:color w:val="595959" w:themeColor="text1" w:themeTint="A6"/>
        </w:rPr>
        <w:t xml:space="preserve">strengthen </w:t>
      </w:r>
      <w:r w:rsidRPr="00BE2622">
        <w:rPr>
          <w:color w:val="595959" w:themeColor="text1" w:themeTint="A6"/>
        </w:rPr>
        <w:t>systems and decision-making processes</w:t>
      </w:r>
      <w:r w:rsidR="00624232" w:rsidRPr="00BE2622">
        <w:rPr>
          <w:color w:val="595959" w:themeColor="text1" w:themeTint="A6"/>
        </w:rPr>
        <w:t>, and improv</w:t>
      </w:r>
      <w:r w:rsidR="00B76924" w:rsidRPr="00BE2622">
        <w:rPr>
          <w:color w:val="595959" w:themeColor="text1" w:themeTint="A6"/>
        </w:rPr>
        <w:t>e</w:t>
      </w:r>
      <w:r w:rsidR="00624232" w:rsidRPr="00BE2622">
        <w:rPr>
          <w:color w:val="595959" w:themeColor="text1" w:themeTint="A6"/>
        </w:rPr>
        <w:t xml:space="preserve"> monitoring and accountability</w:t>
      </w:r>
      <w:r w:rsidRPr="00BE2622">
        <w:rPr>
          <w:color w:val="595959" w:themeColor="text1" w:themeTint="A6"/>
        </w:rPr>
        <w:t xml:space="preserve">.  The focus of the new Australian </w:t>
      </w:r>
      <w:r w:rsidR="00DD723D" w:rsidRPr="00BE2622">
        <w:rPr>
          <w:color w:val="595959" w:themeColor="text1" w:themeTint="A6"/>
        </w:rPr>
        <w:t>h</w:t>
      </w:r>
      <w:r w:rsidRPr="00BE2622">
        <w:rPr>
          <w:color w:val="595959" w:themeColor="text1" w:themeTint="A6"/>
        </w:rPr>
        <w:t>ealth sector investment for 2017-2022</w:t>
      </w:r>
      <w:r w:rsidR="00136B88">
        <w:rPr>
          <w:color w:val="595959" w:themeColor="text1" w:themeTint="A6"/>
        </w:rPr>
        <w:t>, estimated at $25 million,</w:t>
      </w:r>
      <w:r w:rsidRPr="00BE2622">
        <w:rPr>
          <w:color w:val="595959" w:themeColor="text1" w:themeTint="A6"/>
        </w:rPr>
        <w:t xml:space="preserve"> will </w:t>
      </w:r>
      <w:r w:rsidR="00023B75" w:rsidRPr="00BE2622">
        <w:rPr>
          <w:color w:val="595959" w:themeColor="text1" w:themeTint="A6"/>
        </w:rPr>
        <w:t xml:space="preserve">therefore </w:t>
      </w:r>
      <w:r w:rsidRPr="00BE2622">
        <w:rPr>
          <w:color w:val="595959" w:themeColor="text1" w:themeTint="A6"/>
        </w:rPr>
        <w:t xml:space="preserve">be on systems strengthening </w:t>
      </w:r>
      <w:r w:rsidR="00B76924" w:rsidRPr="00BE2622">
        <w:rPr>
          <w:color w:val="595959" w:themeColor="text1" w:themeTint="A6"/>
        </w:rPr>
        <w:t xml:space="preserve">in the areas of </w:t>
      </w:r>
      <w:r w:rsidRPr="00BE2622">
        <w:rPr>
          <w:color w:val="595959" w:themeColor="text1" w:themeTint="A6"/>
        </w:rPr>
        <w:t xml:space="preserve">health policy, planning and financing, </w:t>
      </w:r>
      <w:r w:rsidRPr="00BE2622">
        <w:rPr>
          <w:color w:val="595959" w:themeColor="text1" w:themeTint="A6"/>
        </w:rPr>
        <w:lastRenderedPageBreak/>
        <w:t xml:space="preserve">workforce development and health information. </w:t>
      </w:r>
      <w:r w:rsidR="00B76924" w:rsidRPr="00BE2622">
        <w:rPr>
          <w:color w:val="595959" w:themeColor="text1" w:themeTint="A6"/>
        </w:rPr>
        <w:t xml:space="preserve"> </w:t>
      </w:r>
      <w:r w:rsidRPr="00BE2622">
        <w:rPr>
          <w:color w:val="595959" w:themeColor="text1" w:themeTint="A6"/>
        </w:rPr>
        <w:t xml:space="preserve">The investment </w:t>
      </w:r>
      <w:r w:rsidR="001B7DF7" w:rsidRPr="00BE2622">
        <w:rPr>
          <w:color w:val="595959" w:themeColor="text1" w:themeTint="A6"/>
        </w:rPr>
        <w:t xml:space="preserve">will </w:t>
      </w:r>
      <w:r w:rsidRPr="00BE2622">
        <w:rPr>
          <w:color w:val="595959" w:themeColor="text1" w:themeTint="A6"/>
        </w:rPr>
        <w:t xml:space="preserve">also </w:t>
      </w:r>
      <w:r w:rsidR="00B76924" w:rsidRPr="00BE2622">
        <w:rPr>
          <w:color w:val="595959" w:themeColor="text1" w:themeTint="A6"/>
        </w:rPr>
        <w:t xml:space="preserve">support </w:t>
      </w:r>
      <w:r w:rsidRPr="00BE2622">
        <w:rPr>
          <w:color w:val="595959" w:themeColor="text1" w:themeTint="A6"/>
        </w:rPr>
        <w:t>public health services and primary health care</w:t>
      </w:r>
      <w:r w:rsidR="001A23F8" w:rsidRPr="00BE2622">
        <w:rPr>
          <w:color w:val="595959" w:themeColor="text1" w:themeTint="A6"/>
        </w:rPr>
        <w:t>, with a new focus on secondary level of care for those affected by non-communicable diseases</w:t>
      </w:r>
      <w:r w:rsidR="00D15C84">
        <w:rPr>
          <w:color w:val="595959" w:themeColor="text1" w:themeTint="A6"/>
        </w:rPr>
        <w:t xml:space="preserve"> (NCDs)</w:t>
      </w:r>
      <w:r w:rsidR="00B76924" w:rsidRPr="00BE2622">
        <w:rPr>
          <w:color w:val="595959" w:themeColor="text1" w:themeTint="A6"/>
        </w:rPr>
        <w:t>.</w:t>
      </w:r>
    </w:p>
    <w:p w14:paraId="6CA41DA8" w14:textId="77777777" w:rsidR="00076EDF" w:rsidRPr="00BE2622" w:rsidRDefault="00076EDF" w:rsidP="00076EDF">
      <w:pPr>
        <w:rPr>
          <w:b/>
          <w:color w:val="595959" w:themeColor="text1" w:themeTint="A6"/>
        </w:rPr>
      </w:pPr>
      <w:r w:rsidRPr="00BE2622">
        <w:rPr>
          <w:b/>
          <w:color w:val="595959" w:themeColor="text1" w:themeTint="A6"/>
        </w:rPr>
        <w:t>Building resilience and economic opportunity in disadvantaged communities</w:t>
      </w:r>
    </w:p>
    <w:p w14:paraId="292CC2F7" w14:textId="7F868470" w:rsidR="00AE7C6C" w:rsidRPr="00BE2622" w:rsidRDefault="008533CD" w:rsidP="00076EDF">
      <w:pPr>
        <w:rPr>
          <w:color w:val="595959" w:themeColor="text1" w:themeTint="A6"/>
        </w:rPr>
      </w:pPr>
      <w:r w:rsidRPr="00BE2622">
        <w:rPr>
          <w:color w:val="595959" w:themeColor="text1" w:themeTint="A6"/>
        </w:rPr>
        <w:t>Civil Society Organisations (</w:t>
      </w:r>
      <w:r w:rsidR="00076EDF" w:rsidRPr="00BE2622">
        <w:rPr>
          <w:color w:val="595959" w:themeColor="text1" w:themeTint="A6"/>
        </w:rPr>
        <w:t>CSOs</w:t>
      </w:r>
      <w:r w:rsidRPr="00BE2622">
        <w:rPr>
          <w:color w:val="595959" w:themeColor="text1" w:themeTint="A6"/>
        </w:rPr>
        <w:t>)</w:t>
      </w:r>
      <w:r w:rsidR="00076EDF" w:rsidRPr="00BE2622">
        <w:rPr>
          <w:color w:val="595959" w:themeColor="text1" w:themeTint="A6"/>
        </w:rPr>
        <w:t xml:space="preserve"> are important development partners.  The FCDP strengthened the capacity of these organisations, and provided them with grant funding, to mitigate social and economic hardship faced by poor, vulnerable and excluded communities in Fiji. </w:t>
      </w:r>
      <w:r w:rsidRPr="00BE2622">
        <w:rPr>
          <w:color w:val="595959" w:themeColor="text1" w:themeTint="A6"/>
        </w:rPr>
        <w:t xml:space="preserve"> </w:t>
      </w:r>
      <w:r w:rsidR="00076EDF" w:rsidRPr="00BE2622">
        <w:rPr>
          <w:color w:val="595959" w:themeColor="text1" w:themeTint="A6"/>
        </w:rPr>
        <w:t>The FCDP</w:t>
      </w:r>
      <w:r w:rsidRPr="00BE2622">
        <w:rPr>
          <w:color w:val="595959" w:themeColor="text1" w:themeTint="A6"/>
        </w:rPr>
        <w:t xml:space="preserve"> </w:t>
      </w:r>
      <w:r w:rsidR="00AE7C6C" w:rsidRPr="00BE2622">
        <w:rPr>
          <w:color w:val="595959" w:themeColor="text1" w:themeTint="A6"/>
        </w:rPr>
        <w:t xml:space="preserve">significantly </w:t>
      </w:r>
      <w:r w:rsidR="00076EDF" w:rsidRPr="00BE2622">
        <w:rPr>
          <w:color w:val="595959" w:themeColor="text1" w:themeTint="A6"/>
        </w:rPr>
        <w:t>outperformed against its end of program targets</w:t>
      </w:r>
      <w:r w:rsidR="00AE7C6C" w:rsidRPr="00BE2622">
        <w:rPr>
          <w:color w:val="595959" w:themeColor="text1" w:themeTint="A6"/>
        </w:rPr>
        <w:t xml:space="preserve">:  it </w:t>
      </w:r>
      <w:r w:rsidR="00076EDF" w:rsidRPr="00BE2622">
        <w:rPr>
          <w:color w:val="595959" w:themeColor="text1" w:themeTint="A6"/>
        </w:rPr>
        <w:t xml:space="preserve">reached over 300,000 people (51 percent </w:t>
      </w:r>
      <w:r w:rsidR="006E3361" w:rsidRPr="00BE2622">
        <w:rPr>
          <w:color w:val="595959" w:themeColor="text1" w:themeTint="A6"/>
        </w:rPr>
        <w:t>women</w:t>
      </w:r>
      <w:r w:rsidR="00076EDF" w:rsidRPr="00BE2622">
        <w:rPr>
          <w:color w:val="595959" w:themeColor="text1" w:themeTint="A6"/>
        </w:rPr>
        <w:t xml:space="preserve"> and 1,873 people living with disability) and 123 CSOs</w:t>
      </w:r>
      <w:r w:rsidR="0014098A">
        <w:rPr>
          <w:color w:val="595959" w:themeColor="text1" w:themeTint="A6"/>
        </w:rPr>
        <w:t xml:space="preserve">.  This exceeded </w:t>
      </w:r>
      <w:r w:rsidR="00D15C84">
        <w:rPr>
          <w:color w:val="595959" w:themeColor="text1" w:themeTint="A6"/>
        </w:rPr>
        <w:t>the</w:t>
      </w:r>
      <w:r w:rsidR="0014098A">
        <w:rPr>
          <w:color w:val="595959" w:themeColor="text1" w:themeTint="A6"/>
        </w:rPr>
        <w:t xml:space="preserve"> </w:t>
      </w:r>
      <w:r w:rsidR="00AE7C6C" w:rsidRPr="00BE2622">
        <w:rPr>
          <w:color w:val="595959" w:themeColor="text1" w:themeTint="A6"/>
        </w:rPr>
        <w:t xml:space="preserve">targets of reaching 70,000 beneficiaries and 70 CSOs.  </w:t>
      </w:r>
      <w:r w:rsidR="00076EDF" w:rsidRPr="00BE2622">
        <w:rPr>
          <w:color w:val="595959" w:themeColor="text1" w:themeTint="A6"/>
        </w:rPr>
        <w:t xml:space="preserve">An independent end of program evaluation found that </w:t>
      </w:r>
      <w:r w:rsidR="00BC4341" w:rsidRPr="00BE2622">
        <w:rPr>
          <w:color w:val="595959" w:themeColor="text1" w:themeTint="A6"/>
        </w:rPr>
        <w:t xml:space="preserve">the FCDP had alleviated </w:t>
      </w:r>
      <w:r w:rsidR="00076EDF" w:rsidRPr="00BE2622">
        <w:rPr>
          <w:color w:val="595959" w:themeColor="text1" w:themeTint="A6"/>
        </w:rPr>
        <w:t>social hardship through the provision of essential services such as water, sanitation and health services</w:t>
      </w:r>
      <w:r w:rsidR="00AE7C6C" w:rsidRPr="00BE2622">
        <w:rPr>
          <w:color w:val="595959" w:themeColor="text1" w:themeTint="A6"/>
        </w:rPr>
        <w:t xml:space="preserve">, </w:t>
      </w:r>
      <w:r w:rsidR="00076EDF" w:rsidRPr="00BE2622">
        <w:rPr>
          <w:color w:val="595959" w:themeColor="text1" w:themeTint="A6"/>
        </w:rPr>
        <w:t>particularly in the areas of reproductive health,</w:t>
      </w:r>
      <w:r w:rsidRPr="00BE2622">
        <w:rPr>
          <w:color w:val="595959" w:themeColor="text1" w:themeTint="A6"/>
        </w:rPr>
        <w:t xml:space="preserve"> NCDs,</w:t>
      </w:r>
      <w:r w:rsidRPr="00BE2622" w:rsidDel="008533CD">
        <w:rPr>
          <w:color w:val="595959" w:themeColor="text1" w:themeTint="A6"/>
        </w:rPr>
        <w:t xml:space="preserve"> </w:t>
      </w:r>
      <w:r w:rsidR="00076EDF" w:rsidRPr="00BE2622">
        <w:rPr>
          <w:color w:val="595959" w:themeColor="text1" w:themeTint="A6"/>
        </w:rPr>
        <w:t xml:space="preserve">and vision and hearing.  </w:t>
      </w:r>
    </w:p>
    <w:p w14:paraId="3DC123F2" w14:textId="7E3EFF30" w:rsidR="003E6133" w:rsidRPr="00BE2622" w:rsidRDefault="00AE7C6C" w:rsidP="00076EDF">
      <w:pPr>
        <w:rPr>
          <w:color w:val="595959" w:themeColor="text1" w:themeTint="A6"/>
        </w:rPr>
      </w:pPr>
      <w:r w:rsidRPr="00BE2622">
        <w:rPr>
          <w:color w:val="595959" w:themeColor="text1" w:themeTint="A6"/>
        </w:rPr>
        <w:t xml:space="preserve">Over the </w:t>
      </w:r>
      <w:r w:rsidR="0014098A">
        <w:rPr>
          <w:color w:val="595959" w:themeColor="text1" w:themeTint="A6"/>
        </w:rPr>
        <w:t xml:space="preserve">five year </w:t>
      </w:r>
      <w:r w:rsidRPr="00BE2622">
        <w:rPr>
          <w:color w:val="595959" w:themeColor="text1" w:themeTint="A6"/>
        </w:rPr>
        <w:t>life of the program, a</w:t>
      </w:r>
      <w:r w:rsidR="003E6133" w:rsidRPr="00BE2622">
        <w:rPr>
          <w:color w:val="595959" w:themeColor="text1" w:themeTint="A6"/>
        </w:rPr>
        <w:t xml:space="preserve"> total of </w:t>
      </w:r>
      <w:r w:rsidR="003E6133" w:rsidRPr="00A418B1">
        <w:rPr>
          <w:color w:val="595959" w:themeColor="text1" w:themeTint="A6"/>
        </w:rPr>
        <w:t xml:space="preserve">17,979 women and girls in rural and remote areas accessed reproductive health services and 3,849 people now have improved water and sanitation systems. </w:t>
      </w:r>
      <w:r w:rsidR="008533CD" w:rsidRPr="00A418B1">
        <w:rPr>
          <w:color w:val="595959" w:themeColor="text1" w:themeTint="A6"/>
        </w:rPr>
        <w:t xml:space="preserve"> </w:t>
      </w:r>
      <w:r w:rsidR="00FF3073" w:rsidRPr="00BE2622">
        <w:rPr>
          <w:color w:val="595959" w:themeColor="text1" w:themeTint="A6"/>
        </w:rPr>
        <w:t xml:space="preserve">To address NCDs, </w:t>
      </w:r>
      <w:r w:rsidR="008533CD" w:rsidRPr="00A418B1">
        <w:rPr>
          <w:color w:val="595959" w:themeColor="text1" w:themeTint="A6"/>
        </w:rPr>
        <w:t xml:space="preserve">FCDP </w:t>
      </w:r>
      <w:r w:rsidR="00FF3073" w:rsidRPr="00BE2622">
        <w:rPr>
          <w:color w:val="595959" w:themeColor="text1" w:themeTint="A6"/>
        </w:rPr>
        <w:t xml:space="preserve">facilitated </w:t>
      </w:r>
      <w:r w:rsidR="003E6133" w:rsidRPr="00A418B1">
        <w:rPr>
          <w:color w:val="595959" w:themeColor="text1" w:themeTint="A6"/>
        </w:rPr>
        <w:t>train</w:t>
      </w:r>
      <w:r w:rsidR="00FF3073" w:rsidRPr="00BE2622">
        <w:rPr>
          <w:color w:val="595959" w:themeColor="text1" w:themeTint="A6"/>
        </w:rPr>
        <w:t xml:space="preserve">ing </w:t>
      </w:r>
      <w:r w:rsidR="003E6133" w:rsidRPr="00A418B1">
        <w:rPr>
          <w:color w:val="595959" w:themeColor="text1" w:themeTint="A6"/>
        </w:rPr>
        <w:t xml:space="preserve">and support </w:t>
      </w:r>
      <w:r w:rsidR="00FF3073" w:rsidRPr="00BE2622">
        <w:rPr>
          <w:color w:val="595959" w:themeColor="text1" w:themeTint="A6"/>
        </w:rPr>
        <w:t xml:space="preserve">for </w:t>
      </w:r>
      <w:r w:rsidR="00CF31B8">
        <w:rPr>
          <w:color w:val="595959" w:themeColor="text1" w:themeTint="A6"/>
        </w:rPr>
        <w:t>c</w:t>
      </w:r>
      <w:r w:rsidR="003E6133" w:rsidRPr="00A418B1">
        <w:rPr>
          <w:color w:val="595959" w:themeColor="text1" w:themeTint="A6"/>
        </w:rPr>
        <w:t xml:space="preserve">ommunity-based </w:t>
      </w:r>
      <w:r w:rsidR="00CF31B8">
        <w:rPr>
          <w:color w:val="595959" w:themeColor="text1" w:themeTint="A6"/>
        </w:rPr>
        <w:t>h</w:t>
      </w:r>
      <w:r w:rsidR="003E6133" w:rsidRPr="00A418B1">
        <w:rPr>
          <w:color w:val="595959" w:themeColor="text1" w:themeTint="A6"/>
        </w:rPr>
        <w:t xml:space="preserve">ealth </w:t>
      </w:r>
      <w:r w:rsidR="00CF31B8">
        <w:rPr>
          <w:color w:val="595959" w:themeColor="text1" w:themeTint="A6"/>
        </w:rPr>
        <w:t>w</w:t>
      </w:r>
      <w:r w:rsidR="003E6133" w:rsidRPr="00A418B1">
        <w:rPr>
          <w:color w:val="595959" w:themeColor="text1" w:themeTint="A6"/>
        </w:rPr>
        <w:t xml:space="preserve">orkers as healthy living focal points </w:t>
      </w:r>
      <w:r w:rsidR="00FF3073" w:rsidRPr="00BE2622">
        <w:rPr>
          <w:color w:val="595959" w:themeColor="text1" w:themeTint="A6"/>
        </w:rPr>
        <w:t xml:space="preserve">in </w:t>
      </w:r>
      <w:r w:rsidR="003E6133" w:rsidRPr="00A418B1">
        <w:rPr>
          <w:color w:val="595959" w:themeColor="text1" w:themeTint="A6"/>
        </w:rPr>
        <w:t xml:space="preserve">their communities. </w:t>
      </w:r>
      <w:r w:rsidR="00A314B8" w:rsidRPr="00A418B1">
        <w:rPr>
          <w:color w:val="595959" w:themeColor="text1" w:themeTint="A6"/>
        </w:rPr>
        <w:t xml:space="preserve"> </w:t>
      </w:r>
      <w:r w:rsidR="003E6133" w:rsidRPr="00A418B1">
        <w:rPr>
          <w:color w:val="595959" w:themeColor="text1" w:themeTint="A6"/>
        </w:rPr>
        <w:t>The</w:t>
      </w:r>
      <w:r w:rsidR="00A314B8" w:rsidRPr="00A418B1">
        <w:rPr>
          <w:color w:val="595959" w:themeColor="text1" w:themeTint="A6"/>
        </w:rPr>
        <w:t>se workers</w:t>
      </w:r>
      <w:r w:rsidR="003E6133" w:rsidRPr="00A418B1">
        <w:rPr>
          <w:color w:val="595959" w:themeColor="text1" w:themeTint="A6"/>
        </w:rPr>
        <w:t xml:space="preserve"> are making an impact among the 8</w:t>
      </w:r>
      <w:r w:rsidR="00CF31B8">
        <w:rPr>
          <w:color w:val="595959" w:themeColor="text1" w:themeTint="A6"/>
        </w:rPr>
        <w:t>,</w:t>
      </w:r>
      <w:r w:rsidR="003E6133" w:rsidRPr="00A418B1">
        <w:rPr>
          <w:color w:val="595959" w:themeColor="text1" w:themeTint="A6"/>
        </w:rPr>
        <w:t>000 people in their communities</w:t>
      </w:r>
      <w:r w:rsidR="008533CD" w:rsidRPr="00A418B1">
        <w:rPr>
          <w:color w:val="595959" w:themeColor="text1" w:themeTint="A6"/>
        </w:rPr>
        <w:t>:</w:t>
      </w:r>
      <w:r w:rsidR="003E6133" w:rsidRPr="00A418B1">
        <w:rPr>
          <w:color w:val="595959" w:themeColor="text1" w:themeTint="A6"/>
        </w:rPr>
        <w:t xml:space="preserve"> </w:t>
      </w:r>
      <w:r w:rsidR="008533CD" w:rsidRPr="00A418B1">
        <w:rPr>
          <w:color w:val="595959" w:themeColor="text1" w:themeTint="A6"/>
        </w:rPr>
        <w:t xml:space="preserve"> </w:t>
      </w:r>
      <w:r w:rsidR="003E6133" w:rsidRPr="00A418B1">
        <w:rPr>
          <w:color w:val="595959" w:themeColor="text1" w:themeTint="A6"/>
        </w:rPr>
        <w:t>over 450 households now have vegetable gardens</w:t>
      </w:r>
      <w:r w:rsidR="008533CD" w:rsidRPr="00A418B1">
        <w:rPr>
          <w:color w:val="595959" w:themeColor="text1" w:themeTint="A6"/>
        </w:rPr>
        <w:t>;</w:t>
      </w:r>
      <w:r w:rsidR="003E6133" w:rsidRPr="00A418B1">
        <w:rPr>
          <w:color w:val="595959" w:themeColor="text1" w:themeTint="A6"/>
        </w:rPr>
        <w:t xml:space="preserve"> high-risk NCD clients are better managing their health and lifestyle</w:t>
      </w:r>
      <w:r w:rsidR="008533CD" w:rsidRPr="00A418B1">
        <w:rPr>
          <w:color w:val="595959" w:themeColor="text1" w:themeTint="A6"/>
        </w:rPr>
        <w:t>;</w:t>
      </w:r>
      <w:r w:rsidR="003E6133" w:rsidRPr="00A418B1">
        <w:rPr>
          <w:color w:val="595959" w:themeColor="text1" w:themeTint="A6"/>
        </w:rPr>
        <w:t xml:space="preserve"> and beneficiaries are proactively living health</w:t>
      </w:r>
      <w:r w:rsidR="00FE3F0A">
        <w:rPr>
          <w:color w:val="595959" w:themeColor="text1" w:themeTint="A6"/>
        </w:rPr>
        <w:t>il</w:t>
      </w:r>
      <w:r w:rsidR="003E6133" w:rsidRPr="00A418B1">
        <w:rPr>
          <w:color w:val="595959" w:themeColor="text1" w:themeTint="A6"/>
        </w:rPr>
        <w:t>y and accessing NCD clinical services.</w:t>
      </w:r>
    </w:p>
    <w:p w14:paraId="6E7E0155" w14:textId="4CB1095A" w:rsidR="003E6133" w:rsidRPr="00BE2622" w:rsidRDefault="001A23F8" w:rsidP="00076EDF">
      <w:pPr>
        <w:rPr>
          <w:color w:val="595959" w:themeColor="text1" w:themeTint="A6"/>
        </w:rPr>
      </w:pPr>
      <w:r w:rsidRPr="00BE2622">
        <w:rPr>
          <w:color w:val="595959" w:themeColor="text1" w:themeTint="A6"/>
        </w:rPr>
        <w:t xml:space="preserve">The </w:t>
      </w:r>
      <w:r w:rsidR="00CF31B8">
        <w:rPr>
          <w:color w:val="595959" w:themeColor="text1" w:themeTint="A6"/>
        </w:rPr>
        <w:t xml:space="preserve">end of program </w:t>
      </w:r>
      <w:r w:rsidRPr="00BE2622">
        <w:rPr>
          <w:color w:val="595959" w:themeColor="text1" w:themeTint="A6"/>
        </w:rPr>
        <w:t>evaluation found that e</w:t>
      </w:r>
      <w:r w:rsidR="00076EDF" w:rsidRPr="00BE2622">
        <w:rPr>
          <w:color w:val="595959" w:themeColor="text1" w:themeTint="A6"/>
        </w:rPr>
        <w:t xml:space="preserve">conomic hardship had been addressed through </w:t>
      </w:r>
      <w:r w:rsidR="000F6273" w:rsidRPr="00BE2622">
        <w:rPr>
          <w:color w:val="595959" w:themeColor="text1" w:themeTint="A6"/>
        </w:rPr>
        <w:t xml:space="preserve">support for </w:t>
      </w:r>
      <w:r w:rsidR="00076EDF" w:rsidRPr="00BE2622">
        <w:rPr>
          <w:color w:val="595959" w:themeColor="text1" w:themeTint="A6"/>
        </w:rPr>
        <w:t>income generating projects and other means of saving money (e.g. poultry, local stores, solar power)</w:t>
      </w:r>
      <w:r w:rsidR="00153AB4" w:rsidRPr="00BE2622">
        <w:rPr>
          <w:color w:val="595959" w:themeColor="text1" w:themeTint="A6"/>
        </w:rPr>
        <w:t xml:space="preserve"> and that</w:t>
      </w:r>
      <w:r w:rsidR="004E3159">
        <w:rPr>
          <w:color w:val="595959" w:themeColor="text1" w:themeTint="A6"/>
        </w:rPr>
        <w:t>,</w:t>
      </w:r>
      <w:r w:rsidR="00153AB4" w:rsidRPr="00BE2622">
        <w:rPr>
          <w:color w:val="595959" w:themeColor="text1" w:themeTint="A6"/>
        </w:rPr>
        <w:t xml:space="preserve"> </w:t>
      </w:r>
      <w:r w:rsidR="000F6273" w:rsidRPr="00BE2622">
        <w:rPr>
          <w:color w:val="595959" w:themeColor="text1" w:themeTint="A6"/>
        </w:rPr>
        <w:t>as a result</w:t>
      </w:r>
      <w:r w:rsidR="004E3159">
        <w:rPr>
          <w:color w:val="595959" w:themeColor="text1" w:themeTint="A6"/>
        </w:rPr>
        <w:t>,</w:t>
      </w:r>
      <w:r w:rsidR="000F6273" w:rsidRPr="00BE2622">
        <w:rPr>
          <w:color w:val="595959" w:themeColor="text1" w:themeTint="A6"/>
        </w:rPr>
        <w:t xml:space="preserve"> </w:t>
      </w:r>
      <w:r w:rsidR="003E6133" w:rsidRPr="00A418B1">
        <w:rPr>
          <w:color w:val="595959" w:themeColor="text1" w:themeTint="A6"/>
        </w:rPr>
        <w:t xml:space="preserve">4,531 people have improved livelihoods and better business skills. </w:t>
      </w:r>
      <w:r w:rsidR="008533CD" w:rsidRPr="00A418B1">
        <w:rPr>
          <w:color w:val="595959" w:themeColor="text1" w:themeTint="A6"/>
        </w:rPr>
        <w:t xml:space="preserve"> </w:t>
      </w:r>
      <w:r w:rsidR="000F6273" w:rsidRPr="00BE2622">
        <w:rPr>
          <w:color w:val="595959" w:themeColor="text1" w:themeTint="A6"/>
        </w:rPr>
        <w:t xml:space="preserve">An example of this work is a project delivered through </w:t>
      </w:r>
      <w:r w:rsidR="003E6133" w:rsidRPr="00A418B1">
        <w:rPr>
          <w:color w:val="595959" w:themeColor="text1" w:themeTint="A6"/>
        </w:rPr>
        <w:t>the Fiji Girl Guides Association</w:t>
      </w:r>
      <w:r w:rsidR="000F6273" w:rsidRPr="00BE2622">
        <w:rPr>
          <w:color w:val="595959" w:themeColor="text1" w:themeTint="A6"/>
        </w:rPr>
        <w:t xml:space="preserve"> in</w:t>
      </w:r>
      <w:r w:rsidR="003E6133" w:rsidRPr="00A418B1">
        <w:rPr>
          <w:color w:val="595959" w:themeColor="text1" w:themeTint="A6"/>
        </w:rPr>
        <w:t xml:space="preserve"> the remote village of Daku in Tailevu</w:t>
      </w:r>
      <w:r w:rsidR="000F6273" w:rsidRPr="00BE2622">
        <w:rPr>
          <w:color w:val="595959" w:themeColor="text1" w:themeTint="A6"/>
        </w:rPr>
        <w:t>,</w:t>
      </w:r>
      <w:r w:rsidR="003E6133" w:rsidRPr="00A418B1">
        <w:rPr>
          <w:color w:val="595959" w:themeColor="text1" w:themeTint="A6"/>
        </w:rPr>
        <w:t xml:space="preserve"> </w:t>
      </w:r>
      <w:r w:rsidR="000F6273" w:rsidRPr="00BE2622">
        <w:rPr>
          <w:color w:val="595959" w:themeColor="text1" w:themeTint="A6"/>
        </w:rPr>
        <w:t xml:space="preserve">which supported the </w:t>
      </w:r>
      <w:r w:rsidR="003E6133" w:rsidRPr="00A418B1">
        <w:rPr>
          <w:color w:val="595959" w:themeColor="text1" w:themeTint="A6"/>
        </w:rPr>
        <w:t>ope</w:t>
      </w:r>
      <w:r w:rsidR="000F6273" w:rsidRPr="00BE2622">
        <w:rPr>
          <w:color w:val="595959" w:themeColor="text1" w:themeTint="A6"/>
        </w:rPr>
        <w:t xml:space="preserve">ning of </w:t>
      </w:r>
      <w:r w:rsidR="003E6133" w:rsidRPr="00A418B1">
        <w:rPr>
          <w:color w:val="595959" w:themeColor="text1" w:themeTint="A6"/>
        </w:rPr>
        <w:t>a village shop in January 2016</w:t>
      </w:r>
      <w:r w:rsidR="000F6273" w:rsidRPr="00BE2622">
        <w:rPr>
          <w:color w:val="595959" w:themeColor="text1" w:themeTint="A6"/>
        </w:rPr>
        <w:t>.  The store</w:t>
      </w:r>
      <w:r w:rsidR="003E6133" w:rsidRPr="00A418B1">
        <w:rPr>
          <w:color w:val="595959" w:themeColor="text1" w:themeTint="A6"/>
        </w:rPr>
        <w:t xml:space="preserve"> earned a profit of FJD13,000 </w:t>
      </w:r>
      <w:r w:rsidR="009078B0" w:rsidRPr="00A418B1">
        <w:rPr>
          <w:color w:val="595959" w:themeColor="text1" w:themeTint="A6"/>
        </w:rPr>
        <w:t xml:space="preserve">(around </w:t>
      </w:r>
      <w:r w:rsidR="00732695">
        <w:rPr>
          <w:color w:val="595959" w:themeColor="text1" w:themeTint="A6"/>
        </w:rPr>
        <w:t>$</w:t>
      </w:r>
      <w:r w:rsidR="009078B0" w:rsidRPr="00A418B1">
        <w:rPr>
          <w:color w:val="595959" w:themeColor="text1" w:themeTint="A6"/>
        </w:rPr>
        <w:t>8</w:t>
      </w:r>
      <w:r w:rsidR="004E3159">
        <w:rPr>
          <w:color w:val="595959" w:themeColor="text1" w:themeTint="A6"/>
        </w:rPr>
        <w:t>,</w:t>
      </w:r>
      <w:r w:rsidR="009078B0" w:rsidRPr="00A418B1">
        <w:rPr>
          <w:color w:val="595959" w:themeColor="text1" w:themeTint="A6"/>
        </w:rPr>
        <w:t xml:space="preserve">100) </w:t>
      </w:r>
      <w:r w:rsidR="003E6133" w:rsidRPr="00A418B1">
        <w:rPr>
          <w:color w:val="595959" w:themeColor="text1" w:themeTint="A6"/>
        </w:rPr>
        <w:t xml:space="preserve">within </w:t>
      </w:r>
      <w:r w:rsidRPr="00A418B1">
        <w:rPr>
          <w:color w:val="595959" w:themeColor="text1" w:themeTint="A6"/>
        </w:rPr>
        <w:t>one</w:t>
      </w:r>
      <w:r w:rsidR="003E6133" w:rsidRPr="00A418B1">
        <w:rPr>
          <w:color w:val="595959" w:themeColor="text1" w:themeTint="A6"/>
        </w:rPr>
        <w:t xml:space="preserve"> year</w:t>
      </w:r>
      <w:r w:rsidR="00A314B8" w:rsidRPr="00A418B1">
        <w:rPr>
          <w:color w:val="595959" w:themeColor="text1" w:themeTint="A6"/>
        </w:rPr>
        <w:t xml:space="preserve"> and saved families FJD20 (</w:t>
      </w:r>
      <w:r w:rsidR="00732695">
        <w:rPr>
          <w:color w:val="595959" w:themeColor="text1" w:themeTint="A6"/>
        </w:rPr>
        <w:t>$</w:t>
      </w:r>
      <w:r w:rsidR="00A314B8" w:rsidRPr="00A418B1">
        <w:rPr>
          <w:color w:val="595959" w:themeColor="text1" w:themeTint="A6"/>
        </w:rPr>
        <w:t>12.40) per week on transport</w:t>
      </w:r>
      <w:r w:rsidR="003E6133" w:rsidRPr="00A418B1">
        <w:rPr>
          <w:color w:val="595959" w:themeColor="text1" w:themeTint="A6"/>
        </w:rPr>
        <w:t>.</w:t>
      </w:r>
    </w:p>
    <w:p w14:paraId="1C954DF5" w14:textId="475B20C9" w:rsidR="00076EDF" w:rsidRPr="00BE2622" w:rsidRDefault="00076EDF" w:rsidP="00076EDF">
      <w:pPr>
        <w:rPr>
          <w:color w:val="595959" w:themeColor="text1" w:themeTint="A6"/>
        </w:rPr>
      </w:pPr>
      <w:r w:rsidRPr="00BE2622">
        <w:rPr>
          <w:color w:val="595959" w:themeColor="text1" w:themeTint="A6"/>
        </w:rPr>
        <w:t>The evaluation also found evidence of increased CSO capabilities in financial management, project management, community engagement, institutional policies and external relations</w:t>
      </w:r>
      <w:r w:rsidR="00E06FA6" w:rsidRPr="00BE2622">
        <w:rPr>
          <w:color w:val="595959" w:themeColor="text1" w:themeTint="A6"/>
        </w:rPr>
        <w:t xml:space="preserve"> </w:t>
      </w:r>
      <w:r w:rsidR="000F6273" w:rsidRPr="00BE2622">
        <w:rPr>
          <w:color w:val="595959" w:themeColor="text1" w:themeTint="A6"/>
        </w:rPr>
        <w:t>(</w:t>
      </w:r>
      <w:r w:rsidRPr="00BE2622">
        <w:rPr>
          <w:color w:val="595959" w:themeColor="text1" w:themeTint="A6"/>
        </w:rPr>
        <w:t xml:space="preserve">though it </w:t>
      </w:r>
      <w:r w:rsidR="000F6273" w:rsidRPr="00BE2622">
        <w:rPr>
          <w:color w:val="595959" w:themeColor="text1" w:themeTint="A6"/>
        </w:rPr>
        <w:t xml:space="preserve">noted mixed results on </w:t>
      </w:r>
      <w:r w:rsidRPr="00BE2622">
        <w:rPr>
          <w:color w:val="595959" w:themeColor="text1" w:themeTint="A6"/>
        </w:rPr>
        <w:t>ownership and sustainability of these changes</w:t>
      </w:r>
      <w:r w:rsidR="000F6273" w:rsidRPr="00BE2622">
        <w:rPr>
          <w:color w:val="595959" w:themeColor="text1" w:themeTint="A6"/>
        </w:rPr>
        <w:t>)</w:t>
      </w:r>
      <w:r w:rsidRPr="00BE2622">
        <w:rPr>
          <w:color w:val="595959" w:themeColor="text1" w:themeTint="A6"/>
        </w:rPr>
        <w:t xml:space="preserve">. </w:t>
      </w:r>
      <w:r w:rsidR="00E06FA6" w:rsidRPr="00BE2622">
        <w:rPr>
          <w:color w:val="595959" w:themeColor="text1" w:themeTint="A6"/>
        </w:rPr>
        <w:t xml:space="preserve"> </w:t>
      </w:r>
      <w:r w:rsidR="000F6273" w:rsidRPr="00BE2622">
        <w:rPr>
          <w:color w:val="595959" w:themeColor="text1" w:themeTint="A6"/>
        </w:rPr>
        <w:t>For example, 11</w:t>
      </w:r>
      <w:r w:rsidR="003E6133" w:rsidRPr="00A418B1">
        <w:rPr>
          <w:color w:val="595959" w:themeColor="text1" w:themeTint="A6"/>
        </w:rPr>
        <w:t xml:space="preserve"> CSOs working in </w:t>
      </w:r>
      <w:r w:rsidR="00E06FA6" w:rsidRPr="00A418B1">
        <w:rPr>
          <w:color w:val="595959" w:themeColor="text1" w:themeTint="A6"/>
        </w:rPr>
        <w:t>d</w:t>
      </w:r>
      <w:r w:rsidR="003E6133" w:rsidRPr="00A418B1">
        <w:rPr>
          <w:color w:val="595959" w:themeColor="text1" w:themeTint="A6"/>
        </w:rPr>
        <w:t xml:space="preserve">isaster </w:t>
      </w:r>
      <w:r w:rsidR="00E06FA6" w:rsidRPr="00A418B1">
        <w:rPr>
          <w:color w:val="595959" w:themeColor="text1" w:themeTint="A6"/>
        </w:rPr>
        <w:t>r</w:t>
      </w:r>
      <w:r w:rsidR="003E6133" w:rsidRPr="00A418B1">
        <w:rPr>
          <w:color w:val="595959" w:themeColor="text1" w:themeTint="A6"/>
        </w:rPr>
        <w:t xml:space="preserve">isk </w:t>
      </w:r>
      <w:r w:rsidR="00E06FA6" w:rsidRPr="00A418B1">
        <w:rPr>
          <w:color w:val="595959" w:themeColor="text1" w:themeTint="A6"/>
        </w:rPr>
        <w:t>m</w:t>
      </w:r>
      <w:r w:rsidR="003E6133" w:rsidRPr="00A418B1">
        <w:rPr>
          <w:color w:val="595959" w:themeColor="text1" w:themeTint="A6"/>
        </w:rPr>
        <w:t xml:space="preserve">anagement improved </w:t>
      </w:r>
      <w:r w:rsidR="00E06FA6" w:rsidRPr="00A418B1">
        <w:rPr>
          <w:color w:val="595959" w:themeColor="text1" w:themeTint="A6"/>
        </w:rPr>
        <w:t xml:space="preserve">their </w:t>
      </w:r>
      <w:r w:rsidR="003E6133" w:rsidRPr="00A418B1">
        <w:rPr>
          <w:color w:val="595959" w:themeColor="text1" w:themeTint="A6"/>
        </w:rPr>
        <w:t xml:space="preserve">capacity to coordinate with the Fiji Government and deliver preparedness and response activities. </w:t>
      </w:r>
      <w:r w:rsidR="00E06FA6" w:rsidRPr="00A418B1">
        <w:rPr>
          <w:color w:val="595959" w:themeColor="text1" w:themeTint="A6"/>
        </w:rPr>
        <w:t xml:space="preserve"> </w:t>
      </w:r>
      <w:r w:rsidR="00A92B36" w:rsidRPr="00BE2622">
        <w:rPr>
          <w:color w:val="595959" w:themeColor="text1" w:themeTint="A6"/>
        </w:rPr>
        <w:t>This capacity building helped prepare CSOs to assist over 99,500 people affected by TC Winston</w:t>
      </w:r>
      <w:r w:rsidR="003E6133" w:rsidRPr="00A418B1">
        <w:rPr>
          <w:color w:val="595959" w:themeColor="text1" w:themeTint="A6"/>
        </w:rPr>
        <w:t>.</w:t>
      </w:r>
    </w:p>
    <w:p w14:paraId="26DC7E3B" w14:textId="0E05A78C" w:rsidR="00076EDF" w:rsidRPr="00BE2622" w:rsidRDefault="00076EDF" w:rsidP="00076EDF">
      <w:pPr>
        <w:rPr>
          <w:color w:val="595959" w:themeColor="text1" w:themeTint="A6"/>
        </w:rPr>
      </w:pPr>
      <w:r w:rsidRPr="00BE2622">
        <w:rPr>
          <w:color w:val="595959" w:themeColor="text1" w:themeTint="A6"/>
        </w:rPr>
        <w:t xml:space="preserve">The evaluation </w:t>
      </w:r>
      <w:r w:rsidR="00E454A3" w:rsidRPr="00BE2622">
        <w:rPr>
          <w:color w:val="595959" w:themeColor="text1" w:themeTint="A6"/>
        </w:rPr>
        <w:t xml:space="preserve">recommended continued support for </w:t>
      </w:r>
      <w:r w:rsidRPr="00BE2622">
        <w:rPr>
          <w:color w:val="595959" w:themeColor="text1" w:themeTint="A6"/>
        </w:rPr>
        <w:t xml:space="preserve">CSOs </w:t>
      </w:r>
      <w:r w:rsidR="00E454A3" w:rsidRPr="00BE2622">
        <w:rPr>
          <w:color w:val="595959" w:themeColor="text1" w:themeTint="A6"/>
        </w:rPr>
        <w:t>to reduce hardship and increase resilience amongst Fiji’s most vulnerable.  It also made a number of recommendations related to the focus and structure of funding arrangements</w:t>
      </w:r>
      <w:r w:rsidR="00FD5234">
        <w:rPr>
          <w:color w:val="595959" w:themeColor="text1" w:themeTint="A6"/>
        </w:rPr>
        <w:t>,</w:t>
      </w:r>
      <w:r w:rsidR="00E454A3" w:rsidRPr="00BE2622">
        <w:rPr>
          <w:color w:val="595959" w:themeColor="text1" w:themeTint="A6"/>
        </w:rPr>
        <w:t xml:space="preserve"> which </w:t>
      </w:r>
      <w:r w:rsidR="003E6133" w:rsidRPr="00A418B1">
        <w:rPr>
          <w:color w:val="595959" w:themeColor="text1" w:themeTint="A6"/>
        </w:rPr>
        <w:t xml:space="preserve">are informing the design of </w:t>
      </w:r>
      <w:r w:rsidR="00E454A3" w:rsidRPr="00BE2622">
        <w:rPr>
          <w:color w:val="595959" w:themeColor="text1" w:themeTint="A6"/>
        </w:rPr>
        <w:t xml:space="preserve">the next phase of </w:t>
      </w:r>
      <w:r w:rsidR="003E6133" w:rsidRPr="00A418B1">
        <w:rPr>
          <w:color w:val="595959" w:themeColor="text1" w:themeTint="A6"/>
        </w:rPr>
        <w:t>CSO support through the new Fiji Program Support Facility.</w:t>
      </w:r>
    </w:p>
    <w:p w14:paraId="337377F7" w14:textId="77777777" w:rsidR="00E454A3" w:rsidRPr="00BE2622" w:rsidRDefault="00E454A3" w:rsidP="00E454A3">
      <w:pPr>
        <w:rPr>
          <w:b/>
          <w:color w:val="595959" w:themeColor="text1" w:themeTint="A6"/>
        </w:rPr>
      </w:pPr>
      <w:r w:rsidRPr="00BE2622">
        <w:rPr>
          <w:b/>
          <w:color w:val="595959" w:themeColor="text1" w:themeTint="A6"/>
        </w:rPr>
        <w:t>Promoting gender equality and empowerment of women and girls</w:t>
      </w:r>
    </w:p>
    <w:p w14:paraId="4D558FF5" w14:textId="48F138E5" w:rsidR="00E454A3" w:rsidRPr="00BE2622" w:rsidRDefault="00E454A3" w:rsidP="00E454A3">
      <w:pPr>
        <w:rPr>
          <w:color w:val="595959" w:themeColor="text1" w:themeTint="A6"/>
        </w:rPr>
      </w:pPr>
      <w:r w:rsidRPr="00BE2622">
        <w:rPr>
          <w:color w:val="595959" w:themeColor="text1" w:themeTint="A6"/>
        </w:rPr>
        <w:t>Through the Pacific Women program in Fiji, Australia support</w:t>
      </w:r>
      <w:r w:rsidR="0014098A">
        <w:rPr>
          <w:color w:val="595959" w:themeColor="text1" w:themeTint="A6"/>
        </w:rPr>
        <w:t>ed</w:t>
      </w:r>
      <w:r w:rsidRPr="00BE2622">
        <w:rPr>
          <w:color w:val="595959" w:themeColor="text1" w:themeTint="A6"/>
        </w:rPr>
        <w:t xml:space="preserve"> initiatives that strengthen women’s roles in leadership and decision-making, increase women’s economic empowerment and address gender-based violence.  </w:t>
      </w:r>
      <w:r w:rsidRPr="00A418B1">
        <w:rPr>
          <w:color w:val="595959" w:themeColor="text1" w:themeTint="A6"/>
        </w:rPr>
        <w:t xml:space="preserve">An independent review of the program in 2017 found </w:t>
      </w:r>
      <w:r w:rsidRPr="00BE2622">
        <w:rPr>
          <w:color w:val="595959" w:themeColor="text1" w:themeTint="A6"/>
        </w:rPr>
        <w:t xml:space="preserve">it </w:t>
      </w:r>
      <w:r w:rsidRPr="00A418B1">
        <w:rPr>
          <w:color w:val="595959" w:themeColor="text1" w:themeTint="A6"/>
        </w:rPr>
        <w:t xml:space="preserve">is relevant, efficient and aligned to Fiji Government policy. </w:t>
      </w:r>
    </w:p>
    <w:p w14:paraId="6AE74BCB" w14:textId="1DCB8D0A" w:rsidR="00E454A3" w:rsidRPr="00BE2622" w:rsidRDefault="00E454A3" w:rsidP="00E454A3">
      <w:pPr>
        <w:rPr>
          <w:color w:val="595959" w:themeColor="text1" w:themeTint="A6"/>
        </w:rPr>
      </w:pPr>
      <w:r w:rsidRPr="00A418B1">
        <w:rPr>
          <w:color w:val="595959" w:themeColor="text1" w:themeTint="A6"/>
        </w:rPr>
        <w:t xml:space="preserve">The review found that the </w:t>
      </w:r>
      <w:r w:rsidRPr="00BE2622">
        <w:rPr>
          <w:color w:val="595959" w:themeColor="text1" w:themeTint="A6"/>
        </w:rPr>
        <w:t>p</w:t>
      </w:r>
      <w:r w:rsidRPr="00A418B1">
        <w:rPr>
          <w:color w:val="595959" w:themeColor="text1" w:themeTint="A6"/>
        </w:rPr>
        <w:t xml:space="preserve">rogram contributed to </w:t>
      </w:r>
      <w:r w:rsidRPr="00BE2622">
        <w:rPr>
          <w:color w:val="595959" w:themeColor="text1" w:themeTint="A6"/>
        </w:rPr>
        <w:t xml:space="preserve">the expansion of </w:t>
      </w:r>
      <w:r w:rsidRPr="00A418B1">
        <w:rPr>
          <w:color w:val="595959" w:themeColor="text1" w:themeTint="A6"/>
        </w:rPr>
        <w:t xml:space="preserve">women’s participation and leadership roles in decision-making processes at community and national levels.  </w:t>
      </w:r>
      <w:r w:rsidRPr="00BE2622">
        <w:rPr>
          <w:color w:val="595959" w:themeColor="text1" w:themeTint="A6"/>
        </w:rPr>
        <w:t xml:space="preserve">For </w:t>
      </w:r>
      <w:r w:rsidRPr="00A418B1">
        <w:rPr>
          <w:color w:val="595959" w:themeColor="text1" w:themeTint="A6"/>
        </w:rPr>
        <w:t>example</w:t>
      </w:r>
      <w:r w:rsidRPr="00BE2622">
        <w:rPr>
          <w:color w:val="595959" w:themeColor="text1" w:themeTint="A6"/>
        </w:rPr>
        <w:t xml:space="preserve">, the program </w:t>
      </w:r>
      <w:r w:rsidRPr="00A418B1">
        <w:rPr>
          <w:color w:val="595959" w:themeColor="text1" w:themeTint="A6"/>
        </w:rPr>
        <w:t>support</w:t>
      </w:r>
      <w:r w:rsidRPr="00BE2622">
        <w:rPr>
          <w:color w:val="595959" w:themeColor="text1" w:themeTint="A6"/>
        </w:rPr>
        <w:t>ed</w:t>
      </w:r>
      <w:r w:rsidRPr="00A418B1">
        <w:rPr>
          <w:color w:val="595959" w:themeColor="text1" w:themeTint="A6"/>
        </w:rPr>
        <w:t xml:space="preserve"> UN Women’s Markets for Change program, which aims to increase women</w:t>
      </w:r>
      <w:r w:rsidRPr="00BE2622">
        <w:rPr>
          <w:color w:val="595959" w:themeColor="text1" w:themeTint="A6"/>
        </w:rPr>
        <w:t>’s</w:t>
      </w:r>
      <w:r w:rsidRPr="00A418B1">
        <w:rPr>
          <w:color w:val="595959" w:themeColor="text1" w:themeTint="A6"/>
        </w:rPr>
        <w:t xml:space="preserve"> leadership in markets</w:t>
      </w:r>
      <w:r w:rsidRPr="00BE2622">
        <w:rPr>
          <w:color w:val="595959" w:themeColor="text1" w:themeTint="A6"/>
        </w:rPr>
        <w:t xml:space="preserve"> through training, support for advocacy groups and improvements to infrastructure and operating systems</w:t>
      </w:r>
      <w:r w:rsidRPr="00A418B1">
        <w:rPr>
          <w:color w:val="595959" w:themeColor="text1" w:themeTint="A6"/>
        </w:rPr>
        <w:t xml:space="preserve">.  </w:t>
      </w:r>
      <w:r w:rsidR="0014098A">
        <w:rPr>
          <w:color w:val="595959" w:themeColor="text1" w:themeTint="A6"/>
        </w:rPr>
        <w:t xml:space="preserve">Between </w:t>
      </w:r>
      <w:r w:rsidRPr="00A418B1">
        <w:rPr>
          <w:color w:val="595959" w:themeColor="text1" w:themeTint="A6"/>
        </w:rPr>
        <w:t xml:space="preserve">July </w:t>
      </w:r>
      <w:r w:rsidR="0014098A">
        <w:rPr>
          <w:color w:val="595959" w:themeColor="text1" w:themeTint="A6"/>
        </w:rPr>
        <w:t xml:space="preserve">and </w:t>
      </w:r>
      <w:r w:rsidRPr="00A418B1">
        <w:rPr>
          <w:color w:val="595959" w:themeColor="text1" w:themeTint="A6"/>
        </w:rPr>
        <w:t xml:space="preserve">December 2016, elections were held </w:t>
      </w:r>
      <w:r w:rsidRPr="00BE2622">
        <w:rPr>
          <w:color w:val="595959" w:themeColor="text1" w:themeTint="A6"/>
        </w:rPr>
        <w:t xml:space="preserve">in </w:t>
      </w:r>
      <w:r w:rsidRPr="00A418B1">
        <w:rPr>
          <w:color w:val="595959" w:themeColor="text1" w:themeTint="A6"/>
        </w:rPr>
        <w:t>five markets in Fiji</w:t>
      </w:r>
      <w:r w:rsidRPr="00BE2622">
        <w:rPr>
          <w:color w:val="595959" w:themeColor="text1" w:themeTint="A6"/>
        </w:rPr>
        <w:t xml:space="preserve">.  In four of these, women were elected to fill 50 percent or more of the </w:t>
      </w:r>
      <w:r w:rsidRPr="00A418B1">
        <w:rPr>
          <w:color w:val="595959" w:themeColor="text1" w:themeTint="A6"/>
        </w:rPr>
        <w:t>Market Vendor Association’s executive committee</w:t>
      </w:r>
      <w:r w:rsidRPr="00BE2622">
        <w:rPr>
          <w:color w:val="595959" w:themeColor="text1" w:themeTint="A6"/>
        </w:rPr>
        <w:t xml:space="preserve"> positions.</w:t>
      </w:r>
      <w:r w:rsidRPr="00A418B1">
        <w:rPr>
          <w:color w:val="595959" w:themeColor="text1" w:themeTint="A6"/>
        </w:rPr>
        <w:t xml:space="preserve">  In two markets (Lautoka and Rakiraki), women </w:t>
      </w:r>
      <w:r w:rsidRPr="00BE2622">
        <w:rPr>
          <w:color w:val="595959" w:themeColor="text1" w:themeTint="A6"/>
        </w:rPr>
        <w:t xml:space="preserve">now </w:t>
      </w:r>
      <w:r w:rsidRPr="00A418B1">
        <w:rPr>
          <w:color w:val="595959" w:themeColor="text1" w:themeTint="A6"/>
        </w:rPr>
        <w:t>hold the position of President.</w:t>
      </w:r>
    </w:p>
    <w:p w14:paraId="4653A567" w14:textId="7A31DB0A" w:rsidR="00E454A3" w:rsidRPr="00BE2622" w:rsidRDefault="00E454A3" w:rsidP="00E454A3">
      <w:pPr>
        <w:rPr>
          <w:color w:val="595959" w:themeColor="text1" w:themeTint="A6"/>
        </w:rPr>
      </w:pPr>
      <w:r w:rsidRPr="00BE2622">
        <w:rPr>
          <w:color w:val="595959" w:themeColor="text1" w:themeTint="A6"/>
        </w:rPr>
        <w:t>Rates of physical and sexual violence against women in Fiji are among the highest in the world</w:t>
      </w:r>
      <w:r w:rsidR="00B33E21">
        <w:rPr>
          <w:color w:val="595959" w:themeColor="text1" w:themeTint="A6"/>
        </w:rPr>
        <w:t xml:space="preserve">, and </w:t>
      </w:r>
      <w:r w:rsidR="0014098A">
        <w:rPr>
          <w:color w:val="595959" w:themeColor="text1" w:themeTint="A6"/>
        </w:rPr>
        <w:t xml:space="preserve">in 2016-17 </w:t>
      </w:r>
      <w:r w:rsidR="00B33E21">
        <w:rPr>
          <w:color w:val="595959" w:themeColor="text1" w:themeTint="A6"/>
        </w:rPr>
        <w:t>the program continued to focus on a</w:t>
      </w:r>
      <w:r w:rsidRPr="00BE2622">
        <w:rPr>
          <w:color w:val="595959" w:themeColor="text1" w:themeTint="A6"/>
        </w:rPr>
        <w:t xml:space="preserve">ddressing gender-based violence and providing support services to </w:t>
      </w:r>
      <w:r w:rsidRPr="00BE2622">
        <w:rPr>
          <w:color w:val="595959" w:themeColor="text1" w:themeTint="A6"/>
        </w:rPr>
        <w:lastRenderedPageBreak/>
        <w:t xml:space="preserve">survivors.  In 2016, 2,761 women survivors of violence (including 33 women with disabilities) received counselling, legal and medical services. </w:t>
      </w:r>
    </w:p>
    <w:p w14:paraId="11FD4799" w14:textId="203D6E08" w:rsidR="00E454A3" w:rsidRPr="00BE2622" w:rsidRDefault="00E454A3" w:rsidP="00E454A3">
      <w:pPr>
        <w:rPr>
          <w:color w:val="595959" w:themeColor="text1" w:themeTint="A6"/>
        </w:rPr>
      </w:pPr>
      <w:r w:rsidRPr="00BE2622">
        <w:rPr>
          <w:color w:val="595959" w:themeColor="text1" w:themeTint="A6"/>
        </w:rPr>
        <w:t>We supported the Fiji Ministry of Women, Children and Poverty Alleviation to finalise the implementation framework for the National Gender Policy.  The Ministry also established a network of gender focal point officers across 22 ministries; convened a policy dialogue on violence against women for members of Parliament; and conducted male advocacy training for senior male civil servants.</w:t>
      </w:r>
    </w:p>
    <w:p w14:paraId="3CB070A1" w14:textId="65ACFF2C" w:rsidR="00E454A3" w:rsidRPr="00BE2622" w:rsidRDefault="00E454A3" w:rsidP="00E454A3">
      <w:pPr>
        <w:rPr>
          <w:i/>
          <w:color w:val="595959" w:themeColor="text1" w:themeTint="A6"/>
        </w:rPr>
      </w:pPr>
      <w:r w:rsidRPr="00A418B1">
        <w:rPr>
          <w:color w:val="595959" w:themeColor="text1" w:themeTint="A6"/>
        </w:rPr>
        <w:t>In 2017, the program established the Fiji Women’s Fund (the Fund)</w:t>
      </w:r>
      <w:r w:rsidRPr="00BE2622">
        <w:rPr>
          <w:color w:val="595959" w:themeColor="text1" w:themeTint="A6"/>
        </w:rPr>
        <w:t>,</w:t>
      </w:r>
      <w:r w:rsidRPr="00A418B1">
        <w:rPr>
          <w:color w:val="595959" w:themeColor="text1" w:themeTint="A6"/>
        </w:rPr>
        <w:t xml:space="preserve"> and </w:t>
      </w:r>
      <w:r w:rsidRPr="00BE2622">
        <w:rPr>
          <w:color w:val="595959" w:themeColor="text1" w:themeTint="A6"/>
        </w:rPr>
        <w:t xml:space="preserve">recruited </w:t>
      </w:r>
      <w:r w:rsidRPr="00A418B1">
        <w:rPr>
          <w:color w:val="595959" w:themeColor="text1" w:themeTint="A6"/>
        </w:rPr>
        <w:t xml:space="preserve">a Steering Committee and Fund Manager.  </w:t>
      </w:r>
      <w:r w:rsidR="00DF1C76">
        <w:rPr>
          <w:color w:val="595959" w:themeColor="text1" w:themeTint="A6"/>
        </w:rPr>
        <w:t>From 2017 to 2022, t</w:t>
      </w:r>
      <w:r w:rsidR="00DF1C76" w:rsidRPr="00A418B1">
        <w:rPr>
          <w:color w:val="595959" w:themeColor="text1" w:themeTint="A6"/>
        </w:rPr>
        <w:t xml:space="preserve">he </w:t>
      </w:r>
      <w:r w:rsidR="00DF1C76">
        <w:rPr>
          <w:color w:val="595959" w:themeColor="text1" w:themeTint="A6"/>
        </w:rPr>
        <w:t xml:space="preserve">$10.5 million </w:t>
      </w:r>
      <w:r w:rsidRPr="00A418B1">
        <w:rPr>
          <w:color w:val="595959" w:themeColor="text1" w:themeTint="A6"/>
        </w:rPr>
        <w:t>Fund will provide</w:t>
      </w:r>
      <w:r w:rsidR="00DF1C76">
        <w:rPr>
          <w:color w:val="595959" w:themeColor="text1" w:themeTint="A6"/>
        </w:rPr>
        <w:t xml:space="preserve"> </w:t>
      </w:r>
      <w:r w:rsidRPr="00A418B1">
        <w:rPr>
          <w:color w:val="595959" w:themeColor="text1" w:themeTint="A6"/>
        </w:rPr>
        <w:t xml:space="preserve">support </w:t>
      </w:r>
      <w:r w:rsidR="00DF1C76">
        <w:rPr>
          <w:color w:val="595959" w:themeColor="text1" w:themeTint="A6"/>
        </w:rPr>
        <w:t xml:space="preserve">to </w:t>
      </w:r>
      <w:r w:rsidRPr="00A418B1">
        <w:rPr>
          <w:color w:val="595959" w:themeColor="text1" w:themeTint="A6"/>
        </w:rPr>
        <w:t>women’s organisations</w:t>
      </w:r>
      <w:r w:rsidR="00DF1C76">
        <w:rPr>
          <w:color w:val="595959" w:themeColor="text1" w:themeTint="A6"/>
        </w:rPr>
        <w:t xml:space="preserve"> and networks </w:t>
      </w:r>
      <w:r w:rsidRPr="00A418B1">
        <w:rPr>
          <w:color w:val="595959" w:themeColor="text1" w:themeTint="A6"/>
        </w:rPr>
        <w:t xml:space="preserve">to expand their work on women’s empowerment and gender equality in Fiji.  It </w:t>
      </w:r>
      <w:r w:rsidR="00B33E21">
        <w:rPr>
          <w:color w:val="595959" w:themeColor="text1" w:themeTint="A6"/>
        </w:rPr>
        <w:t xml:space="preserve">seeks </w:t>
      </w:r>
      <w:r w:rsidRPr="00A418B1">
        <w:rPr>
          <w:color w:val="595959" w:themeColor="text1" w:themeTint="A6"/>
        </w:rPr>
        <w:t>to reach women living in rural and remote locations and those who are marginalised, including women with disabilities and those facing discrimination due to their sexual orientation or gender identity.  The Fund aims to transition to an independent local entity with secured resourcing from other sources by June 2022</w:t>
      </w:r>
      <w:r w:rsidRPr="00BE2622">
        <w:rPr>
          <w:color w:val="595959" w:themeColor="text1" w:themeTint="A6"/>
        </w:rPr>
        <w:t>.</w:t>
      </w:r>
    </w:p>
    <w:p w14:paraId="6D18B2FB" w14:textId="26DC7D7E" w:rsidR="00E454A3" w:rsidRPr="00BE2622" w:rsidRDefault="00E454A3" w:rsidP="00E454A3">
      <w:pPr>
        <w:rPr>
          <w:color w:val="595959" w:themeColor="text1" w:themeTint="A6"/>
        </w:rPr>
      </w:pPr>
      <w:r w:rsidRPr="00A418B1">
        <w:rPr>
          <w:color w:val="595959" w:themeColor="text1" w:themeTint="A6"/>
        </w:rPr>
        <w:t xml:space="preserve">Recommendations from the independent review </w:t>
      </w:r>
      <w:r w:rsidR="00E824CF">
        <w:rPr>
          <w:color w:val="595959" w:themeColor="text1" w:themeTint="A6"/>
        </w:rPr>
        <w:t xml:space="preserve">of Pacific Women </w:t>
      </w:r>
      <w:r w:rsidRPr="00A418B1">
        <w:rPr>
          <w:color w:val="595959" w:themeColor="text1" w:themeTint="A6"/>
        </w:rPr>
        <w:t>include reviewing the program’s monitoring and evaluation framework and working with implementing partners to build in sustainability measures for capacity and skills transfers</w:t>
      </w:r>
      <w:r w:rsidRPr="00BE2622">
        <w:rPr>
          <w:color w:val="595959" w:themeColor="text1" w:themeTint="A6"/>
        </w:rPr>
        <w:t xml:space="preserve">.  </w:t>
      </w:r>
      <w:r w:rsidRPr="00A418B1">
        <w:rPr>
          <w:color w:val="595959" w:themeColor="text1" w:themeTint="A6"/>
        </w:rPr>
        <w:t>The</w:t>
      </w:r>
      <w:r w:rsidRPr="00BE2622">
        <w:rPr>
          <w:color w:val="595959" w:themeColor="text1" w:themeTint="A6"/>
        </w:rPr>
        <w:t xml:space="preserve">se will be incorporated in </w:t>
      </w:r>
      <w:r w:rsidRPr="00A418B1">
        <w:rPr>
          <w:color w:val="595959" w:themeColor="text1" w:themeTint="A6"/>
        </w:rPr>
        <w:t>the next phase of the program</w:t>
      </w:r>
      <w:r w:rsidR="00E824CF">
        <w:rPr>
          <w:color w:val="595959" w:themeColor="text1" w:themeTint="A6"/>
        </w:rPr>
        <w:t>.</w:t>
      </w:r>
      <w:r w:rsidRPr="00A418B1">
        <w:rPr>
          <w:color w:val="595959" w:themeColor="text1" w:themeTint="A6"/>
        </w:rPr>
        <w:t xml:space="preserve">  </w:t>
      </w:r>
    </w:p>
    <w:p w14:paraId="73E3692F" w14:textId="77777777" w:rsidR="00076EDF" w:rsidRPr="00BE2622" w:rsidRDefault="00076EDF" w:rsidP="00076EDF">
      <w:pPr>
        <w:rPr>
          <w:b/>
          <w:color w:val="595959" w:themeColor="text1" w:themeTint="A6"/>
        </w:rPr>
      </w:pPr>
      <w:r w:rsidRPr="00BE2622">
        <w:rPr>
          <w:b/>
          <w:color w:val="595959" w:themeColor="text1" w:themeTint="A6"/>
        </w:rPr>
        <w:t>People-to-people links</w:t>
      </w:r>
    </w:p>
    <w:p w14:paraId="76472269" w14:textId="7D0A94B9" w:rsidR="00076EDF" w:rsidRPr="00BE2622" w:rsidRDefault="00076EDF" w:rsidP="00076EDF">
      <w:pPr>
        <w:rPr>
          <w:color w:val="595959" w:themeColor="text1" w:themeTint="A6"/>
        </w:rPr>
      </w:pPr>
      <w:r w:rsidRPr="00BE2622">
        <w:rPr>
          <w:color w:val="595959" w:themeColor="text1" w:themeTint="A6"/>
        </w:rPr>
        <w:t xml:space="preserve">During 2016-17, 138 Australian Volunteers for International Development worked with 85 organisations in Fiji across the public, private and civil society sectors. </w:t>
      </w:r>
      <w:r w:rsidR="00E824CF">
        <w:rPr>
          <w:color w:val="595959" w:themeColor="text1" w:themeTint="A6"/>
        </w:rPr>
        <w:t xml:space="preserve"> </w:t>
      </w:r>
      <w:r w:rsidRPr="00BE2622">
        <w:rPr>
          <w:color w:val="595959" w:themeColor="text1" w:themeTint="A6"/>
        </w:rPr>
        <w:t xml:space="preserve">Volunteers supported capacity development in a range of government, local government and </w:t>
      </w:r>
      <w:r w:rsidR="00D15C84">
        <w:rPr>
          <w:color w:val="595959" w:themeColor="text1" w:themeTint="A6"/>
        </w:rPr>
        <w:t>CSOs</w:t>
      </w:r>
      <w:r w:rsidRPr="00BE2622">
        <w:rPr>
          <w:color w:val="595959" w:themeColor="text1" w:themeTint="A6"/>
        </w:rPr>
        <w:t xml:space="preserve"> in roles such as agricultural officer, allied health officer, disability empowerment officer</w:t>
      </w:r>
      <w:r w:rsidR="00CE6AF4" w:rsidRPr="00BE2622">
        <w:rPr>
          <w:color w:val="595959" w:themeColor="text1" w:themeTint="A6"/>
        </w:rPr>
        <w:t xml:space="preserve"> and </w:t>
      </w:r>
      <w:r w:rsidR="007926AF" w:rsidRPr="00BE2622">
        <w:rPr>
          <w:color w:val="595959" w:themeColor="text1" w:themeTint="A6"/>
        </w:rPr>
        <w:t>s</w:t>
      </w:r>
      <w:r w:rsidRPr="00BE2622">
        <w:rPr>
          <w:color w:val="595959" w:themeColor="text1" w:themeTint="A6"/>
        </w:rPr>
        <w:t xml:space="preserve">ustainable tourism </w:t>
      </w:r>
      <w:r w:rsidR="00CE6AF4" w:rsidRPr="00BE2622">
        <w:rPr>
          <w:color w:val="595959" w:themeColor="text1" w:themeTint="A6"/>
        </w:rPr>
        <w:t>officer.</w:t>
      </w:r>
      <w:r w:rsidRPr="00BE2622">
        <w:rPr>
          <w:color w:val="595959" w:themeColor="text1" w:themeTint="A6"/>
        </w:rPr>
        <w:t xml:space="preserve">  </w:t>
      </w:r>
      <w:r w:rsidR="007926AF" w:rsidRPr="00BE2622">
        <w:rPr>
          <w:color w:val="595959" w:themeColor="text1" w:themeTint="A6"/>
        </w:rPr>
        <w:t xml:space="preserve">For example, </w:t>
      </w:r>
      <w:r w:rsidR="005641DD" w:rsidRPr="00BE2622">
        <w:rPr>
          <w:color w:val="595959" w:themeColor="text1" w:themeTint="A6"/>
        </w:rPr>
        <w:t>Scope Global’s</w:t>
      </w:r>
      <w:r w:rsidR="006B52DD" w:rsidRPr="00BE2622">
        <w:rPr>
          <w:color w:val="595959" w:themeColor="text1" w:themeTint="A6"/>
        </w:rPr>
        <w:t xml:space="preserve"> </w:t>
      </w:r>
      <w:r w:rsidR="005641DD" w:rsidRPr="00BE2622">
        <w:rPr>
          <w:color w:val="595959" w:themeColor="text1" w:themeTint="A6"/>
        </w:rPr>
        <w:t xml:space="preserve">Disability Empowerment Skills Exchange saw a team of five Australian Volunteers with disabilities work </w:t>
      </w:r>
      <w:r w:rsidR="00593940" w:rsidRPr="00BE2622">
        <w:rPr>
          <w:color w:val="595959" w:themeColor="text1" w:themeTint="A6"/>
        </w:rPr>
        <w:t xml:space="preserve">side-by-side </w:t>
      </w:r>
      <w:r w:rsidR="005641DD" w:rsidRPr="00BE2622">
        <w:rPr>
          <w:color w:val="595959" w:themeColor="text1" w:themeTint="A6"/>
        </w:rPr>
        <w:t xml:space="preserve">with local Fiji </w:t>
      </w:r>
      <w:r w:rsidR="00307CA4">
        <w:rPr>
          <w:color w:val="595959" w:themeColor="text1" w:themeTint="A6"/>
        </w:rPr>
        <w:t>d</w:t>
      </w:r>
      <w:r w:rsidR="005641DD" w:rsidRPr="00BE2622">
        <w:rPr>
          <w:color w:val="595959" w:themeColor="text1" w:themeTint="A6"/>
        </w:rPr>
        <w:t xml:space="preserve">isabled </w:t>
      </w:r>
      <w:r w:rsidR="00307CA4">
        <w:rPr>
          <w:color w:val="595959" w:themeColor="text1" w:themeTint="A6"/>
        </w:rPr>
        <w:t>p</w:t>
      </w:r>
      <w:r w:rsidR="005641DD" w:rsidRPr="00BE2622">
        <w:rPr>
          <w:color w:val="595959" w:themeColor="text1" w:themeTint="A6"/>
        </w:rPr>
        <w:t xml:space="preserve">eoples </w:t>
      </w:r>
      <w:r w:rsidR="00307CA4">
        <w:rPr>
          <w:color w:val="595959" w:themeColor="text1" w:themeTint="A6"/>
        </w:rPr>
        <w:t>o</w:t>
      </w:r>
      <w:r w:rsidR="005641DD" w:rsidRPr="00BE2622">
        <w:rPr>
          <w:color w:val="595959" w:themeColor="text1" w:themeTint="A6"/>
        </w:rPr>
        <w:t xml:space="preserve">rganisations to support them </w:t>
      </w:r>
      <w:r w:rsidR="006B52DD" w:rsidRPr="00BE2622">
        <w:rPr>
          <w:color w:val="595959" w:themeColor="text1" w:themeTint="A6"/>
        </w:rPr>
        <w:t xml:space="preserve">in the areas of </w:t>
      </w:r>
      <w:r w:rsidR="005641DD" w:rsidRPr="00BE2622">
        <w:rPr>
          <w:color w:val="595959" w:themeColor="text1" w:themeTint="A6"/>
        </w:rPr>
        <w:t xml:space="preserve">marketing and human resource development. </w:t>
      </w:r>
      <w:r w:rsidR="007926AF" w:rsidRPr="00BE2622">
        <w:rPr>
          <w:color w:val="595959" w:themeColor="text1" w:themeTint="A6"/>
        </w:rPr>
        <w:t xml:space="preserve"> </w:t>
      </w:r>
    </w:p>
    <w:p w14:paraId="22001D8B" w14:textId="721D3C3B" w:rsidR="00076EDF" w:rsidRPr="00BE2622" w:rsidRDefault="007926AF" w:rsidP="00076EDF">
      <w:pPr>
        <w:rPr>
          <w:color w:val="595959" w:themeColor="text1" w:themeTint="A6"/>
        </w:rPr>
      </w:pPr>
      <w:r w:rsidRPr="00BE2622">
        <w:rPr>
          <w:color w:val="595959" w:themeColor="text1" w:themeTint="A6"/>
        </w:rPr>
        <w:t xml:space="preserve">In 2017, 51 </w:t>
      </w:r>
      <w:r w:rsidR="00076EDF" w:rsidRPr="00BE2622">
        <w:rPr>
          <w:color w:val="595959" w:themeColor="text1" w:themeTint="A6"/>
        </w:rPr>
        <w:t>Australia Awards students commenced studies</w:t>
      </w:r>
      <w:r w:rsidRPr="00BE2622">
        <w:rPr>
          <w:color w:val="595959" w:themeColor="text1" w:themeTint="A6"/>
        </w:rPr>
        <w:t>:</w:t>
      </w:r>
      <w:r w:rsidR="00076EDF" w:rsidRPr="00BE2622">
        <w:rPr>
          <w:color w:val="595959" w:themeColor="text1" w:themeTint="A6"/>
        </w:rPr>
        <w:t xml:space="preserve"> </w:t>
      </w:r>
      <w:r w:rsidRPr="00BE2622">
        <w:rPr>
          <w:color w:val="595959" w:themeColor="text1" w:themeTint="A6"/>
        </w:rPr>
        <w:t xml:space="preserve"> </w:t>
      </w:r>
      <w:r w:rsidR="00076EDF" w:rsidRPr="00BE2622">
        <w:rPr>
          <w:color w:val="595959" w:themeColor="text1" w:themeTint="A6"/>
        </w:rPr>
        <w:t xml:space="preserve">33 in Australia and 18 in Fiji.  They included ten nurses who upgraded their skills by completing post-graduate diplomas in midwifery, responding to a shortage of midwifes identified by </w:t>
      </w:r>
      <w:r w:rsidR="00307CA4">
        <w:rPr>
          <w:color w:val="595959" w:themeColor="text1" w:themeTint="A6"/>
        </w:rPr>
        <w:t xml:space="preserve">the </w:t>
      </w:r>
      <w:r w:rsidR="00076EDF" w:rsidRPr="00BE2622">
        <w:rPr>
          <w:color w:val="595959" w:themeColor="text1" w:themeTint="A6"/>
        </w:rPr>
        <w:t xml:space="preserve">Ministry of Health.  In line with Fiji Government priorities, climate change and related issues were also </w:t>
      </w:r>
      <w:r w:rsidR="00D15C84">
        <w:rPr>
          <w:color w:val="595959" w:themeColor="text1" w:themeTint="A6"/>
        </w:rPr>
        <w:t xml:space="preserve">priorities </w:t>
      </w:r>
      <w:r w:rsidR="00076EDF" w:rsidRPr="00BE2622">
        <w:rPr>
          <w:color w:val="595959" w:themeColor="text1" w:themeTint="A6"/>
        </w:rPr>
        <w:t xml:space="preserve">for the 2017 intake.  Students </w:t>
      </w:r>
      <w:r w:rsidRPr="00BE2622">
        <w:rPr>
          <w:color w:val="595959" w:themeColor="text1" w:themeTint="A6"/>
        </w:rPr>
        <w:t>enrolled</w:t>
      </w:r>
      <w:r w:rsidR="00076EDF" w:rsidRPr="00BE2622">
        <w:rPr>
          <w:color w:val="595959" w:themeColor="text1" w:themeTint="A6"/>
        </w:rPr>
        <w:t xml:space="preserve"> in masters programs in climate change, disaster preparedness and reconstruction, and environmental and resource economics. </w:t>
      </w:r>
      <w:r w:rsidRPr="00BE2622">
        <w:rPr>
          <w:color w:val="595959" w:themeColor="text1" w:themeTint="A6"/>
        </w:rPr>
        <w:t xml:space="preserve"> </w:t>
      </w:r>
      <w:r w:rsidR="00CE6AF4" w:rsidRPr="00BE2622">
        <w:rPr>
          <w:color w:val="595959" w:themeColor="text1" w:themeTint="A6"/>
        </w:rPr>
        <w:t xml:space="preserve">The 2017 intake also marked the first time students with </w:t>
      </w:r>
      <w:r w:rsidR="005641DD" w:rsidRPr="00BE2622">
        <w:rPr>
          <w:color w:val="595959" w:themeColor="text1" w:themeTint="A6"/>
        </w:rPr>
        <w:t>hearing impairment</w:t>
      </w:r>
      <w:r w:rsidR="00307CA4">
        <w:rPr>
          <w:color w:val="595959" w:themeColor="text1" w:themeTint="A6"/>
        </w:rPr>
        <w:t>s</w:t>
      </w:r>
      <w:r w:rsidR="00CE6AF4" w:rsidRPr="00BE2622">
        <w:rPr>
          <w:color w:val="595959" w:themeColor="text1" w:themeTint="A6"/>
        </w:rPr>
        <w:t xml:space="preserve"> were provided </w:t>
      </w:r>
      <w:r w:rsidR="005641DD" w:rsidRPr="00BE2622">
        <w:rPr>
          <w:color w:val="595959" w:themeColor="text1" w:themeTint="A6"/>
        </w:rPr>
        <w:t>Australia Awards Pacific S</w:t>
      </w:r>
      <w:r w:rsidR="00CE6AF4" w:rsidRPr="00BE2622">
        <w:rPr>
          <w:color w:val="595959" w:themeColor="text1" w:themeTint="A6"/>
        </w:rPr>
        <w:t xml:space="preserve">cholarships to study </w:t>
      </w:r>
      <w:r w:rsidR="005641DD" w:rsidRPr="00BE2622">
        <w:rPr>
          <w:color w:val="595959" w:themeColor="text1" w:themeTint="A6"/>
        </w:rPr>
        <w:t>with full-time sign interpreters and peer tutors</w:t>
      </w:r>
      <w:r w:rsidR="006B52DD" w:rsidRPr="00BE2622">
        <w:rPr>
          <w:color w:val="595959" w:themeColor="text1" w:themeTint="A6"/>
        </w:rPr>
        <w:t xml:space="preserve">, </w:t>
      </w:r>
      <w:r w:rsidR="005641DD" w:rsidRPr="00BE2622">
        <w:rPr>
          <w:color w:val="595959" w:themeColor="text1" w:themeTint="A6"/>
        </w:rPr>
        <w:t xml:space="preserve">as well as access to bridging courses in English. </w:t>
      </w:r>
    </w:p>
    <w:p w14:paraId="0F017915" w14:textId="03F526B0" w:rsidR="00076EDF" w:rsidRPr="00BE2622" w:rsidRDefault="00076EDF" w:rsidP="00076EDF">
      <w:pPr>
        <w:pStyle w:val="ListBullet"/>
        <w:tabs>
          <w:tab w:val="clear" w:pos="284"/>
          <w:tab w:val="left" w:pos="720"/>
        </w:tabs>
        <w:spacing w:before="360"/>
        <w:rPr>
          <w:rFonts w:asciiTheme="majorHAnsi" w:eastAsiaTheme="majorEastAsia" w:hAnsiTheme="majorHAnsi" w:cstheme="majorBidi"/>
          <w:caps/>
          <w:color w:val="595959" w:themeColor="text1" w:themeTint="A6"/>
          <w:sz w:val="38"/>
          <w:szCs w:val="26"/>
          <w:lang w:val="en-GB" w:eastAsia="en-US"/>
        </w:rPr>
      </w:pPr>
      <w:r w:rsidRPr="00BE2622">
        <w:rPr>
          <w:rFonts w:asciiTheme="majorHAnsi" w:eastAsiaTheme="majorEastAsia" w:hAnsiTheme="majorHAnsi" w:cstheme="majorBidi"/>
          <w:caps/>
          <w:color w:val="595959" w:themeColor="text1" w:themeTint="A6"/>
          <w:sz w:val="38"/>
          <w:szCs w:val="26"/>
          <w:lang w:val="en-GB" w:eastAsia="en-US"/>
        </w:rPr>
        <w:t>Objective 3 – TROPICAL CYCLONE WINSTON RECOVERY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751"/>
        <w:gridCol w:w="1753"/>
        <w:gridCol w:w="1753"/>
        <w:gridCol w:w="1753"/>
      </w:tblGrid>
      <w:tr w:rsidR="00076EDF" w:rsidRPr="00BE2622" w14:paraId="49D80DFC" w14:textId="77777777" w:rsidTr="00076EDF">
        <w:tc>
          <w:tcPr>
            <w:tcW w:w="2016" w:type="dxa"/>
            <w:hideMark/>
          </w:tcPr>
          <w:p w14:paraId="468EC138" w14:textId="77777777" w:rsidR="00076EDF" w:rsidRPr="00BE2622" w:rsidRDefault="00076EDF">
            <w:pPr>
              <w:spacing w:before="80" w:after="80"/>
              <w:jc w:val="center"/>
              <w:rPr>
                <w:rFonts w:asciiTheme="majorHAnsi" w:eastAsiaTheme="majorEastAsia" w:hAnsiTheme="majorHAnsi" w:cstheme="majorBidi"/>
                <w:caps/>
                <w:color w:val="595959" w:themeColor="text1" w:themeTint="A6"/>
                <w:sz w:val="38"/>
                <w:szCs w:val="26"/>
              </w:rPr>
            </w:pPr>
            <w:r w:rsidRPr="00BE2622">
              <w:rPr>
                <w:rFonts w:asciiTheme="majorHAnsi" w:hAnsiTheme="majorHAnsi"/>
                <w:noProof/>
                <w:color w:val="595959" w:themeColor="text1" w:themeTint="A6"/>
                <w:szCs w:val="26"/>
                <w:lang w:val="en-AU" w:eastAsia="en-AU"/>
              </w:rPr>
              <w:drawing>
                <wp:inline distT="0" distB="0" distL="0" distR="0" wp14:anchorId="0708A9AE" wp14:editId="726235E0">
                  <wp:extent cx="1133475" cy="7239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inline>
              </w:drawing>
            </w:r>
          </w:p>
        </w:tc>
        <w:tc>
          <w:tcPr>
            <w:tcW w:w="1751" w:type="dxa"/>
            <w:hideMark/>
          </w:tcPr>
          <w:p w14:paraId="6D9749B9" w14:textId="77777777" w:rsidR="00076EDF" w:rsidRPr="00BE2622" w:rsidRDefault="00076EDF">
            <w:pPr>
              <w:spacing w:before="160" w:after="80"/>
              <w:jc w:val="center"/>
              <w:rPr>
                <w:rFonts w:asciiTheme="majorHAnsi" w:eastAsiaTheme="majorEastAsia" w:hAnsiTheme="majorHAnsi" w:cstheme="majorBidi"/>
                <w:caps/>
                <w:color w:val="595959" w:themeColor="text1" w:themeTint="A6"/>
                <w:sz w:val="38"/>
                <w:szCs w:val="26"/>
              </w:rPr>
            </w:pPr>
            <w:r w:rsidRPr="00BE2622">
              <w:rPr>
                <w:rFonts w:ascii="Franklin Gothic Book" w:hAnsi="Franklin Gothic Book"/>
                <w:noProof/>
                <w:color w:val="595959" w:themeColor="text1" w:themeTint="A6"/>
                <w:sz w:val="21"/>
                <w:lang w:val="en-AU" w:eastAsia="en-AU"/>
              </w:rPr>
              <w:drawing>
                <wp:inline distT="0" distB="0" distL="0" distR="0" wp14:anchorId="3CB9BF06" wp14:editId="3CE20B58">
                  <wp:extent cx="609600" cy="609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753" w:type="dxa"/>
            <w:hideMark/>
          </w:tcPr>
          <w:p w14:paraId="5FF429E1" w14:textId="77777777" w:rsidR="00076EDF" w:rsidRPr="00BE2622" w:rsidRDefault="00076EDF">
            <w:pPr>
              <w:spacing w:before="160" w:after="80"/>
              <w:jc w:val="center"/>
              <w:rPr>
                <w:rFonts w:asciiTheme="majorHAnsi" w:eastAsiaTheme="majorEastAsia" w:hAnsiTheme="majorHAnsi" w:cstheme="majorBidi"/>
                <w:caps/>
                <w:color w:val="595959" w:themeColor="text1" w:themeTint="A6"/>
                <w:sz w:val="38"/>
                <w:szCs w:val="26"/>
              </w:rPr>
            </w:pPr>
            <w:r w:rsidRPr="00BE2622">
              <w:rPr>
                <w:noProof/>
                <w:color w:val="595959" w:themeColor="text1" w:themeTint="A6"/>
                <w:lang w:val="en-AU" w:eastAsia="en-AU"/>
              </w:rPr>
              <w:drawing>
                <wp:inline distT="0" distB="0" distL="0" distR="0" wp14:anchorId="46D9F15B" wp14:editId="320D075A">
                  <wp:extent cx="609600" cy="609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753" w:type="dxa"/>
            <w:hideMark/>
          </w:tcPr>
          <w:p w14:paraId="34F77754" w14:textId="77777777" w:rsidR="00076EDF" w:rsidRPr="00BE2622" w:rsidRDefault="00076EDF">
            <w:pPr>
              <w:spacing w:before="160" w:after="80"/>
              <w:jc w:val="center"/>
              <w:rPr>
                <w:rFonts w:asciiTheme="majorHAnsi" w:eastAsiaTheme="majorEastAsia" w:hAnsiTheme="majorHAnsi" w:cstheme="majorBidi"/>
                <w:caps/>
                <w:color w:val="595959" w:themeColor="text1" w:themeTint="A6"/>
                <w:sz w:val="38"/>
                <w:szCs w:val="26"/>
              </w:rPr>
            </w:pPr>
            <w:r w:rsidRPr="00BE2622">
              <w:rPr>
                <w:noProof/>
                <w:color w:val="595959" w:themeColor="text1" w:themeTint="A6"/>
                <w:lang w:val="en-AU" w:eastAsia="en-AU"/>
              </w:rPr>
              <w:drawing>
                <wp:inline distT="0" distB="0" distL="0" distR="0" wp14:anchorId="38DFD2A0" wp14:editId="7DA0102C">
                  <wp:extent cx="609600" cy="609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753" w:type="dxa"/>
            <w:hideMark/>
          </w:tcPr>
          <w:p w14:paraId="14A99C26" w14:textId="77777777" w:rsidR="00076EDF" w:rsidRPr="00BE2622" w:rsidRDefault="00076EDF">
            <w:pPr>
              <w:spacing w:before="160" w:after="80"/>
              <w:jc w:val="center"/>
              <w:rPr>
                <w:rFonts w:asciiTheme="majorHAnsi" w:eastAsiaTheme="majorEastAsia" w:hAnsiTheme="majorHAnsi" w:cstheme="majorBidi"/>
                <w:caps/>
                <w:color w:val="595959" w:themeColor="text1" w:themeTint="A6"/>
                <w:sz w:val="38"/>
                <w:szCs w:val="26"/>
              </w:rPr>
            </w:pPr>
            <w:r w:rsidRPr="00BE2622">
              <w:rPr>
                <w:noProof/>
                <w:color w:val="595959" w:themeColor="text1" w:themeTint="A6"/>
                <w:lang w:val="en-AU" w:eastAsia="en-AU"/>
              </w:rPr>
              <w:drawing>
                <wp:inline distT="0" distB="0" distL="0" distR="0" wp14:anchorId="00997634" wp14:editId="1A585314">
                  <wp:extent cx="609600" cy="609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bl>
    <w:p w14:paraId="2DDA1338" w14:textId="07D100AE" w:rsidR="00076EDF" w:rsidRPr="00BE2622" w:rsidRDefault="00076EDF" w:rsidP="00076EDF">
      <w:pPr>
        <w:spacing w:after="0" w:line="240" w:lineRule="auto"/>
        <w:rPr>
          <w:rFonts w:cs="Times New Roman"/>
          <w:color w:val="595959" w:themeColor="text1" w:themeTint="A6"/>
        </w:rPr>
      </w:pPr>
      <w:r w:rsidRPr="00BE2622">
        <w:rPr>
          <w:rFonts w:cs="Times New Roman"/>
          <w:color w:val="595959" w:themeColor="text1" w:themeTint="A6"/>
        </w:rPr>
        <w:t xml:space="preserve">TC Winston, the strongest cyclone ever recorded in the Southern Hemisphere, </w:t>
      </w:r>
      <w:r w:rsidR="00E824CF">
        <w:rPr>
          <w:rFonts w:cs="Times New Roman"/>
          <w:color w:val="595959" w:themeColor="text1" w:themeTint="A6"/>
        </w:rPr>
        <w:t xml:space="preserve">struck Fiji in February 2016, </w:t>
      </w:r>
      <w:r w:rsidRPr="00BE2622">
        <w:rPr>
          <w:rFonts w:cs="Times New Roman"/>
          <w:color w:val="595959" w:themeColor="text1" w:themeTint="A6"/>
        </w:rPr>
        <w:t>causing 44 deaths and affecting around 540,000 people (</w:t>
      </w:r>
      <w:r w:rsidR="00826C13">
        <w:rPr>
          <w:rFonts w:cs="Times New Roman"/>
          <w:color w:val="595959" w:themeColor="text1" w:themeTint="A6"/>
        </w:rPr>
        <w:t>almost</w:t>
      </w:r>
      <w:r w:rsidRPr="00BE2622">
        <w:rPr>
          <w:rFonts w:cs="Times New Roman"/>
          <w:color w:val="595959" w:themeColor="text1" w:themeTint="A6"/>
        </w:rPr>
        <w:t xml:space="preserve"> two thirds of Fiji’s population).  The cyclone damaged or destroyed approximately 30,000 homes, 495 schools and severely impacted livelihoods by affecting industries such as agricultur</w:t>
      </w:r>
      <w:r w:rsidR="00E61CBE" w:rsidRPr="00BE2622">
        <w:rPr>
          <w:rFonts w:cs="Times New Roman"/>
          <w:color w:val="595959" w:themeColor="text1" w:themeTint="A6"/>
        </w:rPr>
        <w:t>e</w:t>
      </w:r>
      <w:r w:rsidRPr="00BE2622">
        <w:rPr>
          <w:rFonts w:cs="Times New Roman"/>
          <w:color w:val="595959" w:themeColor="text1" w:themeTint="A6"/>
        </w:rPr>
        <w:t xml:space="preserve"> and fisheries.  Following TC Winston, Australia committed $35 million </w:t>
      </w:r>
      <w:r w:rsidR="007926AF" w:rsidRPr="00BE2622">
        <w:rPr>
          <w:rFonts w:cs="Times New Roman"/>
          <w:color w:val="595959" w:themeColor="text1" w:themeTint="A6"/>
        </w:rPr>
        <w:t xml:space="preserve">in assistance:  </w:t>
      </w:r>
      <w:r w:rsidRPr="00BE2622">
        <w:rPr>
          <w:rFonts w:cs="Times New Roman"/>
          <w:color w:val="595959" w:themeColor="text1" w:themeTint="A6"/>
        </w:rPr>
        <w:t xml:space="preserve">$15 million to meet immediate humanitarian needs and a further $20 million to support longer-term recovery and reconstruction.  </w:t>
      </w:r>
    </w:p>
    <w:p w14:paraId="22200917" w14:textId="141A8B6A" w:rsidR="003110AD" w:rsidRPr="00BE2622" w:rsidRDefault="00916742" w:rsidP="003110AD">
      <w:pPr>
        <w:spacing w:after="0" w:line="240" w:lineRule="auto"/>
        <w:rPr>
          <w:rFonts w:cs="Times New Roman"/>
          <w:color w:val="595959" w:themeColor="text1" w:themeTint="A6"/>
        </w:rPr>
      </w:pPr>
      <w:r w:rsidRPr="00BE2622">
        <w:rPr>
          <w:rFonts w:cs="Times New Roman"/>
          <w:color w:val="595959" w:themeColor="text1" w:themeTint="A6"/>
        </w:rPr>
        <w:t>I</w:t>
      </w:r>
      <w:r w:rsidR="003110AD" w:rsidRPr="00BE2622">
        <w:rPr>
          <w:rFonts w:cs="Times New Roman"/>
          <w:color w:val="595959" w:themeColor="text1" w:themeTint="A6"/>
        </w:rPr>
        <w:t xml:space="preserve">mmediate relief activities </w:t>
      </w:r>
      <w:r w:rsidRPr="00BE2622">
        <w:rPr>
          <w:rFonts w:cs="Times New Roman"/>
          <w:color w:val="595959" w:themeColor="text1" w:themeTint="A6"/>
        </w:rPr>
        <w:t xml:space="preserve">were conducted </w:t>
      </w:r>
      <w:r w:rsidR="003110AD" w:rsidRPr="00BE2622">
        <w:rPr>
          <w:rFonts w:cs="Times New Roman"/>
          <w:color w:val="595959" w:themeColor="text1" w:themeTint="A6"/>
        </w:rPr>
        <w:t>in 2015-16</w:t>
      </w:r>
      <w:r w:rsidRPr="00BE2622">
        <w:rPr>
          <w:rFonts w:cs="Times New Roman"/>
          <w:color w:val="595959" w:themeColor="text1" w:themeTint="A6"/>
        </w:rPr>
        <w:t xml:space="preserve">.  During </w:t>
      </w:r>
      <w:r w:rsidR="003110AD" w:rsidRPr="00BE2622">
        <w:rPr>
          <w:rFonts w:cs="Times New Roman"/>
          <w:color w:val="595959" w:themeColor="text1" w:themeTint="A6"/>
        </w:rPr>
        <w:t>2016-17</w:t>
      </w:r>
      <w:r w:rsidRPr="00BE2622">
        <w:rPr>
          <w:rFonts w:cs="Times New Roman"/>
          <w:color w:val="595959" w:themeColor="text1" w:themeTint="A6"/>
        </w:rPr>
        <w:t>,</w:t>
      </w:r>
      <w:r w:rsidR="003110AD" w:rsidRPr="00BE2622">
        <w:rPr>
          <w:rFonts w:cs="Times New Roman"/>
          <w:color w:val="595959" w:themeColor="text1" w:themeTint="A6"/>
        </w:rPr>
        <w:t xml:space="preserve"> </w:t>
      </w:r>
      <w:r w:rsidR="00E61CBE" w:rsidRPr="00BE2622">
        <w:rPr>
          <w:rFonts w:cs="Times New Roman"/>
          <w:color w:val="595959" w:themeColor="text1" w:themeTint="A6"/>
        </w:rPr>
        <w:t xml:space="preserve">Australia’s </w:t>
      </w:r>
      <w:r w:rsidR="003110AD" w:rsidRPr="00BE2622">
        <w:rPr>
          <w:rFonts w:cs="Times New Roman"/>
          <w:color w:val="595959" w:themeColor="text1" w:themeTint="A6"/>
        </w:rPr>
        <w:t xml:space="preserve">$15 million response package was fully </w:t>
      </w:r>
      <w:r w:rsidR="00DF1C76">
        <w:rPr>
          <w:rFonts w:cs="Times New Roman"/>
          <w:color w:val="595959" w:themeColor="text1" w:themeTint="A6"/>
        </w:rPr>
        <w:t>implemented</w:t>
      </w:r>
      <w:r w:rsidR="00DF1C76" w:rsidRPr="00BE2622">
        <w:rPr>
          <w:rFonts w:cs="Times New Roman"/>
          <w:color w:val="595959" w:themeColor="text1" w:themeTint="A6"/>
        </w:rPr>
        <w:t xml:space="preserve"> </w:t>
      </w:r>
      <w:r w:rsidR="00AA0C4D" w:rsidRPr="00BE2622">
        <w:rPr>
          <w:rFonts w:cs="Times New Roman"/>
          <w:color w:val="595959" w:themeColor="text1" w:themeTint="A6"/>
        </w:rPr>
        <w:t>to</w:t>
      </w:r>
      <w:r w:rsidR="00DF494C" w:rsidRPr="00BE2622">
        <w:rPr>
          <w:rFonts w:cs="Times New Roman"/>
          <w:color w:val="595959" w:themeColor="text1" w:themeTint="A6"/>
        </w:rPr>
        <w:t xml:space="preserve"> help</w:t>
      </w:r>
      <w:r w:rsidR="00AA0C4D" w:rsidRPr="00BE2622">
        <w:rPr>
          <w:rFonts w:cs="Times New Roman"/>
          <w:color w:val="595959" w:themeColor="text1" w:themeTint="A6"/>
        </w:rPr>
        <w:t xml:space="preserve"> </w:t>
      </w:r>
      <w:r w:rsidR="003110AD" w:rsidRPr="00BE2622">
        <w:rPr>
          <w:rFonts w:cs="Times New Roman"/>
          <w:color w:val="595959" w:themeColor="text1" w:themeTint="A6"/>
        </w:rPr>
        <w:t xml:space="preserve">communities recover and build resilience to future disasters. </w:t>
      </w:r>
      <w:r w:rsidR="00AA0C4D" w:rsidRPr="00BE2622">
        <w:rPr>
          <w:rFonts w:cs="Times New Roman"/>
          <w:color w:val="595959" w:themeColor="text1" w:themeTint="A6"/>
        </w:rPr>
        <w:t>For example, w</w:t>
      </w:r>
      <w:r w:rsidR="003110AD" w:rsidRPr="00BE2622">
        <w:rPr>
          <w:rFonts w:cs="Times New Roman"/>
          <w:color w:val="595959" w:themeColor="text1" w:themeTint="A6"/>
        </w:rPr>
        <w:t>e supported Habitat for Humanity Fiji to train</w:t>
      </w:r>
      <w:r w:rsidR="007926AF" w:rsidRPr="00BE2622">
        <w:rPr>
          <w:rFonts w:cs="Times New Roman"/>
          <w:color w:val="595959" w:themeColor="text1" w:themeTint="A6"/>
        </w:rPr>
        <w:t xml:space="preserve"> affected </w:t>
      </w:r>
      <w:r w:rsidR="003110AD" w:rsidRPr="00BE2622">
        <w:rPr>
          <w:rFonts w:cs="Times New Roman"/>
          <w:color w:val="595959" w:themeColor="text1" w:themeTint="A6"/>
        </w:rPr>
        <w:t>communities to build stronger homes</w:t>
      </w:r>
      <w:r w:rsidR="004449B5" w:rsidRPr="00BE2622">
        <w:rPr>
          <w:rFonts w:cs="Times New Roman"/>
          <w:color w:val="595959" w:themeColor="text1" w:themeTint="A6"/>
        </w:rPr>
        <w:t xml:space="preserve"> (</w:t>
      </w:r>
      <w:r w:rsidRPr="00BE2622">
        <w:rPr>
          <w:rFonts w:cs="Times New Roman"/>
          <w:color w:val="595959" w:themeColor="text1" w:themeTint="A6"/>
        </w:rPr>
        <w:t xml:space="preserve">this training </w:t>
      </w:r>
      <w:r w:rsidR="004449B5" w:rsidRPr="00BE2622">
        <w:rPr>
          <w:rFonts w:cs="Times New Roman"/>
          <w:color w:val="595959" w:themeColor="text1" w:themeTint="A6"/>
        </w:rPr>
        <w:t xml:space="preserve">met its target of </w:t>
      </w:r>
      <w:r w:rsidRPr="00BE2622">
        <w:rPr>
          <w:rFonts w:cs="Times New Roman"/>
          <w:color w:val="595959" w:themeColor="text1" w:themeTint="A6"/>
        </w:rPr>
        <w:t xml:space="preserve">a </w:t>
      </w:r>
      <w:r w:rsidR="004449B5" w:rsidRPr="00BE2622">
        <w:rPr>
          <w:rFonts w:cs="Times New Roman"/>
          <w:color w:val="595959" w:themeColor="text1" w:themeTint="A6"/>
        </w:rPr>
        <w:t xml:space="preserve">20 percent participation </w:t>
      </w:r>
      <w:r w:rsidRPr="00BE2622">
        <w:rPr>
          <w:rFonts w:cs="Times New Roman"/>
          <w:color w:val="595959" w:themeColor="text1" w:themeTint="A6"/>
        </w:rPr>
        <w:t>rate for</w:t>
      </w:r>
      <w:r w:rsidR="004449B5" w:rsidRPr="00BE2622">
        <w:rPr>
          <w:rFonts w:cs="Times New Roman"/>
          <w:color w:val="595959" w:themeColor="text1" w:themeTint="A6"/>
        </w:rPr>
        <w:t xml:space="preserve"> women).  </w:t>
      </w:r>
      <w:r w:rsidR="00A60B10" w:rsidRPr="00A418B1">
        <w:rPr>
          <w:color w:val="595959" w:themeColor="text1" w:themeTint="A6"/>
        </w:rPr>
        <w:t xml:space="preserve">We supported CARE Australia, in partnership with Live &amp; Learn Environmental Education Fiji, to rehabilitate 248 sanitation facilities to be </w:t>
      </w:r>
      <w:r w:rsidR="00A60B10" w:rsidRPr="00A418B1">
        <w:rPr>
          <w:color w:val="595959" w:themeColor="text1" w:themeTint="A6"/>
        </w:rPr>
        <w:lastRenderedPageBreak/>
        <w:t>more resilient to future disasters</w:t>
      </w:r>
      <w:r w:rsidR="003110AD" w:rsidRPr="00BE2622">
        <w:rPr>
          <w:color w:val="595959" w:themeColor="text1" w:themeTint="A6"/>
        </w:rPr>
        <w:t>. Through UNICEF, we helped to revive and strengthen the national cold chain system by providing 74 solar and 17 electrical refrigerators for affected health care facilities.</w:t>
      </w:r>
    </w:p>
    <w:p w14:paraId="420969BF" w14:textId="669C8EA7" w:rsidR="00076EDF" w:rsidRPr="00BE2622" w:rsidRDefault="00CE2200" w:rsidP="00076EDF">
      <w:pPr>
        <w:spacing w:after="0" w:line="240" w:lineRule="auto"/>
        <w:rPr>
          <w:rFonts w:cs="Times New Roman"/>
          <w:color w:val="595959" w:themeColor="text1" w:themeTint="A6"/>
        </w:rPr>
      </w:pPr>
      <w:r w:rsidRPr="00BE2622">
        <w:rPr>
          <w:rFonts w:cs="Times New Roman"/>
          <w:color w:val="595959" w:themeColor="text1" w:themeTint="A6"/>
        </w:rPr>
        <w:t xml:space="preserve">In 2016-17, we also fully committed our </w:t>
      </w:r>
      <w:r w:rsidR="00076EDF" w:rsidRPr="00BE2622">
        <w:rPr>
          <w:rFonts w:cs="Times New Roman"/>
          <w:color w:val="595959" w:themeColor="text1" w:themeTint="A6"/>
        </w:rPr>
        <w:t>longer-term recovery package to rebuilding critical health and education infrastructure; replacing damaged medical equipment; further restor</w:t>
      </w:r>
      <w:r w:rsidRPr="00BE2622">
        <w:rPr>
          <w:rFonts w:cs="Times New Roman"/>
          <w:color w:val="595959" w:themeColor="text1" w:themeTint="A6"/>
        </w:rPr>
        <w:t>ing</w:t>
      </w:r>
      <w:r w:rsidR="00076EDF" w:rsidRPr="00BE2622">
        <w:rPr>
          <w:rFonts w:cs="Times New Roman"/>
          <w:color w:val="595959" w:themeColor="text1" w:themeTint="A6"/>
        </w:rPr>
        <w:t xml:space="preserve"> water and sanitation services; and rebuilding markets and accommodation facilities for women vendors.  </w:t>
      </w:r>
      <w:r w:rsidR="006D104E" w:rsidRPr="00BE2622">
        <w:rPr>
          <w:rFonts w:cs="Times New Roman"/>
          <w:color w:val="595959" w:themeColor="text1" w:themeTint="A6"/>
        </w:rPr>
        <w:t xml:space="preserve">We had </w:t>
      </w:r>
      <w:r w:rsidR="00E824CF">
        <w:rPr>
          <w:rFonts w:cs="Times New Roman"/>
          <w:color w:val="595959" w:themeColor="text1" w:themeTint="A6"/>
        </w:rPr>
        <w:t xml:space="preserve">expected that </w:t>
      </w:r>
      <w:r w:rsidR="006D104E" w:rsidRPr="00BE2622">
        <w:rPr>
          <w:rFonts w:cs="Times New Roman"/>
          <w:color w:val="595959" w:themeColor="text1" w:themeTint="A6"/>
        </w:rPr>
        <w:t xml:space="preserve">this work would be completed by June 2017, but rebuilding efforts were </w:t>
      </w:r>
      <w:r w:rsidR="00E824CF">
        <w:rPr>
          <w:rFonts w:cs="Times New Roman"/>
          <w:color w:val="595959" w:themeColor="text1" w:themeTint="A6"/>
        </w:rPr>
        <w:t xml:space="preserve">delayed </w:t>
      </w:r>
      <w:r w:rsidR="006D104E" w:rsidRPr="00BE2622">
        <w:rPr>
          <w:rFonts w:cs="Times New Roman"/>
          <w:color w:val="595959" w:themeColor="text1" w:themeTint="A6"/>
        </w:rPr>
        <w:t>by difficulties in procuring materials and sourcing appropriate contractors</w:t>
      </w:r>
      <w:r w:rsidR="00E824CF">
        <w:rPr>
          <w:rFonts w:cs="Times New Roman"/>
          <w:color w:val="595959" w:themeColor="text1" w:themeTint="A6"/>
        </w:rPr>
        <w:t xml:space="preserve"> as well as </w:t>
      </w:r>
      <w:r w:rsidR="006D104E" w:rsidRPr="00BE2622">
        <w:rPr>
          <w:rFonts w:cs="Times New Roman"/>
          <w:color w:val="595959" w:themeColor="text1" w:themeTint="A6"/>
        </w:rPr>
        <w:t xml:space="preserve">bad weather – risks identified in our 2015-16 APPR.  We also underestimated the time needed to complete the work, particularly given pressures on the capacity of the national construction sector to meet recovery demands.  </w:t>
      </w:r>
      <w:r w:rsidR="006D104E" w:rsidRPr="006E478E">
        <w:rPr>
          <w:rFonts w:cs="Times New Roman"/>
          <w:color w:val="595959" w:themeColor="text1" w:themeTint="A6"/>
        </w:rPr>
        <w:t xml:space="preserve">Nonetheless, </w:t>
      </w:r>
      <w:r w:rsidR="00D15C84">
        <w:rPr>
          <w:rFonts w:cs="Times New Roman"/>
          <w:color w:val="595959" w:themeColor="text1" w:themeTint="A6"/>
        </w:rPr>
        <w:t>substantial</w:t>
      </w:r>
      <w:r w:rsidR="00A60B10" w:rsidRPr="00A418B1">
        <w:rPr>
          <w:rFonts w:cs="Times New Roman"/>
          <w:color w:val="595959" w:themeColor="text1" w:themeTint="A6"/>
        </w:rPr>
        <w:t xml:space="preserve"> progress was made</w:t>
      </w:r>
      <w:r w:rsidR="00C26C4B" w:rsidRPr="00A418B1">
        <w:rPr>
          <w:rFonts w:cs="Times New Roman"/>
          <w:color w:val="595959" w:themeColor="text1" w:themeTint="A6"/>
        </w:rPr>
        <w:t>.</w:t>
      </w:r>
      <w:r w:rsidR="006D104E" w:rsidRPr="00A418B1">
        <w:rPr>
          <w:rFonts w:cs="Times New Roman"/>
          <w:color w:val="595959" w:themeColor="text1" w:themeTint="A6"/>
        </w:rPr>
        <w:t xml:space="preserve"> </w:t>
      </w:r>
    </w:p>
    <w:p w14:paraId="7E2A90EC" w14:textId="4E5F2A20" w:rsidR="00076EDF" w:rsidRPr="00BE2622" w:rsidRDefault="00076EDF" w:rsidP="00076EDF">
      <w:pPr>
        <w:rPr>
          <w:rFonts w:cs="Times New Roman"/>
          <w:color w:val="595959" w:themeColor="text1" w:themeTint="A6"/>
        </w:rPr>
      </w:pPr>
      <w:r w:rsidRPr="00BE2622">
        <w:rPr>
          <w:color w:val="595959" w:themeColor="text1" w:themeTint="A6"/>
        </w:rPr>
        <w:t xml:space="preserve">Our largest recovery investment is in the education sector, </w:t>
      </w:r>
      <w:r w:rsidR="00826C13">
        <w:rPr>
          <w:color w:val="595959" w:themeColor="text1" w:themeTint="A6"/>
        </w:rPr>
        <w:t xml:space="preserve">where </w:t>
      </w:r>
      <w:r w:rsidR="00BB5857" w:rsidRPr="00BE2622">
        <w:rPr>
          <w:color w:val="595959" w:themeColor="text1" w:themeTint="A6"/>
        </w:rPr>
        <w:t xml:space="preserve">we </w:t>
      </w:r>
      <w:r w:rsidRPr="00BE2622">
        <w:rPr>
          <w:color w:val="595959" w:themeColor="text1" w:themeTint="A6"/>
        </w:rPr>
        <w:t>work</w:t>
      </w:r>
      <w:r w:rsidR="006D104E" w:rsidRPr="00BE2622">
        <w:rPr>
          <w:color w:val="595959" w:themeColor="text1" w:themeTint="A6"/>
        </w:rPr>
        <w:t>ed</w:t>
      </w:r>
      <w:r w:rsidRPr="00BE2622">
        <w:rPr>
          <w:color w:val="595959" w:themeColor="text1" w:themeTint="A6"/>
        </w:rPr>
        <w:t xml:space="preserve"> with </w:t>
      </w:r>
      <w:r w:rsidRPr="006E478E">
        <w:rPr>
          <w:rFonts w:cs="Times New Roman"/>
          <w:color w:val="595959" w:themeColor="text1" w:themeTint="A6"/>
        </w:rPr>
        <w:t>the</w:t>
      </w:r>
      <w:r w:rsidRPr="00BE2622">
        <w:rPr>
          <w:color w:val="595959" w:themeColor="text1" w:themeTint="A6"/>
        </w:rPr>
        <w:t xml:space="preserve"> Fiji Government to repair and rebuild 34 damaged or destroyed </w:t>
      </w:r>
      <w:r w:rsidR="00BB5857" w:rsidRPr="00BE2622">
        <w:rPr>
          <w:color w:val="595959" w:themeColor="text1" w:themeTint="A6"/>
        </w:rPr>
        <w:t>schools</w:t>
      </w:r>
      <w:r w:rsidRPr="00BE2622">
        <w:rPr>
          <w:color w:val="595959" w:themeColor="text1" w:themeTint="A6"/>
        </w:rPr>
        <w:t xml:space="preserve">.  </w:t>
      </w:r>
      <w:r w:rsidR="00BB5857" w:rsidRPr="00BE2622">
        <w:rPr>
          <w:color w:val="595959" w:themeColor="text1" w:themeTint="A6"/>
        </w:rPr>
        <w:t>R</w:t>
      </w:r>
      <w:r w:rsidRPr="00BE2622">
        <w:rPr>
          <w:color w:val="595959" w:themeColor="text1" w:themeTint="A6"/>
          <w:lang w:val="en-US"/>
        </w:rPr>
        <w:t>epair</w:t>
      </w:r>
      <w:r w:rsidR="00BB5857" w:rsidRPr="00BE2622">
        <w:rPr>
          <w:color w:val="595959" w:themeColor="text1" w:themeTint="A6"/>
          <w:lang w:val="en-US"/>
        </w:rPr>
        <w:t xml:space="preserve">s to </w:t>
      </w:r>
      <w:r w:rsidRPr="00BE2622">
        <w:rPr>
          <w:color w:val="595959" w:themeColor="text1" w:themeTint="A6"/>
          <w:lang w:val="en-US"/>
        </w:rPr>
        <w:t xml:space="preserve">16 schools in Savusavu, Rakiraki, Lautoka and Taveuni </w:t>
      </w:r>
      <w:r w:rsidR="00BB5857" w:rsidRPr="00BE2622">
        <w:rPr>
          <w:color w:val="595959" w:themeColor="text1" w:themeTint="A6"/>
          <w:lang w:val="en-US"/>
        </w:rPr>
        <w:t>were completed by</w:t>
      </w:r>
      <w:r w:rsidRPr="00BE2622">
        <w:rPr>
          <w:color w:val="595959" w:themeColor="text1" w:themeTint="A6"/>
          <w:lang w:val="en-US"/>
        </w:rPr>
        <w:t xml:space="preserve"> the end of 2016</w:t>
      </w:r>
      <w:r w:rsidR="00BB5857" w:rsidRPr="00BE2622">
        <w:rPr>
          <w:color w:val="595959" w:themeColor="text1" w:themeTint="A6"/>
          <w:lang w:val="en-US"/>
        </w:rPr>
        <w:t xml:space="preserve">.  </w:t>
      </w:r>
      <w:r w:rsidR="00E423C2">
        <w:rPr>
          <w:color w:val="595959" w:themeColor="text1" w:themeTint="A6"/>
          <w:lang w:val="en-US"/>
        </w:rPr>
        <w:t>Work r</w:t>
      </w:r>
      <w:r w:rsidRPr="00BE2622">
        <w:rPr>
          <w:color w:val="595959" w:themeColor="text1" w:themeTint="A6"/>
          <w:lang w:val="en-US"/>
        </w:rPr>
        <w:t>ebuild</w:t>
      </w:r>
      <w:r w:rsidR="00E423C2">
        <w:rPr>
          <w:color w:val="595959" w:themeColor="text1" w:themeTint="A6"/>
          <w:lang w:val="en-US"/>
        </w:rPr>
        <w:t xml:space="preserve">ing </w:t>
      </w:r>
      <w:r w:rsidRPr="00BE2622">
        <w:rPr>
          <w:color w:val="595959" w:themeColor="text1" w:themeTint="A6"/>
          <w:lang w:val="en-US"/>
        </w:rPr>
        <w:t xml:space="preserve">18 more significantly damaged schools in Ra Province and on Koro </w:t>
      </w:r>
      <w:r w:rsidR="00BB5857" w:rsidRPr="00BE2622">
        <w:rPr>
          <w:color w:val="595959" w:themeColor="text1" w:themeTint="A6"/>
          <w:lang w:val="en-US"/>
        </w:rPr>
        <w:t>I</w:t>
      </w:r>
      <w:r w:rsidRPr="00BE2622">
        <w:rPr>
          <w:color w:val="595959" w:themeColor="text1" w:themeTint="A6"/>
          <w:lang w:val="en-US"/>
        </w:rPr>
        <w:t xml:space="preserve">sland </w:t>
      </w:r>
      <w:r w:rsidR="00E423C2">
        <w:rPr>
          <w:color w:val="595959" w:themeColor="text1" w:themeTint="A6"/>
          <w:lang w:val="en-US"/>
        </w:rPr>
        <w:t xml:space="preserve">is </w:t>
      </w:r>
      <w:r w:rsidRPr="00BE2622">
        <w:rPr>
          <w:color w:val="595959" w:themeColor="text1" w:themeTint="A6"/>
          <w:lang w:val="en-US"/>
        </w:rPr>
        <w:t>due for completion by December 2017.</w:t>
      </w:r>
      <w:r w:rsidRPr="00BE2622">
        <w:rPr>
          <w:color w:val="595959" w:themeColor="text1" w:themeTint="A6"/>
        </w:rPr>
        <w:t xml:space="preserve">  </w:t>
      </w:r>
      <w:r w:rsidR="000C562F" w:rsidRPr="00BE2622">
        <w:rPr>
          <w:color w:val="595959" w:themeColor="text1" w:themeTint="A6"/>
        </w:rPr>
        <w:t>Although f</w:t>
      </w:r>
      <w:r w:rsidRPr="00BE2622">
        <w:rPr>
          <w:color w:val="595959" w:themeColor="text1" w:themeTint="A6"/>
        </w:rPr>
        <w:t>urther delays</w:t>
      </w:r>
      <w:r w:rsidR="00BB5857" w:rsidRPr="00BE2622">
        <w:rPr>
          <w:color w:val="595959" w:themeColor="text1" w:themeTint="A6"/>
        </w:rPr>
        <w:t xml:space="preserve"> are possible</w:t>
      </w:r>
      <w:r w:rsidRPr="00BE2622">
        <w:rPr>
          <w:color w:val="595959" w:themeColor="text1" w:themeTint="A6"/>
        </w:rPr>
        <w:t xml:space="preserve">, we are optimistic that </w:t>
      </w:r>
      <w:r w:rsidR="00E423C2">
        <w:rPr>
          <w:color w:val="595959" w:themeColor="text1" w:themeTint="A6"/>
        </w:rPr>
        <w:t xml:space="preserve">work rebuilding the </w:t>
      </w:r>
      <w:r w:rsidRPr="00BE2622">
        <w:rPr>
          <w:color w:val="595959" w:themeColor="text1" w:themeTint="A6"/>
        </w:rPr>
        <w:t xml:space="preserve">schools will be completed before Term 1, 2018. </w:t>
      </w:r>
      <w:r w:rsidR="00BB5857" w:rsidRPr="00BE2622">
        <w:rPr>
          <w:color w:val="595959" w:themeColor="text1" w:themeTint="A6"/>
        </w:rPr>
        <w:t xml:space="preserve"> </w:t>
      </w:r>
      <w:r w:rsidRPr="00BE2622">
        <w:rPr>
          <w:color w:val="595959" w:themeColor="text1" w:themeTint="A6"/>
        </w:rPr>
        <w:t xml:space="preserve">This work is being managed through AQEP, which </w:t>
      </w:r>
      <w:r w:rsidR="00BB5857" w:rsidRPr="00BE2622">
        <w:rPr>
          <w:color w:val="595959" w:themeColor="text1" w:themeTint="A6"/>
        </w:rPr>
        <w:t>was</w:t>
      </w:r>
      <w:r w:rsidRPr="00BE2622">
        <w:rPr>
          <w:color w:val="595959" w:themeColor="text1" w:themeTint="A6"/>
        </w:rPr>
        <w:t xml:space="preserve"> extended specifically to focus on TC Winston-related infrastructure priorities. </w:t>
      </w:r>
      <w:r w:rsidR="00551D88" w:rsidRPr="00BE2622">
        <w:rPr>
          <w:color w:val="595959" w:themeColor="text1" w:themeTint="A6"/>
        </w:rPr>
        <w:t xml:space="preserve"> It is also assisted by an Australian Civilian Corps infrastructure specialist placed in the Ministry of Education’s Asset and Monitoring Unit.</w:t>
      </w:r>
    </w:p>
    <w:p w14:paraId="4206AFA9" w14:textId="3CB148FD" w:rsidR="00076EDF" w:rsidRPr="00BE2622" w:rsidRDefault="00076EDF" w:rsidP="00076EDF">
      <w:pPr>
        <w:spacing w:after="0" w:line="240" w:lineRule="auto"/>
        <w:rPr>
          <w:rFonts w:cs="Times New Roman"/>
          <w:color w:val="595959" w:themeColor="text1" w:themeTint="A6"/>
        </w:rPr>
      </w:pPr>
      <w:r w:rsidRPr="00BE2622">
        <w:rPr>
          <w:rFonts w:cs="Times New Roman"/>
          <w:color w:val="595959" w:themeColor="text1" w:themeTint="A6"/>
        </w:rPr>
        <w:t xml:space="preserve">We </w:t>
      </w:r>
      <w:r w:rsidR="00E423C2">
        <w:rPr>
          <w:rFonts w:cs="Times New Roman"/>
          <w:color w:val="595959" w:themeColor="text1" w:themeTint="A6"/>
        </w:rPr>
        <w:t xml:space="preserve">also progressed the reconstruction of </w:t>
      </w:r>
      <w:r w:rsidRPr="00BE2622">
        <w:rPr>
          <w:rFonts w:cs="Times New Roman"/>
          <w:color w:val="595959" w:themeColor="text1" w:themeTint="A6"/>
        </w:rPr>
        <w:t xml:space="preserve">the Waimaro Health Centre in Ra Province in partnership with the Ministry of Health and Medical Services.  </w:t>
      </w:r>
      <w:r w:rsidR="00063599" w:rsidRPr="00BE2622">
        <w:rPr>
          <w:rFonts w:cs="Times New Roman"/>
          <w:color w:val="595959" w:themeColor="text1" w:themeTint="A6"/>
        </w:rPr>
        <w:t>A</w:t>
      </w:r>
      <w:r w:rsidRPr="00BE2622">
        <w:rPr>
          <w:rFonts w:cs="Times New Roman"/>
          <w:color w:val="595959" w:themeColor="text1" w:themeTint="A6"/>
        </w:rPr>
        <w:t xml:space="preserve"> needs assessment </w:t>
      </w:r>
      <w:r w:rsidR="00063599" w:rsidRPr="00BE2622">
        <w:rPr>
          <w:rFonts w:cs="Times New Roman"/>
          <w:color w:val="595959" w:themeColor="text1" w:themeTint="A6"/>
        </w:rPr>
        <w:t xml:space="preserve">recommended this </w:t>
      </w:r>
      <w:r w:rsidRPr="00BE2622">
        <w:rPr>
          <w:rFonts w:cs="Times New Roman"/>
          <w:color w:val="595959" w:themeColor="text1" w:themeTint="A6"/>
        </w:rPr>
        <w:t xml:space="preserve">facility </w:t>
      </w:r>
      <w:r w:rsidR="00063599" w:rsidRPr="00BE2622">
        <w:rPr>
          <w:rFonts w:cs="Times New Roman"/>
          <w:color w:val="595959" w:themeColor="text1" w:themeTint="A6"/>
        </w:rPr>
        <w:t>be</w:t>
      </w:r>
      <w:r w:rsidRPr="00BE2622">
        <w:rPr>
          <w:rFonts w:cs="Times New Roman"/>
          <w:color w:val="595959" w:themeColor="text1" w:themeTint="A6"/>
        </w:rPr>
        <w:t xml:space="preserve"> upgraded to a Level C Health Centre to provide more services to the surrounding area. </w:t>
      </w:r>
      <w:r w:rsidR="00063599" w:rsidRPr="00BE2622">
        <w:rPr>
          <w:rFonts w:cs="Times New Roman"/>
          <w:color w:val="595959" w:themeColor="text1" w:themeTint="A6"/>
        </w:rPr>
        <w:t xml:space="preserve"> </w:t>
      </w:r>
      <w:r w:rsidRPr="00BE2622">
        <w:rPr>
          <w:rFonts w:cs="Times New Roman"/>
          <w:color w:val="595959" w:themeColor="text1" w:themeTint="A6"/>
        </w:rPr>
        <w:t>We supported the upgrade</w:t>
      </w:r>
      <w:r w:rsidR="00683D75" w:rsidRPr="00BE2622">
        <w:rPr>
          <w:rFonts w:cs="Times New Roman"/>
          <w:color w:val="595959" w:themeColor="text1" w:themeTint="A6"/>
        </w:rPr>
        <w:t>, procuring appropriate medical equipment and designing</w:t>
      </w:r>
      <w:r w:rsidRPr="00BE2622">
        <w:rPr>
          <w:rFonts w:cs="Times New Roman"/>
          <w:color w:val="595959" w:themeColor="text1" w:themeTint="A6"/>
        </w:rPr>
        <w:t xml:space="preserve"> a larger, </w:t>
      </w:r>
      <w:r w:rsidR="00E423C2">
        <w:rPr>
          <w:rFonts w:cs="Times New Roman"/>
          <w:color w:val="595959" w:themeColor="text1" w:themeTint="A6"/>
        </w:rPr>
        <w:t xml:space="preserve">better </w:t>
      </w:r>
      <w:r w:rsidRPr="00BE2622">
        <w:rPr>
          <w:rFonts w:cs="Times New Roman"/>
          <w:color w:val="595959" w:themeColor="text1" w:themeTint="A6"/>
        </w:rPr>
        <w:t>ad</w:t>
      </w:r>
      <w:r w:rsidR="00E423C2">
        <w:rPr>
          <w:rFonts w:cs="Times New Roman"/>
          <w:color w:val="595959" w:themeColor="text1" w:themeTint="A6"/>
        </w:rPr>
        <w:t xml:space="preserve">apted </w:t>
      </w:r>
      <w:r w:rsidRPr="00BE2622">
        <w:rPr>
          <w:rFonts w:cs="Times New Roman"/>
          <w:color w:val="595959" w:themeColor="text1" w:themeTint="A6"/>
        </w:rPr>
        <w:t xml:space="preserve">building which will be more resilient to future disasters. </w:t>
      </w:r>
      <w:r w:rsidR="00063599" w:rsidRPr="00BE2622">
        <w:rPr>
          <w:rFonts w:cs="Times New Roman"/>
          <w:color w:val="595959" w:themeColor="text1" w:themeTint="A6"/>
        </w:rPr>
        <w:t xml:space="preserve"> </w:t>
      </w:r>
      <w:r w:rsidRPr="00BE2622">
        <w:rPr>
          <w:rFonts w:cs="Times New Roman"/>
          <w:color w:val="595959" w:themeColor="text1" w:themeTint="A6"/>
        </w:rPr>
        <w:t>We work</w:t>
      </w:r>
      <w:r w:rsidR="000C562F" w:rsidRPr="00BE2622">
        <w:rPr>
          <w:rFonts w:cs="Times New Roman"/>
          <w:color w:val="595959" w:themeColor="text1" w:themeTint="A6"/>
        </w:rPr>
        <w:t>ed</w:t>
      </w:r>
      <w:r w:rsidRPr="00BE2622">
        <w:rPr>
          <w:rFonts w:cs="Times New Roman"/>
          <w:color w:val="595959" w:themeColor="text1" w:themeTint="A6"/>
        </w:rPr>
        <w:t xml:space="preserve"> closely with the Ministry of Economy’s Construction Implementation Unit as </w:t>
      </w:r>
      <w:r w:rsidR="00E423C2">
        <w:rPr>
          <w:rFonts w:cs="Times New Roman"/>
          <w:color w:val="595959" w:themeColor="text1" w:themeTint="A6"/>
        </w:rPr>
        <w:t xml:space="preserve">it is </w:t>
      </w:r>
      <w:r w:rsidRPr="00BE2622">
        <w:rPr>
          <w:rFonts w:cs="Times New Roman"/>
          <w:color w:val="595959" w:themeColor="text1" w:themeTint="A6"/>
        </w:rPr>
        <w:t>rebuil</w:t>
      </w:r>
      <w:r w:rsidR="00A60B10">
        <w:rPr>
          <w:rFonts w:cs="Times New Roman"/>
          <w:color w:val="595959" w:themeColor="text1" w:themeTint="A6"/>
        </w:rPr>
        <w:t>ding</w:t>
      </w:r>
      <w:r w:rsidRPr="00BE2622">
        <w:rPr>
          <w:rFonts w:cs="Times New Roman"/>
          <w:color w:val="595959" w:themeColor="text1" w:themeTint="A6"/>
        </w:rPr>
        <w:t xml:space="preserve"> the staffing quarters.  Progress has been slower than anticipated, but is on track to be completed by December 2017.  While management of this work was originally undertaken by </w:t>
      </w:r>
      <w:r w:rsidR="00683D75" w:rsidRPr="00BE2622">
        <w:rPr>
          <w:rFonts w:cs="Times New Roman"/>
          <w:color w:val="595959" w:themeColor="text1" w:themeTint="A6"/>
        </w:rPr>
        <w:t xml:space="preserve">the </w:t>
      </w:r>
      <w:r w:rsidRPr="00BE2622">
        <w:rPr>
          <w:rFonts w:cs="Times New Roman"/>
          <w:color w:val="595959" w:themeColor="text1" w:themeTint="A6"/>
        </w:rPr>
        <w:t xml:space="preserve">FHSSP, it was transferred to AQEP in April 2017 given the impending completion of FHSSP </w:t>
      </w:r>
      <w:r w:rsidR="00683D75" w:rsidRPr="00BE2622">
        <w:rPr>
          <w:rFonts w:cs="Times New Roman"/>
          <w:color w:val="595959" w:themeColor="text1" w:themeTint="A6"/>
        </w:rPr>
        <w:t xml:space="preserve">in </w:t>
      </w:r>
      <w:r w:rsidRPr="00BE2622">
        <w:rPr>
          <w:rFonts w:cs="Times New Roman"/>
          <w:color w:val="595959" w:themeColor="text1" w:themeTint="A6"/>
        </w:rPr>
        <w:t xml:space="preserve">June 2017. </w:t>
      </w:r>
      <w:r w:rsidR="00683D75" w:rsidRPr="00BE2622">
        <w:rPr>
          <w:rFonts w:cs="Times New Roman"/>
          <w:color w:val="595959" w:themeColor="text1" w:themeTint="A6"/>
        </w:rPr>
        <w:t xml:space="preserve"> </w:t>
      </w:r>
      <w:r w:rsidRPr="00BE2622">
        <w:rPr>
          <w:rFonts w:cs="Times New Roman"/>
          <w:color w:val="595959" w:themeColor="text1" w:themeTint="A6"/>
        </w:rPr>
        <w:t>This prove</w:t>
      </w:r>
      <w:r w:rsidR="00683D75" w:rsidRPr="00BE2622">
        <w:rPr>
          <w:rFonts w:cs="Times New Roman"/>
          <w:color w:val="595959" w:themeColor="text1" w:themeTint="A6"/>
        </w:rPr>
        <w:t>d</w:t>
      </w:r>
      <w:r w:rsidRPr="00BE2622">
        <w:rPr>
          <w:rFonts w:cs="Times New Roman"/>
          <w:color w:val="595959" w:themeColor="text1" w:themeTint="A6"/>
        </w:rPr>
        <w:t xml:space="preserve"> to be an efficient way to manage the reconstruction work, with AQEP </w:t>
      </w:r>
      <w:r w:rsidR="00E423C2">
        <w:rPr>
          <w:rFonts w:cs="Times New Roman"/>
          <w:color w:val="595959" w:themeColor="text1" w:themeTint="A6"/>
        </w:rPr>
        <w:t xml:space="preserve">providing </w:t>
      </w:r>
      <w:r w:rsidR="00683D75" w:rsidRPr="00BE2622">
        <w:rPr>
          <w:rFonts w:cs="Times New Roman"/>
          <w:color w:val="595959" w:themeColor="text1" w:themeTint="A6"/>
        </w:rPr>
        <w:t xml:space="preserve">the </w:t>
      </w:r>
      <w:r w:rsidRPr="00BE2622">
        <w:rPr>
          <w:rFonts w:cs="Times New Roman"/>
          <w:color w:val="595959" w:themeColor="text1" w:themeTint="A6"/>
        </w:rPr>
        <w:t xml:space="preserve">expertise required to oversee the reconstruction activities. </w:t>
      </w:r>
    </w:p>
    <w:p w14:paraId="158DBF0A" w14:textId="6AD652FE" w:rsidR="00076EDF" w:rsidRPr="00BE2622" w:rsidRDefault="00076EDF" w:rsidP="00076EDF">
      <w:pPr>
        <w:spacing w:after="0" w:line="240" w:lineRule="auto"/>
        <w:rPr>
          <w:rFonts w:cs="Times New Roman"/>
          <w:color w:val="595959" w:themeColor="text1" w:themeTint="A6"/>
        </w:rPr>
      </w:pPr>
      <w:r w:rsidRPr="00BE2622">
        <w:rPr>
          <w:rFonts w:cs="Times New Roman"/>
          <w:color w:val="595959" w:themeColor="text1" w:themeTint="A6"/>
        </w:rPr>
        <w:t xml:space="preserve">We </w:t>
      </w:r>
      <w:r w:rsidR="00E423C2">
        <w:rPr>
          <w:rFonts w:cs="Times New Roman"/>
          <w:color w:val="595959" w:themeColor="text1" w:themeTint="A6"/>
        </w:rPr>
        <w:t xml:space="preserve">also </w:t>
      </w:r>
      <w:r w:rsidRPr="00BE2622">
        <w:rPr>
          <w:rFonts w:cs="Times New Roman"/>
          <w:color w:val="595959" w:themeColor="text1" w:themeTint="A6"/>
        </w:rPr>
        <w:t>work</w:t>
      </w:r>
      <w:r w:rsidR="00683D75" w:rsidRPr="00BE2622">
        <w:rPr>
          <w:rFonts w:cs="Times New Roman"/>
          <w:color w:val="595959" w:themeColor="text1" w:themeTint="A6"/>
        </w:rPr>
        <w:t>ed</w:t>
      </w:r>
      <w:r w:rsidRPr="00BE2622">
        <w:rPr>
          <w:rFonts w:cs="Times New Roman"/>
          <w:color w:val="595959" w:themeColor="text1" w:themeTint="A6"/>
        </w:rPr>
        <w:t xml:space="preserve"> with the Ministry of Local Government, Housing, Environment, Infrastructure and Transport</w:t>
      </w:r>
      <w:r w:rsidR="000C562F" w:rsidRPr="00BE2622">
        <w:rPr>
          <w:rFonts w:cs="Times New Roman"/>
          <w:color w:val="595959" w:themeColor="text1" w:themeTint="A6"/>
        </w:rPr>
        <w:t>,</w:t>
      </w:r>
      <w:r w:rsidRPr="00BE2622">
        <w:rPr>
          <w:rFonts w:cs="Times New Roman"/>
          <w:color w:val="595959" w:themeColor="text1" w:themeTint="A6"/>
        </w:rPr>
        <w:t xml:space="preserve"> and UN Women (through the Markets for Change program) </w:t>
      </w:r>
      <w:r w:rsidR="00683D75" w:rsidRPr="00BE2622">
        <w:rPr>
          <w:rFonts w:cs="Times New Roman"/>
          <w:color w:val="595959" w:themeColor="text1" w:themeTint="A6"/>
        </w:rPr>
        <w:t xml:space="preserve">to </w:t>
      </w:r>
      <w:r w:rsidRPr="00BE2622">
        <w:rPr>
          <w:rFonts w:cs="Times New Roman"/>
          <w:color w:val="595959" w:themeColor="text1" w:themeTint="A6"/>
        </w:rPr>
        <w:t>rebui</w:t>
      </w:r>
      <w:r w:rsidR="00683D75" w:rsidRPr="00BE2622">
        <w:rPr>
          <w:rFonts w:cs="Times New Roman"/>
          <w:color w:val="595959" w:themeColor="text1" w:themeTint="A6"/>
        </w:rPr>
        <w:t xml:space="preserve">ld </w:t>
      </w:r>
      <w:r w:rsidRPr="00BE2622">
        <w:rPr>
          <w:rFonts w:cs="Times New Roman"/>
          <w:color w:val="595959" w:themeColor="text1" w:themeTint="A6"/>
        </w:rPr>
        <w:t>the Rakiraki Municipal Market</w:t>
      </w:r>
      <w:r w:rsidR="00683D75" w:rsidRPr="00BE2622">
        <w:rPr>
          <w:rFonts w:cs="Times New Roman"/>
          <w:color w:val="595959" w:themeColor="text1" w:themeTint="A6"/>
        </w:rPr>
        <w:t xml:space="preserve"> to a higher standard, including with </w:t>
      </w:r>
      <w:r w:rsidRPr="00BE2622">
        <w:rPr>
          <w:rFonts w:cs="Times New Roman"/>
          <w:color w:val="595959" w:themeColor="text1" w:themeTint="A6"/>
        </w:rPr>
        <w:t xml:space="preserve">a new women’s accommodation centre. </w:t>
      </w:r>
      <w:r w:rsidR="00683D75" w:rsidRPr="00BE2622">
        <w:rPr>
          <w:rFonts w:cs="Times New Roman"/>
          <w:color w:val="595959" w:themeColor="text1" w:themeTint="A6"/>
        </w:rPr>
        <w:t xml:space="preserve"> </w:t>
      </w:r>
      <w:r w:rsidR="0004198F" w:rsidRPr="00BE2622">
        <w:rPr>
          <w:rFonts w:cs="Times New Roman"/>
          <w:color w:val="595959" w:themeColor="text1" w:themeTint="A6"/>
        </w:rPr>
        <w:t>While the work is scheduled to be complete</w:t>
      </w:r>
      <w:r w:rsidR="00826C13">
        <w:rPr>
          <w:rFonts w:cs="Times New Roman"/>
          <w:color w:val="595959" w:themeColor="text1" w:themeTint="A6"/>
        </w:rPr>
        <w:t>d</w:t>
      </w:r>
      <w:r w:rsidR="0004198F" w:rsidRPr="00BE2622">
        <w:rPr>
          <w:rFonts w:cs="Times New Roman"/>
          <w:color w:val="595959" w:themeColor="text1" w:themeTint="A6"/>
        </w:rPr>
        <w:t xml:space="preserve"> in April 2018, the risk of delay is high due to the </w:t>
      </w:r>
      <w:r w:rsidR="00E423C2">
        <w:rPr>
          <w:rFonts w:cs="Times New Roman"/>
          <w:color w:val="595959" w:themeColor="text1" w:themeTint="A6"/>
        </w:rPr>
        <w:t xml:space="preserve">large amount of </w:t>
      </w:r>
      <w:r w:rsidR="0004198F" w:rsidRPr="00BE2622">
        <w:rPr>
          <w:rFonts w:cs="Times New Roman"/>
          <w:color w:val="595959" w:themeColor="text1" w:themeTint="A6"/>
        </w:rPr>
        <w:t xml:space="preserve">work required for this upgraded facility.  </w:t>
      </w:r>
      <w:r w:rsidRPr="00BE2622">
        <w:rPr>
          <w:rFonts w:cs="Times New Roman"/>
          <w:color w:val="595959" w:themeColor="text1" w:themeTint="A6"/>
        </w:rPr>
        <w:t>The project is a</w:t>
      </w:r>
      <w:r w:rsidR="00C26C4B" w:rsidRPr="00BE2622">
        <w:rPr>
          <w:rFonts w:cs="Times New Roman"/>
          <w:color w:val="595959" w:themeColor="text1" w:themeTint="A6"/>
        </w:rPr>
        <w:t>n</w:t>
      </w:r>
      <w:r w:rsidRPr="00BE2622">
        <w:rPr>
          <w:rFonts w:cs="Times New Roman"/>
          <w:color w:val="595959" w:themeColor="text1" w:themeTint="A6"/>
        </w:rPr>
        <w:t xml:space="preserve"> excellent example of co-financing between the Australian and Fijian </w:t>
      </w:r>
      <w:r w:rsidR="00683D75" w:rsidRPr="00BE2622">
        <w:rPr>
          <w:rFonts w:cs="Times New Roman"/>
          <w:color w:val="595959" w:themeColor="text1" w:themeTint="A6"/>
        </w:rPr>
        <w:t>G</w:t>
      </w:r>
      <w:r w:rsidRPr="00BE2622">
        <w:rPr>
          <w:rFonts w:cs="Times New Roman"/>
          <w:color w:val="595959" w:themeColor="text1" w:themeTint="A6"/>
        </w:rPr>
        <w:t xml:space="preserve">overnments, with Australia contributing FJD3.2 million (approximately </w:t>
      </w:r>
      <w:r w:rsidR="00E423C2">
        <w:rPr>
          <w:rFonts w:cs="Times New Roman"/>
          <w:color w:val="595959" w:themeColor="text1" w:themeTint="A6"/>
        </w:rPr>
        <w:t>$</w:t>
      </w:r>
      <w:r w:rsidRPr="00BE2622">
        <w:rPr>
          <w:rFonts w:cs="Times New Roman"/>
          <w:color w:val="595959" w:themeColor="text1" w:themeTint="A6"/>
        </w:rPr>
        <w:t>2 million) and Fiji providing the remaining FJD2.64 million (</w:t>
      </w:r>
      <w:r w:rsidR="00E423C2">
        <w:rPr>
          <w:rFonts w:cs="Times New Roman"/>
          <w:color w:val="595959" w:themeColor="text1" w:themeTint="A6"/>
        </w:rPr>
        <w:t>$</w:t>
      </w:r>
      <w:r w:rsidRPr="00BE2622">
        <w:rPr>
          <w:rFonts w:cs="Times New Roman"/>
          <w:color w:val="595959" w:themeColor="text1" w:themeTint="A6"/>
        </w:rPr>
        <w:t xml:space="preserve">1.67 million). </w:t>
      </w:r>
      <w:r w:rsidR="00683D75" w:rsidRPr="00BE2622">
        <w:rPr>
          <w:rFonts w:cs="Times New Roman"/>
          <w:color w:val="595959" w:themeColor="text1" w:themeTint="A6"/>
        </w:rPr>
        <w:t xml:space="preserve"> </w:t>
      </w:r>
      <w:r w:rsidRPr="00BE2622">
        <w:rPr>
          <w:rFonts w:cs="Times New Roman"/>
          <w:color w:val="595959" w:themeColor="text1" w:themeTint="A6"/>
        </w:rPr>
        <w:t xml:space="preserve">We </w:t>
      </w:r>
      <w:r w:rsidR="00683D75" w:rsidRPr="00BE2622">
        <w:rPr>
          <w:rFonts w:cs="Times New Roman"/>
          <w:color w:val="595959" w:themeColor="text1" w:themeTint="A6"/>
        </w:rPr>
        <w:t xml:space="preserve">will </w:t>
      </w:r>
      <w:r w:rsidRPr="00BE2622">
        <w:rPr>
          <w:rFonts w:cs="Times New Roman"/>
          <w:color w:val="595959" w:themeColor="text1" w:themeTint="A6"/>
        </w:rPr>
        <w:t xml:space="preserve">continue to explore options </w:t>
      </w:r>
      <w:r w:rsidR="0004198F" w:rsidRPr="00BE2622">
        <w:rPr>
          <w:rFonts w:cs="Times New Roman"/>
          <w:color w:val="595959" w:themeColor="text1" w:themeTint="A6"/>
        </w:rPr>
        <w:t xml:space="preserve">to work with the Fiji Government on similar </w:t>
      </w:r>
      <w:r w:rsidR="000C562F" w:rsidRPr="00BE2622">
        <w:rPr>
          <w:rFonts w:cs="Times New Roman"/>
          <w:color w:val="595959" w:themeColor="text1" w:themeTint="A6"/>
        </w:rPr>
        <w:t xml:space="preserve">joint </w:t>
      </w:r>
      <w:r w:rsidR="0004198F" w:rsidRPr="00BE2622">
        <w:rPr>
          <w:rFonts w:cs="Times New Roman"/>
          <w:color w:val="595959" w:themeColor="text1" w:themeTint="A6"/>
        </w:rPr>
        <w:t>projects</w:t>
      </w:r>
      <w:r w:rsidRPr="00BE2622">
        <w:rPr>
          <w:rFonts w:cs="Times New Roman"/>
          <w:color w:val="595959" w:themeColor="text1" w:themeTint="A6"/>
        </w:rPr>
        <w:t>.</w:t>
      </w:r>
    </w:p>
    <w:p w14:paraId="79E69189" w14:textId="1480EFC4" w:rsidR="00076EDF" w:rsidRPr="00BE2622" w:rsidRDefault="00076EDF" w:rsidP="00076EDF">
      <w:pPr>
        <w:spacing w:after="0" w:line="240" w:lineRule="auto"/>
        <w:rPr>
          <w:rFonts w:cs="Times New Roman"/>
          <w:color w:val="595959" w:themeColor="text1" w:themeTint="A6"/>
        </w:rPr>
      </w:pPr>
      <w:r w:rsidRPr="00BE2622">
        <w:rPr>
          <w:rFonts w:cs="Times New Roman"/>
          <w:color w:val="595959" w:themeColor="text1" w:themeTint="A6"/>
        </w:rPr>
        <w:t xml:space="preserve">An overarching priority of our recovery support has been ensuring that the facilities we rebuild are inclusive for women, children and people with disabilities. </w:t>
      </w:r>
      <w:r w:rsidR="004449B5" w:rsidRPr="00BE2622">
        <w:rPr>
          <w:rFonts w:cs="Times New Roman"/>
          <w:color w:val="595959" w:themeColor="text1" w:themeTint="A6"/>
        </w:rPr>
        <w:t xml:space="preserve"> </w:t>
      </w:r>
      <w:r w:rsidRPr="00BE2622">
        <w:rPr>
          <w:rFonts w:cs="Times New Roman"/>
          <w:color w:val="595959" w:themeColor="text1" w:themeTint="A6"/>
        </w:rPr>
        <w:t xml:space="preserve">Our assistance </w:t>
      </w:r>
      <w:r w:rsidR="004449B5" w:rsidRPr="00BE2622">
        <w:rPr>
          <w:rFonts w:cs="Times New Roman"/>
          <w:color w:val="595959" w:themeColor="text1" w:themeTint="A6"/>
        </w:rPr>
        <w:t>for</w:t>
      </w:r>
      <w:r w:rsidRPr="00BE2622">
        <w:rPr>
          <w:rFonts w:cs="Times New Roman"/>
          <w:color w:val="595959" w:themeColor="text1" w:themeTint="A6"/>
        </w:rPr>
        <w:t xml:space="preserve"> the Rakiraki Municipal Market is focused on providing an accessible women’s accommodation centre to enable more women to bring their goods to sell at market</w:t>
      </w:r>
      <w:r w:rsidR="004449B5" w:rsidRPr="00BE2622">
        <w:rPr>
          <w:rFonts w:cs="Times New Roman"/>
          <w:color w:val="595959" w:themeColor="text1" w:themeTint="A6"/>
        </w:rPr>
        <w:t>.  T</w:t>
      </w:r>
      <w:r w:rsidRPr="00BE2622">
        <w:rPr>
          <w:rFonts w:cs="Times New Roman"/>
          <w:color w:val="595959" w:themeColor="text1" w:themeTint="A6"/>
        </w:rPr>
        <w:t xml:space="preserve">he Waimaro Health Centre has been designed to provide dedicated support to women patients. </w:t>
      </w:r>
      <w:r w:rsidR="004449B5" w:rsidRPr="00BE2622">
        <w:rPr>
          <w:rFonts w:cs="Times New Roman"/>
          <w:color w:val="595959" w:themeColor="text1" w:themeTint="A6"/>
        </w:rPr>
        <w:t xml:space="preserve"> </w:t>
      </w:r>
      <w:r w:rsidRPr="00BE2622">
        <w:rPr>
          <w:rFonts w:cs="Times New Roman"/>
          <w:color w:val="595959" w:themeColor="text1" w:themeTint="A6"/>
        </w:rPr>
        <w:t>Our experience through AQEP in promoting inclusive education has also been incorporated into reconstruction work.  </w:t>
      </w:r>
      <w:r w:rsidR="00DF1C76">
        <w:rPr>
          <w:rFonts w:cs="Times New Roman"/>
          <w:color w:val="595959" w:themeColor="text1" w:themeTint="A6"/>
        </w:rPr>
        <w:t xml:space="preserve">We worked with </w:t>
      </w:r>
      <w:r w:rsidRPr="00BE2622">
        <w:rPr>
          <w:rFonts w:cs="Times New Roman"/>
          <w:color w:val="595959" w:themeColor="text1" w:themeTint="A6"/>
        </w:rPr>
        <w:t xml:space="preserve">Oxfam </w:t>
      </w:r>
      <w:r w:rsidR="00DF1C76">
        <w:rPr>
          <w:rFonts w:cs="Times New Roman"/>
          <w:color w:val="595959" w:themeColor="text1" w:themeTint="A6"/>
        </w:rPr>
        <w:t xml:space="preserve">to respond to </w:t>
      </w:r>
      <w:r w:rsidR="004449B5" w:rsidRPr="00BE2622">
        <w:rPr>
          <w:rFonts w:cs="Times New Roman"/>
          <w:color w:val="595959" w:themeColor="text1" w:themeTint="A6"/>
        </w:rPr>
        <w:t xml:space="preserve">the </w:t>
      </w:r>
      <w:r w:rsidRPr="00BE2622">
        <w:rPr>
          <w:rFonts w:cs="Times New Roman"/>
          <w:color w:val="595959" w:themeColor="text1" w:themeTint="A6"/>
        </w:rPr>
        <w:t>needs of people with disabilities, redesigning some sanitation facilities to include footpaths and ramps to improve access where needed.</w:t>
      </w:r>
    </w:p>
    <w:p w14:paraId="1D6A29BC" w14:textId="4A9AC144" w:rsidR="00076EDF" w:rsidRPr="00BE2622" w:rsidRDefault="00076EDF" w:rsidP="00076EDF">
      <w:pPr>
        <w:spacing w:after="0" w:line="240" w:lineRule="auto"/>
        <w:rPr>
          <w:rFonts w:cs="Times New Roman"/>
          <w:b/>
          <w:color w:val="595959" w:themeColor="text1" w:themeTint="A6"/>
        </w:rPr>
      </w:pPr>
      <w:r w:rsidRPr="00BE2622">
        <w:rPr>
          <w:rFonts w:cs="Times New Roman"/>
          <w:b/>
          <w:color w:val="595959" w:themeColor="text1" w:themeTint="A6"/>
        </w:rPr>
        <w:t xml:space="preserve">Lessons learned from </w:t>
      </w:r>
      <w:r w:rsidR="00DE013A" w:rsidRPr="00BE2622">
        <w:rPr>
          <w:rFonts w:cs="Times New Roman"/>
          <w:b/>
          <w:color w:val="595959" w:themeColor="text1" w:themeTint="A6"/>
        </w:rPr>
        <w:t xml:space="preserve">the relief phase </w:t>
      </w:r>
      <w:r w:rsidR="00E423C2">
        <w:rPr>
          <w:rFonts w:cs="Times New Roman"/>
          <w:b/>
          <w:color w:val="595959" w:themeColor="text1" w:themeTint="A6"/>
        </w:rPr>
        <w:t>of our TC Winston response</w:t>
      </w:r>
    </w:p>
    <w:p w14:paraId="0CCFD99B" w14:textId="1F199A2D" w:rsidR="00076EDF" w:rsidRPr="00BE2622" w:rsidRDefault="00DE013A" w:rsidP="00076EDF">
      <w:pPr>
        <w:spacing w:after="0" w:line="240" w:lineRule="auto"/>
        <w:rPr>
          <w:rFonts w:cs="Times New Roman"/>
          <w:color w:val="595959" w:themeColor="text1" w:themeTint="A6"/>
        </w:rPr>
      </w:pPr>
      <w:r w:rsidRPr="00BE2622">
        <w:rPr>
          <w:rFonts w:cs="Times New Roman"/>
          <w:color w:val="595959" w:themeColor="text1" w:themeTint="A6"/>
        </w:rPr>
        <w:t>In 2016-17, we assessed aspects of our immediate response to TC Winston</w:t>
      </w:r>
      <w:r w:rsidR="000C562F" w:rsidRPr="00BE2622">
        <w:rPr>
          <w:rFonts w:cs="Times New Roman"/>
          <w:color w:val="595959" w:themeColor="text1" w:themeTint="A6"/>
        </w:rPr>
        <w:t xml:space="preserve"> (see the 2015-16 APPR for details)</w:t>
      </w:r>
      <w:r w:rsidRPr="00BE2622">
        <w:rPr>
          <w:rFonts w:cs="Times New Roman"/>
          <w:color w:val="595959" w:themeColor="text1" w:themeTint="A6"/>
        </w:rPr>
        <w:t xml:space="preserve">.  </w:t>
      </w:r>
      <w:r w:rsidR="00076EDF" w:rsidRPr="00BE2622">
        <w:rPr>
          <w:rFonts w:cs="Times New Roman"/>
          <w:color w:val="595959" w:themeColor="text1" w:themeTint="A6"/>
        </w:rPr>
        <w:t xml:space="preserve">Aligned with </w:t>
      </w:r>
      <w:r w:rsidRPr="00BE2622">
        <w:rPr>
          <w:rFonts w:cs="Times New Roman"/>
          <w:color w:val="595959" w:themeColor="text1" w:themeTint="A6"/>
        </w:rPr>
        <w:t xml:space="preserve">Fiji </w:t>
      </w:r>
      <w:r w:rsidR="00076EDF" w:rsidRPr="00BE2622">
        <w:rPr>
          <w:rFonts w:cs="Times New Roman"/>
          <w:color w:val="595959" w:themeColor="text1" w:themeTint="A6"/>
        </w:rPr>
        <w:t xml:space="preserve">Government priorities, relief activities focused on providing timely, effective and appropriate support that met universal quality and accountability standards and considered the most vulnerable.  Support to UNICEF and Save the Children helped to </w:t>
      </w:r>
      <w:r w:rsidR="00FE69A2">
        <w:rPr>
          <w:rFonts w:cs="Times New Roman"/>
          <w:color w:val="595959" w:themeColor="text1" w:themeTint="A6"/>
        </w:rPr>
        <w:t>reopen schools and establish temporary learning spaces</w:t>
      </w:r>
      <w:r w:rsidRPr="00BE2622">
        <w:rPr>
          <w:rFonts w:cs="Times New Roman"/>
          <w:color w:val="595959" w:themeColor="text1" w:themeTint="A6"/>
        </w:rPr>
        <w:t>.  A</w:t>
      </w:r>
      <w:r w:rsidR="00076EDF" w:rsidRPr="00BE2622">
        <w:rPr>
          <w:rFonts w:cs="Times New Roman"/>
          <w:color w:val="595959" w:themeColor="text1" w:themeTint="A6"/>
        </w:rPr>
        <w:t xml:space="preserve">n independent evaluation found </w:t>
      </w:r>
      <w:r w:rsidRPr="00BE2622">
        <w:rPr>
          <w:rFonts w:cs="Times New Roman"/>
          <w:color w:val="595959" w:themeColor="text1" w:themeTint="A6"/>
        </w:rPr>
        <w:t xml:space="preserve">this </w:t>
      </w:r>
      <w:r w:rsidR="00076EDF" w:rsidRPr="00BE2622">
        <w:rPr>
          <w:rFonts w:cs="Times New Roman"/>
          <w:color w:val="595959" w:themeColor="text1" w:themeTint="A6"/>
        </w:rPr>
        <w:t>introduced</w:t>
      </w:r>
      <w:r w:rsidR="00076EDF" w:rsidRPr="00BE2622">
        <w:rPr>
          <w:color w:val="595959" w:themeColor="text1" w:themeTint="A6"/>
          <w:lang w:val="en-US"/>
        </w:rPr>
        <w:t xml:space="preserve"> an element of stability in affected communities </w:t>
      </w:r>
      <w:r w:rsidRPr="00BE2622">
        <w:rPr>
          <w:color w:val="595959" w:themeColor="text1" w:themeTint="A6"/>
          <w:lang w:val="en-US"/>
        </w:rPr>
        <w:t xml:space="preserve">and </w:t>
      </w:r>
      <w:r w:rsidR="00FE69A2">
        <w:rPr>
          <w:color w:val="595959" w:themeColor="text1" w:themeTint="A6"/>
          <w:lang w:val="en-US"/>
        </w:rPr>
        <w:t xml:space="preserve">provided </w:t>
      </w:r>
      <w:r w:rsidR="00076EDF" w:rsidRPr="00BE2622">
        <w:rPr>
          <w:color w:val="595959" w:themeColor="text1" w:themeTint="A6"/>
          <w:lang w:val="en-US"/>
        </w:rPr>
        <w:t xml:space="preserve">entry points for a wider array of disaster response services such as nutrition, </w:t>
      </w:r>
      <w:r w:rsidR="00076EDF" w:rsidRPr="00BE2622">
        <w:rPr>
          <w:color w:val="595959" w:themeColor="text1" w:themeTint="A6"/>
          <w:lang w:val="en-US"/>
        </w:rPr>
        <w:lastRenderedPageBreak/>
        <w:t xml:space="preserve">water, sanitation and hygiene (WASH) services and psychosocial counseling for affected children.  </w:t>
      </w:r>
      <w:r w:rsidR="004F6DFD">
        <w:rPr>
          <w:color w:val="595959" w:themeColor="text1" w:themeTint="A6"/>
          <w:lang w:val="en-US"/>
        </w:rPr>
        <w:t>However, t</w:t>
      </w:r>
      <w:r w:rsidR="00076EDF" w:rsidRPr="00BE2622">
        <w:rPr>
          <w:color w:val="595959" w:themeColor="text1" w:themeTint="A6"/>
          <w:lang w:val="en-US"/>
        </w:rPr>
        <w:t xml:space="preserve">he evaluation </w:t>
      </w:r>
      <w:r w:rsidRPr="00BE2622">
        <w:rPr>
          <w:color w:val="595959" w:themeColor="text1" w:themeTint="A6"/>
          <w:lang w:val="en-US"/>
        </w:rPr>
        <w:t>also found</w:t>
      </w:r>
      <w:r w:rsidR="00076EDF" w:rsidRPr="00BE2622">
        <w:rPr>
          <w:color w:val="595959" w:themeColor="text1" w:themeTint="A6"/>
          <w:lang w:val="en-US"/>
        </w:rPr>
        <w:t xml:space="preserve"> there was declining effectiveness over time as needs evolved and what were intended to be temporary measures (such as the use of tents as learning spaces) were still being used one year on from the cyclone. </w:t>
      </w:r>
      <w:r w:rsidRPr="00BE2622">
        <w:rPr>
          <w:color w:val="595959" w:themeColor="text1" w:themeTint="A6"/>
          <w:lang w:val="en-US"/>
        </w:rPr>
        <w:t xml:space="preserve"> </w:t>
      </w:r>
      <w:r w:rsidR="00064CEC" w:rsidRPr="00BE2622">
        <w:rPr>
          <w:color w:val="595959" w:themeColor="text1" w:themeTint="A6"/>
          <w:lang w:val="en-US"/>
        </w:rPr>
        <w:t>A key lesson was that the standard global model for education in emergencies needs to be revisited to fit Fiji’s context</w:t>
      </w:r>
      <w:r w:rsidRPr="00BE2622">
        <w:rPr>
          <w:color w:val="595959" w:themeColor="text1" w:themeTint="A6"/>
          <w:lang w:val="en-US"/>
        </w:rPr>
        <w:t>.  It</w:t>
      </w:r>
      <w:r w:rsidR="00064CEC" w:rsidRPr="00BE2622">
        <w:rPr>
          <w:color w:val="595959" w:themeColor="text1" w:themeTint="A6"/>
          <w:lang w:val="en-US"/>
        </w:rPr>
        <w:t xml:space="preserve"> </w:t>
      </w:r>
      <w:r w:rsidR="00076EDF" w:rsidRPr="00BE2622">
        <w:rPr>
          <w:color w:val="595959" w:themeColor="text1" w:themeTint="A6"/>
          <w:lang w:val="en-US"/>
        </w:rPr>
        <w:t>recommended considering a phased approach in the future, which would better account for evolving needs over time.</w:t>
      </w:r>
      <w:r w:rsidR="00064CEC" w:rsidRPr="00BE2622">
        <w:rPr>
          <w:color w:val="595959" w:themeColor="text1" w:themeTint="A6"/>
          <w:lang w:val="en-US"/>
        </w:rPr>
        <w:t xml:space="preserve"> It also noted that governance arrangements, data management and consideration of partner capacity should be a focus of any future support.</w:t>
      </w:r>
    </w:p>
    <w:p w14:paraId="1CDBCDA7" w14:textId="3D4D3CA8" w:rsidR="00076EDF" w:rsidRPr="00BE2622" w:rsidRDefault="00076EDF" w:rsidP="00076EDF">
      <w:pPr>
        <w:rPr>
          <w:color w:val="595959" w:themeColor="text1" w:themeTint="A6"/>
        </w:rPr>
      </w:pPr>
      <w:r w:rsidRPr="00BE2622">
        <w:rPr>
          <w:color w:val="595959" w:themeColor="text1" w:themeTint="A6"/>
        </w:rPr>
        <w:t xml:space="preserve">While a larger proportion of funding than in previous similar responses was earmarked for protection and women’s empowerment, we need </w:t>
      </w:r>
      <w:r w:rsidR="004F6DFD">
        <w:rPr>
          <w:color w:val="595959" w:themeColor="text1" w:themeTint="A6"/>
        </w:rPr>
        <w:t>to</w:t>
      </w:r>
      <w:r w:rsidRPr="00BE2622">
        <w:rPr>
          <w:color w:val="595959" w:themeColor="text1" w:themeTint="A6"/>
        </w:rPr>
        <w:t xml:space="preserve"> invest </w:t>
      </w:r>
      <w:r w:rsidR="004F6DFD">
        <w:rPr>
          <w:color w:val="595959" w:themeColor="text1" w:themeTint="A6"/>
        </w:rPr>
        <w:t xml:space="preserve">more </w:t>
      </w:r>
      <w:r w:rsidRPr="00BE2622">
        <w:rPr>
          <w:color w:val="595959" w:themeColor="text1" w:themeTint="A6"/>
        </w:rPr>
        <w:t xml:space="preserve">in the future. </w:t>
      </w:r>
      <w:r w:rsidR="00DE013A" w:rsidRPr="00BE2622">
        <w:rPr>
          <w:color w:val="595959" w:themeColor="text1" w:themeTint="A6"/>
        </w:rPr>
        <w:t xml:space="preserve"> </w:t>
      </w:r>
      <w:r w:rsidR="00647559" w:rsidRPr="00647559">
        <w:rPr>
          <w:color w:val="595959" w:themeColor="text1" w:themeTint="A6"/>
        </w:rPr>
        <w:t xml:space="preserve">While DFAT provided support to </w:t>
      </w:r>
      <w:r w:rsidR="00D15C84">
        <w:rPr>
          <w:color w:val="595959" w:themeColor="text1" w:themeTint="A6"/>
        </w:rPr>
        <w:t xml:space="preserve">partners of </w:t>
      </w:r>
      <w:r w:rsidR="00647559" w:rsidRPr="00647559">
        <w:rPr>
          <w:color w:val="595959" w:themeColor="text1" w:themeTint="A6"/>
        </w:rPr>
        <w:t xml:space="preserve">the Protection Cluster </w:t>
      </w:r>
      <w:r w:rsidR="00D15C84">
        <w:rPr>
          <w:color w:val="595959" w:themeColor="text1" w:themeTint="A6"/>
        </w:rPr>
        <w:t>to</w:t>
      </w:r>
      <w:r w:rsidR="00647559" w:rsidRPr="00647559">
        <w:rPr>
          <w:color w:val="595959" w:themeColor="text1" w:themeTint="A6"/>
        </w:rPr>
        <w:t xml:space="preserve"> advocate for a strong protection focus in response efforts, ultimately pre-planning is required to support better protection and accountability mechanisms </w:t>
      </w:r>
      <w:r w:rsidR="00AE5C4D">
        <w:rPr>
          <w:color w:val="595959" w:themeColor="text1" w:themeTint="A6"/>
        </w:rPr>
        <w:t xml:space="preserve">prior to disasters.  </w:t>
      </w:r>
      <w:r w:rsidRPr="00BE2622">
        <w:rPr>
          <w:color w:val="595959" w:themeColor="text1" w:themeTint="A6"/>
        </w:rPr>
        <w:t xml:space="preserve">In October 2016, an Australian-funded workshop led by FemLINK Pacific found that very few women were involved in preparing for, or responding to, TC Winston through official channels.  An Australian Defence Force-led workshop also found that more work was needed to ensure risks to gender equality were identified and appropriately managed in all aspects of the response. The lessons </w:t>
      </w:r>
      <w:r w:rsidR="00E423C2">
        <w:rPr>
          <w:color w:val="595959" w:themeColor="text1" w:themeTint="A6"/>
        </w:rPr>
        <w:t xml:space="preserve">identified by </w:t>
      </w:r>
      <w:r w:rsidRPr="00BE2622">
        <w:rPr>
          <w:color w:val="595959" w:themeColor="text1" w:themeTint="A6"/>
        </w:rPr>
        <w:t xml:space="preserve">the workshop included the need to ensure a more explicit gender focus in strategic directions, operational tasking, technical capability, briefing of personnel, and agreements with humanitarian partners. </w:t>
      </w:r>
    </w:p>
    <w:p w14:paraId="205D5153" w14:textId="77777777" w:rsidR="009C29AD" w:rsidRPr="00BE2622" w:rsidRDefault="009C29AD" w:rsidP="009C29AD">
      <w:pPr>
        <w:rPr>
          <w:b/>
          <w:color w:val="595959" w:themeColor="text1" w:themeTint="A6"/>
        </w:rPr>
      </w:pPr>
      <w:r w:rsidRPr="00BE2622">
        <w:rPr>
          <w:b/>
          <w:color w:val="595959" w:themeColor="text1" w:themeTint="A6"/>
        </w:rPr>
        <w:t>Disaster risk reduction and disaster risk management</w:t>
      </w:r>
    </w:p>
    <w:p w14:paraId="3705B079" w14:textId="129DA39E" w:rsidR="009C29AD" w:rsidRPr="00BE2622" w:rsidRDefault="009C29AD" w:rsidP="009C29AD">
      <w:pPr>
        <w:rPr>
          <w:rFonts w:cs="Times New Roman"/>
          <w:color w:val="595959" w:themeColor="text1" w:themeTint="A6"/>
        </w:rPr>
      </w:pPr>
      <w:r w:rsidRPr="00BE2622">
        <w:rPr>
          <w:color w:val="595959" w:themeColor="text1" w:themeTint="A6"/>
        </w:rPr>
        <w:t xml:space="preserve">Since TC Winston, we have supported the </w:t>
      </w:r>
      <w:r w:rsidR="008069B0" w:rsidRPr="00BE2622">
        <w:rPr>
          <w:color w:val="595959" w:themeColor="text1" w:themeTint="A6"/>
        </w:rPr>
        <w:t xml:space="preserve">Fiji </w:t>
      </w:r>
      <w:r w:rsidRPr="00BE2622">
        <w:rPr>
          <w:color w:val="595959" w:themeColor="text1" w:themeTint="A6"/>
        </w:rPr>
        <w:t xml:space="preserve">Government in </w:t>
      </w:r>
      <w:r w:rsidR="00A9089D">
        <w:rPr>
          <w:color w:val="595959" w:themeColor="text1" w:themeTint="A6"/>
        </w:rPr>
        <w:t>its</w:t>
      </w:r>
      <w:r w:rsidRPr="00BE2622">
        <w:rPr>
          <w:color w:val="595959" w:themeColor="text1" w:themeTint="A6"/>
        </w:rPr>
        <w:t xml:space="preserve"> renewed focus on disaster risk reduction and management.  We </w:t>
      </w:r>
      <w:r w:rsidR="008069B0" w:rsidRPr="00BE2622">
        <w:rPr>
          <w:color w:val="595959" w:themeColor="text1" w:themeTint="A6"/>
        </w:rPr>
        <w:t xml:space="preserve">extended </w:t>
      </w:r>
      <w:r w:rsidRPr="00BE2622">
        <w:rPr>
          <w:color w:val="595959" w:themeColor="text1" w:themeTint="A6"/>
        </w:rPr>
        <w:t>second</w:t>
      </w:r>
      <w:r w:rsidR="008069B0" w:rsidRPr="00BE2622">
        <w:rPr>
          <w:color w:val="595959" w:themeColor="text1" w:themeTint="A6"/>
        </w:rPr>
        <w:t>ments of</w:t>
      </w:r>
      <w:r w:rsidRPr="00BE2622">
        <w:rPr>
          <w:color w:val="595959" w:themeColor="text1" w:themeTint="A6"/>
        </w:rPr>
        <w:t xml:space="preserve"> technical specialists from the Australian Civilian Corps to the National Disaster Management Office to assist with operations and policy development. </w:t>
      </w:r>
      <w:r w:rsidR="00E423C2">
        <w:rPr>
          <w:color w:val="595959" w:themeColor="text1" w:themeTint="A6"/>
        </w:rPr>
        <w:t xml:space="preserve"> </w:t>
      </w:r>
      <w:r w:rsidRPr="00BE2622">
        <w:rPr>
          <w:color w:val="595959" w:themeColor="text1" w:themeTint="A6"/>
        </w:rPr>
        <w:t xml:space="preserve">We provided funding to the Fiji Red Cross Society to set up offices in remote locations to preposition humanitarian supplies.  Through the UNDP-managed Pacific Risk Resilience Program, we supported </w:t>
      </w:r>
      <w:r w:rsidRPr="00BE2622">
        <w:rPr>
          <w:rFonts w:cs="Times New Roman"/>
          <w:color w:val="595959" w:themeColor="text1" w:themeTint="A6"/>
        </w:rPr>
        <w:t xml:space="preserve">two positions in the Western and Northern Divisions to focus on resilient development, including helping to undertake risk screening of divisional projects. </w:t>
      </w:r>
      <w:r w:rsidR="00A171AE" w:rsidRPr="00BE2622">
        <w:rPr>
          <w:rFonts w:cs="Times New Roman"/>
          <w:color w:val="595959" w:themeColor="text1" w:themeTint="A6"/>
        </w:rPr>
        <w:t xml:space="preserve"> </w:t>
      </w:r>
      <w:r w:rsidRPr="00BE2622">
        <w:rPr>
          <w:rFonts w:cs="Times New Roman"/>
          <w:color w:val="595959" w:themeColor="text1" w:themeTint="A6"/>
        </w:rPr>
        <w:t>This support aligns with Australia’s commitments to respect and help strengthen leadership and decision-making by local actors in humanitarian action.</w:t>
      </w:r>
    </w:p>
    <w:p w14:paraId="376D37F1" w14:textId="0325C859" w:rsidR="00076EDF" w:rsidRPr="00BE2622" w:rsidRDefault="00A171AE" w:rsidP="00A418B1">
      <w:pPr>
        <w:rPr>
          <w:color w:val="595959" w:themeColor="text1" w:themeTint="A6"/>
        </w:rPr>
      </w:pPr>
      <w:r w:rsidRPr="00BE2622">
        <w:rPr>
          <w:rFonts w:cs="Times New Roman"/>
          <w:color w:val="595959" w:themeColor="text1" w:themeTint="A6"/>
        </w:rPr>
        <w:t xml:space="preserve">The </w:t>
      </w:r>
      <w:r w:rsidR="009C29AD" w:rsidRPr="00BE2622">
        <w:rPr>
          <w:rFonts w:cs="Times New Roman"/>
          <w:color w:val="595959" w:themeColor="text1" w:themeTint="A6"/>
        </w:rPr>
        <w:t xml:space="preserve">Framework for Resilient Development in the Pacific advocates the adoption of integrated approaches </w:t>
      </w:r>
      <w:r w:rsidRPr="00BE2622">
        <w:rPr>
          <w:rFonts w:cs="Times New Roman"/>
          <w:color w:val="595959" w:themeColor="text1" w:themeTint="A6"/>
        </w:rPr>
        <w:t>to</w:t>
      </w:r>
      <w:r w:rsidR="009C29AD" w:rsidRPr="00BE2622">
        <w:rPr>
          <w:rFonts w:cs="Times New Roman"/>
          <w:color w:val="595959" w:themeColor="text1" w:themeTint="A6"/>
        </w:rPr>
        <w:t xml:space="preserve"> coping with and managing climate change and disaster risks</w:t>
      </w:r>
      <w:r w:rsidRPr="00BE2622">
        <w:rPr>
          <w:rFonts w:cs="Times New Roman"/>
          <w:color w:val="595959" w:themeColor="text1" w:themeTint="A6"/>
        </w:rPr>
        <w:t>.  In line with this</w:t>
      </w:r>
      <w:r w:rsidR="009C29AD" w:rsidRPr="00BE2622">
        <w:rPr>
          <w:rFonts w:cs="Times New Roman"/>
          <w:color w:val="595959" w:themeColor="text1" w:themeTint="A6"/>
        </w:rPr>
        <w:t>, DRR and resilience</w:t>
      </w:r>
      <w:r w:rsidR="00057F38">
        <w:rPr>
          <w:rFonts w:cs="Times New Roman"/>
          <w:color w:val="595959" w:themeColor="text1" w:themeTint="A6"/>
        </w:rPr>
        <w:t>-</w:t>
      </w:r>
      <w:r w:rsidR="009C29AD" w:rsidRPr="00BE2622">
        <w:rPr>
          <w:rFonts w:cs="Times New Roman"/>
          <w:color w:val="595959" w:themeColor="text1" w:themeTint="A6"/>
        </w:rPr>
        <w:t xml:space="preserve">building are recognised as crosscutting issues to be integrated across all programs administered by the </w:t>
      </w:r>
      <w:r w:rsidR="00D15C84">
        <w:rPr>
          <w:rFonts w:cs="Times New Roman"/>
          <w:color w:val="595959" w:themeColor="text1" w:themeTint="A6"/>
        </w:rPr>
        <w:t xml:space="preserve">Fiji Program Support </w:t>
      </w:r>
      <w:r w:rsidR="009C29AD" w:rsidRPr="00BE2622">
        <w:rPr>
          <w:rFonts w:cs="Times New Roman"/>
          <w:color w:val="595959" w:themeColor="text1" w:themeTint="A6"/>
        </w:rPr>
        <w:t xml:space="preserve">Facility.  We have </w:t>
      </w:r>
      <w:r w:rsidRPr="00BE2622">
        <w:rPr>
          <w:rFonts w:cs="Times New Roman"/>
          <w:color w:val="595959" w:themeColor="text1" w:themeTint="A6"/>
        </w:rPr>
        <w:t xml:space="preserve">also </w:t>
      </w:r>
      <w:r w:rsidR="009C29AD" w:rsidRPr="00BE2622">
        <w:rPr>
          <w:rFonts w:cs="Times New Roman"/>
          <w:color w:val="595959" w:themeColor="text1" w:themeTint="A6"/>
        </w:rPr>
        <w:t xml:space="preserve">invested in a Preparedness and Response Fund </w:t>
      </w:r>
      <w:r w:rsidRPr="00BE2622">
        <w:rPr>
          <w:rFonts w:cs="Times New Roman"/>
          <w:color w:val="595959" w:themeColor="text1" w:themeTint="A6"/>
        </w:rPr>
        <w:t xml:space="preserve">to </w:t>
      </w:r>
      <w:r w:rsidR="009C29AD" w:rsidRPr="00BE2622">
        <w:rPr>
          <w:rFonts w:cs="Times New Roman"/>
          <w:color w:val="595959" w:themeColor="text1" w:themeTint="A6"/>
        </w:rPr>
        <w:t>be implemented in 2017-18</w:t>
      </w:r>
      <w:r w:rsidRPr="00BE2622">
        <w:rPr>
          <w:rFonts w:cs="Times New Roman"/>
          <w:color w:val="595959" w:themeColor="text1" w:themeTint="A6"/>
        </w:rPr>
        <w:t>.  The Fund</w:t>
      </w:r>
      <w:r w:rsidR="00264B17">
        <w:rPr>
          <w:rFonts w:cs="Times New Roman"/>
          <w:color w:val="595959" w:themeColor="text1" w:themeTint="A6"/>
        </w:rPr>
        <w:t>, to be administered by the Facility,</w:t>
      </w:r>
      <w:r w:rsidRPr="00BE2622">
        <w:rPr>
          <w:rFonts w:cs="Times New Roman"/>
          <w:color w:val="595959" w:themeColor="text1" w:themeTint="A6"/>
        </w:rPr>
        <w:t xml:space="preserve"> will</w:t>
      </w:r>
      <w:r w:rsidR="009C29AD" w:rsidRPr="00BE2622">
        <w:rPr>
          <w:rFonts w:cs="Times New Roman"/>
          <w:color w:val="595959" w:themeColor="text1" w:themeTint="A6"/>
        </w:rPr>
        <w:t xml:space="preserve"> </w:t>
      </w:r>
      <w:r w:rsidR="00A9089D">
        <w:rPr>
          <w:rFonts w:cs="Times New Roman"/>
          <w:color w:val="595959" w:themeColor="text1" w:themeTint="A6"/>
        </w:rPr>
        <w:t xml:space="preserve">consist of </w:t>
      </w:r>
      <w:r w:rsidR="009C29AD" w:rsidRPr="00BE2622">
        <w:rPr>
          <w:rFonts w:cs="Times New Roman"/>
          <w:color w:val="595959" w:themeColor="text1" w:themeTint="A6"/>
        </w:rPr>
        <w:t xml:space="preserve">a contingency fund of </w:t>
      </w:r>
      <w:r w:rsidR="008069B0" w:rsidRPr="00BE2622">
        <w:rPr>
          <w:rFonts w:cs="Times New Roman"/>
          <w:color w:val="595959" w:themeColor="text1" w:themeTint="A6"/>
        </w:rPr>
        <w:t>two</w:t>
      </w:r>
      <w:r w:rsidR="009C29AD" w:rsidRPr="00BE2622">
        <w:rPr>
          <w:rFonts w:cs="Times New Roman"/>
          <w:color w:val="595959" w:themeColor="text1" w:themeTint="A6"/>
        </w:rPr>
        <w:t xml:space="preserve"> percent of the </w:t>
      </w:r>
      <w:r w:rsidR="008069B0" w:rsidRPr="00BE2622">
        <w:rPr>
          <w:rFonts w:cs="Times New Roman"/>
          <w:color w:val="595959" w:themeColor="text1" w:themeTint="A6"/>
        </w:rPr>
        <w:t xml:space="preserve">Fiji </w:t>
      </w:r>
      <w:r w:rsidR="009C29AD" w:rsidRPr="00BE2622">
        <w:rPr>
          <w:rFonts w:cs="Times New Roman"/>
          <w:color w:val="595959" w:themeColor="text1" w:themeTint="A6"/>
        </w:rPr>
        <w:t xml:space="preserve">bilateral aid program to prepare for and respond to disasters. </w:t>
      </w:r>
    </w:p>
    <w:p w14:paraId="4C5BCAE5" w14:textId="704DCA7D" w:rsidR="00841F59" w:rsidRPr="00A418B1" w:rsidRDefault="00841F59" w:rsidP="00076EDF">
      <w:pPr>
        <w:rPr>
          <w:rFonts w:ascii="Calibri Light" w:eastAsia="Calibri Light" w:hAnsi="Calibri Light" w:cs="Times New Roman"/>
          <w:b/>
          <w:color w:val="595959" w:themeColor="text1" w:themeTint="A6"/>
        </w:rPr>
      </w:pPr>
      <w:r w:rsidRPr="00BE2622">
        <w:rPr>
          <w:rFonts w:ascii="Calibri Light" w:eastAsia="Calibri Light" w:hAnsi="Calibri Light" w:cs="Times New Roman"/>
          <w:b/>
          <w:color w:val="595959" w:themeColor="text1" w:themeTint="A6"/>
        </w:rPr>
        <w:t>Support for Fiji’s Presidency of COP</w:t>
      </w:r>
      <w:r w:rsidR="00D15C84">
        <w:rPr>
          <w:rFonts w:ascii="Calibri Light" w:eastAsia="Calibri Light" w:hAnsi="Calibri Light" w:cs="Times New Roman"/>
          <w:b/>
          <w:color w:val="595959" w:themeColor="text1" w:themeTint="A6"/>
        </w:rPr>
        <w:t xml:space="preserve"> </w:t>
      </w:r>
      <w:r w:rsidRPr="00BE2622">
        <w:rPr>
          <w:rFonts w:ascii="Calibri Light" w:eastAsia="Calibri Light" w:hAnsi="Calibri Light" w:cs="Times New Roman"/>
          <w:b/>
          <w:color w:val="595959" w:themeColor="text1" w:themeTint="A6"/>
        </w:rPr>
        <w:t>23</w:t>
      </w:r>
    </w:p>
    <w:p w14:paraId="3ED2BCA5" w14:textId="70DC2A51" w:rsidR="00A171AE" w:rsidRPr="00BE2622" w:rsidRDefault="00076EDF" w:rsidP="00076EDF">
      <w:pPr>
        <w:rPr>
          <w:rFonts w:ascii="Calibri Light" w:eastAsia="Calibri Light" w:hAnsi="Calibri Light" w:cs="Times New Roman"/>
          <w:color w:val="595959" w:themeColor="text1" w:themeTint="A6"/>
        </w:rPr>
      </w:pPr>
      <w:r w:rsidRPr="00BE2622">
        <w:rPr>
          <w:rFonts w:ascii="Calibri Light" w:eastAsia="Calibri Light" w:hAnsi="Calibri Light" w:cs="Times New Roman"/>
          <w:color w:val="595959" w:themeColor="text1" w:themeTint="A6"/>
        </w:rPr>
        <w:t>In 2016-17</w:t>
      </w:r>
      <w:r w:rsidR="00A171AE" w:rsidRPr="00BE2622">
        <w:rPr>
          <w:rFonts w:ascii="Calibri Light" w:eastAsia="Calibri Light" w:hAnsi="Calibri Light" w:cs="Times New Roman"/>
          <w:color w:val="595959" w:themeColor="text1" w:themeTint="A6"/>
        </w:rPr>
        <w:t>,</w:t>
      </w:r>
      <w:r w:rsidRPr="00BE2622">
        <w:rPr>
          <w:rFonts w:ascii="Calibri Light" w:eastAsia="Calibri Light" w:hAnsi="Calibri Light" w:cs="Times New Roman"/>
          <w:color w:val="595959" w:themeColor="text1" w:themeTint="A6"/>
        </w:rPr>
        <w:t xml:space="preserve"> Australia </w:t>
      </w:r>
      <w:r w:rsidR="00A9089D">
        <w:rPr>
          <w:rFonts w:ascii="Calibri Light" w:eastAsia="Calibri Light" w:hAnsi="Calibri Light" w:cs="Times New Roman"/>
          <w:color w:val="595959" w:themeColor="text1" w:themeTint="A6"/>
        </w:rPr>
        <w:t xml:space="preserve">responded to a request by the Government of Fiji for funding </w:t>
      </w:r>
      <w:r w:rsidRPr="00BE2622">
        <w:rPr>
          <w:rFonts w:ascii="Calibri Light" w:eastAsia="Calibri Light" w:hAnsi="Calibri Light" w:cs="Times New Roman"/>
          <w:color w:val="595959" w:themeColor="text1" w:themeTint="A6"/>
        </w:rPr>
        <w:t>to help it fulfil its role as President of COP 23.  This meeting of 197 members of the UN Framework Convention on Climate Change in Bonn, Germany in November 2017 will play a</w:t>
      </w:r>
      <w:r w:rsidR="00DF1C76">
        <w:rPr>
          <w:rFonts w:ascii="Calibri Light" w:eastAsia="Calibri Light" w:hAnsi="Calibri Light" w:cs="Times New Roman"/>
          <w:color w:val="595959" w:themeColor="text1" w:themeTint="A6"/>
        </w:rPr>
        <w:t>n important</w:t>
      </w:r>
      <w:r w:rsidRPr="00BE2622">
        <w:rPr>
          <w:rFonts w:ascii="Calibri Light" w:eastAsia="Calibri Light" w:hAnsi="Calibri Light" w:cs="Times New Roman"/>
          <w:color w:val="595959" w:themeColor="text1" w:themeTint="A6"/>
        </w:rPr>
        <w:t xml:space="preserve"> role in driving global action to tackle climate change.</w:t>
      </w:r>
      <w:r w:rsidR="00A171AE" w:rsidRPr="00BE2622">
        <w:rPr>
          <w:rFonts w:ascii="Calibri Light" w:eastAsia="Calibri Light" w:hAnsi="Calibri Light" w:cs="Times New Roman"/>
          <w:color w:val="595959" w:themeColor="text1" w:themeTint="A6"/>
        </w:rPr>
        <w:t xml:space="preserve">  </w:t>
      </w:r>
      <w:r w:rsidRPr="00BE2622">
        <w:rPr>
          <w:rFonts w:ascii="Calibri Light" w:eastAsia="Calibri Light" w:hAnsi="Calibri Light" w:cs="Times New Roman"/>
          <w:color w:val="595959" w:themeColor="text1" w:themeTint="A6"/>
        </w:rPr>
        <w:t>Fiji’s position as President of COP 23 provides a unique platform for it to advance its national interest</w:t>
      </w:r>
      <w:r w:rsidR="00DE67F9" w:rsidRPr="00BE2622">
        <w:rPr>
          <w:rFonts w:ascii="Calibri Light" w:eastAsia="Calibri Light" w:hAnsi="Calibri Light" w:cs="Times New Roman"/>
          <w:color w:val="595959" w:themeColor="text1" w:themeTint="A6"/>
        </w:rPr>
        <w:t xml:space="preserve"> and leadership</w:t>
      </w:r>
      <w:r w:rsidRPr="00BE2622">
        <w:rPr>
          <w:rFonts w:ascii="Calibri Light" w:eastAsia="Calibri Light" w:hAnsi="Calibri Light" w:cs="Times New Roman"/>
          <w:color w:val="595959" w:themeColor="text1" w:themeTint="A6"/>
        </w:rPr>
        <w:t xml:space="preserve"> in reducing global </w:t>
      </w:r>
      <w:r w:rsidR="00A171AE" w:rsidRPr="00BE2622">
        <w:rPr>
          <w:rFonts w:ascii="Calibri Light" w:eastAsia="Calibri Light" w:hAnsi="Calibri Light" w:cs="Times New Roman"/>
          <w:color w:val="595959" w:themeColor="text1" w:themeTint="A6"/>
        </w:rPr>
        <w:t>g</w:t>
      </w:r>
      <w:r w:rsidRPr="00BE2622">
        <w:rPr>
          <w:rFonts w:ascii="Calibri Light" w:eastAsia="Calibri Light" w:hAnsi="Calibri Light" w:cs="Times New Roman"/>
          <w:color w:val="595959" w:themeColor="text1" w:themeTint="A6"/>
        </w:rPr>
        <w:t xml:space="preserve">reenhouse </w:t>
      </w:r>
      <w:r w:rsidR="00A171AE" w:rsidRPr="00BE2622">
        <w:rPr>
          <w:rFonts w:ascii="Calibri Light" w:eastAsia="Calibri Light" w:hAnsi="Calibri Light" w:cs="Times New Roman"/>
          <w:color w:val="595959" w:themeColor="text1" w:themeTint="A6"/>
        </w:rPr>
        <w:t>g</w:t>
      </w:r>
      <w:r w:rsidRPr="00BE2622">
        <w:rPr>
          <w:rFonts w:ascii="Calibri Light" w:eastAsia="Calibri Light" w:hAnsi="Calibri Light" w:cs="Times New Roman"/>
          <w:color w:val="595959" w:themeColor="text1" w:themeTint="A6"/>
        </w:rPr>
        <w:t>as emissions</w:t>
      </w:r>
      <w:r w:rsidR="00057F38">
        <w:rPr>
          <w:rFonts w:ascii="Calibri Light" w:eastAsia="Calibri Light" w:hAnsi="Calibri Light" w:cs="Times New Roman"/>
          <w:color w:val="595959" w:themeColor="text1" w:themeTint="A6"/>
        </w:rPr>
        <w:t xml:space="preserve"> and </w:t>
      </w:r>
      <w:r w:rsidRPr="00BE2622">
        <w:rPr>
          <w:rFonts w:ascii="Calibri Light" w:eastAsia="Calibri Light" w:hAnsi="Calibri Light" w:cs="Times New Roman"/>
          <w:color w:val="595959" w:themeColor="text1" w:themeTint="A6"/>
        </w:rPr>
        <w:t xml:space="preserve">increasing </w:t>
      </w:r>
      <w:r w:rsidR="00057F38">
        <w:rPr>
          <w:rFonts w:ascii="Calibri Light" w:eastAsia="Calibri Light" w:hAnsi="Calibri Light" w:cs="Times New Roman"/>
          <w:color w:val="595959" w:themeColor="text1" w:themeTint="A6"/>
        </w:rPr>
        <w:t xml:space="preserve">developing countries’ </w:t>
      </w:r>
      <w:r w:rsidRPr="00BE2622">
        <w:rPr>
          <w:rFonts w:ascii="Calibri Light" w:eastAsia="Calibri Light" w:hAnsi="Calibri Light" w:cs="Times New Roman"/>
          <w:color w:val="595959" w:themeColor="text1" w:themeTint="A6"/>
        </w:rPr>
        <w:t>access to finance to adapt to the impacts of climate change.</w:t>
      </w:r>
    </w:p>
    <w:p w14:paraId="6767AA77" w14:textId="36F943F3" w:rsidR="00076EDF" w:rsidRPr="00BE2622" w:rsidRDefault="00A171AE" w:rsidP="00D15C84">
      <w:pPr>
        <w:rPr>
          <w:rFonts w:ascii="Calibri Light" w:eastAsia="Calibri Light" w:hAnsi="Calibri Light" w:cs="Times New Roman"/>
          <w:color w:val="595959" w:themeColor="text1" w:themeTint="A6"/>
        </w:rPr>
      </w:pPr>
      <w:r w:rsidRPr="00BE2622">
        <w:rPr>
          <w:rFonts w:ascii="Calibri Light" w:eastAsia="Calibri Light" w:hAnsi="Calibri Light" w:cs="Times New Roman"/>
          <w:color w:val="595959" w:themeColor="text1" w:themeTint="A6"/>
        </w:rPr>
        <w:t>B</w:t>
      </w:r>
      <w:r w:rsidR="00076EDF" w:rsidRPr="00BE2622">
        <w:rPr>
          <w:rFonts w:ascii="Calibri Light" w:eastAsia="Calibri Light" w:hAnsi="Calibri Light" w:cs="Times New Roman"/>
          <w:color w:val="595959" w:themeColor="text1" w:themeTint="A6"/>
        </w:rPr>
        <w:t xml:space="preserve">uilding support for a successful outcome at COP 23 </w:t>
      </w:r>
      <w:r w:rsidR="00A9089D">
        <w:rPr>
          <w:rFonts w:ascii="Calibri Light" w:eastAsia="Calibri Light" w:hAnsi="Calibri Light" w:cs="Times New Roman"/>
          <w:color w:val="595959" w:themeColor="text1" w:themeTint="A6"/>
        </w:rPr>
        <w:t xml:space="preserve">will </w:t>
      </w:r>
      <w:r w:rsidR="00076EDF" w:rsidRPr="00BE2622">
        <w:rPr>
          <w:rFonts w:ascii="Calibri Light" w:eastAsia="Calibri Light" w:hAnsi="Calibri Light" w:cs="Times New Roman"/>
          <w:color w:val="595959" w:themeColor="text1" w:themeTint="A6"/>
        </w:rPr>
        <w:t xml:space="preserve">require sustained advocacy and diplomatic engagement </w:t>
      </w:r>
      <w:r w:rsidR="008E66B7">
        <w:rPr>
          <w:rFonts w:ascii="Calibri Light" w:eastAsia="Calibri Light" w:hAnsi="Calibri Light" w:cs="Times New Roman"/>
          <w:color w:val="595959" w:themeColor="text1" w:themeTint="A6"/>
        </w:rPr>
        <w:t xml:space="preserve">before and </w:t>
      </w:r>
      <w:r w:rsidR="00076EDF" w:rsidRPr="00BE2622">
        <w:rPr>
          <w:rFonts w:ascii="Calibri Light" w:eastAsia="Calibri Light" w:hAnsi="Calibri Light" w:cs="Times New Roman"/>
          <w:color w:val="595959" w:themeColor="text1" w:themeTint="A6"/>
        </w:rPr>
        <w:t>during Fiji’s Presidency.</w:t>
      </w:r>
      <w:r w:rsidRPr="00BE2622">
        <w:rPr>
          <w:rFonts w:ascii="Calibri Light" w:eastAsia="Calibri Light" w:hAnsi="Calibri Light" w:cs="Times New Roman"/>
          <w:color w:val="595959" w:themeColor="text1" w:themeTint="A6"/>
        </w:rPr>
        <w:t xml:space="preserve">  </w:t>
      </w:r>
      <w:r w:rsidR="00076EDF" w:rsidRPr="00BE2622">
        <w:rPr>
          <w:rFonts w:ascii="Calibri Light" w:eastAsia="Calibri Light" w:hAnsi="Calibri Light" w:cs="Times New Roman"/>
          <w:color w:val="595959" w:themeColor="text1" w:themeTint="A6"/>
        </w:rPr>
        <w:t xml:space="preserve">Australia therefore provided $4 million to support the establishment and operation of Fiji's COP 23 secretariat and a further $2 million to support </w:t>
      </w:r>
      <w:r w:rsidR="00644B75">
        <w:rPr>
          <w:rFonts w:ascii="Calibri Light" w:eastAsia="Calibri Light" w:hAnsi="Calibri Light" w:cs="Times New Roman"/>
          <w:color w:val="595959" w:themeColor="text1" w:themeTint="A6"/>
        </w:rPr>
        <w:t xml:space="preserve">regional </w:t>
      </w:r>
      <w:r w:rsidR="00076EDF" w:rsidRPr="00BE2622">
        <w:rPr>
          <w:rFonts w:ascii="Calibri Light" w:eastAsia="Calibri Light" w:hAnsi="Calibri Light" w:cs="Times New Roman"/>
          <w:color w:val="595959" w:themeColor="text1" w:themeTint="A6"/>
        </w:rPr>
        <w:t>consultations</w:t>
      </w:r>
      <w:r w:rsidR="00057F38">
        <w:rPr>
          <w:rFonts w:ascii="Calibri Light" w:eastAsia="Calibri Light" w:hAnsi="Calibri Light" w:cs="Times New Roman"/>
          <w:color w:val="595959" w:themeColor="text1" w:themeTint="A6"/>
        </w:rPr>
        <w:t xml:space="preserve"> with other Pacific island countries</w:t>
      </w:r>
      <w:r w:rsidR="00076EDF" w:rsidRPr="00BE2622">
        <w:rPr>
          <w:rFonts w:ascii="Calibri Light" w:eastAsia="Calibri Light" w:hAnsi="Calibri Light" w:cs="Times New Roman"/>
          <w:color w:val="595959" w:themeColor="text1" w:themeTint="A6"/>
        </w:rPr>
        <w:t>.</w:t>
      </w:r>
      <w:r w:rsidRPr="00BE2622">
        <w:rPr>
          <w:rFonts w:ascii="Calibri Light" w:eastAsia="Calibri Light" w:hAnsi="Calibri Light" w:cs="Times New Roman"/>
          <w:color w:val="595959" w:themeColor="text1" w:themeTint="A6"/>
        </w:rPr>
        <w:t xml:space="preserve">  </w:t>
      </w:r>
      <w:r w:rsidR="00D15C84">
        <w:rPr>
          <w:rFonts w:ascii="Calibri Light" w:eastAsia="Calibri Light" w:hAnsi="Calibri Light" w:cs="Times New Roman"/>
          <w:color w:val="595959" w:themeColor="text1" w:themeTint="A6"/>
        </w:rPr>
        <w:t xml:space="preserve">Australia’s funding was provided directly to </w:t>
      </w:r>
      <w:r w:rsidR="00076EDF" w:rsidRPr="00BE2622">
        <w:rPr>
          <w:rFonts w:ascii="Calibri Light" w:eastAsia="Calibri Light" w:hAnsi="Calibri Light" w:cs="Times New Roman"/>
          <w:color w:val="595959" w:themeColor="text1" w:themeTint="A6"/>
        </w:rPr>
        <w:t>Fiji’s COP 23 Presidency Trust Fund, the entity established by Fiji’s Parliament to receive and disburse contributions from the international community.</w:t>
      </w:r>
    </w:p>
    <w:p w14:paraId="1409BAB6" w14:textId="77777777" w:rsidR="00076EDF" w:rsidRPr="00BE2622" w:rsidRDefault="00076EDF" w:rsidP="00076EDF">
      <w:pPr>
        <w:pStyle w:val="Heading2"/>
        <w:rPr>
          <w:color w:val="595959" w:themeColor="text1" w:themeTint="A6"/>
        </w:rPr>
      </w:pPr>
      <w:r w:rsidRPr="00BE2622">
        <w:rPr>
          <w:color w:val="595959" w:themeColor="text1" w:themeTint="A6"/>
        </w:rPr>
        <w:lastRenderedPageBreak/>
        <w:t>Mutual obligations</w:t>
      </w:r>
    </w:p>
    <w:p w14:paraId="0C3120D9" w14:textId="57E96822" w:rsidR="00544946" w:rsidRPr="00BE2622" w:rsidRDefault="00DE67F9" w:rsidP="00DE67F9">
      <w:pPr>
        <w:rPr>
          <w:color w:val="595959" w:themeColor="text1" w:themeTint="A6"/>
        </w:rPr>
      </w:pPr>
      <w:r w:rsidRPr="00BE2622">
        <w:rPr>
          <w:color w:val="595959" w:themeColor="text1" w:themeTint="A6"/>
        </w:rPr>
        <w:t xml:space="preserve">While </w:t>
      </w:r>
      <w:r w:rsidR="00076EDF" w:rsidRPr="00BE2622">
        <w:rPr>
          <w:color w:val="595959" w:themeColor="text1" w:themeTint="A6"/>
        </w:rPr>
        <w:t>Australia does not have a formal aid partnership arrangement with the</w:t>
      </w:r>
      <w:r w:rsidR="00544946" w:rsidRPr="00BE2622">
        <w:rPr>
          <w:color w:val="595959" w:themeColor="text1" w:themeTint="A6"/>
        </w:rPr>
        <w:t xml:space="preserve"> Fiji</w:t>
      </w:r>
      <w:r w:rsidR="00076EDF" w:rsidRPr="00BE2622">
        <w:rPr>
          <w:color w:val="595959" w:themeColor="text1" w:themeTint="A6"/>
        </w:rPr>
        <w:t xml:space="preserve"> Government, </w:t>
      </w:r>
      <w:r w:rsidR="00057F38">
        <w:rPr>
          <w:color w:val="595959" w:themeColor="text1" w:themeTint="A6"/>
        </w:rPr>
        <w:t xml:space="preserve">we </w:t>
      </w:r>
      <w:r w:rsidRPr="00BE2622">
        <w:rPr>
          <w:color w:val="595959" w:themeColor="text1" w:themeTint="A6"/>
        </w:rPr>
        <w:t>do h</w:t>
      </w:r>
      <w:r w:rsidR="00057F38">
        <w:rPr>
          <w:color w:val="595959" w:themeColor="text1" w:themeTint="A6"/>
        </w:rPr>
        <w:t>ave</w:t>
      </w:r>
      <w:r w:rsidRPr="00BE2622">
        <w:rPr>
          <w:color w:val="595959" w:themeColor="text1" w:themeTint="A6"/>
        </w:rPr>
        <w:t xml:space="preserve"> Subsidiary Agreements with </w:t>
      </w:r>
      <w:r w:rsidR="00057F38">
        <w:rPr>
          <w:color w:val="595959" w:themeColor="text1" w:themeTint="A6"/>
        </w:rPr>
        <w:t xml:space="preserve">individual </w:t>
      </w:r>
      <w:r w:rsidR="00544946" w:rsidRPr="00BE2622">
        <w:rPr>
          <w:color w:val="595959" w:themeColor="text1" w:themeTint="A6"/>
        </w:rPr>
        <w:t>m</w:t>
      </w:r>
      <w:r w:rsidRPr="00BE2622">
        <w:rPr>
          <w:color w:val="595959" w:themeColor="text1" w:themeTint="A6"/>
        </w:rPr>
        <w:t xml:space="preserve">inistries that sit below a broad Memorandum of Understanding (1995). </w:t>
      </w:r>
      <w:r w:rsidR="00057F38">
        <w:rPr>
          <w:color w:val="595959" w:themeColor="text1" w:themeTint="A6"/>
        </w:rPr>
        <w:t xml:space="preserve"> We also work</w:t>
      </w:r>
      <w:r w:rsidRPr="00BE2622">
        <w:rPr>
          <w:color w:val="595959" w:themeColor="text1" w:themeTint="A6"/>
        </w:rPr>
        <w:t xml:space="preserve"> close</w:t>
      </w:r>
      <w:r w:rsidR="00057F38">
        <w:rPr>
          <w:color w:val="595959" w:themeColor="text1" w:themeTint="A6"/>
        </w:rPr>
        <w:t>ly</w:t>
      </w:r>
      <w:r w:rsidRPr="00BE2622">
        <w:rPr>
          <w:color w:val="595959" w:themeColor="text1" w:themeTint="A6"/>
        </w:rPr>
        <w:t xml:space="preserve"> w</w:t>
      </w:r>
      <w:r w:rsidR="00057F38">
        <w:rPr>
          <w:color w:val="595959" w:themeColor="text1" w:themeTint="A6"/>
        </w:rPr>
        <w:t>ith a number of</w:t>
      </w:r>
      <w:r w:rsidRPr="00BE2622">
        <w:rPr>
          <w:color w:val="595959" w:themeColor="text1" w:themeTint="A6"/>
        </w:rPr>
        <w:t xml:space="preserve"> government</w:t>
      </w:r>
      <w:r w:rsidR="00544946" w:rsidRPr="00BE2622">
        <w:rPr>
          <w:color w:val="595959" w:themeColor="text1" w:themeTint="A6"/>
        </w:rPr>
        <w:t xml:space="preserve"> agencies</w:t>
      </w:r>
      <w:r w:rsidRPr="00BE2622">
        <w:rPr>
          <w:color w:val="595959" w:themeColor="text1" w:themeTint="A6"/>
        </w:rPr>
        <w:t xml:space="preserve">, including </w:t>
      </w:r>
      <w:r w:rsidR="00A171AE" w:rsidRPr="00BE2622">
        <w:rPr>
          <w:color w:val="595959" w:themeColor="text1" w:themeTint="A6"/>
        </w:rPr>
        <w:t xml:space="preserve">the </w:t>
      </w:r>
      <w:r w:rsidRPr="00BE2622">
        <w:rPr>
          <w:color w:val="595959" w:themeColor="text1" w:themeTint="A6"/>
        </w:rPr>
        <w:t>Ministry of Economy</w:t>
      </w:r>
      <w:r w:rsidR="00A171AE" w:rsidRPr="00BE2622">
        <w:rPr>
          <w:color w:val="595959" w:themeColor="text1" w:themeTint="A6"/>
        </w:rPr>
        <w:t>;</w:t>
      </w:r>
      <w:r w:rsidRPr="00BE2622">
        <w:rPr>
          <w:color w:val="595959" w:themeColor="text1" w:themeTint="A6"/>
        </w:rPr>
        <w:t xml:space="preserve"> </w:t>
      </w:r>
      <w:r w:rsidR="00A171AE" w:rsidRPr="00BE2622">
        <w:rPr>
          <w:color w:val="595959" w:themeColor="text1" w:themeTint="A6"/>
        </w:rPr>
        <w:t xml:space="preserve">the </w:t>
      </w:r>
      <w:r w:rsidRPr="00BE2622">
        <w:rPr>
          <w:color w:val="595959" w:themeColor="text1" w:themeTint="A6"/>
        </w:rPr>
        <w:t xml:space="preserve">Ministry of Education, Heritage </w:t>
      </w:r>
      <w:r w:rsidR="00A171AE" w:rsidRPr="00BE2622">
        <w:rPr>
          <w:color w:val="595959" w:themeColor="text1" w:themeTint="A6"/>
        </w:rPr>
        <w:t>and</w:t>
      </w:r>
      <w:r w:rsidRPr="00BE2622">
        <w:rPr>
          <w:color w:val="595959" w:themeColor="text1" w:themeTint="A6"/>
        </w:rPr>
        <w:t xml:space="preserve"> Arts</w:t>
      </w:r>
      <w:r w:rsidR="00A171AE" w:rsidRPr="00BE2622">
        <w:rPr>
          <w:color w:val="595959" w:themeColor="text1" w:themeTint="A6"/>
        </w:rPr>
        <w:t>;</w:t>
      </w:r>
      <w:r w:rsidRPr="00BE2622">
        <w:rPr>
          <w:color w:val="595959" w:themeColor="text1" w:themeTint="A6"/>
        </w:rPr>
        <w:t xml:space="preserve"> </w:t>
      </w:r>
      <w:r w:rsidR="00A171AE" w:rsidRPr="00BE2622">
        <w:rPr>
          <w:color w:val="595959" w:themeColor="text1" w:themeTint="A6"/>
        </w:rPr>
        <w:t xml:space="preserve">the </w:t>
      </w:r>
      <w:r w:rsidRPr="00BE2622">
        <w:rPr>
          <w:color w:val="595959" w:themeColor="text1" w:themeTint="A6"/>
        </w:rPr>
        <w:t xml:space="preserve">Ministry of Health </w:t>
      </w:r>
      <w:r w:rsidR="00A171AE" w:rsidRPr="00BE2622">
        <w:rPr>
          <w:color w:val="595959" w:themeColor="text1" w:themeTint="A6"/>
        </w:rPr>
        <w:t>and</w:t>
      </w:r>
      <w:r w:rsidRPr="00BE2622">
        <w:rPr>
          <w:color w:val="595959" w:themeColor="text1" w:themeTint="A6"/>
        </w:rPr>
        <w:t xml:space="preserve"> Medical Services</w:t>
      </w:r>
      <w:r w:rsidR="00A171AE" w:rsidRPr="00BE2622">
        <w:rPr>
          <w:color w:val="595959" w:themeColor="text1" w:themeTint="A6"/>
        </w:rPr>
        <w:t>;</w:t>
      </w:r>
      <w:r w:rsidRPr="00BE2622">
        <w:rPr>
          <w:color w:val="595959" w:themeColor="text1" w:themeTint="A6"/>
        </w:rPr>
        <w:t xml:space="preserve"> </w:t>
      </w:r>
      <w:r w:rsidR="00A171AE" w:rsidRPr="00BE2622">
        <w:rPr>
          <w:color w:val="595959" w:themeColor="text1" w:themeTint="A6"/>
        </w:rPr>
        <w:t xml:space="preserve">the </w:t>
      </w:r>
      <w:r w:rsidRPr="00BE2622">
        <w:rPr>
          <w:color w:val="595959" w:themeColor="text1" w:themeTint="A6"/>
        </w:rPr>
        <w:t xml:space="preserve">Ministry of Infrastructure, Trade </w:t>
      </w:r>
      <w:r w:rsidR="00A171AE" w:rsidRPr="00BE2622">
        <w:rPr>
          <w:color w:val="595959" w:themeColor="text1" w:themeTint="A6"/>
        </w:rPr>
        <w:t>and</w:t>
      </w:r>
      <w:r w:rsidRPr="00BE2622">
        <w:rPr>
          <w:color w:val="595959" w:themeColor="text1" w:themeTint="A6"/>
        </w:rPr>
        <w:t xml:space="preserve"> Tourism</w:t>
      </w:r>
      <w:r w:rsidR="00A171AE" w:rsidRPr="00BE2622">
        <w:rPr>
          <w:color w:val="595959" w:themeColor="text1" w:themeTint="A6"/>
        </w:rPr>
        <w:t xml:space="preserve">; </w:t>
      </w:r>
      <w:r w:rsidRPr="00BE2622">
        <w:rPr>
          <w:color w:val="595959" w:themeColor="text1" w:themeTint="A6"/>
        </w:rPr>
        <w:t xml:space="preserve">and </w:t>
      </w:r>
      <w:r w:rsidR="00A171AE" w:rsidRPr="00BE2622">
        <w:rPr>
          <w:color w:val="595959" w:themeColor="text1" w:themeTint="A6"/>
        </w:rPr>
        <w:t xml:space="preserve">the </w:t>
      </w:r>
      <w:r w:rsidR="00264B17">
        <w:rPr>
          <w:color w:val="595959" w:themeColor="text1" w:themeTint="A6"/>
        </w:rPr>
        <w:t xml:space="preserve">former </w:t>
      </w:r>
      <w:r w:rsidRPr="00BE2622">
        <w:rPr>
          <w:color w:val="595959" w:themeColor="text1" w:themeTint="A6"/>
        </w:rPr>
        <w:t>Ministry of</w:t>
      </w:r>
      <w:r w:rsidR="00264B17">
        <w:rPr>
          <w:color w:val="595959" w:themeColor="text1" w:themeTint="A6"/>
        </w:rPr>
        <w:t xml:space="preserve"> Agriculture, Rural Development and National</w:t>
      </w:r>
      <w:r w:rsidRPr="00BE2622">
        <w:rPr>
          <w:color w:val="595959" w:themeColor="text1" w:themeTint="A6"/>
        </w:rPr>
        <w:t xml:space="preserve"> Disaster Management. </w:t>
      </w:r>
      <w:r w:rsidR="00A171AE" w:rsidRPr="00BE2622">
        <w:rPr>
          <w:color w:val="595959" w:themeColor="text1" w:themeTint="A6"/>
        </w:rPr>
        <w:t xml:space="preserve"> </w:t>
      </w:r>
    </w:p>
    <w:p w14:paraId="15CF97A9" w14:textId="3A98937E" w:rsidR="00DE67F9" w:rsidRPr="00BE2622" w:rsidRDefault="00DE67F9" w:rsidP="00DE67F9">
      <w:pPr>
        <w:rPr>
          <w:color w:val="595959" w:themeColor="text1" w:themeTint="A6"/>
        </w:rPr>
      </w:pPr>
      <w:r w:rsidRPr="00BE2622">
        <w:rPr>
          <w:color w:val="595959" w:themeColor="text1" w:themeTint="A6"/>
        </w:rPr>
        <w:t xml:space="preserve">In some program areas, the Fiji Government has taken over agreed functions </w:t>
      </w:r>
      <w:r w:rsidR="00BB7853">
        <w:rPr>
          <w:color w:val="595959" w:themeColor="text1" w:themeTint="A6"/>
        </w:rPr>
        <w:t xml:space="preserve">following the completion of </w:t>
      </w:r>
      <w:r w:rsidRPr="00BE2622">
        <w:rPr>
          <w:color w:val="595959" w:themeColor="text1" w:themeTint="A6"/>
        </w:rPr>
        <w:t xml:space="preserve">programs.  For example, the Ministry of Health </w:t>
      </w:r>
      <w:r w:rsidR="00A171AE" w:rsidRPr="00BE2622">
        <w:rPr>
          <w:color w:val="595959" w:themeColor="text1" w:themeTint="A6"/>
        </w:rPr>
        <w:t xml:space="preserve">assumed </w:t>
      </w:r>
      <w:r w:rsidRPr="00BE2622">
        <w:rPr>
          <w:color w:val="595959" w:themeColor="text1" w:themeTint="A6"/>
        </w:rPr>
        <w:t xml:space="preserve">responsibility for the procurement and delivery of three vaccines that FHSSP introduced in 2012 (rotavirus, pneumococcal and HPV).  As part of the </w:t>
      </w:r>
      <w:r w:rsidR="006848F5" w:rsidRPr="00BE2622">
        <w:rPr>
          <w:color w:val="595959" w:themeColor="text1" w:themeTint="A6"/>
        </w:rPr>
        <w:t xml:space="preserve">Fiji Government’s 2017-18 Budget announced in June 2017, the </w:t>
      </w:r>
      <w:r w:rsidRPr="00BE2622">
        <w:rPr>
          <w:color w:val="595959" w:themeColor="text1" w:themeTint="A6"/>
        </w:rPr>
        <w:t xml:space="preserve">Ministry of Education </w:t>
      </w:r>
      <w:r w:rsidR="006848F5" w:rsidRPr="00BE2622">
        <w:rPr>
          <w:color w:val="595959" w:themeColor="text1" w:themeTint="A6"/>
        </w:rPr>
        <w:t>committed to increase funds</w:t>
      </w:r>
      <w:r w:rsidR="00544946" w:rsidRPr="00BE2622">
        <w:rPr>
          <w:color w:val="595959" w:themeColor="text1" w:themeTint="A6"/>
        </w:rPr>
        <w:t xml:space="preserve"> for</w:t>
      </w:r>
      <w:r w:rsidR="006848F5" w:rsidRPr="00BE2622">
        <w:rPr>
          <w:color w:val="595959" w:themeColor="text1" w:themeTint="A6"/>
        </w:rPr>
        <w:t xml:space="preserve"> primary school literacy and numeracy programs </w:t>
      </w:r>
      <w:r w:rsidR="00BB7853">
        <w:rPr>
          <w:color w:val="595959" w:themeColor="text1" w:themeTint="A6"/>
        </w:rPr>
        <w:t xml:space="preserve">following </w:t>
      </w:r>
      <w:r w:rsidR="006848F5" w:rsidRPr="00BE2622">
        <w:rPr>
          <w:color w:val="595959" w:themeColor="text1" w:themeTint="A6"/>
        </w:rPr>
        <w:t>AQEP’s completion.</w:t>
      </w:r>
    </w:p>
    <w:p w14:paraId="1949043C" w14:textId="0A5F17AD" w:rsidR="00076EDF" w:rsidRPr="00BE2622" w:rsidRDefault="00076EDF" w:rsidP="00076EDF">
      <w:pPr>
        <w:rPr>
          <w:color w:val="595959" w:themeColor="text1" w:themeTint="A6"/>
        </w:rPr>
      </w:pPr>
      <w:r w:rsidRPr="00BE2622">
        <w:rPr>
          <w:color w:val="595959" w:themeColor="text1" w:themeTint="A6"/>
        </w:rPr>
        <w:t xml:space="preserve">Fiji is still </w:t>
      </w:r>
      <w:r w:rsidR="00340848">
        <w:rPr>
          <w:color w:val="595959" w:themeColor="text1" w:themeTint="A6"/>
        </w:rPr>
        <w:t>preparing</w:t>
      </w:r>
      <w:r w:rsidRPr="00BE2622">
        <w:rPr>
          <w:color w:val="595959" w:themeColor="text1" w:themeTint="A6"/>
        </w:rPr>
        <w:t xml:space="preserve"> its National Development Plan.  Once released, this plan will allow for more structured engagement with donors and </w:t>
      </w:r>
      <w:r w:rsidR="00A9089D">
        <w:rPr>
          <w:color w:val="595959" w:themeColor="text1" w:themeTint="A6"/>
        </w:rPr>
        <w:t xml:space="preserve">will be </w:t>
      </w:r>
      <w:r w:rsidRPr="00BE2622">
        <w:rPr>
          <w:color w:val="595959" w:themeColor="text1" w:themeTint="A6"/>
        </w:rPr>
        <w:t>used as the basis of a bilateral aid partnership arrangement with Fiji</w:t>
      </w:r>
      <w:r w:rsidR="00DE67F9" w:rsidRPr="00BE2622">
        <w:rPr>
          <w:color w:val="595959" w:themeColor="text1" w:themeTint="A6"/>
        </w:rPr>
        <w:t xml:space="preserve"> from wh</w:t>
      </w:r>
      <w:r w:rsidR="00A171AE" w:rsidRPr="00BE2622">
        <w:rPr>
          <w:color w:val="595959" w:themeColor="text1" w:themeTint="A6"/>
        </w:rPr>
        <w:t>ich</w:t>
      </w:r>
      <w:r w:rsidR="00DE67F9" w:rsidRPr="00BE2622">
        <w:rPr>
          <w:color w:val="595959" w:themeColor="text1" w:themeTint="A6"/>
        </w:rPr>
        <w:t xml:space="preserve"> mutual obligations can be </w:t>
      </w:r>
      <w:r w:rsidR="003A6E90">
        <w:rPr>
          <w:color w:val="595959" w:themeColor="text1" w:themeTint="A6"/>
        </w:rPr>
        <w:t>developed and agreed</w:t>
      </w:r>
      <w:r w:rsidR="00DE67F9" w:rsidRPr="00BE2622">
        <w:rPr>
          <w:color w:val="595959" w:themeColor="text1" w:themeTint="A6"/>
        </w:rPr>
        <w:t>.</w:t>
      </w:r>
    </w:p>
    <w:p w14:paraId="6C525463" w14:textId="77777777" w:rsidR="00076EDF" w:rsidRPr="00BE2622" w:rsidRDefault="00076EDF" w:rsidP="00076EDF">
      <w:pPr>
        <w:pStyle w:val="Heading2"/>
        <w:rPr>
          <w:color w:val="595959" w:themeColor="text1" w:themeTint="A6"/>
        </w:rPr>
      </w:pPr>
      <w:r w:rsidRPr="00BE2622">
        <w:rPr>
          <w:color w:val="595959" w:themeColor="text1" w:themeTint="A6"/>
        </w:rPr>
        <w:t xml:space="preserve">Program Quality and Partner Performance </w:t>
      </w:r>
    </w:p>
    <w:p w14:paraId="14C48A95" w14:textId="370F3F1B" w:rsidR="00076EDF" w:rsidRPr="00BE2622" w:rsidRDefault="00C26C4B" w:rsidP="00A418B1">
      <w:pPr>
        <w:suppressAutoHyphens w:val="0"/>
        <w:spacing w:before="0" w:after="0"/>
        <w:rPr>
          <w:rFonts w:ascii="Calibri Light" w:hAnsi="Calibri Light"/>
          <w:color w:val="595959" w:themeColor="text1" w:themeTint="A6"/>
        </w:rPr>
      </w:pPr>
      <w:r w:rsidRPr="00BE2622">
        <w:rPr>
          <w:rFonts w:ascii="Calibri Light" w:hAnsi="Calibri Light"/>
          <w:color w:val="595959" w:themeColor="text1" w:themeTint="A6"/>
        </w:rPr>
        <w:t xml:space="preserve">We </w:t>
      </w:r>
      <w:r w:rsidR="00C4410B" w:rsidRPr="00BE2622">
        <w:rPr>
          <w:rFonts w:ascii="Calibri Light" w:hAnsi="Calibri Light"/>
          <w:color w:val="595959" w:themeColor="text1" w:themeTint="A6"/>
        </w:rPr>
        <w:t xml:space="preserve">are working </w:t>
      </w:r>
      <w:r w:rsidRPr="00BE2622">
        <w:rPr>
          <w:rFonts w:ascii="Calibri Light" w:hAnsi="Calibri Light"/>
          <w:color w:val="595959" w:themeColor="text1" w:themeTint="A6"/>
        </w:rPr>
        <w:t xml:space="preserve">to improve </w:t>
      </w:r>
      <w:r w:rsidR="00076EDF" w:rsidRPr="00BE2622">
        <w:rPr>
          <w:rFonts w:ascii="Calibri Light" w:hAnsi="Calibri Light"/>
          <w:color w:val="595959" w:themeColor="text1" w:themeTint="A6"/>
        </w:rPr>
        <w:t>the Fiji program’s capacity to generate and use effective performance information.</w:t>
      </w:r>
      <w:r w:rsidR="00076EDF" w:rsidRPr="00BE2622">
        <w:rPr>
          <w:rFonts w:ascii="Calibri Light" w:eastAsia="Calibri" w:hAnsi="Calibri Light" w:cs="Times New Roman"/>
          <w:color w:val="595959" w:themeColor="text1" w:themeTint="A6"/>
        </w:rPr>
        <w:t> </w:t>
      </w:r>
      <w:r w:rsidR="00076EDF" w:rsidRPr="00BE2622">
        <w:rPr>
          <w:rFonts w:ascii="Calibri Light" w:hAnsi="Calibri Light"/>
          <w:color w:val="595959" w:themeColor="text1" w:themeTint="A6"/>
        </w:rPr>
        <w:t xml:space="preserve"> </w:t>
      </w:r>
      <w:r w:rsidRPr="00BE2622">
        <w:rPr>
          <w:rFonts w:ascii="Calibri Light" w:hAnsi="Calibri Light"/>
          <w:color w:val="595959" w:themeColor="text1" w:themeTint="A6"/>
        </w:rPr>
        <w:t xml:space="preserve">Work began on </w:t>
      </w:r>
      <w:r w:rsidR="00076EDF" w:rsidRPr="00BE2622">
        <w:rPr>
          <w:rFonts w:ascii="Calibri Light" w:hAnsi="Calibri Light"/>
          <w:color w:val="595959" w:themeColor="text1" w:themeTint="A6"/>
        </w:rPr>
        <w:t>a whole-of-program Performance Assessment Framework (PAF) to assess progress</w:t>
      </w:r>
      <w:r w:rsidR="00C4410B" w:rsidRPr="00BE2622">
        <w:rPr>
          <w:rFonts w:ascii="Calibri Light" w:hAnsi="Calibri Light"/>
          <w:color w:val="595959" w:themeColor="text1" w:themeTint="A6"/>
        </w:rPr>
        <w:t xml:space="preserve"> </w:t>
      </w:r>
      <w:r w:rsidR="00076EDF" w:rsidRPr="00BE2622">
        <w:rPr>
          <w:rFonts w:ascii="Calibri Light" w:hAnsi="Calibri Light"/>
          <w:color w:val="595959" w:themeColor="text1" w:themeTint="A6"/>
        </w:rPr>
        <w:t>against strategic priorities</w:t>
      </w:r>
      <w:r w:rsidR="00BB7853">
        <w:rPr>
          <w:rFonts w:ascii="Calibri Light" w:hAnsi="Calibri Light"/>
          <w:color w:val="595959" w:themeColor="text1" w:themeTint="A6"/>
        </w:rPr>
        <w:t xml:space="preserve">.  This will be </w:t>
      </w:r>
      <w:r w:rsidRPr="00BE2622">
        <w:rPr>
          <w:rFonts w:ascii="Calibri Light" w:hAnsi="Calibri Light"/>
          <w:color w:val="595959" w:themeColor="text1" w:themeTint="A6"/>
        </w:rPr>
        <w:t>finalise</w:t>
      </w:r>
      <w:r w:rsidR="00BB7853">
        <w:rPr>
          <w:rFonts w:ascii="Calibri Light" w:hAnsi="Calibri Light"/>
          <w:color w:val="595959" w:themeColor="text1" w:themeTint="A6"/>
        </w:rPr>
        <w:t>d</w:t>
      </w:r>
      <w:r w:rsidRPr="00BE2622">
        <w:rPr>
          <w:rFonts w:ascii="Calibri Light" w:hAnsi="Calibri Light"/>
          <w:color w:val="595959" w:themeColor="text1" w:themeTint="A6"/>
        </w:rPr>
        <w:t xml:space="preserve"> </w:t>
      </w:r>
      <w:r w:rsidR="00C4410B" w:rsidRPr="00BE2622">
        <w:rPr>
          <w:rFonts w:ascii="Calibri Light" w:hAnsi="Calibri Light"/>
          <w:color w:val="595959" w:themeColor="text1" w:themeTint="A6"/>
        </w:rPr>
        <w:t xml:space="preserve">by </w:t>
      </w:r>
      <w:r w:rsidRPr="00BE2622">
        <w:rPr>
          <w:rFonts w:ascii="Calibri Light" w:hAnsi="Calibri Light"/>
          <w:color w:val="595959" w:themeColor="text1" w:themeTint="A6"/>
        </w:rPr>
        <w:t>the end of 2017</w:t>
      </w:r>
      <w:r w:rsidR="007E5A60" w:rsidRPr="00BE2622">
        <w:rPr>
          <w:rFonts w:ascii="Calibri Light" w:hAnsi="Calibri Light"/>
          <w:color w:val="595959" w:themeColor="text1" w:themeTint="A6"/>
        </w:rPr>
        <w:t xml:space="preserve">. </w:t>
      </w:r>
    </w:p>
    <w:p w14:paraId="346A5B39" w14:textId="071990F1" w:rsidR="00547EC4" w:rsidRPr="00BE2622" w:rsidRDefault="00547EC4" w:rsidP="00076EDF">
      <w:pPr>
        <w:suppressAutoHyphens w:val="0"/>
        <w:rPr>
          <w:rFonts w:ascii="Calibri Light" w:eastAsia="Calibri" w:hAnsi="Calibri Light" w:cs="Times New Roman"/>
          <w:color w:val="595959" w:themeColor="text1" w:themeTint="A6"/>
        </w:rPr>
      </w:pPr>
      <w:r w:rsidRPr="00BE2622">
        <w:rPr>
          <w:rFonts w:ascii="Calibri Light" w:hAnsi="Calibri Light"/>
          <w:color w:val="595959" w:themeColor="text1" w:themeTint="A6"/>
        </w:rPr>
        <w:t>We conducted a monitoring and evaluation</w:t>
      </w:r>
      <w:r w:rsidRPr="00BE2622" w:rsidDel="000246F2">
        <w:rPr>
          <w:rFonts w:ascii="Calibri Light" w:hAnsi="Calibri Light"/>
          <w:color w:val="595959" w:themeColor="text1" w:themeTint="A6"/>
        </w:rPr>
        <w:t xml:space="preserve"> </w:t>
      </w:r>
      <w:r w:rsidRPr="00BE2622">
        <w:rPr>
          <w:rFonts w:ascii="Calibri Light" w:hAnsi="Calibri Light"/>
          <w:color w:val="595959" w:themeColor="text1" w:themeTint="A6"/>
        </w:rPr>
        <w:t>workshop on the Fiji Program Support Facility to consider our approach to measuring the efficiency, coherence and effectiveness of our aid p</w:t>
      </w:r>
      <w:r w:rsidR="00A60B10">
        <w:rPr>
          <w:rFonts w:ascii="Calibri Light" w:hAnsi="Calibri Light"/>
          <w:color w:val="595959" w:themeColor="text1" w:themeTint="A6"/>
        </w:rPr>
        <w:t>rogram at the operations, cross</w:t>
      </w:r>
      <w:r w:rsidRPr="00BE2622">
        <w:rPr>
          <w:rFonts w:ascii="Calibri Light" w:hAnsi="Calibri Light"/>
          <w:color w:val="595959" w:themeColor="text1" w:themeTint="A6"/>
        </w:rPr>
        <w:t>cutting theme and program levels.</w:t>
      </w:r>
      <w:r w:rsidRPr="00BE2622">
        <w:rPr>
          <w:rFonts w:ascii="Calibri Light" w:eastAsia="Calibri" w:hAnsi="Calibri Light" w:cs="Times New Roman"/>
          <w:color w:val="595959" w:themeColor="text1" w:themeTint="A6"/>
        </w:rPr>
        <w:t xml:space="preserve">  </w:t>
      </w:r>
      <w:r w:rsidR="00BB7853">
        <w:rPr>
          <w:rFonts w:ascii="Calibri Light" w:eastAsia="Calibri" w:hAnsi="Calibri Light" w:cs="Times New Roman"/>
          <w:color w:val="595959" w:themeColor="text1" w:themeTint="A6"/>
        </w:rPr>
        <w:t xml:space="preserve"> </w:t>
      </w:r>
      <w:r w:rsidRPr="00BE2622">
        <w:rPr>
          <w:rFonts w:ascii="Calibri Light" w:eastAsia="Calibri" w:hAnsi="Calibri Light" w:cs="Times New Roman"/>
          <w:color w:val="595959" w:themeColor="text1" w:themeTint="A6"/>
        </w:rPr>
        <w:t xml:space="preserve">This produced a ‘theory of change’ for the Facility that </w:t>
      </w:r>
      <w:r w:rsidRPr="00BE2622">
        <w:rPr>
          <w:rFonts w:ascii="Calibri Light" w:hAnsi="Calibri Light"/>
          <w:color w:val="595959" w:themeColor="text1" w:themeTint="A6"/>
        </w:rPr>
        <w:t xml:space="preserve">defines the pathways, assumptions, risks and expected outcomes of </w:t>
      </w:r>
      <w:r w:rsidR="003A6E90">
        <w:rPr>
          <w:rFonts w:ascii="Calibri Light" w:hAnsi="Calibri Light"/>
          <w:color w:val="595959" w:themeColor="text1" w:themeTint="A6"/>
        </w:rPr>
        <w:t xml:space="preserve">the </w:t>
      </w:r>
      <w:r w:rsidRPr="00BE2622">
        <w:rPr>
          <w:rFonts w:ascii="Calibri Light" w:hAnsi="Calibri Light"/>
          <w:color w:val="595959" w:themeColor="text1" w:themeTint="A6"/>
        </w:rPr>
        <w:t xml:space="preserve">health, education, community development and scholarships programs consolidated under a single managing contractor.  A </w:t>
      </w:r>
      <w:r w:rsidRPr="00BE2622">
        <w:rPr>
          <w:rFonts w:ascii="Calibri Light" w:eastAsia="Calibri" w:hAnsi="Calibri Light" w:cs="Times New Roman"/>
          <w:color w:val="595959" w:themeColor="text1" w:themeTint="A6"/>
        </w:rPr>
        <w:t>broader monitoring and evaluation framework will be developed to measure intermediate changes in behaviours and practices, as well as longer-term systematic changes.  Regular access to program results will help to improve performance and better articulate how Australia’s aid program in Fiji is making a difference on the ground.</w:t>
      </w:r>
    </w:p>
    <w:p w14:paraId="06E09F15" w14:textId="6444B34D" w:rsidR="00076EDF" w:rsidRPr="00BE2622" w:rsidRDefault="0074151E" w:rsidP="00076EDF">
      <w:pPr>
        <w:suppressAutoHyphens w:val="0"/>
        <w:rPr>
          <w:color w:val="595959" w:themeColor="text1" w:themeTint="A6"/>
        </w:rPr>
      </w:pPr>
      <w:r w:rsidRPr="00BE2622">
        <w:rPr>
          <w:rFonts w:ascii="Calibri Light" w:hAnsi="Calibri Light"/>
          <w:color w:val="595959" w:themeColor="text1" w:themeTint="A6"/>
        </w:rPr>
        <w:t>Monitoring and evaluation activities are conducted for a</w:t>
      </w:r>
      <w:r w:rsidR="00544946" w:rsidRPr="00BE2622">
        <w:rPr>
          <w:rFonts w:ascii="Calibri Light" w:hAnsi="Calibri Light"/>
          <w:color w:val="595959" w:themeColor="text1" w:themeTint="A6"/>
        </w:rPr>
        <w:t xml:space="preserve">ll investments </w:t>
      </w:r>
      <w:r w:rsidRPr="00BE2622">
        <w:rPr>
          <w:rFonts w:ascii="Calibri Light" w:hAnsi="Calibri Light"/>
          <w:color w:val="595959" w:themeColor="text1" w:themeTint="A6"/>
        </w:rPr>
        <w:t xml:space="preserve">at </w:t>
      </w:r>
      <w:r w:rsidR="00C4410B" w:rsidRPr="00BE2622">
        <w:rPr>
          <w:rFonts w:ascii="Calibri Light" w:hAnsi="Calibri Light"/>
          <w:color w:val="595959" w:themeColor="text1" w:themeTint="A6"/>
        </w:rPr>
        <w:t>the program level</w:t>
      </w:r>
      <w:r w:rsidRPr="00BE2622">
        <w:rPr>
          <w:rFonts w:ascii="Calibri Light" w:hAnsi="Calibri Light"/>
          <w:color w:val="595959" w:themeColor="text1" w:themeTint="A6"/>
        </w:rPr>
        <w:t xml:space="preserve"> and results are used to enhance program performance.  </w:t>
      </w:r>
      <w:r w:rsidR="005634E0" w:rsidRPr="00BE2622">
        <w:rPr>
          <w:rFonts w:ascii="Calibri Light" w:hAnsi="Calibri Light"/>
          <w:color w:val="595959" w:themeColor="text1" w:themeTint="A6"/>
        </w:rPr>
        <w:t>Despite challenges for some programs (discussed under Aid Quality Checks below), t</w:t>
      </w:r>
      <w:r w:rsidR="00076EDF" w:rsidRPr="00BE2622">
        <w:rPr>
          <w:rFonts w:ascii="Calibri Light" w:hAnsi="Calibri Light"/>
          <w:color w:val="595959" w:themeColor="text1" w:themeTint="A6"/>
        </w:rPr>
        <w:t xml:space="preserve">he </w:t>
      </w:r>
      <w:r w:rsidR="00C4410B" w:rsidRPr="00BE2622">
        <w:rPr>
          <w:rFonts w:ascii="Calibri Light" w:hAnsi="Calibri Light"/>
          <w:color w:val="595959" w:themeColor="text1" w:themeTint="A6"/>
        </w:rPr>
        <w:t>FCDP</w:t>
      </w:r>
      <w:r w:rsidR="00076EDF" w:rsidRPr="00BE2622">
        <w:rPr>
          <w:rFonts w:ascii="Calibri Light" w:hAnsi="Calibri Light"/>
          <w:color w:val="595959" w:themeColor="text1" w:themeTint="A6"/>
        </w:rPr>
        <w:t xml:space="preserve"> successfully managed monitoring and evaluation challenges during the reporting period.</w:t>
      </w:r>
      <w:r w:rsidR="00076EDF" w:rsidRPr="00BE2622">
        <w:rPr>
          <w:rFonts w:ascii="Calibri Light" w:eastAsia="Calibri" w:hAnsi="Calibri Light" w:cs="Times New Roman"/>
          <w:color w:val="595959" w:themeColor="text1" w:themeTint="A6"/>
        </w:rPr>
        <w:t> </w:t>
      </w:r>
      <w:r w:rsidR="00076EDF" w:rsidRPr="00BE2622">
        <w:rPr>
          <w:rFonts w:ascii="Calibri Light" w:hAnsi="Calibri Light"/>
          <w:color w:val="595959" w:themeColor="text1" w:themeTint="A6"/>
        </w:rPr>
        <w:t xml:space="preserve"> </w:t>
      </w:r>
      <w:r w:rsidR="00BB7853">
        <w:rPr>
          <w:rFonts w:ascii="Calibri Light" w:hAnsi="Calibri Light"/>
          <w:color w:val="595959" w:themeColor="text1" w:themeTint="A6"/>
        </w:rPr>
        <w:t xml:space="preserve"> T</w:t>
      </w:r>
      <w:r w:rsidR="00076EDF" w:rsidRPr="00B462FE">
        <w:rPr>
          <w:color w:val="595959" w:themeColor="text1" w:themeTint="A6"/>
        </w:rPr>
        <w:t xml:space="preserve">he </w:t>
      </w:r>
      <w:r w:rsidR="00076EDF" w:rsidRPr="00BE2622">
        <w:rPr>
          <w:color w:val="595959" w:themeColor="text1" w:themeTint="A6"/>
        </w:rPr>
        <w:t xml:space="preserve">results of </w:t>
      </w:r>
      <w:r w:rsidR="00BB7853">
        <w:rPr>
          <w:color w:val="595959" w:themeColor="text1" w:themeTint="A6"/>
        </w:rPr>
        <w:t xml:space="preserve">grants </w:t>
      </w:r>
      <w:r w:rsidR="00BB7853" w:rsidRPr="00B462FE">
        <w:rPr>
          <w:color w:val="595959" w:themeColor="text1" w:themeTint="A6"/>
        </w:rPr>
        <w:t xml:space="preserve">provided </w:t>
      </w:r>
      <w:r w:rsidR="00BB7853">
        <w:rPr>
          <w:color w:val="595959" w:themeColor="text1" w:themeTint="A6"/>
        </w:rPr>
        <w:t xml:space="preserve">by the program </w:t>
      </w:r>
      <w:r w:rsidR="00BB7853" w:rsidRPr="00B462FE">
        <w:rPr>
          <w:color w:val="595959" w:themeColor="text1" w:themeTint="A6"/>
        </w:rPr>
        <w:t>to</w:t>
      </w:r>
      <w:r w:rsidR="00BB7853">
        <w:rPr>
          <w:color w:val="595959" w:themeColor="text1" w:themeTint="A6"/>
        </w:rPr>
        <w:t xml:space="preserve"> </w:t>
      </w:r>
      <w:r w:rsidR="00076EDF" w:rsidRPr="00BE2622">
        <w:rPr>
          <w:color w:val="595959" w:themeColor="text1" w:themeTint="A6"/>
        </w:rPr>
        <w:t xml:space="preserve">CSO projects </w:t>
      </w:r>
      <w:r w:rsidR="00C4410B" w:rsidRPr="00BE2622">
        <w:rPr>
          <w:color w:val="595959" w:themeColor="text1" w:themeTint="A6"/>
        </w:rPr>
        <w:t xml:space="preserve">were unable to be </w:t>
      </w:r>
      <w:r w:rsidR="00076EDF" w:rsidRPr="00BE2622">
        <w:rPr>
          <w:color w:val="595959" w:themeColor="text1" w:themeTint="A6"/>
        </w:rPr>
        <w:t xml:space="preserve">aggregated as they </w:t>
      </w:r>
      <w:r w:rsidR="00076EDF" w:rsidRPr="00BE2622">
        <w:rPr>
          <w:rFonts w:ascii="Calibri Light" w:hAnsi="Calibri Light"/>
          <w:color w:val="595959" w:themeColor="text1" w:themeTint="A6"/>
        </w:rPr>
        <w:t>were</w:t>
      </w:r>
      <w:r w:rsidR="00076EDF" w:rsidRPr="00BE2622">
        <w:rPr>
          <w:color w:val="595959" w:themeColor="text1" w:themeTint="A6"/>
        </w:rPr>
        <w:t xml:space="preserve"> often small in value, </w:t>
      </w:r>
      <w:r w:rsidR="00076EDF" w:rsidRPr="00BE2622">
        <w:rPr>
          <w:rFonts w:ascii="Calibri Light" w:hAnsi="Calibri Light"/>
          <w:color w:val="595959" w:themeColor="text1" w:themeTint="A6"/>
        </w:rPr>
        <w:t>had</w:t>
      </w:r>
      <w:r w:rsidR="00076EDF" w:rsidRPr="00BE2622">
        <w:rPr>
          <w:color w:val="595959" w:themeColor="text1" w:themeTint="A6"/>
        </w:rPr>
        <w:t xml:space="preserve"> short implementation timelines (1-2 years) and </w:t>
      </w:r>
      <w:r w:rsidR="00076EDF" w:rsidRPr="00BE2622">
        <w:rPr>
          <w:rFonts w:ascii="Calibri Light" w:hAnsi="Calibri Light"/>
          <w:color w:val="595959" w:themeColor="text1" w:themeTint="A6"/>
        </w:rPr>
        <w:t>were</w:t>
      </w:r>
      <w:r w:rsidR="00076EDF" w:rsidRPr="00BE2622">
        <w:rPr>
          <w:color w:val="595959" w:themeColor="text1" w:themeTint="A6"/>
        </w:rPr>
        <w:t xml:space="preserve"> in multiple sectors.</w:t>
      </w:r>
      <w:r w:rsidR="00076EDF" w:rsidRPr="00BE2622">
        <w:rPr>
          <w:rFonts w:ascii="Calibri Light" w:eastAsia="Calibri" w:hAnsi="Calibri Light" w:cs="Times New Roman"/>
          <w:color w:val="595959" w:themeColor="text1" w:themeTint="A6"/>
        </w:rPr>
        <w:t> </w:t>
      </w:r>
      <w:r w:rsidR="00076EDF" w:rsidRPr="00BE2622">
        <w:rPr>
          <w:rFonts w:ascii="Calibri Light" w:hAnsi="Calibri Light"/>
          <w:color w:val="595959" w:themeColor="text1" w:themeTint="A6"/>
        </w:rPr>
        <w:t xml:space="preserve"> To address this information gap, the </w:t>
      </w:r>
      <w:r w:rsidR="00076EDF" w:rsidRPr="00BE2622">
        <w:rPr>
          <w:color w:val="595959" w:themeColor="text1" w:themeTint="A6"/>
        </w:rPr>
        <w:t xml:space="preserve">FCDP conducted in-depth </w:t>
      </w:r>
      <w:r w:rsidR="00076EDF" w:rsidRPr="00BE2622">
        <w:rPr>
          <w:rFonts w:ascii="Calibri Light" w:hAnsi="Calibri Light"/>
          <w:color w:val="595959" w:themeColor="text1" w:themeTint="A6"/>
        </w:rPr>
        <w:t>sector-specific studies that proved valuable in generating performance information</w:t>
      </w:r>
      <w:r w:rsidR="00C4410B" w:rsidRPr="00BE2622">
        <w:rPr>
          <w:rFonts w:ascii="Calibri Light" w:hAnsi="Calibri Light"/>
          <w:color w:val="595959" w:themeColor="text1" w:themeTint="A6"/>
        </w:rPr>
        <w:t xml:space="preserve"> and will inform the design of the next phase</w:t>
      </w:r>
      <w:r w:rsidR="00CB239B">
        <w:rPr>
          <w:rFonts w:ascii="Calibri Light" w:hAnsi="Calibri Light"/>
          <w:color w:val="595959" w:themeColor="text1" w:themeTint="A6"/>
        </w:rPr>
        <w:t xml:space="preserve"> of support to CSOs</w:t>
      </w:r>
      <w:r w:rsidR="00076EDF" w:rsidRPr="00BE2622">
        <w:rPr>
          <w:rFonts w:ascii="Calibri Light" w:hAnsi="Calibri Light"/>
          <w:color w:val="595959" w:themeColor="text1" w:themeTint="A6"/>
        </w:rPr>
        <w:t xml:space="preserve">. </w:t>
      </w:r>
    </w:p>
    <w:p w14:paraId="31ACF019" w14:textId="77777777" w:rsidR="00076EDF" w:rsidRPr="00BE2622" w:rsidRDefault="00076EDF" w:rsidP="00076EDF">
      <w:pPr>
        <w:suppressAutoHyphens w:val="0"/>
        <w:rPr>
          <w:b/>
          <w:color w:val="595959" w:themeColor="text1" w:themeTint="A6"/>
        </w:rPr>
      </w:pPr>
      <w:r w:rsidRPr="00BE2622">
        <w:rPr>
          <w:rFonts w:ascii="Calibri Light" w:hAnsi="Calibri Light"/>
          <w:b/>
          <w:color w:val="595959" w:themeColor="text1" w:themeTint="A6"/>
        </w:rPr>
        <w:t>Evaluations and forward evaluation pipeline</w:t>
      </w:r>
    </w:p>
    <w:p w14:paraId="5283B092" w14:textId="2A2345A1" w:rsidR="00076EDF" w:rsidRPr="00BE2622" w:rsidRDefault="00226404" w:rsidP="00076EDF">
      <w:pPr>
        <w:suppressAutoHyphens w:val="0"/>
        <w:rPr>
          <w:rFonts w:ascii="Calibri Light" w:hAnsi="Calibri Light"/>
          <w:color w:val="595959" w:themeColor="text1" w:themeTint="A6"/>
        </w:rPr>
      </w:pPr>
      <w:r w:rsidRPr="00BE2622">
        <w:rPr>
          <w:rFonts w:ascii="Calibri Light" w:hAnsi="Calibri Light"/>
          <w:color w:val="595959" w:themeColor="text1" w:themeTint="A6"/>
        </w:rPr>
        <w:t xml:space="preserve">In 2016-17, </w:t>
      </w:r>
      <w:r w:rsidR="00076EDF" w:rsidRPr="00BE2622">
        <w:rPr>
          <w:rFonts w:ascii="Calibri Light" w:hAnsi="Calibri Light"/>
          <w:color w:val="595959" w:themeColor="text1" w:themeTint="A6"/>
        </w:rPr>
        <w:t>Mid-Term Review</w:t>
      </w:r>
      <w:r w:rsidR="00AC31D3">
        <w:rPr>
          <w:rFonts w:ascii="Calibri Light" w:hAnsi="Calibri Light"/>
          <w:color w:val="595959" w:themeColor="text1" w:themeTint="A6"/>
        </w:rPr>
        <w:t>s</w:t>
      </w:r>
      <w:r w:rsidR="00076EDF" w:rsidRPr="00BE2622">
        <w:rPr>
          <w:rFonts w:ascii="Calibri Light" w:hAnsi="Calibri Light"/>
          <w:color w:val="595959" w:themeColor="text1" w:themeTint="A6"/>
        </w:rPr>
        <w:t xml:space="preserve"> of the Governance </w:t>
      </w:r>
      <w:r w:rsidR="00AC31D3">
        <w:rPr>
          <w:rFonts w:ascii="Calibri Light" w:hAnsi="Calibri Light"/>
          <w:color w:val="595959" w:themeColor="text1" w:themeTint="A6"/>
        </w:rPr>
        <w:t xml:space="preserve">and Pacific Financial Inclusion </w:t>
      </w:r>
      <w:r w:rsidR="00076EDF" w:rsidRPr="00BE2622">
        <w:rPr>
          <w:rFonts w:ascii="Calibri Light" w:hAnsi="Calibri Light"/>
          <w:color w:val="595959" w:themeColor="text1" w:themeTint="A6"/>
        </w:rPr>
        <w:t>program</w:t>
      </w:r>
      <w:r w:rsidR="00AC31D3">
        <w:rPr>
          <w:rFonts w:ascii="Calibri Light" w:hAnsi="Calibri Light"/>
          <w:color w:val="595959" w:themeColor="text1" w:themeTint="A6"/>
        </w:rPr>
        <w:t>s</w:t>
      </w:r>
      <w:r w:rsidR="00076EDF" w:rsidRPr="00BE2622">
        <w:rPr>
          <w:rFonts w:ascii="Calibri Light" w:hAnsi="Calibri Light"/>
          <w:color w:val="595959" w:themeColor="text1" w:themeTint="A6"/>
        </w:rPr>
        <w:t xml:space="preserve"> w</w:t>
      </w:r>
      <w:r w:rsidR="00AC31D3">
        <w:rPr>
          <w:rFonts w:ascii="Calibri Light" w:hAnsi="Calibri Light"/>
          <w:color w:val="595959" w:themeColor="text1" w:themeTint="A6"/>
        </w:rPr>
        <w:t>ere</w:t>
      </w:r>
      <w:r w:rsidR="00076EDF" w:rsidRPr="00BE2622">
        <w:rPr>
          <w:rFonts w:ascii="Calibri Light" w:hAnsi="Calibri Light"/>
          <w:color w:val="595959" w:themeColor="text1" w:themeTint="A6"/>
        </w:rPr>
        <w:t xml:space="preserve"> completed</w:t>
      </w:r>
      <w:r w:rsidR="00264B17">
        <w:rPr>
          <w:rFonts w:ascii="Calibri Light" w:hAnsi="Calibri Light"/>
          <w:color w:val="595959" w:themeColor="text1" w:themeTint="A6"/>
        </w:rPr>
        <w:t>, as well as a review of the Pacific Women Fiji Country Plan</w:t>
      </w:r>
      <w:r w:rsidRPr="00BE2622">
        <w:rPr>
          <w:rFonts w:ascii="Calibri Light" w:hAnsi="Calibri Light"/>
          <w:color w:val="595959" w:themeColor="text1" w:themeTint="A6"/>
        </w:rPr>
        <w:t>.  E</w:t>
      </w:r>
      <w:r w:rsidR="00076EDF" w:rsidRPr="00BE2622">
        <w:rPr>
          <w:rFonts w:ascii="Calibri Light" w:hAnsi="Calibri Light"/>
          <w:color w:val="595959" w:themeColor="text1" w:themeTint="A6"/>
        </w:rPr>
        <w:t xml:space="preserve">nd of program evaluations for the </w:t>
      </w:r>
      <w:r w:rsidRPr="00BE2622">
        <w:rPr>
          <w:rFonts w:ascii="Calibri Light" w:hAnsi="Calibri Light"/>
          <w:color w:val="595959" w:themeColor="text1" w:themeTint="A6"/>
        </w:rPr>
        <w:t>FCDP and AQEP, and a</w:t>
      </w:r>
      <w:r w:rsidR="00076EDF" w:rsidRPr="00BE2622">
        <w:rPr>
          <w:rFonts w:ascii="Calibri Light" w:hAnsi="Calibri Light"/>
          <w:color w:val="595959" w:themeColor="text1" w:themeTint="A6"/>
        </w:rPr>
        <w:t xml:space="preserve">n evaluation of Australia’s response to TC Winston in the education sector </w:t>
      </w:r>
      <w:r w:rsidRPr="00BE2622">
        <w:rPr>
          <w:rFonts w:ascii="Calibri Light" w:hAnsi="Calibri Light"/>
          <w:color w:val="595959" w:themeColor="text1" w:themeTint="A6"/>
        </w:rPr>
        <w:t xml:space="preserve">are due to </w:t>
      </w:r>
      <w:r w:rsidR="00076EDF" w:rsidRPr="00BE2622">
        <w:rPr>
          <w:rFonts w:ascii="Calibri Light" w:hAnsi="Calibri Light"/>
          <w:color w:val="595959" w:themeColor="text1" w:themeTint="A6"/>
        </w:rPr>
        <w:t>be finalised in 2017-18.</w:t>
      </w:r>
    </w:p>
    <w:p w14:paraId="6F531BB4" w14:textId="77777777" w:rsidR="00076EDF" w:rsidRPr="00BE2622" w:rsidRDefault="00076EDF" w:rsidP="00076EDF">
      <w:pPr>
        <w:suppressAutoHyphens w:val="0"/>
        <w:rPr>
          <w:rFonts w:ascii="Calibri Light" w:hAnsi="Calibri Light"/>
          <w:b/>
          <w:color w:val="595959" w:themeColor="text1" w:themeTint="A6"/>
        </w:rPr>
      </w:pPr>
      <w:r w:rsidRPr="00BE2622">
        <w:rPr>
          <w:rFonts w:ascii="Calibri Light" w:hAnsi="Calibri Light"/>
          <w:b/>
          <w:color w:val="595959" w:themeColor="text1" w:themeTint="A6"/>
        </w:rPr>
        <w:t>Aid Quality Checks (AQCs)</w:t>
      </w:r>
    </w:p>
    <w:p w14:paraId="4F1E0BB6" w14:textId="2632F36D" w:rsidR="00547EC4" w:rsidRPr="00BE2622" w:rsidRDefault="00076EDF" w:rsidP="00076EDF">
      <w:pPr>
        <w:suppressAutoHyphens w:val="0"/>
        <w:rPr>
          <w:rFonts w:ascii="Calibri Light" w:hAnsi="Calibri Light"/>
          <w:color w:val="595959" w:themeColor="text1" w:themeTint="A6"/>
        </w:rPr>
      </w:pPr>
      <w:r w:rsidRPr="00BE2622">
        <w:rPr>
          <w:rFonts w:ascii="Calibri Light" w:hAnsi="Calibri Light"/>
          <w:color w:val="595959" w:themeColor="text1" w:themeTint="A6"/>
        </w:rPr>
        <w:t>Six programs completed Aid Quality Checks (AQCs) for 2016-17, three of which were Final AQCs.  A Humanitarian AQC was completed for the TC Winston response.  Ratings are summarised at Annex D. </w:t>
      </w:r>
      <w:r w:rsidR="00BB7853">
        <w:rPr>
          <w:rFonts w:ascii="Calibri Light" w:hAnsi="Calibri Light"/>
          <w:color w:val="595959" w:themeColor="text1" w:themeTint="A6"/>
        </w:rPr>
        <w:t xml:space="preserve"> </w:t>
      </w:r>
      <w:r w:rsidRPr="00BE2622">
        <w:rPr>
          <w:rFonts w:ascii="Calibri Light" w:hAnsi="Calibri Light"/>
          <w:color w:val="595959" w:themeColor="text1" w:themeTint="A6"/>
        </w:rPr>
        <w:t xml:space="preserve"> </w:t>
      </w:r>
      <w:r w:rsidR="00235805" w:rsidRPr="00BE2622">
        <w:rPr>
          <w:rFonts w:ascii="Calibri Light" w:hAnsi="Calibri Light"/>
          <w:color w:val="595959" w:themeColor="text1" w:themeTint="A6"/>
        </w:rPr>
        <w:t>Programs received positive ratings across the majority of measures</w:t>
      </w:r>
      <w:r w:rsidR="005634E0" w:rsidRPr="00BE2622">
        <w:rPr>
          <w:rFonts w:ascii="Calibri Light" w:hAnsi="Calibri Light"/>
          <w:color w:val="595959" w:themeColor="text1" w:themeTint="A6"/>
        </w:rPr>
        <w:t xml:space="preserve"> (of the total of 49 ratings awarded across programs, only six were less than adequate)</w:t>
      </w:r>
      <w:r w:rsidR="00235805" w:rsidRPr="00BE2622">
        <w:rPr>
          <w:rFonts w:ascii="Calibri Light" w:hAnsi="Calibri Light"/>
          <w:color w:val="595959" w:themeColor="text1" w:themeTint="A6"/>
        </w:rPr>
        <w:t>.  A</w:t>
      </w:r>
      <w:r w:rsidR="00547EC4" w:rsidRPr="00BE2622">
        <w:rPr>
          <w:rFonts w:ascii="Calibri Light" w:hAnsi="Calibri Light"/>
          <w:color w:val="595959" w:themeColor="text1" w:themeTint="A6"/>
        </w:rPr>
        <w:t xml:space="preserve">ll programs were found to be highly relevant and received strong ratings for effectiveness and sustainability.  </w:t>
      </w:r>
      <w:r w:rsidR="005634E0" w:rsidRPr="00BE2622">
        <w:rPr>
          <w:rFonts w:ascii="Calibri Light" w:hAnsi="Calibri Light"/>
          <w:color w:val="595959" w:themeColor="text1" w:themeTint="A6"/>
        </w:rPr>
        <w:t xml:space="preserve">Less than adequate ratings were </w:t>
      </w:r>
      <w:r w:rsidR="00BB7853">
        <w:rPr>
          <w:rFonts w:ascii="Calibri Light" w:hAnsi="Calibri Light"/>
          <w:color w:val="595959" w:themeColor="text1" w:themeTint="A6"/>
        </w:rPr>
        <w:t xml:space="preserve">recorded for </w:t>
      </w:r>
      <w:r w:rsidR="005634E0" w:rsidRPr="00BE2622">
        <w:rPr>
          <w:rFonts w:ascii="Calibri Light" w:hAnsi="Calibri Light"/>
          <w:color w:val="595959" w:themeColor="text1" w:themeTint="A6"/>
        </w:rPr>
        <w:t>efficiency, monitoring and evaluation, and gender equality.</w:t>
      </w:r>
    </w:p>
    <w:p w14:paraId="1B8236C5" w14:textId="0BB17072" w:rsidR="00076EDF" w:rsidRPr="00BE2622" w:rsidRDefault="005634E0" w:rsidP="00076EDF">
      <w:pPr>
        <w:suppressAutoHyphens w:val="0"/>
        <w:rPr>
          <w:rFonts w:ascii="Calibri Light" w:hAnsi="Calibri Light"/>
          <w:color w:val="595959" w:themeColor="text1" w:themeTint="A6"/>
        </w:rPr>
      </w:pPr>
      <w:r w:rsidRPr="00BE2622">
        <w:rPr>
          <w:rFonts w:ascii="Calibri Light" w:hAnsi="Calibri Light"/>
          <w:color w:val="595959" w:themeColor="text1" w:themeTint="A6"/>
        </w:rPr>
        <w:lastRenderedPageBreak/>
        <w:t xml:space="preserve">The </w:t>
      </w:r>
      <w:r w:rsidR="00235805" w:rsidRPr="00BE2622">
        <w:rPr>
          <w:rFonts w:ascii="Calibri Light" w:hAnsi="Calibri Light"/>
          <w:color w:val="595959" w:themeColor="text1" w:themeTint="A6"/>
        </w:rPr>
        <w:t xml:space="preserve">IPP and scholarships </w:t>
      </w:r>
      <w:r w:rsidRPr="00BE2622">
        <w:rPr>
          <w:rFonts w:ascii="Calibri Light" w:hAnsi="Calibri Light"/>
          <w:color w:val="595959" w:themeColor="text1" w:themeTint="A6"/>
        </w:rPr>
        <w:t xml:space="preserve">programs </w:t>
      </w:r>
      <w:r w:rsidR="00235805" w:rsidRPr="00BE2622">
        <w:rPr>
          <w:rFonts w:ascii="Calibri Light" w:hAnsi="Calibri Light"/>
          <w:color w:val="595959" w:themeColor="text1" w:themeTint="A6"/>
        </w:rPr>
        <w:t>received lower ratings for efficiency</w:t>
      </w:r>
      <w:r w:rsidR="00076EDF" w:rsidRPr="00BE2622">
        <w:rPr>
          <w:rFonts w:ascii="Calibri Light" w:hAnsi="Calibri Light"/>
          <w:color w:val="595959" w:themeColor="text1" w:themeTint="A6"/>
        </w:rPr>
        <w:t>. </w:t>
      </w:r>
      <w:r w:rsidR="00BB7853">
        <w:rPr>
          <w:rFonts w:ascii="Calibri Light" w:hAnsi="Calibri Light"/>
          <w:color w:val="595959" w:themeColor="text1" w:themeTint="A6"/>
        </w:rPr>
        <w:t xml:space="preserve"> </w:t>
      </w:r>
      <w:r w:rsidR="00076EDF" w:rsidRPr="00BE2622">
        <w:rPr>
          <w:rFonts w:ascii="Calibri Light" w:hAnsi="Calibri Light"/>
          <w:color w:val="595959" w:themeColor="text1" w:themeTint="A6"/>
        </w:rPr>
        <w:t xml:space="preserve"> By design, the IPP works through a number of modalities, including grant support to CSOs, funding for multilateral organisations and twinning arrangements between Australian Government agencies and their Fijian counterparts.  </w:t>
      </w:r>
      <w:r w:rsidR="00BB7853">
        <w:rPr>
          <w:rFonts w:ascii="Calibri Light" w:hAnsi="Calibri Light"/>
          <w:color w:val="595959" w:themeColor="text1" w:themeTint="A6"/>
        </w:rPr>
        <w:t xml:space="preserve"> </w:t>
      </w:r>
      <w:r w:rsidRPr="00BE2622">
        <w:rPr>
          <w:rFonts w:ascii="Calibri Light" w:hAnsi="Calibri Light"/>
          <w:color w:val="595959" w:themeColor="text1" w:themeTint="A6"/>
        </w:rPr>
        <w:t xml:space="preserve">The range of these activities affects the program’s overall efficiency, but they have nonetheless </w:t>
      </w:r>
      <w:r w:rsidR="00076EDF" w:rsidRPr="00BE2622">
        <w:rPr>
          <w:rFonts w:ascii="Calibri Light" w:hAnsi="Calibri Light"/>
          <w:color w:val="595959" w:themeColor="text1" w:themeTint="A6"/>
        </w:rPr>
        <w:t>been carefully selected and rema</w:t>
      </w:r>
      <w:r w:rsidRPr="00BE2622">
        <w:rPr>
          <w:rFonts w:ascii="Calibri Light" w:hAnsi="Calibri Light"/>
          <w:color w:val="595959" w:themeColor="text1" w:themeTint="A6"/>
        </w:rPr>
        <w:t xml:space="preserve">in appropriate for the program.  The scholarships program, by its nature, is also resource intensive.  We expect to realise efficiencies through the transfer of scholarships management to the </w:t>
      </w:r>
      <w:r w:rsidR="003A6E90">
        <w:rPr>
          <w:rFonts w:ascii="Calibri Light" w:hAnsi="Calibri Light"/>
          <w:color w:val="595959" w:themeColor="text1" w:themeTint="A6"/>
        </w:rPr>
        <w:t xml:space="preserve">Fiji Program Support </w:t>
      </w:r>
      <w:r w:rsidRPr="00BE2622">
        <w:rPr>
          <w:rFonts w:ascii="Calibri Light" w:hAnsi="Calibri Light"/>
          <w:color w:val="595959" w:themeColor="text1" w:themeTint="A6"/>
        </w:rPr>
        <w:t>Facility.</w:t>
      </w:r>
    </w:p>
    <w:p w14:paraId="0F567AA6" w14:textId="76C9718A" w:rsidR="005634E0" w:rsidRPr="00BE2622" w:rsidRDefault="005634E0" w:rsidP="00076EDF">
      <w:pPr>
        <w:suppressAutoHyphens w:val="0"/>
        <w:rPr>
          <w:rFonts w:ascii="Calibri Light" w:hAnsi="Calibri Light"/>
          <w:color w:val="595959" w:themeColor="text1" w:themeTint="A6"/>
        </w:rPr>
      </w:pPr>
      <w:r w:rsidRPr="00BE2622">
        <w:rPr>
          <w:rFonts w:ascii="Calibri Light" w:hAnsi="Calibri Light"/>
          <w:color w:val="595959" w:themeColor="text1" w:themeTint="A6"/>
        </w:rPr>
        <w:t>The IPP and scholarships programs also faced challenges with monitoring and evaluation.  An IPP Mid-Term Review found that greater efforts were required to systematically track incremental progress, and work is now underway to develop an appropriate results framework.  For the scholarships program, monitoring and evaluation had been concentrated on the inputs/outputs level (e.g</w:t>
      </w:r>
      <w:r w:rsidR="00CB239B">
        <w:rPr>
          <w:rFonts w:ascii="Calibri Light" w:hAnsi="Calibri Light"/>
          <w:color w:val="595959" w:themeColor="text1" w:themeTint="A6"/>
        </w:rPr>
        <w:t>.</w:t>
      </w:r>
      <w:r w:rsidRPr="00BE2622">
        <w:rPr>
          <w:rFonts w:ascii="Calibri Light" w:hAnsi="Calibri Light"/>
          <w:color w:val="595959" w:themeColor="text1" w:themeTint="A6"/>
        </w:rPr>
        <w:t xml:space="preserve"> student success rates in their studies) with insufficient attention given to tracking how students utilised their new knowledge upon return to Fiji.  A more comprehensive monitoring and evaluation framework is currently being developed as part of a new design process.</w:t>
      </w:r>
    </w:p>
    <w:p w14:paraId="6D7BDEFB" w14:textId="313382B5" w:rsidR="00076EDF" w:rsidRPr="00BE2622" w:rsidRDefault="00076EDF" w:rsidP="00076EDF">
      <w:pPr>
        <w:suppressAutoHyphens w:val="0"/>
        <w:rPr>
          <w:rFonts w:ascii="Calibri Light" w:hAnsi="Calibri Light"/>
          <w:color w:val="595959" w:themeColor="text1" w:themeTint="A6"/>
        </w:rPr>
      </w:pPr>
      <w:r w:rsidRPr="00BE2622">
        <w:rPr>
          <w:rFonts w:ascii="Calibri Light" w:hAnsi="Calibri Light"/>
          <w:color w:val="595959" w:themeColor="text1" w:themeTint="A6"/>
        </w:rPr>
        <w:t xml:space="preserve">The Fiji program’s performance on gender equality declined slightly compared to last year due to low ratings for the IPP and TC Winston response.  </w:t>
      </w:r>
      <w:r w:rsidR="00BB7853">
        <w:rPr>
          <w:rFonts w:ascii="Calibri Light" w:hAnsi="Calibri Light"/>
          <w:color w:val="595959" w:themeColor="text1" w:themeTint="A6"/>
        </w:rPr>
        <w:t xml:space="preserve"> </w:t>
      </w:r>
      <w:r w:rsidRPr="00BE2622">
        <w:rPr>
          <w:rFonts w:ascii="Calibri Light" w:hAnsi="Calibri Light"/>
          <w:color w:val="595959" w:themeColor="text1" w:themeTint="A6"/>
        </w:rPr>
        <w:t xml:space="preserve">Both programs have management responses which aim to improve these results.  </w:t>
      </w:r>
    </w:p>
    <w:p w14:paraId="442644F6" w14:textId="77777777" w:rsidR="00076EDF" w:rsidRPr="00BE2622" w:rsidRDefault="00076EDF" w:rsidP="00076EDF">
      <w:pPr>
        <w:suppressAutoHyphens w:val="0"/>
        <w:rPr>
          <w:rFonts w:ascii="Calibri Light" w:hAnsi="Calibri Light"/>
          <w:b/>
          <w:color w:val="595959" w:themeColor="text1" w:themeTint="A6"/>
        </w:rPr>
      </w:pPr>
      <w:r w:rsidRPr="00BE2622">
        <w:rPr>
          <w:rFonts w:ascii="Calibri Light" w:hAnsi="Calibri Light"/>
          <w:b/>
          <w:color w:val="595959" w:themeColor="text1" w:themeTint="A6"/>
        </w:rPr>
        <w:t>Performance of key delivery partners</w:t>
      </w:r>
    </w:p>
    <w:p w14:paraId="0B305BED" w14:textId="0699C29F" w:rsidR="00076EDF" w:rsidRPr="00BE2622" w:rsidRDefault="00076EDF" w:rsidP="00076EDF">
      <w:pPr>
        <w:suppressAutoHyphens w:val="0"/>
        <w:rPr>
          <w:rFonts w:ascii="Calibri Light" w:hAnsi="Calibri Light"/>
          <w:color w:val="595959" w:themeColor="text1" w:themeTint="A6"/>
        </w:rPr>
      </w:pPr>
      <w:r w:rsidRPr="00BE2622">
        <w:rPr>
          <w:rFonts w:ascii="Calibri Light" w:hAnsi="Calibri Light"/>
          <w:color w:val="595959" w:themeColor="text1" w:themeTint="A6"/>
        </w:rPr>
        <w:t>In 2016-17, we continued to work with our top five implementing partners</w:t>
      </w:r>
      <w:r w:rsidR="00644B75">
        <w:rPr>
          <w:rFonts w:ascii="Calibri Light" w:hAnsi="Calibri Light"/>
          <w:color w:val="595959" w:themeColor="text1" w:themeTint="A6"/>
        </w:rPr>
        <w:t>:</w:t>
      </w:r>
      <w:r w:rsidRPr="00BE2622">
        <w:rPr>
          <w:rFonts w:ascii="Calibri Light" w:hAnsi="Calibri Light"/>
          <w:color w:val="595959" w:themeColor="text1" w:themeTint="A6"/>
        </w:rPr>
        <w:t xml:space="preserve"> Palladium (AQEP), Abt Associates (FHSSP), Coffey International (FCDP and </w:t>
      </w:r>
      <w:r w:rsidR="003B1781" w:rsidRPr="00BE2622">
        <w:rPr>
          <w:rFonts w:ascii="Calibri Light" w:hAnsi="Calibri Light"/>
          <w:color w:val="595959" w:themeColor="text1" w:themeTint="A6"/>
        </w:rPr>
        <w:t>the Facility</w:t>
      </w:r>
      <w:r w:rsidRPr="00BE2622">
        <w:rPr>
          <w:rFonts w:ascii="Calibri Light" w:hAnsi="Calibri Light"/>
          <w:color w:val="595959" w:themeColor="text1" w:themeTint="A6"/>
        </w:rPr>
        <w:t xml:space="preserve">), Cardno Emerging Markets (MDF) and Conciliation Resources (Governance). </w:t>
      </w:r>
      <w:r w:rsidR="000B4BE7" w:rsidRPr="00BE2622">
        <w:rPr>
          <w:rFonts w:ascii="Calibri Light" w:hAnsi="Calibri Light"/>
          <w:color w:val="595959" w:themeColor="text1" w:themeTint="A6"/>
        </w:rPr>
        <w:t xml:space="preserve"> </w:t>
      </w:r>
      <w:r w:rsidRPr="00BE2622">
        <w:rPr>
          <w:rFonts w:ascii="Calibri Light" w:hAnsi="Calibri Light"/>
          <w:color w:val="595959" w:themeColor="text1" w:themeTint="A6"/>
        </w:rPr>
        <w:t xml:space="preserve">We collaborated with a number of CSOs, </w:t>
      </w:r>
      <w:r w:rsidR="00644B75">
        <w:rPr>
          <w:rFonts w:ascii="Calibri Light" w:hAnsi="Calibri Light"/>
          <w:color w:val="595959" w:themeColor="text1" w:themeTint="A6"/>
        </w:rPr>
        <w:t>including</w:t>
      </w:r>
      <w:r w:rsidRPr="00BE2622">
        <w:rPr>
          <w:rFonts w:ascii="Calibri Light" w:hAnsi="Calibri Light"/>
          <w:color w:val="595959" w:themeColor="text1" w:themeTint="A6"/>
        </w:rPr>
        <w:t xml:space="preserve"> the Fiji Women’s Crisis Centre, Medical Services Pacific (MSP), Empower Pacific, OXFAM Fiji and Habitat for Humanity Fiji.  Our bilateral programs also worked in close coordination with Fiji</w:t>
      </w:r>
      <w:r w:rsidR="000B4BE7" w:rsidRPr="00BE2622">
        <w:rPr>
          <w:rFonts w:ascii="Calibri Light" w:hAnsi="Calibri Light"/>
          <w:color w:val="595959" w:themeColor="text1" w:themeTint="A6"/>
        </w:rPr>
        <w:t xml:space="preserve"> Government</w:t>
      </w:r>
      <w:r w:rsidRPr="00BE2622">
        <w:rPr>
          <w:rFonts w:ascii="Calibri Light" w:hAnsi="Calibri Light"/>
          <w:color w:val="595959" w:themeColor="text1" w:themeTint="A6"/>
        </w:rPr>
        <w:t xml:space="preserve"> ministries and multilateral organisations including the Asian Development Bank,</w:t>
      </w:r>
      <w:r w:rsidR="00904445" w:rsidRPr="00BE2622">
        <w:rPr>
          <w:rFonts w:ascii="Calibri Light" w:hAnsi="Calibri Light"/>
          <w:color w:val="595959" w:themeColor="text1" w:themeTint="A6"/>
        </w:rPr>
        <w:t xml:space="preserve"> International Finance Corporation,</w:t>
      </w:r>
      <w:r w:rsidRPr="00BE2622">
        <w:rPr>
          <w:rFonts w:ascii="Calibri Light" w:hAnsi="Calibri Light"/>
          <w:color w:val="595959" w:themeColor="text1" w:themeTint="A6"/>
        </w:rPr>
        <w:t xml:space="preserve"> UNICEF, the Global Partnership for Education, UN Women and the World Health Organization. </w:t>
      </w:r>
    </w:p>
    <w:p w14:paraId="19BFD246" w14:textId="28EAAD29" w:rsidR="00076EDF" w:rsidRPr="00BE2622" w:rsidRDefault="00076EDF" w:rsidP="00A418B1">
      <w:pPr>
        <w:suppressAutoHyphens w:val="0"/>
        <w:rPr>
          <w:rFonts w:asciiTheme="majorHAnsi" w:eastAsiaTheme="majorEastAsia" w:hAnsiTheme="majorHAnsi" w:cstheme="majorBidi"/>
          <w:caps/>
          <w:color w:val="595959" w:themeColor="text1" w:themeTint="A6"/>
          <w:sz w:val="38"/>
          <w:szCs w:val="26"/>
        </w:rPr>
      </w:pPr>
      <w:r w:rsidRPr="00BE2622">
        <w:rPr>
          <w:rFonts w:ascii="Calibri Light" w:hAnsi="Calibri Light"/>
          <w:color w:val="595959" w:themeColor="text1" w:themeTint="A6"/>
        </w:rPr>
        <w:t>The annual evaluation of these partners through the Partner Performance Assessment tool found most implementing partners assessed were rated as ‘adequate’ or ‘performing well’  (between four and five on a six point scale). </w:t>
      </w:r>
      <w:r w:rsidR="00732695">
        <w:rPr>
          <w:rFonts w:ascii="Calibri Light" w:hAnsi="Calibri Light"/>
          <w:color w:val="595959" w:themeColor="text1" w:themeTint="A6"/>
        </w:rPr>
        <w:t xml:space="preserve"> </w:t>
      </w:r>
      <w:r w:rsidRPr="00BE2622">
        <w:rPr>
          <w:rFonts w:ascii="Calibri Light" w:hAnsi="Calibri Light"/>
          <w:color w:val="595959" w:themeColor="text1" w:themeTint="A6"/>
        </w:rPr>
        <w:t xml:space="preserve"> </w:t>
      </w:r>
      <w:r w:rsidR="005468F6" w:rsidRPr="00BE2622">
        <w:rPr>
          <w:rFonts w:ascii="Calibri Light" w:hAnsi="Calibri Light"/>
          <w:color w:val="595959" w:themeColor="text1" w:themeTint="A6"/>
        </w:rPr>
        <w:t>No implementing partner was found to have performed less than adequately.</w:t>
      </w:r>
      <w:r w:rsidR="00644B75">
        <w:rPr>
          <w:rFonts w:ascii="Calibri Light" w:hAnsi="Calibri Light"/>
          <w:color w:val="595959" w:themeColor="text1" w:themeTint="A6"/>
        </w:rPr>
        <w:t xml:space="preserve">  </w:t>
      </w:r>
      <w:r w:rsidR="005468F6" w:rsidRPr="00BE2622">
        <w:rPr>
          <w:rFonts w:ascii="Calibri Light" w:hAnsi="Calibri Light"/>
          <w:color w:val="595959" w:themeColor="text1" w:themeTint="A6"/>
        </w:rPr>
        <w:t>However, g</w:t>
      </w:r>
      <w:r w:rsidRPr="00BE2622">
        <w:rPr>
          <w:rFonts w:ascii="Calibri Light" w:hAnsi="Calibri Light"/>
          <w:color w:val="595959" w:themeColor="text1" w:themeTint="A6"/>
        </w:rPr>
        <w:t xml:space="preserve">iven the </w:t>
      </w:r>
      <w:r w:rsidR="00D15C84">
        <w:rPr>
          <w:rFonts w:ascii="Calibri Light" w:hAnsi="Calibri Light"/>
          <w:color w:val="595959" w:themeColor="text1" w:themeTint="A6"/>
        </w:rPr>
        <w:t xml:space="preserve">additional time and </w:t>
      </w:r>
      <w:r w:rsidRPr="00BE2622">
        <w:rPr>
          <w:rFonts w:ascii="Calibri Light" w:hAnsi="Calibri Light"/>
          <w:color w:val="595959" w:themeColor="text1" w:themeTint="A6"/>
        </w:rPr>
        <w:t>significant technical expertise required to manage the rebuild</w:t>
      </w:r>
      <w:r w:rsidR="00BB7853">
        <w:rPr>
          <w:rFonts w:ascii="Calibri Light" w:hAnsi="Calibri Light"/>
          <w:color w:val="595959" w:themeColor="text1" w:themeTint="A6"/>
        </w:rPr>
        <w:t>ing</w:t>
      </w:r>
      <w:r w:rsidRPr="00BE2622">
        <w:rPr>
          <w:rFonts w:ascii="Calibri Light" w:hAnsi="Calibri Light"/>
          <w:color w:val="595959" w:themeColor="text1" w:themeTint="A6"/>
        </w:rPr>
        <w:t xml:space="preserve"> of the Waimaro Health Centre, </w:t>
      </w:r>
      <w:r w:rsidR="005468F6" w:rsidRPr="00BE2622">
        <w:rPr>
          <w:rFonts w:ascii="Calibri Light" w:hAnsi="Calibri Light"/>
          <w:color w:val="595959" w:themeColor="text1" w:themeTint="A6"/>
        </w:rPr>
        <w:t xml:space="preserve">it was necessary to </w:t>
      </w:r>
      <w:r w:rsidRPr="00BE2622">
        <w:rPr>
          <w:rFonts w:ascii="Calibri Light" w:hAnsi="Calibri Light"/>
          <w:color w:val="595959" w:themeColor="text1" w:themeTint="A6"/>
        </w:rPr>
        <w:t xml:space="preserve">shift management </w:t>
      </w:r>
      <w:r w:rsidR="005468F6" w:rsidRPr="00BE2622">
        <w:rPr>
          <w:rFonts w:ascii="Calibri Light" w:hAnsi="Calibri Light"/>
          <w:color w:val="595959" w:themeColor="text1" w:themeTint="A6"/>
        </w:rPr>
        <w:t xml:space="preserve">of this project </w:t>
      </w:r>
      <w:r w:rsidRPr="00BE2622">
        <w:rPr>
          <w:rFonts w:ascii="Calibri Light" w:hAnsi="Calibri Light"/>
          <w:color w:val="595959" w:themeColor="text1" w:themeTint="A6"/>
        </w:rPr>
        <w:t>from Abt Associates to Palladium</w:t>
      </w:r>
      <w:r w:rsidR="005468F6" w:rsidRPr="00BE2622">
        <w:rPr>
          <w:rFonts w:ascii="Calibri Light" w:hAnsi="Calibri Light"/>
          <w:color w:val="595959" w:themeColor="text1" w:themeTint="A6"/>
        </w:rPr>
        <w:t xml:space="preserve">.  This was </w:t>
      </w:r>
      <w:r w:rsidR="00BC1465">
        <w:rPr>
          <w:rFonts w:ascii="Calibri Light" w:hAnsi="Calibri Light"/>
          <w:color w:val="595959" w:themeColor="text1" w:themeTint="A6"/>
        </w:rPr>
        <w:t xml:space="preserve">because </w:t>
      </w:r>
      <w:r w:rsidR="003B1781" w:rsidRPr="00BE2622">
        <w:rPr>
          <w:rFonts w:ascii="Calibri Light" w:hAnsi="Calibri Light"/>
          <w:color w:val="595959" w:themeColor="text1" w:themeTint="A6"/>
        </w:rPr>
        <w:t xml:space="preserve">it was difficult for Abt Associates to extend their operations in Fiji past June 2017 and </w:t>
      </w:r>
      <w:r w:rsidR="00BC1465">
        <w:rPr>
          <w:rFonts w:ascii="Calibri Light" w:hAnsi="Calibri Light"/>
          <w:color w:val="595959" w:themeColor="text1" w:themeTint="A6"/>
        </w:rPr>
        <w:t xml:space="preserve">an assessment that </w:t>
      </w:r>
      <w:r w:rsidRPr="00BE2622">
        <w:rPr>
          <w:rFonts w:ascii="Calibri Light" w:hAnsi="Calibri Light"/>
          <w:color w:val="595959" w:themeColor="text1" w:themeTint="A6"/>
        </w:rPr>
        <w:t>Palladium could provide efficient and effective oversight going forward given its proven successful management of the larger school rebuilding program.</w:t>
      </w:r>
    </w:p>
    <w:p w14:paraId="6EF288B1" w14:textId="77777777" w:rsidR="00076EDF" w:rsidRPr="00BE2622" w:rsidRDefault="00076EDF" w:rsidP="00076EDF">
      <w:pPr>
        <w:pStyle w:val="Heading2"/>
        <w:rPr>
          <w:color w:val="595959" w:themeColor="text1" w:themeTint="A6"/>
        </w:rPr>
      </w:pPr>
      <w:r w:rsidRPr="00BE2622">
        <w:rPr>
          <w:color w:val="595959" w:themeColor="text1" w:themeTint="A6"/>
        </w:rPr>
        <w:t>Risks</w:t>
      </w:r>
    </w:p>
    <w:p w14:paraId="45B187AE" w14:textId="668EE7BF" w:rsidR="00F64058" w:rsidRPr="00BE2622" w:rsidRDefault="00F64058" w:rsidP="00FE69A2">
      <w:pPr>
        <w:rPr>
          <w:color w:val="595959" w:themeColor="text1" w:themeTint="A6"/>
        </w:rPr>
      </w:pPr>
      <w:r w:rsidRPr="00BE2622">
        <w:rPr>
          <w:color w:val="595959" w:themeColor="text1" w:themeTint="A6"/>
        </w:rPr>
        <w:t>The overall risk profile o</w:t>
      </w:r>
      <w:r>
        <w:rPr>
          <w:color w:val="595959" w:themeColor="text1" w:themeTint="A6"/>
        </w:rPr>
        <w:t>f</w:t>
      </w:r>
      <w:r w:rsidRPr="00BE2622">
        <w:rPr>
          <w:color w:val="595959" w:themeColor="text1" w:themeTint="A6"/>
        </w:rPr>
        <w:t xml:space="preserve"> the Fiji program remained relatively constant over the last 12 months.  The risk of natural disaster negatively affecting development programs is ever present and is managed through building flexibility into the bilateral program through contingency funds and investing in disaster risk reduction and management.</w:t>
      </w:r>
    </w:p>
    <w:p w14:paraId="46AEF128" w14:textId="7DC4E676" w:rsidR="00F64058" w:rsidRPr="00BE2622" w:rsidRDefault="00F64058" w:rsidP="009C3CF2">
      <w:pPr>
        <w:rPr>
          <w:color w:val="595959" w:themeColor="text1" w:themeTint="A6"/>
        </w:rPr>
      </w:pPr>
      <w:r w:rsidRPr="00BE2622">
        <w:rPr>
          <w:color w:val="595959" w:themeColor="text1" w:themeTint="A6"/>
        </w:rPr>
        <w:t xml:space="preserve">The risk of misalignment of our aid program in the absence of a formal National Development Plan is managed through engagement with the Fiji Government on its priorities at the sector level and by ensuring that new investment designs are able to respond to any change in government priorities (including following the national election planned for 2018). </w:t>
      </w:r>
    </w:p>
    <w:p w14:paraId="0E643418" w14:textId="4ECBE0D9" w:rsidR="00AC31D3" w:rsidRDefault="00F64058" w:rsidP="009C3CF2">
      <w:pPr>
        <w:rPr>
          <w:color w:val="595959" w:themeColor="text1" w:themeTint="A6"/>
        </w:rPr>
      </w:pPr>
      <w:r w:rsidRPr="00BE2622">
        <w:rPr>
          <w:color w:val="595959" w:themeColor="text1" w:themeTint="A6"/>
        </w:rPr>
        <w:t xml:space="preserve">The risk of continued delays in TC Winston reconstruction work and substandard rebuilding practices remains high.  These </w:t>
      </w:r>
      <w:r w:rsidR="00AC31D3">
        <w:rPr>
          <w:color w:val="595959" w:themeColor="text1" w:themeTint="A6"/>
        </w:rPr>
        <w:t>risks</w:t>
      </w:r>
      <w:r w:rsidRPr="00BE2622">
        <w:rPr>
          <w:color w:val="595959" w:themeColor="text1" w:themeTint="A6"/>
        </w:rPr>
        <w:t xml:space="preserve"> relate to weather, accessibility of remote locations, availability of building </w:t>
      </w:r>
      <w:r>
        <w:rPr>
          <w:color w:val="595959" w:themeColor="text1" w:themeTint="A6"/>
        </w:rPr>
        <w:t xml:space="preserve">materials </w:t>
      </w:r>
      <w:r w:rsidRPr="00BE2622">
        <w:rPr>
          <w:color w:val="595959" w:themeColor="text1" w:themeTint="A6"/>
        </w:rPr>
        <w:t>and the substandard work of contractors.  While some of these issues are outside of our control, we mitigate</w:t>
      </w:r>
      <w:r>
        <w:rPr>
          <w:color w:val="595959" w:themeColor="text1" w:themeTint="A6"/>
        </w:rPr>
        <w:t>d</w:t>
      </w:r>
      <w:r w:rsidRPr="00BE2622">
        <w:rPr>
          <w:color w:val="595959" w:themeColor="text1" w:themeTint="A6"/>
        </w:rPr>
        <w:t xml:space="preserve"> </w:t>
      </w:r>
      <w:r w:rsidR="00AC31D3">
        <w:rPr>
          <w:color w:val="595959" w:themeColor="text1" w:themeTint="A6"/>
        </w:rPr>
        <w:t xml:space="preserve">the </w:t>
      </w:r>
      <w:r w:rsidRPr="00BE2622">
        <w:rPr>
          <w:color w:val="595959" w:themeColor="text1" w:themeTint="A6"/>
        </w:rPr>
        <w:t>risk by actively managing the implementation of the recovery program and by extending the Australian Civilian Corps infrastructure advisor until the end of 2017.</w:t>
      </w:r>
    </w:p>
    <w:p w14:paraId="7E9E6C48" w14:textId="77777777" w:rsidR="008C660F" w:rsidRDefault="008C660F" w:rsidP="009C3CF2">
      <w:pPr>
        <w:rPr>
          <w:b/>
          <w:color w:val="595959" w:themeColor="text1" w:themeTint="A6"/>
          <w:sz w:val="24"/>
        </w:rPr>
      </w:pPr>
    </w:p>
    <w:p w14:paraId="11ABB33B" w14:textId="77777777" w:rsidR="008C660F" w:rsidRDefault="008C660F" w:rsidP="009C3CF2">
      <w:pPr>
        <w:rPr>
          <w:b/>
          <w:color w:val="595959" w:themeColor="text1" w:themeTint="A6"/>
          <w:sz w:val="24"/>
        </w:rPr>
      </w:pPr>
    </w:p>
    <w:p w14:paraId="26530E45" w14:textId="77777777" w:rsidR="008C660F" w:rsidRDefault="008C660F" w:rsidP="009C3CF2">
      <w:pPr>
        <w:rPr>
          <w:b/>
          <w:color w:val="595959" w:themeColor="text1" w:themeTint="A6"/>
          <w:sz w:val="24"/>
        </w:rPr>
      </w:pPr>
    </w:p>
    <w:p w14:paraId="72C72BA3" w14:textId="5C5AE6BF" w:rsidR="009C3CF2" w:rsidRDefault="009C3CF2" w:rsidP="009C3CF2">
      <w:pPr>
        <w:rPr>
          <w:b/>
          <w:color w:val="595959" w:themeColor="text1" w:themeTint="A6"/>
          <w:sz w:val="24"/>
        </w:rPr>
      </w:pPr>
      <w:r w:rsidRPr="00BE2622">
        <w:rPr>
          <w:b/>
          <w:color w:val="595959" w:themeColor="text1" w:themeTint="A6"/>
          <w:sz w:val="24"/>
        </w:rPr>
        <w:t>Table 3: Management of Key Risks to Achieving Objectives</w:t>
      </w:r>
    </w:p>
    <w:p w14:paraId="4066684B" w14:textId="77777777" w:rsidR="00F64058" w:rsidRPr="00BE2622" w:rsidRDefault="00F64058" w:rsidP="00F64058">
      <w:pPr>
        <w:rPr>
          <w:color w:val="595959" w:themeColor="text1" w:themeTint="A6"/>
        </w:rPr>
      </w:pPr>
    </w:p>
    <w:tbl>
      <w:tblPr>
        <w:tblStyle w:val="AP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16"/>
        <w:gridCol w:w="2574"/>
        <w:gridCol w:w="3118"/>
        <w:gridCol w:w="851"/>
        <w:gridCol w:w="1269"/>
      </w:tblGrid>
      <w:tr w:rsidR="000B4BE7" w:rsidRPr="00BE2622" w14:paraId="5CB49444" w14:textId="77777777" w:rsidTr="00E90A76">
        <w:tc>
          <w:tcPr>
            <w:tcW w:w="1774" w:type="dxa"/>
            <w:tcBorders>
              <w:top w:val="single" w:sz="4" w:space="0" w:color="auto"/>
              <w:left w:val="single" w:sz="4" w:space="0" w:color="auto"/>
              <w:bottom w:val="single" w:sz="4" w:space="0" w:color="auto"/>
              <w:right w:val="single" w:sz="4" w:space="0" w:color="auto"/>
            </w:tcBorders>
            <w:hideMark/>
          </w:tcPr>
          <w:p w14:paraId="74A8710F" w14:textId="77777777" w:rsidR="00076EDF" w:rsidRPr="008F1063" w:rsidRDefault="00076EDF">
            <w:pPr>
              <w:rPr>
                <w:rFonts w:asciiTheme="minorHAnsi" w:hAnsiTheme="minorHAnsi"/>
                <w:b/>
                <w:color w:val="595959" w:themeColor="text1" w:themeTint="A6"/>
              </w:rPr>
            </w:pPr>
            <w:r w:rsidRPr="008F1063">
              <w:rPr>
                <w:rFonts w:asciiTheme="minorHAnsi" w:hAnsiTheme="minorHAnsi"/>
                <w:b/>
                <w:color w:val="595959" w:themeColor="text1" w:themeTint="A6"/>
              </w:rPr>
              <w:t>Key risks</w:t>
            </w:r>
          </w:p>
        </w:tc>
        <w:tc>
          <w:tcPr>
            <w:tcW w:w="2546" w:type="dxa"/>
            <w:tcBorders>
              <w:top w:val="single" w:sz="4" w:space="0" w:color="auto"/>
              <w:left w:val="single" w:sz="4" w:space="0" w:color="auto"/>
              <w:bottom w:val="single" w:sz="4" w:space="0" w:color="auto"/>
              <w:right w:val="single" w:sz="4" w:space="0" w:color="auto"/>
            </w:tcBorders>
            <w:hideMark/>
          </w:tcPr>
          <w:p w14:paraId="7D06472E" w14:textId="6C52F195" w:rsidR="00076EDF" w:rsidRPr="006E478E" w:rsidRDefault="009C3CF2" w:rsidP="009C3CF2">
            <w:pPr>
              <w:rPr>
                <w:rFonts w:asciiTheme="minorHAnsi" w:hAnsiTheme="minorHAnsi"/>
                <w:b/>
                <w:color w:val="595959" w:themeColor="text1" w:themeTint="A6"/>
              </w:rPr>
            </w:pPr>
            <w:r>
              <w:rPr>
                <w:rFonts w:asciiTheme="minorHAnsi" w:hAnsiTheme="minorHAnsi"/>
                <w:b/>
                <w:color w:val="595959" w:themeColor="text1" w:themeTint="A6"/>
              </w:rPr>
              <w:t>A</w:t>
            </w:r>
            <w:r w:rsidR="00076EDF" w:rsidRPr="006E478E">
              <w:rPr>
                <w:rFonts w:asciiTheme="minorHAnsi" w:hAnsiTheme="minorHAnsi"/>
                <w:b/>
                <w:color w:val="595959" w:themeColor="text1" w:themeTint="A6"/>
              </w:rPr>
              <w:t>ctions taken to manage the risks over the past year</w:t>
            </w:r>
          </w:p>
        </w:tc>
        <w:tc>
          <w:tcPr>
            <w:tcW w:w="3090" w:type="dxa"/>
            <w:tcBorders>
              <w:top w:val="single" w:sz="4" w:space="0" w:color="auto"/>
              <w:left w:val="single" w:sz="4" w:space="0" w:color="auto"/>
              <w:bottom w:val="single" w:sz="4" w:space="0" w:color="auto"/>
              <w:right w:val="single" w:sz="4" w:space="0" w:color="auto"/>
            </w:tcBorders>
            <w:hideMark/>
          </w:tcPr>
          <w:p w14:paraId="74E59DED" w14:textId="1052FBF1" w:rsidR="00076EDF" w:rsidRPr="00A418B1" w:rsidRDefault="009C3CF2" w:rsidP="009C3CF2">
            <w:pPr>
              <w:rPr>
                <w:rFonts w:asciiTheme="minorHAnsi" w:hAnsiTheme="minorHAnsi"/>
                <w:b/>
                <w:color w:val="595959" w:themeColor="text1" w:themeTint="A6"/>
              </w:rPr>
            </w:pPr>
            <w:r>
              <w:rPr>
                <w:rFonts w:asciiTheme="minorHAnsi" w:hAnsiTheme="minorHAnsi"/>
                <w:b/>
                <w:color w:val="595959" w:themeColor="text1" w:themeTint="A6"/>
              </w:rPr>
              <w:t>F</w:t>
            </w:r>
            <w:r w:rsidR="00076EDF" w:rsidRPr="00A418B1">
              <w:rPr>
                <w:rFonts w:asciiTheme="minorHAnsi" w:hAnsiTheme="minorHAnsi"/>
                <w:b/>
                <w:color w:val="595959" w:themeColor="text1" w:themeTint="A6"/>
              </w:rPr>
              <w:t xml:space="preserve">urther actions </w:t>
            </w:r>
            <w:r>
              <w:rPr>
                <w:rFonts w:asciiTheme="minorHAnsi" w:hAnsiTheme="minorHAnsi"/>
                <w:b/>
                <w:color w:val="595959" w:themeColor="text1" w:themeTint="A6"/>
              </w:rPr>
              <w:t>to</w:t>
            </w:r>
            <w:r w:rsidR="00076EDF" w:rsidRPr="00A418B1">
              <w:rPr>
                <w:rFonts w:asciiTheme="minorHAnsi" w:hAnsiTheme="minorHAnsi"/>
                <w:b/>
                <w:color w:val="595959" w:themeColor="text1" w:themeTint="A6"/>
              </w:rPr>
              <w:t xml:space="preserve"> be taken to manage the risks in the coming year</w:t>
            </w:r>
          </w:p>
        </w:tc>
        <w:tc>
          <w:tcPr>
            <w:tcW w:w="823" w:type="dxa"/>
            <w:tcBorders>
              <w:top w:val="single" w:sz="4" w:space="0" w:color="auto"/>
              <w:left w:val="single" w:sz="4" w:space="0" w:color="auto"/>
              <w:bottom w:val="single" w:sz="4" w:space="0" w:color="auto"/>
              <w:right w:val="single" w:sz="4" w:space="0" w:color="auto"/>
            </w:tcBorders>
            <w:hideMark/>
          </w:tcPr>
          <w:p w14:paraId="27E894CB" w14:textId="3087D413" w:rsidR="00076EDF" w:rsidRPr="00A418B1" w:rsidRDefault="00076EDF" w:rsidP="00A5344D">
            <w:pPr>
              <w:rPr>
                <w:rFonts w:asciiTheme="minorHAnsi" w:hAnsiTheme="minorHAnsi"/>
                <w:b/>
                <w:color w:val="595959" w:themeColor="text1" w:themeTint="A6"/>
              </w:rPr>
            </w:pPr>
            <w:r w:rsidRPr="00A418B1">
              <w:rPr>
                <w:rFonts w:asciiTheme="minorHAnsi" w:hAnsiTheme="minorHAnsi"/>
                <w:b/>
                <w:color w:val="595959" w:themeColor="text1" w:themeTint="A6"/>
              </w:rPr>
              <w:t xml:space="preserve">Risk Rating </w:t>
            </w:r>
            <w:r w:rsidR="000B4BE7" w:rsidRPr="00A418B1" w:rsidDel="000B4BE7">
              <w:rPr>
                <w:rFonts w:asciiTheme="minorHAnsi" w:hAnsiTheme="minorHAnsi"/>
                <w:b/>
                <w:color w:val="595959" w:themeColor="text1" w:themeTint="A6"/>
              </w:rPr>
              <w:t xml:space="preserve">  </w:t>
            </w:r>
          </w:p>
        </w:tc>
        <w:tc>
          <w:tcPr>
            <w:tcW w:w="1227" w:type="dxa"/>
            <w:tcBorders>
              <w:top w:val="single" w:sz="4" w:space="0" w:color="auto"/>
              <w:left w:val="single" w:sz="4" w:space="0" w:color="auto"/>
              <w:bottom w:val="single" w:sz="4" w:space="0" w:color="auto"/>
              <w:right w:val="single" w:sz="4" w:space="0" w:color="auto"/>
            </w:tcBorders>
            <w:hideMark/>
          </w:tcPr>
          <w:p w14:paraId="20A107CA" w14:textId="4F112F9F" w:rsidR="00076EDF" w:rsidRPr="00A418B1" w:rsidRDefault="000B4BE7" w:rsidP="007917E1">
            <w:pPr>
              <w:rPr>
                <w:rFonts w:asciiTheme="minorHAnsi" w:hAnsiTheme="minorHAnsi"/>
                <w:b/>
                <w:color w:val="595959" w:themeColor="text1" w:themeTint="A6"/>
              </w:rPr>
            </w:pPr>
            <w:r w:rsidRPr="00A418B1">
              <w:rPr>
                <w:rFonts w:asciiTheme="minorHAnsi" w:hAnsiTheme="minorHAnsi"/>
                <w:b/>
                <w:color w:val="595959" w:themeColor="text1" w:themeTint="A6"/>
              </w:rPr>
              <w:t>I</w:t>
            </w:r>
            <w:r w:rsidR="00076EDF" w:rsidRPr="00A418B1">
              <w:rPr>
                <w:rFonts w:asciiTheme="minorHAnsi" w:hAnsiTheme="minorHAnsi"/>
                <w:b/>
                <w:color w:val="595959" w:themeColor="text1" w:themeTint="A6"/>
              </w:rPr>
              <w:t>n Post’s Risk Register</w:t>
            </w:r>
            <w:r w:rsidRPr="00A418B1">
              <w:rPr>
                <w:rFonts w:asciiTheme="minorHAnsi" w:hAnsiTheme="minorHAnsi"/>
                <w:b/>
                <w:color w:val="595959" w:themeColor="text1" w:themeTint="A6"/>
              </w:rPr>
              <w:t>?</w:t>
            </w:r>
          </w:p>
        </w:tc>
      </w:tr>
      <w:tr w:rsidR="000B4BE7" w:rsidRPr="00BE2622" w14:paraId="00A8CA4D" w14:textId="77777777" w:rsidTr="00B462FE">
        <w:trPr>
          <w:trHeight w:val="56"/>
        </w:trPr>
        <w:tc>
          <w:tcPr>
            <w:tcW w:w="1774" w:type="dxa"/>
            <w:tcBorders>
              <w:top w:val="single" w:sz="4" w:space="0" w:color="auto"/>
              <w:left w:val="single" w:sz="4" w:space="0" w:color="auto"/>
              <w:bottom w:val="single" w:sz="4" w:space="0" w:color="auto"/>
              <w:right w:val="single" w:sz="4" w:space="0" w:color="auto"/>
            </w:tcBorders>
            <w:hideMark/>
          </w:tcPr>
          <w:p w14:paraId="16A8E446" w14:textId="77777777" w:rsidR="00076EDF" w:rsidRPr="00A418B1" w:rsidRDefault="00076EDF">
            <w:pPr>
              <w:keepLines/>
              <w:spacing w:before="40" w:after="40" w:line="200" w:lineRule="atLeast"/>
              <w:rPr>
                <w:rFonts w:asciiTheme="minorHAnsi" w:eastAsia="Times New Roman" w:hAnsiTheme="minorHAnsi"/>
                <w:iCs/>
                <w:color w:val="595959" w:themeColor="text1" w:themeTint="A6"/>
                <w:szCs w:val="17"/>
                <w:lang w:eastAsia="en-US"/>
              </w:rPr>
            </w:pPr>
            <w:r w:rsidRPr="00A418B1">
              <w:rPr>
                <w:rFonts w:asciiTheme="minorHAnsi" w:eastAsia="Times New Roman" w:hAnsiTheme="minorHAnsi"/>
                <w:iCs/>
                <w:color w:val="595959" w:themeColor="text1" w:themeTint="A6"/>
                <w:szCs w:val="17"/>
              </w:rPr>
              <w:t>A natural disaster damages or destroys infrastructure and/or systems and the Fiji Government if forced to divert resources to respond.</w:t>
            </w:r>
          </w:p>
        </w:tc>
        <w:tc>
          <w:tcPr>
            <w:tcW w:w="2546" w:type="dxa"/>
            <w:tcBorders>
              <w:top w:val="single" w:sz="4" w:space="0" w:color="auto"/>
              <w:left w:val="single" w:sz="4" w:space="0" w:color="auto"/>
              <w:bottom w:val="single" w:sz="4" w:space="0" w:color="auto"/>
              <w:right w:val="single" w:sz="4" w:space="0" w:color="auto"/>
            </w:tcBorders>
            <w:hideMark/>
          </w:tcPr>
          <w:p w14:paraId="684A16A9" w14:textId="77777777" w:rsidR="00076EDF" w:rsidRPr="00A418B1" w:rsidRDefault="00076EDF">
            <w:pPr>
              <w:keepLines/>
              <w:spacing w:before="40" w:after="40" w:line="200" w:lineRule="atLeast"/>
              <w:rPr>
                <w:rFonts w:asciiTheme="minorHAnsi" w:eastAsia="Times New Roman" w:hAnsiTheme="minorHAnsi"/>
                <w:iCs/>
                <w:color w:val="595959" w:themeColor="text1" w:themeTint="A6"/>
                <w:szCs w:val="17"/>
              </w:rPr>
            </w:pPr>
            <w:r w:rsidRPr="00A418B1">
              <w:rPr>
                <w:rFonts w:asciiTheme="minorHAnsi" w:eastAsia="Times New Roman" w:hAnsiTheme="minorHAnsi"/>
                <w:iCs/>
                <w:color w:val="595959" w:themeColor="text1" w:themeTint="A6"/>
                <w:szCs w:val="17"/>
              </w:rPr>
              <w:t>Disaster risk reduction principles incorporated in all investments.  Support provided to Fiji’s Natural Disaster Management Office.  Schools and other infrastructure is being rebuilt to be more resilient to future disasters.</w:t>
            </w:r>
          </w:p>
        </w:tc>
        <w:tc>
          <w:tcPr>
            <w:tcW w:w="3090" w:type="dxa"/>
            <w:tcBorders>
              <w:top w:val="single" w:sz="4" w:space="0" w:color="auto"/>
              <w:left w:val="single" w:sz="4" w:space="0" w:color="auto"/>
              <w:bottom w:val="single" w:sz="4" w:space="0" w:color="auto"/>
              <w:right w:val="single" w:sz="4" w:space="0" w:color="auto"/>
            </w:tcBorders>
            <w:hideMark/>
          </w:tcPr>
          <w:p w14:paraId="7D544B4D" w14:textId="66C7CF90" w:rsidR="00076EDF" w:rsidRPr="00A418B1" w:rsidRDefault="00076EDF">
            <w:pPr>
              <w:keepLines/>
              <w:spacing w:before="40" w:after="40" w:line="200" w:lineRule="atLeast"/>
              <w:rPr>
                <w:rFonts w:asciiTheme="minorHAnsi" w:eastAsia="Times New Roman" w:hAnsiTheme="minorHAnsi"/>
                <w:iCs/>
                <w:color w:val="595959" w:themeColor="text1" w:themeTint="A6"/>
                <w:szCs w:val="17"/>
              </w:rPr>
            </w:pPr>
            <w:r w:rsidRPr="00A418B1">
              <w:rPr>
                <w:rFonts w:asciiTheme="minorHAnsi" w:eastAsia="Times New Roman" w:hAnsiTheme="minorHAnsi"/>
                <w:iCs/>
                <w:color w:val="595959" w:themeColor="text1" w:themeTint="A6"/>
                <w:szCs w:val="17"/>
              </w:rPr>
              <w:t>Disaster risk reduction principles</w:t>
            </w:r>
            <w:r w:rsidR="0045462F" w:rsidRPr="00A418B1">
              <w:rPr>
                <w:rFonts w:asciiTheme="minorHAnsi" w:eastAsia="Times New Roman" w:hAnsiTheme="minorHAnsi"/>
                <w:iCs/>
                <w:color w:val="595959" w:themeColor="text1" w:themeTint="A6"/>
                <w:szCs w:val="17"/>
              </w:rPr>
              <w:t>, including integrating a gender perspective,</w:t>
            </w:r>
            <w:r w:rsidRPr="00A418B1">
              <w:rPr>
                <w:rFonts w:asciiTheme="minorHAnsi" w:eastAsia="Times New Roman" w:hAnsiTheme="minorHAnsi"/>
                <w:iCs/>
                <w:color w:val="595959" w:themeColor="text1" w:themeTint="A6"/>
                <w:szCs w:val="17"/>
              </w:rPr>
              <w:t xml:space="preserve"> to be incorporated into design of future investments. Joint activities to strengthen disaster response capabilities. Continued support for Fiji’s Natural Disaster Management Office. Contingency funds set aside for preparedness and response efforts.</w:t>
            </w:r>
          </w:p>
        </w:tc>
        <w:tc>
          <w:tcPr>
            <w:tcW w:w="823" w:type="dxa"/>
            <w:tcBorders>
              <w:top w:val="single" w:sz="4" w:space="0" w:color="auto"/>
              <w:left w:val="single" w:sz="4" w:space="0" w:color="auto"/>
              <w:bottom w:val="single" w:sz="4" w:space="0" w:color="auto"/>
              <w:right w:val="single" w:sz="4" w:space="0" w:color="auto"/>
            </w:tcBorders>
            <w:hideMark/>
          </w:tcPr>
          <w:p w14:paraId="25D9B71F" w14:textId="77777777" w:rsidR="00076EDF" w:rsidRPr="00A418B1" w:rsidRDefault="00076EDF">
            <w:pPr>
              <w:keepLines/>
              <w:spacing w:before="40" w:after="40" w:line="200" w:lineRule="atLeast"/>
              <w:rPr>
                <w:rFonts w:asciiTheme="minorHAnsi" w:eastAsia="Times New Roman" w:hAnsiTheme="minorHAnsi"/>
                <w:iCs/>
                <w:color w:val="595959" w:themeColor="text1" w:themeTint="A6"/>
                <w:szCs w:val="17"/>
              </w:rPr>
            </w:pPr>
            <w:r w:rsidRPr="00A418B1">
              <w:rPr>
                <w:rFonts w:asciiTheme="minorHAnsi" w:eastAsia="Times New Roman" w:hAnsiTheme="minorHAnsi"/>
                <w:iCs/>
                <w:color w:val="595959" w:themeColor="text1" w:themeTint="A6"/>
                <w:szCs w:val="17"/>
              </w:rPr>
              <w:t>High</w:t>
            </w:r>
          </w:p>
        </w:tc>
        <w:tc>
          <w:tcPr>
            <w:tcW w:w="1227" w:type="dxa"/>
            <w:tcBorders>
              <w:top w:val="single" w:sz="4" w:space="0" w:color="auto"/>
              <w:left w:val="single" w:sz="4" w:space="0" w:color="auto"/>
              <w:bottom w:val="single" w:sz="4" w:space="0" w:color="auto"/>
              <w:right w:val="single" w:sz="4" w:space="0" w:color="auto"/>
            </w:tcBorders>
            <w:hideMark/>
          </w:tcPr>
          <w:p w14:paraId="2C52D457" w14:textId="77777777" w:rsidR="00076EDF" w:rsidRPr="00A418B1" w:rsidRDefault="00076EDF">
            <w:pPr>
              <w:keepLines/>
              <w:spacing w:before="40" w:after="40" w:line="200" w:lineRule="atLeast"/>
              <w:rPr>
                <w:rFonts w:asciiTheme="minorHAnsi" w:eastAsia="Times New Roman" w:hAnsiTheme="minorHAnsi"/>
                <w:iCs/>
                <w:color w:val="595959" w:themeColor="text1" w:themeTint="A6"/>
                <w:szCs w:val="17"/>
              </w:rPr>
            </w:pPr>
            <w:r w:rsidRPr="00A418B1">
              <w:rPr>
                <w:rFonts w:asciiTheme="minorHAnsi" w:eastAsia="Times New Roman" w:hAnsiTheme="minorHAnsi"/>
                <w:iCs/>
                <w:color w:val="595959" w:themeColor="text1" w:themeTint="A6"/>
                <w:szCs w:val="17"/>
              </w:rPr>
              <w:t>Yes</w:t>
            </w:r>
          </w:p>
        </w:tc>
      </w:tr>
      <w:tr w:rsidR="000B4BE7" w:rsidRPr="00BE2622" w14:paraId="00AC3552" w14:textId="77777777" w:rsidTr="00B462FE">
        <w:tc>
          <w:tcPr>
            <w:tcW w:w="1774" w:type="dxa"/>
            <w:tcBorders>
              <w:top w:val="single" w:sz="4" w:space="0" w:color="auto"/>
              <w:left w:val="single" w:sz="4" w:space="0" w:color="auto"/>
              <w:bottom w:val="single" w:sz="4" w:space="0" w:color="auto"/>
              <w:right w:val="single" w:sz="4" w:space="0" w:color="auto"/>
            </w:tcBorders>
            <w:hideMark/>
          </w:tcPr>
          <w:p w14:paraId="6665A464" w14:textId="77777777" w:rsidR="00076EDF" w:rsidRPr="00A418B1" w:rsidRDefault="00076EDF">
            <w:pPr>
              <w:keepLines/>
              <w:spacing w:before="40" w:after="40" w:line="200" w:lineRule="atLeast"/>
              <w:rPr>
                <w:rFonts w:asciiTheme="minorHAnsi" w:hAnsiTheme="minorHAnsi"/>
                <w:color w:val="595959" w:themeColor="text1" w:themeTint="A6"/>
              </w:rPr>
            </w:pPr>
            <w:r w:rsidRPr="00A418B1">
              <w:rPr>
                <w:rFonts w:asciiTheme="minorHAnsi" w:eastAsia="Times New Roman" w:hAnsiTheme="minorHAnsi"/>
                <w:iCs/>
                <w:color w:val="595959" w:themeColor="text1" w:themeTint="A6"/>
                <w:szCs w:val="17"/>
              </w:rPr>
              <w:t>Australian aid is not aligned to Fiji Government development priorities</w:t>
            </w:r>
          </w:p>
        </w:tc>
        <w:tc>
          <w:tcPr>
            <w:tcW w:w="2546" w:type="dxa"/>
            <w:tcBorders>
              <w:top w:val="single" w:sz="4" w:space="0" w:color="auto"/>
              <w:left w:val="single" w:sz="4" w:space="0" w:color="auto"/>
              <w:bottom w:val="single" w:sz="4" w:space="0" w:color="auto"/>
              <w:right w:val="single" w:sz="4" w:space="0" w:color="auto"/>
            </w:tcBorders>
            <w:hideMark/>
          </w:tcPr>
          <w:p w14:paraId="646087EA" w14:textId="77777777" w:rsidR="00076EDF" w:rsidRPr="00A418B1" w:rsidRDefault="00076EDF">
            <w:pPr>
              <w:keepLines/>
              <w:spacing w:before="40" w:after="40" w:line="200" w:lineRule="atLeast"/>
              <w:rPr>
                <w:rFonts w:asciiTheme="minorHAnsi" w:hAnsiTheme="minorHAnsi"/>
                <w:color w:val="595959" w:themeColor="text1" w:themeTint="A6"/>
              </w:rPr>
            </w:pPr>
            <w:r w:rsidRPr="00A418B1">
              <w:rPr>
                <w:rFonts w:asciiTheme="minorHAnsi" w:eastAsia="Times New Roman" w:hAnsiTheme="minorHAnsi"/>
                <w:iCs/>
                <w:color w:val="595959" w:themeColor="text1" w:themeTint="A6"/>
                <w:szCs w:val="17"/>
              </w:rPr>
              <w:t>Active and ongoing engagement with the Fiji Government on all aid investments and consultation with Fiji Government on design of new investments.  New investment designs incorporate the capacity to respond flexibly to new/changed priorities.</w:t>
            </w:r>
          </w:p>
        </w:tc>
        <w:tc>
          <w:tcPr>
            <w:tcW w:w="3090" w:type="dxa"/>
            <w:tcBorders>
              <w:top w:val="single" w:sz="4" w:space="0" w:color="auto"/>
              <w:left w:val="single" w:sz="4" w:space="0" w:color="auto"/>
              <w:bottom w:val="single" w:sz="4" w:space="0" w:color="auto"/>
              <w:right w:val="single" w:sz="4" w:space="0" w:color="auto"/>
            </w:tcBorders>
            <w:hideMark/>
          </w:tcPr>
          <w:p w14:paraId="664AFD6A" w14:textId="77777777" w:rsidR="00076EDF" w:rsidRPr="00A418B1" w:rsidRDefault="00076EDF">
            <w:pPr>
              <w:keepLines/>
              <w:spacing w:before="40" w:after="40" w:line="200" w:lineRule="atLeast"/>
              <w:rPr>
                <w:rFonts w:asciiTheme="minorHAnsi" w:hAnsiTheme="minorHAnsi"/>
                <w:color w:val="595959" w:themeColor="text1" w:themeTint="A6"/>
              </w:rPr>
            </w:pPr>
            <w:r w:rsidRPr="00A418B1">
              <w:rPr>
                <w:rFonts w:asciiTheme="minorHAnsi" w:eastAsia="Times New Roman" w:hAnsiTheme="minorHAnsi"/>
                <w:iCs/>
                <w:color w:val="595959" w:themeColor="text1" w:themeTint="A6"/>
                <w:szCs w:val="17"/>
              </w:rPr>
              <w:t>Australia’s Aid Investment Plan will be updated following the release of Fiji’s National Development Plan and an Aid Partnership will be agreed with the Fiji Government.  New investment designs to incorporate the capacity to respond flexibly to new/changed priorities.</w:t>
            </w:r>
          </w:p>
        </w:tc>
        <w:tc>
          <w:tcPr>
            <w:tcW w:w="823" w:type="dxa"/>
            <w:tcBorders>
              <w:top w:val="single" w:sz="4" w:space="0" w:color="auto"/>
              <w:left w:val="single" w:sz="4" w:space="0" w:color="auto"/>
              <w:bottom w:val="single" w:sz="4" w:space="0" w:color="auto"/>
              <w:right w:val="single" w:sz="4" w:space="0" w:color="auto"/>
            </w:tcBorders>
            <w:hideMark/>
          </w:tcPr>
          <w:p w14:paraId="65E8AA71" w14:textId="77777777" w:rsidR="00076EDF" w:rsidRPr="00A418B1" w:rsidRDefault="00076EDF">
            <w:pPr>
              <w:keepLines/>
              <w:spacing w:before="40" w:after="40" w:line="200" w:lineRule="atLeast"/>
              <w:rPr>
                <w:rFonts w:asciiTheme="minorHAnsi" w:hAnsiTheme="minorHAnsi"/>
                <w:color w:val="595959" w:themeColor="text1" w:themeTint="A6"/>
              </w:rPr>
            </w:pPr>
            <w:r w:rsidRPr="00A418B1">
              <w:rPr>
                <w:rFonts w:asciiTheme="minorHAnsi" w:eastAsia="Times New Roman" w:hAnsiTheme="minorHAnsi"/>
                <w:iCs/>
                <w:color w:val="595959" w:themeColor="text1" w:themeTint="A6"/>
                <w:szCs w:val="17"/>
              </w:rPr>
              <w:t>Medium</w:t>
            </w:r>
          </w:p>
        </w:tc>
        <w:tc>
          <w:tcPr>
            <w:tcW w:w="1227" w:type="dxa"/>
            <w:tcBorders>
              <w:top w:val="single" w:sz="4" w:space="0" w:color="auto"/>
              <w:left w:val="single" w:sz="4" w:space="0" w:color="auto"/>
              <w:bottom w:val="single" w:sz="4" w:space="0" w:color="auto"/>
              <w:right w:val="single" w:sz="4" w:space="0" w:color="auto"/>
            </w:tcBorders>
            <w:hideMark/>
          </w:tcPr>
          <w:p w14:paraId="29DF9036" w14:textId="77777777" w:rsidR="00076EDF" w:rsidRPr="00A418B1" w:rsidRDefault="00076EDF">
            <w:pPr>
              <w:keepLines/>
              <w:spacing w:before="40" w:after="40" w:line="200" w:lineRule="atLeast"/>
              <w:rPr>
                <w:rFonts w:asciiTheme="minorHAnsi" w:eastAsia="Times New Roman" w:hAnsiTheme="minorHAnsi"/>
                <w:iCs/>
                <w:color w:val="595959" w:themeColor="text1" w:themeTint="A6"/>
                <w:szCs w:val="17"/>
                <w:lang w:eastAsia="en-US"/>
              </w:rPr>
            </w:pPr>
            <w:r w:rsidRPr="00A418B1">
              <w:rPr>
                <w:rFonts w:asciiTheme="minorHAnsi" w:eastAsia="Times New Roman" w:hAnsiTheme="minorHAnsi"/>
                <w:iCs/>
                <w:color w:val="595959" w:themeColor="text1" w:themeTint="A6"/>
                <w:szCs w:val="17"/>
              </w:rPr>
              <w:t>Yes</w:t>
            </w:r>
          </w:p>
        </w:tc>
      </w:tr>
      <w:tr w:rsidR="000B4BE7" w:rsidRPr="00BE2622" w14:paraId="0517D2AD" w14:textId="77777777" w:rsidTr="00B462FE">
        <w:tc>
          <w:tcPr>
            <w:tcW w:w="1774" w:type="dxa"/>
            <w:tcBorders>
              <w:top w:val="single" w:sz="4" w:space="0" w:color="auto"/>
              <w:left w:val="single" w:sz="4" w:space="0" w:color="auto"/>
              <w:bottom w:val="single" w:sz="4" w:space="0" w:color="auto"/>
              <w:right w:val="single" w:sz="4" w:space="0" w:color="auto"/>
            </w:tcBorders>
            <w:hideMark/>
          </w:tcPr>
          <w:p w14:paraId="69864C20" w14:textId="77777777" w:rsidR="00076EDF" w:rsidRPr="00A418B1" w:rsidRDefault="00076EDF">
            <w:pPr>
              <w:keepLines/>
              <w:spacing w:before="40" w:after="40" w:line="200" w:lineRule="atLeast"/>
              <w:rPr>
                <w:rFonts w:asciiTheme="minorHAnsi" w:eastAsia="Times New Roman" w:hAnsiTheme="minorHAnsi"/>
                <w:iCs/>
                <w:color w:val="595959" w:themeColor="text1" w:themeTint="A6"/>
                <w:szCs w:val="17"/>
              </w:rPr>
            </w:pPr>
            <w:r w:rsidRPr="00A418B1">
              <w:rPr>
                <w:rFonts w:asciiTheme="minorHAnsi" w:eastAsia="Times New Roman" w:hAnsiTheme="minorHAnsi"/>
                <w:iCs/>
                <w:color w:val="595959" w:themeColor="text1" w:themeTint="A6"/>
                <w:szCs w:val="17"/>
              </w:rPr>
              <w:t>Further delays in TC Winston rebuilding and sub-standard rebuilding practices</w:t>
            </w:r>
          </w:p>
        </w:tc>
        <w:tc>
          <w:tcPr>
            <w:tcW w:w="2546" w:type="dxa"/>
            <w:tcBorders>
              <w:top w:val="single" w:sz="4" w:space="0" w:color="auto"/>
              <w:left w:val="single" w:sz="4" w:space="0" w:color="auto"/>
              <w:bottom w:val="single" w:sz="4" w:space="0" w:color="auto"/>
              <w:right w:val="single" w:sz="4" w:space="0" w:color="auto"/>
            </w:tcBorders>
            <w:hideMark/>
          </w:tcPr>
          <w:p w14:paraId="60235073" w14:textId="77777777" w:rsidR="00076EDF" w:rsidRPr="00A418B1" w:rsidRDefault="00076EDF">
            <w:pPr>
              <w:keepLines/>
              <w:spacing w:before="40" w:after="40" w:line="200" w:lineRule="atLeast"/>
              <w:rPr>
                <w:rFonts w:asciiTheme="minorHAnsi" w:eastAsia="Times New Roman" w:hAnsiTheme="minorHAnsi"/>
                <w:iCs/>
                <w:color w:val="595959" w:themeColor="text1" w:themeTint="A6"/>
                <w:szCs w:val="17"/>
              </w:rPr>
            </w:pPr>
            <w:r w:rsidRPr="00A418B1">
              <w:rPr>
                <w:rFonts w:asciiTheme="minorHAnsi" w:eastAsia="Times New Roman" w:hAnsiTheme="minorHAnsi"/>
                <w:iCs/>
                <w:color w:val="595959" w:themeColor="text1" w:themeTint="A6"/>
                <w:szCs w:val="17"/>
              </w:rPr>
              <w:t>Active monitoring and evaluation of progress in construction of schools and other infrastructure.  Replacement of sub-standard contractors with new contractors.  Provision of technical assistance to support partners.</w:t>
            </w:r>
          </w:p>
        </w:tc>
        <w:tc>
          <w:tcPr>
            <w:tcW w:w="3090" w:type="dxa"/>
            <w:tcBorders>
              <w:top w:val="single" w:sz="4" w:space="0" w:color="auto"/>
              <w:left w:val="single" w:sz="4" w:space="0" w:color="auto"/>
              <w:bottom w:val="single" w:sz="4" w:space="0" w:color="auto"/>
              <w:right w:val="single" w:sz="4" w:space="0" w:color="auto"/>
            </w:tcBorders>
            <w:hideMark/>
          </w:tcPr>
          <w:p w14:paraId="45D23580" w14:textId="77777777" w:rsidR="00076EDF" w:rsidRPr="00A418B1" w:rsidRDefault="00076EDF">
            <w:pPr>
              <w:keepLines/>
              <w:spacing w:before="40" w:after="40" w:line="200" w:lineRule="atLeast"/>
              <w:rPr>
                <w:rFonts w:asciiTheme="minorHAnsi" w:eastAsia="Times New Roman" w:hAnsiTheme="minorHAnsi"/>
                <w:iCs/>
                <w:color w:val="595959" w:themeColor="text1" w:themeTint="A6"/>
                <w:szCs w:val="17"/>
              </w:rPr>
            </w:pPr>
            <w:r w:rsidRPr="00A418B1">
              <w:rPr>
                <w:rFonts w:asciiTheme="minorHAnsi" w:eastAsia="Times New Roman" w:hAnsiTheme="minorHAnsi"/>
                <w:iCs/>
                <w:color w:val="595959" w:themeColor="text1" w:themeTint="A6"/>
                <w:szCs w:val="17"/>
              </w:rPr>
              <w:t>Continuation of active monitoring of and evaluation of construction work.  Continued provision of technical assistance to support partners.</w:t>
            </w:r>
          </w:p>
        </w:tc>
        <w:tc>
          <w:tcPr>
            <w:tcW w:w="823" w:type="dxa"/>
            <w:tcBorders>
              <w:top w:val="single" w:sz="4" w:space="0" w:color="auto"/>
              <w:left w:val="single" w:sz="4" w:space="0" w:color="auto"/>
              <w:bottom w:val="single" w:sz="4" w:space="0" w:color="auto"/>
              <w:right w:val="single" w:sz="4" w:space="0" w:color="auto"/>
            </w:tcBorders>
            <w:hideMark/>
          </w:tcPr>
          <w:p w14:paraId="2C5B54A8" w14:textId="77777777" w:rsidR="00076EDF" w:rsidRPr="00A418B1" w:rsidRDefault="00076EDF">
            <w:pPr>
              <w:keepLines/>
              <w:spacing w:before="40" w:after="40" w:line="200" w:lineRule="atLeast"/>
              <w:rPr>
                <w:rFonts w:asciiTheme="minorHAnsi" w:eastAsia="Times New Roman" w:hAnsiTheme="minorHAnsi"/>
                <w:iCs/>
                <w:color w:val="595959" w:themeColor="text1" w:themeTint="A6"/>
                <w:szCs w:val="17"/>
              </w:rPr>
            </w:pPr>
            <w:r w:rsidRPr="00A418B1">
              <w:rPr>
                <w:rFonts w:asciiTheme="minorHAnsi" w:eastAsia="Times New Roman" w:hAnsiTheme="minorHAnsi"/>
                <w:iCs/>
                <w:color w:val="595959" w:themeColor="text1" w:themeTint="A6"/>
                <w:szCs w:val="17"/>
              </w:rPr>
              <w:t>High</w:t>
            </w:r>
          </w:p>
        </w:tc>
        <w:tc>
          <w:tcPr>
            <w:tcW w:w="1227" w:type="dxa"/>
            <w:tcBorders>
              <w:top w:val="single" w:sz="4" w:space="0" w:color="auto"/>
              <w:left w:val="single" w:sz="4" w:space="0" w:color="auto"/>
              <w:bottom w:val="single" w:sz="4" w:space="0" w:color="auto"/>
              <w:right w:val="single" w:sz="4" w:space="0" w:color="auto"/>
            </w:tcBorders>
            <w:hideMark/>
          </w:tcPr>
          <w:p w14:paraId="46CB6CC0" w14:textId="77777777" w:rsidR="00076EDF" w:rsidRPr="00A418B1" w:rsidRDefault="00076EDF">
            <w:pPr>
              <w:keepLines/>
              <w:spacing w:before="40" w:after="40" w:line="200" w:lineRule="atLeast"/>
              <w:rPr>
                <w:rFonts w:asciiTheme="minorHAnsi" w:eastAsia="Times New Roman" w:hAnsiTheme="minorHAnsi"/>
                <w:iCs/>
                <w:color w:val="595959" w:themeColor="text1" w:themeTint="A6"/>
                <w:szCs w:val="17"/>
              </w:rPr>
            </w:pPr>
            <w:r w:rsidRPr="00A418B1">
              <w:rPr>
                <w:rFonts w:asciiTheme="minorHAnsi" w:eastAsia="Times New Roman" w:hAnsiTheme="minorHAnsi"/>
                <w:iCs/>
                <w:color w:val="595959" w:themeColor="text1" w:themeTint="A6"/>
                <w:szCs w:val="17"/>
              </w:rPr>
              <w:t>Yes</w:t>
            </w:r>
          </w:p>
        </w:tc>
      </w:tr>
      <w:tr w:rsidR="000B4BE7" w:rsidRPr="00BE2622" w14:paraId="353EE1E9" w14:textId="77777777" w:rsidTr="00B462FE">
        <w:trPr>
          <w:trHeight w:val="56"/>
        </w:trPr>
        <w:tc>
          <w:tcPr>
            <w:tcW w:w="1774" w:type="dxa"/>
            <w:tcBorders>
              <w:top w:val="single" w:sz="4" w:space="0" w:color="auto"/>
              <w:left w:val="single" w:sz="4" w:space="0" w:color="auto"/>
              <w:bottom w:val="single" w:sz="4" w:space="0" w:color="auto"/>
              <w:right w:val="single" w:sz="4" w:space="0" w:color="auto"/>
            </w:tcBorders>
            <w:hideMark/>
          </w:tcPr>
          <w:p w14:paraId="7DF9F0EA" w14:textId="77777777" w:rsidR="00076EDF" w:rsidRPr="00A418B1" w:rsidRDefault="00076EDF">
            <w:pPr>
              <w:keepLines/>
              <w:spacing w:before="40" w:after="40" w:line="200" w:lineRule="atLeast"/>
              <w:rPr>
                <w:rFonts w:asciiTheme="minorHAnsi" w:eastAsia="Times New Roman" w:hAnsiTheme="minorHAnsi"/>
                <w:iCs/>
                <w:color w:val="595959" w:themeColor="text1" w:themeTint="A6"/>
                <w:szCs w:val="17"/>
              </w:rPr>
            </w:pPr>
            <w:r w:rsidRPr="00A418B1">
              <w:rPr>
                <w:rFonts w:asciiTheme="minorHAnsi" w:eastAsia="Times New Roman" w:hAnsiTheme="minorHAnsi"/>
                <w:iCs/>
                <w:color w:val="595959" w:themeColor="text1" w:themeTint="A6"/>
                <w:szCs w:val="17"/>
              </w:rPr>
              <w:t>Fiji Program Support Facility does not produce the expected benefits or does not effectively manage aid investments.</w:t>
            </w:r>
          </w:p>
        </w:tc>
        <w:tc>
          <w:tcPr>
            <w:tcW w:w="2546" w:type="dxa"/>
            <w:tcBorders>
              <w:top w:val="single" w:sz="4" w:space="0" w:color="auto"/>
              <w:left w:val="single" w:sz="4" w:space="0" w:color="auto"/>
              <w:bottom w:val="single" w:sz="4" w:space="0" w:color="auto"/>
              <w:right w:val="single" w:sz="4" w:space="0" w:color="auto"/>
            </w:tcBorders>
            <w:hideMark/>
          </w:tcPr>
          <w:p w14:paraId="789C3871" w14:textId="615CCCF6" w:rsidR="00076EDF" w:rsidRPr="00A418B1" w:rsidRDefault="00076EDF" w:rsidP="00A502CF">
            <w:pPr>
              <w:keepLines/>
              <w:spacing w:before="40" w:after="40" w:line="200" w:lineRule="atLeast"/>
              <w:rPr>
                <w:rFonts w:asciiTheme="minorHAnsi" w:eastAsia="Times New Roman" w:hAnsiTheme="minorHAnsi"/>
                <w:iCs/>
                <w:color w:val="595959" w:themeColor="text1" w:themeTint="A6"/>
                <w:szCs w:val="17"/>
              </w:rPr>
            </w:pPr>
            <w:r w:rsidRPr="00A418B1">
              <w:rPr>
                <w:rFonts w:asciiTheme="minorHAnsi" w:eastAsia="Times New Roman" w:hAnsiTheme="minorHAnsi"/>
                <w:iCs/>
                <w:color w:val="595959" w:themeColor="text1" w:themeTint="A6"/>
                <w:szCs w:val="17"/>
              </w:rPr>
              <w:t>A rigorous and lengthy tender process was used to select a managing contractor with demonstrated aid management skills and experience.  Close and ongoing engagement between post and managing contract during inception of facility.</w:t>
            </w:r>
          </w:p>
        </w:tc>
        <w:tc>
          <w:tcPr>
            <w:tcW w:w="3090" w:type="dxa"/>
            <w:tcBorders>
              <w:top w:val="single" w:sz="4" w:space="0" w:color="auto"/>
              <w:left w:val="single" w:sz="4" w:space="0" w:color="auto"/>
              <w:bottom w:val="single" w:sz="4" w:space="0" w:color="auto"/>
              <w:right w:val="single" w:sz="4" w:space="0" w:color="auto"/>
            </w:tcBorders>
            <w:hideMark/>
          </w:tcPr>
          <w:p w14:paraId="1C2E3593" w14:textId="2657AD91" w:rsidR="00076EDF" w:rsidRPr="00A418B1" w:rsidRDefault="00076EDF">
            <w:pPr>
              <w:keepLines/>
              <w:spacing w:before="40" w:after="40" w:line="200" w:lineRule="atLeast"/>
              <w:rPr>
                <w:rFonts w:asciiTheme="minorHAnsi" w:eastAsia="Times New Roman" w:hAnsiTheme="minorHAnsi"/>
                <w:iCs/>
                <w:color w:val="595959" w:themeColor="text1" w:themeTint="A6"/>
                <w:szCs w:val="17"/>
              </w:rPr>
            </w:pPr>
            <w:r w:rsidRPr="00A418B1">
              <w:rPr>
                <w:rFonts w:asciiTheme="minorHAnsi" w:eastAsia="Times New Roman" w:hAnsiTheme="minorHAnsi"/>
                <w:iCs/>
                <w:color w:val="595959" w:themeColor="text1" w:themeTint="A6"/>
                <w:szCs w:val="17"/>
              </w:rPr>
              <w:t>Post and managing contractor to agree detailed definitions of desired change and roles and responsibilities of staff.  Continuing monitoring of Facility’s performance and achievement of expected benefits.</w:t>
            </w:r>
            <w:r w:rsidR="00A60B10" w:rsidRPr="006E478E">
              <w:rPr>
                <w:rFonts w:asciiTheme="minorHAnsi" w:eastAsia="Times New Roman" w:hAnsiTheme="minorHAnsi"/>
                <w:iCs/>
                <w:color w:val="595959" w:themeColor="text1" w:themeTint="A6"/>
                <w:szCs w:val="17"/>
              </w:rPr>
              <w:t xml:space="preserve"> Cross</w:t>
            </w:r>
            <w:r w:rsidR="00535C04" w:rsidRPr="00A418B1">
              <w:rPr>
                <w:rFonts w:asciiTheme="minorHAnsi" w:eastAsia="Times New Roman" w:hAnsiTheme="minorHAnsi"/>
                <w:iCs/>
                <w:color w:val="595959" w:themeColor="text1" w:themeTint="A6"/>
                <w:szCs w:val="17"/>
              </w:rPr>
              <w:t>cutting themes of gender equality, social inclusion and climate resilience consistently integrated across programs to contribute to whole-of-program benchmarks.</w:t>
            </w:r>
          </w:p>
        </w:tc>
        <w:tc>
          <w:tcPr>
            <w:tcW w:w="823" w:type="dxa"/>
            <w:tcBorders>
              <w:top w:val="single" w:sz="4" w:space="0" w:color="auto"/>
              <w:left w:val="single" w:sz="4" w:space="0" w:color="auto"/>
              <w:bottom w:val="single" w:sz="4" w:space="0" w:color="auto"/>
              <w:right w:val="single" w:sz="4" w:space="0" w:color="auto"/>
            </w:tcBorders>
            <w:hideMark/>
          </w:tcPr>
          <w:p w14:paraId="33C9F8E2" w14:textId="77777777" w:rsidR="00076EDF" w:rsidRPr="00A418B1" w:rsidRDefault="00076EDF">
            <w:pPr>
              <w:keepLines/>
              <w:spacing w:before="40" w:after="40" w:line="200" w:lineRule="atLeast"/>
              <w:rPr>
                <w:rFonts w:asciiTheme="minorHAnsi" w:eastAsia="Times New Roman" w:hAnsiTheme="minorHAnsi"/>
                <w:iCs/>
                <w:color w:val="595959" w:themeColor="text1" w:themeTint="A6"/>
                <w:szCs w:val="17"/>
              </w:rPr>
            </w:pPr>
            <w:r w:rsidRPr="00A418B1">
              <w:rPr>
                <w:rFonts w:asciiTheme="minorHAnsi" w:eastAsia="Times New Roman" w:hAnsiTheme="minorHAnsi"/>
                <w:iCs/>
                <w:color w:val="595959" w:themeColor="text1" w:themeTint="A6"/>
                <w:szCs w:val="17"/>
              </w:rPr>
              <w:t>Medium</w:t>
            </w:r>
          </w:p>
        </w:tc>
        <w:tc>
          <w:tcPr>
            <w:tcW w:w="1227" w:type="dxa"/>
            <w:tcBorders>
              <w:top w:val="single" w:sz="4" w:space="0" w:color="auto"/>
              <w:left w:val="single" w:sz="4" w:space="0" w:color="auto"/>
              <w:bottom w:val="single" w:sz="4" w:space="0" w:color="auto"/>
              <w:right w:val="single" w:sz="4" w:space="0" w:color="auto"/>
            </w:tcBorders>
            <w:hideMark/>
          </w:tcPr>
          <w:p w14:paraId="665DBD95" w14:textId="77777777" w:rsidR="00076EDF" w:rsidRPr="00A418B1" w:rsidRDefault="00076EDF">
            <w:pPr>
              <w:keepLines/>
              <w:spacing w:before="40" w:after="40" w:line="200" w:lineRule="atLeast"/>
              <w:rPr>
                <w:rFonts w:asciiTheme="minorHAnsi" w:eastAsia="Times New Roman" w:hAnsiTheme="minorHAnsi"/>
                <w:iCs/>
                <w:color w:val="595959" w:themeColor="text1" w:themeTint="A6"/>
                <w:szCs w:val="17"/>
              </w:rPr>
            </w:pPr>
            <w:r w:rsidRPr="00A418B1">
              <w:rPr>
                <w:rFonts w:asciiTheme="minorHAnsi" w:eastAsia="Times New Roman" w:hAnsiTheme="minorHAnsi"/>
                <w:iCs/>
                <w:color w:val="595959" w:themeColor="text1" w:themeTint="A6"/>
                <w:szCs w:val="17"/>
              </w:rPr>
              <w:t>Yes</w:t>
            </w:r>
          </w:p>
        </w:tc>
      </w:tr>
    </w:tbl>
    <w:p w14:paraId="486D66E2" w14:textId="77777777" w:rsidR="00076EDF" w:rsidRPr="00BE2622" w:rsidRDefault="00076EDF" w:rsidP="00076EDF">
      <w:pPr>
        <w:spacing w:before="20" w:after="20" w:line="180" w:lineRule="atLeast"/>
        <w:jc w:val="both"/>
        <w:rPr>
          <w:rFonts w:ascii="Franklin Gothic Book" w:eastAsia="Times New Roman" w:hAnsi="Franklin Gothic Book"/>
          <w:b/>
          <w:color w:val="595959" w:themeColor="text1" w:themeTint="A6"/>
          <w:sz w:val="14"/>
          <w:szCs w:val="14"/>
        </w:rPr>
      </w:pPr>
    </w:p>
    <w:p w14:paraId="2EEFA66C" w14:textId="19ABB33B" w:rsidR="00535C04" w:rsidRPr="00BE2622" w:rsidRDefault="00535C04" w:rsidP="00535C04">
      <w:pPr>
        <w:rPr>
          <w:color w:val="595959" w:themeColor="text1" w:themeTint="A6"/>
        </w:rPr>
      </w:pPr>
      <w:r w:rsidRPr="00BE2622">
        <w:rPr>
          <w:color w:val="595959" w:themeColor="text1" w:themeTint="A6"/>
        </w:rPr>
        <w:t xml:space="preserve">As the Fiji Program Support Facility moves from the inception to implementation phase of its work, it will be critical to strike the right balance between delegating responsibility to administer programs and mitigating the risk of ineffective management.  Given that the Facility will manage a significant proportion of our bilateral aid, including the implementation of two new programs and the integration of </w:t>
      </w:r>
      <w:r w:rsidR="00E06CEE" w:rsidRPr="00BE2622">
        <w:rPr>
          <w:color w:val="595959" w:themeColor="text1" w:themeTint="A6"/>
        </w:rPr>
        <w:t xml:space="preserve">the </w:t>
      </w:r>
      <w:r w:rsidRPr="00BE2622">
        <w:rPr>
          <w:color w:val="595959" w:themeColor="text1" w:themeTint="A6"/>
        </w:rPr>
        <w:t xml:space="preserve">crosscutting themes of gender equality, social inclusion and climate resilience, the risk to the achievement of our development objectives is assessed to be medium. </w:t>
      </w:r>
    </w:p>
    <w:p w14:paraId="19244507" w14:textId="77777777" w:rsidR="00076EDF" w:rsidRPr="00BE2622" w:rsidRDefault="00076EDF" w:rsidP="00076EDF">
      <w:pPr>
        <w:pStyle w:val="Heading2"/>
        <w:rPr>
          <w:color w:val="595959" w:themeColor="text1" w:themeTint="A6"/>
        </w:rPr>
      </w:pPr>
      <w:r w:rsidRPr="00BE2622">
        <w:rPr>
          <w:color w:val="595959" w:themeColor="text1" w:themeTint="A6"/>
        </w:rPr>
        <w:t>Management actions</w:t>
      </w:r>
      <w:r w:rsidRPr="00BE2622">
        <w:rPr>
          <w:color w:val="595959" w:themeColor="text1" w:themeTint="A6"/>
        </w:rPr>
        <w:tab/>
      </w:r>
      <w:r w:rsidRPr="00BE2622">
        <w:rPr>
          <w:color w:val="595959" w:themeColor="text1" w:themeTint="A6"/>
        </w:rPr>
        <w:tab/>
      </w:r>
    </w:p>
    <w:p w14:paraId="357255D2" w14:textId="77777777" w:rsidR="00D15C84" w:rsidRPr="00BE2622" w:rsidRDefault="00076EDF" w:rsidP="00D15C84">
      <w:pPr>
        <w:rPr>
          <w:color w:val="595959" w:themeColor="text1" w:themeTint="A6"/>
        </w:rPr>
      </w:pPr>
      <w:r w:rsidRPr="00BE2622">
        <w:rPr>
          <w:color w:val="595959" w:themeColor="text1" w:themeTint="A6"/>
        </w:rPr>
        <w:t>A number of management responses identified in the 2015-16 APPR were implemented in 2016-17</w:t>
      </w:r>
      <w:r w:rsidR="000F0CD8" w:rsidRPr="00BE2622">
        <w:rPr>
          <w:color w:val="595959" w:themeColor="text1" w:themeTint="A6"/>
        </w:rPr>
        <w:t xml:space="preserve"> and progress is summarised in Annex A</w:t>
      </w:r>
      <w:r w:rsidRPr="00BE2622">
        <w:rPr>
          <w:color w:val="595959" w:themeColor="text1" w:themeTint="A6"/>
        </w:rPr>
        <w:t xml:space="preserve">.  </w:t>
      </w:r>
      <w:r w:rsidR="00D15C84" w:rsidRPr="00BE2622">
        <w:rPr>
          <w:color w:val="595959" w:themeColor="text1" w:themeTint="A6"/>
        </w:rPr>
        <w:t xml:space="preserve">The Fiji Program Support Facility was mobilised in January 2017, and all key positions were filled.  Substantial work was undertaken during the reporting period to clarify roles and </w:t>
      </w:r>
      <w:r w:rsidR="00D15C84" w:rsidRPr="00BE2622">
        <w:rPr>
          <w:color w:val="595959" w:themeColor="text1" w:themeTint="A6"/>
        </w:rPr>
        <w:lastRenderedPageBreak/>
        <w:t xml:space="preserve">responsibilities, and these are outlined in operational documents.  To improve coordination among donors in the private sector development area, we organised regular meetings between stakeholders to share information and avoid duplication.  We will continue to ensure coordination takes place, particularly with the International Finance Corporation beginning work on investment reform.  The Australia Fiji Civil Society Engagement Strategy, which outlines how we will work with civil society to progress development objectives, was launched in September 2016.  </w:t>
      </w:r>
    </w:p>
    <w:p w14:paraId="7E5322B7" w14:textId="77777777" w:rsidR="00D15C84" w:rsidRPr="00BE2622" w:rsidRDefault="00D15C84" w:rsidP="00D15C84">
      <w:pPr>
        <w:rPr>
          <w:color w:val="595959" w:themeColor="text1" w:themeTint="A6"/>
        </w:rPr>
      </w:pPr>
      <w:r w:rsidRPr="00BE2622">
        <w:rPr>
          <w:color w:val="595959" w:themeColor="text1" w:themeTint="A6"/>
        </w:rPr>
        <w:t>Some progress was achieved against other management actions, though work is still required to implement these fully.  This includes delivery of our long-term recovery package in response to TC Winston.  Most aspects of scholarship administration have been transferred to the Facility, with the transfer of all administrative functions expected to be completed by the end of 2017.  The new health and education programs will mainstream climate change and disaster risk resilience activities, and a new Preparedness and Response Fund is being established which, if not required for responding to disasters, will be utilised for targeted activities.  We will work to identify specific activities for funding in the coming year.</w:t>
      </w:r>
    </w:p>
    <w:p w14:paraId="5667C6FB" w14:textId="77777777" w:rsidR="00D15C84" w:rsidRPr="00BE2622" w:rsidRDefault="00D15C84" w:rsidP="00D15C84">
      <w:pPr>
        <w:rPr>
          <w:color w:val="595959" w:themeColor="text1" w:themeTint="A6"/>
        </w:rPr>
      </w:pPr>
      <w:r w:rsidRPr="00BE2622">
        <w:rPr>
          <w:color w:val="595959" w:themeColor="text1" w:themeTint="A6"/>
        </w:rPr>
        <w:t xml:space="preserve">Two of the management actions from 2015-16 – to develop an Aid Partnership arrangement and a whole-of-program Performance Assessment Framework (PAF) – were linked to Fiji’s release of its National Development Plan (NDP).  As Fiji’s NDP is not finalised, we have been unable to move forward on an Aid Partnership.  However, recognising the importance of measuring the overall progress of our aid investments in Fiji, we will finalise a PAF by the end of 2017 and adjust </w:t>
      </w:r>
      <w:r>
        <w:rPr>
          <w:color w:val="595959" w:themeColor="text1" w:themeTint="A6"/>
        </w:rPr>
        <w:t xml:space="preserve">it </w:t>
      </w:r>
      <w:r w:rsidRPr="00BE2622">
        <w:rPr>
          <w:color w:val="595959" w:themeColor="text1" w:themeTint="A6"/>
        </w:rPr>
        <w:t xml:space="preserve">as necessary following the release of the NDP. </w:t>
      </w:r>
    </w:p>
    <w:p w14:paraId="664978CD" w14:textId="77777777" w:rsidR="00D15C84" w:rsidRPr="00BE2622" w:rsidRDefault="00D15C84" w:rsidP="00D15C84">
      <w:pPr>
        <w:rPr>
          <w:color w:val="595959" w:themeColor="text1" w:themeTint="A6"/>
        </w:rPr>
      </w:pPr>
      <w:r w:rsidRPr="00BE2622">
        <w:rPr>
          <w:color w:val="595959" w:themeColor="text1" w:themeTint="A6"/>
        </w:rPr>
        <w:t xml:space="preserve">The 2015-16 report recommended commencing discussions with the Government of Fiji on conducting an Assessment of National Systems (ANS), a due diligence process </w:t>
      </w:r>
      <w:r>
        <w:rPr>
          <w:color w:val="595959" w:themeColor="text1" w:themeTint="A6"/>
        </w:rPr>
        <w:t xml:space="preserve">that we must undertake before </w:t>
      </w:r>
      <w:r w:rsidRPr="00BE2622">
        <w:rPr>
          <w:color w:val="595959" w:themeColor="text1" w:themeTint="A6"/>
        </w:rPr>
        <w:t>us</w:t>
      </w:r>
      <w:r>
        <w:rPr>
          <w:color w:val="595959" w:themeColor="text1" w:themeTint="A6"/>
        </w:rPr>
        <w:t>ing</w:t>
      </w:r>
      <w:r w:rsidRPr="00BE2622">
        <w:rPr>
          <w:color w:val="595959" w:themeColor="text1" w:themeTint="A6"/>
        </w:rPr>
        <w:t xml:space="preserve"> government systems to deliver aid.  We took a first step in this process by conducting a rapid fiduciary risk assessment as part of our contribution to the Fiji Government’s COP23 Presidency Trust Fund.  We will initiate a conversation with the Fiji Government on the next steps in the ANS process.</w:t>
      </w:r>
    </w:p>
    <w:p w14:paraId="2BAC46B6" w14:textId="77777777" w:rsidR="00D15C84" w:rsidRPr="00BE2622" w:rsidRDefault="00D15C84" w:rsidP="00D15C84">
      <w:pPr>
        <w:rPr>
          <w:color w:val="595959" w:themeColor="text1" w:themeTint="A6"/>
        </w:rPr>
      </w:pPr>
      <w:r w:rsidRPr="00BE2622">
        <w:rPr>
          <w:color w:val="595959" w:themeColor="text1" w:themeTint="A6"/>
        </w:rPr>
        <w:t xml:space="preserve">As Fiji has not signed the PACER Plus agreement, we </w:t>
      </w:r>
      <w:r>
        <w:rPr>
          <w:color w:val="595959" w:themeColor="text1" w:themeTint="A6"/>
        </w:rPr>
        <w:t>have n</w:t>
      </w:r>
      <w:r w:rsidRPr="00BE2622">
        <w:rPr>
          <w:color w:val="595959" w:themeColor="text1" w:themeTint="A6"/>
        </w:rPr>
        <w:t>ot progress</w:t>
      </w:r>
      <w:r>
        <w:rPr>
          <w:color w:val="595959" w:themeColor="text1" w:themeTint="A6"/>
        </w:rPr>
        <w:t>ed</w:t>
      </w:r>
      <w:r w:rsidRPr="00BE2622">
        <w:rPr>
          <w:color w:val="595959" w:themeColor="text1" w:themeTint="A6"/>
        </w:rPr>
        <w:t xml:space="preserve"> the management action relating to aligning our private sector development work with any new needs stemming from the Agreement.  However, the DFAT-IFC Partnership is well</w:t>
      </w:r>
      <w:r>
        <w:rPr>
          <w:color w:val="595959" w:themeColor="text1" w:themeTint="A6"/>
        </w:rPr>
        <w:t xml:space="preserve"> </w:t>
      </w:r>
      <w:r w:rsidRPr="00BE2622">
        <w:rPr>
          <w:color w:val="595959" w:themeColor="text1" w:themeTint="A6"/>
        </w:rPr>
        <w:t>placed to support Fiji if it chooses to sign the Agreement.</w:t>
      </w:r>
    </w:p>
    <w:p w14:paraId="23B71D0A" w14:textId="670A3CD5" w:rsidR="00076EDF" w:rsidRPr="00BE2622" w:rsidRDefault="00076EDF" w:rsidP="00D15C84">
      <w:pPr>
        <w:rPr>
          <w:color w:val="595959" w:themeColor="text1" w:themeTint="A6"/>
        </w:rPr>
      </w:pPr>
    </w:p>
    <w:p w14:paraId="478881F0" w14:textId="3BE2F599" w:rsidR="00076EDF" w:rsidRPr="00BE2622" w:rsidRDefault="00076EDF" w:rsidP="00076EDF">
      <w:pPr>
        <w:rPr>
          <w:color w:val="595959" w:themeColor="text1" w:themeTint="A6"/>
        </w:rPr>
      </w:pPr>
      <w:r w:rsidRPr="00BE2622">
        <w:rPr>
          <w:color w:val="595959" w:themeColor="text1" w:themeTint="A6"/>
        </w:rPr>
        <w:t xml:space="preserve">The following management responses </w:t>
      </w:r>
      <w:r w:rsidR="00AC31D3">
        <w:rPr>
          <w:color w:val="595959" w:themeColor="text1" w:themeTint="A6"/>
        </w:rPr>
        <w:t>will be implemented in 201</w:t>
      </w:r>
      <w:r w:rsidR="00746CAF">
        <w:rPr>
          <w:color w:val="595959" w:themeColor="text1" w:themeTint="A6"/>
        </w:rPr>
        <w:t>7</w:t>
      </w:r>
      <w:r w:rsidR="00AC31D3">
        <w:rPr>
          <w:color w:val="595959" w:themeColor="text1" w:themeTint="A6"/>
        </w:rPr>
        <w:t>-1</w:t>
      </w:r>
      <w:r w:rsidR="00746CAF">
        <w:rPr>
          <w:color w:val="595959" w:themeColor="text1" w:themeTint="A6"/>
        </w:rPr>
        <w:t>8</w:t>
      </w:r>
      <w:r w:rsidRPr="00BE2622">
        <w:rPr>
          <w:color w:val="595959" w:themeColor="text1" w:themeTint="A6"/>
        </w:rPr>
        <w:t>:</w:t>
      </w:r>
    </w:p>
    <w:p w14:paraId="74021F8A" w14:textId="0F00FC58" w:rsidR="00906A2A" w:rsidRDefault="00906A2A" w:rsidP="00CF4940">
      <w:pPr>
        <w:numPr>
          <w:ilvl w:val="0"/>
          <w:numId w:val="46"/>
        </w:numPr>
        <w:rPr>
          <w:color w:val="595959" w:themeColor="text1" w:themeTint="A6"/>
        </w:rPr>
      </w:pPr>
      <w:r w:rsidRPr="00BE2622">
        <w:rPr>
          <w:color w:val="595959" w:themeColor="text1" w:themeTint="A6"/>
        </w:rPr>
        <w:t xml:space="preserve">By the end of 2017, </w:t>
      </w:r>
      <w:r>
        <w:rPr>
          <w:color w:val="595959" w:themeColor="text1" w:themeTint="A6"/>
        </w:rPr>
        <w:t xml:space="preserve">review and update Australia’s </w:t>
      </w:r>
      <w:r w:rsidR="00675D83">
        <w:rPr>
          <w:color w:val="595959" w:themeColor="text1" w:themeTint="A6"/>
        </w:rPr>
        <w:t xml:space="preserve">strategic objectives for the aid program </w:t>
      </w:r>
      <w:r>
        <w:rPr>
          <w:color w:val="595959" w:themeColor="text1" w:themeTint="A6"/>
        </w:rPr>
        <w:t xml:space="preserve">and </w:t>
      </w:r>
      <w:r w:rsidRPr="00BE2622">
        <w:rPr>
          <w:color w:val="595959" w:themeColor="text1" w:themeTint="A6"/>
        </w:rPr>
        <w:t>finalise a whole-of-program Performance Assessment Framework, with gender data indicators across all objectives, to monitor the bilateral aid program as well as selected key regional programs</w:t>
      </w:r>
    </w:p>
    <w:p w14:paraId="418016AC" w14:textId="0F384818" w:rsidR="00CF4940" w:rsidRPr="00A502CF" w:rsidRDefault="00675D83" w:rsidP="008F1063">
      <w:pPr>
        <w:numPr>
          <w:ilvl w:val="0"/>
          <w:numId w:val="46"/>
        </w:numPr>
        <w:rPr>
          <w:color w:val="595959" w:themeColor="text1" w:themeTint="A6"/>
        </w:rPr>
      </w:pPr>
      <w:r>
        <w:rPr>
          <w:color w:val="595959" w:themeColor="text1" w:themeTint="A6"/>
        </w:rPr>
        <w:t>R</w:t>
      </w:r>
      <w:r w:rsidR="00CF4940" w:rsidRPr="008F1063">
        <w:rPr>
          <w:color w:val="595959" w:themeColor="text1" w:themeTint="A6"/>
        </w:rPr>
        <w:t xml:space="preserve">eview the alignment of </w:t>
      </w:r>
      <w:r w:rsidR="00906A2A">
        <w:rPr>
          <w:color w:val="595959" w:themeColor="text1" w:themeTint="A6"/>
        </w:rPr>
        <w:t>the</w:t>
      </w:r>
      <w:r w:rsidR="00CF4940" w:rsidRPr="00A502CF">
        <w:rPr>
          <w:color w:val="595959" w:themeColor="text1" w:themeTint="A6"/>
        </w:rPr>
        <w:t xml:space="preserve"> A</w:t>
      </w:r>
      <w:r w:rsidR="00CF4940" w:rsidRPr="006E478E">
        <w:rPr>
          <w:color w:val="595959" w:themeColor="text1" w:themeTint="A6"/>
        </w:rPr>
        <w:t>I</w:t>
      </w:r>
      <w:r w:rsidR="00CF4940" w:rsidRPr="00A418B1">
        <w:rPr>
          <w:color w:val="595959" w:themeColor="text1" w:themeTint="A6"/>
        </w:rPr>
        <w:t xml:space="preserve">P against Fiji’s development priorities and develop an Aid Partnership with the Government of Fiji. </w:t>
      </w:r>
    </w:p>
    <w:p w14:paraId="4EBDA3AD" w14:textId="0CF4BD8F" w:rsidR="00CF4940" w:rsidRPr="00BE2622" w:rsidRDefault="00CF4940" w:rsidP="00CF4940">
      <w:pPr>
        <w:numPr>
          <w:ilvl w:val="0"/>
          <w:numId w:val="46"/>
        </w:numPr>
        <w:rPr>
          <w:color w:val="595959" w:themeColor="text1" w:themeTint="A6"/>
        </w:rPr>
      </w:pPr>
      <w:r w:rsidRPr="00BE2622">
        <w:rPr>
          <w:color w:val="595959" w:themeColor="text1" w:themeTint="A6"/>
        </w:rPr>
        <w:t xml:space="preserve">Commence discussions with the Government of Fiji </w:t>
      </w:r>
      <w:r w:rsidR="001E6FAC">
        <w:rPr>
          <w:color w:val="595959" w:themeColor="text1" w:themeTint="A6"/>
        </w:rPr>
        <w:t>on</w:t>
      </w:r>
      <w:r w:rsidRPr="00BE2622">
        <w:rPr>
          <w:color w:val="595959" w:themeColor="text1" w:themeTint="A6"/>
        </w:rPr>
        <w:t xml:space="preserve"> conducting an Assessment of National Systems that </w:t>
      </w:r>
      <w:r w:rsidR="00AC31D3">
        <w:rPr>
          <w:color w:val="595959" w:themeColor="text1" w:themeTint="A6"/>
        </w:rPr>
        <w:t>could</w:t>
      </w:r>
      <w:r w:rsidRPr="00BE2622">
        <w:rPr>
          <w:color w:val="595959" w:themeColor="text1" w:themeTint="A6"/>
        </w:rPr>
        <w:t xml:space="preserve"> enable the aid program to be increasingly managed directly by the Fiji Government. </w:t>
      </w:r>
    </w:p>
    <w:p w14:paraId="38EB4F7E" w14:textId="2418DBA9" w:rsidR="00CF4940" w:rsidRPr="00BE2622" w:rsidRDefault="00CF4940" w:rsidP="00CF4940">
      <w:pPr>
        <w:numPr>
          <w:ilvl w:val="0"/>
          <w:numId w:val="46"/>
        </w:numPr>
        <w:rPr>
          <w:color w:val="595959" w:themeColor="text1" w:themeTint="A6"/>
        </w:rPr>
      </w:pPr>
      <w:r w:rsidRPr="00BE2622">
        <w:rPr>
          <w:color w:val="595959" w:themeColor="text1" w:themeTint="A6"/>
        </w:rPr>
        <w:t xml:space="preserve">Oversee the early implementation of the Fiji Program Support Facility, including the design and delivery of new phases of the education, health and community development programs and the finalisation of the transfer of scholarships administration.  Particular attention </w:t>
      </w:r>
      <w:r w:rsidR="00AC31D3">
        <w:rPr>
          <w:color w:val="595959" w:themeColor="text1" w:themeTint="A6"/>
        </w:rPr>
        <w:t xml:space="preserve">will </w:t>
      </w:r>
      <w:r w:rsidRPr="00BE2622">
        <w:rPr>
          <w:color w:val="595959" w:themeColor="text1" w:themeTint="A6"/>
        </w:rPr>
        <w:t>be paid to efficiency and resourcing.</w:t>
      </w:r>
    </w:p>
    <w:p w14:paraId="5AEDB2BF" w14:textId="1629F0C8" w:rsidR="00076EDF" w:rsidRPr="00BE2622" w:rsidRDefault="00076EDF" w:rsidP="00076EDF">
      <w:pPr>
        <w:numPr>
          <w:ilvl w:val="0"/>
          <w:numId w:val="46"/>
        </w:numPr>
        <w:rPr>
          <w:color w:val="595959" w:themeColor="text1" w:themeTint="A6"/>
        </w:rPr>
      </w:pPr>
      <w:r w:rsidRPr="00BE2622">
        <w:rPr>
          <w:color w:val="595959" w:themeColor="text1" w:themeTint="A6"/>
        </w:rPr>
        <w:t>Complete the delivery of Australia’s assistance package supporting Fiji’s recovery from TC Winston</w:t>
      </w:r>
      <w:r w:rsidR="00533069" w:rsidRPr="00BE2622">
        <w:rPr>
          <w:color w:val="595959" w:themeColor="text1" w:themeTint="A6"/>
        </w:rPr>
        <w:t xml:space="preserve"> in line with Performance Benchmarks set out in Annex B</w:t>
      </w:r>
      <w:r w:rsidRPr="00BE2622">
        <w:rPr>
          <w:color w:val="595959" w:themeColor="text1" w:themeTint="A6"/>
        </w:rPr>
        <w:t>.</w:t>
      </w:r>
    </w:p>
    <w:p w14:paraId="6BEF2C11" w14:textId="70400118" w:rsidR="00533069" w:rsidRPr="00BE2622" w:rsidRDefault="00533069" w:rsidP="007917E1">
      <w:pPr>
        <w:numPr>
          <w:ilvl w:val="0"/>
          <w:numId w:val="46"/>
        </w:numPr>
        <w:rPr>
          <w:color w:val="595959" w:themeColor="text1" w:themeTint="A6"/>
        </w:rPr>
      </w:pPr>
      <w:r w:rsidRPr="00BE2622">
        <w:rPr>
          <w:color w:val="595959" w:themeColor="text1" w:themeTint="A6"/>
        </w:rPr>
        <w:t>Implement agreed recommendations from the independent evaluation of Australia’s response to Tropical Cyclone Winston in the education sector</w:t>
      </w:r>
      <w:r w:rsidR="00352E53" w:rsidRPr="00BE2622">
        <w:rPr>
          <w:color w:val="595959" w:themeColor="text1" w:themeTint="A6"/>
        </w:rPr>
        <w:t xml:space="preserve"> (</w:t>
      </w:r>
      <w:r w:rsidR="00D11F7B" w:rsidRPr="00BE2622">
        <w:rPr>
          <w:color w:val="595959" w:themeColor="text1" w:themeTint="A6"/>
        </w:rPr>
        <w:t xml:space="preserve">noting some timeframes </w:t>
      </w:r>
      <w:r w:rsidR="00352E53" w:rsidRPr="00BE2622">
        <w:rPr>
          <w:color w:val="595959" w:themeColor="text1" w:themeTint="A6"/>
        </w:rPr>
        <w:t xml:space="preserve">extend beyond </w:t>
      </w:r>
      <w:r w:rsidR="00D11F7B" w:rsidRPr="00BE2622">
        <w:rPr>
          <w:color w:val="595959" w:themeColor="text1" w:themeTint="A6"/>
        </w:rPr>
        <w:t xml:space="preserve">the next </w:t>
      </w:r>
      <w:r w:rsidR="00352E53" w:rsidRPr="00BE2622">
        <w:rPr>
          <w:color w:val="595959" w:themeColor="text1" w:themeTint="A6"/>
        </w:rPr>
        <w:t>reporting period)</w:t>
      </w:r>
      <w:r w:rsidRPr="00BE2622">
        <w:rPr>
          <w:color w:val="595959" w:themeColor="text1" w:themeTint="A6"/>
        </w:rPr>
        <w:t>.</w:t>
      </w:r>
    </w:p>
    <w:p w14:paraId="66D35422" w14:textId="68AFAB86" w:rsidR="00793E91" w:rsidRPr="00BE2622" w:rsidRDefault="00906A2A" w:rsidP="00A502CF">
      <w:pPr>
        <w:numPr>
          <w:ilvl w:val="0"/>
          <w:numId w:val="46"/>
        </w:numPr>
        <w:rPr>
          <w:color w:val="595959" w:themeColor="text1" w:themeTint="A6"/>
        </w:rPr>
      </w:pPr>
      <w:r>
        <w:rPr>
          <w:color w:val="595959" w:themeColor="text1" w:themeTint="A6"/>
        </w:rPr>
        <w:t xml:space="preserve">In line with an updated AIP, improve the integration of </w:t>
      </w:r>
      <w:r w:rsidR="00793E91" w:rsidRPr="00BE2622">
        <w:rPr>
          <w:color w:val="595959" w:themeColor="text1" w:themeTint="A6"/>
        </w:rPr>
        <w:t>climate change and disaster resilience activities</w:t>
      </w:r>
      <w:r>
        <w:rPr>
          <w:color w:val="595959" w:themeColor="text1" w:themeTint="A6"/>
        </w:rPr>
        <w:t xml:space="preserve"> across programs</w:t>
      </w:r>
      <w:r w:rsidR="00251811">
        <w:rPr>
          <w:color w:val="595959" w:themeColor="text1" w:themeTint="A6"/>
        </w:rPr>
        <w:t xml:space="preserve"> and invest in targeted activities </w:t>
      </w:r>
      <w:r w:rsidR="00AC31D3">
        <w:rPr>
          <w:color w:val="595959" w:themeColor="text1" w:themeTint="A6"/>
        </w:rPr>
        <w:t xml:space="preserve">through </w:t>
      </w:r>
      <w:r w:rsidR="00251811">
        <w:rPr>
          <w:color w:val="595959" w:themeColor="text1" w:themeTint="A6"/>
        </w:rPr>
        <w:t>the Preparedness and Response Fund</w:t>
      </w:r>
      <w:r>
        <w:rPr>
          <w:color w:val="595959" w:themeColor="text1" w:themeTint="A6"/>
        </w:rPr>
        <w:t>.</w:t>
      </w:r>
    </w:p>
    <w:p w14:paraId="544F9A3B" w14:textId="4E01D124" w:rsidR="00793E91" w:rsidRPr="00BE2622" w:rsidRDefault="00BC1465" w:rsidP="00793E91">
      <w:pPr>
        <w:numPr>
          <w:ilvl w:val="0"/>
          <w:numId w:val="46"/>
        </w:numPr>
        <w:rPr>
          <w:color w:val="595959" w:themeColor="text1" w:themeTint="A6"/>
        </w:rPr>
      </w:pPr>
      <w:r>
        <w:rPr>
          <w:color w:val="595959" w:themeColor="text1" w:themeTint="A6"/>
        </w:rPr>
        <w:lastRenderedPageBreak/>
        <w:t>Ongoing e</w:t>
      </w:r>
      <w:r w:rsidR="00793E91" w:rsidRPr="00BE2622">
        <w:rPr>
          <w:color w:val="595959" w:themeColor="text1" w:themeTint="A6"/>
        </w:rPr>
        <w:t>ngage</w:t>
      </w:r>
      <w:r>
        <w:rPr>
          <w:color w:val="595959" w:themeColor="text1" w:themeTint="A6"/>
        </w:rPr>
        <w:t>ment</w:t>
      </w:r>
      <w:r w:rsidR="00793E91" w:rsidRPr="00BE2622">
        <w:rPr>
          <w:color w:val="595959" w:themeColor="text1" w:themeTint="A6"/>
        </w:rPr>
        <w:t xml:space="preserve"> with the Government of Fiji on our contribution to the COP 23 Trust Fund to ensure that Australia’s assistance is used to support Fiji’s COP 23 Secretariat and regional consultations with other Pacific island countries.</w:t>
      </w:r>
    </w:p>
    <w:p w14:paraId="15902E0F" w14:textId="076584FF" w:rsidR="00076EDF" w:rsidRPr="00BE2622" w:rsidRDefault="00076EDF" w:rsidP="00A418B1">
      <w:pPr>
        <w:numPr>
          <w:ilvl w:val="0"/>
          <w:numId w:val="46"/>
        </w:numPr>
        <w:rPr>
          <w:color w:val="595959" w:themeColor="text1" w:themeTint="A6"/>
        </w:rPr>
        <w:sectPr w:rsidR="00076EDF" w:rsidRPr="00BE2622">
          <w:pgSz w:w="11906" w:h="16838"/>
          <w:pgMar w:top="1527" w:right="1134" w:bottom="851" w:left="1134" w:header="1418" w:footer="567" w:gutter="0"/>
          <w:cols w:space="720"/>
        </w:sectPr>
      </w:pPr>
      <w:r w:rsidRPr="001E6FAC">
        <w:rPr>
          <w:color w:val="595959" w:themeColor="text1" w:themeTint="A6"/>
        </w:rPr>
        <w:t xml:space="preserve">Provide timely and effective support to the Fiji Bureau of Statistics </w:t>
      </w:r>
      <w:r w:rsidR="00CF4940" w:rsidRPr="001E6FAC">
        <w:rPr>
          <w:color w:val="595959" w:themeColor="text1" w:themeTint="A6"/>
        </w:rPr>
        <w:t xml:space="preserve">and the Fiji Election Office </w:t>
      </w:r>
      <w:r w:rsidRPr="001E6FAC">
        <w:rPr>
          <w:color w:val="595959" w:themeColor="text1" w:themeTint="A6"/>
        </w:rPr>
        <w:t xml:space="preserve">to support the </w:t>
      </w:r>
      <w:r w:rsidR="00CF4940" w:rsidRPr="001E6FAC">
        <w:rPr>
          <w:color w:val="595959" w:themeColor="text1" w:themeTint="A6"/>
        </w:rPr>
        <w:t xml:space="preserve">2017 census and the </w:t>
      </w:r>
      <w:r w:rsidRPr="001E6FAC">
        <w:rPr>
          <w:color w:val="595959" w:themeColor="text1" w:themeTint="A6"/>
        </w:rPr>
        <w:t>2018 election.</w:t>
      </w:r>
    </w:p>
    <w:p w14:paraId="5743A7B0" w14:textId="77777777" w:rsidR="00076EDF" w:rsidRDefault="00076EDF" w:rsidP="00076EDF">
      <w:pPr>
        <w:pStyle w:val="Subtitle"/>
      </w:pPr>
      <w:r>
        <w:lastRenderedPageBreak/>
        <w:t>Annex A - Progress in Addressing Management actions</w:t>
      </w:r>
    </w:p>
    <w:p w14:paraId="5984EFE7" w14:textId="77777777" w:rsidR="00076EDF" w:rsidRDefault="00076EDF" w:rsidP="00076EDF">
      <w:r>
        <w:t>Describe progress made against management actions in 2015-16 report</w:t>
      </w:r>
    </w:p>
    <w:tbl>
      <w:tblPr>
        <w:tblStyle w:val="APPR"/>
        <w:tblpPr w:leftFromText="180" w:rightFromText="180" w:vertAnchor="text" w:tblpY="1"/>
        <w:tblW w:w="4900" w:type="pct"/>
        <w:tblLayout w:type="fixed"/>
        <w:tblLook w:val="04A0" w:firstRow="1" w:lastRow="0" w:firstColumn="1" w:lastColumn="0" w:noHBand="0" w:noVBand="1"/>
      </w:tblPr>
      <w:tblGrid>
        <w:gridCol w:w="6370"/>
        <w:gridCol w:w="1225"/>
        <w:gridCol w:w="6576"/>
      </w:tblGrid>
      <w:tr w:rsidR="00076EDF" w14:paraId="68E5EC5B" w14:textId="77777777" w:rsidTr="00076EDF">
        <w:trPr>
          <w:cnfStyle w:val="100000000000" w:firstRow="1" w:lastRow="0" w:firstColumn="0" w:lastColumn="0" w:oddVBand="0" w:evenVBand="0" w:oddHBand="0" w:evenHBand="0" w:firstRowFirstColumn="0" w:firstRowLastColumn="0" w:lastRowFirstColumn="0" w:lastRowLastColumn="0"/>
        </w:trPr>
        <w:tc>
          <w:tcPr>
            <w:tcW w:w="6383" w:type="dxa"/>
            <w:tcBorders>
              <w:left w:val="nil"/>
              <w:right w:val="nil"/>
            </w:tcBorders>
            <w:hideMark/>
          </w:tcPr>
          <w:p w14:paraId="5BF454B9" w14:textId="77777777" w:rsidR="00076EDF" w:rsidRPr="00A502CF" w:rsidRDefault="00076EDF">
            <w:pPr>
              <w:keepLines/>
              <w:spacing w:before="80" w:after="80" w:line="200" w:lineRule="atLeast"/>
              <w:rPr>
                <w:rFonts w:asciiTheme="minorHAnsi" w:eastAsia="Times New Roman" w:hAnsiTheme="minorHAnsi"/>
                <w:iCs/>
                <w:szCs w:val="17"/>
              </w:rPr>
            </w:pPr>
            <w:r w:rsidRPr="00A418B1">
              <w:rPr>
                <w:rFonts w:asciiTheme="minorHAnsi" w:eastAsia="Times New Roman" w:hAnsiTheme="minorHAnsi"/>
                <w:iCs/>
                <w:szCs w:val="17"/>
              </w:rPr>
              <w:t>Management actions identified in 2015-16 APPR</w:t>
            </w:r>
            <w:r w:rsidRPr="00A418B1">
              <w:rPr>
                <w:rFonts w:asciiTheme="minorHAnsi" w:eastAsia="Times New Roman" w:hAnsiTheme="minorHAnsi"/>
                <w:iCs/>
                <w:szCs w:val="17"/>
              </w:rPr>
              <w:tab/>
            </w:r>
          </w:p>
        </w:tc>
        <w:tc>
          <w:tcPr>
            <w:tcW w:w="1206" w:type="dxa"/>
            <w:tcBorders>
              <w:left w:val="nil"/>
              <w:right w:val="nil"/>
            </w:tcBorders>
            <w:hideMark/>
          </w:tcPr>
          <w:p w14:paraId="476314F3" w14:textId="77777777" w:rsidR="00076EDF" w:rsidRPr="00A418B1" w:rsidRDefault="00076EDF">
            <w:pPr>
              <w:keepLines/>
              <w:spacing w:before="80" w:after="80" w:line="200" w:lineRule="atLeast"/>
              <w:rPr>
                <w:rFonts w:asciiTheme="minorHAnsi" w:eastAsia="Times New Roman" w:hAnsiTheme="minorHAnsi"/>
                <w:iCs/>
                <w:szCs w:val="17"/>
              </w:rPr>
            </w:pPr>
            <w:r w:rsidRPr="00A418B1">
              <w:rPr>
                <w:rFonts w:asciiTheme="minorHAnsi" w:eastAsia="Times New Roman" w:hAnsiTheme="minorHAnsi"/>
                <w:iCs/>
                <w:szCs w:val="17"/>
              </w:rPr>
              <w:t>Rating</w:t>
            </w:r>
          </w:p>
        </w:tc>
        <w:tc>
          <w:tcPr>
            <w:tcW w:w="6591" w:type="dxa"/>
            <w:tcBorders>
              <w:left w:val="nil"/>
              <w:right w:val="nil"/>
            </w:tcBorders>
            <w:hideMark/>
          </w:tcPr>
          <w:p w14:paraId="3F277CA7" w14:textId="77777777" w:rsidR="00076EDF" w:rsidRPr="00A418B1" w:rsidRDefault="00076EDF">
            <w:pPr>
              <w:keepLines/>
              <w:spacing w:before="80" w:after="80" w:line="200" w:lineRule="atLeast"/>
              <w:jc w:val="center"/>
              <w:rPr>
                <w:rFonts w:asciiTheme="minorHAnsi" w:eastAsia="Times New Roman" w:hAnsiTheme="minorHAnsi"/>
                <w:iCs/>
                <w:szCs w:val="17"/>
              </w:rPr>
            </w:pPr>
            <w:r w:rsidRPr="00A418B1">
              <w:rPr>
                <w:rFonts w:asciiTheme="minorHAnsi" w:eastAsia="Times New Roman" w:hAnsiTheme="minorHAnsi"/>
                <w:iCs/>
                <w:szCs w:val="17"/>
              </w:rPr>
              <w:t>Progress made  in 2016-17</w:t>
            </w:r>
          </w:p>
        </w:tc>
      </w:tr>
      <w:tr w:rsidR="00076EDF" w14:paraId="3A310418" w14:textId="77777777" w:rsidTr="00076EDF">
        <w:trPr>
          <w:cnfStyle w:val="100000000000" w:firstRow="1" w:lastRow="0" w:firstColumn="0" w:lastColumn="0" w:oddVBand="0" w:evenVBand="0" w:oddHBand="0" w:evenHBand="0" w:firstRowFirstColumn="0" w:firstRowLastColumn="0" w:lastRowFirstColumn="0" w:lastRowLastColumn="0"/>
        </w:trPr>
        <w:tc>
          <w:tcPr>
            <w:tcW w:w="6383" w:type="dxa"/>
            <w:tcBorders>
              <w:top w:val="nil"/>
              <w:left w:val="nil"/>
              <w:right w:val="nil"/>
            </w:tcBorders>
            <w:hideMark/>
          </w:tcPr>
          <w:p w14:paraId="57A94928" w14:textId="77777777" w:rsidR="00076EDF" w:rsidRPr="00A502CF" w:rsidRDefault="00076EDF">
            <w:pPr>
              <w:keepLines/>
              <w:spacing w:before="40" w:after="40" w:line="200" w:lineRule="atLeast"/>
              <w:rPr>
                <w:rFonts w:asciiTheme="minorHAnsi" w:eastAsia="Times New Roman" w:hAnsiTheme="minorHAnsi"/>
                <w:b w:val="0"/>
                <w:iCs/>
                <w:szCs w:val="17"/>
              </w:rPr>
            </w:pPr>
            <w:r w:rsidRPr="00A418B1">
              <w:rPr>
                <w:rFonts w:asciiTheme="minorHAnsi" w:eastAsia="Times New Roman" w:hAnsiTheme="minorHAnsi"/>
                <w:b w:val="0"/>
                <w:iCs/>
                <w:szCs w:val="17"/>
              </w:rPr>
              <w:t>Effective and timely delivery of Australia’s additional aid to the long term reconstruction of TC Winston: $16 million over 2016-17 and 2017-18</w:t>
            </w:r>
          </w:p>
        </w:tc>
        <w:tc>
          <w:tcPr>
            <w:tcW w:w="1206" w:type="dxa"/>
            <w:tcBorders>
              <w:top w:val="nil"/>
              <w:left w:val="nil"/>
              <w:right w:val="nil"/>
            </w:tcBorders>
            <w:shd w:val="clear" w:color="auto" w:fill="E36C0A"/>
            <w:hideMark/>
          </w:tcPr>
          <w:p w14:paraId="1468652A" w14:textId="77777777" w:rsidR="00076EDF" w:rsidRDefault="00076EDF">
            <w:pPr>
              <w:keepLines/>
              <w:spacing w:before="40" w:after="40" w:line="200" w:lineRule="atLeast"/>
              <w:rPr>
                <w:rFonts w:asciiTheme="minorHAnsi" w:eastAsia="Times New Roman" w:hAnsiTheme="minorHAnsi"/>
                <w:iCs/>
                <w:color w:val="FFFFFF" w:themeColor="background1"/>
                <w:szCs w:val="17"/>
              </w:rPr>
            </w:pPr>
            <w:r>
              <w:rPr>
                <w:rFonts w:asciiTheme="minorHAnsi" w:eastAsia="Times New Roman" w:hAnsiTheme="minorHAnsi"/>
                <w:iCs/>
                <w:color w:val="FFFFFF" w:themeColor="background1"/>
                <w:szCs w:val="17"/>
              </w:rPr>
              <w:t>Partly achieved</w:t>
            </w:r>
          </w:p>
        </w:tc>
        <w:tc>
          <w:tcPr>
            <w:tcW w:w="6591" w:type="dxa"/>
            <w:tcBorders>
              <w:top w:val="nil"/>
              <w:left w:val="nil"/>
              <w:right w:val="nil"/>
            </w:tcBorders>
            <w:hideMark/>
          </w:tcPr>
          <w:p w14:paraId="03FDC9BD" w14:textId="6A3B4416" w:rsidR="00076EDF" w:rsidRPr="00A418B1" w:rsidRDefault="00076EDF" w:rsidP="006E478E">
            <w:pPr>
              <w:keepLines/>
              <w:spacing w:before="40" w:after="40" w:line="200" w:lineRule="atLeast"/>
              <w:rPr>
                <w:rFonts w:asciiTheme="minorHAnsi" w:eastAsia="Times New Roman" w:hAnsiTheme="minorHAnsi"/>
                <w:b w:val="0"/>
                <w:iCs/>
                <w:color w:val="92D050"/>
                <w:szCs w:val="17"/>
              </w:rPr>
            </w:pPr>
            <w:r w:rsidRPr="00A418B1">
              <w:rPr>
                <w:rFonts w:asciiTheme="minorHAnsi" w:eastAsia="Times New Roman" w:hAnsiTheme="minorHAnsi"/>
                <w:b w:val="0"/>
                <w:iCs/>
                <w:szCs w:val="17"/>
              </w:rPr>
              <w:t>Significant progress has been made. Repairs to 16 schools are complete and the rebuilding of 18 schools that sustained significant damage will be complete by December</w:t>
            </w:r>
            <w:r w:rsidR="00340848">
              <w:rPr>
                <w:rFonts w:asciiTheme="minorHAnsi" w:eastAsia="Times New Roman" w:hAnsiTheme="minorHAnsi"/>
                <w:b w:val="0"/>
                <w:iCs/>
                <w:szCs w:val="17"/>
              </w:rPr>
              <w:t xml:space="preserve"> 2017</w:t>
            </w:r>
            <w:r w:rsidRPr="00A418B1">
              <w:rPr>
                <w:rFonts w:asciiTheme="minorHAnsi" w:eastAsia="Times New Roman" w:hAnsiTheme="minorHAnsi"/>
                <w:b w:val="0"/>
                <w:iCs/>
                <w:szCs w:val="17"/>
              </w:rPr>
              <w:t xml:space="preserve">. </w:t>
            </w:r>
            <w:r w:rsidR="00A60B10">
              <w:rPr>
                <w:rFonts w:asciiTheme="minorHAnsi" w:eastAsia="Times New Roman" w:hAnsiTheme="minorHAnsi"/>
                <w:b w:val="0"/>
                <w:iCs/>
                <w:szCs w:val="17"/>
              </w:rPr>
              <w:t>Waimaro</w:t>
            </w:r>
            <w:r w:rsidRPr="00A418B1">
              <w:rPr>
                <w:rFonts w:asciiTheme="minorHAnsi" w:eastAsia="Times New Roman" w:hAnsiTheme="minorHAnsi"/>
                <w:b w:val="0"/>
                <w:iCs/>
                <w:szCs w:val="17"/>
              </w:rPr>
              <w:t xml:space="preserve"> health centre will be rebuilt by end </w:t>
            </w:r>
            <w:r w:rsidR="00915E32">
              <w:rPr>
                <w:rFonts w:asciiTheme="minorHAnsi" w:eastAsia="Times New Roman" w:hAnsiTheme="minorHAnsi"/>
                <w:b w:val="0"/>
                <w:iCs/>
                <w:szCs w:val="17"/>
              </w:rPr>
              <w:t xml:space="preserve">of </w:t>
            </w:r>
            <w:r w:rsidR="00906A2A">
              <w:rPr>
                <w:rFonts w:asciiTheme="minorHAnsi" w:eastAsia="Times New Roman" w:hAnsiTheme="minorHAnsi"/>
                <w:b w:val="0"/>
                <w:iCs/>
                <w:szCs w:val="17"/>
              </w:rPr>
              <w:t>2017</w:t>
            </w:r>
            <w:r w:rsidRPr="00A418B1">
              <w:rPr>
                <w:rFonts w:asciiTheme="minorHAnsi" w:eastAsia="Times New Roman" w:hAnsiTheme="minorHAnsi"/>
                <w:b w:val="0"/>
                <w:iCs/>
                <w:szCs w:val="17"/>
              </w:rPr>
              <w:t xml:space="preserve"> and Rakiraki Municipal Market by mid-2018.</w:t>
            </w:r>
          </w:p>
        </w:tc>
      </w:tr>
      <w:tr w:rsidR="00076EDF" w14:paraId="2CAA6697" w14:textId="77777777" w:rsidTr="00076EDF">
        <w:trPr>
          <w:cnfStyle w:val="100000000000" w:firstRow="1" w:lastRow="0" w:firstColumn="0" w:lastColumn="0" w:oddVBand="0" w:evenVBand="0" w:oddHBand="0" w:evenHBand="0" w:firstRowFirstColumn="0" w:firstRowLastColumn="0" w:lastRowFirstColumn="0" w:lastRowLastColumn="0"/>
        </w:trPr>
        <w:tc>
          <w:tcPr>
            <w:tcW w:w="6383" w:type="dxa"/>
            <w:tcBorders>
              <w:top w:val="nil"/>
              <w:left w:val="nil"/>
              <w:right w:val="nil"/>
            </w:tcBorders>
            <w:hideMark/>
          </w:tcPr>
          <w:p w14:paraId="0576DB8C" w14:textId="77777777" w:rsidR="00076EDF" w:rsidRPr="00A418B1" w:rsidRDefault="00076EDF">
            <w:pPr>
              <w:keepLines/>
              <w:spacing w:before="40" w:after="40" w:line="200" w:lineRule="atLeast"/>
              <w:rPr>
                <w:rFonts w:asciiTheme="minorHAnsi" w:eastAsia="Times New Roman" w:hAnsiTheme="minorHAnsi"/>
                <w:b w:val="0"/>
                <w:iCs/>
                <w:szCs w:val="17"/>
              </w:rPr>
            </w:pPr>
            <w:r w:rsidRPr="00A418B1">
              <w:rPr>
                <w:rFonts w:asciiTheme="minorHAnsi" w:hAnsiTheme="minorHAnsi"/>
                <w:b w:val="0"/>
              </w:rPr>
              <w:t xml:space="preserve">Develop an </w:t>
            </w:r>
            <w:r w:rsidRPr="00A418B1">
              <w:rPr>
                <w:rFonts w:asciiTheme="minorHAnsi" w:hAnsiTheme="minorHAnsi"/>
                <w:b w:val="0"/>
                <w:bCs/>
              </w:rPr>
              <w:t>Aid Partnership</w:t>
            </w:r>
            <w:r w:rsidRPr="00A418B1">
              <w:rPr>
                <w:rFonts w:asciiTheme="minorHAnsi" w:hAnsiTheme="minorHAnsi"/>
                <w:b w:val="0"/>
              </w:rPr>
              <w:t xml:space="preserve"> with the Government of Fiji after the forthcoming National Development Plans are released</w:t>
            </w:r>
          </w:p>
        </w:tc>
        <w:tc>
          <w:tcPr>
            <w:tcW w:w="1206" w:type="dxa"/>
            <w:tcBorders>
              <w:top w:val="nil"/>
              <w:left w:val="nil"/>
              <w:right w:val="nil"/>
            </w:tcBorders>
            <w:shd w:val="clear" w:color="auto" w:fill="3DA18F" w:themeFill="accent1" w:themeFillShade="BF"/>
            <w:hideMark/>
          </w:tcPr>
          <w:p w14:paraId="3BD140A2" w14:textId="77777777" w:rsidR="00076EDF" w:rsidRDefault="00076EDF">
            <w:pPr>
              <w:keepLines/>
              <w:spacing w:before="40" w:after="40" w:line="200" w:lineRule="atLeast"/>
              <w:rPr>
                <w:rFonts w:asciiTheme="minorHAnsi" w:eastAsia="Times New Roman" w:hAnsiTheme="minorHAnsi"/>
                <w:iCs/>
                <w:color w:val="FFFFFF" w:themeColor="background1"/>
                <w:szCs w:val="17"/>
              </w:rPr>
            </w:pPr>
            <w:r>
              <w:rPr>
                <w:rFonts w:asciiTheme="minorHAnsi" w:eastAsia="Times New Roman" w:hAnsiTheme="minorHAnsi"/>
                <w:iCs/>
                <w:color w:val="FFFFFF" w:themeColor="background1"/>
                <w:szCs w:val="17"/>
              </w:rPr>
              <w:t>Not applicable</w:t>
            </w:r>
          </w:p>
        </w:tc>
        <w:tc>
          <w:tcPr>
            <w:tcW w:w="6591" w:type="dxa"/>
            <w:tcBorders>
              <w:top w:val="nil"/>
              <w:left w:val="nil"/>
              <w:right w:val="nil"/>
            </w:tcBorders>
            <w:hideMark/>
          </w:tcPr>
          <w:p w14:paraId="65A95839" w14:textId="77777777" w:rsidR="00076EDF" w:rsidRPr="00A418B1" w:rsidRDefault="00076EDF">
            <w:pPr>
              <w:keepLines/>
              <w:spacing w:before="40" w:after="40" w:line="200" w:lineRule="atLeast"/>
              <w:rPr>
                <w:rFonts w:asciiTheme="minorHAnsi" w:eastAsia="Times New Roman" w:hAnsiTheme="minorHAnsi"/>
                <w:b w:val="0"/>
                <w:iCs/>
                <w:color w:val="92D050"/>
                <w:szCs w:val="17"/>
              </w:rPr>
            </w:pPr>
            <w:r w:rsidRPr="00A418B1">
              <w:rPr>
                <w:rFonts w:asciiTheme="minorHAnsi" w:eastAsia="Times New Roman" w:hAnsiTheme="minorHAnsi"/>
                <w:b w:val="0"/>
                <w:iCs/>
                <w:szCs w:val="17"/>
              </w:rPr>
              <w:t>Fiji has not released its National Development Plan, though we have communicated to the Fiji Government our desire to develop an Aid Partnership using the Plan as a basis.</w:t>
            </w:r>
          </w:p>
        </w:tc>
      </w:tr>
      <w:tr w:rsidR="00076EDF" w14:paraId="1256EC71" w14:textId="77777777" w:rsidTr="00076EDF">
        <w:trPr>
          <w:cnfStyle w:val="100000000000" w:firstRow="1" w:lastRow="0" w:firstColumn="0" w:lastColumn="0" w:oddVBand="0" w:evenVBand="0" w:oddHBand="0" w:evenHBand="0" w:firstRowFirstColumn="0" w:firstRowLastColumn="0" w:lastRowFirstColumn="0" w:lastRowLastColumn="0"/>
        </w:trPr>
        <w:tc>
          <w:tcPr>
            <w:tcW w:w="6383" w:type="dxa"/>
            <w:tcBorders>
              <w:top w:val="nil"/>
              <w:left w:val="nil"/>
              <w:right w:val="nil"/>
            </w:tcBorders>
            <w:hideMark/>
          </w:tcPr>
          <w:p w14:paraId="202E6734" w14:textId="77777777" w:rsidR="00076EDF" w:rsidRPr="00A418B1" w:rsidRDefault="00076EDF">
            <w:pPr>
              <w:keepLines/>
              <w:spacing w:before="40" w:after="40" w:line="200" w:lineRule="atLeast"/>
              <w:rPr>
                <w:rFonts w:asciiTheme="minorHAnsi" w:eastAsia="Times New Roman" w:hAnsiTheme="minorHAnsi"/>
                <w:b w:val="0"/>
                <w:iCs/>
                <w:szCs w:val="17"/>
              </w:rPr>
            </w:pPr>
            <w:r w:rsidRPr="00A418B1">
              <w:rPr>
                <w:rFonts w:asciiTheme="minorHAnsi" w:hAnsiTheme="minorHAnsi"/>
                <w:b w:val="0"/>
              </w:rPr>
              <w:t xml:space="preserve">Using the Aid Partnership as a basis, develop a whole-of-program </w:t>
            </w:r>
            <w:r w:rsidRPr="00A418B1">
              <w:rPr>
                <w:rFonts w:asciiTheme="minorHAnsi" w:hAnsiTheme="minorHAnsi"/>
                <w:b w:val="0"/>
                <w:bCs/>
              </w:rPr>
              <w:t>Performance Assessment Framework</w:t>
            </w:r>
            <w:r w:rsidRPr="00A418B1">
              <w:rPr>
                <w:rFonts w:asciiTheme="minorHAnsi" w:hAnsiTheme="minorHAnsi"/>
                <w:b w:val="0"/>
              </w:rPr>
              <w:t xml:space="preserve"> to monitor the bilateral aid program as well as selected key regional programs</w:t>
            </w:r>
          </w:p>
        </w:tc>
        <w:tc>
          <w:tcPr>
            <w:tcW w:w="1206" w:type="dxa"/>
            <w:tcBorders>
              <w:top w:val="nil"/>
              <w:left w:val="nil"/>
              <w:right w:val="nil"/>
            </w:tcBorders>
            <w:shd w:val="clear" w:color="auto" w:fill="E36C0A"/>
            <w:hideMark/>
          </w:tcPr>
          <w:p w14:paraId="2F3A0025" w14:textId="77777777" w:rsidR="00076EDF" w:rsidRDefault="00076EDF">
            <w:pPr>
              <w:keepLines/>
              <w:spacing w:before="40" w:after="40" w:line="200" w:lineRule="atLeast"/>
              <w:rPr>
                <w:rFonts w:asciiTheme="minorHAnsi" w:eastAsia="Times New Roman" w:hAnsiTheme="minorHAnsi"/>
                <w:iCs/>
                <w:color w:val="FFFFFF" w:themeColor="background1"/>
                <w:szCs w:val="17"/>
              </w:rPr>
            </w:pPr>
            <w:r>
              <w:rPr>
                <w:rFonts w:asciiTheme="minorHAnsi" w:eastAsia="Times New Roman" w:hAnsiTheme="minorHAnsi"/>
                <w:iCs/>
                <w:color w:val="FFFFFF" w:themeColor="background1"/>
                <w:szCs w:val="17"/>
              </w:rPr>
              <w:t>Partly achieved</w:t>
            </w:r>
          </w:p>
        </w:tc>
        <w:tc>
          <w:tcPr>
            <w:tcW w:w="6591" w:type="dxa"/>
            <w:tcBorders>
              <w:top w:val="nil"/>
              <w:left w:val="nil"/>
              <w:right w:val="nil"/>
            </w:tcBorders>
            <w:hideMark/>
          </w:tcPr>
          <w:p w14:paraId="5F246581" w14:textId="4BED8465" w:rsidR="00076EDF" w:rsidRPr="00A418B1" w:rsidRDefault="00FE69A2" w:rsidP="00FE69A2">
            <w:pPr>
              <w:keepLines/>
              <w:spacing w:before="40" w:after="40" w:line="200" w:lineRule="atLeast"/>
              <w:rPr>
                <w:rFonts w:asciiTheme="minorHAnsi" w:eastAsia="Times New Roman" w:hAnsiTheme="minorHAnsi"/>
                <w:b w:val="0"/>
                <w:iCs/>
                <w:szCs w:val="17"/>
              </w:rPr>
            </w:pPr>
            <w:r>
              <w:rPr>
                <w:rFonts w:asciiTheme="minorHAnsi" w:eastAsia="Times New Roman" w:hAnsiTheme="minorHAnsi"/>
                <w:b w:val="0"/>
                <w:iCs/>
                <w:szCs w:val="17"/>
              </w:rPr>
              <w:t>Despite the absence of an Aid Partnership, w</w:t>
            </w:r>
            <w:r w:rsidR="00076EDF" w:rsidRPr="00A418B1">
              <w:rPr>
                <w:rFonts w:asciiTheme="minorHAnsi" w:eastAsia="Times New Roman" w:hAnsiTheme="minorHAnsi"/>
                <w:b w:val="0"/>
                <w:iCs/>
                <w:szCs w:val="17"/>
              </w:rPr>
              <w:t xml:space="preserve">e have drafted a Performance Assessment Framework (PAF) and begun consultations with relevant Fiji Government </w:t>
            </w:r>
            <w:r>
              <w:rPr>
                <w:rFonts w:asciiTheme="minorHAnsi" w:eastAsia="Times New Roman" w:hAnsiTheme="minorHAnsi"/>
                <w:b w:val="0"/>
                <w:iCs/>
                <w:szCs w:val="17"/>
              </w:rPr>
              <w:t>m</w:t>
            </w:r>
            <w:r w:rsidR="00076EDF" w:rsidRPr="00A418B1">
              <w:rPr>
                <w:rFonts w:asciiTheme="minorHAnsi" w:eastAsia="Times New Roman" w:hAnsiTheme="minorHAnsi"/>
                <w:b w:val="0"/>
                <w:iCs/>
                <w:szCs w:val="17"/>
              </w:rPr>
              <w:t xml:space="preserve">inistries on some of the key indicators. We will finalise the PAF </w:t>
            </w:r>
            <w:r w:rsidR="00340848">
              <w:rPr>
                <w:rFonts w:asciiTheme="minorHAnsi" w:eastAsia="Times New Roman" w:hAnsiTheme="minorHAnsi"/>
                <w:b w:val="0"/>
                <w:iCs/>
                <w:szCs w:val="17"/>
              </w:rPr>
              <w:t>by the end of 2017.</w:t>
            </w:r>
          </w:p>
        </w:tc>
      </w:tr>
      <w:tr w:rsidR="00076EDF" w14:paraId="24916162" w14:textId="77777777" w:rsidTr="00076EDF">
        <w:trPr>
          <w:cnfStyle w:val="100000000000" w:firstRow="1" w:lastRow="0" w:firstColumn="0" w:lastColumn="0" w:oddVBand="0" w:evenVBand="0" w:oddHBand="0" w:evenHBand="0" w:firstRowFirstColumn="0" w:firstRowLastColumn="0" w:lastRowFirstColumn="0" w:lastRowLastColumn="0"/>
        </w:trPr>
        <w:tc>
          <w:tcPr>
            <w:tcW w:w="6383" w:type="dxa"/>
            <w:tcBorders>
              <w:top w:val="nil"/>
              <w:left w:val="nil"/>
              <w:right w:val="nil"/>
            </w:tcBorders>
            <w:hideMark/>
          </w:tcPr>
          <w:p w14:paraId="2BB97814" w14:textId="77777777" w:rsidR="00076EDF" w:rsidRPr="00A418B1" w:rsidRDefault="00076EDF">
            <w:pPr>
              <w:keepLines/>
              <w:spacing w:before="40" w:after="40" w:line="200" w:lineRule="atLeast"/>
              <w:rPr>
                <w:rFonts w:asciiTheme="minorHAnsi" w:eastAsia="Times New Roman" w:hAnsiTheme="minorHAnsi"/>
                <w:b w:val="0"/>
                <w:iCs/>
                <w:szCs w:val="17"/>
              </w:rPr>
            </w:pPr>
            <w:r w:rsidRPr="00A418B1">
              <w:rPr>
                <w:rFonts w:asciiTheme="minorHAnsi" w:hAnsiTheme="minorHAnsi"/>
                <w:b w:val="0"/>
              </w:rPr>
              <w:t xml:space="preserve">Timely establishment of the </w:t>
            </w:r>
            <w:r w:rsidRPr="00A418B1">
              <w:rPr>
                <w:rFonts w:asciiTheme="minorHAnsi" w:hAnsiTheme="minorHAnsi"/>
                <w:b w:val="0"/>
                <w:bCs/>
              </w:rPr>
              <w:t xml:space="preserve">Fiji Program Support Facility </w:t>
            </w:r>
            <w:r w:rsidRPr="00A418B1">
              <w:rPr>
                <w:rFonts w:asciiTheme="minorHAnsi" w:hAnsiTheme="minorHAnsi"/>
                <w:b w:val="0"/>
              </w:rPr>
              <w:t>and clarity of new roles and responsibilities among Australian High Commission staff, the Facility, the Government of Fiji and other stakeholders</w:t>
            </w:r>
          </w:p>
        </w:tc>
        <w:tc>
          <w:tcPr>
            <w:tcW w:w="1206" w:type="dxa"/>
            <w:tcBorders>
              <w:top w:val="nil"/>
              <w:left w:val="nil"/>
              <w:right w:val="nil"/>
            </w:tcBorders>
            <w:shd w:val="clear" w:color="auto" w:fill="72AF2F"/>
            <w:hideMark/>
          </w:tcPr>
          <w:p w14:paraId="0540669E" w14:textId="77777777" w:rsidR="00076EDF" w:rsidRDefault="00076EDF">
            <w:pPr>
              <w:keepLines/>
              <w:spacing w:before="40" w:after="40" w:line="200" w:lineRule="atLeast"/>
              <w:rPr>
                <w:rFonts w:asciiTheme="minorHAnsi" w:eastAsia="Times New Roman" w:hAnsiTheme="minorHAnsi"/>
                <w:iCs/>
                <w:color w:val="FFFFFF" w:themeColor="background1"/>
                <w:szCs w:val="17"/>
              </w:rPr>
            </w:pPr>
            <w:r>
              <w:rPr>
                <w:rFonts w:asciiTheme="minorHAnsi" w:eastAsia="Times New Roman" w:hAnsiTheme="minorHAnsi"/>
                <w:iCs/>
                <w:color w:val="FFFFFF" w:themeColor="background1"/>
                <w:szCs w:val="17"/>
              </w:rPr>
              <w:t>Achieved</w:t>
            </w:r>
          </w:p>
        </w:tc>
        <w:tc>
          <w:tcPr>
            <w:tcW w:w="6591" w:type="dxa"/>
            <w:tcBorders>
              <w:top w:val="nil"/>
              <w:left w:val="nil"/>
              <w:right w:val="nil"/>
            </w:tcBorders>
            <w:hideMark/>
          </w:tcPr>
          <w:p w14:paraId="12AD7C97" w14:textId="77777777" w:rsidR="00076EDF" w:rsidRPr="00A418B1" w:rsidRDefault="00076EDF">
            <w:pPr>
              <w:keepLines/>
              <w:spacing w:before="40" w:after="40" w:line="200" w:lineRule="atLeast"/>
              <w:rPr>
                <w:rFonts w:asciiTheme="minorHAnsi" w:hAnsiTheme="minorHAnsi"/>
                <w:b w:val="0"/>
                <w:color w:val="409F68" w:themeColor="accent6"/>
              </w:rPr>
            </w:pPr>
            <w:r w:rsidRPr="00A418B1">
              <w:rPr>
                <w:rFonts w:asciiTheme="minorHAnsi" w:eastAsia="Times New Roman" w:hAnsiTheme="minorHAnsi"/>
                <w:b w:val="0"/>
                <w:iCs/>
                <w:szCs w:val="17"/>
              </w:rPr>
              <w:t>The Facility has been mobilised with all key positions filled. Roles and responsibilities have been outlined in key operational documents.</w:t>
            </w:r>
          </w:p>
        </w:tc>
      </w:tr>
      <w:tr w:rsidR="00076EDF" w14:paraId="02B4CE35" w14:textId="77777777" w:rsidTr="00076EDF">
        <w:trPr>
          <w:cnfStyle w:val="100000000000" w:firstRow="1" w:lastRow="0" w:firstColumn="0" w:lastColumn="0" w:oddVBand="0" w:evenVBand="0" w:oddHBand="0" w:evenHBand="0" w:firstRowFirstColumn="0" w:firstRowLastColumn="0" w:lastRowFirstColumn="0" w:lastRowLastColumn="0"/>
        </w:trPr>
        <w:tc>
          <w:tcPr>
            <w:tcW w:w="6383" w:type="dxa"/>
            <w:tcBorders>
              <w:top w:val="nil"/>
              <w:left w:val="nil"/>
              <w:right w:val="nil"/>
            </w:tcBorders>
            <w:hideMark/>
          </w:tcPr>
          <w:p w14:paraId="7851ACBD" w14:textId="77777777" w:rsidR="00076EDF" w:rsidRPr="00A418B1" w:rsidRDefault="00076EDF">
            <w:pPr>
              <w:keepLines/>
              <w:spacing w:before="40" w:after="40" w:line="200" w:lineRule="atLeast"/>
              <w:rPr>
                <w:rFonts w:asciiTheme="minorHAnsi" w:eastAsia="Times New Roman" w:hAnsiTheme="minorHAnsi"/>
                <w:b w:val="0"/>
                <w:iCs/>
                <w:szCs w:val="17"/>
                <w:lang w:eastAsia="en-US"/>
              </w:rPr>
            </w:pPr>
            <w:r w:rsidRPr="00A418B1">
              <w:rPr>
                <w:rFonts w:asciiTheme="minorHAnsi" w:hAnsiTheme="minorHAnsi"/>
                <w:b w:val="0"/>
              </w:rPr>
              <w:t xml:space="preserve">Transfer the </w:t>
            </w:r>
            <w:r w:rsidRPr="00A418B1">
              <w:rPr>
                <w:rFonts w:asciiTheme="minorHAnsi" w:hAnsiTheme="minorHAnsi"/>
                <w:b w:val="0"/>
                <w:bCs/>
              </w:rPr>
              <w:t>scholarships</w:t>
            </w:r>
            <w:r w:rsidRPr="00A418B1">
              <w:rPr>
                <w:rFonts w:asciiTheme="minorHAnsi" w:hAnsiTheme="minorHAnsi"/>
                <w:b w:val="0"/>
              </w:rPr>
              <w:t xml:space="preserve"> administration to the Fiji Program Support Facility to enable DFAT to manage strategic directions for the program</w:t>
            </w:r>
          </w:p>
        </w:tc>
        <w:tc>
          <w:tcPr>
            <w:tcW w:w="1206" w:type="dxa"/>
            <w:tcBorders>
              <w:top w:val="nil"/>
              <w:left w:val="nil"/>
              <w:right w:val="nil"/>
            </w:tcBorders>
            <w:shd w:val="clear" w:color="auto" w:fill="E36C0A"/>
            <w:hideMark/>
          </w:tcPr>
          <w:p w14:paraId="705CBB14" w14:textId="77777777" w:rsidR="00076EDF" w:rsidRDefault="00076EDF">
            <w:pPr>
              <w:keepLines/>
              <w:spacing w:before="40" w:after="40" w:line="200" w:lineRule="atLeast"/>
              <w:rPr>
                <w:rFonts w:asciiTheme="minorHAnsi" w:eastAsia="Times New Roman" w:hAnsiTheme="minorHAnsi"/>
                <w:iCs/>
                <w:color w:val="FFFFFF" w:themeColor="background1"/>
                <w:szCs w:val="17"/>
              </w:rPr>
            </w:pPr>
            <w:r>
              <w:rPr>
                <w:rFonts w:asciiTheme="minorHAnsi" w:eastAsia="Times New Roman" w:hAnsiTheme="minorHAnsi"/>
                <w:iCs/>
                <w:color w:val="FFFFFF" w:themeColor="background1"/>
                <w:szCs w:val="17"/>
              </w:rPr>
              <w:t>Partly achieved</w:t>
            </w:r>
          </w:p>
        </w:tc>
        <w:tc>
          <w:tcPr>
            <w:tcW w:w="6591" w:type="dxa"/>
            <w:tcBorders>
              <w:top w:val="nil"/>
              <w:left w:val="nil"/>
              <w:right w:val="nil"/>
            </w:tcBorders>
            <w:hideMark/>
          </w:tcPr>
          <w:p w14:paraId="3081E82D" w14:textId="1205C7AA" w:rsidR="00076EDF" w:rsidRPr="00A418B1" w:rsidRDefault="00076EDF" w:rsidP="00FE69A2">
            <w:pPr>
              <w:keepLines/>
              <w:spacing w:before="40" w:after="40" w:line="200" w:lineRule="atLeast"/>
              <w:rPr>
                <w:rFonts w:asciiTheme="minorHAnsi" w:eastAsia="Times New Roman" w:hAnsiTheme="minorHAnsi"/>
                <w:b w:val="0"/>
                <w:iCs/>
                <w:color w:val="409F68" w:themeColor="accent6"/>
                <w:szCs w:val="17"/>
              </w:rPr>
            </w:pPr>
            <w:r w:rsidRPr="00A418B1">
              <w:rPr>
                <w:rFonts w:asciiTheme="minorHAnsi" w:eastAsia="Times New Roman" w:hAnsiTheme="minorHAnsi"/>
                <w:b w:val="0"/>
                <w:iCs/>
                <w:szCs w:val="17"/>
              </w:rPr>
              <w:t xml:space="preserve">Most aspects of scholarship administration have been transferred, with full transfer of administrative functions expected </w:t>
            </w:r>
            <w:r w:rsidR="00FE69A2">
              <w:rPr>
                <w:rFonts w:asciiTheme="minorHAnsi" w:eastAsia="Times New Roman" w:hAnsiTheme="minorHAnsi"/>
                <w:b w:val="0"/>
                <w:iCs/>
                <w:szCs w:val="17"/>
              </w:rPr>
              <w:t>by the end of 2017</w:t>
            </w:r>
            <w:r w:rsidRPr="00A418B1">
              <w:rPr>
                <w:rFonts w:asciiTheme="minorHAnsi" w:eastAsia="Times New Roman" w:hAnsiTheme="minorHAnsi"/>
                <w:b w:val="0"/>
                <w:iCs/>
                <w:szCs w:val="17"/>
              </w:rPr>
              <w:t>.</w:t>
            </w:r>
          </w:p>
        </w:tc>
      </w:tr>
      <w:tr w:rsidR="00076EDF" w14:paraId="06DB35A1" w14:textId="77777777" w:rsidTr="00076EDF">
        <w:trPr>
          <w:cnfStyle w:val="100000000000" w:firstRow="1" w:lastRow="0" w:firstColumn="0" w:lastColumn="0" w:oddVBand="0" w:evenVBand="0" w:oddHBand="0" w:evenHBand="0" w:firstRowFirstColumn="0" w:firstRowLastColumn="0" w:lastRowFirstColumn="0" w:lastRowLastColumn="0"/>
        </w:trPr>
        <w:tc>
          <w:tcPr>
            <w:tcW w:w="6383" w:type="dxa"/>
            <w:tcBorders>
              <w:top w:val="nil"/>
              <w:left w:val="nil"/>
              <w:right w:val="nil"/>
            </w:tcBorders>
            <w:hideMark/>
          </w:tcPr>
          <w:p w14:paraId="6D578225" w14:textId="050238C6" w:rsidR="00076EDF" w:rsidRPr="00A418B1" w:rsidRDefault="00076EDF" w:rsidP="00A502CF">
            <w:pPr>
              <w:keepLines/>
              <w:spacing w:before="40" w:after="40" w:line="200" w:lineRule="atLeast"/>
              <w:rPr>
                <w:rFonts w:asciiTheme="minorHAnsi" w:hAnsiTheme="minorHAnsi"/>
                <w:b w:val="0"/>
              </w:rPr>
            </w:pPr>
            <w:r w:rsidRPr="00A418B1">
              <w:rPr>
                <w:rFonts w:asciiTheme="minorHAnsi" w:hAnsiTheme="minorHAnsi"/>
                <w:b w:val="0"/>
              </w:rPr>
              <w:t xml:space="preserve">Improve </w:t>
            </w:r>
            <w:r w:rsidRPr="00A418B1">
              <w:rPr>
                <w:rFonts w:asciiTheme="minorHAnsi" w:hAnsiTheme="minorHAnsi"/>
                <w:b w:val="0"/>
                <w:bCs/>
              </w:rPr>
              <w:t>coordination</w:t>
            </w:r>
            <w:r w:rsidRPr="00A418B1">
              <w:rPr>
                <w:rFonts w:asciiTheme="minorHAnsi" w:hAnsiTheme="minorHAnsi"/>
                <w:b w:val="0"/>
              </w:rPr>
              <w:t xml:space="preserve"> among development partners in the private sector development sector to ensure complementarity of assistance</w:t>
            </w:r>
          </w:p>
        </w:tc>
        <w:tc>
          <w:tcPr>
            <w:tcW w:w="1206" w:type="dxa"/>
            <w:tcBorders>
              <w:top w:val="nil"/>
              <w:left w:val="nil"/>
              <w:right w:val="nil"/>
            </w:tcBorders>
            <w:shd w:val="clear" w:color="auto" w:fill="72AF2F"/>
            <w:hideMark/>
          </w:tcPr>
          <w:p w14:paraId="5128BCCE" w14:textId="77777777" w:rsidR="00076EDF" w:rsidRDefault="00076EDF">
            <w:pPr>
              <w:keepLines/>
              <w:spacing w:before="40" w:after="40" w:line="200" w:lineRule="atLeast"/>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rPr>
              <w:t>Achieved</w:t>
            </w:r>
          </w:p>
        </w:tc>
        <w:tc>
          <w:tcPr>
            <w:tcW w:w="6591" w:type="dxa"/>
            <w:tcBorders>
              <w:top w:val="nil"/>
              <w:left w:val="nil"/>
              <w:right w:val="nil"/>
            </w:tcBorders>
            <w:hideMark/>
          </w:tcPr>
          <w:p w14:paraId="22E002E1" w14:textId="77777777" w:rsidR="00076EDF" w:rsidRPr="00A418B1" w:rsidRDefault="00076EDF">
            <w:pPr>
              <w:keepLines/>
              <w:spacing w:before="40" w:after="40" w:line="200" w:lineRule="atLeast"/>
              <w:rPr>
                <w:rFonts w:asciiTheme="minorHAnsi" w:hAnsiTheme="minorHAnsi"/>
                <w:b w:val="0"/>
              </w:rPr>
            </w:pPr>
            <w:r w:rsidRPr="00A418B1">
              <w:rPr>
                <w:rFonts w:asciiTheme="minorHAnsi" w:eastAsia="Times New Roman" w:hAnsiTheme="minorHAnsi"/>
                <w:b w:val="0"/>
                <w:iCs/>
                <w:szCs w:val="17"/>
              </w:rPr>
              <w:t xml:space="preserve">DFAT has organised regular meetings between our partners working in this area. We will continue to ensure coordination between our private sector development programs.  </w:t>
            </w:r>
          </w:p>
        </w:tc>
      </w:tr>
      <w:tr w:rsidR="00076EDF" w14:paraId="7B2F0F68" w14:textId="77777777" w:rsidTr="00076EDF">
        <w:trPr>
          <w:cnfStyle w:val="100000000000" w:firstRow="1" w:lastRow="0" w:firstColumn="0" w:lastColumn="0" w:oddVBand="0" w:evenVBand="0" w:oddHBand="0" w:evenHBand="0" w:firstRowFirstColumn="0" w:firstRowLastColumn="0" w:lastRowFirstColumn="0" w:lastRowLastColumn="0"/>
        </w:trPr>
        <w:tc>
          <w:tcPr>
            <w:tcW w:w="6383" w:type="dxa"/>
            <w:tcBorders>
              <w:top w:val="nil"/>
              <w:left w:val="nil"/>
              <w:right w:val="nil"/>
            </w:tcBorders>
            <w:hideMark/>
          </w:tcPr>
          <w:p w14:paraId="22A50455" w14:textId="77777777" w:rsidR="00076EDF" w:rsidRPr="00A418B1" w:rsidRDefault="00076EDF">
            <w:pPr>
              <w:keepLines/>
              <w:spacing w:before="40" w:after="40" w:line="200" w:lineRule="atLeast"/>
              <w:rPr>
                <w:rFonts w:asciiTheme="minorHAnsi" w:hAnsiTheme="minorHAnsi"/>
                <w:b w:val="0"/>
              </w:rPr>
            </w:pPr>
            <w:r w:rsidRPr="00A418B1">
              <w:rPr>
                <w:rFonts w:asciiTheme="minorHAnsi" w:hAnsiTheme="minorHAnsi"/>
                <w:b w:val="0"/>
              </w:rPr>
              <w:t xml:space="preserve">Pending </w:t>
            </w:r>
            <w:r w:rsidRPr="00A418B1">
              <w:rPr>
                <w:rFonts w:asciiTheme="minorHAnsi" w:hAnsiTheme="minorHAnsi"/>
                <w:b w:val="0"/>
                <w:bCs/>
              </w:rPr>
              <w:t>PACER Plus</w:t>
            </w:r>
            <w:r w:rsidRPr="00A418B1">
              <w:rPr>
                <w:rFonts w:asciiTheme="minorHAnsi" w:hAnsiTheme="minorHAnsi"/>
                <w:b w:val="0"/>
              </w:rPr>
              <w:t xml:space="preserve"> negotiating outcomes, ensure our private sector development programs support Fiji to meet PACER Plus requirements and benefit from the opportunities it presents</w:t>
            </w:r>
          </w:p>
        </w:tc>
        <w:tc>
          <w:tcPr>
            <w:tcW w:w="1206" w:type="dxa"/>
            <w:tcBorders>
              <w:top w:val="nil"/>
              <w:left w:val="nil"/>
              <w:right w:val="nil"/>
            </w:tcBorders>
            <w:shd w:val="clear" w:color="auto" w:fill="3DA18F" w:themeFill="accent1" w:themeFillShade="BF"/>
            <w:hideMark/>
          </w:tcPr>
          <w:p w14:paraId="2FA3F61D" w14:textId="77777777" w:rsidR="00076EDF" w:rsidRDefault="00076EDF">
            <w:pPr>
              <w:keepLines/>
              <w:spacing w:before="40" w:after="40" w:line="200" w:lineRule="atLeast"/>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rPr>
              <w:t>Not applicable</w:t>
            </w:r>
          </w:p>
        </w:tc>
        <w:tc>
          <w:tcPr>
            <w:tcW w:w="6591" w:type="dxa"/>
            <w:tcBorders>
              <w:top w:val="nil"/>
              <w:left w:val="nil"/>
              <w:right w:val="nil"/>
            </w:tcBorders>
            <w:hideMark/>
          </w:tcPr>
          <w:p w14:paraId="40258A15" w14:textId="635A93BD" w:rsidR="00076EDF" w:rsidRPr="00A418B1" w:rsidRDefault="00FE69A2" w:rsidP="00FE69A2">
            <w:pPr>
              <w:keepLines/>
              <w:spacing w:before="40" w:after="40" w:line="200" w:lineRule="atLeast"/>
              <w:rPr>
                <w:rFonts w:ascii="Franklin Gothic Book" w:eastAsia="Times New Roman" w:hAnsi="Franklin Gothic Book"/>
                <w:b w:val="0"/>
                <w:iCs/>
                <w:color w:val="409F68" w:themeColor="accent6"/>
                <w:szCs w:val="17"/>
              </w:rPr>
            </w:pPr>
            <w:r>
              <w:rPr>
                <w:rFonts w:asciiTheme="minorHAnsi" w:eastAsia="Times New Roman" w:hAnsiTheme="minorHAnsi"/>
                <w:b w:val="0"/>
                <w:iCs/>
                <w:szCs w:val="17"/>
              </w:rPr>
              <w:t xml:space="preserve">Fiji has not signed the </w:t>
            </w:r>
            <w:r w:rsidR="00076EDF" w:rsidRPr="00A418B1">
              <w:rPr>
                <w:rFonts w:asciiTheme="minorHAnsi" w:eastAsia="Times New Roman" w:hAnsiTheme="minorHAnsi"/>
                <w:b w:val="0"/>
                <w:iCs/>
                <w:szCs w:val="17"/>
              </w:rPr>
              <w:t>PACER Plus</w:t>
            </w:r>
            <w:r>
              <w:rPr>
                <w:rFonts w:asciiTheme="minorHAnsi" w:eastAsia="Times New Roman" w:hAnsiTheme="minorHAnsi"/>
                <w:b w:val="0"/>
                <w:iCs/>
                <w:szCs w:val="17"/>
              </w:rPr>
              <w:t xml:space="preserve"> agreement.  However, </w:t>
            </w:r>
            <w:r w:rsidR="00076EDF" w:rsidRPr="00A418B1">
              <w:rPr>
                <w:rFonts w:asciiTheme="minorHAnsi" w:eastAsia="Times New Roman" w:hAnsiTheme="minorHAnsi"/>
                <w:b w:val="0"/>
                <w:iCs/>
                <w:szCs w:val="17"/>
              </w:rPr>
              <w:t>the DFAT-IFC Fiji Partnership is well placed to support Fiji meet PACER Plus requirements and maximise new trade opportunities</w:t>
            </w:r>
            <w:r>
              <w:rPr>
                <w:rFonts w:asciiTheme="minorHAnsi" w:eastAsia="Times New Roman" w:hAnsiTheme="minorHAnsi"/>
                <w:b w:val="0"/>
                <w:iCs/>
                <w:szCs w:val="17"/>
              </w:rPr>
              <w:t xml:space="preserve"> should it accede to the Agreement in the future</w:t>
            </w:r>
            <w:r w:rsidR="00076EDF" w:rsidRPr="00A418B1">
              <w:rPr>
                <w:rFonts w:asciiTheme="minorHAnsi" w:eastAsia="Times New Roman" w:hAnsiTheme="minorHAnsi"/>
                <w:b w:val="0"/>
                <w:iCs/>
                <w:szCs w:val="17"/>
              </w:rPr>
              <w:t>.</w:t>
            </w:r>
          </w:p>
        </w:tc>
      </w:tr>
      <w:tr w:rsidR="00076EDF" w14:paraId="042193A2" w14:textId="77777777" w:rsidTr="00076EDF">
        <w:trPr>
          <w:cnfStyle w:val="100000000000" w:firstRow="1" w:lastRow="0" w:firstColumn="0" w:lastColumn="0" w:oddVBand="0" w:evenVBand="0" w:oddHBand="0" w:evenHBand="0" w:firstRowFirstColumn="0" w:firstRowLastColumn="0" w:lastRowFirstColumn="0" w:lastRowLastColumn="0"/>
        </w:trPr>
        <w:tc>
          <w:tcPr>
            <w:tcW w:w="6383" w:type="dxa"/>
            <w:tcBorders>
              <w:top w:val="nil"/>
              <w:left w:val="nil"/>
              <w:right w:val="nil"/>
            </w:tcBorders>
            <w:hideMark/>
          </w:tcPr>
          <w:p w14:paraId="576F096F" w14:textId="77777777" w:rsidR="00076EDF" w:rsidRPr="00A418B1" w:rsidRDefault="00076EDF">
            <w:pPr>
              <w:keepLines/>
              <w:spacing w:before="40" w:after="40" w:line="200" w:lineRule="atLeast"/>
              <w:rPr>
                <w:rFonts w:asciiTheme="minorHAnsi" w:hAnsiTheme="minorHAnsi"/>
                <w:b w:val="0"/>
              </w:rPr>
            </w:pPr>
            <w:r w:rsidRPr="00A418B1">
              <w:rPr>
                <w:rFonts w:asciiTheme="minorHAnsi" w:hAnsiTheme="minorHAnsi"/>
                <w:b w:val="0"/>
              </w:rPr>
              <w:t xml:space="preserve">Commence discussions with the Government of Fiji regarding conducting an </w:t>
            </w:r>
            <w:r w:rsidRPr="00A418B1">
              <w:rPr>
                <w:rFonts w:asciiTheme="minorHAnsi" w:hAnsiTheme="minorHAnsi"/>
                <w:b w:val="0"/>
                <w:bCs/>
              </w:rPr>
              <w:t xml:space="preserve">Assessment of National Systems, </w:t>
            </w:r>
            <w:r w:rsidRPr="00A418B1">
              <w:rPr>
                <w:rFonts w:asciiTheme="minorHAnsi" w:hAnsiTheme="minorHAnsi"/>
                <w:b w:val="0"/>
              </w:rPr>
              <w:t>a due diligence process to examine public financial management systems that will enable the aid program to increasingly use government systems</w:t>
            </w:r>
          </w:p>
        </w:tc>
        <w:tc>
          <w:tcPr>
            <w:tcW w:w="1206" w:type="dxa"/>
            <w:tcBorders>
              <w:top w:val="nil"/>
              <w:left w:val="nil"/>
              <w:right w:val="nil"/>
            </w:tcBorders>
            <w:shd w:val="clear" w:color="auto" w:fill="E36C0A"/>
            <w:hideMark/>
          </w:tcPr>
          <w:p w14:paraId="59C9BC84" w14:textId="77777777" w:rsidR="00076EDF" w:rsidRDefault="00076EDF">
            <w:pPr>
              <w:keepLines/>
              <w:spacing w:before="40" w:after="40" w:line="200" w:lineRule="atLeast"/>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rPr>
              <w:t>Partly achieved</w:t>
            </w:r>
          </w:p>
        </w:tc>
        <w:tc>
          <w:tcPr>
            <w:tcW w:w="6591" w:type="dxa"/>
            <w:tcBorders>
              <w:top w:val="nil"/>
              <w:left w:val="nil"/>
              <w:right w:val="nil"/>
            </w:tcBorders>
            <w:hideMark/>
          </w:tcPr>
          <w:p w14:paraId="2B5201F3" w14:textId="77777777" w:rsidR="00076EDF" w:rsidRPr="00A418B1" w:rsidRDefault="00076EDF">
            <w:pPr>
              <w:keepLines/>
              <w:spacing w:before="40" w:after="40" w:line="200" w:lineRule="atLeast"/>
              <w:rPr>
                <w:rFonts w:asciiTheme="minorHAnsi" w:hAnsiTheme="minorHAnsi"/>
                <w:b w:val="0"/>
              </w:rPr>
            </w:pPr>
            <w:r w:rsidRPr="00A418B1">
              <w:rPr>
                <w:rFonts w:asciiTheme="minorHAnsi" w:eastAsia="Times New Roman" w:hAnsiTheme="minorHAnsi"/>
                <w:b w:val="0"/>
                <w:iCs/>
                <w:szCs w:val="17"/>
              </w:rPr>
              <w:t>As part of our contribution to the Fiji Government’s COP23 Trust Fund, Australia conducted a rapid fiduciary risk assessment. Together with the GoF, we will identify an appropriate time to undertake a more fulsome Assessment of National Systems.</w:t>
            </w:r>
          </w:p>
        </w:tc>
      </w:tr>
      <w:tr w:rsidR="00076EDF" w14:paraId="61447BC5" w14:textId="77777777" w:rsidTr="00076EDF">
        <w:trPr>
          <w:cnfStyle w:val="100000000000" w:firstRow="1" w:lastRow="0" w:firstColumn="0" w:lastColumn="0" w:oddVBand="0" w:evenVBand="0" w:oddHBand="0" w:evenHBand="0" w:firstRowFirstColumn="0" w:firstRowLastColumn="0" w:lastRowFirstColumn="0" w:lastRowLastColumn="0"/>
        </w:trPr>
        <w:tc>
          <w:tcPr>
            <w:tcW w:w="6383" w:type="dxa"/>
            <w:tcBorders>
              <w:top w:val="nil"/>
              <w:left w:val="nil"/>
              <w:right w:val="nil"/>
            </w:tcBorders>
            <w:hideMark/>
          </w:tcPr>
          <w:p w14:paraId="172964DA" w14:textId="77777777" w:rsidR="00076EDF" w:rsidRPr="00A418B1" w:rsidRDefault="00076EDF">
            <w:pPr>
              <w:keepLines/>
              <w:spacing w:before="40" w:after="40" w:line="200" w:lineRule="atLeast"/>
              <w:rPr>
                <w:rFonts w:asciiTheme="minorHAnsi" w:hAnsiTheme="minorHAnsi"/>
                <w:b w:val="0"/>
              </w:rPr>
            </w:pPr>
            <w:r w:rsidRPr="00A418B1">
              <w:rPr>
                <w:rFonts w:asciiTheme="minorHAnsi" w:hAnsiTheme="minorHAnsi"/>
                <w:b w:val="0"/>
              </w:rPr>
              <w:t xml:space="preserve">Develop a </w:t>
            </w:r>
            <w:r w:rsidRPr="00A418B1">
              <w:rPr>
                <w:rFonts w:asciiTheme="minorHAnsi" w:hAnsiTheme="minorHAnsi"/>
                <w:b w:val="0"/>
                <w:bCs/>
              </w:rPr>
              <w:t>Civil Society Engagement Strategy</w:t>
            </w:r>
            <w:r w:rsidRPr="00A418B1">
              <w:rPr>
                <w:rFonts w:asciiTheme="minorHAnsi" w:hAnsiTheme="minorHAnsi"/>
                <w:b w:val="0"/>
              </w:rPr>
              <w:t xml:space="preserve"> to further articulate Australia’s engagement with CSOs</w:t>
            </w:r>
          </w:p>
        </w:tc>
        <w:tc>
          <w:tcPr>
            <w:tcW w:w="1206" w:type="dxa"/>
            <w:tcBorders>
              <w:top w:val="nil"/>
              <w:left w:val="nil"/>
              <w:right w:val="nil"/>
            </w:tcBorders>
            <w:shd w:val="clear" w:color="auto" w:fill="72AF2F"/>
            <w:hideMark/>
          </w:tcPr>
          <w:p w14:paraId="2A0EBF1C" w14:textId="77777777" w:rsidR="00076EDF" w:rsidRDefault="00076EDF">
            <w:pPr>
              <w:keepLines/>
              <w:spacing w:before="40" w:after="40" w:line="200" w:lineRule="atLeast"/>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rPr>
              <w:t>Achieved</w:t>
            </w:r>
          </w:p>
        </w:tc>
        <w:tc>
          <w:tcPr>
            <w:tcW w:w="6591" w:type="dxa"/>
            <w:tcBorders>
              <w:top w:val="nil"/>
              <w:left w:val="nil"/>
              <w:right w:val="nil"/>
            </w:tcBorders>
            <w:hideMark/>
          </w:tcPr>
          <w:p w14:paraId="12C66CB1" w14:textId="77777777" w:rsidR="00076EDF" w:rsidRPr="00A418B1" w:rsidRDefault="00076EDF">
            <w:pPr>
              <w:keepLines/>
              <w:spacing w:before="40" w:after="40" w:line="200" w:lineRule="atLeast"/>
              <w:rPr>
                <w:rFonts w:asciiTheme="minorHAnsi" w:eastAsia="Times New Roman" w:hAnsiTheme="minorHAnsi"/>
                <w:b w:val="0"/>
                <w:iCs/>
                <w:szCs w:val="17"/>
              </w:rPr>
            </w:pPr>
            <w:r w:rsidRPr="00A418B1">
              <w:rPr>
                <w:rFonts w:asciiTheme="minorHAnsi" w:eastAsia="Times New Roman" w:hAnsiTheme="minorHAnsi"/>
                <w:b w:val="0"/>
                <w:iCs/>
                <w:szCs w:val="17"/>
              </w:rPr>
              <w:t>The Australia Fiji Civil Society Engagement Strategy (2016-19) was finalised in September 2016. The Strategy outlines how we will work with civil society.</w:t>
            </w:r>
          </w:p>
        </w:tc>
      </w:tr>
      <w:tr w:rsidR="00076EDF" w14:paraId="6B3ED4AE" w14:textId="77777777" w:rsidTr="00076EDF">
        <w:trPr>
          <w:cnfStyle w:val="100000000000" w:firstRow="1" w:lastRow="0" w:firstColumn="0" w:lastColumn="0" w:oddVBand="0" w:evenVBand="0" w:oddHBand="0" w:evenHBand="0" w:firstRowFirstColumn="0" w:firstRowLastColumn="0" w:lastRowFirstColumn="0" w:lastRowLastColumn="0"/>
        </w:trPr>
        <w:tc>
          <w:tcPr>
            <w:tcW w:w="6383" w:type="dxa"/>
            <w:tcBorders>
              <w:top w:val="nil"/>
              <w:left w:val="nil"/>
              <w:right w:val="nil"/>
            </w:tcBorders>
            <w:hideMark/>
          </w:tcPr>
          <w:p w14:paraId="1B4D1A9F" w14:textId="77777777" w:rsidR="00076EDF" w:rsidRPr="00A418B1" w:rsidRDefault="00076EDF">
            <w:pPr>
              <w:keepLines/>
              <w:spacing w:before="40" w:after="40" w:line="200" w:lineRule="atLeast"/>
              <w:rPr>
                <w:rFonts w:asciiTheme="minorHAnsi" w:hAnsiTheme="minorHAnsi"/>
                <w:b w:val="0"/>
              </w:rPr>
            </w:pPr>
            <w:r w:rsidRPr="00A418B1">
              <w:rPr>
                <w:rFonts w:asciiTheme="minorHAnsi" w:hAnsiTheme="minorHAnsi"/>
                <w:b w:val="0"/>
              </w:rPr>
              <w:t xml:space="preserve">Identify possible </w:t>
            </w:r>
            <w:r w:rsidRPr="00A418B1">
              <w:rPr>
                <w:rFonts w:asciiTheme="minorHAnsi" w:hAnsiTheme="minorHAnsi"/>
                <w:b w:val="0"/>
                <w:bCs/>
              </w:rPr>
              <w:t>climate change and resilience activities</w:t>
            </w:r>
            <w:r w:rsidRPr="00A418B1">
              <w:rPr>
                <w:rFonts w:asciiTheme="minorHAnsi" w:hAnsiTheme="minorHAnsi"/>
                <w:b w:val="0"/>
              </w:rPr>
              <w:t xml:space="preserve"> for future funding and begin mainstreaming climate change and disaster risk resilience into development activities with assistance from the new Support Unit once it has been initiated</w:t>
            </w:r>
          </w:p>
        </w:tc>
        <w:tc>
          <w:tcPr>
            <w:tcW w:w="1206" w:type="dxa"/>
            <w:tcBorders>
              <w:top w:val="nil"/>
              <w:left w:val="nil"/>
              <w:right w:val="nil"/>
            </w:tcBorders>
            <w:shd w:val="clear" w:color="auto" w:fill="E36C0A"/>
            <w:hideMark/>
          </w:tcPr>
          <w:p w14:paraId="7803085F" w14:textId="77777777" w:rsidR="00076EDF" w:rsidRDefault="00076EDF">
            <w:pPr>
              <w:keepLines/>
              <w:spacing w:before="40" w:after="40" w:line="200" w:lineRule="atLeast"/>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rPr>
              <w:t>Partly achieved</w:t>
            </w:r>
          </w:p>
        </w:tc>
        <w:tc>
          <w:tcPr>
            <w:tcW w:w="6591" w:type="dxa"/>
            <w:tcBorders>
              <w:top w:val="nil"/>
              <w:left w:val="nil"/>
              <w:right w:val="nil"/>
            </w:tcBorders>
            <w:hideMark/>
          </w:tcPr>
          <w:p w14:paraId="276510B6" w14:textId="77777777" w:rsidR="00076EDF" w:rsidRPr="00A418B1" w:rsidRDefault="00076EDF">
            <w:pPr>
              <w:keepLines/>
              <w:spacing w:before="40" w:after="40" w:line="200" w:lineRule="atLeast"/>
              <w:rPr>
                <w:rFonts w:ascii="Franklin Gothic Book" w:hAnsi="Franklin Gothic Book"/>
                <w:b w:val="0"/>
                <w:color w:val="409F68" w:themeColor="accent6"/>
              </w:rPr>
            </w:pPr>
            <w:r w:rsidRPr="00A418B1">
              <w:rPr>
                <w:rFonts w:asciiTheme="minorHAnsi" w:eastAsia="Times New Roman" w:hAnsiTheme="minorHAnsi"/>
                <w:b w:val="0"/>
                <w:iCs/>
                <w:szCs w:val="17"/>
              </w:rPr>
              <w:t>The new health and education programs will mainstream climate change and disaster risk resilience activities and a new Preparedness and Response Fund is being established which, if not required for responding to disasters, will be utilised for targeted activities</w:t>
            </w:r>
            <w:r w:rsidRPr="00A418B1">
              <w:rPr>
                <w:rFonts w:eastAsia="Times New Roman"/>
                <w:b w:val="0"/>
                <w:iCs/>
                <w:color w:val="409F68" w:themeColor="accent6"/>
                <w:szCs w:val="17"/>
              </w:rPr>
              <w:t>.</w:t>
            </w:r>
          </w:p>
        </w:tc>
      </w:tr>
    </w:tbl>
    <w:p w14:paraId="64720AC0" w14:textId="77777777" w:rsidR="00076EDF" w:rsidRDefault="00076EDF" w:rsidP="00076EDF">
      <w:pPr>
        <w:spacing w:before="20" w:after="20" w:line="180" w:lineRule="atLeast"/>
        <w:jc w:val="both"/>
        <w:rPr>
          <w:rFonts w:eastAsia="Times New Roman"/>
          <w:b/>
          <w:sz w:val="16"/>
          <w:szCs w:val="14"/>
        </w:rPr>
      </w:pPr>
      <w:r>
        <w:rPr>
          <w:rFonts w:eastAsia="Times New Roman"/>
          <w:b/>
          <w:sz w:val="16"/>
          <w:szCs w:val="14"/>
        </w:rPr>
        <w:t xml:space="preserve">Note: </w:t>
      </w:r>
    </w:p>
    <w:p w14:paraId="06134530" w14:textId="77777777" w:rsidR="00076EDF" w:rsidRDefault="00076EDF" w:rsidP="00076EDF">
      <w:pPr>
        <w:spacing w:before="20" w:after="20" w:line="180" w:lineRule="atLeast"/>
        <w:jc w:val="both"/>
        <w:rPr>
          <w:rFonts w:eastAsia="Times New Roman"/>
          <w:b/>
          <w:sz w:val="16"/>
          <w:szCs w:val="14"/>
        </w:rPr>
      </w:pPr>
      <w:r>
        <w:rPr>
          <w:rFonts w:eastAsia="Times New Roman"/>
          <w:b/>
          <w:color w:val="72AF2F"/>
          <w:sz w:val="16"/>
          <w:szCs w:val="14"/>
        </w:rPr>
        <w:sym w:font="Webdings" w:char="F067"/>
      </w:r>
      <w:r>
        <w:rPr>
          <w:rFonts w:eastAsia="Times New Roman"/>
          <w:b/>
          <w:sz w:val="16"/>
          <w:szCs w:val="14"/>
        </w:rPr>
        <w:t> </w:t>
      </w:r>
      <w:r>
        <w:rPr>
          <w:rFonts w:eastAsia="Times New Roman"/>
          <w:b/>
          <w:sz w:val="16"/>
          <w:szCs w:val="14"/>
        </w:rPr>
        <w:t xml:space="preserve"> Achieved.  Significant progress has been made in addressing the issue </w:t>
      </w:r>
    </w:p>
    <w:p w14:paraId="2C520952" w14:textId="77777777" w:rsidR="00076EDF" w:rsidRDefault="00076EDF" w:rsidP="00076EDF">
      <w:pPr>
        <w:spacing w:before="20" w:after="20" w:line="180" w:lineRule="atLeast"/>
        <w:jc w:val="both"/>
        <w:rPr>
          <w:rFonts w:eastAsia="Times New Roman"/>
          <w:b/>
          <w:sz w:val="16"/>
          <w:szCs w:val="14"/>
        </w:rPr>
      </w:pPr>
      <w:r>
        <w:rPr>
          <w:rFonts w:eastAsia="Times New Roman"/>
          <w:b/>
          <w:color w:val="E36C0A"/>
          <w:sz w:val="16"/>
          <w:szCs w:val="14"/>
        </w:rPr>
        <w:sym w:font="Webdings" w:char="F067"/>
      </w:r>
      <w:r>
        <w:rPr>
          <w:rFonts w:eastAsia="Times New Roman"/>
          <w:b/>
          <w:sz w:val="16"/>
          <w:szCs w:val="14"/>
        </w:rPr>
        <w:t> </w:t>
      </w:r>
      <w:r>
        <w:rPr>
          <w:rFonts w:eastAsia="Times New Roman"/>
          <w:b/>
          <w:sz w:val="16"/>
          <w:szCs w:val="14"/>
        </w:rPr>
        <w:t xml:space="preserve"> Partly achieved.  Some progress has been made in addressing the issue, but the issue has not been resolved </w:t>
      </w:r>
    </w:p>
    <w:p w14:paraId="623C622F" w14:textId="77777777" w:rsidR="00076EDF" w:rsidRDefault="00076EDF" w:rsidP="00076EDF">
      <w:pPr>
        <w:spacing w:before="20" w:after="20" w:line="180" w:lineRule="atLeast"/>
        <w:jc w:val="both"/>
        <w:rPr>
          <w:rFonts w:eastAsia="Times New Roman"/>
          <w:b/>
          <w:sz w:val="16"/>
          <w:szCs w:val="14"/>
        </w:rPr>
      </w:pPr>
      <w:r>
        <w:rPr>
          <w:rFonts w:eastAsia="Times New Roman"/>
          <w:b/>
          <w:color w:val="FF0000"/>
          <w:sz w:val="16"/>
          <w:szCs w:val="14"/>
        </w:rPr>
        <w:sym w:font="Webdings" w:char="F067"/>
      </w:r>
      <w:r>
        <w:rPr>
          <w:rFonts w:eastAsia="Times New Roman"/>
          <w:b/>
          <w:sz w:val="16"/>
          <w:szCs w:val="14"/>
        </w:rPr>
        <w:t> </w:t>
      </w:r>
      <w:r>
        <w:rPr>
          <w:rFonts w:eastAsia="Times New Roman"/>
          <w:b/>
          <w:sz w:val="16"/>
          <w:szCs w:val="14"/>
        </w:rPr>
        <w:t xml:space="preserve"> Not achieved. Progress in addressing the issue has been significantly below expectations</w:t>
      </w:r>
    </w:p>
    <w:p w14:paraId="418F8548" w14:textId="77777777" w:rsidR="00076EDF" w:rsidRDefault="00076EDF" w:rsidP="00076EDF">
      <w:pPr>
        <w:pStyle w:val="Subtitle"/>
      </w:pPr>
      <w:r>
        <w:lastRenderedPageBreak/>
        <w:t>Annex B – PERFORMANCE BENCHMARKS</w:t>
      </w:r>
    </w:p>
    <w:p w14:paraId="39F8FDB0" w14:textId="77777777" w:rsidR="00076EDF" w:rsidRDefault="00076EDF" w:rsidP="00076EDF">
      <w:pPr>
        <w:rPr>
          <w:rFonts w:eastAsia="Times New Roman"/>
          <w:b/>
          <w:sz w:val="24"/>
          <w:szCs w:val="24"/>
        </w:rPr>
      </w:pPr>
      <w:r>
        <w:rPr>
          <w:rFonts w:eastAsia="Times New Roman"/>
          <w:b/>
          <w:sz w:val="24"/>
          <w:szCs w:val="24"/>
        </w:rPr>
        <w:t>Progress towards Performance Benchmarks in 2016-17</w:t>
      </w:r>
    </w:p>
    <w:tbl>
      <w:tblPr>
        <w:tblStyle w:val="DFA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604"/>
        <w:gridCol w:w="1358"/>
        <w:gridCol w:w="8583"/>
      </w:tblGrid>
      <w:tr w:rsidR="00076EDF" w14:paraId="6F6A5A39" w14:textId="77777777" w:rsidTr="00076EDF">
        <w:trPr>
          <w:tblHeader/>
        </w:trPr>
        <w:tc>
          <w:tcPr>
            <w:tcW w:w="659"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0291D4F" w14:textId="77777777" w:rsidR="00076EDF" w:rsidRDefault="00076EDF">
            <w:pPr>
              <w:keepLines/>
              <w:spacing w:before="80" w:after="80" w:line="200" w:lineRule="atLeast"/>
              <w:rPr>
                <w:rFonts w:asciiTheme="minorHAnsi" w:eastAsia="Times New Roman" w:hAnsiTheme="minorHAnsi"/>
                <w:b/>
                <w:iCs/>
                <w:szCs w:val="17"/>
              </w:rPr>
            </w:pPr>
            <w:r>
              <w:rPr>
                <w:rFonts w:asciiTheme="minorHAnsi" w:eastAsia="Times New Roman" w:hAnsiTheme="minorHAnsi"/>
                <w:b/>
                <w:iCs/>
                <w:szCs w:val="17"/>
              </w:rPr>
              <w:t>Aid objective</w:t>
            </w:r>
          </w:p>
        </w:tc>
        <w:tc>
          <w:tcPr>
            <w:tcW w:w="901" w:type="pct"/>
            <w:tcBorders>
              <w:top w:val="single" w:sz="4" w:space="0" w:color="auto"/>
              <w:left w:val="single" w:sz="4" w:space="0" w:color="auto"/>
              <w:bottom w:val="single" w:sz="4" w:space="0" w:color="auto"/>
              <w:right w:val="single" w:sz="4" w:space="0" w:color="auto"/>
            </w:tcBorders>
            <w:hideMark/>
          </w:tcPr>
          <w:p w14:paraId="64562767" w14:textId="77777777" w:rsidR="00076EDF" w:rsidRDefault="00076EDF">
            <w:pPr>
              <w:keepLines/>
              <w:spacing w:before="80" w:after="80" w:line="200" w:lineRule="atLeast"/>
              <w:rPr>
                <w:rFonts w:asciiTheme="minorHAnsi" w:eastAsia="Times New Roman" w:hAnsiTheme="minorHAnsi"/>
                <w:b/>
                <w:iCs/>
                <w:szCs w:val="17"/>
              </w:rPr>
            </w:pPr>
            <w:r>
              <w:rPr>
                <w:rFonts w:asciiTheme="minorHAnsi" w:eastAsia="Times New Roman" w:hAnsiTheme="minorHAnsi"/>
                <w:b/>
                <w:iCs/>
                <w:szCs w:val="17"/>
              </w:rPr>
              <w:t xml:space="preserve">Performance Benchmark </w:t>
            </w:r>
          </w:p>
        </w:tc>
        <w:tc>
          <w:tcPr>
            <w:tcW w:w="470" w:type="pct"/>
            <w:tcBorders>
              <w:top w:val="single" w:sz="4" w:space="0" w:color="auto"/>
              <w:left w:val="single" w:sz="4" w:space="0" w:color="auto"/>
              <w:bottom w:val="single" w:sz="4" w:space="0" w:color="auto"/>
              <w:right w:val="single" w:sz="4" w:space="0" w:color="auto"/>
            </w:tcBorders>
            <w:hideMark/>
          </w:tcPr>
          <w:p w14:paraId="5832941A" w14:textId="77777777" w:rsidR="00076EDF" w:rsidRDefault="00076EDF">
            <w:pPr>
              <w:keepLines/>
              <w:spacing w:before="80" w:after="80" w:line="200" w:lineRule="atLeast"/>
              <w:jc w:val="center"/>
              <w:rPr>
                <w:rFonts w:asciiTheme="minorHAnsi" w:eastAsia="Times New Roman" w:hAnsiTheme="minorHAnsi"/>
                <w:b/>
                <w:iCs/>
                <w:szCs w:val="17"/>
              </w:rPr>
            </w:pPr>
            <w:r>
              <w:rPr>
                <w:rFonts w:asciiTheme="minorHAnsi" w:eastAsia="Times New Roman" w:hAnsiTheme="minorHAnsi"/>
                <w:b/>
                <w:iCs/>
                <w:szCs w:val="17"/>
              </w:rPr>
              <w:t>Rating</w:t>
            </w:r>
          </w:p>
        </w:tc>
        <w:tc>
          <w:tcPr>
            <w:tcW w:w="2970" w:type="pct"/>
            <w:tcBorders>
              <w:top w:val="single" w:sz="4" w:space="0" w:color="auto"/>
              <w:left w:val="single" w:sz="4" w:space="0" w:color="auto"/>
              <w:bottom w:val="single" w:sz="4" w:space="0" w:color="auto"/>
              <w:right w:val="single" w:sz="4" w:space="0" w:color="auto"/>
            </w:tcBorders>
            <w:hideMark/>
          </w:tcPr>
          <w:p w14:paraId="276882B0" w14:textId="77777777" w:rsidR="00076EDF" w:rsidRDefault="00076EDF">
            <w:pPr>
              <w:keepLines/>
              <w:spacing w:before="80" w:after="80" w:line="200" w:lineRule="atLeast"/>
              <w:jc w:val="center"/>
              <w:rPr>
                <w:rFonts w:asciiTheme="minorHAnsi" w:eastAsia="Times New Roman" w:hAnsiTheme="minorHAnsi"/>
                <w:b/>
                <w:iCs/>
                <w:szCs w:val="17"/>
              </w:rPr>
            </w:pPr>
            <w:r>
              <w:rPr>
                <w:rFonts w:asciiTheme="minorHAnsi" w:eastAsia="Times New Roman" w:hAnsiTheme="minorHAnsi"/>
                <w:b/>
                <w:iCs/>
                <w:szCs w:val="17"/>
              </w:rPr>
              <w:t>Progress in 2016-17</w:t>
            </w:r>
          </w:p>
        </w:tc>
      </w:tr>
      <w:tr w:rsidR="00076EDF" w14:paraId="59A9E961" w14:textId="77777777" w:rsidTr="00076EDF">
        <w:tc>
          <w:tcPr>
            <w:tcW w:w="659"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E143710" w14:textId="77777777" w:rsidR="00076EDF" w:rsidRDefault="00076EDF">
            <w:pPr>
              <w:spacing w:before="40" w:after="40" w:line="200" w:lineRule="atLeast"/>
              <w:rPr>
                <w:rFonts w:asciiTheme="minorHAnsi" w:hAnsiTheme="minorHAnsi"/>
                <w:color w:val="auto"/>
                <w:szCs w:val="17"/>
                <w:lang w:val="en-AU"/>
              </w:rPr>
            </w:pPr>
            <w:r>
              <w:rPr>
                <w:rFonts w:asciiTheme="minorHAnsi" w:hAnsiTheme="minorHAnsi"/>
                <w:szCs w:val="17"/>
              </w:rPr>
              <w:t xml:space="preserve">Improved Human Development </w:t>
            </w:r>
          </w:p>
          <w:p w14:paraId="4891527B" w14:textId="77777777" w:rsidR="00076EDF" w:rsidRDefault="00076EDF">
            <w:pPr>
              <w:keepLines/>
              <w:spacing w:before="40" w:after="40" w:line="200" w:lineRule="atLeast"/>
              <w:rPr>
                <w:rFonts w:asciiTheme="minorHAnsi" w:eastAsia="Times New Roman" w:hAnsiTheme="minorHAnsi"/>
                <w:iCs/>
                <w:szCs w:val="17"/>
                <w:lang w:eastAsia="en-US"/>
              </w:rPr>
            </w:pPr>
          </w:p>
        </w:tc>
        <w:tc>
          <w:tcPr>
            <w:tcW w:w="901" w:type="pct"/>
            <w:tcBorders>
              <w:top w:val="single" w:sz="4" w:space="0" w:color="auto"/>
              <w:left w:val="single" w:sz="4" w:space="0" w:color="auto"/>
              <w:bottom w:val="single" w:sz="4" w:space="0" w:color="auto"/>
              <w:right w:val="single" w:sz="4" w:space="0" w:color="auto"/>
            </w:tcBorders>
            <w:hideMark/>
          </w:tcPr>
          <w:p w14:paraId="0A160138" w14:textId="77777777" w:rsidR="00076EDF" w:rsidRDefault="00076EDF">
            <w:pPr>
              <w:spacing w:before="40" w:after="40" w:line="200" w:lineRule="atLeast"/>
              <w:rPr>
                <w:rFonts w:asciiTheme="minorHAnsi" w:hAnsiTheme="minorHAnsi"/>
                <w:color w:val="auto"/>
                <w:lang w:val="en-AU"/>
              </w:rPr>
            </w:pPr>
            <w:r>
              <w:rPr>
                <w:rFonts w:asciiTheme="minorHAnsi" w:hAnsiTheme="minorHAnsi"/>
                <w:szCs w:val="17"/>
              </w:rPr>
              <w:t>Reduction in the percentage of students in the Access to Quality Education program targeted schools achieving in the national bottom quartiles in literacy and numeracy</w:t>
            </w:r>
          </w:p>
        </w:tc>
        <w:tc>
          <w:tcPr>
            <w:tcW w:w="470" w:type="pct"/>
            <w:tcBorders>
              <w:top w:val="single" w:sz="4" w:space="0" w:color="auto"/>
              <w:left w:val="single" w:sz="4" w:space="0" w:color="auto"/>
              <w:bottom w:val="single" w:sz="4" w:space="0" w:color="auto"/>
              <w:right w:val="single" w:sz="4" w:space="0" w:color="auto"/>
            </w:tcBorders>
            <w:shd w:val="clear" w:color="auto" w:fill="92D050"/>
            <w:hideMark/>
          </w:tcPr>
          <w:p w14:paraId="09396E3B" w14:textId="77777777" w:rsidR="00076EDF" w:rsidRDefault="00076EDF">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rPr>
              <w:t>Achieved</w:t>
            </w:r>
          </w:p>
        </w:tc>
        <w:tc>
          <w:tcPr>
            <w:tcW w:w="2970" w:type="pct"/>
            <w:tcBorders>
              <w:top w:val="single" w:sz="4" w:space="0" w:color="auto"/>
              <w:left w:val="single" w:sz="4" w:space="0" w:color="auto"/>
              <w:bottom w:val="single" w:sz="4" w:space="0" w:color="auto"/>
              <w:right w:val="single" w:sz="4" w:space="0" w:color="auto"/>
            </w:tcBorders>
            <w:hideMark/>
          </w:tcPr>
          <w:p w14:paraId="7B467957" w14:textId="672D4B98" w:rsidR="00076EDF" w:rsidRDefault="00076EDF">
            <w:pPr>
              <w:spacing w:before="40" w:after="40" w:line="200" w:lineRule="atLeast"/>
              <w:rPr>
                <w:rFonts w:asciiTheme="minorHAnsi" w:hAnsiTheme="minorHAnsi"/>
              </w:rPr>
            </w:pPr>
            <w:r>
              <w:rPr>
                <w:rFonts w:asciiTheme="minorHAnsi" w:hAnsiTheme="minorHAnsi"/>
                <w:szCs w:val="17"/>
              </w:rPr>
              <w:t>Significant improvements in Literacy and Numeracy learning outcomes were recorded for students at the AQEP supported schools. The end-program target was met – no more than 25% of students at AQEP supported schools were in the bottom quartile of the Literacy and Numeracy Assessments (LANA) nationally. This was despite the impact of TC Winston on attendance and learning at over half of the AQEP supported schools. In the July 2016 LANA for Year 5, only 22 percent of students at AQEP supported schools were in the bottom quartile in Numeracy and 25 percent in Literacy. Both outcomes are a significant improvement from the 2012 baseline figures of 33 percent in Literacy and 33 percent in Literacy</w:t>
            </w:r>
            <w:r w:rsidR="00915E32">
              <w:rPr>
                <w:rFonts w:asciiTheme="minorHAnsi" w:hAnsiTheme="minorHAnsi"/>
                <w:szCs w:val="17"/>
              </w:rPr>
              <w:t>.</w:t>
            </w:r>
          </w:p>
        </w:tc>
      </w:tr>
      <w:tr w:rsidR="00076EDF" w14:paraId="2937B145" w14:textId="77777777" w:rsidTr="00A418B1">
        <w:tc>
          <w:tcPr>
            <w:tcW w:w="659"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66B01EE" w14:textId="77777777" w:rsidR="00076EDF" w:rsidRDefault="00076EDF">
            <w:pPr>
              <w:spacing w:before="40" w:after="40" w:line="200" w:lineRule="atLeast"/>
              <w:rPr>
                <w:rFonts w:asciiTheme="minorHAnsi" w:hAnsiTheme="minorHAnsi"/>
                <w:color w:val="auto"/>
                <w:szCs w:val="17"/>
                <w:lang w:val="en-AU"/>
              </w:rPr>
            </w:pPr>
            <w:r>
              <w:rPr>
                <w:rFonts w:asciiTheme="minorHAnsi" w:hAnsiTheme="minorHAnsi"/>
                <w:szCs w:val="17"/>
              </w:rPr>
              <w:t xml:space="preserve">Improved Human Development </w:t>
            </w:r>
          </w:p>
          <w:p w14:paraId="3236038B" w14:textId="77777777" w:rsidR="00076EDF" w:rsidRDefault="00076EDF">
            <w:pPr>
              <w:keepLines/>
              <w:spacing w:before="40" w:after="40" w:line="200" w:lineRule="atLeast"/>
              <w:rPr>
                <w:rFonts w:asciiTheme="minorHAnsi" w:hAnsiTheme="minorHAnsi"/>
              </w:rPr>
            </w:pP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5D32BD8B" w14:textId="77777777" w:rsidR="00076EDF" w:rsidRDefault="00076EDF">
            <w:pPr>
              <w:spacing w:before="40" w:after="40" w:line="200" w:lineRule="atLeast"/>
              <w:rPr>
                <w:rFonts w:asciiTheme="minorHAnsi" w:hAnsiTheme="minorHAnsi"/>
              </w:rPr>
            </w:pPr>
            <w:r>
              <w:rPr>
                <w:rFonts w:asciiTheme="minorHAnsi" w:hAnsiTheme="minorHAnsi"/>
                <w:szCs w:val="17"/>
              </w:rPr>
              <w:t>10 per cent or more of the Fiji Bilateral Program allocated to gender equality or disability inclusion initiatives</w:t>
            </w:r>
          </w:p>
        </w:tc>
        <w:tc>
          <w:tcPr>
            <w:tcW w:w="470" w:type="pct"/>
            <w:tcBorders>
              <w:top w:val="single" w:sz="4" w:space="0" w:color="auto"/>
              <w:left w:val="single" w:sz="4" w:space="0" w:color="auto"/>
              <w:bottom w:val="single" w:sz="4" w:space="0" w:color="auto"/>
              <w:right w:val="single" w:sz="4" w:space="0" w:color="auto"/>
            </w:tcBorders>
            <w:shd w:val="clear" w:color="auto" w:fill="92D050"/>
            <w:hideMark/>
          </w:tcPr>
          <w:p w14:paraId="7E9E535C" w14:textId="62B4A81D" w:rsidR="00076EDF" w:rsidRPr="00A502CF" w:rsidRDefault="00915E32" w:rsidP="00A502C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color w:val="FFFFFF" w:themeColor="background1"/>
                <w:szCs w:val="17"/>
              </w:rPr>
              <w:t>Achieved</w:t>
            </w:r>
          </w:p>
        </w:tc>
        <w:tc>
          <w:tcPr>
            <w:tcW w:w="29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F0F6C5" w14:textId="77777777" w:rsidR="00076EDF" w:rsidRDefault="00076EDF">
            <w:pPr>
              <w:spacing w:before="40" w:after="40" w:line="200" w:lineRule="atLeast"/>
              <w:rPr>
                <w:rFonts w:asciiTheme="minorHAnsi" w:hAnsiTheme="minorHAnsi"/>
              </w:rPr>
            </w:pPr>
            <w:r>
              <w:rPr>
                <w:rFonts w:asciiTheme="minorHAnsi" w:hAnsiTheme="minorHAnsi"/>
                <w:szCs w:val="17"/>
              </w:rPr>
              <w:t>Of the total bilateral budget for 2016-17, approximately 4 million was spent on gender equality and disability inclusion initiatives. Through Pacific Women, $3.1 million was allocated to addressing violence against women, increasing women’s economic opportunities and promoting women’s leadership. The Fiji program continues to mainstream disability inclusion across the program.</w:t>
            </w:r>
            <w:r>
              <w:rPr>
                <w:rFonts w:asciiTheme="minorHAnsi" w:hAnsiTheme="minorHAnsi"/>
              </w:rPr>
              <w:t xml:space="preserve"> T</w:t>
            </w:r>
            <w:r>
              <w:rPr>
                <w:rFonts w:asciiTheme="minorHAnsi" w:hAnsiTheme="minorHAnsi"/>
                <w:szCs w:val="17"/>
              </w:rPr>
              <w:t>hrough Australia Awards, four students with disabilities were awarded scholarships. Through FCDP, the Fiji Society for the Blind helped to prevent blindness and assist those living with blindness or vision impairment. Through AQEP, five schools piloted an approach to address learning needs of children with disability.</w:t>
            </w:r>
          </w:p>
        </w:tc>
      </w:tr>
      <w:tr w:rsidR="00076EDF" w14:paraId="600F6E61" w14:textId="77777777" w:rsidTr="00076EDF">
        <w:tc>
          <w:tcPr>
            <w:tcW w:w="659"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8986567" w14:textId="77777777" w:rsidR="00076EDF" w:rsidRDefault="00076EDF">
            <w:pPr>
              <w:spacing w:before="40" w:after="40" w:line="200" w:lineRule="atLeast"/>
              <w:rPr>
                <w:rFonts w:asciiTheme="minorHAnsi" w:hAnsiTheme="minorHAnsi"/>
                <w:color w:val="auto"/>
                <w:szCs w:val="17"/>
                <w:lang w:val="en-AU"/>
              </w:rPr>
            </w:pPr>
            <w:r>
              <w:rPr>
                <w:rFonts w:asciiTheme="minorHAnsi" w:hAnsiTheme="minorHAnsi"/>
                <w:szCs w:val="17"/>
              </w:rPr>
              <w:t xml:space="preserve">Improved Human Development </w:t>
            </w:r>
          </w:p>
          <w:p w14:paraId="6977093E" w14:textId="77777777" w:rsidR="00076EDF" w:rsidRDefault="00076EDF">
            <w:pPr>
              <w:spacing w:before="40" w:after="40" w:line="200" w:lineRule="atLeast"/>
              <w:rPr>
                <w:rFonts w:asciiTheme="minorHAnsi" w:hAnsiTheme="minorHAnsi"/>
              </w:rPr>
            </w:pPr>
          </w:p>
        </w:tc>
        <w:tc>
          <w:tcPr>
            <w:tcW w:w="901" w:type="pct"/>
            <w:tcBorders>
              <w:top w:val="single" w:sz="4" w:space="0" w:color="auto"/>
              <w:left w:val="single" w:sz="4" w:space="0" w:color="auto"/>
              <w:bottom w:val="single" w:sz="4" w:space="0" w:color="auto"/>
              <w:right w:val="single" w:sz="4" w:space="0" w:color="auto"/>
            </w:tcBorders>
            <w:hideMark/>
          </w:tcPr>
          <w:p w14:paraId="16AA6DC9" w14:textId="77777777" w:rsidR="00076EDF" w:rsidRDefault="00076EDF">
            <w:pPr>
              <w:spacing w:before="40" w:after="40" w:line="200" w:lineRule="atLeast"/>
              <w:rPr>
                <w:rFonts w:asciiTheme="minorHAnsi" w:hAnsiTheme="minorHAnsi"/>
              </w:rPr>
            </w:pPr>
            <w:r>
              <w:rPr>
                <w:rFonts w:asciiTheme="minorHAnsi" w:hAnsiTheme="minorHAnsi"/>
              </w:rPr>
              <w:t xml:space="preserve">Reduction in common childhood illnesses resulting from introduction of rotavirus and pneumococcal vaccines </w:t>
            </w:r>
          </w:p>
        </w:tc>
        <w:tc>
          <w:tcPr>
            <w:tcW w:w="470" w:type="pct"/>
            <w:tcBorders>
              <w:top w:val="single" w:sz="4" w:space="0" w:color="auto"/>
              <w:left w:val="single" w:sz="4" w:space="0" w:color="auto"/>
              <w:bottom w:val="single" w:sz="4" w:space="0" w:color="auto"/>
              <w:right w:val="single" w:sz="4" w:space="0" w:color="auto"/>
            </w:tcBorders>
            <w:shd w:val="clear" w:color="auto" w:fill="92D050"/>
            <w:hideMark/>
          </w:tcPr>
          <w:p w14:paraId="23427ED4" w14:textId="77777777" w:rsidR="00076EDF" w:rsidRPr="00A502CF" w:rsidRDefault="00076EDF">
            <w:pPr>
              <w:keepLines/>
              <w:spacing w:before="40" w:after="40" w:line="200" w:lineRule="atLeast"/>
              <w:jc w:val="center"/>
              <w:rPr>
                <w:rFonts w:asciiTheme="minorHAnsi" w:hAnsiTheme="minorHAnsi"/>
                <w:color w:val="FFFFFF" w:themeColor="background1"/>
              </w:rPr>
            </w:pPr>
            <w:r w:rsidRPr="00A502CF">
              <w:rPr>
                <w:rFonts w:asciiTheme="minorHAnsi" w:eastAsia="Times New Roman" w:hAnsiTheme="minorHAnsi"/>
                <w:iCs/>
                <w:color w:val="FFFFFF" w:themeColor="background1"/>
                <w:szCs w:val="17"/>
              </w:rPr>
              <w:t>Ach</w:t>
            </w:r>
            <w:r w:rsidRPr="00915E32">
              <w:rPr>
                <w:rFonts w:asciiTheme="minorHAnsi" w:eastAsia="Times New Roman" w:hAnsiTheme="minorHAnsi"/>
                <w:iCs/>
                <w:color w:val="FFFFFF" w:themeColor="background1"/>
                <w:szCs w:val="17"/>
              </w:rPr>
              <w:t>ieved</w:t>
            </w:r>
          </w:p>
        </w:tc>
        <w:tc>
          <w:tcPr>
            <w:tcW w:w="2970" w:type="pct"/>
            <w:tcBorders>
              <w:top w:val="single" w:sz="4" w:space="0" w:color="auto"/>
              <w:left w:val="single" w:sz="4" w:space="0" w:color="auto"/>
              <w:bottom w:val="single" w:sz="4" w:space="0" w:color="auto"/>
              <w:right w:val="single" w:sz="4" w:space="0" w:color="auto"/>
            </w:tcBorders>
            <w:hideMark/>
          </w:tcPr>
          <w:p w14:paraId="49085771" w14:textId="36C1245A" w:rsidR="00076EDF" w:rsidRDefault="00076EDF" w:rsidP="00D15C84">
            <w:pPr>
              <w:spacing w:before="40" w:after="40" w:line="200" w:lineRule="atLeast"/>
              <w:rPr>
                <w:rFonts w:asciiTheme="minorHAnsi" w:hAnsiTheme="minorHAnsi"/>
              </w:rPr>
            </w:pPr>
            <w:r>
              <w:rPr>
                <w:rFonts w:asciiTheme="minorHAnsi" w:hAnsiTheme="minorHAnsi"/>
                <w:szCs w:val="17"/>
              </w:rPr>
              <w:t xml:space="preserve">The introduction of the Rotavirus and Pneumococcal vaccines through the FHSSP program Fiji’s national Expanded Program of Immunisation (EPI) saw the ministry take over its procurement fully from 2015. Coverage rates for both vaccines have been around 95 percent. The introduction of the pneumococcal vaccine is estimated to have reduced hospitalisation rates by </w:t>
            </w:r>
            <w:r w:rsidR="00D15C84">
              <w:rPr>
                <w:rFonts w:asciiTheme="minorHAnsi" w:hAnsiTheme="minorHAnsi"/>
                <w:szCs w:val="17"/>
              </w:rPr>
              <w:t xml:space="preserve">515 </w:t>
            </w:r>
            <w:r>
              <w:rPr>
                <w:rFonts w:asciiTheme="minorHAnsi" w:hAnsiTheme="minorHAnsi"/>
                <w:szCs w:val="17"/>
              </w:rPr>
              <w:t xml:space="preserve">per year for pneumonia. </w:t>
            </w:r>
            <w:r w:rsidR="00915E32">
              <w:rPr>
                <w:rFonts w:asciiTheme="minorHAnsi" w:hAnsiTheme="minorHAnsi"/>
                <w:szCs w:val="17"/>
              </w:rPr>
              <w:t>A</w:t>
            </w:r>
            <w:r>
              <w:rPr>
                <w:rFonts w:asciiTheme="minorHAnsi" w:hAnsiTheme="minorHAnsi"/>
                <w:szCs w:val="17"/>
              </w:rPr>
              <w:t xml:space="preserve">long with a 70% decline in rotavirus admissions for children under five, </w:t>
            </w:r>
            <w:r w:rsidR="00915E32">
              <w:rPr>
                <w:rFonts w:asciiTheme="minorHAnsi" w:hAnsiTheme="minorHAnsi"/>
                <w:szCs w:val="17"/>
              </w:rPr>
              <w:t xml:space="preserve">this </w:t>
            </w:r>
            <w:r>
              <w:rPr>
                <w:rFonts w:asciiTheme="minorHAnsi" w:hAnsiTheme="minorHAnsi"/>
                <w:szCs w:val="17"/>
              </w:rPr>
              <w:t>results in a significant reduction in the burden of providing healthcare for these diseases.</w:t>
            </w:r>
          </w:p>
        </w:tc>
      </w:tr>
      <w:tr w:rsidR="00076EDF" w14:paraId="79DB75FB" w14:textId="77777777" w:rsidTr="00076EDF">
        <w:tc>
          <w:tcPr>
            <w:tcW w:w="659"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B0A6165" w14:textId="77777777" w:rsidR="00076EDF" w:rsidRDefault="00076EDF">
            <w:pPr>
              <w:spacing w:before="40" w:after="40" w:line="200" w:lineRule="atLeast"/>
              <w:rPr>
                <w:rFonts w:asciiTheme="minorHAnsi" w:hAnsiTheme="minorHAnsi"/>
                <w:szCs w:val="17"/>
              </w:rPr>
            </w:pPr>
            <w:r>
              <w:rPr>
                <w:rFonts w:asciiTheme="minorHAnsi" w:hAnsiTheme="minorHAnsi"/>
                <w:szCs w:val="17"/>
              </w:rPr>
              <w:t>Increased private sector development</w:t>
            </w:r>
          </w:p>
        </w:tc>
        <w:tc>
          <w:tcPr>
            <w:tcW w:w="901" w:type="pct"/>
            <w:tcBorders>
              <w:top w:val="single" w:sz="4" w:space="0" w:color="auto"/>
              <w:left w:val="single" w:sz="4" w:space="0" w:color="auto"/>
              <w:bottom w:val="single" w:sz="4" w:space="0" w:color="auto"/>
              <w:right w:val="single" w:sz="4" w:space="0" w:color="auto"/>
            </w:tcBorders>
            <w:hideMark/>
          </w:tcPr>
          <w:p w14:paraId="68473795" w14:textId="77777777" w:rsidR="00076EDF" w:rsidRDefault="00076EDF">
            <w:pPr>
              <w:spacing w:before="40" w:after="40" w:line="200" w:lineRule="atLeast"/>
              <w:rPr>
                <w:rFonts w:asciiTheme="minorHAnsi" w:hAnsiTheme="minorHAnsi"/>
                <w:szCs w:val="17"/>
              </w:rPr>
            </w:pPr>
            <w:r>
              <w:rPr>
                <w:rFonts w:asciiTheme="minorHAnsi" w:hAnsiTheme="minorHAnsi"/>
                <w:szCs w:val="17"/>
              </w:rPr>
              <w:t>New formal sector jobs created for the poor</w:t>
            </w:r>
          </w:p>
        </w:tc>
        <w:tc>
          <w:tcPr>
            <w:tcW w:w="470" w:type="pct"/>
            <w:tcBorders>
              <w:top w:val="single" w:sz="4" w:space="0" w:color="auto"/>
              <w:left w:val="single" w:sz="4" w:space="0" w:color="auto"/>
              <w:bottom w:val="single" w:sz="4" w:space="0" w:color="auto"/>
              <w:right w:val="single" w:sz="4" w:space="0" w:color="auto"/>
            </w:tcBorders>
            <w:shd w:val="clear" w:color="auto" w:fill="E36C0A"/>
            <w:hideMark/>
          </w:tcPr>
          <w:p w14:paraId="0F2C2B72" w14:textId="77777777" w:rsidR="00076EDF" w:rsidRDefault="00076EDF">
            <w:pPr>
              <w:keepLines/>
              <w:spacing w:before="40" w:after="40" w:line="200" w:lineRule="atLeast"/>
              <w:jc w:val="center"/>
              <w:rPr>
                <w:rFonts w:asciiTheme="minorHAnsi" w:eastAsia="Times New Roman" w:hAnsiTheme="minorHAnsi"/>
                <w:iCs/>
                <w:color w:val="FFFFFF" w:themeColor="background1"/>
                <w:szCs w:val="17"/>
              </w:rPr>
            </w:pPr>
            <w:r>
              <w:rPr>
                <w:rFonts w:asciiTheme="minorHAnsi" w:eastAsia="Times New Roman" w:hAnsiTheme="minorHAnsi"/>
                <w:iCs/>
                <w:color w:val="FFFFFF" w:themeColor="background1"/>
                <w:szCs w:val="17"/>
              </w:rPr>
              <w:t>Partly achieved</w:t>
            </w:r>
          </w:p>
        </w:tc>
        <w:tc>
          <w:tcPr>
            <w:tcW w:w="2970" w:type="pct"/>
            <w:tcBorders>
              <w:top w:val="single" w:sz="4" w:space="0" w:color="auto"/>
              <w:left w:val="single" w:sz="4" w:space="0" w:color="auto"/>
              <w:bottom w:val="single" w:sz="4" w:space="0" w:color="auto"/>
              <w:right w:val="single" w:sz="4" w:space="0" w:color="auto"/>
            </w:tcBorders>
            <w:hideMark/>
          </w:tcPr>
          <w:p w14:paraId="2C8B5F80" w14:textId="77777777" w:rsidR="00076EDF" w:rsidRDefault="00076EDF">
            <w:pPr>
              <w:spacing w:before="40" w:after="40" w:line="200" w:lineRule="atLeast"/>
              <w:rPr>
                <w:rFonts w:asciiTheme="minorHAnsi" w:hAnsiTheme="minorHAnsi"/>
                <w:szCs w:val="17"/>
              </w:rPr>
            </w:pPr>
            <w:r>
              <w:rPr>
                <w:rFonts w:asciiTheme="minorHAnsi" w:hAnsiTheme="minorHAnsi"/>
                <w:szCs w:val="17"/>
              </w:rPr>
              <w:t>222 additional jobs (108 males and 114 females) were created in 2016-17, against a target of 260 formal jobs created for the poor. </w:t>
            </w:r>
          </w:p>
        </w:tc>
      </w:tr>
      <w:tr w:rsidR="00D50258" w14:paraId="1DC9D90F" w14:textId="77777777" w:rsidTr="00A418B1">
        <w:tc>
          <w:tcPr>
            <w:tcW w:w="659"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34A1F22" w14:textId="77777777" w:rsidR="00D50258" w:rsidRDefault="00D50258" w:rsidP="00D50258">
            <w:pPr>
              <w:spacing w:before="40" w:after="40" w:line="200" w:lineRule="atLeast"/>
              <w:rPr>
                <w:rFonts w:asciiTheme="minorHAnsi" w:hAnsiTheme="minorHAnsi"/>
                <w:szCs w:val="17"/>
              </w:rPr>
            </w:pPr>
            <w:r>
              <w:rPr>
                <w:rFonts w:asciiTheme="minorHAnsi" w:hAnsiTheme="minorHAnsi"/>
                <w:szCs w:val="17"/>
              </w:rPr>
              <w:t>Increased private sector development</w:t>
            </w:r>
          </w:p>
          <w:p w14:paraId="7D994C6A" w14:textId="77777777" w:rsidR="00D50258" w:rsidRDefault="00D50258" w:rsidP="00D50258">
            <w:pPr>
              <w:spacing w:before="40" w:after="40" w:line="200" w:lineRule="atLeast"/>
              <w:rPr>
                <w:rFonts w:asciiTheme="minorHAnsi" w:hAnsiTheme="minorHAnsi"/>
                <w:szCs w:val="17"/>
              </w:rPr>
            </w:pPr>
          </w:p>
        </w:tc>
        <w:tc>
          <w:tcPr>
            <w:tcW w:w="901" w:type="pct"/>
            <w:tcBorders>
              <w:top w:val="single" w:sz="4" w:space="0" w:color="auto"/>
              <w:left w:val="single" w:sz="4" w:space="0" w:color="auto"/>
              <w:bottom w:val="single" w:sz="4" w:space="0" w:color="auto"/>
              <w:right w:val="single" w:sz="4" w:space="0" w:color="auto"/>
            </w:tcBorders>
            <w:hideMark/>
          </w:tcPr>
          <w:p w14:paraId="7D158274" w14:textId="77777777" w:rsidR="00D50258" w:rsidRDefault="00D50258" w:rsidP="00D50258">
            <w:pPr>
              <w:spacing w:before="40" w:after="40" w:line="200" w:lineRule="atLeast"/>
              <w:rPr>
                <w:rFonts w:asciiTheme="minorHAnsi" w:hAnsiTheme="minorHAnsi"/>
                <w:szCs w:val="17"/>
              </w:rPr>
            </w:pPr>
            <w:r>
              <w:rPr>
                <w:rFonts w:asciiTheme="minorHAnsi" w:hAnsiTheme="minorHAnsi"/>
                <w:szCs w:val="17"/>
              </w:rPr>
              <w:t>Aid budget allocated to aid-for-trade initiatives</w:t>
            </w:r>
          </w:p>
        </w:tc>
        <w:tc>
          <w:tcPr>
            <w:tcW w:w="470" w:type="pct"/>
            <w:tcBorders>
              <w:top w:val="single" w:sz="4" w:space="0" w:color="auto"/>
              <w:left w:val="single" w:sz="4" w:space="0" w:color="auto"/>
              <w:bottom w:val="single" w:sz="4" w:space="0" w:color="auto"/>
              <w:right w:val="single" w:sz="4" w:space="0" w:color="auto"/>
            </w:tcBorders>
            <w:shd w:val="clear" w:color="auto" w:fill="92D050"/>
            <w:hideMark/>
          </w:tcPr>
          <w:p w14:paraId="3D3A9766" w14:textId="361381A2" w:rsidR="00D50258" w:rsidRDefault="00D50258" w:rsidP="00D50258">
            <w:pPr>
              <w:keepLines/>
              <w:spacing w:before="40" w:after="40" w:line="200" w:lineRule="atLeast"/>
              <w:jc w:val="center"/>
              <w:rPr>
                <w:rFonts w:asciiTheme="minorHAnsi" w:eastAsia="Times New Roman" w:hAnsiTheme="minorHAnsi"/>
                <w:iCs/>
                <w:color w:val="FFFFFF" w:themeColor="background1"/>
                <w:szCs w:val="17"/>
              </w:rPr>
            </w:pPr>
            <w:r>
              <w:rPr>
                <w:rFonts w:asciiTheme="minorHAnsi" w:eastAsia="Times New Roman" w:hAnsiTheme="minorHAnsi"/>
                <w:iCs/>
                <w:color w:val="FFFFFF" w:themeColor="background1"/>
                <w:szCs w:val="17"/>
              </w:rPr>
              <w:t>Achieved</w:t>
            </w:r>
          </w:p>
        </w:tc>
        <w:tc>
          <w:tcPr>
            <w:tcW w:w="2970" w:type="pct"/>
            <w:tcBorders>
              <w:top w:val="single" w:sz="4" w:space="0" w:color="auto"/>
              <w:left w:val="single" w:sz="4" w:space="0" w:color="auto"/>
              <w:bottom w:val="single" w:sz="4" w:space="0" w:color="auto"/>
              <w:right w:val="single" w:sz="4" w:space="0" w:color="auto"/>
            </w:tcBorders>
            <w:hideMark/>
          </w:tcPr>
          <w:p w14:paraId="0BCEF641" w14:textId="2560FA19" w:rsidR="00D50258" w:rsidRDefault="00D50258">
            <w:pPr>
              <w:spacing w:before="40" w:after="40" w:line="200" w:lineRule="atLeast"/>
              <w:rPr>
                <w:rFonts w:asciiTheme="minorHAnsi" w:hAnsiTheme="minorHAnsi"/>
                <w:szCs w:val="17"/>
              </w:rPr>
            </w:pPr>
            <w:r>
              <w:rPr>
                <w:rFonts w:asciiTheme="minorHAnsi" w:hAnsiTheme="minorHAnsi"/>
                <w:szCs w:val="17"/>
              </w:rPr>
              <w:t xml:space="preserve">Three bilateral aid-for-trade initiatives, Market Development Facility ($2.9m), International Finance Corporation program ($2.5m) and the Pacific Finance Inclusion Program ($1.8m), totalled AUD7.2 million or 16.4 percent of the Fiji bilateral budget allocation in 2016-17 (not including TC Winston funds). </w:t>
            </w:r>
          </w:p>
        </w:tc>
      </w:tr>
    </w:tbl>
    <w:p w14:paraId="6398C5D3" w14:textId="77777777" w:rsidR="00076EDF" w:rsidRDefault="00076EDF" w:rsidP="00076EDF">
      <w:pPr>
        <w:spacing w:before="20" w:after="20" w:line="180" w:lineRule="atLeast"/>
        <w:jc w:val="both"/>
        <w:rPr>
          <w:rFonts w:eastAsia="Times New Roman"/>
          <w:b/>
          <w:sz w:val="16"/>
          <w:szCs w:val="14"/>
        </w:rPr>
      </w:pPr>
    </w:p>
    <w:p w14:paraId="76EA2463" w14:textId="77777777" w:rsidR="00076EDF" w:rsidRDefault="00076EDF" w:rsidP="00076EDF">
      <w:pPr>
        <w:spacing w:before="20" w:after="20" w:line="180" w:lineRule="atLeast"/>
        <w:jc w:val="both"/>
        <w:rPr>
          <w:rFonts w:eastAsia="Times New Roman"/>
          <w:b/>
          <w:sz w:val="16"/>
          <w:szCs w:val="14"/>
        </w:rPr>
      </w:pPr>
      <w:r>
        <w:rPr>
          <w:rFonts w:eastAsia="Times New Roman"/>
          <w:b/>
          <w:sz w:val="16"/>
          <w:szCs w:val="14"/>
        </w:rPr>
        <w:t xml:space="preserve">Note: </w:t>
      </w:r>
    </w:p>
    <w:p w14:paraId="0F82EA05" w14:textId="77777777" w:rsidR="00076EDF" w:rsidRDefault="00076EDF" w:rsidP="00076EDF">
      <w:pPr>
        <w:spacing w:before="20" w:after="20" w:line="180" w:lineRule="atLeast"/>
        <w:jc w:val="both"/>
        <w:rPr>
          <w:rFonts w:eastAsia="Times New Roman"/>
          <w:b/>
          <w:sz w:val="16"/>
          <w:szCs w:val="14"/>
        </w:rPr>
      </w:pPr>
      <w:r>
        <w:rPr>
          <w:rFonts w:eastAsia="Times New Roman"/>
          <w:b/>
          <w:color w:val="72AF2F"/>
          <w:sz w:val="16"/>
          <w:szCs w:val="14"/>
        </w:rPr>
        <w:sym w:font="Webdings" w:char="F067"/>
      </w:r>
      <w:r>
        <w:rPr>
          <w:rFonts w:eastAsia="Times New Roman"/>
          <w:b/>
          <w:sz w:val="16"/>
          <w:szCs w:val="14"/>
        </w:rPr>
        <w:t> </w:t>
      </w:r>
      <w:r>
        <w:rPr>
          <w:rFonts w:eastAsia="Times New Roman"/>
          <w:b/>
          <w:sz w:val="16"/>
          <w:szCs w:val="14"/>
        </w:rPr>
        <w:t xml:space="preserve"> Achieved.  Significant progress has been made in addressing the issue </w:t>
      </w:r>
    </w:p>
    <w:p w14:paraId="2C5885A1" w14:textId="77777777" w:rsidR="00076EDF" w:rsidRDefault="00076EDF" w:rsidP="00076EDF">
      <w:pPr>
        <w:spacing w:before="20" w:after="20" w:line="180" w:lineRule="atLeast"/>
        <w:jc w:val="both"/>
        <w:rPr>
          <w:rFonts w:eastAsia="Times New Roman"/>
          <w:b/>
          <w:sz w:val="16"/>
          <w:szCs w:val="14"/>
        </w:rPr>
      </w:pPr>
      <w:r>
        <w:rPr>
          <w:rFonts w:eastAsia="Times New Roman"/>
          <w:b/>
          <w:color w:val="E36C0A"/>
          <w:sz w:val="16"/>
          <w:szCs w:val="14"/>
        </w:rPr>
        <w:sym w:font="Webdings" w:char="F067"/>
      </w:r>
      <w:r>
        <w:rPr>
          <w:rFonts w:eastAsia="Times New Roman"/>
          <w:b/>
          <w:sz w:val="16"/>
          <w:szCs w:val="14"/>
        </w:rPr>
        <w:t> </w:t>
      </w:r>
      <w:r>
        <w:rPr>
          <w:rFonts w:eastAsia="Times New Roman"/>
          <w:b/>
          <w:sz w:val="16"/>
          <w:szCs w:val="14"/>
        </w:rPr>
        <w:t xml:space="preserve"> Partly achieved.  Some progress has been made in addressing the issue, but the issue has not been resolved </w:t>
      </w:r>
    </w:p>
    <w:p w14:paraId="5B0B33B9" w14:textId="77777777" w:rsidR="00076EDF" w:rsidRDefault="00076EDF" w:rsidP="00076EDF">
      <w:pPr>
        <w:spacing w:before="20" w:after="20" w:line="180" w:lineRule="atLeast"/>
        <w:jc w:val="both"/>
        <w:rPr>
          <w:rFonts w:eastAsia="Times New Roman"/>
          <w:b/>
          <w:sz w:val="16"/>
          <w:szCs w:val="14"/>
        </w:rPr>
      </w:pPr>
      <w:r>
        <w:rPr>
          <w:rFonts w:eastAsia="Times New Roman"/>
          <w:b/>
          <w:color w:val="FF0000"/>
          <w:sz w:val="16"/>
          <w:szCs w:val="14"/>
        </w:rPr>
        <w:sym w:font="Webdings" w:char="F067"/>
      </w:r>
      <w:r>
        <w:rPr>
          <w:rFonts w:eastAsia="Times New Roman"/>
          <w:b/>
          <w:sz w:val="16"/>
          <w:szCs w:val="14"/>
        </w:rPr>
        <w:t> </w:t>
      </w:r>
      <w:r>
        <w:rPr>
          <w:rFonts w:eastAsia="Times New Roman"/>
          <w:b/>
          <w:sz w:val="16"/>
          <w:szCs w:val="14"/>
        </w:rPr>
        <w:t xml:space="preserve"> Not achieved. Progress in addressing the issue has been significantly below expectations</w:t>
      </w:r>
    </w:p>
    <w:p w14:paraId="57CC2FED" w14:textId="77777777" w:rsidR="00076EDF" w:rsidRDefault="00076EDF" w:rsidP="00076EDF">
      <w:pPr>
        <w:spacing w:before="20" w:after="20" w:line="180" w:lineRule="atLeast"/>
        <w:jc w:val="both"/>
      </w:pPr>
    </w:p>
    <w:p w14:paraId="4F576A44" w14:textId="77777777" w:rsidR="00076EDF" w:rsidRDefault="00076EDF" w:rsidP="00076EDF">
      <w:pPr>
        <w:spacing w:before="20" w:after="20" w:line="180" w:lineRule="atLeast"/>
        <w:jc w:val="both"/>
      </w:pPr>
    </w:p>
    <w:p w14:paraId="6794A45E" w14:textId="77777777" w:rsidR="00076EDF" w:rsidRDefault="00076EDF" w:rsidP="00076EDF">
      <w:pPr>
        <w:spacing w:before="20" w:after="20" w:line="180" w:lineRule="atLeast"/>
        <w:jc w:val="both"/>
      </w:pPr>
    </w:p>
    <w:p w14:paraId="4C72990B" w14:textId="77777777" w:rsidR="008A29A7" w:rsidRDefault="008A29A7" w:rsidP="00076EDF">
      <w:pPr>
        <w:rPr>
          <w:rFonts w:eastAsia="Times New Roman"/>
          <w:b/>
          <w:sz w:val="24"/>
          <w:szCs w:val="24"/>
        </w:rPr>
      </w:pPr>
    </w:p>
    <w:p w14:paraId="63660E3D" w14:textId="77777777" w:rsidR="009A3987" w:rsidRDefault="009A3987" w:rsidP="009A3987">
      <w:pPr>
        <w:rPr>
          <w:rFonts w:ascii="Franklin Gothic Book" w:eastAsia="Times New Roman" w:hAnsi="Franklin Gothic Book"/>
          <w:b/>
          <w:sz w:val="24"/>
          <w:szCs w:val="24"/>
        </w:rPr>
      </w:pPr>
      <w:r>
        <w:rPr>
          <w:rFonts w:ascii="Franklin Gothic Book" w:eastAsia="Times New Roman" w:hAnsi="Franklin Gothic Book"/>
          <w:b/>
          <w:sz w:val="24"/>
          <w:szCs w:val="24"/>
        </w:rPr>
        <w:t xml:space="preserve">Performance Benchmarks for remainder of Aid Investment Plan   </w:t>
      </w:r>
    </w:p>
    <w:tbl>
      <w:tblPr>
        <w:tblStyle w:val="DFATTable"/>
        <w:tblW w:w="4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827"/>
        <w:gridCol w:w="2456"/>
        <w:gridCol w:w="2459"/>
      </w:tblGrid>
      <w:tr w:rsidR="00637CC2" w14:paraId="5DC4E38D" w14:textId="77777777" w:rsidTr="00A418B1">
        <w:trPr>
          <w:trHeight w:val="331"/>
        </w:trPr>
        <w:tc>
          <w:tcPr>
            <w:tcW w:w="1313" w:type="pct"/>
            <w:tcBorders>
              <w:top w:val="single" w:sz="4" w:space="0" w:color="auto"/>
              <w:left w:val="single" w:sz="4" w:space="0" w:color="auto"/>
              <w:bottom w:val="single" w:sz="4" w:space="0" w:color="auto"/>
              <w:right w:val="single" w:sz="4" w:space="0" w:color="auto"/>
            </w:tcBorders>
            <w:hideMark/>
          </w:tcPr>
          <w:p w14:paraId="5D3D32CB" w14:textId="77777777" w:rsidR="00637CC2" w:rsidRDefault="00637CC2">
            <w:pPr>
              <w:pStyle w:val="NormalIndented"/>
              <w:rPr>
                <w:rFonts w:asciiTheme="minorHAnsi" w:hAnsiTheme="minorHAnsi"/>
                <w:b/>
              </w:rPr>
            </w:pPr>
            <w:r>
              <w:rPr>
                <w:rFonts w:asciiTheme="minorHAnsi" w:eastAsia="Times New Roman" w:hAnsiTheme="minorHAnsi"/>
                <w:b/>
                <w:iCs/>
                <w:szCs w:val="17"/>
              </w:rPr>
              <w:t>Aid objective</w:t>
            </w:r>
          </w:p>
        </w:tc>
        <w:tc>
          <w:tcPr>
            <w:tcW w:w="1614" w:type="pct"/>
            <w:tcBorders>
              <w:top w:val="single" w:sz="4" w:space="0" w:color="auto"/>
              <w:left w:val="single" w:sz="4" w:space="0" w:color="auto"/>
              <w:bottom w:val="single" w:sz="4" w:space="0" w:color="auto"/>
              <w:right w:val="single" w:sz="4" w:space="0" w:color="auto"/>
            </w:tcBorders>
            <w:hideMark/>
          </w:tcPr>
          <w:p w14:paraId="0FD28086" w14:textId="77777777" w:rsidR="00637CC2" w:rsidRDefault="00637CC2">
            <w:pPr>
              <w:pStyle w:val="NormalIndented"/>
              <w:rPr>
                <w:rFonts w:asciiTheme="minorHAnsi" w:hAnsiTheme="minorHAnsi"/>
                <w:b/>
              </w:rPr>
            </w:pPr>
            <w:r>
              <w:rPr>
                <w:rFonts w:asciiTheme="minorHAnsi" w:eastAsia="Times New Roman" w:hAnsiTheme="minorHAnsi"/>
                <w:b/>
                <w:iCs/>
                <w:szCs w:val="17"/>
              </w:rPr>
              <w:t xml:space="preserve">Performance Benchmark </w:t>
            </w:r>
          </w:p>
        </w:tc>
        <w:tc>
          <w:tcPr>
            <w:tcW w:w="1036" w:type="pct"/>
            <w:tcBorders>
              <w:top w:val="single" w:sz="4" w:space="0" w:color="auto"/>
              <w:left w:val="single" w:sz="4" w:space="0" w:color="auto"/>
              <w:bottom w:val="single" w:sz="4" w:space="0" w:color="auto"/>
              <w:right w:val="single" w:sz="4" w:space="0" w:color="auto"/>
            </w:tcBorders>
            <w:hideMark/>
          </w:tcPr>
          <w:p w14:paraId="199941F0" w14:textId="77777777" w:rsidR="00637CC2" w:rsidRDefault="00637CC2">
            <w:pPr>
              <w:pStyle w:val="NormalIndented"/>
              <w:ind w:left="0"/>
              <w:jc w:val="center"/>
              <w:rPr>
                <w:rFonts w:asciiTheme="minorHAnsi" w:hAnsiTheme="minorHAnsi"/>
                <w:b/>
              </w:rPr>
            </w:pPr>
            <w:r>
              <w:rPr>
                <w:rFonts w:asciiTheme="minorHAnsi" w:hAnsiTheme="minorHAnsi"/>
                <w:b/>
              </w:rPr>
              <w:t>2017-18</w:t>
            </w:r>
          </w:p>
        </w:tc>
        <w:tc>
          <w:tcPr>
            <w:tcW w:w="1037" w:type="pct"/>
            <w:tcBorders>
              <w:top w:val="single" w:sz="4" w:space="0" w:color="auto"/>
              <w:left w:val="single" w:sz="4" w:space="0" w:color="auto"/>
              <w:bottom w:val="single" w:sz="4" w:space="0" w:color="auto"/>
              <w:right w:val="single" w:sz="4" w:space="0" w:color="auto"/>
            </w:tcBorders>
            <w:hideMark/>
          </w:tcPr>
          <w:p w14:paraId="278362F0" w14:textId="77777777" w:rsidR="00637CC2" w:rsidRDefault="00637CC2">
            <w:pPr>
              <w:pStyle w:val="NormalIndented"/>
              <w:ind w:left="33"/>
              <w:jc w:val="center"/>
              <w:rPr>
                <w:rFonts w:asciiTheme="minorHAnsi" w:hAnsiTheme="minorHAnsi"/>
                <w:b/>
              </w:rPr>
            </w:pPr>
            <w:r>
              <w:rPr>
                <w:rFonts w:asciiTheme="minorHAnsi" w:hAnsiTheme="minorHAnsi"/>
                <w:b/>
              </w:rPr>
              <w:t>2018-19</w:t>
            </w:r>
          </w:p>
        </w:tc>
      </w:tr>
      <w:tr w:rsidR="00637CC2" w14:paraId="78A947A7" w14:textId="77777777" w:rsidTr="00A418B1">
        <w:trPr>
          <w:trHeight w:val="579"/>
        </w:trPr>
        <w:tc>
          <w:tcPr>
            <w:tcW w:w="1313" w:type="pct"/>
            <w:tcBorders>
              <w:top w:val="single" w:sz="4" w:space="0" w:color="auto"/>
              <w:left w:val="single" w:sz="4" w:space="0" w:color="auto"/>
              <w:bottom w:val="single" w:sz="4" w:space="0" w:color="auto"/>
              <w:right w:val="single" w:sz="4" w:space="0" w:color="auto"/>
            </w:tcBorders>
            <w:hideMark/>
          </w:tcPr>
          <w:p w14:paraId="655A7BCD" w14:textId="77777777" w:rsidR="00637CC2" w:rsidRPr="00A418B1" w:rsidRDefault="00637CC2">
            <w:pPr>
              <w:keepLines/>
              <w:spacing w:before="40" w:after="40" w:line="200" w:lineRule="atLeast"/>
              <w:rPr>
                <w:rFonts w:ascii="Calibri Light" w:hAnsi="Calibri Light"/>
                <w:color w:val="495965"/>
              </w:rPr>
            </w:pPr>
            <w:r w:rsidRPr="00A418B1">
              <w:rPr>
                <w:rFonts w:ascii="Calibri Light" w:eastAsia="Times New Roman" w:hAnsi="Calibri Light" w:cs="Times New Roman"/>
                <w:iCs/>
                <w:color w:val="495965"/>
                <w:szCs w:val="17"/>
              </w:rPr>
              <w:t>Increased private sector development</w:t>
            </w:r>
          </w:p>
        </w:tc>
        <w:tc>
          <w:tcPr>
            <w:tcW w:w="1614" w:type="pct"/>
            <w:tcBorders>
              <w:top w:val="single" w:sz="4" w:space="0" w:color="auto"/>
              <w:left w:val="single" w:sz="4" w:space="0" w:color="auto"/>
              <w:bottom w:val="single" w:sz="4" w:space="0" w:color="auto"/>
              <w:right w:val="single" w:sz="4" w:space="0" w:color="auto"/>
            </w:tcBorders>
            <w:hideMark/>
          </w:tcPr>
          <w:p w14:paraId="5B4C50AC" w14:textId="77777777" w:rsidR="00637CC2" w:rsidRPr="00A418B1" w:rsidRDefault="00637CC2">
            <w:pPr>
              <w:keepLines/>
              <w:spacing w:before="40" w:after="40" w:line="200" w:lineRule="atLeast"/>
              <w:rPr>
                <w:rFonts w:ascii="Calibri Light" w:hAnsi="Calibri Light"/>
                <w:color w:val="495965"/>
              </w:rPr>
            </w:pPr>
            <w:r w:rsidRPr="00A418B1">
              <w:rPr>
                <w:rFonts w:ascii="Calibri Light" w:eastAsia="Times New Roman" w:hAnsi="Calibri Light" w:cs="Times New Roman"/>
                <w:iCs/>
                <w:color w:val="495965"/>
                <w:szCs w:val="17"/>
              </w:rPr>
              <w:t>New formal sector jobs created for the poor</w:t>
            </w:r>
          </w:p>
        </w:tc>
        <w:tc>
          <w:tcPr>
            <w:tcW w:w="1036" w:type="pct"/>
            <w:tcBorders>
              <w:top w:val="single" w:sz="4" w:space="0" w:color="auto"/>
              <w:left w:val="single" w:sz="4" w:space="0" w:color="auto"/>
              <w:bottom w:val="single" w:sz="4" w:space="0" w:color="auto"/>
              <w:right w:val="single" w:sz="4" w:space="0" w:color="auto"/>
            </w:tcBorders>
            <w:hideMark/>
          </w:tcPr>
          <w:p w14:paraId="19BFB13A" w14:textId="77777777" w:rsidR="00637CC2" w:rsidRPr="00A418B1" w:rsidRDefault="00637CC2">
            <w:pPr>
              <w:keepLines/>
              <w:spacing w:before="40" w:after="40" w:line="200" w:lineRule="atLeast"/>
              <w:jc w:val="center"/>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350</w:t>
            </w:r>
          </w:p>
        </w:tc>
        <w:tc>
          <w:tcPr>
            <w:tcW w:w="1037" w:type="pct"/>
            <w:tcBorders>
              <w:top w:val="single" w:sz="4" w:space="0" w:color="auto"/>
              <w:left w:val="single" w:sz="4" w:space="0" w:color="auto"/>
              <w:bottom w:val="single" w:sz="4" w:space="0" w:color="auto"/>
              <w:right w:val="single" w:sz="4" w:space="0" w:color="auto"/>
            </w:tcBorders>
            <w:hideMark/>
          </w:tcPr>
          <w:p w14:paraId="69FEB045" w14:textId="77777777" w:rsidR="00637CC2" w:rsidRPr="00A418B1" w:rsidRDefault="00637CC2">
            <w:pPr>
              <w:keepLines/>
              <w:spacing w:before="40" w:after="40" w:line="200" w:lineRule="atLeast"/>
              <w:jc w:val="center"/>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400</w:t>
            </w:r>
          </w:p>
        </w:tc>
      </w:tr>
      <w:tr w:rsidR="00637CC2" w14:paraId="2FB0FEA3" w14:textId="77777777" w:rsidTr="00A418B1">
        <w:trPr>
          <w:trHeight w:val="614"/>
        </w:trPr>
        <w:tc>
          <w:tcPr>
            <w:tcW w:w="1313" w:type="pct"/>
            <w:tcBorders>
              <w:top w:val="single" w:sz="4" w:space="0" w:color="auto"/>
              <w:left w:val="single" w:sz="4" w:space="0" w:color="auto"/>
              <w:bottom w:val="single" w:sz="4" w:space="0" w:color="auto"/>
              <w:right w:val="single" w:sz="4" w:space="0" w:color="auto"/>
            </w:tcBorders>
            <w:hideMark/>
          </w:tcPr>
          <w:p w14:paraId="112EBFE4" w14:textId="77777777" w:rsidR="00637CC2" w:rsidRPr="00A418B1" w:rsidRDefault="00637CC2">
            <w:pPr>
              <w:keepLines/>
              <w:spacing w:before="40" w:after="40" w:line="200" w:lineRule="atLeast"/>
              <w:rPr>
                <w:rFonts w:ascii="Calibri Light" w:hAnsi="Calibri Light"/>
                <w:color w:val="495965"/>
              </w:rPr>
            </w:pPr>
            <w:r w:rsidRPr="00A418B1">
              <w:rPr>
                <w:rFonts w:ascii="Calibri Light" w:eastAsia="Times New Roman" w:hAnsi="Calibri Light" w:cs="Times New Roman"/>
                <w:iCs/>
                <w:color w:val="495965"/>
                <w:szCs w:val="17"/>
              </w:rPr>
              <w:t>Increased private sector development</w:t>
            </w:r>
          </w:p>
        </w:tc>
        <w:tc>
          <w:tcPr>
            <w:tcW w:w="1614" w:type="pct"/>
            <w:tcBorders>
              <w:top w:val="single" w:sz="4" w:space="0" w:color="auto"/>
              <w:left w:val="single" w:sz="4" w:space="0" w:color="auto"/>
              <w:bottom w:val="single" w:sz="4" w:space="0" w:color="auto"/>
              <w:right w:val="single" w:sz="4" w:space="0" w:color="auto"/>
            </w:tcBorders>
            <w:hideMark/>
          </w:tcPr>
          <w:p w14:paraId="498448CC" w14:textId="77777777" w:rsidR="00637CC2" w:rsidRPr="00A418B1" w:rsidRDefault="00637CC2">
            <w:pPr>
              <w:keepLines/>
              <w:spacing w:before="40" w:after="40" w:line="200" w:lineRule="atLeast"/>
              <w:rPr>
                <w:rFonts w:ascii="Calibri Light" w:hAnsi="Calibri Light"/>
                <w:color w:val="495965"/>
              </w:rPr>
            </w:pPr>
            <w:r w:rsidRPr="00A418B1">
              <w:rPr>
                <w:rFonts w:ascii="Calibri Light" w:eastAsia="Times New Roman" w:hAnsi="Calibri Light" w:cs="Times New Roman"/>
                <w:iCs/>
                <w:color w:val="495965"/>
                <w:szCs w:val="17"/>
              </w:rPr>
              <w:t>Aid budget allocated to aid-for-trade initiatives</w:t>
            </w:r>
          </w:p>
        </w:tc>
        <w:tc>
          <w:tcPr>
            <w:tcW w:w="1036" w:type="pct"/>
            <w:tcBorders>
              <w:top w:val="single" w:sz="4" w:space="0" w:color="auto"/>
              <w:left w:val="single" w:sz="4" w:space="0" w:color="auto"/>
              <w:bottom w:val="single" w:sz="4" w:space="0" w:color="auto"/>
              <w:right w:val="single" w:sz="4" w:space="0" w:color="auto"/>
            </w:tcBorders>
          </w:tcPr>
          <w:p w14:paraId="72E99213" w14:textId="77777777" w:rsidR="00637CC2" w:rsidRPr="00A418B1" w:rsidRDefault="00637CC2">
            <w:pPr>
              <w:keepLines/>
              <w:spacing w:before="40" w:after="40" w:line="200" w:lineRule="atLeast"/>
              <w:jc w:val="center"/>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20 percent</w:t>
            </w:r>
          </w:p>
          <w:p w14:paraId="0595C630" w14:textId="77777777" w:rsidR="00637CC2" w:rsidRPr="00A418B1" w:rsidRDefault="00637CC2">
            <w:pPr>
              <w:pStyle w:val="NormalIndented"/>
              <w:keepLines/>
              <w:ind w:left="33"/>
              <w:jc w:val="center"/>
              <w:rPr>
                <w:rFonts w:ascii="Calibri Light" w:hAnsi="Calibri Light"/>
                <w:color w:val="495965"/>
              </w:rPr>
            </w:pPr>
          </w:p>
        </w:tc>
        <w:tc>
          <w:tcPr>
            <w:tcW w:w="1037" w:type="pct"/>
            <w:tcBorders>
              <w:top w:val="single" w:sz="4" w:space="0" w:color="auto"/>
              <w:left w:val="single" w:sz="4" w:space="0" w:color="auto"/>
              <w:bottom w:val="single" w:sz="4" w:space="0" w:color="auto"/>
              <w:right w:val="single" w:sz="4" w:space="0" w:color="auto"/>
            </w:tcBorders>
          </w:tcPr>
          <w:p w14:paraId="5DE0C679" w14:textId="77777777" w:rsidR="00637CC2" w:rsidRPr="00A418B1" w:rsidRDefault="00637CC2">
            <w:pPr>
              <w:keepLines/>
              <w:spacing w:before="40" w:after="40" w:line="200" w:lineRule="atLeast"/>
              <w:jc w:val="center"/>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20 percent</w:t>
            </w:r>
          </w:p>
          <w:p w14:paraId="132B0227" w14:textId="77777777" w:rsidR="00637CC2" w:rsidRPr="00A418B1" w:rsidRDefault="00637CC2">
            <w:pPr>
              <w:pStyle w:val="NormalIndented"/>
              <w:keepLines/>
              <w:ind w:left="33"/>
              <w:jc w:val="center"/>
              <w:rPr>
                <w:rFonts w:ascii="Calibri Light" w:hAnsi="Calibri Light"/>
                <w:color w:val="495965"/>
              </w:rPr>
            </w:pPr>
          </w:p>
        </w:tc>
      </w:tr>
      <w:tr w:rsidR="00637CC2" w14:paraId="6FADEC81" w14:textId="77777777" w:rsidTr="00A418B1">
        <w:trPr>
          <w:trHeight w:val="614"/>
        </w:trPr>
        <w:tc>
          <w:tcPr>
            <w:tcW w:w="1313" w:type="pct"/>
            <w:tcBorders>
              <w:top w:val="single" w:sz="4" w:space="0" w:color="auto"/>
              <w:left w:val="single" w:sz="4" w:space="0" w:color="auto"/>
              <w:bottom w:val="single" w:sz="4" w:space="0" w:color="auto"/>
              <w:right w:val="single" w:sz="4" w:space="0" w:color="auto"/>
            </w:tcBorders>
          </w:tcPr>
          <w:p w14:paraId="34256CFC" w14:textId="77777777" w:rsidR="00637CC2" w:rsidRPr="00A418B1" w:rsidRDefault="00637CC2">
            <w:pPr>
              <w:keepLines/>
              <w:spacing w:before="40" w:after="40" w:line="200" w:lineRule="atLeast"/>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 xml:space="preserve">Improved Human Development </w:t>
            </w:r>
          </w:p>
          <w:p w14:paraId="1AD2DB1D" w14:textId="77777777" w:rsidR="00637CC2" w:rsidRPr="00A418B1" w:rsidRDefault="00637CC2">
            <w:pPr>
              <w:keepLines/>
              <w:spacing w:before="40" w:after="40" w:line="200" w:lineRule="atLeast"/>
              <w:rPr>
                <w:rFonts w:ascii="Calibri Light" w:hAnsi="Calibri Light"/>
                <w:color w:val="495965"/>
              </w:rPr>
            </w:pPr>
          </w:p>
        </w:tc>
        <w:tc>
          <w:tcPr>
            <w:tcW w:w="1614" w:type="pct"/>
            <w:tcBorders>
              <w:top w:val="single" w:sz="4" w:space="0" w:color="auto"/>
              <w:left w:val="single" w:sz="4" w:space="0" w:color="auto"/>
              <w:bottom w:val="single" w:sz="4" w:space="0" w:color="auto"/>
              <w:right w:val="single" w:sz="4" w:space="0" w:color="auto"/>
            </w:tcBorders>
            <w:hideMark/>
          </w:tcPr>
          <w:p w14:paraId="262C99AA" w14:textId="77777777" w:rsidR="00637CC2" w:rsidRPr="00A418B1" w:rsidRDefault="00637CC2">
            <w:pPr>
              <w:keepLines/>
              <w:spacing w:before="40" w:after="40" w:line="200" w:lineRule="atLeast"/>
              <w:rPr>
                <w:rFonts w:ascii="Calibri Light" w:hAnsi="Calibri Light"/>
                <w:color w:val="495965"/>
              </w:rPr>
            </w:pPr>
            <w:r w:rsidRPr="00A418B1">
              <w:rPr>
                <w:rFonts w:ascii="Calibri Light" w:eastAsia="Times New Roman" w:hAnsi="Calibri Light" w:cs="Times New Roman"/>
                <w:iCs/>
                <w:color w:val="495965"/>
                <w:szCs w:val="17"/>
              </w:rPr>
              <w:t>Reduction in the percentage of students in the Access to Quality Education program targeted schools achieving in the national bottom quartiles in literacy and numeracy</w:t>
            </w:r>
          </w:p>
        </w:tc>
        <w:tc>
          <w:tcPr>
            <w:tcW w:w="1036" w:type="pct"/>
            <w:tcBorders>
              <w:top w:val="single" w:sz="4" w:space="0" w:color="auto"/>
              <w:left w:val="single" w:sz="4" w:space="0" w:color="auto"/>
              <w:bottom w:val="single" w:sz="4" w:space="0" w:color="auto"/>
              <w:right w:val="single" w:sz="4" w:space="0" w:color="auto"/>
            </w:tcBorders>
            <w:hideMark/>
          </w:tcPr>
          <w:p w14:paraId="180FD618" w14:textId="77777777" w:rsidR="00637CC2" w:rsidRPr="00A418B1" w:rsidRDefault="00637CC2">
            <w:pPr>
              <w:keepLines/>
              <w:spacing w:before="40" w:after="40" w:line="200" w:lineRule="atLeast"/>
              <w:jc w:val="center"/>
              <w:rPr>
                <w:rFonts w:ascii="Calibri Light" w:hAnsi="Calibri Light"/>
                <w:color w:val="495965"/>
              </w:rPr>
            </w:pPr>
            <w:r w:rsidRPr="00A418B1">
              <w:rPr>
                <w:rFonts w:ascii="Calibri Light" w:eastAsia="Times New Roman" w:hAnsi="Calibri Light" w:cs="Times New Roman"/>
                <w:iCs/>
                <w:color w:val="495965"/>
                <w:szCs w:val="17"/>
              </w:rPr>
              <w:t xml:space="preserve">No more than 25 per cent in bottom quartile </w:t>
            </w:r>
          </w:p>
        </w:tc>
        <w:tc>
          <w:tcPr>
            <w:tcW w:w="1037" w:type="pct"/>
            <w:tcBorders>
              <w:top w:val="single" w:sz="4" w:space="0" w:color="auto"/>
              <w:left w:val="single" w:sz="4" w:space="0" w:color="auto"/>
              <w:bottom w:val="single" w:sz="4" w:space="0" w:color="auto"/>
              <w:right w:val="single" w:sz="4" w:space="0" w:color="auto"/>
            </w:tcBorders>
            <w:hideMark/>
          </w:tcPr>
          <w:p w14:paraId="32950733" w14:textId="77777777" w:rsidR="00637CC2" w:rsidRPr="00A418B1" w:rsidRDefault="00637CC2">
            <w:pPr>
              <w:keepLines/>
              <w:spacing w:before="40" w:after="40" w:line="200" w:lineRule="atLeast"/>
              <w:jc w:val="center"/>
              <w:rPr>
                <w:rFonts w:ascii="Calibri Light" w:hAnsi="Calibri Light"/>
                <w:color w:val="495965"/>
              </w:rPr>
            </w:pPr>
            <w:r w:rsidRPr="00A418B1">
              <w:rPr>
                <w:rFonts w:ascii="Calibri Light" w:eastAsia="Times New Roman" w:hAnsi="Calibri Light" w:cs="Times New Roman"/>
                <w:iCs/>
                <w:color w:val="495965"/>
                <w:szCs w:val="17"/>
              </w:rPr>
              <w:t>No more than 25 per cent in bottom quartile</w:t>
            </w:r>
          </w:p>
        </w:tc>
      </w:tr>
      <w:tr w:rsidR="00637CC2" w14:paraId="0F1AEA6A" w14:textId="77777777" w:rsidTr="00A418B1">
        <w:trPr>
          <w:trHeight w:val="614"/>
        </w:trPr>
        <w:tc>
          <w:tcPr>
            <w:tcW w:w="1313" w:type="pct"/>
            <w:tcBorders>
              <w:top w:val="single" w:sz="4" w:space="0" w:color="auto"/>
              <w:left w:val="single" w:sz="4" w:space="0" w:color="auto"/>
              <w:bottom w:val="single" w:sz="4" w:space="0" w:color="auto"/>
              <w:right w:val="single" w:sz="4" w:space="0" w:color="auto"/>
            </w:tcBorders>
          </w:tcPr>
          <w:p w14:paraId="7E56F676" w14:textId="77777777" w:rsidR="00637CC2" w:rsidRPr="00A418B1" w:rsidRDefault="00637CC2">
            <w:pPr>
              <w:keepLines/>
              <w:spacing w:before="40" w:after="40" w:line="200" w:lineRule="atLeast"/>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 xml:space="preserve">Improved Human Development </w:t>
            </w:r>
          </w:p>
          <w:p w14:paraId="693A18C2" w14:textId="77777777" w:rsidR="00637CC2" w:rsidRPr="00A418B1" w:rsidRDefault="00637CC2">
            <w:pPr>
              <w:keepLines/>
              <w:spacing w:before="40" w:after="40" w:line="200" w:lineRule="atLeast"/>
              <w:rPr>
                <w:rFonts w:ascii="Calibri Light" w:eastAsia="Times New Roman" w:hAnsi="Calibri Light" w:cs="Times New Roman"/>
                <w:iCs/>
                <w:color w:val="495965"/>
                <w:szCs w:val="17"/>
              </w:rPr>
            </w:pPr>
          </w:p>
        </w:tc>
        <w:tc>
          <w:tcPr>
            <w:tcW w:w="1614" w:type="pct"/>
            <w:tcBorders>
              <w:top w:val="single" w:sz="4" w:space="0" w:color="auto"/>
              <w:left w:val="single" w:sz="4" w:space="0" w:color="auto"/>
              <w:bottom w:val="single" w:sz="4" w:space="0" w:color="auto"/>
              <w:right w:val="single" w:sz="4" w:space="0" w:color="auto"/>
            </w:tcBorders>
          </w:tcPr>
          <w:p w14:paraId="74D4A91C" w14:textId="77777777" w:rsidR="00637CC2" w:rsidRPr="00A418B1" w:rsidRDefault="00637CC2">
            <w:pPr>
              <w:keepLines/>
              <w:spacing w:before="20" w:after="20" w:line="180" w:lineRule="atLeast"/>
              <w:jc w:val="both"/>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80% of investments, regardless of their objectives, will effectively address gender issues in their implementation</w:t>
            </w:r>
          </w:p>
          <w:p w14:paraId="1D6880D3" w14:textId="77777777" w:rsidR="00637CC2" w:rsidRPr="00A418B1" w:rsidRDefault="00637CC2">
            <w:pPr>
              <w:keepLines/>
              <w:spacing w:before="40" w:after="40" w:line="200" w:lineRule="atLeast"/>
              <w:rPr>
                <w:rFonts w:ascii="Calibri Light" w:eastAsia="Times New Roman" w:hAnsi="Calibri Light" w:cs="Times New Roman"/>
                <w:iCs/>
                <w:color w:val="495965"/>
                <w:szCs w:val="17"/>
              </w:rPr>
            </w:pPr>
          </w:p>
        </w:tc>
        <w:tc>
          <w:tcPr>
            <w:tcW w:w="1036" w:type="pct"/>
            <w:tcBorders>
              <w:top w:val="single" w:sz="4" w:space="0" w:color="auto"/>
              <w:left w:val="single" w:sz="4" w:space="0" w:color="auto"/>
              <w:bottom w:val="single" w:sz="4" w:space="0" w:color="auto"/>
              <w:right w:val="single" w:sz="4" w:space="0" w:color="auto"/>
            </w:tcBorders>
            <w:hideMark/>
          </w:tcPr>
          <w:p w14:paraId="4D22D6A0" w14:textId="77777777" w:rsidR="00637CC2" w:rsidRPr="00A418B1" w:rsidRDefault="00637CC2">
            <w:pPr>
              <w:keepLines/>
              <w:spacing w:before="40" w:after="40" w:line="200" w:lineRule="atLeast"/>
              <w:jc w:val="center"/>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80 percent</w:t>
            </w:r>
          </w:p>
        </w:tc>
        <w:tc>
          <w:tcPr>
            <w:tcW w:w="1037" w:type="pct"/>
            <w:tcBorders>
              <w:top w:val="single" w:sz="4" w:space="0" w:color="auto"/>
              <w:left w:val="single" w:sz="4" w:space="0" w:color="auto"/>
              <w:bottom w:val="single" w:sz="4" w:space="0" w:color="auto"/>
              <w:right w:val="single" w:sz="4" w:space="0" w:color="auto"/>
            </w:tcBorders>
            <w:hideMark/>
          </w:tcPr>
          <w:p w14:paraId="4C9085E6" w14:textId="77777777" w:rsidR="00637CC2" w:rsidRPr="00A418B1" w:rsidRDefault="00637CC2">
            <w:pPr>
              <w:keepLines/>
              <w:spacing w:before="40" w:after="40" w:line="200" w:lineRule="atLeast"/>
              <w:jc w:val="center"/>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80 percent</w:t>
            </w:r>
          </w:p>
        </w:tc>
      </w:tr>
      <w:tr w:rsidR="00637CC2" w14:paraId="12D9A429" w14:textId="77777777" w:rsidTr="00A418B1">
        <w:trPr>
          <w:trHeight w:val="614"/>
        </w:trPr>
        <w:tc>
          <w:tcPr>
            <w:tcW w:w="1313" w:type="pct"/>
            <w:tcBorders>
              <w:top w:val="single" w:sz="4" w:space="0" w:color="auto"/>
              <w:left w:val="single" w:sz="4" w:space="0" w:color="auto"/>
              <w:bottom w:val="single" w:sz="4" w:space="0" w:color="auto"/>
              <w:right w:val="single" w:sz="4" w:space="0" w:color="auto"/>
            </w:tcBorders>
          </w:tcPr>
          <w:p w14:paraId="169F9CC8" w14:textId="77777777" w:rsidR="00637CC2" w:rsidRPr="00A418B1" w:rsidRDefault="00637CC2">
            <w:pPr>
              <w:keepLines/>
              <w:spacing w:before="40" w:after="40" w:line="200" w:lineRule="atLeast"/>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 xml:space="preserve">Improved Human Development </w:t>
            </w:r>
          </w:p>
          <w:p w14:paraId="044E67F2" w14:textId="77777777" w:rsidR="00637CC2" w:rsidRPr="00A418B1" w:rsidRDefault="00637CC2">
            <w:pPr>
              <w:keepLines/>
              <w:spacing w:before="40" w:after="40" w:line="200" w:lineRule="atLeast"/>
              <w:rPr>
                <w:rFonts w:ascii="Calibri Light" w:eastAsia="Times New Roman" w:hAnsi="Calibri Light" w:cs="Times New Roman"/>
                <w:iCs/>
                <w:color w:val="495965"/>
                <w:szCs w:val="17"/>
              </w:rPr>
            </w:pPr>
          </w:p>
        </w:tc>
        <w:tc>
          <w:tcPr>
            <w:tcW w:w="1614" w:type="pct"/>
            <w:tcBorders>
              <w:top w:val="single" w:sz="4" w:space="0" w:color="auto"/>
              <w:left w:val="single" w:sz="4" w:space="0" w:color="auto"/>
              <w:bottom w:val="single" w:sz="4" w:space="0" w:color="auto"/>
              <w:right w:val="single" w:sz="4" w:space="0" w:color="auto"/>
            </w:tcBorders>
          </w:tcPr>
          <w:p w14:paraId="4EF666BC" w14:textId="77777777" w:rsidR="00637CC2" w:rsidRPr="00A418B1" w:rsidRDefault="00637CC2">
            <w:pPr>
              <w:keepLines/>
              <w:spacing w:before="40" w:after="40" w:line="200" w:lineRule="atLeast"/>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80% of investments,  regardless of their objectives, will actively involve people with disabilities and/or Disabled People’s Organisations in planning, implementation and monitoring and evaluation</w:t>
            </w:r>
          </w:p>
          <w:p w14:paraId="5DD0207F" w14:textId="77777777" w:rsidR="00637CC2" w:rsidRPr="00A418B1" w:rsidRDefault="00637CC2">
            <w:pPr>
              <w:keepLines/>
              <w:spacing w:before="40" w:after="40" w:line="200" w:lineRule="atLeast"/>
              <w:rPr>
                <w:rFonts w:ascii="Calibri Light" w:eastAsia="Times New Roman" w:hAnsi="Calibri Light" w:cs="Times New Roman"/>
                <w:iCs/>
                <w:color w:val="495965"/>
                <w:szCs w:val="17"/>
              </w:rPr>
            </w:pPr>
          </w:p>
        </w:tc>
        <w:tc>
          <w:tcPr>
            <w:tcW w:w="1036" w:type="pct"/>
            <w:tcBorders>
              <w:top w:val="single" w:sz="4" w:space="0" w:color="auto"/>
              <w:left w:val="single" w:sz="4" w:space="0" w:color="auto"/>
              <w:bottom w:val="single" w:sz="4" w:space="0" w:color="auto"/>
              <w:right w:val="single" w:sz="4" w:space="0" w:color="auto"/>
            </w:tcBorders>
            <w:hideMark/>
          </w:tcPr>
          <w:p w14:paraId="147B9F0D" w14:textId="77777777" w:rsidR="00637CC2" w:rsidRPr="00A418B1" w:rsidRDefault="00637CC2">
            <w:pPr>
              <w:keepLines/>
              <w:spacing w:before="40" w:after="40" w:line="200" w:lineRule="atLeast"/>
              <w:jc w:val="center"/>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80 percent</w:t>
            </w:r>
          </w:p>
        </w:tc>
        <w:tc>
          <w:tcPr>
            <w:tcW w:w="1037" w:type="pct"/>
            <w:tcBorders>
              <w:top w:val="single" w:sz="4" w:space="0" w:color="auto"/>
              <w:left w:val="single" w:sz="4" w:space="0" w:color="auto"/>
              <w:bottom w:val="single" w:sz="4" w:space="0" w:color="auto"/>
              <w:right w:val="single" w:sz="4" w:space="0" w:color="auto"/>
            </w:tcBorders>
            <w:hideMark/>
          </w:tcPr>
          <w:p w14:paraId="65917350" w14:textId="77777777" w:rsidR="00637CC2" w:rsidRPr="00A418B1" w:rsidRDefault="00637CC2">
            <w:pPr>
              <w:keepLines/>
              <w:spacing w:before="40" w:after="40" w:line="200" w:lineRule="atLeast"/>
              <w:jc w:val="center"/>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80 percent</w:t>
            </w:r>
          </w:p>
        </w:tc>
      </w:tr>
      <w:tr w:rsidR="00637CC2" w14:paraId="4BF1AEA1" w14:textId="77777777" w:rsidTr="00A418B1">
        <w:trPr>
          <w:trHeight w:val="614"/>
        </w:trPr>
        <w:tc>
          <w:tcPr>
            <w:tcW w:w="1313" w:type="pct"/>
            <w:tcBorders>
              <w:top w:val="single" w:sz="4" w:space="0" w:color="auto"/>
              <w:left w:val="single" w:sz="4" w:space="0" w:color="auto"/>
              <w:bottom w:val="single" w:sz="4" w:space="0" w:color="auto"/>
              <w:right w:val="single" w:sz="4" w:space="0" w:color="auto"/>
            </w:tcBorders>
          </w:tcPr>
          <w:p w14:paraId="427B6CF8" w14:textId="77777777" w:rsidR="00637CC2" w:rsidRPr="00A418B1" w:rsidRDefault="00637CC2">
            <w:pPr>
              <w:keepLines/>
              <w:spacing w:before="40" w:after="40" w:line="200" w:lineRule="atLeast"/>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 xml:space="preserve">Improved Human Development </w:t>
            </w:r>
          </w:p>
          <w:p w14:paraId="14104927" w14:textId="77777777" w:rsidR="00637CC2" w:rsidRPr="00A418B1" w:rsidRDefault="00637CC2">
            <w:pPr>
              <w:keepLines/>
              <w:spacing w:before="40" w:after="40" w:line="200" w:lineRule="atLeast"/>
              <w:rPr>
                <w:rFonts w:ascii="Calibri Light" w:eastAsia="Times New Roman" w:hAnsi="Calibri Light" w:cs="Times New Roman"/>
                <w:iCs/>
                <w:color w:val="495965"/>
                <w:szCs w:val="17"/>
              </w:rPr>
            </w:pPr>
          </w:p>
        </w:tc>
        <w:tc>
          <w:tcPr>
            <w:tcW w:w="1614" w:type="pct"/>
            <w:tcBorders>
              <w:top w:val="single" w:sz="4" w:space="0" w:color="auto"/>
              <w:left w:val="single" w:sz="4" w:space="0" w:color="auto"/>
              <w:bottom w:val="single" w:sz="4" w:space="0" w:color="auto"/>
              <w:right w:val="single" w:sz="4" w:space="0" w:color="auto"/>
            </w:tcBorders>
            <w:hideMark/>
          </w:tcPr>
          <w:p w14:paraId="4FD31597" w14:textId="77777777" w:rsidR="00637CC2" w:rsidRPr="00A418B1" w:rsidRDefault="00637CC2">
            <w:pPr>
              <w:keepLines/>
              <w:spacing w:before="40" w:after="40" w:line="200" w:lineRule="atLeast"/>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80% of investments, regardless of their objectives, will identify and address barriers to inclusion for people with disabilities to enable them to benefit equally from the aid investment</w:t>
            </w:r>
          </w:p>
        </w:tc>
        <w:tc>
          <w:tcPr>
            <w:tcW w:w="1036" w:type="pct"/>
            <w:tcBorders>
              <w:top w:val="single" w:sz="4" w:space="0" w:color="auto"/>
              <w:left w:val="single" w:sz="4" w:space="0" w:color="auto"/>
              <w:bottom w:val="single" w:sz="4" w:space="0" w:color="auto"/>
              <w:right w:val="single" w:sz="4" w:space="0" w:color="auto"/>
            </w:tcBorders>
            <w:hideMark/>
          </w:tcPr>
          <w:p w14:paraId="6FF01313" w14:textId="77777777" w:rsidR="00637CC2" w:rsidRPr="00A418B1" w:rsidRDefault="00637CC2">
            <w:pPr>
              <w:keepLines/>
              <w:spacing w:before="40" w:after="40" w:line="200" w:lineRule="atLeast"/>
              <w:jc w:val="center"/>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80 percent</w:t>
            </w:r>
          </w:p>
        </w:tc>
        <w:tc>
          <w:tcPr>
            <w:tcW w:w="1037" w:type="pct"/>
            <w:tcBorders>
              <w:top w:val="single" w:sz="4" w:space="0" w:color="auto"/>
              <w:left w:val="single" w:sz="4" w:space="0" w:color="auto"/>
              <w:bottom w:val="single" w:sz="4" w:space="0" w:color="auto"/>
              <w:right w:val="single" w:sz="4" w:space="0" w:color="auto"/>
            </w:tcBorders>
            <w:hideMark/>
          </w:tcPr>
          <w:p w14:paraId="6818BC35" w14:textId="77777777" w:rsidR="00637CC2" w:rsidRPr="00A418B1" w:rsidRDefault="00637CC2">
            <w:pPr>
              <w:keepLines/>
              <w:spacing w:before="40" w:after="40" w:line="200" w:lineRule="atLeast"/>
              <w:jc w:val="center"/>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80 percent</w:t>
            </w:r>
          </w:p>
        </w:tc>
      </w:tr>
      <w:tr w:rsidR="00637CC2" w14:paraId="5C6486EF" w14:textId="77777777" w:rsidTr="00A418B1">
        <w:trPr>
          <w:trHeight w:val="614"/>
        </w:trPr>
        <w:tc>
          <w:tcPr>
            <w:tcW w:w="1313" w:type="pct"/>
            <w:tcBorders>
              <w:top w:val="single" w:sz="4" w:space="0" w:color="auto"/>
              <w:left w:val="single" w:sz="4" w:space="0" w:color="auto"/>
              <w:bottom w:val="single" w:sz="4" w:space="0" w:color="auto"/>
              <w:right w:val="single" w:sz="4" w:space="0" w:color="auto"/>
            </w:tcBorders>
          </w:tcPr>
          <w:p w14:paraId="11C5337A" w14:textId="77777777" w:rsidR="00637CC2" w:rsidRPr="00A418B1" w:rsidRDefault="00637CC2">
            <w:pPr>
              <w:keepLines/>
              <w:spacing w:before="40" w:after="40" w:line="200" w:lineRule="atLeast"/>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 xml:space="preserve">Improved Human Development </w:t>
            </w:r>
          </w:p>
          <w:p w14:paraId="555492C1" w14:textId="77777777" w:rsidR="00637CC2" w:rsidRPr="00A418B1" w:rsidRDefault="00637CC2">
            <w:pPr>
              <w:keepLines/>
              <w:spacing w:before="40" w:after="40" w:line="200" w:lineRule="atLeast"/>
              <w:rPr>
                <w:rFonts w:ascii="Calibri Light" w:eastAsia="Times New Roman" w:hAnsi="Calibri Light" w:cs="Times New Roman"/>
                <w:iCs/>
                <w:color w:val="495965"/>
                <w:szCs w:val="17"/>
              </w:rPr>
            </w:pPr>
          </w:p>
        </w:tc>
        <w:tc>
          <w:tcPr>
            <w:tcW w:w="1614" w:type="pct"/>
            <w:tcBorders>
              <w:top w:val="single" w:sz="4" w:space="0" w:color="auto"/>
              <w:left w:val="single" w:sz="4" w:space="0" w:color="auto"/>
              <w:bottom w:val="single" w:sz="4" w:space="0" w:color="auto"/>
              <w:right w:val="single" w:sz="4" w:space="0" w:color="auto"/>
            </w:tcBorders>
            <w:hideMark/>
          </w:tcPr>
          <w:p w14:paraId="288EE23D" w14:textId="1467472F" w:rsidR="00637CC2" w:rsidRPr="00A502CF" w:rsidRDefault="00637CC2" w:rsidP="00A502CF">
            <w:pPr>
              <w:keepLines/>
              <w:spacing w:before="40" w:after="40" w:line="200" w:lineRule="atLeast"/>
              <w:rPr>
                <w:szCs w:val="17"/>
              </w:rPr>
            </w:pPr>
            <w:r w:rsidRPr="00A418B1">
              <w:rPr>
                <w:rFonts w:ascii="Calibri Light" w:eastAsia="Times New Roman" w:hAnsi="Calibri Light" w:cs="Times New Roman"/>
                <w:iCs/>
                <w:color w:val="495965"/>
                <w:szCs w:val="17"/>
              </w:rPr>
              <w:t>Climate risks and resilience are assessed and taken into account in all new Australian aid investments and activities in Fiji - including design; implementation arrangements; monitoring, evaluation and reporting frameworks; and risk management.</w:t>
            </w:r>
            <w:r w:rsidRPr="00A418B1">
              <w:rPr>
                <w:rFonts w:ascii="Calibri Light" w:eastAsia="Times New Roman" w:hAnsi="Calibri Light" w:cs="Times New Roman"/>
                <w:iCs/>
                <w:color w:val="495965"/>
                <w:szCs w:val="17"/>
              </w:rPr>
              <w:tab/>
            </w:r>
          </w:p>
        </w:tc>
        <w:tc>
          <w:tcPr>
            <w:tcW w:w="1036" w:type="pct"/>
            <w:tcBorders>
              <w:top w:val="single" w:sz="4" w:space="0" w:color="auto"/>
              <w:left w:val="single" w:sz="4" w:space="0" w:color="auto"/>
              <w:bottom w:val="single" w:sz="4" w:space="0" w:color="auto"/>
              <w:right w:val="single" w:sz="4" w:space="0" w:color="auto"/>
            </w:tcBorders>
            <w:hideMark/>
          </w:tcPr>
          <w:p w14:paraId="0C89F5C3" w14:textId="77777777" w:rsidR="00637CC2" w:rsidRPr="00A418B1" w:rsidRDefault="00637CC2">
            <w:pPr>
              <w:keepLines/>
              <w:spacing w:before="40" w:after="40" w:line="200" w:lineRule="atLeast"/>
              <w:jc w:val="center"/>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 xml:space="preserve">All new activities assess climate risks and resilience </w:t>
            </w:r>
            <w:r w:rsidRPr="00A418B1">
              <w:rPr>
                <w:rFonts w:ascii="Calibri Light" w:eastAsia="Times New Roman" w:hAnsi="Calibri Light" w:cs="Times New Roman"/>
                <w:iCs/>
                <w:color w:val="495965"/>
                <w:szCs w:val="17"/>
              </w:rPr>
              <w:tab/>
            </w:r>
            <w:r w:rsidRPr="00A418B1">
              <w:rPr>
                <w:rFonts w:ascii="Calibri Light" w:eastAsia="Times New Roman" w:hAnsi="Calibri Light" w:cs="Times New Roman"/>
                <w:iCs/>
                <w:color w:val="495965"/>
                <w:szCs w:val="17"/>
              </w:rPr>
              <w:tab/>
            </w:r>
          </w:p>
        </w:tc>
        <w:tc>
          <w:tcPr>
            <w:tcW w:w="1037" w:type="pct"/>
            <w:tcBorders>
              <w:top w:val="single" w:sz="4" w:space="0" w:color="auto"/>
              <w:left w:val="single" w:sz="4" w:space="0" w:color="auto"/>
              <w:bottom w:val="single" w:sz="4" w:space="0" w:color="auto"/>
              <w:right w:val="single" w:sz="4" w:space="0" w:color="auto"/>
            </w:tcBorders>
            <w:hideMark/>
          </w:tcPr>
          <w:p w14:paraId="23A5E4C7" w14:textId="77777777" w:rsidR="00637CC2" w:rsidRPr="00A418B1" w:rsidRDefault="00637CC2">
            <w:pPr>
              <w:keepLines/>
              <w:spacing w:before="40" w:after="40" w:line="200" w:lineRule="atLeast"/>
              <w:jc w:val="center"/>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All new activities assess climate risks and resilience</w:t>
            </w:r>
          </w:p>
        </w:tc>
      </w:tr>
      <w:tr w:rsidR="00637CC2" w14:paraId="506C0790" w14:textId="77777777" w:rsidTr="00A418B1">
        <w:trPr>
          <w:trHeight w:val="614"/>
        </w:trPr>
        <w:tc>
          <w:tcPr>
            <w:tcW w:w="1313" w:type="pct"/>
            <w:tcBorders>
              <w:top w:val="single" w:sz="4" w:space="0" w:color="auto"/>
              <w:left w:val="single" w:sz="4" w:space="0" w:color="auto"/>
              <w:bottom w:val="single" w:sz="4" w:space="0" w:color="auto"/>
              <w:right w:val="single" w:sz="4" w:space="0" w:color="auto"/>
            </w:tcBorders>
            <w:hideMark/>
          </w:tcPr>
          <w:p w14:paraId="17996F12" w14:textId="77777777" w:rsidR="00637CC2" w:rsidRPr="00A418B1" w:rsidRDefault="00637CC2">
            <w:pPr>
              <w:keepLines/>
              <w:spacing w:before="40" w:after="40" w:line="200" w:lineRule="atLeast"/>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Improved Human Development</w:t>
            </w:r>
          </w:p>
        </w:tc>
        <w:tc>
          <w:tcPr>
            <w:tcW w:w="1614" w:type="pct"/>
            <w:tcBorders>
              <w:top w:val="single" w:sz="4" w:space="0" w:color="auto"/>
              <w:left w:val="single" w:sz="4" w:space="0" w:color="auto"/>
              <w:bottom w:val="single" w:sz="4" w:space="0" w:color="auto"/>
              <w:right w:val="single" w:sz="4" w:space="0" w:color="auto"/>
            </w:tcBorders>
            <w:hideMark/>
          </w:tcPr>
          <w:p w14:paraId="7446BCC2" w14:textId="77777777" w:rsidR="00637CC2" w:rsidRPr="00A418B1" w:rsidRDefault="00637CC2">
            <w:pPr>
              <w:keepLines/>
              <w:spacing w:before="40" w:after="40" w:line="200" w:lineRule="atLeast"/>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Number of maternal deaths (Total in Fiji)</w:t>
            </w:r>
          </w:p>
        </w:tc>
        <w:tc>
          <w:tcPr>
            <w:tcW w:w="1036" w:type="pct"/>
            <w:tcBorders>
              <w:top w:val="single" w:sz="4" w:space="0" w:color="auto"/>
              <w:left w:val="single" w:sz="4" w:space="0" w:color="auto"/>
              <w:bottom w:val="single" w:sz="4" w:space="0" w:color="auto"/>
              <w:right w:val="single" w:sz="4" w:space="0" w:color="auto"/>
            </w:tcBorders>
            <w:hideMark/>
          </w:tcPr>
          <w:p w14:paraId="58C459A8" w14:textId="77777777" w:rsidR="00637CC2" w:rsidRPr="00A418B1" w:rsidRDefault="00637CC2" w:rsidP="00A418B1">
            <w:pPr>
              <w:keepLines/>
              <w:spacing w:before="40" w:after="40" w:line="200" w:lineRule="atLeast"/>
              <w:jc w:val="center"/>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Less than 8 annually</w:t>
            </w:r>
          </w:p>
        </w:tc>
        <w:tc>
          <w:tcPr>
            <w:tcW w:w="1037" w:type="pct"/>
            <w:tcBorders>
              <w:top w:val="single" w:sz="4" w:space="0" w:color="auto"/>
              <w:left w:val="single" w:sz="4" w:space="0" w:color="auto"/>
              <w:bottom w:val="single" w:sz="4" w:space="0" w:color="auto"/>
              <w:right w:val="single" w:sz="4" w:space="0" w:color="auto"/>
            </w:tcBorders>
            <w:hideMark/>
          </w:tcPr>
          <w:p w14:paraId="7FB0738B" w14:textId="77777777" w:rsidR="00637CC2" w:rsidRPr="00A502CF" w:rsidRDefault="00637CC2" w:rsidP="00A418B1">
            <w:pPr>
              <w:spacing w:before="40" w:after="40" w:line="200" w:lineRule="atLeast"/>
              <w:jc w:val="center"/>
              <w:rPr>
                <w:szCs w:val="17"/>
              </w:rPr>
            </w:pPr>
            <w:r w:rsidRPr="00A418B1">
              <w:rPr>
                <w:rFonts w:ascii="Calibri Light" w:eastAsia="Times New Roman" w:hAnsi="Calibri Light" w:cs="Times New Roman"/>
                <w:iCs/>
                <w:color w:val="495965"/>
                <w:szCs w:val="17"/>
              </w:rPr>
              <w:t>Less than 8 annually</w:t>
            </w:r>
          </w:p>
        </w:tc>
      </w:tr>
      <w:tr w:rsidR="00637CC2" w14:paraId="03D4DC19" w14:textId="77777777" w:rsidTr="00A418B1">
        <w:trPr>
          <w:trHeight w:val="614"/>
        </w:trPr>
        <w:tc>
          <w:tcPr>
            <w:tcW w:w="1313" w:type="pct"/>
            <w:tcBorders>
              <w:top w:val="single" w:sz="4" w:space="0" w:color="auto"/>
              <w:left w:val="single" w:sz="4" w:space="0" w:color="auto"/>
              <w:bottom w:val="single" w:sz="4" w:space="0" w:color="auto"/>
              <w:right w:val="single" w:sz="4" w:space="0" w:color="auto"/>
            </w:tcBorders>
          </w:tcPr>
          <w:p w14:paraId="5B6AFEC5" w14:textId="093F0D6E" w:rsidR="00637CC2" w:rsidRPr="00A502CF" w:rsidRDefault="00915E32">
            <w:pPr>
              <w:spacing w:before="40" w:after="40" w:line="200" w:lineRule="atLeast"/>
              <w:rPr>
                <w:szCs w:val="17"/>
              </w:rPr>
            </w:pPr>
            <w:r w:rsidRPr="00A418B1">
              <w:rPr>
                <w:rFonts w:ascii="Calibri Light" w:eastAsia="Times New Roman" w:hAnsi="Calibri Light" w:cs="Times New Roman"/>
                <w:iCs/>
                <w:color w:val="495965"/>
                <w:szCs w:val="17"/>
              </w:rPr>
              <w:t>Improved Human Development</w:t>
            </w:r>
          </w:p>
        </w:tc>
        <w:tc>
          <w:tcPr>
            <w:tcW w:w="1614" w:type="pct"/>
            <w:tcBorders>
              <w:top w:val="single" w:sz="4" w:space="0" w:color="auto"/>
              <w:left w:val="single" w:sz="4" w:space="0" w:color="auto"/>
              <w:bottom w:val="single" w:sz="4" w:space="0" w:color="auto"/>
              <w:right w:val="single" w:sz="4" w:space="0" w:color="auto"/>
            </w:tcBorders>
            <w:hideMark/>
          </w:tcPr>
          <w:p w14:paraId="32BCB524" w14:textId="77777777" w:rsidR="00637CC2" w:rsidRPr="00A418B1" w:rsidRDefault="00637CC2">
            <w:pPr>
              <w:keepLines/>
              <w:spacing w:before="40" w:after="40" w:line="200" w:lineRule="atLeast"/>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 xml:space="preserve">Number of deaths per 1000 live births </w:t>
            </w:r>
          </w:p>
        </w:tc>
        <w:tc>
          <w:tcPr>
            <w:tcW w:w="1036" w:type="pct"/>
            <w:tcBorders>
              <w:top w:val="single" w:sz="4" w:space="0" w:color="auto"/>
              <w:left w:val="single" w:sz="4" w:space="0" w:color="auto"/>
              <w:bottom w:val="single" w:sz="4" w:space="0" w:color="auto"/>
              <w:right w:val="single" w:sz="4" w:space="0" w:color="auto"/>
            </w:tcBorders>
            <w:hideMark/>
          </w:tcPr>
          <w:p w14:paraId="0C7DFD4C" w14:textId="77777777" w:rsidR="00637CC2" w:rsidRPr="00A418B1" w:rsidRDefault="00637CC2">
            <w:pPr>
              <w:keepLines/>
              <w:spacing w:before="40" w:after="40" w:line="200" w:lineRule="atLeast"/>
              <w:jc w:val="center"/>
              <w:rPr>
                <w:rFonts w:ascii="Calibri Light" w:eastAsia="Times New Roman" w:hAnsi="Calibri Light" w:cs="Times New Roman"/>
                <w:iCs/>
                <w:color w:val="495965"/>
                <w:szCs w:val="17"/>
              </w:rPr>
            </w:pPr>
            <w:r w:rsidRPr="00A418B1">
              <w:rPr>
                <w:rFonts w:ascii="Calibri Light" w:eastAsia="Times New Roman" w:hAnsi="Calibri Light" w:cs="Times New Roman"/>
                <w:iCs/>
                <w:color w:val="495965"/>
                <w:szCs w:val="17"/>
              </w:rPr>
              <w:t xml:space="preserve">Equal to or less than 8 annually </w:t>
            </w:r>
          </w:p>
        </w:tc>
        <w:tc>
          <w:tcPr>
            <w:tcW w:w="1037" w:type="pct"/>
            <w:tcBorders>
              <w:top w:val="single" w:sz="4" w:space="0" w:color="auto"/>
              <w:left w:val="single" w:sz="4" w:space="0" w:color="auto"/>
              <w:bottom w:val="single" w:sz="4" w:space="0" w:color="auto"/>
              <w:right w:val="single" w:sz="4" w:space="0" w:color="auto"/>
            </w:tcBorders>
            <w:hideMark/>
          </w:tcPr>
          <w:p w14:paraId="586B1091" w14:textId="77777777" w:rsidR="00637CC2" w:rsidRPr="00A502CF" w:rsidRDefault="00637CC2">
            <w:pPr>
              <w:spacing w:before="40" w:after="40" w:line="200" w:lineRule="atLeast"/>
              <w:rPr>
                <w:szCs w:val="17"/>
              </w:rPr>
            </w:pPr>
            <w:r w:rsidRPr="00A418B1">
              <w:rPr>
                <w:rFonts w:ascii="Calibri Light" w:eastAsia="Times New Roman" w:hAnsi="Calibri Light" w:cs="Times New Roman"/>
                <w:iCs/>
                <w:color w:val="495965"/>
                <w:szCs w:val="17"/>
              </w:rPr>
              <w:t xml:space="preserve">Equal to or less than 8 annually </w:t>
            </w:r>
          </w:p>
        </w:tc>
      </w:tr>
    </w:tbl>
    <w:p w14:paraId="180C58A4" w14:textId="77777777" w:rsidR="00076EDF" w:rsidRDefault="00076EDF" w:rsidP="00076EDF">
      <w:pPr>
        <w:spacing w:before="20" w:after="20" w:line="180" w:lineRule="atLeast"/>
        <w:jc w:val="both"/>
      </w:pPr>
    </w:p>
    <w:p w14:paraId="2CB14FD7" w14:textId="77777777" w:rsidR="00076EDF" w:rsidRDefault="00076EDF" w:rsidP="00076EDF">
      <w:pPr>
        <w:spacing w:before="20" w:after="20" w:line="180" w:lineRule="atLeast"/>
        <w:jc w:val="both"/>
      </w:pPr>
    </w:p>
    <w:p w14:paraId="2950B0CA" w14:textId="77777777" w:rsidR="00076EDF" w:rsidRDefault="00076EDF" w:rsidP="00076EDF">
      <w:pPr>
        <w:spacing w:before="20" w:after="20" w:line="180" w:lineRule="atLeast"/>
        <w:jc w:val="both"/>
      </w:pPr>
    </w:p>
    <w:p w14:paraId="28CBB35D" w14:textId="77777777" w:rsidR="00076EDF" w:rsidRDefault="00076EDF" w:rsidP="00076EDF">
      <w:pPr>
        <w:keepNext/>
        <w:keepLines/>
        <w:spacing w:before="60" w:after="300" w:line="380" w:lineRule="exact"/>
        <w:contextualSpacing/>
        <w:outlineLvl w:val="0"/>
        <w:rPr>
          <w:rFonts w:ascii="Calibri Light" w:hAnsi="Calibri Light"/>
          <w:color w:val="495965"/>
        </w:rPr>
      </w:pPr>
      <w:r>
        <w:rPr>
          <w:rFonts w:ascii="Calibri Light" w:hAnsi="Calibri Light"/>
          <w:caps/>
          <w:color w:val="495965"/>
          <w:spacing w:val="-10"/>
          <w:kern w:val="28"/>
          <w:sz w:val="38"/>
        </w:rPr>
        <w:t>Annex C - Evaluation Planning</w:t>
      </w:r>
    </w:p>
    <w:p w14:paraId="1C655000" w14:textId="77777777" w:rsidR="00A418B1" w:rsidRDefault="00A418B1" w:rsidP="00076EDF">
      <w:pPr>
        <w:rPr>
          <w:rFonts w:ascii="Calibri Light" w:hAnsi="Calibri Light"/>
          <w:b/>
          <w:color w:val="495965"/>
          <w:sz w:val="24"/>
        </w:rPr>
      </w:pPr>
    </w:p>
    <w:p w14:paraId="29ACBA13" w14:textId="29CF9A75" w:rsidR="00076EDF" w:rsidRDefault="00076EDF" w:rsidP="00076EDF">
      <w:pPr>
        <w:rPr>
          <w:rFonts w:ascii="Calibri Light" w:hAnsi="Calibri Light"/>
          <w:b/>
          <w:color w:val="495965"/>
          <w:sz w:val="24"/>
        </w:rPr>
      </w:pPr>
      <w:r>
        <w:rPr>
          <w:rFonts w:ascii="Calibri Light" w:hAnsi="Calibri Light"/>
          <w:b/>
          <w:color w:val="495965"/>
          <w:sz w:val="24"/>
        </w:rPr>
        <w:t xml:space="preserve">List of evaluations completed in the reporting period </w:t>
      </w:r>
    </w:p>
    <w:tbl>
      <w:tblPr>
        <w:tblStyle w:val="APPR1"/>
        <w:tblW w:w="14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4686"/>
        <w:gridCol w:w="1424"/>
        <w:gridCol w:w="1981"/>
        <w:gridCol w:w="1699"/>
        <w:gridCol w:w="1557"/>
      </w:tblGrid>
      <w:tr w:rsidR="00076EDF" w14:paraId="3626C7E7" w14:textId="77777777" w:rsidTr="00A418B1">
        <w:trPr>
          <w:cnfStyle w:val="100000000000" w:firstRow="1" w:lastRow="0" w:firstColumn="0" w:lastColumn="0" w:oddVBand="0" w:evenVBand="0" w:oddHBand="0" w:evenHBand="0" w:firstRowFirstColumn="0" w:firstRowLastColumn="0" w:lastRowFirstColumn="0" w:lastRowLastColumn="0"/>
        </w:trPr>
        <w:tc>
          <w:tcPr>
            <w:tcW w:w="3064" w:type="dxa"/>
            <w:tcBorders>
              <w:left w:val="single" w:sz="4" w:space="0" w:color="auto"/>
              <w:right w:val="single" w:sz="4" w:space="0" w:color="auto"/>
            </w:tcBorders>
            <w:hideMark/>
          </w:tcPr>
          <w:p w14:paraId="626B22B9" w14:textId="77777777" w:rsidR="00076EDF" w:rsidRDefault="00076EDF">
            <w:pPr>
              <w:keepLines/>
              <w:spacing w:line="200" w:lineRule="atLeast"/>
              <w:rPr>
                <w:rFonts w:ascii="Calibri Light" w:hAnsi="Calibri Light"/>
                <w:color w:val="495965"/>
              </w:rPr>
            </w:pPr>
            <w:r>
              <w:rPr>
                <w:rFonts w:ascii="Calibri Light" w:hAnsi="Calibri Light"/>
                <w:color w:val="495965"/>
              </w:rPr>
              <w:t xml:space="preserve">Investment number and name </w:t>
            </w:r>
          </w:p>
          <w:p w14:paraId="431FF969" w14:textId="77777777" w:rsidR="00076EDF" w:rsidRDefault="00076EDF">
            <w:pPr>
              <w:keepLines/>
              <w:spacing w:line="200" w:lineRule="atLeast"/>
              <w:rPr>
                <w:rFonts w:ascii="Calibri Light" w:hAnsi="Calibri Light"/>
                <w:color w:val="495965"/>
              </w:rPr>
            </w:pPr>
          </w:p>
        </w:tc>
        <w:tc>
          <w:tcPr>
            <w:tcW w:w="4658" w:type="dxa"/>
            <w:tcBorders>
              <w:left w:val="single" w:sz="4" w:space="0" w:color="auto"/>
              <w:right w:val="single" w:sz="4" w:space="0" w:color="auto"/>
            </w:tcBorders>
            <w:hideMark/>
          </w:tcPr>
          <w:p w14:paraId="3CB001B1" w14:textId="77777777" w:rsidR="00076EDF" w:rsidRDefault="00076EDF">
            <w:pPr>
              <w:keepLines/>
              <w:spacing w:line="200" w:lineRule="atLeast"/>
              <w:rPr>
                <w:rFonts w:ascii="Calibri Light" w:hAnsi="Calibri Light"/>
                <w:color w:val="495965"/>
              </w:rPr>
            </w:pPr>
            <w:r>
              <w:rPr>
                <w:rFonts w:ascii="Calibri Light" w:hAnsi="Calibri Light"/>
                <w:color w:val="495965"/>
              </w:rPr>
              <w:t>Name of evaluation</w:t>
            </w:r>
          </w:p>
        </w:tc>
        <w:tc>
          <w:tcPr>
            <w:tcW w:w="1396" w:type="dxa"/>
            <w:tcBorders>
              <w:left w:val="single" w:sz="4" w:space="0" w:color="auto"/>
              <w:right w:val="single" w:sz="4" w:space="0" w:color="auto"/>
            </w:tcBorders>
            <w:hideMark/>
          </w:tcPr>
          <w:p w14:paraId="473DC741" w14:textId="77777777" w:rsidR="00076EDF" w:rsidRDefault="00076EDF">
            <w:pPr>
              <w:keepLines/>
              <w:spacing w:line="200" w:lineRule="atLeast"/>
              <w:rPr>
                <w:rFonts w:ascii="Calibri Light" w:hAnsi="Calibri Light"/>
                <w:color w:val="495965"/>
              </w:rPr>
            </w:pPr>
            <w:r>
              <w:rPr>
                <w:rFonts w:ascii="Calibri Light" w:hAnsi="Calibri Light"/>
                <w:color w:val="495965"/>
              </w:rPr>
              <w:t>Date completed</w:t>
            </w:r>
          </w:p>
        </w:tc>
        <w:tc>
          <w:tcPr>
            <w:tcW w:w="1953" w:type="dxa"/>
            <w:tcBorders>
              <w:left w:val="single" w:sz="4" w:space="0" w:color="auto"/>
              <w:right w:val="single" w:sz="4" w:space="0" w:color="auto"/>
            </w:tcBorders>
            <w:hideMark/>
          </w:tcPr>
          <w:p w14:paraId="2811EE4B" w14:textId="77777777" w:rsidR="00076EDF" w:rsidRDefault="00076EDF">
            <w:pPr>
              <w:keepLines/>
              <w:spacing w:line="200" w:lineRule="atLeast"/>
              <w:rPr>
                <w:rFonts w:ascii="Calibri Light" w:hAnsi="Calibri Light"/>
                <w:color w:val="495965"/>
              </w:rPr>
            </w:pPr>
            <w:r>
              <w:rPr>
                <w:rFonts w:ascii="Calibri Light" w:hAnsi="Calibri Light"/>
                <w:color w:val="495965"/>
              </w:rPr>
              <w:t>Date Evaluation report Uploaded into AidWorks</w:t>
            </w:r>
          </w:p>
        </w:tc>
        <w:tc>
          <w:tcPr>
            <w:tcW w:w="1671" w:type="dxa"/>
            <w:tcBorders>
              <w:left w:val="single" w:sz="4" w:space="0" w:color="auto"/>
              <w:right w:val="single" w:sz="4" w:space="0" w:color="auto"/>
            </w:tcBorders>
            <w:hideMark/>
          </w:tcPr>
          <w:p w14:paraId="52EF7961" w14:textId="77777777" w:rsidR="00076EDF" w:rsidRDefault="00076EDF">
            <w:pPr>
              <w:keepLines/>
              <w:spacing w:line="200" w:lineRule="atLeast"/>
              <w:rPr>
                <w:rFonts w:ascii="Calibri Light" w:hAnsi="Calibri Light"/>
                <w:color w:val="495965"/>
              </w:rPr>
            </w:pPr>
            <w:r>
              <w:rPr>
                <w:rFonts w:ascii="Calibri Light" w:hAnsi="Calibri Light"/>
                <w:color w:val="495965"/>
              </w:rPr>
              <w:t>Date Management response uploaded into AidWorks</w:t>
            </w:r>
          </w:p>
        </w:tc>
        <w:tc>
          <w:tcPr>
            <w:tcW w:w="1515" w:type="dxa"/>
            <w:tcBorders>
              <w:left w:val="single" w:sz="4" w:space="0" w:color="auto"/>
              <w:right w:val="single" w:sz="4" w:space="0" w:color="auto"/>
            </w:tcBorders>
            <w:hideMark/>
          </w:tcPr>
          <w:p w14:paraId="481058AD" w14:textId="77777777" w:rsidR="00076EDF" w:rsidRDefault="00076EDF">
            <w:pPr>
              <w:keepLines/>
              <w:spacing w:line="200" w:lineRule="atLeast"/>
              <w:rPr>
                <w:rFonts w:ascii="Calibri Light" w:hAnsi="Calibri Light"/>
                <w:color w:val="495965"/>
              </w:rPr>
            </w:pPr>
            <w:r>
              <w:rPr>
                <w:rFonts w:ascii="Calibri Light" w:hAnsi="Calibri Light"/>
                <w:color w:val="495965"/>
              </w:rPr>
              <w:t>Published on website</w:t>
            </w:r>
          </w:p>
        </w:tc>
      </w:tr>
      <w:tr w:rsidR="00076EDF" w14:paraId="587E3762" w14:textId="77777777" w:rsidTr="00A418B1">
        <w:trPr>
          <w:cnfStyle w:val="100000000000" w:firstRow="1" w:lastRow="0" w:firstColumn="0" w:lastColumn="0" w:oddVBand="0" w:evenVBand="0" w:oddHBand="0" w:evenHBand="0" w:firstRowFirstColumn="0" w:firstRowLastColumn="0" w:lastRowFirstColumn="0" w:lastRowLastColumn="0"/>
        </w:trPr>
        <w:tc>
          <w:tcPr>
            <w:tcW w:w="3064" w:type="dxa"/>
            <w:tcBorders>
              <w:top w:val="single" w:sz="4" w:space="0" w:color="auto"/>
              <w:left w:val="single" w:sz="4" w:space="0" w:color="auto"/>
              <w:right w:val="single" w:sz="4" w:space="0" w:color="auto"/>
            </w:tcBorders>
            <w:hideMark/>
          </w:tcPr>
          <w:p w14:paraId="08CFC7B5" w14:textId="77777777" w:rsidR="00076EDF" w:rsidRDefault="00076EDF">
            <w:pPr>
              <w:keepLines/>
              <w:spacing w:before="40" w:after="40" w:line="200" w:lineRule="atLeast"/>
              <w:rPr>
                <w:rFonts w:ascii="Calibri Light" w:eastAsia="Times New Roman" w:hAnsi="Calibri Light" w:cs="Times New Roman"/>
                <w:b w:val="0"/>
                <w:iCs/>
                <w:color w:val="495965"/>
                <w:szCs w:val="17"/>
              </w:rPr>
            </w:pPr>
            <w:r>
              <w:rPr>
                <w:rFonts w:ascii="Calibri Light" w:eastAsia="Times New Roman" w:hAnsi="Calibri Light" w:cs="Times New Roman"/>
                <w:b w:val="0"/>
                <w:iCs/>
                <w:color w:val="495965"/>
                <w:szCs w:val="17"/>
              </w:rPr>
              <w:t>INI898 Pacific Financial Inclusion Program</w:t>
            </w:r>
          </w:p>
        </w:tc>
        <w:tc>
          <w:tcPr>
            <w:tcW w:w="4658" w:type="dxa"/>
            <w:tcBorders>
              <w:top w:val="single" w:sz="4" w:space="0" w:color="auto"/>
              <w:left w:val="single" w:sz="4" w:space="0" w:color="auto"/>
              <w:right w:val="single" w:sz="4" w:space="0" w:color="auto"/>
            </w:tcBorders>
            <w:hideMark/>
          </w:tcPr>
          <w:p w14:paraId="262D159D" w14:textId="77777777" w:rsidR="00076EDF" w:rsidRDefault="00076EDF">
            <w:pPr>
              <w:keepLines/>
              <w:spacing w:before="40" w:after="40" w:line="200" w:lineRule="atLeast"/>
              <w:rPr>
                <w:rFonts w:ascii="Calibri Light" w:eastAsia="Times New Roman" w:hAnsi="Calibri Light" w:cs="Times New Roman"/>
                <w:b w:val="0"/>
                <w:iCs/>
                <w:color w:val="495965"/>
                <w:szCs w:val="17"/>
              </w:rPr>
            </w:pPr>
            <w:r>
              <w:rPr>
                <w:rFonts w:ascii="Calibri Light" w:eastAsia="Times New Roman" w:hAnsi="Calibri Light" w:cs="Times New Roman"/>
                <w:b w:val="0"/>
                <w:iCs/>
                <w:color w:val="495965"/>
                <w:szCs w:val="17"/>
              </w:rPr>
              <w:t>Mid-Term Review</w:t>
            </w:r>
          </w:p>
        </w:tc>
        <w:tc>
          <w:tcPr>
            <w:tcW w:w="1396" w:type="dxa"/>
            <w:tcBorders>
              <w:top w:val="single" w:sz="4" w:space="0" w:color="auto"/>
              <w:left w:val="single" w:sz="4" w:space="0" w:color="auto"/>
              <w:right w:val="single" w:sz="4" w:space="0" w:color="auto"/>
            </w:tcBorders>
            <w:hideMark/>
          </w:tcPr>
          <w:p w14:paraId="2AA2FDFB" w14:textId="77777777" w:rsidR="00076EDF" w:rsidRDefault="00076EDF">
            <w:pPr>
              <w:keepLines/>
              <w:spacing w:before="40" w:after="40" w:line="200" w:lineRule="atLeast"/>
              <w:rPr>
                <w:rFonts w:ascii="Calibri Light" w:eastAsia="Times New Roman" w:hAnsi="Calibri Light" w:cs="Times New Roman"/>
                <w:b w:val="0"/>
                <w:iCs/>
                <w:color w:val="495965"/>
                <w:szCs w:val="17"/>
              </w:rPr>
            </w:pPr>
            <w:r>
              <w:rPr>
                <w:rFonts w:ascii="Calibri Light" w:eastAsia="Times New Roman" w:hAnsi="Calibri Light" w:cs="Times New Roman"/>
                <w:b w:val="0"/>
                <w:iCs/>
                <w:color w:val="495965"/>
                <w:szCs w:val="17"/>
              </w:rPr>
              <w:t>December 2016</w:t>
            </w:r>
          </w:p>
        </w:tc>
        <w:tc>
          <w:tcPr>
            <w:tcW w:w="1953" w:type="dxa"/>
            <w:tcBorders>
              <w:top w:val="single" w:sz="4" w:space="0" w:color="auto"/>
              <w:left w:val="single" w:sz="4" w:space="0" w:color="auto"/>
              <w:right w:val="single" w:sz="4" w:space="0" w:color="auto"/>
            </w:tcBorders>
            <w:hideMark/>
          </w:tcPr>
          <w:p w14:paraId="49F646C6" w14:textId="77777777" w:rsidR="00076EDF" w:rsidRDefault="00076EDF">
            <w:pPr>
              <w:keepLines/>
              <w:spacing w:before="40" w:after="40" w:line="200" w:lineRule="atLeast"/>
              <w:rPr>
                <w:rFonts w:ascii="Calibri Light" w:eastAsia="Times New Roman" w:hAnsi="Calibri Light" w:cs="Times New Roman"/>
                <w:b w:val="0"/>
                <w:iCs/>
                <w:color w:val="495965"/>
                <w:szCs w:val="17"/>
              </w:rPr>
            </w:pPr>
            <w:r>
              <w:rPr>
                <w:rFonts w:ascii="Calibri Light" w:eastAsia="Times New Roman" w:hAnsi="Calibri Light" w:cs="Times New Roman"/>
                <w:b w:val="0"/>
                <w:iCs/>
                <w:color w:val="495965"/>
                <w:szCs w:val="17"/>
              </w:rPr>
              <w:t>In progress</w:t>
            </w:r>
          </w:p>
        </w:tc>
        <w:tc>
          <w:tcPr>
            <w:tcW w:w="1671" w:type="dxa"/>
            <w:tcBorders>
              <w:top w:val="single" w:sz="4" w:space="0" w:color="auto"/>
              <w:left w:val="single" w:sz="4" w:space="0" w:color="auto"/>
              <w:right w:val="single" w:sz="4" w:space="0" w:color="auto"/>
            </w:tcBorders>
            <w:hideMark/>
          </w:tcPr>
          <w:p w14:paraId="0805E370" w14:textId="77777777" w:rsidR="00076EDF" w:rsidRDefault="00076EDF">
            <w:pPr>
              <w:keepLines/>
              <w:spacing w:before="40" w:after="40" w:line="200" w:lineRule="atLeast"/>
              <w:rPr>
                <w:rFonts w:ascii="Calibri Light" w:eastAsia="Times New Roman" w:hAnsi="Calibri Light" w:cs="Times New Roman"/>
                <w:b w:val="0"/>
                <w:iCs/>
                <w:color w:val="495965"/>
                <w:szCs w:val="17"/>
              </w:rPr>
            </w:pPr>
            <w:r>
              <w:rPr>
                <w:rFonts w:ascii="Calibri Light" w:eastAsia="Times New Roman" w:hAnsi="Calibri Light" w:cs="Times New Roman"/>
                <w:b w:val="0"/>
                <w:iCs/>
                <w:color w:val="495965"/>
                <w:szCs w:val="17"/>
              </w:rPr>
              <w:t>In progress</w:t>
            </w:r>
          </w:p>
        </w:tc>
        <w:tc>
          <w:tcPr>
            <w:tcW w:w="1515" w:type="dxa"/>
            <w:tcBorders>
              <w:top w:val="single" w:sz="4" w:space="0" w:color="auto"/>
              <w:left w:val="single" w:sz="4" w:space="0" w:color="auto"/>
              <w:right w:val="single" w:sz="4" w:space="0" w:color="auto"/>
            </w:tcBorders>
            <w:hideMark/>
          </w:tcPr>
          <w:p w14:paraId="64F2FA6E" w14:textId="77777777" w:rsidR="00076EDF" w:rsidRDefault="00076EDF">
            <w:pPr>
              <w:keepLines/>
              <w:spacing w:before="40" w:after="40" w:line="200" w:lineRule="atLeast"/>
              <w:rPr>
                <w:rFonts w:ascii="Calibri Light" w:eastAsia="Times New Roman" w:hAnsi="Calibri Light" w:cs="Times New Roman"/>
                <w:b w:val="0"/>
                <w:iCs/>
                <w:color w:val="495965"/>
                <w:szCs w:val="17"/>
              </w:rPr>
            </w:pPr>
            <w:r>
              <w:rPr>
                <w:rFonts w:ascii="Calibri Light" w:eastAsia="Times New Roman" w:hAnsi="Calibri Light" w:cs="Times New Roman"/>
                <w:b w:val="0"/>
                <w:iCs/>
                <w:color w:val="495965"/>
                <w:szCs w:val="17"/>
              </w:rPr>
              <w:t>In progress</w:t>
            </w:r>
          </w:p>
        </w:tc>
      </w:tr>
      <w:tr w:rsidR="00076EDF" w14:paraId="496F0B99" w14:textId="77777777" w:rsidTr="00A418B1">
        <w:trPr>
          <w:cnfStyle w:val="100000000000" w:firstRow="1" w:lastRow="0" w:firstColumn="0" w:lastColumn="0" w:oddVBand="0" w:evenVBand="0" w:oddHBand="0" w:evenHBand="0" w:firstRowFirstColumn="0" w:firstRowLastColumn="0" w:lastRowFirstColumn="0" w:lastRowLastColumn="0"/>
        </w:trPr>
        <w:tc>
          <w:tcPr>
            <w:tcW w:w="3064" w:type="dxa"/>
            <w:tcBorders>
              <w:top w:val="single" w:sz="4" w:space="0" w:color="auto"/>
              <w:left w:val="single" w:sz="4" w:space="0" w:color="auto"/>
              <w:right w:val="single" w:sz="4" w:space="0" w:color="auto"/>
            </w:tcBorders>
            <w:hideMark/>
          </w:tcPr>
          <w:p w14:paraId="7D1F9A3E" w14:textId="59228F18" w:rsidR="00076EDF" w:rsidRPr="00A418B1" w:rsidRDefault="00076EDF">
            <w:pPr>
              <w:spacing w:before="40" w:after="40" w:line="200" w:lineRule="atLeast"/>
              <w:rPr>
                <w:rFonts w:asciiTheme="minorHAnsi" w:hAnsiTheme="minorHAnsi"/>
                <w:b w:val="0"/>
                <w:color w:val="495965"/>
              </w:rPr>
            </w:pPr>
            <w:r w:rsidRPr="00A418B1">
              <w:rPr>
                <w:rFonts w:asciiTheme="minorHAnsi" w:eastAsia="Calibri Light" w:hAnsiTheme="minorHAnsi" w:cs="Times New Roman"/>
                <w:b w:val="0"/>
                <w:color w:val="495965"/>
                <w:szCs w:val="17"/>
              </w:rPr>
              <w:t>INL339 Institutional Partnerships Program</w:t>
            </w:r>
          </w:p>
        </w:tc>
        <w:tc>
          <w:tcPr>
            <w:tcW w:w="4658" w:type="dxa"/>
            <w:tcBorders>
              <w:top w:val="single" w:sz="4" w:space="0" w:color="auto"/>
              <w:left w:val="single" w:sz="4" w:space="0" w:color="auto"/>
              <w:right w:val="single" w:sz="4" w:space="0" w:color="auto"/>
            </w:tcBorders>
            <w:hideMark/>
          </w:tcPr>
          <w:p w14:paraId="406D2F17" w14:textId="77777777" w:rsidR="00076EDF" w:rsidRPr="00A418B1" w:rsidRDefault="00076EDF">
            <w:pPr>
              <w:spacing w:before="40" w:after="40" w:line="200" w:lineRule="atLeast"/>
              <w:rPr>
                <w:rFonts w:asciiTheme="minorHAnsi" w:eastAsia="Calibri Light" w:hAnsiTheme="minorHAnsi" w:cs="Times New Roman"/>
                <w:b w:val="0"/>
                <w:color w:val="495965"/>
                <w:szCs w:val="17"/>
              </w:rPr>
            </w:pPr>
            <w:r w:rsidRPr="00A418B1">
              <w:rPr>
                <w:rFonts w:asciiTheme="minorHAnsi" w:eastAsia="Calibri Light" w:hAnsiTheme="minorHAnsi" w:cs="Times New Roman"/>
                <w:b w:val="0"/>
                <w:color w:val="495965"/>
                <w:szCs w:val="17"/>
              </w:rPr>
              <w:t>Mid Term Review</w:t>
            </w:r>
          </w:p>
        </w:tc>
        <w:tc>
          <w:tcPr>
            <w:tcW w:w="1396" w:type="dxa"/>
            <w:tcBorders>
              <w:top w:val="single" w:sz="4" w:space="0" w:color="auto"/>
              <w:left w:val="single" w:sz="4" w:space="0" w:color="auto"/>
              <w:right w:val="single" w:sz="4" w:space="0" w:color="auto"/>
            </w:tcBorders>
            <w:hideMark/>
          </w:tcPr>
          <w:p w14:paraId="37B454DB" w14:textId="77777777" w:rsidR="00076EDF" w:rsidRPr="00A418B1" w:rsidRDefault="00076EDF">
            <w:pPr>
              <w:spacing w:before="40" w:after="40" w:line="200" w:lineRule="atLeast"/>
              <w:rPr>
                <w:rFonts w:asciiTheme="minorHAnsi" w:eastAsia="Calibri Light" w:hAnsiTheme="minorHAnsi" w:cs="Times New Roman"/>
                <w:b w:val="0"/>
                <w:color w:val="495965"/>
                <w:szCs w:val="17"/>
              </w:rPr>
            </w:pPr>
            <w:r w:rsidRPr="00A418B1">
              <w:rPr>
                <w:rFonts w:asciiTheme="minorHAnsi" w:eastAsia="Calibri Light" w:hAnsiTheme="minorHAnsi" w:cs="Times New Roman"/>
                <w:b w:val="0"/>
                <w:color w:val="495965"/>
                <w:szCs w:val="17"/>
              </w:rPr>
              <w:t>December 2016</w:t>
            </w:r>
          </w:p>
        </w:tc>
        <w:tc>
          <w:tcPr>
            <w:tcW w:w="1953" w:type="dxa"/>
            <w:tcBorders>
              <w:top w:val="single" w:sz="4" w:space="0" w:color="auto"/>
              <w:left w:val="single" w:sz="4" w:space="0" w:color="auto"/>
              <w:right w:val="single" w:sz="4" w:space="0" w:color="auto"/>
            </w:tcBorders>
            <w:hideMark/>
          </w:tcPr>
          <w:p w14:paraId="1C2824AF" w14:textId="77777777" w:rsidR="00076EDF" w:rsidRPr="00A418B1" w:rsidRDefault="00076EDF">
            <w:pPr>
              <w:spacing w:before="40" w:after="40" w:line="200" w:lineRule="atLeast"/>
              <w:rPr>
                <w:rFonts w:asciiTheme="minorHAnsi" w:eastAsia="Calibri Light" w:hAnsiTheme="minorHAnsi" w:cs="Times New Roman"/>
                <w:b w:val="0"/>
                <w:color w:val="495965"/>
                <w:szCs w:val="17"/>
              </w:rPr>
            </w:pPr>
            <w:r w:rsidRPr="00A418B1">
              <w:rPr>
                <w:rFonts w:asciiTheme="minorHAnsi" w:eastAsia="Calibri Light" w:hAnsiTheme="minorHAnsi" w:cs="Times New Roman"/>
                <w:b w:val="0"/>
                <w:color w:val="495965"/>
                <w:szCs w:val="17"/>
              </w:rPr>
              <w:t>N/A (classified)</w:t>
            </w:r>
          </w:p>
        </w:tc>
        <w:tc>
          <w:tcPr>
            <w:tcW w:w="1671" w:type="dxa"/>
            <w:tcBorders>
              <w:top w:val="single" w:sz="4" w:space="0" w:color="auto"/>
              <w:left w:val="single" w:sz="4" w:space="0" w:color="auto"/>
              <w:right w:val="single" w:sz="4" w:space="0" w:color="auto"/>
            </w:tcBorders>
          </w:tcPr>
          <w:p w14:paraId="4B142038" w14:textId="705AAEFB" w:rsidR="00076EDF" w:rsidRDefault="00AC31D3">
            <w:pPr>
              <w:spacing w:before="40" w:after="40" w:line="200" w:lineRule="atLeast"/>
              <w:rPr>
                <w:rFonts w:ascii="Helvetica" w:eastAsia="Calibri Light" w:hAnsi="Helvetica" w:cs="Times New Roman"/>
                <w:color w:val="495965"/>
                <w:szCs w:val="17"/>
              </w:rPr>
            </w:pPr>
            <w:r w:rsidRPr="00A418B1">
              <w:rPr>
                <w:rFonts w:asciiTheme="minorHAnsi" w:eastAsia="Calibri Light" w:hAnsiTheme="minorHAnsi" w:cs="Times New Roman"/>
                <w:b w:val="0"/>
                <w:color w:val="495965"/>
                <w:szCs w:val="17"/>
              </w:rPr>
              <w:t>N/A (classified)</w:t>
            </w:r>
          </w:p>
        </w:tc>
        <w:tc>
          <w:tcPr>
            <w:tcW w:w="1515" w:type="dxa"/>
            <w:tcBorders>
              <w:top w:val="single" w:sz="4" w:space="0" w:color="auto"/>
              <w:left w:val="single" w:sz="4" w:space="0" w:color="auto"/>
              <w:right w:val="single" w:sz="4" w:space="0" w:color="auto"/>
            </w:tcBorders>
          </w:tcPr>
          <w:p w14:paraId="5E24EB98" w14:textId="7F1DD928" w:rsidR="00076EDF" w:rsidRDefault="00AC31D3">
            <w:pPr>
              <w:spacing w:before="40" w:after="40" w:line="200" w:lineRule="atLeast"/>
              <w:rPr>
                <w:rFonts w:ascii="Helvetica" w:eastAsia="Calibri Light" w:hAnsi="Helvetica" w:cs="Times New Roman"/>
                <w:color w:val="495965"/>
                <w:szCs w:val="17"/>
              </w:rPr>
            </w:pPr>
            <w:r w:rsidRPr="00A418B1">
              <w:rPr>
                <w:rFonts w:asciiTheme="minorHAnsi" w:eastAsia="Calibri Light" w:hAnsiTheme="minorHAnsi" w:cs="Times New Roman"/>
                <w:b w:val="0"/>
                <w:color w:val="495965"/>
                <w:szCs w:val="17"/>
              </w:rPr>
              <w:t>N/A (classified)</w:t>
            </w:r>
          </w:p>
        </w:tc>
      </w:tr>
    </w:tbl>
    <w:p w14:paraId="45C68C58" w14:textId="77777777" w:rsidR="00A418B1" w:rsidRDefault="00A418B1" w:rsidP="00076EDF">
      <w:pPr>
        <w:rPr>
          <w:rFonts w:ascii="Calibri Light" w:hAnsi="Calibri Light"/>
          <w:b/>
          <w:color w:val="495965"/>
          <w:sz w:val="24"/>
        </w:rPr>
      </w:pPr>
    </w:p>
    <w:p w14:paraId="66784536" w14:textId="79EAF504" w:rsidR="00076EDF" w:rsidRDefault="00076EDF" w:rsidP="00076EDF">
      <w:pPr>
        <w:rPr>
          <w:rFonts w:ascii="Calibri Light" w:hAnsi="Calibri Light"/>
          <w:b/>
          <w:color w:val="495965"/>
          <w:sz w:val="24"/>
        </w:rPr>
      </w:pPr>
      <w:r>
        <w:rPr>
          <w:rFonts w:ascii="Calibri Light" w:hAnsi="Calibri Light"/>
          <w:b/>
          <w:color w:val="495965"/>
          <w:sz w:val="24"/>
        </w:rPr>
        <w:t xml:space="preserve">List of program prioritised evaluations planned for the next 12 months </w:t>
      </w:r>
    </w:p>
    <w:tbl>
      <w:tblPr>
        <w:tblStyle w:val="APPR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01"/>
        <w:gridCol w:w="4710"/>
        <w:gridCol w:w="1420"/>
        <w:gridCol w:w="1972"/>
        <w:gridCol w:w="1694"/>
        <w:gridCol w:w="1553"/>
      </w:tblGrid>
      <w:tr w:rsidR="009A3987" w14:paraId="44508402" w14:textId="77777777" w:rsidTr="009A3987">
        <w:tc>
          <w:tcPr>
            <w:tcW w:w="3059" w:type="dxa"/>
            <w:hideMark/>
          </w:tcPr>
          <w:p w14:paraId="2F0418F0" w14:textId="77777777" w:rsidR="00076EDF" w:rsidRDefault="009A3987" w:rsidP="009A3987">
            <w:pPr>
              <w:keepLines/>
              <w:spacing w:before="80" w:after="80" w:line="200" w:lineRule="atLeast"/>
              <w:rPr>
                <w:rFonts w:ascii="Calibri Light" w:hAnsi="Calibri Light"/>
                <w:b/>
                <w:color w:val="495965"/>
              </w:rPr>
            </w:pPr>
            <w:r>
              <w:rPr>
                <w:rFonts w:ascii="Calibri Light" w:hAnsi="Calibri Light"/>
                <w:b/>
                <w:color w:val="495965"/>
              </w:rPr>
              <w:lastRenderedPageBreak/>
              <w:t xml:space="preserve">Investment number and name </w:t>
            </w:r>
          </w:p>
        </w:tc>
        <w:tc>
          <w:tcPr>
            <w:tcW w:w="4682" w:type="dxa"/>
            <w:hideMark/>
          </w:tcPr>
          <w:p w14:paraId="4B3D6D61" w14:textId="77777777" w:rsidR="00076EDF" w:rsidRDefault="009A3987">
            <w:pPr>
              <w:keepLines/>
              <w:spacing w:before="80" w:after="80" w:line="200" w:lineRule="atLeast"/>
              <w:rPr>
                <w:rFonts w:ascii="Calibri Light" w:hAnsi="Calibri Light"/>
                <w:b/>
                <w:color w:val="495965"/>
              </w:rPr>
            </w:pPr>
            <w:r>
              <w:rPr>
                <w:rFonts w:ascii="Calibri Light" w:hAnsi="Calibri Light"/>
                <w:b/>
                <w:color w:val="495965"/>
              </w:rPr>
              <w:t>Evaluation title</w:t>
            </w:r>
          </w:p>
        </w:tc>
        <w:tc>
          <w:tcPr>
            <w:tcW w:w="1392" w:type="dxa"/>
            <w:hideMark/>
          </w:tcPr>
          <w:p w14:paraId="0E99F2F0" w14:textId="77777777" w:rsidR="00076EDF" w:rsidRDefault="00076EDF">
            <w:pPr>
              <w:keepLines/>
              <w:spacing w:before="80" w:after="80" w:line="200" w:lineRule="atLeast"/>
              <w:rPr>
                <w:rFonts w:ascii="Calibri Light" w:hAnsi="Calibri Light"/>
                <w:b/>
                <w:color w:val="495965"/>
              </w:rPr>
            </w:pPr>
            <w:r>
              <w:rPr>
                <w:rFonts w:ascii="Calibri Light" w:hAnsi="Calibri Light"/>
                <w:b/>
                <w:color w:val="495965"/>
              </w:rPr>
              <w:t>Date – planned commencement (month/year)</w:t>
            </w:r>
          </w:p>
        </w:tc>
        <w:tc>
          <w:tcPr>
            <w:tcW w:w="1944" w:type="dxa"/>
            <w:hideMark/>
          </w:tcPr>
          <w:p w14:paraId="4309ACB7" w14:textId="77777777" w:rsidR="00076EDF" w:rsidRDefault="00076EDF">
            <w:pPr>
              <w:keepLines/>
              <w:spacing w:before="80" w:after="80" w:line="200" w:lineRule="atLeast"/>
              <w:rPr>
                <w:rFonts w:ascii="Calibri Light" w:hAnsi="Calibri Light"/>
                <w:b/>
                <w:color w:val="495965"/>
              </w:rPr>
            </w:pPr>
            <w:r>
              <w:rPr>
                <w:rFonts w:ascii="Calibri Light" w:hAnsi="Calibri Light"/>
                <w:b/>
                <w:color w:val="495965"/>
              </w:rPr>
              <w:t>Date – planned completion (month/year)</w:t>
            </w:r>
          </w:p>
        </w:tc>
        <w:tc>
          <w:tcPr>
            <w:tcW w:w="1666" w:type="dxa"/>
            <w:hideMark/>
          </w:tcPr>
          <w:p w14:paraId="6533C5EA" w14:textId="77777777" w:rsidR="00076EDF" w:rsidRDefault="00076EDF">
            <w:pPr>
              <w:keepLines/>
              <w:spacing w:before="80" w:after="80" w:line="200" w:lineRule="atLeast"/>
              <w:rPr>
                <w:rFonts w:ascii="Calibri Light" w:hAnsi="Calibri Light"/>
                <w:b/>
                <w:color w:val="495965"/>
              </w:rPr>
            </w:pPr>
            <w:r>
              <w:rPr>
                <w:rFonts w:ascii="Calibri Light" w:hAnsi="Calibri Light"/>
                <w:b/>
                <w:color w:val="495965"/>
              </w:rPr>
              <w:t>Purpose of evaluation</w:t>
            </w:r>
          </w:p>
        </w:tc>
        <w:tc>
          <w:tcPr>
            <w:tcW w:w="1511" w:type="dxa"/>
            <w:hideMark/>
          </w:tcPr>
          <w:p w14:paraId="0E3C8F42" w14:textId="77777777" w:rsidR="00076EDF" w:rsidRDefault="00076EDF">
            <w:pPr>
              <w:keepLines/>
              <w:spacing w:before="80" w:after="80" w:line="200" w:lineRule="atLeast"/>
              <w:rPr>
                <w:rFonts w:ascii="Calibri Light" w:hAnsi="Calibri Light"/>
                <w:b/>
                <w:color w:val="495965"/>
              </w:rPr>
            </w:pPr>
            <w:r>
              <w:rPr>
                <w:rFonts w:ascii="Calibri Light" w:hAnsi="Calibri Light"/>
                <w:b/>
                <w:color w:val="495965"/>
              </w:rPr>
              <w:t>Evaluation type</w:t>
            </w:r>
          </w:p>
        </w:tc>
      </w:tr>
      <w:tr w:rsidR="00076EDF" w14:paraId="6C9F9DC1" w14:textId="77777777" w:rsidTr="009A3987">
        <w:tc>
          <w:tcPr>
            <w:tcW w:w="3059" w:type="dxa"/>
            <w:hideMark/>
          </w:tcPr>
          <w:p w14:paraId="5FE520EF" w14:textId="77777777" w:rsidR="00076EDF" w:rsidRPr="00A418B1" w:rsidRDefault="00076EDF">
            <w:pPr>
              <w:keepLines/>
              <w:spacing w:before="40" w:after="40" w:line="200" w:lineRule="atLeast"/>
              <w:rPr>
                <w:rFonts w:asciiTheme="minorHAnsi" w:eastAsia="Times New Roman" w:hAnsiTheme="minorHAnsi" w:cs="Times New Roman"/>
                <w:iCs/>
                <w:color w:val="495965"/>
                <w:szCs w:val="17"/>
              </w:rPr>
            </w:pPr>
            <w:r w:rsidRPr="00A418B1">
              <w:rPr>
                <w:rFonts w:asciiTheme="minorHAnsi" w:eastAsia="Times New Roman" w:hAnsiTheme="minorHAnsi" w:cs="Times New Roman"/>
                <w:iCs/>
                <w:color w:val="495965"/>
                <w:szCs w:val="17"/>
              </w:rPr>
              <w:t xml:space="preserve">INK130- Fiji Community Development Program </w:t>
            </w:r>
          </w:p>
        </w:tc>
        <w:tc>
          <w:tcPr>
            <w:tcW w:w="4682" w:type="dxa"/>
            <w:hideMark/>
          </w:tcPr>
          <w:p w14:paraId="742D535A" w14:textId="77777777" w:rsidR="00076EDF" w:rsidRPr="00A418B1" w:rsidRDefault="00076EDF">
            <w:pPr>
              <w:keepLines/>
              <w:spacing w:before="40" w:after="40" w:line="200" w:lineRule="atLeast"/>
              <w:rPr>
                <w:rFonts w:asciiTheme="minorHAnsi" w:eastAsia="Times New Roman" w:hAnsiTheme="minorHAnsi" w:cs="Times New Roman"/>
                <w:iCs/>
                <w:color w:val="495965"/>
                <w:szCs w:val="17"/>
              </w:rPr>
            </w:pPr>
            <w:r w:rsidRPr="00A418B1">
              <w:rPr>
                <w:rFonts w:asciiTheme="minorHAnsi" w:eastAsia="Times New Roman" w:hAnsiTheme="minorHAnsi" w:cs="Times New Roman"/>
                <w:iCs/>
                <w:color w:val="495965"/>
                <w:szCs w:val="17"/>
              </w:rPr>
              <w:t xml:space="preserve">End of Program Evaluation  </w:t>
            </w:r>
          </w:p>
        </w:tc>
        <w:tc>
          <w:tcPr>
            <w:tcW w:w="1392" w:type="dxa"/>
            <w:hideMark/>
          </w:tcPr>
          <w:p w14:paraId="09E39E6E" w14:textId="77777777" w:rsidR="00076EDF" w:rsidRPr="00A418B1" w:rsidRDefault="00076EDF">
            <w:pPr>
              <w:keepLines/>
              <w:spacing w:before="40" w:after="40" w:line="200" w:lineRule="atLeast"/>
              <w:rPr>
                <w:rFonts w:asciiTheme="minorHAnsi" w:eastAsia="Times New Roman" w:hAnsiTheme="minorHAnsi" w:cs="Times New Roman"/>
                <w:iCs/>
                <w:color w:val="495965"/>
                <w:szCs w:val="17"/>
              </w:rPr>
            </w:pPr>
            <w:r w:rsidRPr="00A418B1">
              <w:rPr>
                <w:rFonts w:asciiTheme="minorHAnsi" w:eastAsia="Times New Roman" w:hAnsiTheme="minorHAnsi" w:cs="Times New Roman"/>
                <w:iCs/>
                <w:color w:val="495965"/>
                <w:szCs w:val="17"/>
              </w:rPr>
              <w:t xml:space="preserve">August 2017 </w:t>
            </w:r>
          </w:p>
        </w:tc>
        <w:tc>
          <w:tcPr>
            <w:tcW w:w="1944" w:type="dxa"/>
            <w:hideMark/>
          </w:tcPr>
          <w:p w14:paraId="7C41A9D0" w14:textId="77777777" w:rsidR="00076EDF" w:rsidRPr="00A418B1" w:rsidRDefault="00076EDF">
            <w:pPr>
              <w:keepLines/>
              <w:spacing w:before="40" w:after="40" w:line="200" w:lineRule="atLeast"/>
              <w:rPr>
                <w:rFonts w:asciiTheme="minorHAnsi" w:eastAsia="Times New Roman" w:hAnsiTheme="minorHAnsi" w:cs="Times New Roman"/>
                <w:iCs/>
                <w:color w:val="495965"/>
                <w:szCs w:val="17"/>
              </w:rPr>
            </w:pPr>
            <w:r w:rsidRPr="00A418B1">
              <w:rPr>
                <w:rFonts w:asciiTheme="minorHAnsi" w:eastAsia="Times New Roman" w:hAnsiTheme="minorHAnsi" w:cs="Times New Roman"/>
                <w:iCs/>
                <w:color w:val="495965"/>
                <w:szCs w:val="17"/>
              </w:rPr>
              <w:t>In progress</w:t>
            </w:r>
          </w:p>
        </w:tc>
        <w:tc>
          <w:tcPr>
            <w:tcW w:w="1666" w:type="dxa"/>
            <w:hideMark/>
          </w:tcPr>
          <w:p w14:paraId="7E1C982E" w14:textId="77777777" w:rsidR="00076EDF" w:rsidRPr="00A418B1" w:rsidRDefault="00076EDF">
            <w:pPr>
              <w:keepLines/>
              <w:spacing w:before="40" w:after="40" w:line="200" w:lineRule="atLeast"/>
              <w:rPr>
                <w:rFonts w:asciiTheme="minorHAnsi" w:eastAsia="Times New Roman" w:hAnsiTheme="minorHAnsi" w:cs="Times New Roman"/>
                <w:iCs/>
                <w:color w:val="495965"/>
                <w:szCs w:val="17"/>
              </w:rPr>
            </w:pPr>
            <w:r w:rsidRPr="00A418B1">
              <w:rPr>
                <w:rFonts w:asciiTheme="minorHAnsi" w:eastAsia="Times New Roman" w:hAnsiTheme="minorHAnsi" w:cs="Times New Roman"/>
                <w:iCs/>
                <w:color w:val="495965"/>
                <w:szCs w:val="17"/>
              </w:rPr>
              <w:t>In progress</w:t>
            </w:r>
          </w:p>
        </w:tc>
        <w:tc>
          <w:tcPr>
            <w:tcW w:w="1511" w:type="dxa"/>
            <w:hideMark/>
          </w:tcPr>
          <w:p w14:paraId="2A071439" w14:textId="77777777" w:rsidR="00076EDF" w:rsidRPr="00A418B1" w:rsidRDefault="00076EDF">
            <w:pPr>
              <w:keepLines/>
              <w:spacing w:before="40" w:after="40" w:line="200" w:lineRule="atLeast"/>
              <w:rPr>
                <w:rFonts w:asciiTheme="minorHAnsi" w:eastAsia="Times New Roman" w:hAnsiTheme="minorHAnsi" w:cs="Times New Roman"/>
                <w:iCs/>
                <w:color w:val="495965"/>
                <w:szCs w:val="17"/>
              </w:rPr>
            </w:pPr>
            <w:r w:rsidRPr="00A418B1">
              <w:rPr>
                <w:rFonts w:asciiTheme="minorHAnsi" w:eastAsia="Times New Roman" w:hAnsiTheme="minorHAnsi" w:cs="Times New Roman"/>
                <w:iCs/>
                <w:color w:val="495965"/>
                <w:szCs w:val="17"/>
              </w:rPr>
              <w:t xml:space="preserve">In progress </w:t>
            </w:r>
          </w:p>
        </w:tc>
      </w:tr>
      <w:tr w:rsidR="00076EDF" w14:paraId="18A0162F" w14:textId="77777777" w:rsidTr="009A3987">
        <w:tc>
          <w:tcPr>
            <w:tcW w:w="3059" w:type="dxa"/>
            <w:hideMark/>
          </w:tcPr>
          <w:p w14:paraId="4273E728" w14:textId="77777777" w:rsidR="00076EDF" w:rsidRPr="00A418B1" w:rsidRDefault="00076EDF">
            <w:pPr>
              <w:keepLines/>
              <w:spacing w:before="40" w:after="40" w:line="200" w:lineRule="atLeast"/>
              <w:rPr>
                <w:rFonts w:asciiTheme="minorHAnsi" w:eastAsia="Times New Roman" w:hAnsiTheme="minorHAnsi" w:cs="Times New Roman"/>
                <w:iCs/>
                <w:color w:val="495965"/>
                <w:szCs w:val="17"/>
              </w:rPr>
            </w:pPr>
            <w:r w:rsidRPr="00A418B1">
              <w:rPr>
                <w:rFonts w:asciiTheme="minorHAnsi" w:hAnsiTheme="minorHAnsi"/>
                <w:color w:val="1F497D"/>
                <w:szCs w:val="17"/>
              </w:rPr>
              <w:t xml:space="preserve">INJ515 - Access to Quality Education Program (AQEP) </w:t>
            </w:r>
          </w:p>
        </w:tc>
        <w:tc>
          <w:tcPr>
            <w:tcW w:w="4682" w:type="dxa"/>
            <w:hideMark/>
          </w:tcPr>
          <w:p w14:paraId="7377AEB0" w14:textId="77777777" w:rsidR="00076EDF" w:rsidRPr="00A418B1" w:rsidRDefault="00076EDF">
            <w:pPr>
              <w:keepLines/>
              <w:spacing w:before="40" w:after="40" w:line="200" w:lineRule="atLeast"/>
              <w:rPr>
                <w:rFonts w:asciiTheme="minorHAnsi" w:eastAsia="Times New Roman" w:hAnsiTheme="minorHAnsi" w:cs="Times New Roman"/>
                <w:iCs/>
                <w:color w:val="495965"/>
                <w:szCs w:val="17"/>
              </w:rPr>
            </w:pPr>
            <w:r w:rsidRPr="00A418B1">
              <w:rPr>
                <w:rFonts w:asciiTheme="minorHAnsi" w:eastAsia="Times New Roman" w:hAnsiTheme="minorHAnsi" w:cs="Times New Roman"/>
                <w:iCs/>
                <w:color w:val="495965"/>
                <w:szCs w:val="17"/>
              </w:rPr>
              <w:t>End of Program Evaluation</w:t>
            </w:r>
          </w:p>
        </w:tc>
        <w:tc>
          <w:tcPr>
            <w:tcW w:w="1392" w:type="dxa"/>
            <w:hideMark/>
          </w:tcPr>
          <w:p w14:paraId="517588E0" w14:textId="77777777" w:rsidR="00076EDF" w:rsidRPr="00A418B1" w:rsidRDefault="00076EDF">
            <w:pPr>
              <w:keepLines/>
              <w:spacing w:before="40" w:after="40" w:line="200" w:lineRule="atLeast"/>
              <w:rPr>
                <w:rFonts w:asciiTheme="minorHAnsi" w:eastAsia="Times New Roman" w:hAnsiTheme="minorHAnsi" w:cs="Times New Roman"/>
                <w:iCs/>
                <w:color w:val="495965"/>
                <w:szCs w:val="17"/>
              </w:rPr>
            </w:pPr>
            <w:r w:rsidRPr="00A418B1">
              <w:rPr>
                <w:rFonts w:asciiTheme="minorHAnsi" w:eastAsia="Times New Roman" w:hAnsiTheme="minorHAnsi" w:cs="Times New Roman"/>
                <w:iCs/>
                <w:color w:val="495965"/>
                <w:szCs w:val="17"/>
              </w:rPr>
              <w:t>March 2017</w:t>
            </w:r>
          </w:p>
        </w:tc>
        <w:tc>
          <w:tcPr>
            <w:tcW w:w="1944" w:type="dxa"/>
            <w:hideMark/>
          </w:tcPr>
          <w:p w14:paraId="2510EBCB" w14:textId="77777777" w:rsidR="00076EDF" w:rsidRPr="00A418B1" w:rsidRDefault="00076EDF">
            <w:pPr>
              <w:keepLines/>
              <w:spacing w:before="40" w:after="40" w:line="200" w:lineRule="atLeast"/>
              <w:rPr>
                <w:rFonts w:asciiTheme="minorHAnsi" w:eastAsia="Times New Roman" w:hAnsiTheme="minorHAnsi" w:cs="Times New Roman"/>
                <w:iCs/>
                <w:color w:val="495965"/>
                <w:szCs w:val="17"/>
              </w:rPr>
            </w:pPr>
            <w:r w:rsidRPr="00A418B1">
              <w:rPr>
                <w:rFonts w:asciiTheme="minorHAnsi" w:eastAsia="Times New Roman" w:hAnsiTheme="minorHAnsi" w:cs="Times New Roman"/>
                <w:iCs/>
                <w:color w:val="495965"/>
                <w:szCs w:val="17"/>
              </w:rPr>
              <w:t>September 2017</w:t>
            </w:r>
          </w:p>
        </w:tc>
        <w:tc>
          <w:tcPr>
            <w:tcW w:w="1666" w:type="dxa"/>
            <w:hideMark/>
          </w:tcPr>
          <w:p w14:paraId="15328C3D" w14:textId="77777777" w:rsidR="00076EDF" w:rsidRPr="00A418B1" w:rsidRDefault="00076EDF">
            <w:pPr>
              <w:spacing w:before="40" w:after="40" w:line="200" w:lineRule="atLeast"/>
              <w:rPr>
                <w:rFonts w:asciiTheme="minorHAnsi" w:eastAsia="Times New Roman" w:hAnsiTheme="minorHAnsi" w:cs="Times New Roman"/>
                <w:iCs/>
                <w:color w:val="495965"/>
                <w:szCs w:val="17"/>
              </w:rPr>
            </w:pPr>
            <w:r w:rsidRPr="00A418B1">
              <w:rPr>
                <w:rFonts w:asciiTheme="minorHAnsi" w:hAnsiTheme="minorHAnsi"/>
                <w:color w:val="495965"/>
                <w:szCs w:val="17"/>
              </w:rPr>
              <w:t xml:space="preserve">To </w:t>
            </w:r>
            <w:r w:rsidRPr="00A418B1">
              <w:rPr>
                <w:rFonts w:asciiTheme="minorHAnsi" w:hAnsiTheme="minorHAnsi"/>
                <w:color w:val="495965"/>
              </w:rPr>
              <w:t>inform new design, demonstrate results, verify performance and examine value for money.</w:t>
            </w:r>
          </w:p>
        </w:tc>
        <w:tc>
          <w:tcPr>
            <w:tcW w:w="1511" w:type="dxa"/>
            <w:hideMark/>
          </w:tcPr>
          <w:p w14:paraId="4F3AAA32" w14:textId="77777777" w:rsidR="00076EDF" w:rsidRPr="00A418B1" w:rsidRDefault="00076EDF">
            <w:pPr>
              <w:keepLines/>
              <w:spacing w:before="40" w:after="40" w:line="200" w:lineRule="atLeast"/>
              <w:rPr>
                <w:rFonts w:asciiTheme="minorHAnsi" w:eastAsia="Times New Roman" w:hAnsiTheme="minorHAnsi" w:cs="Times New Roman"/>
                <w:iCs/>
                <w:color w:val="495965"/>
                <w:szCs w:val="17"/>
              </w:rPr>
            </w:pPr>
            <w:r w:rsidRPr="00A418B1">
              <w:rPr>
                <w:rFonts w:asciiTheme="minorHAnsi" w:hAnsiTheme="minorHAnsi"/>
                <w:color w:val="495965"/>
              </w:rPr>
              <w:t>DFAT led (includes consultants engaged by DFAT)</w:t>
            </w:r>
          </w:p>
        </w:tc>
      </w:tr>
      <w:tr w:rsidR="00076EDF" w14:paraId="7C792B68" w14:textId="77777777" w:rsidTr="009A3987">
        <w:tc>
          <w:tcPr>
            <w:tcW w:w="3059" w:type="dxa"/>
            <w:hideMark/>
          </w:tcPr>
          <w:p w14:paraId="507FD0A1" w14:textId="77777777" w:rsidR="00076EDF" w:rsidRPr="00A418B1" w:rsidRDefault="00076EDF">
            <w:pPr>
              <w:keepLines/>
              <w:spacing w:before="40" w:after="40" w:line="200" w:lineRule="atLeast"/>
              <w:rPr>
                <w:rFonts w:asciiTheme="minorHAnsi" w:hAnsiTheme="minorHAnsi"/>
                <w:color w:val="1F497D"/>
                <w:szCs w:val="17"/>
              </w:rPr>
            </w:pPr>
            <w:r w:rsidRPr="00A418B1">
              <w:rPr>
                <w:rFonts w:asciiTheme="minorHAnsi" w:eastAsia="Calibri Light" w:hAnsiTheme="minorHAnsi" w:cs="Times New Roman"/>
                <w:color w:val="495965"/>
                <w:szCs w:val="17"/>
              </w:rPr>
              <w:t>INL959 Cyclone Winston Humanitarian Assistance</w:t>
            </w:r>
          </w:p>
        </w:tc>
        <w:tc>
          <w:tcPr>
            <w:tcW w:w="4682" w:type="dxa"/>
            <w:hideMark/>
          </w:tcPr>
          <w:p w14:paraId="52739C3C" w14:textId="77777777" w:rsidR="00076EDF" w:rsidRPr="00A418B1" w:rsidRDefault="00076EDF">
            <w:pPr>
              <w:keepLines/>
              <w:spacing w:before="40" w:after="40" w:line="200" w:lineRule="atLeast"/>
              <w:rPr>
                <w:rFonts w:asciiTheme="minorHAnsi" w:eastAsia="Times New Roman" w:hAnsiTheme="minorHAnsi" w:cs="Times New Roman"/>
                <w:iCs/>
                <w:color w:val="495965"/>
                <w:szCs w:val="17"/>
              </w:rPr>
            </w:pPr>
            <w:r w:rsidRPr="00A418B1">
              <w:rPr>
                <w:rFonts w:asciiTheme="minorHAnsi" w:eastAsia="Calibri Light" w:hAnsiTheme="minorHAnsi" w:cs="Times New Roman"/>
                <w:color w:val="495965"/>
                <w:szCs w:val="17"/>
              </w:rPr>
              <w:t>TC Winston Education Response Evaluation</w:t>
            </w:r>
          </w:p>
        </w:tc>
        <w:tc>
          <w:tcPr>
            <w:tcW w:w="1392" w:type="dxa"/>
            <w:hideMark/>
          </w:tcPr>
          <w:p w14:paraId="383D8B48" w14:textId="1DD86E54" w:rsidR="00076EDF" w:rsidRPr="00A418B1" w:rsidRDefault="009A3987">
            <w:pPr>
              <w:keepLines/>
              <w:spacing w:before="40" w:after="40" w:line="200" w:lineRule="atLeast"/>
              <w:rPr>
                <w:rFonts w:asciiTheme="minorHAnsi" w:eastAsia="Times New Roman" w:hAnsiTheme="minorHAnsi" w:cs="Times New Roman"/>
                <w:iCs/>
                <w:color w:val="495965"/>
                <w:szCs w:val="17"/>
              </w:rPr>
            </w:pPr>
            <w:r w:rsidRPr="00A418B1">
              <w:rPr>
                <w:rFonts w:asciiTheme="minorHAnsi" w:eastAsia="Calibri Light" w:hAnsiTheme="minorHAnsi" w:cs="Times New Roman"/>
                <w:color w:val="495965"/>
                <w:szCs w:val="17"/>
              </w:rPr>
              <w:t>February 2017</w:t>
            </w:r>
          </w:p>
        </w:tc>
        <w:tc>
          <w:tcPr>
            <w:tcW w:w="1944" w:type="dxa"/>
            <w:hideMark/>
          </w:tcPr>
          <w:p w14:paraId="2C1508B2" w14:textId="77777777" w:rsidR="00076EDF" w:rsidRPr="00A418B1" w:rsidRDefault="00076EDF">
            <w:pPr>
              <w:keepLines/>
              <w:spacing w:before="40" w:after="40" w:line="200" w:lineRule="atLeast"/>
              <w:rPr>
                <w:rFonts w:asciiTheme="minorHAnsi" w:eastAsia="Times New Roman" w:hAnsiTheme="minorHAnsi" w:cs="Times New Roman"/>
                <w:iCs/>
                <w:color w:val="495965"/>
                <w:szCs w:val="17"/>
              </w:rPr>
            </w:pPr>
            <w:r w:rsidRPr="00A418B1">
              <w:rPr>
                <w:rFonts w:asciiTheme="minorHAnsi" w:eastAsia="Times New Roman" w:hAnsiTheme="minorHAnsi" w:cs="Times New Roman"/>
                <w:iCs/>
                <w:color w:val="495965"/>
                <w:szCs w:val="17"/>
              </w:rPr>
              <w:t>September 2017</w:t>
            </w:r>
          </w:p>
        </w:tc>
        <w:tc>
          <w:tcPr>
            <w:tcW w:w="1666" w:type="dxa"/>
            <w:hideMark/>
          </w:tcPr>
          <w:p w14:paraId="3DFB6FB4" w14:textId="77777777" w:rsidR="00076EDF" w:rsidRPr="00A418B1" w:rsidRDefault="00076EDF">
            <w:pPr>
              <w:spacing w:before="40" w:after="40" w:line="200" w:lineRule="atLeast"/>
              <w:rPr>
                <w:rFonts w:asciiTheme="minorHAnsi" w:hAnsiTheme="minorHAnsi"/>
                <w:color w:val="495965"/>
                <w:szCs w:val="17"/>
              </w:rPr>
            </w:pPr>
            <w:r w:rsidRPr="00A418B1">
              <w:rPr>
                <w:rFonts w:asciiTheme="minorHAnsi" w:hAnsiTheme="minorHAnsi"/>
                <w:color w:val="495965"/>
                <w:szCs w:val="17"/>
              </w:rPr>
              <w:t>To evaluate education elements of response to TC Winston.</w:t>
            </w:r>
          </w:p>
        </w:tc>
        <w:tc>
          <w:tcPr>
            <w:tcW w:w="1511" w:type="dxa"/>
          </w:tcPr>
          <w:p w14:paraId="71F91A77" w14:textId="77777777" w:rsidR="00076EDF" w:rsidRPr="00A418B1" w:rsidRDefault="009A3987">
            <w:pPr>
              <w:keepLines/>
              <w:spacing w:before="40" w:after="40" w:line="200" w:lineRule="atLeast"/>
              <w:rPr>
                <w:rFonts w:asciiTheme="minorHAnsi" w:hAnsiTheme="minorHAnsi"/>
                <w:color w:val="495965"/>
              </w:rPr>
            </w:pPr>
            <w:r w:rsidRPr="00A418B1">
              <w:rPr>
                <w:rFonts w:asciiTheme="minorHAnsi" w:hAnsiTheme="minorHAnsi"/>
                <w:color w:val="495965"/>
              </w:rPr>
              <w:t>DFAT led (managed by Suva Post with support from HPD; engaging external consultants)</w:t>
            </w:r>
          </w:p>
        </w:tc>
      </w:tr>
      <w:tr w:rsidR="00A502CF" w14:paraId="0D1CA2CC" w14:textId="77777777" w:rsidTr="009A3987">
        <w:tc>
          <w:tcPr>
            <w:tcW w:w="3059" w:type="dxa"/>
          </w:tcPr>
          <w:p w14:paraId="21786CE1" w14:textId="66C62603" w:rsidR="00A502CF" w:rsidRPr="00A418B1" w:rsidRDefault="00A60B10" w:rsidP="006E478E">
            <w:pPr>
              <w:keepLines/>
              <w:spacing w:before="40" w:after="40" w:line="200" w:lineRule="atLeast"/>
              <w:rPr>
                <w:rFonts w:asciiTheme="minorHAnsi" w:eastAsia="Calibri Light" w:hAnsiTheme="minorHAnsi" w:cs="Times New Roman"/>
                <w:color w:val="495965"/>
                <w:szCs w:val="17"/>
              </w:rPr>
            </w:pPr>
            <w:r w:rsidRPr="00A418B1">
              <w:rPr>
                <w:rFonts w:asciiTheme="minorHAnsi" w:eastAsia="Calibri Light" w:hAnsiTheme="minorHAnsi" w:cs="Times New Roman"/>
                <w:color w:val="495965"/>
                <w:szCs w:val="17"/>
              </w:rPr>
              <w:t xml:space="preserve">INL397 </w:t>
            </w:r>
            <w:r w:rsidR="00A502CF" w:rsidRPr="00A418B1">
              <w:rPr>
                <w:rFonts w:asciiTheme="minorHAnsi" w:eastAsia="Calibri Light" w:hAnsiTheme="minorHAnsi" w:cs="Times New Roman"/>
                <w:color w:val="495965"/>
                <w:szCs w:val="17"/>
              </w:rPr>
              <w:t>Pacific Women Fiji Country Plan</w:t>
            </w:r>
          </w:p>
        </w:tc>
        <w:tc>
          <w:tcPr>
            <w:tcW w:w="4682" w:type="dxa"/>
          </w:tcPr>
          <w:p w14:paraId="23F5C9C2" w14:textId="7A6D49B5" w:rsidR="00A502CF" w:rsidRPr="00A418B1" w:rsidRDefault="00A60B10">
            <w:pPr>
              <w:keepLines/>
              <w:spacing w:before="40" w:after="40" w:line="200" w:lineRule="atLeast"/>
              <w:rPr>
                <w:rFonts w:asciiTheme="minorHAnsi" w:eastAsia="Calibri Light" w:hAnsiTheme="minorHAnsi" w:cs="Times New Roman"/>
                <w:color w:val="495965"/>
                <w:szCs w:val="17"/>
              </w:rPr>
            </w:pPr>
            <w:r w:rsidRPr="00A418B1">
              <w:rPr>
                <w:rFonts w:asciiTheme="minorHAnsi" w:eastAsia="Calibri Light" w:hAnsiTheme="minorHAnsi" w:cs="Times New Roman"/>
                <w:color w:val="495965"/>
                <w:szCs w:val="17"/>
              </w:rPr>
              <w:t>Pacific Women Fiji Country Plan Review</w:t>
            </w:r>
          </w:p>
        </w:tc>
        <w:tc>
          <w:tcPr>
            <w:tcW w:w="1392" w:type="dxa"/>
          </w:tcPr>
          <w:p w14:paraId="2749DF09" w14:textId="5D748E99" w:rsidR="00A502CF" w:rsidRPr="00A418B1" w:rsidDel="009A3987" w:rsidRDefault="00A60B10">
            <w:pPr>
              <w:keepLines/>
              <w:spacing w:before="40" w:after="40" w:line="200" w:lineRule="atLeast"/>
              <w:rPr>
                <w:rFonts w:asciiTheme="minorHAnsi" w:eastAsia="Calibri Light" w:hAnsiTheme="minorHAnsi" w:cs="Times New Roman"/>
                <w:color w:val="495965"/>
                <w:szCs w:val="17"/>
              </w:rPr>
            </w:pPr>
            <w:r w:rsidRPr="00A418B1">
              <w:rPr>
                <w:rFonts w:asciiTheme="minorHAnsi" w:eastAsia="Calibri Light" w:hAnsiTheme="minorHAnsi" w:cs="Times New Roman"/>
                <w:color w:val="495965"/>
                <w:szCs w:val="17"/>
              </w:rPr>
              <w:t>March 2017</w:t>
            </w:r>
          </w:p>
        </w:tc>
        <w:tc>
          <w:tcPr>
            <w:tcW w:w="1944" w:type="dxa"/>
          </w:tcPr>
          <w:p w14:paraId="57FE21A7" w14:textId="2FCF9CB6" w:rsidR="00A502CF" w:rsidRPr="00A418B1" w:rsidRDefault="00A60B10" w:rsidP="00A502CF">
            <w:pPr>
              <w:keepLines/>
              <w:spacing w:before="40" w:after="40" w:line="200" w:lineRule="atLeast"/>
              <w:rPr>
                <w:rFonts w:asciiTheme="minorHAnsi" w:eastAsia="Times New Roman" w:hAnsiTheme="minorHAnsi" w:cs="Times New Roman"/>
                <w:iCs/>
                <w:color w:val="495965"/>
                <w:szCs w:val="17"/>
              </w:rPr>
            </w:pPr>
            <w:r w:rsidRPr="00A418B1">
              <w:rPr>
                <w:rFonts w:asciiTheme="minorHAnsi" w:eastAsia="Times New Roman" w:hAnsiTheme="minorHAnsi" w:cs="Times New Roman"/>
                <w:iCs/>
                <w:color w:val="495965"/>
                <w:szCs w:val="17"/>
              </w:rPr>
              <w:t>September</w:t>
            </w:r>
            <w:r w:rsidR="00A502CF" w:rsidRPr="00A418B1">
              <w:rPr>
                <w:rFonts w:asciiTheme="minorHAnsi" w:eastAsia="Times New Roman" w:hAnsiTheme="minorHAnsi" w:cs="Times New Roman"/>
                <w:iCs/>
                <w:color w:val="495965"/>
                <w:szCs w:val="17"/>
              </w:rPr>
              <w:t xml:space="preserve"> 2017</w:t>
            </w:r>
          </w:p>
        </w:tc>
        <w:tc>
          <w:tcPr>
            <w:tcW w:w="1666" w:type="dxa"/>
          </w:tcPr>
          <w:p w14:paraId="4B5DE526" w14:textId="07BF3948" w:rsidR="00A502CF" w:rsidRPr="00A418B1" w:rsidRDefault="00A60B10">
            <w:pPr>
              <w:spacing w:before="40" w:after="40" w:line="200" w:lineRule="atLeast"/>
              <w:rPr>
                <w:rFonts w:asciiTheme="minorHAnsi" w:hAnsiTheme="minorHAnsi"/>
                <w:color w:val="495965"/>
                <w:szCs w:val="17"/>
              </w:rPr>
            </w:pPr>
            <w:r w:rsidRPr="00A418B1">
              <w:rPr>
                <w:rFonts w:asciiTheme="minorHAnsi" w:hAnsiTheme="minorHAnsi"/>
                <w:color w:val="495965"/>
                <w:szCs w:val="17"/>
              </w:rPr>
              <w:t>To undertake an independent assessment of the first phase of the Fiji Country Plan (2013-2017)</w:t>
            </w:r>
          </w:p>
        </w:tc>
        <w:tc>
          <w:tcPr>
            <w:tcW w:w="1511" w:type="dxa"/>
          </w:tcPr>
          <w:p w14:paraId="6C2CC8B4" w14:textId="5F3DC77E" w:rsidR="00A502CF" w:rsidRPr="00A418B1" w:rsidRDefault="00A60B10">
            <w:pPr>
              <w:keepLines/>
              <w:spacing w:before="40" w:after="40" w:line="200" w:lineRule="atLeast"/>
              <w:rPr>
                <w:rFonts w:asciiTheme="minorHAnsi" w:hAnsiTheme="minorHAnsi"/>
                <w:color w:val="495965"/>
              </w:rPr>
            </w:pPr>
            <w:r w:rsidRPr="00A418B1">
              <w:rPr>
                <w:rFonts w:asciiTheme="minorHAnsi" w:hAnsiTheme="minorHAnsi"/>
                <w:color w:val="495965"/>
              </w:rPr>
              <w:t>Partner-led with DFAT oversight</w:t>
            </w:r>
          </w:p>
        </w:tc>
      </w:tr>
    </w:tbl>
    <w:p w14:paraId="3FEE02C2" w14:textId="023BA81C" w:rsidR="00474BD1" w:rsidRDefault="00474BD1" w:rsidP="00474BD1">
      <w:pPr>
        <w:keepNext/>
        <w:tabs>
          <w:tab w:val="left" w:pos="1560"/>
        </w:tabs>
        <w:spacing w:before="360" w:after="120"/>
        <w:outlineLvl w:val="1"/>
        <w:rPr>
          <w:rFonts w:ascii="Calibri Light" w:hAnsi="Calibri Light"/>
          <w:caps/>
          <w:color w:val="495965"/>
          <w:spacing w:val="-10"/>
          <w:kern w:val="28"/>
          <w:sz w:val="38"/>
        </w:rPr>
      </w:pPr>
      <w:r>
        <w:rPr>
          <w:rFonts w:ascii="Calibri Light" w:hAnsi="Calibri Light"/>
          <w:caps/>
          <w:color w:val="495965"/>
          <w:spacing w:val="-10"/>
          <w:kern w:val="28"/>
          <w:sz w:val="38"/>
        </w:rPr>
        <w:lastRenderedPageBreak/>
        <w:t>Annex D - Aid Quality Check (aqc) ratings</w:t>
      </w:r>
    </w:p>
    <w:p w14:paraId="28EC9349" w14:textId="77777777" w:rsidR="00474BD1" w:rsidRDefault="00474BD1" w:rsidP="00474BD1">
      <w:pPr>
        <w:keepNext/>
        <w:numPr>
          <w:ilvl w:val="2"/>
          <w:numId w:val="0"/>
        </w:numPr>
        <w:spacing w:before="240" w:after="120"/>
        <w:outlineLvl w:val="2"/>
        <w:rPr>
          <w:rFonts w:asciiTheme="majorHAnsi" w:eastAsiaTheme="majorEastAsia" w:hAnsiTheme="majorHAnsi" w:cstheme="majorBidi"/>
          <w:caps/>
          <w:sz w:val="38"/>
          <w:szCs w:val="26"/>
        </w:rPr>
      </w:pPr>
      <w:r w:rsidRPr="00784031">
        <w:rPr>
          <w:rFonts w:asciiTheme="majorHAnsi" w:eastAsiaTheme="majorEastAsia" w:hAnsiTheme="majorHAnsi" w:cstheme="majorBidi"/>
          <w:caps/>
          <w:sz w:val="38"/>
          <w:szCs w:val="26"/>
        </w:rPr>
        <w:t>AQC ratings</w:t>
      </w:r>
    </w:p>
    <w:tbl>
      <w:tblPr>
        <w:tblStyle w:val="APPR2"/>
        <w:tblW w:w="516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056"/>
        <w:gridCol w:w="1327"/>
        <w:gridCol w:w="1254"/>
        <w:gridCol w:w="1228"/>
        <w:gridCol w:w="1222"/>
        <w:gridCol w:w="1255"/>
        <w:gridCol w:w="1258"/>
        <w:gridCol w:w="1255"/>
        <w:gridCol w:w="1257"/>
      </w:tblGrid>
      <w:tr w:rsidR="00474BD1" w14:paraId="7A836535" w14:textId="77777777" w:rsidTr="0014053A">
        <w:trPr>
          <w:cnfStyle w:val="100000000000" w:firstRow="1" w:lastRow="0" w:firstColumn="0" w:lastColumn="0" w:oddVBand="0" w:evenVBand="0" w:oddHBand="0" w:evenHBand="0" w:firstRowFirstColumn="0" w:firstRowLastColumn="0" w:lastRowFirstColumn="0" w:lastRowLastColumn="0"/>
          <w:trHeight w:val="280"/>
        </w:trPr>
        <w:tc>
          <w:tcPr>
            <w:tcW w:w="934" w:type="pct"/>
            <w:tcBorders>
              <w:top w:val="single" w:sz="4" w:space="0" w:color="auto"/>
              <w:left w:val="nil"/>
              <w:bottom w:val="single" w:sz="4" w:space="0" w:color="auto"/>
              <w:right w:val="single" w:sz="4" w:space="0" w:color="auto"/>
            </w:tcBorders>
          </w:tcPr>
          <w:p w14:paraId="16DB23F3" w14:textId="77777777" w:rsidR="00474BD1"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Investment name</w:t>
            </w:r>
          </w:p>
        </w:tc>
        <w:tc>
          <w:tcPr>
            <w:tcW w:w="678" w:type="pct"/>
            <w:tcBorders>
              <w:top w:val="single" w:sz="4" w:space="0" w:color="auto"/>
              <w:left w:val="single" w:sz="4" w:space="0" w:color="auto"/>
              <w:bottom w:val="single" w:sz="4" w:space="0" w:color="auto"/>
              <w:right w:val="single" w:sz="4" w:space="0" w:color="auto"/>
            </w:tcBorders>
          </w:tcPr>
          <w:p w14:paraId="6FFEDF3E" w14:textId="77777777" w:rsidR="00474BD1"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Approved budget and duration</w:t>
            </w:r>
          </w:p>
        </w:tc>
        <w:tc>
          <w:tcPr>
            <w:tcW w:w="435" w:type="pct"/>
            <w:tcBorders>
              <w:top w:val="single" w:sz="4" w:space="0" w:color="auto"/>
              <w:left w:val="single" w:sz="4" w:space="0" w:color="auto"/>
              <w:bottom w:val="single" w:sz="4" w:space="0" w:color="auto"/>
              <w:right w:val="single" w:sz="4" w:space="0" w:color="auto"/>
            </w:tcBorders>
          </w:tcPr>
          <w:p w14:paraId="1FC72FAF" w14:textId="77777777" w:rsidR="00474BD1"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Year</w:t>
            </w:r>
          </w:p>
        </w:tc>
        <w:tc>
          <w:tcPr>
            <w:tcW w:w="410" w:type="pct"/>
            <w:tcBorders>
              <w:top w:val="single" w:sz="4" w:space="0" w:color="auto"/>
              <w:left w:val="single" w:sz="4" w:space="0" w:color="auto"/>
              <w:bottom w:val="single" w:sz="4" w:space="0" w:color="auto"/>
              <w:right w:val="single" w:sz="4" w:space="0" w:color="auto"/>
            </w:tcBorders>
            <w:shd w:val="clear" w:color="auto" w:fill="auto"/>
            <w:noWrap/>
          </w:tcPr>
          <w:p w14:paraId="377CFE41" w14:textId="77777777" w:rsidR="00474BD1" w:rsidRDefault="00474BD1" w:rsidP="0014053A">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Relevance</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14:paraId="5132C77F" w14:textId="77777777" w:rsidR="00474BD1" w:rsidRDefault="00474BD1" w:rsidP="0014053A">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Effectiveness</w:t>
            </w:r>
          </w:p>
        </w:tc>
        <w:tc>
          <w:tcPr>
            <w:tcW w:w="399" w:type="pct"/>
            <w:tcBorders>
              <w:top w:val="single" w:sz="4" w:space="0" w:color="auto"/>
              <w:left w:val="single" w:sz="4" w:space="0" w:color="auto"/>
              <w:bottom w:val="single" w:sz="4" w:space="0" w:color="auto"/>
              <w:right w:val="single" w:sz="4" w:space="0" w:color="auto"/>
            </w:tcBorders>
            <w:shd w:val="clear" w:color="auto" w:fill="auto"/>
            <w:noWrap/>
          </w:tcPr>
          <w:p w14:paraId="241C42B5" w14:textId="77777777" w:rsidR="00474BD1" w:rsidRDefault="00474BD1" w:rsidP="0014053A">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Efficiency</w:t>
            </w:r>
          </w:p>
        </w:tc>
        <w:tc>
          <w:tcPr>
            <w:tcW w:w="410" w:type="pct"/>
            <w:tcBorders>
              <w:top w:val="single" w:sz="4" w:space="0" w:color="auto"/>
              <w:left w:val="single" w:sz="4" w:space="0" w:color="auto"/>
              <w:bottom w:val="single" w:sz="4" w:space="0" w:color="auto"/>
              <w:right w:val="single" w:sz="4" w:space="0" w:color="auto"/>
            </w:tcBorders>
            <w:shd w:val="clear" w:color="auto" w:fill="auto"/>
            <w:noWrap/>
          </w:tcPr>
          <w:p w14:paraId="6B37DEFC" w14:textId="77777777" w:rsidR="00474BD1" w:rsidRDefault="00474BD1" w:rsidP="0014053A">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Monitoring</w:t>
            </w:r>
            <w:r>
              <w:rPr>
                <w:rFonts w:ascii="Calibri Light" w:eastAsia="Times New Roman" w:hAnsi="Calibri Light" w:cs="Times New Roman"/>
                <w:iCs/>
                <w:color w:val="auto"/>
                <w:szCs w:val="17"/>
              </w:rPr>
              <w:br/>
              <w:t>and</w:t>
            </w:r>
            <w:r>
              <w:rPr>
                <w:rFonts w:ascii="Calibri Light" w:eastAsia="Times New Roman" w:hAnsi="Calibri Light" w:cs="Times New Roman"/>
                <w:iCs/>
                <w:color w:val="auto"/>
                <w:szCs w:val="17"/>
              </w:rPr>
              <w:br/>
              <w:t>evaluation</w:t>
            </w:r>
          </w:p>
        </w:tc>
        <w:tc>
          <w:tcPr>
            <w:tcW w:w="411" w:type="pct"/>
            <w:tcBorders>
              <w:top w:val="single" w:sz="4" w:space="0" w:color="auto"/>
              <w:left w:val="single" w:sz="4" w:space="0" w:color="auto"/>
              <w:bottom w:val="single" w:sz="4" w:space="0" w:color="auto"/>
              <w:right w:val="single" w:sz="4" w:space="0" w:color="auto"/>
            </w:tcBorders>
            <w:shd w:val="clear" w:color="auto" w:fill="auto"/>
            <w:noWrap/>
          </w:tcPr>
          <w:p w14:paraId="59726374" w14:textId="77777777" w:rsidR="00474BD1" w:rsidRDefault="00474BD1" w:rsidP="0014053A">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Sustainability</w:t>
            </w:r>
          </w:p>
        </w:tc>
        <w:tc>
          <w:tcPr>
            <w:tcW w:w="410" w:type="pct"/>
            <w:tcBorders>
              <w:top w:val="single" w:sz="4" w:space="0" w:color="auto"/>
              <w:left w:val="single" w:sz="4" w:space="0" w:color="auto"/>
              <w:bottom w:val="single" w:sz="4" w:space="0" w:color="auto"/>
              <w:right w:val="single" w:sz="4" w:space="0" w:color="auto"/>
            </w:tcBorders>
            <w:shd w:val="clear" w:color="auto" w:fill="auto"/>
            <w:noWrap/>
          </w:tcPr>
          <w:p w14:paraId="145E475D" w14:textId="77777777" w:rsidR="00474BD1" w:rsidRDefault="00474BD1" w:rsidP="0014053A">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Gender</w:t>
            </w:r>
            <w:r>
              <w:rPr>
                <w:rFonts w:ascii="Calibri Light" w:eastAsia="Times New Roman" w:hAnsi="Calibri Light" w:cs="Times New Roman"/>
                <w:iCs/>
                <w:color w:val="auto"/>
                <w:szCs w:val="17"/>
              </w:rPr>
              <w:br/>
              <w:t>equality</w:t>
            </w:r>
          </w:p>
        </w:tc>
        <w:tc>
          <w:tcPr>
            <w:tcW w:w="406" w:type="pct"/>
            <w:tcBorders>
              <w:top w:val="single" w:sz="4" w:space="0" w:color="auto"/>
              <w:left w:val="single" w:sz="4" w:space="0" w:color="auto"/>
              <w:bottom w:val="single" w:sz="4" w:space="0" w:color="auto"/>
              <w:right w:val="nil"/>
            </w:tcBorders>
            <w:shd w:val="clear" w:color="auto" w:fill="auto"/>
          </w:tcPr>
          <w:p w14:paraId="7FE475AD" w14:textId="77777777" w:rsidR="00474BD1" w:rsidRDefault="00474BD1" w:rsidP="0014053A">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Risks and</w:t>
            </w:r>
            <w:r>
              <w:rPr>
                <w:rFonts w:ascii="Calibri Light" w:eastAsia="Times New Roman" w:hAnsi="Calibri Light" w:cs="Times New Roman"/>
                <w:iCs/>
                <w:color w:val="auto"/>
                <w:szCs w:val="17"/>
              </w:rPr>
              <w:br/>
              <w:t>safeguards</w:t>
            </w:r>
          </w:p>
        </w:tc>
      </w:tr>
      <w:tr w:rsidR="00474BD1" w14:paraId="6EBC0C45" w14:textId="77777777" w:rsidTr="0014053A">
        <w:trPr>
          <w:cnfStyle w:val="100000000000" w:firstRow="1" w:lastRow="0" w:firstColumn="0" w:lastColumn="0" w:oddVBand="0" w:evenVBand="0" w:oddHBand="0" w:evenHBand="0" w:firstRowFirstColumn="0" w:firstRowLastColumn="0" w:lastRowFirstColumn="0" w:lastRowLastColumn="0"/>
          <w:trHeight w:val="280"/>
        </w:trPr>
        <w:tc>
          <w:tcPr>
            <w:tcW w:w="934" w:type="pct"/>
            <w:tcBorders>
              <w:top w:val="single" w:sz="4" w:space="0" w:color="auto"/>
              <w:left w:val="nil"/>
              <w:right w:val="single" w:sz="4" w:space="0" w:color="auto"/>
            </w:tcBorders>
          </w:tcPr>
          <w:p w14:paraId="1DCE89BB" w14:textId="77777777" w:rsidR="00474BD1" w:rsidRPr="009A3987"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Access to Quality Education Program</w:t>
            </w:r>
          </w:p>
        </w:tc>
        <w:tc>
          <w:tcPr>
            <w:tcW w:w="678" w:type="pct"/>
            <w:tcBorders>
              <w:top w:val="single" w:sz="4" w:space="0" w:color="auto"/>
              <w:left w:val="single" w:sz="4" w:space="0" w:color="auto"/>
              <w:right w:val="single" w:sz="4" w:space="0" w:color="auto"/>
            </w:tcBorders>
            <w:hideMark/>
          </w:tcPr>
          <w:p w14:paraId="17869EEE" w14:textId="77777777" w:rsidR="00474BD1" w:rsidRPr="009A3987"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$64.1 million</w:t>
            </w:r>
          </w:p>
        </w:tc>
        <w:tc>
          <w:tcPr>
            <w:tcW w:w="435" w:type="pct"/>
            <w:tcBorders>
              <w:top w:val="single" w:sz="4" w:space="0" w:color="auto"/>
              <w:left w:val="single" w:sz="4" w:space="0" w:color="auto"/>
              <w:bottom w:val="single" w:sz="4" w:space="0" w:color="auto"/>
              <w:right w:val="single" w:sz="4" w:space="0" w:color="auto"/>
            </w:tcBorders>
            <w:hideMark/>
          </w:tcPr>
          <w:p w14:paraId="228BDBB1" w14:textId="77777777" w:rsidR="00474BD1" w:rsidRPr="009A3987"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2017 AQC</w:t>
            </w:r>
          </w:p>
        </w:tc>
        <w:tc>
          <w:tcPr>
            <w:tcW w:w="410" w:type="pct"/>
            <w:tcBorders>
              <w:top w:val="single" w:sz="4" w:space="0" w:color="auto"/>
              <w:left w:val="single" w:sz="4" w:space="0" w:color="auto"/>
              <w:bottom w:val="single" w:sz="4" w:space="0" w:color="auto"/>
              <w:right w:val="single" w:sz="4" w:space="0" w:color="auto"/>
            </w:tcBorders>
            <w:shd w:val="clear" w:color="auto" w:fill="92D050"/>
            <w:noWrap/>
            <w:hideMark/>
          </w:tcPr>
          <w:p w14:paraId="6A77D6DC"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401" w:type="pct"/>
            <w:tcBorders>
              <w:top w:val="single" w:sz="4" w:space="0" w:color="auto"/>
              <w:left w:val="single" w:sz="4" w:space="0" w:color="auto"/>
              <w:bottom w:val="single" w:sz="4" w:space="0" w:color="auto"/>
              <w:right w:val="single" w:sz="4" w:space="0" w:color="auto"/>
            </w:tcBorders>
            <w:shd w:val="clear" w:color="auto" w:fill="92D050"/>
            <w:noWrap/>
            <w:hideMark/>
          </w:tcPr>
          <w:p w14:paraId="127AB3A8"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399" w:type="pct"/>
            <w:tcBorders>
              <w:top w:val="single" w:sz="4" w:space="0" w:color="auto"/>
              <w:left w:val="single" w:sz="4" w:space="0" w:color="auto"/>
              <w:bottom w:val="single" w:sz="4" w:space="0" w:color="auto"/>
              <w:right w:val="single" w:sz="4" w:space="0" w:color="auto"/>
            </w:tcBorders>
            <w:shd w:val="clear" w:color="auto" w:fill="FFFF00"/>
            <w:noWrap/>
            <w:hideMark/>
          </w:tcPr>
          <w:p w14:paraId="084ADF91"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410" w:type="pct"/>
            <w:tcBorders>
              <w:top w:val="single" w:sz="4" w:space="0" w:color="auto"/>
              <w:left w:val="single" w:sz="4" w:space="0" w:color="auto"/>
              <w:bottom w:val="single" w:sz="4" w:space="0" w:color="auto"/>
              <w:right w:val="single" w:sz="4" w:space="0" w:color="auto"/>
            </w:tcBorders>
            <w:shd w:val="clear" w:color="auto" w:fill="FFFF00"/>
            <w:noWrap/>
            <w:hideMark/>
          </w:tcPr>
          <w:p w14:paraId="3B6F859C"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411" w:type="pct"/>
            <w:tcBorders>
              <w:top w:val="single" w:sz="4" w:space="0" w:color="auto"/>
              <w:left w:val="single" w:sz="4" w:space="0" w:color="auto"/>
              <w:bottom w:val="single" w:sz="4" w:space="0" w:color="auto"/>
              <w:right w:val="single" w:sz="4" w:space="0" w:color="auto"/>
            </w:tcBorders>
            <w:shd w:val="clear" w:color="auto" w:fill="FFFF00"/>
            <w:noWrap/>
            <w:hideMark/>
          </w:tcPr>
          <w:p w14:paraId="40657389"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410" w:type="pct"/>
            <w:tcBorders>
              <w:top w:val="single" w:sz="4" w:space="0" w:color="auto"/>
              <w:left w:val="single" w:sz="4" w:space="0" w:color="auto"/>
              <w:bottom w:val="single" w:sz="4" w:space="0" w:color="auto"/>
              <w:right w:val="single" w:sz="4" w:space="0" w:color="auto"/>
            </w:tcBorders>
            <w:shd w:val="clear" w:color="auto" w:fill="92D050"/>
            <w:noWrap/>
            <w:hideMark/>
          </w:tcPr>
          <w:p w14:paraId="0F0E1BA6"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406" w:type="pct"/>
            <w:tcBorders>
              <w:top w:val="single" w:sz="4" w:space="0" w:color="auto"/>
              <w:left w:val="single" w:sz="4" w:space="0" w:color="auto"/>
              <w:right w:val="nil"/>
            </w:tcBorders>
            <w:shd w:val="clear" w:color="auto" w:fill="auto"/>
            <w:hideMark/>
          </w:tcPr>
          <w:p w14:paraId="2B4770B8"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p>
        </w:tc>
      </w:tr>
      <w:tr w:rsidR="00474BD1" w14:paraId="0E1441CC" w14:textId="77777777" w:rsidTr="0014053A">
        <w:trPr>
          <w:cnfStyle w:val="100000000000" w:firstRow="1" w:lastRow="0" w:firstColumn="0" w:lastColumn="0" w:oddVBand="0" w:evenVBand="0" w:oddHBand="0" w:evenHBand="0" w:firstRowFirstColumn="0" w:firstRowLastColumn="0" w:lastRowFirstColumn="0" w:lastRowLastColumn="0"/>
          <w:trHeight w:val="280"/>
        </w:trPr>
        <w:tc>
          <w:tcPr>
            <w:tcW w:w="934" w:type="pct"/>
            <w:tcBorders>
              <w:top w:val="nil"/>
              <w:left w:val="nil"/>
              <w:bottom w:val="single" w:sz="4" w:space="0" w:color="auto"/>
              <w:right w:val="single" w:sz="4" w:space="0" w:color="auto"/>
            </w:tcBorders>
          </w:tcPr>
          <w:p w14:paraId="3F2FB392" w14:textId="77777777" w:rsidR="00474BD1" w:rsidRPr="009A3987" w:rsidRDefault="00474BD1" w:rsidP="0014053A">
            <w:pPr>
              <w:keepLines/>
              <w:spacing w:before="40" w:after="40" w:line="200" w:lineRule="atLeast"/>
              <w:rPr>
                <w:rFonts w:ascii="Calibri Light" w:hAnsi="Calibri Light"/>
                <w:b w:val="0"/>
                <w:color w:val="auto"/>
              </w:rPr>
            </w:pPr>
          </w:p>
        </w:tc>
        <w:tc>
          <w:tcPr>
            <w:tcW w:w="678" w:type="pct"/>
            <w:tcBorders>
              <w:top w:val="nil"/>
              <w:left w:val="single" w:sz="4" w:space="0" w:color="auto"/>
              <w:bottom w:val="single" w:sz="4" w:space="0" w:color="auto"/>
              <w:right w:val="single" w:sz="4" w:space="0" w:color="auto"/>
            </w:tcBorders>
            <w:hideMark/>
          </w:tcPr>
          <w:p w14:paraId="2408AF4C" w14:textId="77777777" w:rsidR="00474BD1" w:rsidRPr="009A3987"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2010-18</w:t>
            </w:r>
          </w:p>
        </w:tc>
        <w:tc>
          <w:tcPr>
            <w:tcW w:w="435" w:type="pct"/>
            <w:tcBorders>
              <w:top w:val="single" w:sz="4" w:space="0" w:color="auto"/>
              <w:left w:val="single" w:sz="4" w:space="0" w:color="auto"/>
              <w:bottom w:val="single" w:sz="4" w:space="0" w:color="auto"/>
              <w:right w:val="single" w:sz="4" w:space="0" w:color="auto"/>
            </w:tcBorders>
            <w:hideMark/>
          </w:tcPr>
          <w:p w14:paraId="7C39C67B" w14:textId="77777777" w:rsidR="00474BD1" w:rsidRPr="009A3987"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2016 AQC</w:t>
            </w:r>
          </w:p>
        </w:tc>
        <w:tc>
          <w:tcPr>
            <w:tcW w:w="410" w:type="pct"/>
            <w:tcBorders>
              <w:top w:val="single" w:sz="4" w:space="0" w:color="auto"/>
              <w:left w:val="single" w:sz="4" w:space="0" w:color="auto"/>
              <w:bottom w:val="single" w:sz="4" w:space="0" w:color="auto"/>
              <w:right w:val="single" w:sz="4" w:space="0" w:color="auto"/>
            </w:tcBorders>
            <w:shd w:val="clear" w:color="auto" w:fill="92D050"/>
            <w:noWrap/>
            <w:hideMark/>
          </w:tcPr>
          <w:p w14:paraId="4F804EA6"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6</w:t>
            </w:r>
          </w:p>
        </w:tc>
        <w:tc>
          <w:tcPr>
            <w:tcW w:w="401" w:type="pct"/>
            <w:tcBorders>
              <w:top w:val="single" w:sz="4" w:space="0" w:color="auto"/>
              <w:left w:val="single" w:sz="4" w:space="0" w:color="auto"/>
              <w:bottom w:val="single" w:sz="4" w:space="0" w:color="auto"/>
              <w:right w:val="single" w:sz="4" w:space="0" w:color="auto"/>
            </w:tcBorders>
            <w:shd w:val="clear" w:color="auto" w:fill="92D050"/>
            <w:noWrap/>
            <w:hideMark/>
          </w:tcPr>
          <w:p w14:paraId="08561ACA"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399" w:type="pct"/>
            <w:tcBorders>
              <w:top w:val="single" w:sz="4" w:space="0" w:color="auto"/>
              <w:left w:val="single" w:sz="4" w:space="0" w:color="auto"/>
              <w:bottom w:val="single" w:sz="4" w:space="0" w:color="auto"/>
              <w:right w:val="single" w:sz="4" w:space="0" w:color="auto"/>
            </w:tcBorders>
            <w:shd w:val="clear" w:color="auto" w:fill="92D050"/>
            <w:noWrap/>
            <w:hideMark/>
          </w:tcPr>
          <w:p w14:paraId="6A4E5ABF"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410" w:type="pct"/>
            <w:tcBorders>
              <w:top w:val="single" w:sz="4" w:space="0" w:color="auto"/>
              <w:left w:val="single" w:sz="4" w:space="0" w:color="auto"/>
              <w:bottom w:val="single" w:sz="4" w:space="0" w:color="auto"/>
              <w:right w:val="single" w:sz="4" w:space="0" w:color="auto"/>
            </w:tcBorders>
            <w:shd w:val="clear" w:color="auto" w:fill="92D050"/>
            <w:noWrap/>
            <w:hideMark/>
          </w:tcPr>
          <w:p w14:paraId="5AFC4766"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411" w:type="pct"/>
            <w:tcBorders>
              <w:top w:val="single" w:sz="4" w:space="0" w:color="auto"/>
              <w:left w:val="single" w:sz="4" w:space="0" w:color="auto"/>
              <w:bottom w:val="single" w:sz="4" w:space="0" w:color="auto"/>
              <w:right w:val="single" w:sz="4" w:space="0" w:color="auto"/>
            </w:tcBorders>
            <w:shd w:val="clear" w:color="auto" w:fill="FFC000"/>
            <w:noWrap/>
            <w:hideMark/>
          </w:tcPr>
          <w:p w14:paraId="1B4BF11E"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3</w:t>
            </w:r>
          </w:p>
        </w:tc>
        <w:tc>
          <w:tcPr>
            <w:tcW w:w="410" w:type="pct"/>
            <w:tcBorders>
              <w:top w:val="single" w:sz="4" w:space="0" w:color="auto"/>
              <w:left w:val="single" w:sz="4" w:space="0" w:color="auto"/>
              <w:bottom w:val="single" w:sz="4" w:space="0" w:color="auto"/>
              <w:right w:val="single" w:sz="4" w:space="0" w:color="auto"/>
            </w:tcBorders>
            <w:shd w:val="clear" w:color="auto" w:fill="92D050"/>
            <w:noWrap/>
            <w:hideMark/>
          </w:tcPr>
          <w:p w14:paraId="4B6DD64D"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406" w:type="pct"/>
            <w:tcBorders>
              <w:top w:val="single" w:sz="4" w:space="0" w:color="auto"/>
              <w:left w:val="single" w:sz="4" w:space="0" w:color="auto"/>
              <w:bottom w:val="single" w:sz="4" w:space="0" w:color="auto"/>
              <w:right w:val="nil"/>
            </w:tcBorders>
            <w:shd w:val="clear" w:color="auto" w:fill="92D050"/>
            <w:hideMark/>
          </w:tcPr>
          <w:p w14:paraId="4FC32FF9"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r>
      <w:tr w:rsidR="00474BD1" w14:paraId="6FE5A25F" w14:textId="77777777" w:rsidTr="00B90DFB">
        <w:trPr>
          <w:cnfStyle w:val="100000000000" w:firstRow="1" w:lastRow="0" w:firstColumn="0" w:lastColumn="0" w:oddVBand="0" w:evenVBand="0" w:oddHBand="0" w:evenHBand="0" w:firstRowFirstColumn="0" w:firstRowLastColumn="0" w:lastRowFirstColumn="0" w:lastRowLastColumn="0"/>
          <w:trHeight w:val="280"/>
        </w:trPr>
        <w:tc>
          <w:tcPr>
            <w:tcW w:w="934" w:type="pct"/>
            <w:tcBorders>
              <w:top w:val="single" w:sz="4" w:space="0" w:color="auto"/>
              <w:left w:val="nil"/>
              <w:right w:val="single" w:sz="4" w:space="0" w:color="auto"/>
            </w:tcBorders>
          </w:tcPr>
          <w:p w14:paraId="3A2CD686" w14:textId="77777777" w:rsidR="00474BD1" w:rsidRPr="009A3987"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Pacific Women in Fiji</w:t>
            </w:r>
          </w:p>
        </w:tc>
        <w:tc>
          <w:tcPr>
            <w:tcW w:w="678" w:type="pct"/>
            <w:tcBorders>
              <w:top w:val="single" w:sz="4" w:space="0" w:color="auto"/>
              <w:left w:val="single" w:sz="4" w:space="0" w:color="auto"/>
              <w:right w:val="single" w:sz="4" w:space="0" w:color="auto"/>
            </w:tcBorders>
          </w:tcPr>
          <w:p w14:paraId="652E9AFC" w14:textId="77777777" w:rsidR="00474BD1" w:rsidRPr="009A3987"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$26.3 million</w:t>
            </w:r>
          </w:p>
        </w:tc>
        <w:tc>
          <w:tcPr>
            <w:tcW w:w="435" w:type="pct"/>
            <w:tcBorders>
              <w:top w:val="single" w:sz="4" w:space="0" w:color="auto"/>
              <w:left w:val="single" w:sz="4" w:space="0" w:color="auto"/>
              <w:bottom w:val="single" w:sz="4" w:space="0" w:color="auto"/>
              <w:right w:val="single" w:sz="4" w:space="0" w:color="auto"/>
            </w:tcBorders>
          </w:tcPr>
          <w:p w14:paraId="47FC9A40" w14:textId="77777777" w:rsidR="00474BD1" w:rsidRPr="009A3987"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2017 AQC</w:t>
            </w:r>
          </w:p>
        </w:tc>
        <w:tc>
          <w:tcPr>
            <w:tcW w:w="410" w:type="pct"/>
            <w:tcBorders>
              <w:top w:val="single" w:sz="4" w:space="0" w:color="auto"/>
              <w:left w:val="single" w:sz="4" w:space="0" w:color="auto"/>
              <w:bottom w:val="single" w:sz="4" w:space="0" w:color="auto"/>
              <w:right w:val="single" w:sz="4" w:space="0" w:color="auto"/>
            </w:tcBorders>
            <w:shd w:val="clear" w:color="auto" w:fill="92D050"/>
            <w:noWrap/>
          </w:tcPr>
          <w:p w14:paraId="40B667E2"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401" w:type="pct"/>
            <w:tcBorders>
              <w:top w:val="single" w:sz="4" w:space="0" w:color="auto"/>
              <w:left w:val="single" w:sz="4" w:space="0" w:color="auto"/>
              <w:bottom w:val="single" w:sz="4" w:space="0" w:color="auto"/>
              <w:right w:val="single" w:sz="4" w:space="0" w:color="auto"/>
            </w:tcBorders>
            <w:shd w:val="clear" w:color="auto" w:fill="FFFF00"/>
            <w:noWrap/>
          </w:tcPr>
          <w:p w14:paraId="30BC32C0"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399" w:type="pct"/>
            <w:tcBorders>
              <w:top w:val="single" w:sz="4" w:space="0" w:color="auto"/>
              <w:left w:val="single" w:sz="4" w:space="0" w:color="auto"/>
              <w:bottom w:val="single" w:sz="4" w:space="0" w:color="auto"/>
              <w:right w:val="single" w:sz="4" w:space="0" w:color="auto"/>
            </w:tcBorders>
            <w:shd w:val="clear" w:color="auto" w:fill="FFFF00"/>
            <w:noWrap/>
          </w:tcPr>
          <w:p w14:paraId="3EF3CDEF"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410" w:type="pct"/>
            <w:tcBorders>
              <w:top w:val="single" w:sz="4" w:space="0" w:color="auto"/>
              <w:left w:val="single" w:sz="4" w:space="0" w:color="auto"/>
              <w:bottom w:val="single" w:sz="4" w:space="0" w:color="auto"/>
              <w:right w:val="single" w:sz="4" w:space="0" w:color="auto"/>
            </w:tcBorders>
            <w:shd w:val="clear" w:color="auto" w:fill="FFFF00"/>
            <w:noWrap/>
          </w:tcPr>
          <w:p w14:paraId="2A303007"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411" w:type="pct"/>
            <w:tcBorders>
              <w:top w:val="single" w:sz="4" w:space="0" w:color="auto"/>
              <w:left w:val="single" w:sz="4" w:space="0" w:color="auto"/>
              <w:bottom w:val="single" w:sz="4" w:space="0" w:color="auto"/>
              <w:right w:val="single" w:sz="4" w:space="0" w:color="auto"/>
            </w:tcBorders>
            <w:shd w:val="clear" w:color="auto" w:fill="FFC000"/>
            <w:noWrap/>
          </w:tcPr>
          <w:p w14:paraId="15AF4D18" w14:textId="071947D7" w:rsidR="00474BD1" w:rsidRDefault="00B90DFB"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3</w:t>
            </w:r>
          </w:p>
        </w:tc>
        <w:tc>
          <w:tcPr>
            <w:tcW w:w="410" w:type="pct"/>
            <w:tcBorders>
              <w:top w:val="single" w:sz="4" w:space="0" w:color="auto"/>
              <w:left w:val="single" w:sz="4" w:space="0" w:color="auto"/>
              <w:bottom w:val="single" w:sz="4" w:space="0" w:color="auto"/>
              <w:right w:val="single" w:sz="4" w:space="0" w:color="auto"/>
            </w:tcBorders>
            <w:shd w:val="clear" w:color="auto" w:fill="92D050"/>
            <w:noWrap/>
          </w:tcPr>
          <w:p w14:paraId="012D4F50"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406" w:type="pct"/>
            <w:tcBorders>
              <w:top w:val="single" w:sz="4" w:space="0" w:color="auto"/>
              <w:left w:val="single" w:sz="4" w:space="0" w:color="auto"/>
              <w:bottom w:val="single" w:sz="4" w:space="0" w:color="auto"/>
              <w:right w:val="nil"/>
            </w:tcBorders>
            <w:shd w:val="clear" w:color="auto" w:fill="auto"/>
          </w:tcPr>
          <w:p w14:paraId="42486F61"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p>
        </w:tc>
      </w:tr>
      <w:tr w:rsidR="00474BD1" w14:paraId="476D63E3" w14:textId="77777777" w:rsidTr="0014053A">
        <w:trPr>
          <w:cnfStyle w:val="100000000000" w:firstRow="1" w:lastRow="0" w:firstColumn="0" w:lastColumn="0" w:oddVBand="0" w:evenVBand="0" w:oddHBand="0" w:evenHBand="0" w:firstRowFirstColumn="0" w:firstRowLastColumn="0" w:lastRowFirstColumn="0" w:lastRowLastColumn="0"/>
          <w:trHeight w:val="280"/>
        </w:trPr>
        <w:tc>
          <w:tcPr>
            <w:tcW w:w="934" w:type="pct"/>
            <w:tcBorders>
              <w:top w:val="nil"/>
              <w:left w:val="nil"/>
              <w:bottom w:val="single" w:sz="4" w:space="0" w:color="auto"/>
              <w:right w:val="single" w:sz="4" w:space="0" w:color="auto"/>
            </w:tcBorders>
          </w:tcPr>
          <w:p w14:paraId="5792FC6A" w14:textId="77777777" w:rsidR="00474BD1" w:rsidRPr="009A3987" w:rsidRDefault="00474BD1" w:rsidP="0014053A">
            <w:pPr>
              <w:keepLines/>
              <w:spacing w:before="40" w:after="40" w:line="200" w:lineRule="atLeast"/>
              <w:rPr>
                <w:rFonts w:ascii="Calibri Light" w:hAnsi="Calibri Light"/>
                <w:b w:val="0"/>
                <w:color w:val="auto"/>
              </w:rPr>
            </w:pPr>
          </w:p>
        </w:tc>
        <w:tc>
          <w:tcPr>
            <w:tcW w:w="678" w:type="pct"/>
            <w:tcBorders>
              <w:top w:val="nil"/>
              <w:left w:val="single" w:sz="4" w:space="0" w:color="auto"/>
              <w:bottom w:val="single" w:sz="4" w:space="0" w:color="auto"/>
              <w:right w:val="single" w:sz="4" w:space="0" w:color="auto"/>
            </w:tcBorders>
          </w:tcPr>
          <w:p w14:paraId="3CEA498C" w14:textId="77777777" w:rsidR="00474BD1" w:rsidRPr="009A3987"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2014-22</w:t>
            </w:r>
          </w:p>
        </w:tc>
        <w:tc>
          <w:tcPr>
            <w:tcW w:w="435" w:type="pct"/>
            <w:tcBorders>
              <w:top w:val="single" w:sz="4" w:space="0" w:color="auto"/>
              <w:left w:val="single" w:sz="4" w:space="0" w:color="auto"/>
              <w:bottom w:val="single" w:sz="4" w:space="0" w:color="auto"/>
              <w:right w:val="single" w:sz="4" w:space="0" w:color="auto"/>
            </w:tcBorders>
          </w:tcPr>
          <w:p w14:paraId="03144DF0" w14:textId="77777777" w:rsidR="00474BD1" w:rsidRPr="009A3987"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2016 AQC</w:t>
            </w:r>
          </w:p>
        </w:tc>
        <w:tc>
          <w:tcPr>
            <w:tcW w:w="410" w:type="pct"/>
            <w:tcBorders>
              <w:top w:val="single" w:sz="4" w:space="0" w:color="auto"/>
              <w:left w:val="single" w:sz="4" w:space="0" w:color="auto"/>
              <w:bottom w:val="single" w:sz="4" w:space="0" w:color="auto"/>
              <w:right w:val="single" w:sz="4" w:space="0" w:color="auto"/>
            </w:tcBorders>
            <w:shd w:val="clear" w:color="auto" w:fill="92D050"/>
            <w:noWrap/>
          </w:tcPr>
          <w:p w14:paraId="3CFEAE01"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401" w:type="pct"/>
            <w:tcBorders>
              <w:top w:val="single" w:sz="4" w:space="0" w:color="auto"/>
              <w:left w:val="single" w:sz="4" w:space="0" w:color="auto"/>
              <w:bottom w:val="single" w:sz="4" w:space="0" w:color="auto"/>
              <w:right w:val="single" w:sz="4" w:space="0" w:color="auto"/>
            </w:tcBorders>
            <w:shd w:val="clear" w:color="auto" w:fill="FFC000"/>
            <w:noWrap/>
          </w:tcPr>
          <w:p w14:paraId="11663097"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3</w:t>
            </w:r>
          </w:p>
        </w:tc>
        <w:tc>
          <w:tcPr>
            <w:tcW w:w="399" w:type="pct"/>
            <w:tcBorders>
              <w:top w:val="single" w:sz="4" w:space="0" w:color="auto"/>
              <w:left w:val="single" w:sz="4" w:space="0" w:color="auto"/>
              <w:bottom w:val="single" w:sz="4" w:space="0" w:color="auto"/>
              <w:right w:val="single" w:sz="4" w:space="0" w:color="auto"/>
            </w:tcBorders>
            <w:shd w:val="clear" w:color="auto" w:fill="FFFF00"/>
            <w:noWrap/>
          </w:tcPr>
          <w:p w14:paraId="1862BB45"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410" w:type="pct"/>
            <w:tcBorders>
              <w:top w:val="single" w:sz="4" w:space="0" w:color="auto"/>
              <w:left w:val="single" w:sz="4" w:space="0" w:color="auto"/>
              <w:bottom w:val="single" w:sz="4" w:space="0" w:color="auto"/>
              <w:right w:val="single" w:sz="4" w:space="0" w:color="auto"/>
            </w:tcBorders>
            <w:shd w:val="clear" w:color="auto" w:fill="FFFF00"/>
            <w:noWrap/>
          </w:tcPr>
          <w:p w14:paraId="1EB6F234"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411" w:type="pct"/>
            <w:tcBorders>
              <w:top w:val="single" w:sz="4" w:space="0" w:color="auto"/>
              <w:left w:val="single" w:sz="4" w:space="0" w:color="auto"/>
              <w:bottom w:val="single" w:sz="4" w:space="0" w:color="auto"/>
              <w:right w:val="single" w:sz="4" w:space="0" w:color="auto"/>
            </w:tcBorders>
            <w:shd w:val="clear" w:color="auto" w:fill="FFFF00"/>
            <w:noWrap/>
          </w:tcPr>
          <w:p w14:paraId="6B7667D7"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410" w:type="pct"/>
            <w:tcBorders>
              <w:top w:val="single" w:sz="4" w:space="0" w:color="auto"/>
              <w:left w:val="single" w:sz="4" w:space="0" w:color="auto"/>
              <w:bottom w:val="single" w:sz="4" w:space="0" w:color="auto"/>
              <w:right w:val="single" w:sz="4" w:space="0" w:color="auto"/>
            </w:tcBorders>
            <w:shd w:val="clear" w:color="auto" w:fill="92D050"/>
            <w:noWrap/>
          </w:tcPr>
          <w:p w14:paraId="387A90BA"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406" w:type="pct"/>
            <w:tcBorders>
              <w:top w:val="single" w:sz="4" w:space="0" w:color="auto"/>
              <w:left w:val="single" w:sz="4" w:space="0" w:color="auto"/>
              <w:bottom w:val="single" w:sz="4" w:space="0" w:color="auto"/>
              <w:right w:val="nil"/>
            </w:tcBorders>
            <w:shd w:val="clear" w:color="auto" w:fill="92D050"/>
          </w:tcPr>
          <w:p w14:paraId="510EFF85"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r>
      <w:tr w:rsidR="00474BD1" w14:paraId="3F163A47" w14:textId="77777777" w:rsidTr="00B90DFB">
        <w:trPr>
          <w:cnfStyle w:val="100000000000" w:firstRow="1" w:lastRow="0" w:firstColumn="0" w:lastColumn="0" w:oddVBand="0" w:evenVBand="0" w:oddHBand="0" w:evenHBand="0" w:firstRowFirstColumn="0" w:firstRowLastColumn="0" w:lastRowFirstColumn="0" w:lastRowLastColumn="0"/>
          <w:trHeight w:val="280"/>
        </w:trPr>
        <w:tc>
          <w:tcPr>
            <w:tcW w:w="934" w:type="pct"/>
            <w:tcBorders>
              <w:top w:val="single" w:sz="4" w:space="0" w:color="auto"/>
              <w:left w:val="nil"/>
              <w:right w:val="single" w:sz="4" w:space="0" w:color="auto"/>
            </w:tcBorders>
          </w:tcPr>
          <w:p w14:paraId="4A9DDBBF" w14:textId="224D9423" w:rsidR="00474BD1" w:rsidRPr="009A3987"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Governance (Fiji Transition to Democracy including Institutional Partnerships Program</w:t>
            </w:r>
            <w:r w:rsidR="00B90DFB">
              <w:rPr>
                <w:rFonts w:ascii="Calibri Light" w:hAnsi="Calibri Light"/>
                <w:b w:val="0"/>
                <w:color w:val="auto"/>
              </w:rPr>
              <w:t>)</w:t>
            </w:r>
          </w:p>
        </w:tc>
        <w:tc>
          <w:tcPr>
            <w:tcW w:w="678" w:type="pct"/>
            <w:tcBorders>
              <w:top w:val="single" w:sz="4" w:space="0" w:color="auto"/>
              <w:left w:val="single" w:sz="4" w:space="0" w:color="auto"/>
              <w:right w:val="single" w:sz="4" w:space="0" w:color="auto"/>
            </w:tcBorders>
          </w:tcPr>
          <w:p w14:paraId="250417E3" w14:textId="5E64CDAA" w:rsidR="00474BD1"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w:t>
            </w:r>
            <w:r w:rsidR="008D19F3">
              <w:rPr>
                <w:rFonts w:ascii="Calibri Light" w:hAnsi="Calibri Light"/>
                <w:b w:val="0"/>
                <w:color w:val="auto"/>
              </w:rPr>
              <w:t>14.3</w:t>
            </w:r>
            <w:r>
              <w:rPr>
                <w:rFonts w:ascii="Calibri Light" w:hAnsi="Calibri Light"/>
                <w:b w:val="0"/>
                <w:color w:val="auto"/>
              </w:rPr>
              <w:t xml:space="preserve"> million</w:t>
            </w:r>
          </w:p>
          <w:p w14:paraId="29152FB7" w14:textId="10553E47" w:rsidR="00474BD1" w:rsidRPr="009A3987" w:rsidRDefault="008D19F3" w:rsidP="0014053A">
            <w:pPr>
              <w:keepLines/>
              <w:spacing w:before="40" w:after="40" w:line="200" w:lineRule="atLeast"/>
              <w:rPr>
                <w:rFonts w:ascii="Calibri Light" w:hAnsi="Calibri Light"/>
                <w:b w:val="0"/>
                <w:color w:val="auto"/>
              </w:rPr>
            </w:pPr>
            <w:r>
              <w:rPr>
                <w:rFonts w:ascii="Calibri Light" w:hAnsi="Calibri Light"/>
                <w:b w:val="0"/>
                <w:color w:val="auto"/>
              </w:rPr>
              <w:t>2014-22</w:t>
            </w:r>
          </w:p>
        </w:tc>
        <w:tc>
          <w:tcPr>
            <w:tcW w:w="435" w:type="pct"/>
            <w:tcBorders>
              <w:top w:val="single" w:sz="4" w:space="0" w:color="auto"/>
              <w:left w:val="single" w:sz="4" w:space="0" w:color="auto"/>
              <w:bottom w:val="single" w:sz="4" w:space="0" w:color="auto"/>
              <w:right w:val="single" w:sz="4" w:space="0" w:color="auto"/>
            </w:tcBorders>
          </w:tcPr>
          <w:p w14:paraId="2CD44790" w14:textId="77777777" w:rsidR="00474BD1" w:rsidRPr="009A3987"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2017 AQC</w:t>
            </w:r>
          </w:p>
        </w:tc>
        <w:tc>
          <w:tcPr>
            <w:tcW w:w="410" w:type="pct"/>
            <w:tcBorders>
              <w:top w:val="single" w:sz="4" w:space="0" w:color="auto"/>
              <w:left w:val="single" w:sz="4" w:space="0" w:color="auto"/>
              <w:bottom w:val="single" w:sz="4" w:space="0" w:color="auto"/>
              <w:right w:val="single" w:sz="4" w:space="0" w:color="auto"/>
            </w:tcBorders>
            <w:shd w:val="clear" w:color="auto" w:fill="92D050"/>
            <w:noWrap/>
          </w:tcPr>
          <w:p w14:paraId="66CA2F1C"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401" w:type="pct"/>
            <w:tcBorders>
              <w:top w:val="single" w:sz="4" w:space="0" w:color="auto"/>
              <w:left w:val="single" w:sz="4" w:space="0" w:color="auto"/>
              <w:bottom w:val="single" w:sz="4" w:space="0" w:color="auto"/>
              <w:right w:val="single" w:sz="4" w:space="0" w:color="auto"/>
            </w:tcBorders>
            <w:shd w:val="clear" w:color="auto" w:fill="FFFF00"/>
            <w:noWrap/>
          </w:tcPr>
          <w:p w14:paraId="757E302B"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399" w:type="pct"/>
            <w:tcBorders>
              <w:top w:val="single" w:sz="4" w:space="0" w:color="auto"/>
              <w:left w:val="single" w:sz="4" w:space="0" w:color="auto"/>
              <w:bottom w:val="single" w:sz="4" w:space="0" w:color="auto"/>
              <w:right w:val="single" w:sz="4" w:space="0" w:color="auto"/>
            </w:tcBorders>
            <w:shd w:val="clear" w:color="auto" w:fill="FFC000"/>
            <w:noWrap/>
          </w:tcPr>
          <w:p w14:paraId="050ACA26" w14:textId="76A06578" w:rsidR="00474BD1" w:rsidRDefault="00B90DFB"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3</w:t>
            </w:r>
          </w:p>
        </w:tc>
        <w:tc>
          <w:tcPr>
            <w:tcW w:w="410" w:type="pct"/>
            <w:tcBorders>
              <w:top w:val="single" w:sz="4" w:space="0" w:color="auto"/>
              <w:left w:val="single" w:sz="4" w:space="0" w:color="auto"/>
              <w:bottom w:val="single" w:sz="4" w:space="0" w:color="auto"/>
              <w:right w:val="single" w:sz="4" w:space="0" w:color="auto"/>
            </w:tcBorders>
            <w:shd w:val="clear" w:color="auto" w:fill="FFC000"/>
            <w:noWrap/>
          </w:tcPr>
          <w:p w14:paraId="09F9D645"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3</w:t>
            </w:r>
          </w:p>
        </w:tc>
        <w:tc>
          <w:tcPr>
            <w:tcW w:w="411" w:type="pct"/>
            <w:tcBorders>
              <w:top w:val="single" w:sz="4" w:space="0" w:color="auto"/>
              <w:left w:val="single" w:sz="4" w:space="0" w:color="auto"/>
              <w:bottom w:val="single" w:sz="4" w:space="0" w:color="auto"/>
              <w:right w:val="single" w:sz="4" w:space="0" w:color="auto"/>
            </w:tcBorders>
            <w:shd w:val="clear" w:color="auto" w:fill="FFFF00"/>
            <w:noWrap/>
          </w:tcPr>
          <w:p w14:paraId="509DCCF6"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410" w:type="pct"/>
            <w:tcBorders>
              <w:top w:val="single" w:sz="4" w:space="0" w:color="auto"/>
              <w:left w:val="single" w:sz="4" w:space="0" w:color="auto"/>
              <w:bottom w:val="single" w:sz="4" w:space="0" w:color="auto"/>
              <w:right w:val="single" w:sz="4" w:space="0" w:color="auto"/>
            </w:tcBorders>
            <w:shd w:val="clear" w:color="auto" w:fill="FFC000"/>
            <w:noWrap/>
          </w:tcPr>
          <w:p w14:paraId="50CCE689"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3</w:t>
            </w:r>
          </w:p>
        </w:tc>
        <w:tc>
          <w:tcPr>
            <w:tcW w:w="406" w:type="pct"/>
            <w:tcBorders>
              <w:top w:val="single" w:sz="4" w:space="0" w:color="auto"/>
              <w:left w:val="single" w:sz="4" w:space="0" w:color="auto"/>
              <w:bottom w:val="single" w:sz="4" w:space="0" w:color="auto"/>
              <w:right w:val="nil"/>
            </w:tcBorders>
            <w:shd w:val="clear" w:color="auto" w:fill="auto"/>
          </w:tcPr>
          <w:p w14:paraId="5FB5088F"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p>
        </w:tc>
      </w:tr>
      <w:tr w:rsidR="00474BD1" w14:paraId="7A983F58" w14:textId="77777777" w:rsidTr="0014053A">
        <w:trPr>
          <w:cnfStyle w:val="100000000000" w:firstRow="1" w:lastRow="0" w:firstColumn="0" w:lastColumn="0" w:oddVBand="0" w:evenVBand="0" w:oddHBand="0" w:evenHBand="0" w:firstRowFirstColumn="0" w:firstRowLastColumn="0" w:lastRowFirstColumn="0" w:lastRowLastColumn="0"/>
          <w:trHeight w:val="280"/>
        </w:trPr>
        <w:tc>
          <w:tcPr>
            <w:tcW w:w="934" w:type="pct"/>
            <w:tcBorders>
              <w:top w:val="nil"/>
              <w:left w:val="nil"/>
              <w:bottom w:val="single" w:sz="4" w:space="0" w:color="auto"/>
              <w:right w:val="single" w:sz="4" w:space="0" w:color="auto"/>
            </w:tcBorders>
          </w:tcPr>
          <w:p w14:paraId="52C697F3" w14:textId="77777777" w:rsidR="00474BD1" w:rsidRPr="009A3987" w:rsidRDefault="00474BD1" w:rsidP="0014053A">
            <w:pPr>
              <w:keepLines/>
              <w:spacing w:before="40" w:after="40" w:line="200" w:lineRule="atLeast"/>
              <w:rPr>
                <w:rFonts w:ascii="Calibri Light" w:hAnsi="Calibri Light"/>
                <w:b w:val="0"/>
                <w:color w:val="auto"/>
              </w:rPr>
            </w:pPr>
          </w:p>
        </w:tc>
        <w:tc>
          <w:tcPr>
            <w:tcW w:w="678" w:type="pct"/>
            <w:tcBorders>
              <w:top w:val="nil"/>
              <w:left w:val="single" w:sz="4" w:space="0" w:color="auto"/>
              <w:bottom w:val="single" w:sz="4" w:space="0" w:color="auto"/>
              <w:right w:val="single" w:sz="4" w:space="0" w:color="auto"/>
            </w:tcBorders>
          </w:tcPr>
          <w:p w14:paraId="27C01D2C" w14:textId="77777777" w:rsidR="00474BD1" w:rsidRPr="009A3987" w:rsidRDefault="00474BD1" w:rsidP="0014053A">
            <w:pPr>
              <w:keepLines/>
              <w:spacing w:before="40" w:after="40" w:line="200" w:lineRule="atLeast"/>
              <w:rPr>
                <w:rFonts w:ascii="Calibri Light" w:hAnsi="Calibri Light"/>
                <w:b w:val="0"/>
                <w:color w:val="auto"/>
              </w:rPr>
            </w:pPr>
          </w:p>
        </w:tc>
        <w:tc>
          <w:tcPr>
            <w:tcW w:w="435" w:type="pct"/>
            <w:tcBorders>
              <w:top w:val="single" w:sz="4" w:space="0" w:color="auto"/>
              <w:left w:val="single" w:sz="4" w:space="0" w:color="auto"/>
              <w:bottom w:val="single" w:sz="4" w:space="0" w:color="auto"/>
              <w:right w:val="single" w:sz="4" w:space="0" w:color="auto"/>
            </w:tcBorders>
          </w:tcPr>
          <w:p w14:paraId="102BD6F0" w14:textId="77777777" w:rsidR="00474BD1" w:rsidRPr="009A3987"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2016 AQC</w:t>
            </w:r>
          </w:p>
        </w:tc>
        <w:tc>
          <w:tcPr>
            <w:tcW w:w="410" w:type="pct"/>
            <w:tcBorders>
              <w:top w:val="single" w:sz="4" w:space="0" w:color="auto"/>
              <w:left w:val="single" w:sz="4" w:space="0" w:color="auto"/>
              <w:bottom w:val="single" w:sz="4" w:space="0" w:color="auto"/>
              <w:right w:val="single" w:sz="4" w:space="0" w:color="auto"/>
            </w:tcBorders>
            <w:shd w:val="clear" w:color="auto" w:fill="92D050"/>
            <w:noWrap/>
          </w:tcPr>
          <w:p w14:paraId="7CE16045"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6</w:t>
            </w:r>
          </w:p>
        </w:tc>
        <w:tc>
          <w:tcPr>
            <w:tcW w:w="401" w:type="pct"/>
            <w:tcBorders>
              <w:top w:val="single" w:sz="4" w:space="0" w:color="auto"/>
              <w:left w:val="single" w:sz="4" w:space="0" w:color="auto"/>
              <w:bottom w:val="single" w:sz="4" w:space="0" w:color="auto"/>
              <w:right w:val="single" w:sz="4" w:space="0" w:color="auto"/>
            </w:tcBorders>
            <w:shd w:val="clear" w:color="auto" w:fill="92D050"/>
            <w:noWrap/>
          </w:tcPr>
          <w:p w14:paraId="6D3721E9"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399" w:type="pct"/>
            <w:tcBorders>
              <w:top w:val="single" w:sz="4" w:space="0" w:color="auto"/>
              <w:left w:val="single" w:sz="4" w:space="0" w:color="auto"/>
              <w:bottom w:val="single" w:sz="4" w:space="0" w:color="auto"/>
              <w:right w:val="single" w:sz="4" w:space="0" w:color="auto"/>
            </w:tcBorders>
            <w:shd w:val="clear" w:color="auto" w:fill="92D050"/>
            <w:noWrap/>
          </w:tcPr>
          <w:p w14:paraId="771CE8BE"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410" w:type="pct"/>
            <w:tcBorders>
              <w:top w:val="single" w:sz="4" w:space="0" w:color="auto"/>
              <w:left w:val="single" w:sz="4" w:space="0" w:color="auto"/>
              <w:bottom w:val="single" w:sz="4" w:space="0" w:color="auto"/>
              <w:right w:val="single" w:sz="4" w:space="0" w:color="auto"/>
            </w:tcBorders>
            <w:shd w:val="clear" w:color="auto" w:fill="FFFF00"/>
            <w:noWrap/>
          </w:tcPr>
          <w:p w14:paraId="2B19C007"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411" w:type="pct"/>
            <w:tcBorders>
              <w:top w:val="single" w:sz="4" w:space="0" w:color="auto"/>
              <w:left w:val="single" w:sz="4" w:space="0" w:color="auto"/>
              <w:bottom w:val="single" w:sz="4" w:space="0" w:color="auto"/>
              <w:right w:val="single" w:sz="4" w:space="0" w:color="auto"/>
            </w:tcBorders>
            <w:shd w:val="clear" w:color="auto" w:fill="92D050"/>
            <w:noWrap/>
          </w:tcPr>
          <w:p w14:paraId="15E8A1E4"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410" w:type="pct"/>
            <w:tcBorders>
              <w:top w:val="single" w:sz="4" w:space="0" w:color="auto"/>
              <w:left w:val="single" w:sz="4" w:space="0" w:color="auto"/>
              <w:bottom w:val="single" w:sz="4" w:space="0" w:color="auto"/>
              <w:right w:val="single" w:sz="4" w:space="0" w:color="auto"/>
            </w:tcBorders>
            <w:shd w:val="clear" w:color="auto" w:fill="FFFF00"/>
            <w:noWrap/>
          </w:tcPr>
          <w:p w14:paraId="18975709"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406" w:type="pct"/>
            <w:tcBorders>
              <w:top w:val="single" w:sz="4" w:space="0" w:color="auto"/>
              <w:left w:val="single" w:sz="4" w:space="0" w:color="auto"/>
              <w:bottom w:val="single" w:sz="4" w:space="0" w:color="auto"/>
              <w:right w:val="nil"/>
            </w:tcBorders>
            <w:shd w:val="clear" w:color="auto" w:fill="92D050"/>
          </w:tcPr>
          <w:p w14:paraId="00F2B862"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r>
    </w:tbl>
    <w:p w14:paraId="3DC31891" w14:textId="77CB079A" w:rsidR="00474BD1" w:rsidRPr="004E0264" w:rsidRDefault="00151156" w:rsidP="00474BD1">
      <w:pPr>
        <w:keepNext/>
        <w:numPr>
          <w:ilvl w:val="2"/>
          <w:numId w:val="0"/>
        </w:numPr>
        <w:spacing w:before="240" w:after="120"/>
        <w:outlineLvl w:val="2"/>
      </w:pPr>
      <w:r>
        <w:rPr>
          <w:rFonts w:asciiTheme="majorHAnsi" w:eastAsiaTheme="majorEastAsia" w:hAnsiTheme="majorHAnsi" w:cstheme="majorBidi"/>
          <w:caps/>
          <w:sz w:val="38"/>
          <w:szCs w:val="26"/>
        </w:rPr>
        <w:t xml:space="preserve">humanitarian response aqc </w:t>
      </w:r>
      <w:r w:rsidR="00474BD1" w:rsidRPr="00784031">
        <w:rPr>
          <w:rFonts w:asciiTheme="majorHAnsi" w:eastAsiaTheme="majorEastAsia" w:hAnsiTheme="majorHAnsi" w:cstheme="majorBidi"/>
          <w:caps/>
          <w:sz w:val="38"/>
          <w:szCs w:val="26"/>
        </w:rPr>
        <w:t>ratings</w:t>
      </w:r>
    </w:p>
    <w:tbl>
      <w:tblPr>
        <w:tblStyle w:val="APPR2"/>
        <w:tblW w:w="51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016"/>
        <w:gridCol w:w="1210"/>
        <w:gridCol w:w="1210"/>
        <w:gridCol w:w="1210"/>
        <w:gridCol w:w="1210"/>
        <w:gridCol w:w="1210"/>
        <w:gridCol w:w="1361"/>
        <w:gridCol w:w="1327"/>
        <w:gridCol w:w="1314"/>
      </w:tblGrid>
      <w:tr w:rsidR="00474BD1" w14:paraId="5FBF051C" w14:textId="77777777" w:rsidTr="0014053A">
        <w:trPr>
          <w:cnfStyle w:val="100000000000" w:firstRow="1" w:lastRow="0" w:firstColumn="0" w:lastColumn="0" w:oddVBand="0" w:evenVBand="0" w:oddHBand="0" w:evenHBand="0" w:firstRowFirstColumn="0" w:firstRowLastColumn="0" w:lastRowFirstColumn="0" w:lastRowLastColumn="0"/>
          <w:trHeight w:val="280"/>
        </w:trPr>
        <w:tc>
          <w:tcPr>
            <w:tcW w:w="939" w:type="pct"/>
            <w:tcBorders>
              <w:top w:val="single" w:sz="4" w:space="0" w:color="auto"/>
              <w:left w:val="nil"/>
              <w:bottom w:val="single" w:sz="4" w:space="0" w:color="auto"/>
              <w:right w:val="single" w:sz="4" w:space="0" w:color="auto"/>
            </w:tcBorders>
          </w:tcPr>
          <w:p w14:paraId="009252F6" w14:textId="77777777" w:rsidR="00474BD1"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Investment name</w:t>
            </w:r>
          </w:p>
        </w:tc>
        <w:tc>
          <w:tcPr>
            <w:tcW w:w="681" w:type="pct"/>
            <w:tcBorders>
              <w:top w:val="single" w:sz="4" w:space="0" w:color="auto"/>
              <w:left w:val="single" w:sz="4" w:space="0" w:color="auto"/>
              <w:bottom w:val="single" w:sz="4" w:space="0" w:color="auto"/>
              <w:right w:val="single" w:sz="4" w:space="0" w:color="auto"/>
            </w:tcBorders>
          </w:tcPr>
          <w:p w14:paraId="08856A82" w14:textId="77777777" w:rsidR="00474BD1"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Approved budget and duration</w:t>
            </w:r>
          </w:p>
        </w:tc>
        <w:tc>
          <w:tcPr>
            <w:tcW w:w="410" w:type="pct"/>
            <w:tcBorders>
              <w:top w:val="single" w:sz="4" w:space="0" w:color="auto"/>
              <w:left w:val="single" w:sz="4" w:space="0" w:color="auto"/>
              <w:bottom w:val="single" w:sz="4" w:space="0" w:color="auto"/>
              <w:right w:val="single" w:sz="4" w:space="0" w:color="auto"/>
            </w:tcBorders>
          </w:tcPr>
          <w:p w14:paraId="0153A71E" w14:textId="77777777" w:rsidR="00474BD1"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Year</w:t>
            </w:r>
          </w:p>
        </w:tc>
        <w:tc>
          <w:tcPr>
            <w:tcW w:w="410" w:type="pct"/>
            <w:tcBorders>
              <w:top w:val="single" w:sz="4" w:space="0" w:color="auto"/>
              <w:left w:val="single" w:sz="4" w:space="0" w:color="auto"/>
              <w:bottom w:val="single" w:sz="4" w:space="0" w:color="auto"/>
              <w:right w:val="single" w:sz="4" w:space="0" w:color="auto"/>
            </w:tcBorders>
            <w:shd w:val="clear" w:color="auto" w:fill="auto"/>
            <w:noWrap/>
          </w:tcPr>
          <w:p w14:paraId="013ED71F" w14:textId="77777777" w:rsidR="00474BD1" w:rsidRDefault="00474BD1" w:rsidP="0014053A">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Effectiveness</w:t>
            </w:r>
          </w:p>
        </w:tc>
        <w:tc>
          <w:tcPr>
            <w:tcW w:w="410" w:type="pct"/>
            <w:tcBorders>
              <w:top w:val="single" w:sz="4" w:space="0" w:color="auto"/>
              <w:left w:val="single" w:sz="4" w:space="0" w:color="auto"/>
              <w:bottom w:val="single" w:sz="4" w:space="0" w:color="auto"/>
              <w:right w:val="single" w:sz="4" w:space="0" w:color="auto"/>
            </w:tcBorders>
            <w:shd w:val="clear" w:color="auto" w:fill="auto"/>
            <w:noWrap/>
          </w:tcPr>
          <w:p w14:paraId="62CF7858" w14:textId="77777777" w:rsidR="00474BD1" w:rsidRDefault="00474BD1" w:rsidP="0014053A">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Efficiency</w:t>
            </w:r>
          </w:p>
        </w:tc>
        <w:tc>
          <w:tcPr>
            <w:tcW w:w="410" w:type="pct"/>
            <w:tcBorders>
              <w:top w:val="single" w:sz="4" w:space="0" w:color="auto"/>
              <w:left w:val="single" w:sz="4" w:space="0" w:color="auto"/>
              <w:bottom w:val="single" w:sz="4" w:space="0" w:color="auto"/>
              <w:right w:val="single" w:sz="4" w:space="0" w:color="auto"/>
            </w:tcBorders>
            <w:shd w:val="clear" w:color="auto" w:fill="auto"/>
            <w:noWrap/>
          </w:tcPr>
          <w:p w14:paraId="4C48BEE1" w14:textId="77777777" w:rsidR="00474BD1" w:rsidRDefault="00474BD1" w:rsidP="0014053A">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Relevance</w:t>
            </w:r>
          </w:p>
        </w:tc>
        <w:tc>
          <w:tcPr>
            <w:tcW w:w="410" w:type="pct"/>
            <w:tcBorders>
              <w:top w:val="single" w:sz="4" w:space="0" w:color="auto"/>
              <w:left w:val="single" w:sz="4" w:space="0" w:color="auto"/>
              <w:bottom w:val="single" w:sz="4" w:space="0" w:color="auto"/>
              <w:right w:val="single" w:sz="4" w:space="0" w:color="auto"/>
            </w:tcBorders>
            <w:shd w:val="clear" w:color="auto" w:fill="auto"/>
            <w:noWrap/>
          </w:tcPr>
          <w:p w14:paraId="1DCF8AB1" w14:textId="77777777" w:rsidR="00474BD1" w:rsidRDefault="00474BD1" w:rsidP="0014053A">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Protection</w:t>
            </w:r>
          </w:p>
        </w:tc>
        <w:tc>
          <w:tcPr>
            <w:tcW w:w="410" w:type="pct"/>
            <w:tcBorders>
              <w:top w:val="single" w:sz="4" w:space="0" w:color="auto"/>
              <w:left w:val="single" w:sz="4" w:space="0" w:color="auto"/>
              <w:bottom w:val="single" w:sz="4" w:space="0" w:color="auto"/>
              <w:right w:val="single" w:sz="4" w:space="0" w:color="auto"/>
            </w:tcBorders>
            <w:shd w:val="clear" w:color="auto" w:fill="auto"/>
            <w:noWrap/>
          </w:tcPr>
          <w:p w14:paraId="3E0870AF" w14:textId="77777777" w:rsidR="00474BD1" w:rsidRDefault="00474BD1" w:rsidP="0014053A">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Gender equality</w:t>
            </w:r>
          </w:p>
        </w:tc>
        <w:tc>
          <w:tcPr>
            <w:tcW w:w="410" w:type="pct"/>
            <w:tcBorders>
              <w:top w:val="single" w:sz="4" w:space="0" w:color="auto"/>
              <w:left w:val="single" w:sz="4" w:space="0" w:color="auto"/>
              <w:bottom w:val="single" w:sz="4" w:space="0" w:color="auto"/>
              <w:right w:val="single" w:sz="4" w:space="0" w:color="auto"/>
            </w:tcBorders>
            <w:shd w:val="clear" w:color="auto" w:fill="auto"/>
            <w:noWrap/>
          </w:tcPr>
          <w:p w14:paraId="64D7AEE2" w14:textId="77777777" w:rsidR="00474BD1" w:rsidRDefault="00474BD1" w:rsidP="0014053A">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Monitoring and</w:t>
            </w:r>
          </w:p>
          <w:p w14:paraId="415CEE9D" w14:textId="77777777" w:rsidR="00474BD1" w:rsidRDefault="00474BD1" w:rsidP="0014053A">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evaluation</w:t>
            </w:r>
          </w:p>
        </w:tc>
        <w:tc>
          <w:tcPr>
            <w:tcW w:w="405" w:type="pct"/>
            <w:tcBorders>
              <w:top w:val="single" w:sz="4" w:space="0" w:color="auto"/>
              <w:left w:val="single" w:sz="4" w:space="0" w:color="auto"/>
              <w:bottom w:val="single" w:sz="4" w:space="0" w:color="auto"/>
              <w:right w:val="nil"/>
            </w:tcBorders>
            <w:shd w:val="clear" w:color="auto" w:fill="auto"/>
          </w:tcPr>
          <w:p w14:paraId="253AE710" w14:textId="77777777" w:rsidR="00474BD1" w:rsidRDefault="00474BD1" w:rsidP="0014053A">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Connectedness</w:t>
            </w:r>
          </w:p>
        </w:tc>
      </w:tr>
      <w:tr w:rsidR="00474BD1" w14:paraId="62F1E51F" w14:textId="77777777" w:rsidTr="0014053A">
        <w:trPr>
          <w:cnfStyle w:val="100000000000" w:firstRow="1" w:lastRow="0" w:firstColumn="0" w:lastColumn="0" w:oddVBand="0" w:evenVBand="0" w:oddHBand="0" w:evenHBand="0" w:firstRowFirstColumn="0" w:firstRowLastColumn="0" w:lastRowFirstColumn="0" w:lastRowLastColumn="0"/>
          <w:trHeight w:val="280"/>
        </w:trPr>
        <w:tc>
          <w:tcPr>
            <w:tcW w:w="939" w:type="pct"/>
            <w:tcBorders>
              <w:top w:val="single" w:sz="4" w:space="0" w:color="auto"/>
              <w:left w:val="nil"/>
              <w:bottom w:val="single" w:sz="4" w:space="0" w:color="auto"/>
              <w:right w:val="single" w:sz="4" w:space="0" w:color="auto"/>
            </w:tcBorders>
            <w:hideMark/>
          </w:tcPr>
          <w:p w14:paraId="3E33FB22" w14:textId="77777777" w:rsidR="00474BD1" w:rsidRPr="009A3987" w:rsidRDefault="00474BD1" w:rsidP="0014053A">
            <w:pPr>
              <w:keepLines/>
              <w:spacing w:before="40" w:after="40" w:line="200" w:lineRule="atLeast"/>
              <w:rPr>
                <w:rFonts w:ascii="Calibri Light" w:hAnsi="Calibri Light"/>
                <w:b w:val="0"/>
                <w:color w:val="auto"/>
              </w:rPr>
            </w:pPr>
            <w:r w:rsidRPr="009A3987">
              <w:rPr>
                <w:rFonts w:ascii="Calibri Light" w:hAnsi="Calibri Light"/>
                <w:b w:val="0"/>
                <w:color w:val="auto"/>
              </w:rPr>
              <w:t>Cyclone Winston Humanitarian Assistance</w:t>
            </w:r>
          </w:p>
        </w:tc>
        <w:tc>
          <w:tcPr>
            <w:tcW w:w="681" w:type="pct"/>
            <w:tcBorders>
              <w:top w:val="single" w:sz="4" w:space="0" w:color="auto"/>
              <w:left w:val="single" w:sz="4" w:space="0" w:color="auto"/>
              <w:bottom w:val="single" w:sz="4" w:space="0" w:color="auto"/>
              <w:right w:val="single" w:sz="4" w:space="0" w:color="auto"/>
            </w:tcBorders>
            <w:hideMark/>
          </w:tcPr>
          <w:p w14:paraId="6B3619C5" w14:textId="13607BF5" w:rsidR="00474BD1" w:rsidRPr="009A3987" w:rsidRDefault="00474BD1" w:rsidP="0014053A">
            <w:pPr>
              <w:keepLines/>
              <w:spacing w:before="40" w:after="40" w:line="200" w:lineRule="atLeast"/>
              <w:rPr>
                <w:rFonts w:ascii="Calibri Light" w:hAnsi="Calibri Light"/>
                <w:b w:val="0"/>
                <w:color w:val="auto"/>
              </w:rPr>
            </w:pPr>
            <w:r w:rsidRPr="009A3987">
              <w:rPr>
                <w:rFonts w:ascii="Calibri Light" w:hAnsi="Calibri Light"/>
                <w:b w:val="0"/>
                <w:color w:val="auto"/>
              </w:rPr>
              <w:t>$16</w:t>
            </w:r>
            <w:r w:rsidR="0014053A">
              <w:rPr>
                <w:rFonts w:ascii="Calibri Light" w:hAnsi="Calibri Light"/>
                <w:b w:val="0"/>
                <w:color w:val="auto"/>
              </w:rPr>
              <w:t>.2 million</w:t>
            </w:r>
          </w:p>
          <w:p w14:paraId="15879347" w14:textId="77777777" w:rsidR="00474BD1" w:rsidRPr="009A3987" w:rsidRDefault="00474BD1" w:rsidP="0014053A">
            <w:pPr>
              <w:keepLines/>
              <w:spacing w:before="40" w:after="40" w:line="200" w:lineRule="atLeast"/>
              <w:rPr>
                <w:rFonts w:ascii="Calibri Light" w:hAnsi="Calibri Light"/>
                <w:b w:val="0"/>
                <w:color w:val="auto"/>
              </w:rPr>
            </w:pPr>
            <w:r w:rsidRPr="009A3987">
              <w:rPr>
                <w:rFonts w:ascii="Calibri Light" w:hAnsi="Calibri Light"/>
                <w:b w:val="0"/>
                <w:color w:val="auto"/>
              </w:rPr>
              <w:t>2016-17</w:t>
            </w:r>
          </w:p>
        </w:tc>
        <w:tc>
          <w:tcPr>
            <w:tcW w:w="410" w:type="pct"/>
            <w:tcBorders>
              <w:top w:val="single" w:sz="4" w:space="0" w:color="auto"/>
              <w:left w:val="single" w:sz="4" w:space="0" w:color="auto"/>
              <w:bottom w:val="single" w:sz="4" w:space="0" w:color="auto"/>
              <w:right w:val="single" w:sz="4" w:space="0" w:color="auto"/>
            </w:tcBorders>
            <w:hideMark/>
          </w:tcPr>
          <w:p w14:paraId="0D29D640" w14:textId="77777777" w:rsidR="00474BD1" w:rsidRPr="009A3987" w:rsidRDefault="00474BD1" w:rsidP="0014053A">
            <w:pPr>
              <w:keepLines/>
              <w:spacing w:before="40" w:after="40" w:line="200" w:lineRule="atLeast"/>
              <w:rPr>
                <w:rFonts w:ascii="Calibri Light" w:hAnsi="Calibri Light"/>
                <w:b w:val="0"/>
                <w:color w:val="auto"/>
              </w:rPr>
            </w:pPr>
            <w:r w:rsidRPr="009A3987">
              <w:rPr>
                <w:rFonts w:ascii="Calibri Light" w:hAnsi="Calibri Light"/>
                <w:b w:val="0"/>
                <w:color w:val="auto"/>
              </w:rPr>
              <w:t>2017 HAQC</w:t>
            </w:r>
          </w:p>
        </w:tc>
        <w:tc>
          <w:tcPr>
            <w:tcW w:w="410" w:type="pct"/>
            <w:tcBorders>
              <w:top w:val="single" w:sz="4" w:space="0" w:color="auto"/>
              <w:left w:val="single" w:sz="4" w:space="0" w:color="auto"/>
              <w:bottom w:val="single" w:sz="4" w:space="0" w:color="auto"/>
              <w:right w:val="single" w:sz="4" w:space="0" w:color="auto"/>
            </w:tcBorders>
            <w:shd w:val="clear" w:color="auto" w:fill="92D050"/>
            <w:noWrap/>
            <w:hideMark/>
          </w:tcPr>
          <w:p w14:paraId="190D055B"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410" w:type="pct"/>
            <w:tcBorders>
              <w:top w:val="single" w:sz="4" w:space="0" w:color="auto"/>
              <w:left w:val="single" w:sz="4" w:space="0" w:color="auto"/>
              <w:bottom w:val="single" w:sz="4" w:space="0" w:color="auto"/>
              <w:right w:val="single" w:sz="4" w:space="0" w:color="auto"/>
            </w:tcBorders>
            <w:shd w:val="clear" w:color="auto" w:fill="FFFF00"/>
            <w:noWrap/>
            <w:hideMark/>
          </w:tcPr>
          <w:p w14:paraId="23933F10"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410" w:type="pct"/>
            <w:tcBorders>
              <w:top w:val="single" w:sz="4" w:space="0" w:color="auto"/>
              <w:left w:val="single" w:sz="4" w:space="0" w:color="auto"/>
              <w:bottom w:val="single" w:sz="4" w:space="0" w:color="auto"/>
              <w:right w:val="single" w:sz="4" w:space="0" w:color="auto"/>
            </w:tcBorders>
            <w:shd w:val="clear" w:color="auto" w:fill="92D050"/>
            <w:noWrap/>
            <w:hideMark/>
          </w:tcPr>
          <w:p w14:paraId="62E71BD5"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410" w:type="pct"/>
            <w:tcBorders>
              <w:top w:val="single" w:sz="4" w:space="0" w:color="auto"/>
              <w:left w:val="single" w:sz="4" w:space="0" w:color="auto"/>
              <w:bottom w:val="single" w:sz="4" w:space="0" w:color="auto"/>
              <w:right w:val="single" w:sz="4" w:space="0" w:color="auto"/>
            </w:tcBorders>
            <w:shd w:val="clear" w:color="auto" w:fill="FFFF00"/>
            <w:noWrap/>
            <w:hideMark/>
          </w:tcPr>
          <w:p w14:paraId="57239E1B"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410" w:type="pct"/>
            <w:tcBorders>
              <w:top w:val="single" w:sz="4" w:space="0" w:color="auto"/>
              <w:left w:val="single" w:sz="4" w:space="0" w:color="auto"/>
              <w:bottom w:val="single" w:sz="4" w:space="0" w:color="auto"/>
              <w:right w:val="single" w:sz="4" w:space="0" w:color="auto"/>
            </w:tcBorders>
            <w:shd w:val="clear" w:color="auto" w:fill="FFC000"/>
            <w:noWrap/>
            <w:hideMark/>
          </w:tcPr>
          <w:p w14:paraId="0C7568F3"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3</w:t>
            </w:r>
          </w:p>
        </w:tc>
        <w:tc>
          <w:tcPr>
            <w:tcW w:w="410" w:type="pct"/>
            <w:tcBorders>
              <w:top w:val="single" w:sz="4" w:space="0" w:color="auto"/>
              <w:left w:val="single" w:sz="4" w:space="0" w:color="auto"/>
              <w:bottom w:val="single" w:sz="4" w:space="0" w:color="auto"/>
              <w:right w:val="single" w:sz="4" w:space="0" w:color="auto"/>
            </w:tcBorders>
            <w:shd w:val="clear" w:color="auto" w:fill="FFFF00"/>
            <w:noWrap/>
            <w:hideMark/>
          </w:tcPr>
          <w:p w14:paraId="0F47DE6A"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405" w:type="pct"/>
            <w:tcBorders>
              <w:top w:val="single" w:sz="4" w:space="0" w:color="auto"/>
              <w:left w:val="single" w:sz="4" w:space="0" w:color="auto"/>
              <w:bottom w:val="single" w:sz="4" w:space="0" w:color="auto"/>
              <w:right w:val="nil"/>
            </w:tcBorders>
            <w:shd w:val="clear" w:color="auto" w:fill="92D050"/>
            <w:hideMark/>
          </w:tcPr>
          <w:p w14:paraId="532C3B75"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r>
    </w:tbl>
    <w:p w14:paraId="42ADC7ED" w14:textId="4AD96A17" w:rsidR="00474BD1" w:rsidRPr="00C61187" w:rsidRDefault="00474BD1" w:rsidP="00474BD1">
      <w:pPr>
        <w:keepNext/>
        <w:numPr>
          <w:ilvl w:val="2"/>
          <w:numId w:val="0"/>
        </w:numPr>
        <w:spacing w:before="240" w:after="120"/>
        <w:outlineLvl w:val="2"/>
        <w:rPr>
          <w:rFonts w:ascii="Helvetica" w:eastAsia="Times New Roman" w:hAnsi="Helvetica" w:cs="Arial"/>
          <w:b/>
          <w:color w:val="124486"/>
          <w:kern w:val="28"/>
          <w:lang w:eastAsia="zh-CN"/>
        </w:rPr>
      </w:pPr>
      <w:r w:rsidRPr="00784031">
        <w:rPr>
          <w:rFonts w:asciiTheme="majorHAnsi" w:eastAsiaTheme="majorEastAsia" w:hAnsiTheme="majorHAnsi" w:cstheme="majorBidi"/>
          <w:caps/>
          <w:sz w:val="38"/>
          <w:szCs w:val="26"/>
        </w:rPr>
        <w:lastRenderedPageBreak/>
        <w:t>F</w:t>
      </w:r>
      <w:r w:rsidR="00151156">
        <w:rPr>
          <w:rFonts w:asciiTheme="majorHAnsi" w:eastAsiaTheme="majorEastAsia" w:hAnsiTheme="majorHAnsi" w:cstheme="majorBidi"/>
          <w:caps/>
          <w:sz w:val="38"/>
          <w:szCs w:val="26"/>
        </w:rPr>
        <w:t xml:space="preserve">inal </w:t>
      </w:r>
      <w:r w:rsidRPr="00784031">
        <w:rPr>
          <w:rFonts w:asciiTheme="majorHAnsi" w:eastAsiaTheme="majorEastAsia" w:hAnsiTheme="majorHAnsi" w:cstheme="majorBidi"/>
          <w:caps/>
          <w:sz w:val="38"/>
          <w:szCs w:val="26"/>
        </w:rPr>
        <w:t>AQC ratings</w:t>
      </w:r>
      <w:r w:rsidRPr="00C61187">
        <w:rPr>
          <w:rFonts w:ascii="Helvetica" w:eastAsia="Times New Roman" w:hAnsi="Helvetica" w:cs="Arial"/>
          <w:b/>
          <w:color w:val="124486"/>
          <w:kern w:val="28"/>
          <w:lang w:eastAsia="zh-CN"/>
        </w:rPr>
        <w:t xml:space="preserve"> </w:t>
      </w:r>
    </w:p>
    <w:tbl>
      <w:tblPr>
        <w:tblStyle w:val="APPR2"/>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058"/>
        <w:gridCol w:w="1284"/>
        <w:gridCol w:w="1126"/>
        <w:gridCol w:w="1126"/>
        <w:gridCol w:w="1163"/>
        <w:gridCol w:w="1126"/>
        <w:gridCol w:w="1129"/>
        <w:gridCol w:w="1170"/>
        <w:gridCol w:w="1129"/>
        <w:gridCol w:w="1128"/>
      </w:tblGrid>
      <w:tr w:rsidR="00474BD1" w:rsidRPr="00967856" w14:paraId="460002FA" w14:textId="77777777" w:rsidTr="0014053A">
        <w:trPr>
          <w:cnfStyle w:val="100000000000" w:firstRow="1" w:lastRow="0" w:firstColumn="0" w:lastColumn="0" w:oddVBand="0" w:evenVBand="0" w:oddHBand="0" w:evenHBand="0" w:firstRowFirstColumn="0" w:firstRowLastColumn="0" w:lastRowFirstColumn="0" w:lastRowLastColumn="0"/>
          <w:trHeight w:val="682"/>
        </w:trPr>
        <w:tc>
          <w:tcPr>
            <w:tcW w:w="897" w:type="pct"/>
            <w:tcBorders>
              <w:top w:val="single" w:sz="4" w:space="0" w:color="auto"/>
              <w:left w:val="single" w:sz="4" w:space="0" w:color="auto"/>
              <w:bottom w:val="single" w:sz="4" w:space="0" w:color="auto"/>
              <w:right w:val="single" w:sz="4" w:space="0" w:color="auto"/>
            </w:tcBorders>
          </w:tcPr>
          <w:p w14:paraId="1FDB98D4" w14:textId="77777777" w:rsidR="00474BD1" w:rsidRPr="00967856"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Investment name</w:t>
            </w:r>
          </w:p>
        </w:tc>
        <w:tc>
          <w:tcPr>
            <w:tcW w:w="667" w:type="pct"/>
            <w:tcBorders>
              <w:top w:val="single" w:sz="4" w:space="0" w:color="auto"/>
              <w:left w:val="single" w:sz="4" w:space="0" w:color="auto"/>
              <w:bottom w:val="single" w:sz="4" w:space="0" w:color="auto"/>
              <w:right w:val="single" w:sz="4" w:space="0" w:color="auto"/>
            </w:tcBorders>
          </w:tcPr>
          <w:p w14:paraId="4682CCAA" w14:textId="77777777" w:rsidR="00474BD1" w:rsidRPr="00967856"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Approved budget and duration</w:t>
            </w:r>
          </w:p>
        </w:tc>
        <w:tc>
          <w:tcPr>
            <w:tcW w:w="413" w:type="pct"/>
            <w:tcBorders>
              <w:top w:val="single" w:sz="4" w:space="0" w:color="auto"/>
              <w:left w:val="single" w:sz="4" w:space="0" w:color="auto"/>
              <w:bottom w:val="single" w:sz="4" w:space="0" w:color="auto"/>
              <w:right w:val="single" w:sz="4" w:space="0" w:color="auto"/>
            </w:tcBorders>
            <w:hideMark/>
          </w:tcPr>
          <w:p w14:paraId="22F272D2" w14:textId="77777777" w:rsidR="00474BD1" w:rsidRPr="00967856"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Y</w:t>
            </w:r>
            <w:r w:rsidRPr="00967856">
              <w:rPr>
                <w:rFonts w:ascii="Calibri Light" w:hAnsi="Calibri Light"/>
                <w:color w:val="auto"/>
              </w:rPr>
              <w:t>ear</w:t>
            </w:r>
          </w:p>
        </w:tc>
        <w:tc>
          <w:tcPr>
            <w:tcW w:w="361" w:type="pct"/>
            <w:tcBorders>
              <w:top w:val="single" w:sz="4" w:space="0" w:color="auto"/>
              <w:left w:val="single" w:sz="4" w:space="0" w:color="auto"/>
              <w:bottom w:val="single" w:sz="4" w:space="0" w:color="auto"/>
              <w:right w:val="single" w:sz="4" w:space="0" w:color="auto"/>
            </w:tcBorders>
            <w:hideMark/>
          </w:tcPr>
          <w:p w14:paraId="4A2BACB1" w14:textId="77777777" w:rsidR="00474BD1" w:rsidRPr="00967856"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Overall rating</w:t>
            </w:r>
          </w:p>
        </w:tc>
        <w:tc>
          <w:tcPr>
            <w:tcW w:w="361" w:type="pct"/>
            <w:tcBorders>
              <w:top w:val="single" w:sz="4" w:space="0" w:color="auto"/>
              <w:left w:val="single" w:sz="4" w:space="0" w:color="auto"/>
              <w:bottom w:val="single" w:sz="4" w:space="0" w:color="auto"/>
              <w:right w:val="single" w:sz="4" w:space="0" w:color="auto"/>
            </w:tcBorders>
            <w:hideMark/>
          </w:tcPr>
          <w:p w14:paraId="088CEA4E" w14:textId="77777777" w:rsidR="00474BD1" w:rsidRPr="00967856"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Relevance</w:t>
            </w:r>
          </w:p>
        </w:tc>
        <w:tc>
          <w:tcPr>
            <w:tcW w:w="373" w:type="pct"/>
            <w:tcBorders>
              <w:top w:val="single" w:sz="4" w:space="0" w:color="auto"/>
              <w:left w:val="single" w:sz="4" w:space="0" w:color="auto"/>
              <w:bottom w:val="single" w:sz="4" w:space="0" w:color="auto"/>
              <w:right w:val="single" w:sz="4" w:space="0" w:color="auto"/>
            </w:tcBorders>
            <w:hideMark/>
          </w:tcPr>
          <w:p w14:paraId="21056A4F" w14:textId="77777777" w:rsidR="00474BD1" w:rsidRPr="00967856"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Effectiveness</w:t>
            </w:r>
          </w:p>
        </w:tc>
        <w:tc>
          <w:tcPr>
            <w:tcW w:w="361" w:type="pct"/>
            <w:tcBorders>
              <w:top w:val="single" w:sz="4" w:space="0" w:color="auto"/>
              <w:left w:val="single" w:sz="4" w:space="0" w:color="auto"/>
              <w:bottom w:val="single" w:sz="4" w:space="0" w:color="auto"/>
              <w:right w:val="single" w:sz="4" w:space="0" w:color="auto"/>
            </w:tcBorders>
            <w:hideMark/>
          </w:tcPr>
          <w:p w14:paraId="67CC2679" w14:textId="77777777" w:rsidR="00474BD1" w:rsidRPr="00967856"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Efficiency</w:t>
            </w:r>
          </w:p>
        </w:tc>
        <w:tc>
          <w:tcPr>
            <w:tcW w:w="362" w:type="pct"/>
            <w:tcBorders>
              <w:top w:val="single" w:sz="4" w:space="0" w:color="auto"/>
              <w:left w:val="single" w:sz="4" w:space="0" w:color="auto"/>
              <w:bottom w:val="single" w:sz="4" w:space="0" w:color="auto"/>
              <w:right w:val="single" w:sz="4" w:space="0" w:color="auto"/>
            </w:tcBorders>
            <w:hideMark/>
          </w:tcPr>
          <w:p w14:paraId="1DECDEA1" w14:textId="77777777" w:rsidR="00474BD1" w:rsidRPr="00967856"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Monitoring and evaluation</w:t>
            </w:r>
          </w:p>
        </w:tc>
        <w:tc>
          <w:tcPr>
            <w:tcW w:w="375" w:type="pct"/>
            <w:tcBorders>
              <w:top w:val="single" w:sz="4" w:space="0" w:color="auto"/>
              <w:left w:val="single" w:sz="4" w:space="0" w:color="auto"/>
              <w:bottom w:val="single" w:sz="4" w:space="0" w:color="auto"/>
              <w:right w:val="single" w:sz="4" w:space="0" w:color="auto"/>
            </w:tcBorders>
            <w:hideMark/>
          </w:tcPr>
          <w:p w14:paraId="232584D5" w14:textId="77777777" w:rsidR="00474BD1" w:rsidRPr="00967856"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Sustainability</w:t>
            </w:r>
          </w:p>
        </w:tc>
        <w:tc>
          <w:tcPr>
            <w:tcW w:w="362" w:type="pct"/>
            <w:tcBorders>
              <w:top w:val="single" w:sz="4" w:space="0" w:color="auto"/>
              <w:left w:val="single" w:sz="4" w:space="0" w:color="auto"/>
              <w:bottom w:val="single" w:sz="4" w:space="0" w:color="auto"/>
              <w:right w:val="nil"/>
            </w:tcBorders>
            <w:hideMark/>
          </w:tcPr>
          <w:p w14:paraId="716597A6" w14:textId="77777777" w:rsidR="00474BD1" w:rsidRPr="00967856"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Gender equality</w:t>
            </w:r>
          </w:p>
        </w:tc>
        <w:tc>
          <w:tcPr>
            <w:tcW w:w="357" w:type="pct"/>
            <w:tcBorders>
              <w:top w:val="single" w:sz="4" w:space="0" w:color="auto"/>
              <w:left w:val="single" w:sz="4" w:space="0" w:color="auto"/>
              <w:bottom w:val="single" w:sz="4" w:space="0" w:color="auto"/>
              <w:right w:val="nil"/>
            </w:tcBorders>
          </w:tcPr>
          <w:p w14:paraId="6177A4F4" w14:textId="77777777" w:rsidR="00474BD1" w:rsidRDefault="00474BD1" w:rsidP="0014053A">
            <w:pPr>
              <w:keepLines/>
              <w:spacing w:before="40" w:after="40" w:line="200" w:lineRule="atLeast"/>
              <w:jc w:val="center"/>
              <w:rPr>
                <w:rFonts w:ascii="Calibri Light" w:hAnsi="Calibri Light"/>
                <w:color w:val="auto"/>
              </w:rPr>
            </w:pPr>
            <w:r>
              <w:rPr>
                <w:rFonts w:ascii="Calibri Light" w:hAnsi="Calibri Light"/>
                <w:color w:val="auto"/>
              </w:rPr>
              <w:t>Risks and safeguards</w:t>
            </w:r>
          </w:p>
        </w:tc>
      </w:tr>
      <w:tr w:rsidR="00474BD1" w14:paraId="6441ED4C" w14:textId="77777777" w:rsidTr="0014053A">
        <w:trPr>
          <w:cnfStyle w:val="100000000000" w:firstRow="1" w:lastRow="0" w:firstColumn="0" w:lastColumn="0" w:oddVBand="0" w:evenVBand="0" w:oddHBand="0" w:evenHBand="0" w:firstRowFirstColumn="0" w:firstRowLastColumn="0" w:lastRowFirstColumn="0" w:lastRowLastColumn="0"/>
          <w:trHeight w:val="280"/>
        </w:trPr>
        <w:tc>
          <w:tcPr>
            <w:tcW w:w="897" w:type="pct"/>
            <w:tcBorders>
              <w:top w:val="single" w:sz="4" w:space="0" w:color="auto"/>
              <w:left w:val="single" w:sz="4" w:space="0" w:color="auto"/>
              <w:right w:val="single" w:sz="4" w:space="0" w:color="auto"/>
            </w:tcBorders>
          </w:tcPr>
          <w:p w14:paraId="097EFE99" w14:textId="77777777" w:rsidR="00474BD1" w:rsidRPr="009A3987"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Fiji Community Development Program</w:t>
            </w:r>
          </w:p>
        </w:tc>
        <w:tc>
          <w:tcPr>
            <w:tcW w:w="667" w:type="pct"/>
            <w:tcBorders>
              <w:top w:val="single" w:sz="4" w:space="0" w:color="auto"/>
              <w:left w:val="single" w:sz="4" w:space="0" w:color="auto"/>
              <w:right w:val="single" w:sz="4" w:space="0" w:color="auto"/>
            </w:tcBorders>
          </w:tcPr>
          <w:p w14:paraId="67F9FBE3" w14:textId="77777777" w:rsidR="00474BD1"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$21.3 million</w:t>
            </w:r>
          </w:p>
          <w:p w14:paraId="7C41182A" w14:textId="77777777" w:rsidR="00474BD1" w:rsidRPr="009A3987"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2011-17</w:t>
            </w:r>
          </w:p>
        </w:tc>
        <w:tc>
          <w:tcPr>
            <w:tcW w:w="413" w:type="pct"/>
            <w:tcBorders>
              <w:top w:val="single" w:sz="4" w:space="0" w:color="auto"/>
              <w:left w:val="single" w:sz="4" w:space="0" w:color="auto"/>
              <w:bottom w:val="single" w:sz="4" w:space="0" w:color="auto"/>
              <w:right w:val="single" w:sz="4" w:space="0" w:color="auto"/>
            </w:tcBorders>
            <w:hideMark/>
          </w:tcPr>
          <w:p w14:paraId="68490841" w14:textId="77777777" w:rsidR="00474BD1" w:rsidRPr="009A3987" w:rsidRDefault="00474BD1" w:rsidP="0014053A">
            <w:pPr>
              <w:keepLines/>
              <w:spacing w:before="40" w:after="40" w:line="200" w:lineRule="atLeast"/>
              <w:rPr>
                <w:rFonts w:ascii="Calibri Light" w:hAnsi="Calibri Light"/>
                <w:b w:val="0"/>
                <w:color w:val="auto"/>
              </w:rPr>
            </w:pPr>
            <w:r w:rsidRPr="009A3987">
              <w:rPr>
                <w:rFonts w:ascii="Calibri Light" w:hAnsi="Calibri Light"/>
                <w:b w:val="0"/>
                <w:color w:val="auto"/>
              </w:rPr>
              <w:t xml:space="preserve">2017 </w:t>
            </w:r>
            <w:r>
              <w:rPr>
                <w:rFonts w:ascii="Calibri Light" w:hAnsi="Calibri Light"/>
                <w:b w:val="0"/>
                <w:color w:val="auto"/>
              </w:rPr>
              <w:t>F</w:t>
            </w:r>
            <w:r w:rsidRPr="009A3987">
              <w:rPr>
                <w:rFonts w:ascii="Calibri Light" w:hAnsi="Calibri Light"/>
                <w:b w:val="0"/>
                <w:color w:val="auto"/>
              </w:rPr>
              <w:t>AQC</w:t>
            </w:r>
          </w:p>
        </w:tc>
        <w:tc>
          <w:tcPr>
            <w:tcW w:w="361" w:type="pct"/>
            <w:tcBorders>
              <w:top w:val="single" w:sz="4" w:space="0" w:color="auto"/>
              <w:left w:val="single" w:sz="4" w:space="0" w:color="auto"/>
              <w:bottom w:val="single" w:sz="4" w:space="0" w:color="auto"/>
              <w:right w:val="single" w:sz="4" w:space="0" w:color="auto"/>
            </w:tcBorders>
            <w:shd w:val="clear" w:color="auto" w:fill="92D050"/>
            <w:noWrap/>
            <w:hideMark/>
          </w:tcPr>
          <w:p w14:paraId="54CE8F56" w14:textId="77777777" w:rsidR="00474BD1" w:rsidRDefault="00474BD1" w:rsidP="00B90DFB">
            <w:pPr>
              <w:keepLines/>
              <w:spacing w:before="40" w:after="40" w:line="200" w:lineRule="atLeast"/>
              <w:jc w:val="center"/>
              <w:rPr>
                <w:rFonts w:ascii="Calibri Light" w:hAnsi="Calibri Light"/>
                <w:color w:val="auto"/>
              </w:rPr>
            </w:pPr>
            <w:r>
              <w:rPr>
                <w:rFonts w:ascii="Calibri Light" w:eastAsia="Times New Roman" w:hAnsi="Calibri Light" w:cs="Times New Roman"/>
                <w:iCs/>
                <w:color w:val="auto"/>
                <w:szCs w:val="17"/>
              </w:rPr>
              <w:t>5</w:t>
            </w:r>
          </w:p>
        </w:tc>
        <w:tc>
          <w:tcPr>
            <w:tcW w:w="361" w:type="pct"/>
            <w:tcBorders>
              <w:top w:val="single" w:sz="4" w:space="0" w:color="auto"/>
              <w:left w:val="single" w:sz="4" w:space="0" w:color="auto"/>
              <w:bottom w:val="single" w:sz="4" w:space="0" w:color="auto"/>
              <w:right w:val="single" w:sz="4" w:space="0" w:color="auto"/>
            </w:tcBorders>
            <w:shd w:val="clear" w:color="auto" w:fill="92D050"/>
            <w:noWrap/>
            <w:hideMark/>
          </w:tcPr>
          <w:p w14:paraId="135DBB66" w14:textId="77777777" w:rsidR="00474BD1" w:rsidRDefault="00474BD1" w:rsidP="00B90DFB">
            <w:pPr>
              <w:keepLines/>
              <w:spacing w:before="40" w:after="40" w:line="200" w:lineRule="atLeast"/>
              <w:jc w:val="center"/>
              <w:rPr>
                <w:rFonts w:ascii="Calibri Light" w:hAnsi="Calibri Light"/>
                <w:color w:val="auto"/>
              </w:rPr>
            </w:pPr>
            <w:r>
              <w:rPr>
                <w:rFonts w:ascii="Calibri Light" w:eastAsia="Times New Roman" w:hAnsi="Calibri Light" w:cs="Times New Roman"/>
                <w:iCs/>
                <w:color w:val="auto"/>
                <w:szCs w:val="17"/>
              </w:rPr>
              <w:t>5</w:t>
            </w:r>
          </w:p>
        </w:tc>
        <w:tc>
          <w:tcPr>
            <w:tcW w:w="373" w:type="pct"/>
            <w:tcBorders>
              <w:top w:val="single" w:sz="4" w:space="0" w:color="auto"/>
              <w:left w:val="single" w:sz="4" w:space="0" w:color="auto"/>
              <w:bottom w:val="single" w:sz="4" w:space="0" w:color="auto"/>
              <w:right w:val="single" w:sz="4" w:space="0" w:color="auto"/>
            </w:tcBorders>
            <w:shd w:val="clear" w:color="auto" w:fill="92D050"/>
            <w:noWrap/>
            <w:hideMark/>
          </w:tcPr>
          <w:p w14:paraId="0DEAF3C7" w14:textId="77777777" w:rsidR="00474BD1" w:rsidRDefault="00474BD1" w:rsidP="00B90DFB">
            <w:pPr>
              <w:keepLines/>
              <w:spacing w:before="40" w:after="40" w:line="200" w:lineRule="atLeast"/>
              <w:jc w:val="center"/>
              <w:rPr>
                <w:rFonts w:ascii="Calibri Light" w:hAnsi="Calibri Light"/>
                <w:color w:val="auto"/>
              </w:rPr>
            </w:pPr>
            <w:r>
              <w:rPr>
                <w:rFonts w:ascii="Calibri Light" w:eastAsia="Times New Roman" w:hAnsi="Calibri Light" w:cs="Times New Roman"/>
                <w:iCs/>
                <w:color w:val="auto"/>
                <w:szCs w:val="17"/>
              </w:rPr>
              <w:t>5</w:t>
            </w:r>
          </w:p>
        </w:tc>
        <w:tc>
          <w:tcPr>
            <w:tcW w:w="361" w:type="pct"/>
            <w:tcBorders>
              <w:top w:val="single" w:sz="4" w:space="0" w:color="auto"/>
              <w:left w:val="single" w:sz="4" w:space="0" w:color="auto"/>
              <w:bottom w:val="single" w:sz="4" w:space="0" w:color="auto"/>
              <w:right w:val="single" w:sz="4" w:space="0" w:color="auto"/>
            </w:tcBorders>
            <w:shd w:val="clear" w:color="auto" w:fill="FFFF00"/>
            <w:noWrap/>
            <w:hideMark/>
          </w:tcPr>
          <w:p w14:paraId="0996C3DB" w14:textId="77777777" w:rsidR="00474BD1" w:rsidRDefault="00474BD1" w:rsidP="00B90DFB">
            <w:pPr>
              <w:keepLines/>
              <w:spacing w:before="40" w:after="40" w:line="200" w:lineRule="atLeast"/>
              <w:jc w:val="center"/>
              <w:rPr>
                <w:rFonts w:ascii="Calibri Light" w:hAnsi="Calibri Light"/>
                <w:color w:val="auto"/>
              </w:rPr>
            </w:pPr>
            <w:r>
              <w:rPr>
                <w:rFonts w:ascii="Calibri Light" w:eastAsia="Times New Roman" w:hAnsi="Calibri Light" w:cs="Times New Roman"/>
                <w:iCs/>
                <w:color w:val="auto"/>
                <w:szCs w:val="17"/>
              </w:rPr>
              <w:t>4</w:t>
            </w:r>
          </w:p>
        </w:tc>
        <w:tc>
          <w:tcPr>
            <w:tcW w:w="362" w:type="pct"/>
            <w:tcBorders>
              <w:top w:val="single" w:sz="4" w:space="0" w:color="auto"/>
              <w:left w:val="single" w:sz="4" w:space="0" w:color="auto"/>
              <w:bottom w:val="single" w:sz="4" w:space="0" w:color="auto"/>
              <w:right w:val="single" w:sz="4" w:space="0" w:color="auto"/>
            </w:tcBorders>
            <w:shd w:val="clear" w:color="auto" w:fill="92D050"/>
            <w:noWrap/>
            <w:hideMark/>
          </w:tcPr>
          <w:p w14:paraId="77E462A0" w14:textId="77777777" w:rsidR="00474BD1" w:rsidRDefault="00474BD1" w:rsidP="00B90DFB">
            <w:pPr>
              <w:keepLines/>
              <w:spacing w:before="40" w:after="40" w:line="200" w:lineRule="atLeast"/>
              <w:jc w:val="center"/>
              <w:rPr>
                <w:rFonts w:ascii="Calibri Light" w:hAnsi="Calibri Light"/>
                <w:color w:val="auto"/>
              </w:rPr>
            </w:pPr>
            <w:r>
              <w:rPr>
                <w:rFonts w:ascii="Calibri Light" w:eastAsia="Times New Roman" w:hAnsi="Calibri Light" w:cs="Times New Roman"/>
                <w:iCs/>
                <w:color w:val="auto"/>
                <w:szCs w:val="17"/>
              </w:rPr>
              <w:t>5</w:t>
            </w:r>
          </w:p>
        </w:tc>
        <w:tc>
          <w:tcPr>
            <w:tcW w:w="375" w:type="pct"/>
            <w:tcBorders>
              <w:top w:val="single" w:sz="4" w:space="0" w:color="auto"/>
              <w:left w:val="single" w:sz="4" w:space="0" w:color="auto"/>
              <w:bottom w:val="single" w:sz="4" w:space="0" w:color="auto"/>
              <w:right w:val="single" w:sz="4" w:space="0" w:color="auto"/>
            </w:tcBorders>
            <w:shd w:val="clear" w:color="auto" w:fill="FFFF00"/>
            <w:noWrap/>
            <w:hideMark/>
          </w:tcPr>
          <w:p w14:paraId="0FA88B90" w14:textId="77777777" w:rsidR="00474BD1" w:rsidRDefault="00474BD1" w:rsidP="00B90DFB">
            <w:pPr>
              <w:keepLines/>
              <w:spacing w:before="40" w:after="40" w:line="200" w:lineRule="atLeast"/>
              <w:jc w:val="center"/>
              <w:rPr>
                <w:rFonts w:ascii="Calibri Light" w:hAnsi="Calibri Light"/>
                <w:color w:val="auto"/>
              </w:rPr>
            </w:pPr>
            <w:r>
              <w:rPr>
                <w:rFonts w:ascii="Calibri Light" w:eastAsia="Times New Roman" w:hAnsi="Calibri Light" w:cs="Times New Roman"/>
                <w:iCs/>
                <w:color w:val="auto"/>
                <w:szCs w:val="17"/>
              </w:rPr>
              <w:t>4</w:t>
            </w:r>
          </w:p>
        </w:tc>
        <w:tc>
          <w:tcPr>
            <w:tcW w:w="362" w:type="pct"/>
            <w:tcBorders>
              <w:top w:val="single" w:sz="4" w:space="0" w:color="auto"/>
              <w:left w:val="single" w:sz="4" w:space="0" w:color="auto"/>
              <w:bottom w:val="single" w:sz="4" w:space="0" w:color="auto"/>
              <w:right w:val="nil"/>
            </w:tcBorders>
            <w:shd w:val="clear" w:color="auto" w:fill="92D050"/>
          </w:tcPr>
          <w:p w14:paraId="4FFEDB78" w14:textId="77777777" w:rsidR="00474BD1" w:rsidRDefault="00474BD1" w:rsidP="00B90DFB">
            <w:pPr>
              <w:keepLines/>
              <w:spacing w:before="40" w:after="40" w:line="200" w:lineRule="atLeast"/>
              <w:jc w:val="center"/>
              <w:rPr>
                <w:rFonts w:ascii="Calibri Light" w:hAnsi="Calibri Light"/>
                <w:color w:val="auto"/>
              </w:rPr>
            </w:pPr>
            <w:r>
              <w:rPr>
                <w:rFonts w:ascii="Calibri Light" w:hAnsi="Calibri Light"/>
                <w:color w:val="auto"/>
              </w:rPr>
              <w:t>5</w:t>
            </w:r>
          </w:p>
        </w:tc>
        <w:tc>
          <w:tcPr>
            <w:tcW w:w="357" w:type="pct"/>
            <w:tcBorders>
              <w:top w:val="single" w:sz="4" w:space="0" w:color="auto"/>
              <w:left w:val="single" w:sz="4" w:space="0" w:color="auto"/>
              <w:bottom w:val="single" w:sz="4" w:space="0" w:color="auto"/>
              <w:right w:val="nil"/>
            </w:tcBorders>
          </w:tcPr>
          <w:p w14:paraId="7F36615B" w14:textId="77777777" w:rsidR="00474BD1" w:rsidRDefault="00474BD1" w:rsidP="0014053A">
            <w:pPr>
              <w:keepLines/>
              <w:spacing w:before="40" w:after="40" w:line="200" w:lineRule="atLeast"/>
              <w:rPr>
                <w:rFonts w:ascii="Calibri Light" w:hAnsi="Calibri Light"/>
                <w:color w:val="auto"/>
              </w:rPr>
            </w:pPr>
          </w:p>
        </w:tc>
      </w:tr>
      <w:tr w:rsidR="00474BD1" w14:paraId="60C4BF4B" w14:textId="77777777" w:rsidTr="0014053A">
        <w:trPr>
          <w:cnfStyle w:val="100000000000" w:firstRow="1" w:lastRow="0" w:firstColumn="0" w:lastColumn="0" w:oddVBand="0" w:evenVBand="0" w:oddHBand="0" w:evenHBand="0" w:firstRowFirstColumn="0" w:firstRowLastColumn="0" w:lastRowFirstColumn="0" w:lastRowLastColumn="0"/>
          <w:trHeight w:val="140"/>
        </w:trPr>
        <w:tc>
          <w:tcPr>
            <w:tcW w:w="897" w:type="pct"/>
            <w:tcBorders>
              <w:top w:val="single" w:sz="4" w:space="0" w:color="auto"/>
              <w:left w:val="single" w:sz="4" w:space="0" w:color="auto"/>
              <w:right w:val="single" w:sz="4" w:space="0" w:color="auto"/>
            </w:tcBorders>
          </w:tcPr>
          <w:p w14:paraId="50396595" w14:textId="77777777" w:rsidR="00474BD1" w:rsidRPr="009A3987" w:rsidRDefault="00474BD1" w:rsidP="0014053A">
            <w:pPr>
              <w:keepLines/>
              <w:spacing w:before="40" w:after="40" w:line="200" w:lineRule="atLeast"/>
              <w:rPr>
                <w:rFonts w:ascii="Calibri Light" w:eastAsia="Times New Roman" w:hAnsi="Calibri Light" w:cs="Times New Roman"/>
                <w:b w:val="0"/>
                <w:iCs/>
                <w:color w:val="auto"/>
                <w:szCs w:val="17"/>
              </w:rPr>
            </w:pPr>
            <w:r>
              <w:rPr>
                <w:rFonts w:ascii="Calibri Light" w:eastAsia="Times New Roman" w:hAnsi="Calibri Light" w:cs="Times New Roman"/>
                <w:b w:val="0"/>
                <w:iCs/>
                <w:color w:val="auto"/>
                <w:szCs w:val="17"/>
              </w:rPr>
              <w:t>Fiji Health Sector Support Program</w:t>
            </w:r>
          </w:p>
        </w:tc>
        <w:tc>
          <w:tcPr>
            <w:tcW w:w="667" w:type="pct"/>
            <w:tcBorders>
              <w:top w:val="single" w:sz="4" w:space="0" w:color="auto"/>
              <w:left w:val="single" w:sz="4" w:space="0" w:color="auto"/>
              <w:right w:val="single" w:sz="4" w:space="0" w:color="auto"/>
            </w:tcBorders>
          </w:tcPr>
          <w:p w14:paraId="44FAF153" w14:textId="77777777" w:rsidR="00474BD1" w:rsidRDefault="00474BD1" w:rsidP="0014053A">
            <w:pPr>
              <w:keepLines/>
              <w:spacing w:before="40" w:after="40" w:line="200" w:lineRule="atLeast"/>
              <w:rPr>
                <w:rFonts w:ascii="Calibri Light" w:eastAsia="Times New Roman" w:hAnsi="Calibri Light" w:cs="Times New Roman"/>
                <w:b w:val="0"/>
                <w:iCs/>
                <w:color w:val="auto"/>
                <w:szCs w:val="17"/>
              </w:rPr>
            </w:pPr>
            <w:r>
              <w:rPr>
                <w:rFonts w:ascii="Calibri Light" w:eastAsia="Times New Roman" w:hAnsi="Calibri Light" w:cs="Times New Roman"/>
                <w:b w:val="0"/>
                <w:iCs/>
                <w:color w:val="auto"/>
                <w:szCs w:val="17"/>
              </w:rPr>
              <w:t>$38.3 million</w:t>
            </w:r>
          </w:p>
          <w:p w14:paraId="6A08E214" w14:textId="4C82EADB" w:rsidR="00474BD1" w:rsidRPr="009A3987" w:rsidRDefault="008D19F3" w:rsidP="0014053A">
            <w:pPr>
              <w:keepLines/>
              <w:spacing w:before="40" w:after="40" w:line="200" w:lineRule="atLeast"/>
              <w:rPr>
                <w:rFonts w:ascii="Calibri Light" w:eastAsia="Times New Roman" w:hAnsi="Calibri Light" w:cs="Times New Roman"/>
                <w:b w:val="0"/>
                <w:iCs/>
                <w:color w:val="auto"/>
                <w:szCs w:val="17"/>
              </w:rPr>
            </w:pPr>
            <w:r>
              <w:rPr>
                <w:rFonts w:ascii="Calibri Light" w:eastAsia="Times New Roman" w:hAnsi="Calibri Light" w:cs="Times New Roman"/>
                <w:b w:val="0"/>
                <w:iCs/>
                <w:color w:val="auto"/>
                <w:szCs w:val="17"/>
              </w:rPr>
              <w:t>2011-17</w:t>
            </w:r>
          </w:p>
        </w:tc>
        <w:tc>
          <w:tcPr>
            <w:tcW w:w="413" w:type="pct"/>
            <w:tcBorders>
              <w:top w:val="single" w:sz="4" w:space="0" w:color="auto"/>
              <w:left w:val="single" w:sz="4" w:space="0" w:color="auto"/>
              <w:bottom w:val="single" w:sz="4" w:space="0" w:color="auto"/>
              <w:right w:val="single" w:sz="4" w:space="0" w:color="auto"/>
            </w:tcBorders>
            <w:hideMark/>
          </w:tcPr>
          <w:p w14:paraId="71D60CCD" w14:textId="77777777" w:rsidR="00474BD1" w:rsidRPr="009A3987" w:rsidRDefault="00474BD1" w:rsidP="0014053A">
            <w:pPr>
              <w:keepLines/>
              <w:spacing w:before="40" w:after="40" w:line="200" w:lineRule="atLeast"/>
              <w:rPr>
                <w:rFonts w:ascii="Calibri Light" w:eastAsia="Times New Roman" w:hAnsi="Calibri Light" w:cs="Times New Roman"/>
                <w:b w:val="0"/>
                <w:iCs/>
                <w:color w:val="auto"/>
                <w:szCs w:val="17"/>
              </w:rPr>
            </w:pPr>
            <w:r w:rsidRPr="009A3987">
              <w:rPr>
                <w:rFonts w:ascii="Calibri Light" w:eastAsia="Times New Roman" w:hAnsi="Calibri Light" w:cs="Times New Roman"/>
                <w:b w:val="0"/>
                <w:iCs/>
                <w:color w:val="auto"/>
                <w:szCs w:val="17"/>
              </w:rPr>
              <w:t>2017 FAQC</w:t>
            </w:r>
          </w:p>
        </w:tc>
        <w:tc>
          <w:tcPr>
            <w:tcW w:w="361" w:type="pct"/>
            <w:tcBorders>
              <w:top w:val="single" w:sz="4" w:space="0" w:color="auto"/>
              <w:left w:val="single" w:sz="4" w:space="0" w:color="auto"/>
              <w:bottom w:val="single" w:sz="4" w:space="0" w:color="auto"/>
              <w:right w:val="single" w:sz="4" w:space="0" w:color="auto"/>
            </w:tcBorders>
            <w:shd w:val="clear" w:color="auto" w:fill="FFFF00"/>
            <w:noWrap/>
            <w:hideMark/>
          </w:tcPr>
          <w:p w14:paraId="3BB6181F"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361" w:type="pct"/>
            <w:tcBorders>
              <w:top w:val="single" w:sz="4" w:space="0" w:color="auto"/>
              <w:left w:val="single" w:sz="4" w:space="0" w:color="auto"/>
              <w:bottom w:val="single" w:sz="4" w:space="0" w:color="auto"/>
              <w:right w:val="single" w:sz="4" w:space="0" w:color="auto"/>
            </w:tcBorders>
            <w:shd w:val="clear" w:color="auto" w:fill="92D050"/>
            <w:hideMark/>
          </w:tcPr>
          <w:p w14:paraId="53C83CA5"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373" w:type="pct"/>
            <w:tcBorders>
              <w:top w:val="single" w:sz="4" w:space="0" w:color="auto"/>
              <w:left w:val="single" w:sz="4" w:space="0" w:color="auto"/>
              <w:bottom w:val="single" w:sz="4" w:space="0" w:color="auto"/>
              <w:right w:val="single" w:sz="4" w:space="0" w:color="auto"/>
            </w:tcBorders>
            <w:shd w:val="clear" w:color="auto" w:fill="FFFF00"/>
            <w:hideMark/>
          </w:tcPr>
          <w:p w14:paraId="43CB688C"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361" w:type="pct"/>
            <w:tcBorders>
              <w:top w:val="single" w:sz="4" w:space="0" w:color="auto"/>
              <w:left w:val="single" w:sz="4" w:space="0" w:color="auto"/>
              <w:bottom w:val="single" w:sz="4" w:space="0" w:color="auto"/>
              <w:right w:val="single" w:sz="4" w:space="0" w:color="auto"/>
            </w:tcBorders>
            <w:shd w:val="clear" w:color="auto" w:fill="92D050"/>
            <w:hideMark/>
          </w:tcPr>
          <w:p w14:paraId="6D769E32"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5</w:t>
            </w:r>
          </w:p>
        </w:tc>
        <w:tc>
          <w:tcPr>
            <w:tcW w:w="362" w:type="pct"/>
            <w:tcBorders>
              <w:top w:val="single" w:sz="4" w:space="0" w:color="auto"/>
              <w:left w:val="single" w:sz="4" w:space="0" w:color="auto"/>
              <w:bottom w:val="single" w:sz="4" w:space="0" w:color="auto"/>
              <w:right w:val="single" w:sz="4" w:space="0" w:color="auto"/>
            </w:tcBorders>
            <w:shd w:val="clear" w:color="auto" w:fill="FFFF00"/>
            <w:hideMark/>
          </w:tcPr>
          <w:p w14:paraId="7A9FCE1C"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5FB30261"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362" w:type="pct"/>
            <w:tcBorders>
              <w:top w:val="single" w:sz="4" w:space="0" w:color="auto"/>
              <w:left w:val="single" w:sz="4" w:space="0" w:color="auto"/>
              <w:bottom w:val="single" w:sz="4" w:space="0" w:color="auto"/>
              <w:right w:val="nil"/>
            </w:tcBorders>
            <w:shd w:val="clear" w:color="auto" w:fill="FFFF00"/>
          </w:tcPr>
          <w:p w14:paraId="716F26F7" w14:textId="77777777" w:rsidR="00474BD1" w:rsidRDefault="00474BD1" w:rsidP="00B90DFB">
            <w:pPr>
              <w:keepLines/>
              <w:spacing w:before="40" w:after="40" w:line="200" w:lineRule="atLeast"/>
              <w:jc w:val="center"/>
              <w:rPr>
                <w:rFonts w:ascii="Calibri Light" w:eastAsia="Times New Roman" w:hAnsi="Calibri Light" w:cs="Times New Roman"/>
                <w:iCs/>
                <w:color w:val="auto"/>
                <w:szCs w:val="17"/>
              </w:rPr>
            </w:pPr>
            <w:r>
              <w:rPr>
                <w:rFonts w:ascii="Calibri Light" w:eastAsia="Times New Roman" w:hAnsi="Calibri Light" w:cs="Times New Roman"/>
                <w:iCs/>
                <w:color w:val="auto"/>
                <w:szCs w:val="17"/>
              </w:rPr>
              <w:t>4</w:t>
            </w:r>
          </w:p>
        </w:tc>
        <w:tc>
          <w:tcPr>
            <w:tcW w:w="357" w:type="pct"/>
            <w:tcBorders>
              <w:top w:val="single" w:sz="4" w:space="0" w:color="auto"/>
              <w:left w:val="single" w:sz="4" w:space="0" w:color="auto"/>
              <w:bottom w:val="single" w:sz="4" w:space="0" w:color="auto"/>
              <w:right w:val="nil"/>
            </w:tcBorders>
          </w:tcPr>
          <w:p w14:paraId="5036C8DE" w14:textId="77777777" w:rsidR="00474BD1" w:rsidRDefault="00474BD1" w:rsidP="0014053A">
            <w:pPr>
              <w:keepLines/>
              <w:spacing w:before="40" w:after="40" w:line="200" w:lineRule="atLeast"/>
              <w:rPr>
                <w:rFonts w:ascii="Calibri Light" w:eastAsia="Times New Roman" w:hAnsi="Calibri Light" w:cs="Times New Roman"/>
                <w:iCs/>
                <w:color w:val="auto"/>
                <w:szCs w:val="17"/>
              </w:rPr>
            </w:pPr>
          </w:p>
        </w:tc>
      </w:tr>
      <w:tr w:rsidR="00474BD1" w14:paraId="0271C55A" w14:textId="77777777" w:rsidTr="0014053A">
        <w:trPr>
          <w:cnfStyle w:val="100000000000" w:firstRow="1" w:lastRow="0" w:firstColumn="0" w:lastColumn="0" w:oddVBand="0" w:evenVBand="0" w:oddHBand="0" w:evenHBand="0" w:firstRowFirstColumn="0" w:firstRowLastColumn="0" w:lastRowFirstColumn="0" w:lastRowLastColumn="0"/>
          <w:trHeight w:val="140"/>
        </w:trPr>
        <w:tc>
          <w:tcPr>
            <w:tcW w:w="897" w:type="pct"/>
            <w:tcBorders>
              <w:top w:val="single" w:sz="4" w:space="0" w:color="auto"/>
              <w:left w:val="single" w:sz="4" w:space="0" w:color="auto"/>
              <w:right w:val="single" w:sz="4" w:space="0" w:color="auto"/>
            </w:tcBorders>
          </w:tcPr>
          <w:p w14:paraId="76EB877F" w14:textId="76B95CCE" w:rsidR="00474BD1" w:rsidRPr="009A3987" w:rsidRDefault="008D19F3" w:rsidP="008D19F3">
            <w:pPr>
              <w:keepLines/>
              <w:spacing w:before="40" w:after="40" w:line="200" w:lineRule="atLeast"/>
              <w:rPr>
                <w:rFonts w:ascii="Calibri Light" w:hAnsi="Calibri Light"/>
                <w:b w:val="0"/>
                <w:color w:val="auto"/>
              </w:rPr>
            </w:pPr>
            <w:r>
              <w:rPr>
                <w:rFonts w:ascii="Calibri Light" w:hAnsi="Calibri Light"/>
                <w:b w:val="0"/>
                <w:color w:val="auto"/>
              </w:rPr>
              <w:t>Fiji s</w:t>
            </w:r>
            <w:r w:rsidR="00474BD1">
              <w:rPr>
                <w:rFonts w:ascii="Calibri Light" w:hAnsi="Calibri Light"/>
                <w:b w:val="0"/>
                <w:color w:val="auto"/>
              </w:rPr>
              <w:t>cholarships</w:t>
            </w:r>
            <w:r>
              <w:rPr>
                <w:rFonts w:ascii="Calibri Light" w:hAnsi="Calibri Light"/>
                <w:b w:val="0"/>
                <w:color w:val="auto"/>
              </w:rPr>
              <w:t xml:space="preserve"> (2011 intake)</w:t>
            </w:r>
          </w:p>
        </w:tc>
        <w:tc>
          <w:tcPr>
            <w:tcW w:w="667" w:type="pct"/>
            <w:tcBorders>
              <w:top w:val="single" w:sz="4" w:space="0" w:color="auto"/>
              <w:left w:val="single" w:sz="4" w:space="0" w:color="auto"/>
              <w:right w:val="single" w:sz="4" w:space="0" w:color="auto"/>
            </w:tcBorders>
          </w:tcPr>
          <w:p w14:paraId="44B9F884" w14:textId="77777777" w:rsidR="00474BD1"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$5.2 million</w:t>
            </w:r>
          </w:p>
          <w:p w14:paraId="2D7FB0A7" w14:textId="77777777" w:rsidR="00474BD1" w:rsidRPr="009A3987" w:rsidRDefault="00474BD1" w:rsidP="0014053A">
            <w:pPr>
              <w:keepLines/>
              <w:spacing w:before="40" w:after="40" w:line="200" w:lineRule="atLeast"/>
              <w:rPr>
                <w:rFonts w:ascii="Calibri Light" w:hAnsi="Calibri Light"/>
                <w:b w:val="0"/>
                <w:color w:val="auto"/>
              </w:rPr>
            </w:pPr>
            <w:r>
              <w:rPr>
                <w:rFonts w:ascii="Calibri Light" w:hAnsi="Calibri Light"/>
                <w:b w:val="0"/>
                <w:color w:val="auto"/>
              </w:rPr>
              <w:t>2010-17</w:t>
            </w:r>
          </w:p>
        </w:tc>
        <w:tc>
          <w:tcPr>
            <w:tcW w:w="413" w:type="pct"/>
            <w:tcBorders>
              <w:top w:val="single" w:sz="4" w:space="0" w:color="auto"/>
              <w:left w:val="single" w:sz="4" w:space="0" w:color="auto"/>
              <w:bottom w:val="single" w:sz="4" w:space="0" w:color="auto"/>
              <w:right w:val="single" w:sz="4" w:space="0" w:color="auto"/>
            </w:tcBorders>
            <w:hideMark/>
          </w:tcPr>
          <w:p w14:paraId="16A8C233" w14:textId="77777777" w:rsidR="00474BD1" w:rsidRPr="009A3987" w:rsidRDefault="00474BD1" w:rsidP="0014053A">
            <w:pPr>
              <w:keepLines/>
              <w:spacing w:before="40" w:after="40" w:line="200" w:lineRule="atLeast"/>
              <w:rPr>
                <w:rFonts w:ascii="Calibri Light" w:hAnsi="Calibri Light"/>
                <w:b w:val="0"/>
                <w:color w:val="auto"/>
              </w:rPr>
            </w:pPr>
            <w:r w:rsidRPr="009A3987">
              <w:rPr>
                <w:rFonts w:ascii="Calibri Light" w:hAnsi="Calibri Light"/>
                <w:b w:val="0"/>
                <w:color w:val="auto"/>
              </w:rPr>
              <w:t xml:space="preserve">2017 </w:t>
            </w:r>
            <w:r w:rsidRPr="009A3987">
              <w:rPr>
                <w:rFonts w:ascii="Calibri Light" w:eastAsia="Times New Roman" w:hAnsi="Calibri Light" w:cs="Times New Roman"/>
                <w:b w:val="0"/>
                <w:iCs/>
                <w:color w:val="auto"/>
                <w:szCs w:val="17"/>
              </w:rPr>
              <w:t>FAQC</w:t>
            </w:r>
          </w:p>
        </w:tc>
        <w:tc>
          <w:tcPr>
            <w:tcW w:w="361" w:type="pct"/>
            <w:tcBorders>
              <w:top w:val="single" w:sz="4" w:space="0" w:color="auto"/>
              <w:left w:val="single" w:sz="4" w:space="0" w:color="auto"/>
              <w:bottom w:val="single" w:sz="4" w:space="0" w:color="auto"/>
              <w:right w:val="single" w:sz="4" w:space="0" w:color="auto"/>
            </w:tcBorders>
            <w:shd w:val="clear" w:color="auto" w:fill="FFFF00"/>
            <w:noWrap/>
            <w:hideMark/>
          </w:tcPr>
          <w:p w14:paraId="632ED599" w14:textId="77777777" w:rsidR="00474BD1" w:rsidRDefault="00474BD1" w:rsidP="00B90DFB">
            <w:pPr>
              <w:keepLines/>
              <w:spacing w:before="40" w:after="40" w:line="200" w:lineRule="atLeast"/>
              <w:jc w:val="center"/>
              <w:rPr>
                <w:rFonts w:ascii="Calibri Light" w:hAnsi="Calibri Light"/>
                <w:color w:val="auto"/>
              </w:rPr>
            </w:pPr>
            <w:r>
              <w:rPr>
                <w:rFonts w:ascii="Calibri Light" w:hAnsi="Calibri Light"/>
                <w:color w:val="auto"/>
              </w:rPr>
              <w:t>4</w:t>
            </w:r>
          </w:p>
        </w:tc>
        <w:tc>
          <w:tcPr>
            <w:tcW w:w="361" w:type="pct"/>
            <w:tcBorders>
              <w:top w:val="single" w:sz="4" w:space="0" w:color="auto"/>
              <w:left w:val="single" w:sz="4" w:space="0" w:color="auto"/>
              <w:bottom w:val="single" w:sz="4" w:space="0" w:color="auto"/>
              <w:right w:val="single" w:sz="4" w:space="0" w:color="auto"/>
            </w:tcBorders>
            <w:shd w:val="clear" w:color="auto" w:fill="92D050"/>
            <w:hideMark/>
          </w:tcPr>
          <w:p w14:paraId="16C53BD5" w14:textId="77777777" w:rsidR="00474BD1" w:rsidRDefault="00474BD1" w:rsidP="00B90DFB">
            <w:pPr>
              <w:keepLines/>
              <w:spacing w:before="40" w:after="40" w:line="200" w:lineRule="atLeast"/>
              <w:jc w:val="center"/>
              <w:rPr>
                <w:rFonts w:ascii="Calibri Light" w:hAnsi="Calibri Light"/>
                <w:color w:val="auto"/>
              </w:rPr>
            </w:pPr>
            <w:r>
              <w:rPr>
                <w:rFonts w:ascii="Calibri Light" w:hAnsi="Calibri Light"/>
                <w:color w:val="auto"/>
              </w:rPr>
              <w:t>5</w:t>
            </w:r>
          </w:p>
        </w:tc>
        <w:tc>
          <w:tcPr>
            <w:tcW w:w="373" w:type="pct"/>
            <w:tcBorders>
              <w:top w:val="single" w:sz="4" w:space="0" w:color="auto"/>
              <w:left w:val="single" w:sz="4" w:space="0" w:color="auto"/>
              <w:bottom w:val="single" w:sz="4" w:space="0" w:color="auto"/>
              <w:right w:val="single" w:sz="4" w:space="0" w:color="auto"/>
            </w:tcBorders>
            <w:shd w:val="clear" w:color="auto" w:fill="FFFF00"/>
            <w:hideMark/>
          </w:tcPr>
          <w:p w14:paraId="2795076A" w14:textId="77777777" w:rsidR="00474BD1" w:rsidRDefault="00474BD1" w:rsidP="00B90DFB">
            <w:pPr>
              <w:keepLines/>
              <w:spacing w:before="40" w:after="40" w:line="200" w:lineRule="atLeast"/>
              <w:jc w:val="center"/>
              <w:rPr>
                <w:rFonts w:ascii="Calibri Light" w:hAnsi="Calibri Light"/>
                <w:color w:val="auto"/>
              </w:rPr>
            </w:pPr>
            <w:r>
              <w:rPr>
                <w:rFonts w:ascii="Calibri Light" w:hAnsi="Calibri Light"/>
                <w:color w:val="auto"/>
              </w:rPr>
              <w:t>4</w:t>
            </w:r>
          </w:p>
        </w:tc>
        <w:tc>
          <w:tcPr>
            <w:tcW w:w="361" w:type="pct"/>
            <w:tcBorders>
              <w:top w:val="single" w:sz="4" w:space="0" w:color="auto"/>
              <w:left w:val="single" w:sz="4" w:space="0" w:color="auto"/>
              <w:bottom w:val="single" w:sz="4" w:space="0" w:color="auto"/>
              <w:right w:val="single" w:sz="4" w:space="0" w:color="auto"/>
            </w:tcBorders>
            <w:shd w:val="clear" w:color="auto" w:fill="FFC000"/>
            <w:hideMark/>
          </w:tcPr>
          <w:p w14:paraId="1B4A275B" w14:textId="77777777" w:rsidR="00474BD1" w:rsidRDefault="00474BD1" w:rsidP="00B90DFB">
            <w:pPr>
              <w:keepLines/>
              <w:spacing w:before="40" w:after="40" w:line="200" w:lineRule="atLeast"/>
              <w:jc w:val="center"/>
              <w:rPr>
                <w:rFonts w:ascii="Calibri Light" w:hAnsi="Calibri Light"/>
                <w:color w:val="auto"/>
              </w:rPr>
            </w:pPr>
            <w:r>
              <w:rPr>
                <w:rFonts w:ascii="Calibri Light" w:hAnsi="Calibri Light"/>
                <w:color w:val="auto"/>
              </w:rPr>
              <w:t>3</w:t>
            </w:r>
          </w:p>
        </w:tc>
        <w:tc>
          <w:tcPr>
            <w:tcW w:w="362" w:type="pct"/>
            <w:tcBorders>
              <w:top w:val="single" w:sz="4" w:space="0" w:color="auto"/>
              <w:left w:val="single" w:sz="4" w:space="0" w:color="auto"/>
              <w:bottom w:val="single" w:sz="4" w:space="0" w:color="auto"/>
              <w:right w:val="single" w:sz="4" w:space="0" w:color="auto"/>
            </w:tcBorders>
            <w:shd w:val="clear" w:color="auto" w:fill="FFC000"/>
            <w:hideMark/>
          </w:tcPr>
          <w:p w14:paraId="06D48A3B" w14:textId="77777777" w:rsidR="00474BD1" w:rsidRDefault="00474BD1" w:rsidP="00B90DFB">
            <w:pPr>
              <w:keepLines/>
              <w:spacing w:before="40" w:after="40" w:line="200" w:lineRule="atLeast"/>
              <w:jc w:val="center"/>
              <w:rPr>
                <w:rFonts w:ascii="Calibri Light" w:hAnsi="Calibri Light"/>
                <w:color w:val="auto"/>
              </w:rPr>
            </w:pPr>
            <w:r>
              <w:rPr>
                <w:rFonts w:ascii="Calibri Light" w:eastAsia="Times New Roman" w:hAnsi="Calibri Light" w:cs="Times New Roman"/>
                <w:iCs/>
                <w:color w:val="auto"/>
                <w:szCs w:val="17"/>
              </w:rPr>
              <w:t>3</w:t>
            </w:r>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22C7A771" w14:textId="77777777" w:rsidR="00474BD1" w:rsidRDefault="00474BD1" w:rsidP="00B90DFB">
            <w:pPr>
              <w:keepLines/>
              <w:spacing w:before="40" w:after="40" w:line="200" w:lineRule="atLeast"/>
              <w:jc w:val="center"/>
              <w:rPr>
                <w:rFonts w:ascii="Calibri Light" w:hAnsi="Calibri Light"/>
                <w:color w:val="auto"/>
              </w:rPr>
            </w:pPr>
            <w:r>
              <w:rPr>
                <w:rFonts w:ascii="Calibri Light" w:hAnsi="Calibri Light"/>
                <w:color w:val="auto"/>
              </w:rPr>
              <w:t>4</w:t>
            </w:r>
          </w:p>
        </w:tc>
        <w:tc>
          <w:tcPr>
            <w:tcW w:w="362" w:type="pct"/>
            <w:tcBorders>
              <w:top w:val="single" w:sz="4" w:space="0" w:color="auto"/>
              <w:left w:val="single" w:sz="4" w:space="0" w:color="auto"/>
              <w:bottom w:val="single" w:sz="4" w:space="0" w:color="auto"/>
              <w:right w:val="nil"/>
            </w:tcBorders>
            <w:shd w:val="clear" w:color="auto" w:fill="FFFF00"/>
          </w:tcPr>
          <w:p w14:paraId="606F61C1" w14:textId="77777777" w:rsidR="00474BD1" w:rsidRDefault="00474BD1" w:rsidP="00B90DFB">
            <w:pPr>
              <w:keepLines/>
              <w:spacing w:before="40" w:after="40" w:line="200" w:lineRule="atLeast"/>
              <w:jc w:val="center"/>
              <w:rPr>
                <w:rFonts w:ascii="Calibri Light" w:hAnsi="Calibri Light"/>
                <w:color w:val="auto"/>
              </w:rPr>
            </w:pPr>
            <w:r>
              <w:rPr>
                <w:rFonts w:ascii="Calibri Light" w:hAnsi="Calibri Light"/>
                <w:color w:val="auto"/>
              </w:rPr>
              <w:t>4</w:t>
            </w:r>
          </w:p>
        </w:tc>
        <w:tc>
          <w:tcPr>
            <w:tcW w:w="357" w:type="pct"/>
            <w:tcBorders>
              <w:top w:val="single" w:sz="4" w:space="0" w:color="auto"/>
              <w:left w:val="single" w:sz="4" w:space="0" w:color="auto"/>
              <w:bottom w:val="single" w:sz="4" w:space="0" w:color="auto"/>
              <w:right w:val="nil"/>
            </w:tcBorders>
          </w:tcPr>
          <w:p w14:paraId="2C0622CC" w14:textId="77777777" w:rsidR="00474BD1" w:rsidRDefault="00474BD1" w:rsidP="0014053A">
            <w:pPr>
              <w:keepLines/>
              <w:spacing w:before="40" w:after="40" w:line="200" w:lineRule="atLeast"/>
              <w:rPr>
                <w:rFonts w:ascii="Calibri Light" w:hAnsi="Calibri Light"/>
                <w:color w:val="auto"/>
              </w:rPr>
            </w:pPr>
          </w:p>
        </w:tc>
      </w:tr>
    </w:tbl>
    <w:p w14:paraId="27BB7244" w14:textId="77777777" w:rsidR="00474BD1" w:rsidRDefault="00474BD1">
      <w:pPr>
        <w:suppressAutoHyphens w:val="0"/>
        <w:spacing w:before="0" w:after="120" w:line="440" w:lineRule="atLeast"/>
        <w:rPr>
          <w:rFonts w:eastAsiaTheme="majorEastAsia" w:cstheme="majorBidi"/>
          <w:bCs/>
          <w:iCs/>
          <w:caps/>
          <w:spacing w:val="-10"/>
          <w:kern w:val="28"/>
          <w:sz w:val="38"/>
          <w:szCs w:val="24"/>
        </w:rPr>
      </w:pPr>
      <w:r>
        <w:rPr>
          <w:rFonts w:eastAsiaTheme="majorEastAsia" w:cstheme="majorBidi"/>
          <w:bCs/>
          <w:iCs/>
          <w:caps/>
          <w:spacing w:val="-10"/>
          <w:kern w:val="28"/>
          <w:sz w:val="38"/>
          <w:szCs w:val="24"/>
        </w:rPr>
        <w:br w:type="page"/>
      </w:r>
    </w:p>
    <w:p w14:paraId="5DBF5543" w14:textId="05E11A52" w:rsidR="00076EDF" w:rsidRDefault="00076EDF" w:rsidP="00076EDF">
      <w:pPr>
        <w:spacing w:before="20" w:after="20" w:line="180" w:lineRule="atLeast"/>
        <w:rPr>
          <w:rFonts w:eastAsiaTheme="majorEastAsia" w:cstheme="majorBidi"/>
          <w:bCs/>
          <w:iCs/>
          <w:caps/>
          <w:spacing w:val="-10"/>
          <w:kern w:val="28"/>
          <w:sz w:val="38"/>
          <w:szCs w:val="24"/>
        </w:rPr>
      </w:pPr>
      <w:r>
        <w:rPr>
          <w:rFonts w:eastAsiaTheme="majorEastAsia" w:cstheme="majorBidi"/>
          <w:bCs/>
          <w:iCs/>
          <w:caps/>
          <w:spacing w:val="-10"/>
          <w:kern w:val="28"/>
          <w:sz w:val="38"/>
          <w:szCs w:val="24"/>
        </w:rPr>
        <w:lastRenderedPageBreak/>
        <w:t>Annex E – Performance Assessment Framework</w:t>
      </w:r>
    </w:p>
    <w:p w14:paraId="1036D3B8" w14:textId="77777777" w:rsidR="00076EDF" w:rsidRDefault="00076EDF" w:rsidP="00076EDF">
      <w:pPr>
        <w:spacing w:before="20" w:after="20" w:line="180" w:lineRule="atLeast"/>
        <w:rPr>
          <w:rFonts w:ascii="Helvetica" w:eastAsia="Times New Roman" w:hAnsi="Helvetica" w:cs="Arial"/>
          <w:color w:val="007FAD"/>
          <w:kern w:val="28"/>
          <w:sz w:val="28"/>
          <w:szCs w:val="28"/>
        </w:rPr>
      </w:pPr>
    </w:p>
    <w:p w14:paraId="2264EE4C" w14:textId="130D417E" w:rsidR="00076EDF" w:rsidRDefault="00A502CF" w:rsidP="00076EDF">
      <w:r>
        <w:t>Fiji’s</w:t>
      </w:r>
      <w:r w:rsidR="00076EDF">
        <w:t xml:space="preserve"> Performance Assessment Framework</w:t>
      </w:r>
      <w:r>
        <w:t xml:space="preserve"> is under draft to be finalised by end of 2017.</w:t>
      </w:r>
    </w:p>
    <w:p w14:paraId="151692C8" w14:textId="77777777" w:rsidR="00076EDF" w:rsidRDefault="00076EDF" w:rsidP="00076EDF"/>
    <w:p w14:paraId="1E09CCD6" w14:textId="77777777" w:rsidR="00076EDF" w:rsidRDefault="00076EDF" w:rsidP="00076EDF"/>
    <w:p w14:paraId="790400D6" w14:textId="77777777" w:rsidR="00076EDF" w:rsidRDefault="00076EDF" w:rsidP="00076EDF"/>
    <w:p w14:paraId="29A0FC71" w14:textId="77777777" w:rsidR="00076EDF" w:rsidRDefault="00076EDF" w:rsidP="00076EDF"/>
    <w:p w14:paraId="200147B4" w14:textId="77777777" w:rsidR="00076EDF" w:rsidRDefault="00076EDF" w:rsidP="00076EDF"/>
    <w:p w14:paraId="6C289742" w14:textId="77777777" w:rsidR="00076EDF" w:rsidRDefault="00076EDF" w:rsidP="00076EDF"/>
    <w:p w14:paraId="6C3FBB21" w14:textId="77777777" w:rsidR="00076EDF" w:rsidRDefault="00076EDF" w:rsidP="00076EDF"/>
    <w:p w14:paraId="63FAE070" w14:textId="77777777" w:rsidR="00076EDF" w:rsidRDefault="00076EDF" w:rsidP="00076EDF"/>
    <w:p w14:paraId="2A8127D8" w14:textId="77777777" w:rsidR="00076EDF" w:rsidRDefault="00076EDF" w:rsidP="00076EDF"/>
    <w:p w14:paraId="37E24650" w14:textId="77777777" w:rsidR="00076EDF" w:rsidRDefault="00076EDF" w:rsidP="00076EDF"/>
    <w:p w14:paraId="7EB0316B" w14:textId="77777777" w:rsidR="00076EDF" w:rsidRDefault="00076EDF" w:rsidP="00076EDF"/>
    <w:p w14:paraId="4864C537" w14:textId="77777777" w:rsidR="00076EDF" w:rsidRDefault="00076EDF" w:rsidP="00076EDF"/>
    <w:p w14:paraId="5CEEA5D2" w14:textId="77777777" w:rsidR="00076EDF" w:rsidRDefault="00076EDF" w:rsidP="00076EDF"/>
    <w:p w14:paraId="4A5C5722" w14:textId="77777777" w:rsidR="00076EDF" w:rsidRDefault="00076EDF" w:rsidP="00076EDF"/>
    <w:p w14:paraId="53879821" w14:textId="77777777" w:rsidR="00076EDF" w:rsidRDefault="00076EDF" w:rsidP="00076EDF"/>
    <w:p w14:paraId="13E40F98" w14:textId="77777777" w:rsidR="00076EDF" w:rsidRDefault="00076EDF" w:rsidP="00076EDF"/>
    <w:p w14:paraId="2F36F962" w14:textId="77777777" w:rsidR="00076EDF" w:rsidRDefault="00076EDF" w:rsidP="00076EDF"/>
    <w:p w14:paraId="6B0A0329" w14:textId="77777777" w:rsidR="00076EDF" w:rsidRDefault="00076EDF" w:rsidP="00076EDF">
      <w:pPr>
        <w:suppressAutoHyphens w:val="0"/>
        <w:spacing w:before="0" w:after="0" w:line="240" w:lineRule="auto"/>
        <w:sectPr w:rsidR="00076EDF">
          <w:type w:val="continuous"/>
          <w:pgSz w:w="16838" w:h="11906" w:orient="landscape"/>
          <w:pgMar w:top="1134" w:right="1527" w:bottom="1134" w:left="851" w:header="1418" w:footer="267" w:gutter="0"/>
          <w:cols w:space="720"/>
        </w:sectPr>
      </w:pPr>
    </w:p>
    <w:p w14:paraId="7A281E92" w14:textId="77777777" w:rsidR="00076EDF" w:rsidRDefault="00076EDF" w:rsidP="00076EDF"/>
    <w:p w14:paraId="7029CFC8" w14:textId="77777777" w:rsidR="00076EDF" w:rsidRDefault="00076EDF" w:rsidP="00076EDF">
      <w:pPr>
        <w:rPr>
          <w:rFonts w:eastAsiaTheme="majorEastAsia" w:cstheme="majorBidi"/>
          <w:bCs/>
          <w:iCs/>
          <w:caps/>
          <w:spacing w:val="-10"/>
          <w:kern w:val="28"/>
          <w:sz w:val="38"/>
          <w:szCs w:val="24"/>
        </w:rPr>
      </w:pPr>
      <w:r>
        <w:rPr>
          <w:rFonts w:eastAsiaTheme="majorEastAsia" w:cstheme="majorBidi"/>
          <w:bCs/>
          <w:iCs/>
          <w:caps/>
          <w:spacing w:val="-10"/>
          <w:kern w:val="28"/>
          <w:sz w:val="38"/>
          <w:szCs w:val="24"/>
        </w:rPr>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076EDF" w14:paraId="1B448930" w14:textId="77777777" w:rsidTr="00076EDF">
        <w:trPr>
          <w:trHeight w:val="1156"/>
        </w:trPr>
        <w:tc>
          <w:tcPr>
            <w:tcW w:w="1271" w:type="dxa"/>
            <w:tcBorders>
              <w:top w:val="single" w:sz="4" w:space="0" w:color="FFFFFF" w:themeColor="background1"/>
              <w:left w:val="single" w:sz="4" w:space="0" w:color="FFFFFF" w:themeColor="background1"/>
              <w:bottom w:val="single" w:sz="4" w:space="0" w:color="FFFFFF" w:themeColor="background1"/>
              <w:right w:val="nil"/>
            </w:tcBorders>
            <w:shd w:val="clear" w:color="auto" w:fill="D7DEE2" w:themeFill="text2" w:themeFillTint="33"/>
            <w:hideMark/>
          </w:tcPr>
          <w:p w14:paraId="0F151888" w14:textId="77777777" w:rsidR="00076EDF" w:rsidRDefault="00076EDF">
            <w:pPr>
              <w:spacing w:before="80" w:after="80"/>
            </w:pPr>
            <w:r>
              <w:rPr>
                <w:noProof/>
                <w:lang w:val="en-AU" w:eastAsia="en-AU"/>
              </w:rPr>
              <w:drawing>
                <wp:inline distT="0" distB="0" distL="0" distR="0" wp14:anchorId="544CDC7A" wp14:editId="23B325D7">
                  <wp:extent cx="609600" cy="609600"/>
                  <wp:effectExtent l="0" t="0" r="0" b="0"/>
                  <wp:docPr id="52" name="Picture 52" descr="SD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DG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375ACA09" w14:textId="77777777" w:rsidR="00076EDF" w:rsidRDefault="00076EDF">
            <w:pPr>
              <w:spacing w:before="80" w:after="80"/>
              <w:rPr>
                <w:sz w:val="16"/>
              </w:rPr>
            </w:pPr>
            <w:r>
              <w:rPr>
                <w:sz w:val="16"/>
              </w:rPr>
              <w:t>End poverty in all its forms everywhere</w:t>
            </w:r>
          </w:p>
        </w:tc>
        <w:tc>
          <w:tcPr>
            <w:tcW w:w="283" w:type="dxa"/>
            <w:tcBorders>
              <w:top w:val="single" w:sz="4" w:space="0" w:color="FFFFFF" w:themeColor="background1"/>
              <w:left w:val="nil"/>
              <w:bottom w:val="single" w:sz="4" w:space="0" w:color="FFFFFF" w:themeColor="background1"/>
              <w:right w:val="nil"/>
            </w:tcBorders>
            <w:shd w:val="clear" w:color="auto" w:fill="D7DEE2" w:themeFill="text2" w:themeFillTint="33"/>
          </w:tcPr>
          <w:p w14:paraId="310590B0" w14:textId="77777777" w:rsidR="00076EDF" w:rsidRDefault="00076EDF"/>
        </w:tc>
        <w:tc>
          <w:tcPr>
            <w:tcW w:w="1276"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3D8C8C79" w14:textId="77777777" w:rsidR="00076EDF" w:rsidRDefault="00076EDF">
            <w:pPr>
              <w:spacing w:before="80" w:after="80"/>
            </w:pPr>
            <w:r>
              <w:rPr>
                <w:noProof/>
                <w:lang w:val="en-AU" w:eastAsia="en-AU"/>
              </w:rPr>
              <w:drawing>
                <wp:inline distT="0" distB="0" distL="0" distR="0" wp14:anchorId="2ABF63B3" wp14:editId="0B60A585">
                  <wp:extent cx="609600" cy="609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544"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53F5E44F" w14:textId="77777777" w:rsidR="00076EDF" w:rsidRDefault="00076EDF">
            <w:pPr>
              <w:spacing w:before="80" w:after="80"/>
              <w:rPr>
                <w:sz w:val="16"/>
              </w:rPr>
            </w:pPr>
            <w:r>
              <w:rPr>
                <w:sz w:val="16"/>
              </w:rPr>
              <w:t>Reduce inequality within and among countries</w:t>
            </w:r>
          </w:p>
        </w:tc>
      </w:tr>
      <w:tr w:rsidR="00076EDF" w14:paraId="23ECA34D" w14:textId="77777777" w:rsidTr="00076EDF">
        <w:tc>
          <w:tcPr>
            <w:tcW w:w="1271" w:type="dxa"/>
            <w:tcBorders>
              <w:top w:val="single" w:sz="4" w:space="0" w:color="FFFFFF" w:themeColor="background1"/>
              <w:left w:val="single" w:sz="4" w:space="0" w:color="FFFFFF" w:themeColor="background1"/>
              <w:bottom w:val="single" w:sz="4" w:space="0" w:color="FFFFFF" w:themeColor="background1"/>
              <w:right w:val="nil"/>
            </w:tcBorders>
            <w:shd w:val="clear" w:color="auto" w:fill="D7DEE2" w:themeFill="text2" w:themeFillTint="33"/>
            <w:hideMark/>
          </w:tcPr>
          <w:p w14:paraId="2F4FABCA" w14:textId="77777777" w:rsidR="00076EDF" w:rsidRDefault="00076EDF">
            <w:pPr>
              <w:spacing w:before="80" w:after="80"/>
            </w:pPr>
            <w:r>
              <w:rPr>
                <w:noProof/>
                <w:lang w:val="en-AU" w:eastAsia="en-AU"/>
              </w:rPr>
              <w:drawing>
                <wp:inline distT="0" distB="0" distL="0" distR="0" wp14:anchorId="15BA8A7A" wp14:editId="305F35C6">
                  <wp:extent cx="609600" cy="609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1E7E2473" w14:textId="77777777" w:rsidR="00076EDF" w:rsidRDefault="00076EDF">
            <w:pPr>
              <w:spacing w:before="80" w:after="80"/>
              <w:rPr>
                <w:sz w:val="16"/>
              </w:rPr>
            </w:pPr>
            <w:r>
              <w:rPr>
                <w:sz w:val="16"/>
              </w:rPr>
              <w:t>End hunger, achieve food security and improved nutrition and promote sustainable agriculture</w:t>
            </w:r>
          </w:p>
        </w:tc>
        <w:tc>
          <w:tcPr>
            <w:tcW w:w="283" w:type="dxa"/>
            <w:tcBorders>
              <w:top w:val="single" w:sz="4" w:space="0" w:color="FFFFFF" w:themeColor="background1"/>
              <w:left w:val="nil"/>
              <w:bottom w:val="single" w:sz="4" w:space="0" w:color="FFFFFF" w:themeColor="background1"/>
              <w:right w:val="nil"/>
            </w:tcBorders>
            <w:shd w:val="clear" w:color="auto" w:fill="D7DEE2" w:themeFill="text2" w:themeFillTint="33"/>
          </w:tcPr>
          <w:p w14:paraId="68490EDD" w14:textId="77777777" w:rsidR="00076EDF" w:rsidRDefault="00076EDF"/>
        </w:tc>
        <w:tc>
          <w:tcPr>
            <w:tcW w:w="1276"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55CC323D" w14:textId="77777777" w:rsidR="00076EDF" w:rsidRDefault="00076EDF">
            <w:pPr>
              <w:spacing w:before="80" w:after="80"/>
            </w:pPr>
            <w:r>
              <w:rPr>
                <w:noProof/>
                <w:lang w:val="en-AU" w:eastAsia="en-AU"/>
              </w:rPr>
              <w:drawing>
                <wp:inline distT="0" distB="0" distL="0" distR="0" wp14:anchorId="4F9EC365" wp14:editId="18BAEB10">
                  <wp:extent cx="609600" cy="609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544"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15B034F7" w14:textId="77777777" w:rsidR="00076EDF" w:rsidRDefault="00076EDF">
            <w:pPr>
              <w:spacing w:before="80" w:after="80"/>
              <w:rPr>
                <w:sz w:val="16"/>
              </w:rPr>
            </w:pPr>
            <w:r>
              <w:rPr>
                <w:sz w:val="16"/>
              </w:rPr>
              <w:t>Make cities and human settlements inclusive, safe, resilient and sustainable</w:t>
            </w:r>
          </w:p>
        </w:tc>
      </w:tr>
      <w:tr w:rsidR="00076EDF" w14:paraId="37535141" w14:textId="77777777" w:rsidTr="00076EDF">
        <w:tc>
          <w:tcPr>
            <w:tcW w:w="1271" w:type="dxa"/>
            <w:tcBorders>
              <w:top w:val="single" w:sz="4" w:space="0" w:color="FFFFFF" w:themeColor="background1"/>
              <w:left w:val="single" w:sz="4" w:space="0" w:color="FFFFFF" w:themeColor="background1"/>
              <w:bottom w:val="single" w:sz="4" w:space="0" w:color="FFFFFF" w:themeColor="background1"/>
              <w:right w:val="nil"/>
            </w:tcBorders>
            <w:shd w:val="clear" w:color="auto" w:fill="D7DEE2" w:themeFill="text2" w:themeFillTint="33"/>
            <w:hideMark/>
          </w:tcPr>
          <w:p w14:paraId="484183F5" w14:textId="77777777" w:rsidR="00076EDF" w:rsidRDefault="00076EDF">
            <w:pPr>
              <w:spacing w:before="80" w:after="80"/>
            </w:pPr>
            <w:r>
              <w:rPr>
                <w:noProof/>
                <w:lang w:val="en-AU" w:eastAsia="en-AU"/>
              </w:rPr>
              <w:drawing>
                <wp:inline distT="0" distB="0" distL="0" distR="0" wp14:anchorId="55D87178" wp14:editId="6B85EC52">
                  <wp:extent cx="609600" cy="609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147036AF" w14:textId="77777777" w:rsidR="00076EDF" w:rsidRDefault="00076EDF">
            <w:pPr>
              <w:spacing w:before="80" w:after="80"/>
              <w:rPr>
                <w:sz w:val="16"/>
              </w:rPr>
            </w:pPr>
            <w:r>
              <w:rPr>
                <w:sz w:val="16"/>
              </w:rPr>
              <w:t>Ensure healthy lives and promote well-being at all ages</w:t>
            </w:r>
          </w:p>
        </w:tc>
        <w:tc>
          <w:tcPr>
            <w:tcW w:w="283" w:type="dxa"/>
            <w:tcBorders>
              <w:top w:val="single" w:sz="4" w:space="0" w:color="FFFFFF" w:themeColor="background1"/>
              <w:left w:val="nil"/>
              <w:bottom w:val="single" w:sz="4" w:space="0" w:color="FFFFFF" w:themeColor="background1"/>
              <w:right w:val="nil"/>
            </w:tcBorders>
            <w:shd w:val="clear" w:color="auto" w:fill="D7DEE2" w:themeFill="text2" w:themeFillTint="33"/>
          </w:tcPr>
          <w:p w14:paraId="2FEE8189" w14:textId="77777777" w:rsidR="00076EDF" w:rsidRDefault="00076EDF"/>
        </w:tc>
        <w:tc>
          <w:tcPr>
            <w:tcW w:w="1276"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6BEC33D1" w14:textId="77777777" w:rsidR="00076EDF" w:rsidRDefault="00076EDF">
            <w:pPr>
              <w:spacing w:before="80" w:after="80"/>
            </w:pPr>
            <w:r>
              <w:rPr>
                <w:noProof/>
                <w:lang w:val="en-AU" w:eastAsia="en-AU"/>
              </w:rPr>
              <w:drawing>
                <wp:inline distT="0" distB="0" distL="0" distR="0" wp14:anchorId="0BC7FCEE" wp14:editId="123EE2BF">
                  <wp:extent cx="609600" cy="609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544"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5F8CCAF7" w14:textId="77777777" w:rsidR="00076EDF" w:rsidRDefault="00076EDF">
            <w:pPr>
              <w:spacing w:before="80" w:after="80"/>
              <w:rPr>
                <w:sz w:val="16"/>
              </w:rPr>
            </w:pPr>
            <w:r>
              <w:rPr>
                <w:sz w:val="16"/>
              </w:rPr>
              <w:t>Ensure sustainable consumption and production patterns</w:t>
            </w:r>
          </w:p>
        </w:tc>
      </w:tr>
      <w:tr w:rsidR="00076EDF" w14:paraId="0C9601F5" w14:textId="77777777" w:rsidTr="00076EDF">
        <w:tc>
          <w:tcPr>
            <w:tcW w:w="1271" w:type="dxa"/>
            <w:tcBorders>
              <w:top w:val="single" w:sz="4" w:space="0" w:color="FFFFFF" w:themeColor="background1"/>
              <w:left w:val="single" w:sz="4" w:space="0" w:color="FFFFFF" w:themeColor="background1"/>
              <w:bottom w:val="single" w:sz="4" w:space="0" w:color="FFFFFF" w:themeColor="background1"/>
              <w:right w:val="nil"/>
            </w:tcBorders>
            <w:shd w:val="clear" w:color="auto" w:fill="D7DEE2" w:themeFill="text2" w:themeFillTint="33"/>
            <w:hideMark/>
          </w:tcPr>
          <w:p w14:paraId="1260F731" w14:textId="77777777" w:rsidR="00076EDF" w:rsidRDefault="00076EDF">
            <w:pPr>
              <w:spacing w:before="80" w:after="80"/>
            </w:pPr>
            <w:r>
              <w:rPr>
                <w:noProof/>
                <w:lang w:val="en-AU" w:eastAsia="en-AU"/>
              </w:rPr>
              <w:drawing>
                <wp:inline distT="0" distB="0" distL="0" distR="0" wp14:anchorId="118D7A47" wp14:editId="7B98B4CE">
                  <wp:extent cx="609600" cy="609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2CF7DEB4" w14:textId="77777777" w:rsidR="00076EDF" w:rsidRDefault="00076EDF">
            <w:pPr>
              <w:spacing w:before="80" w:after="80"/>
              <w:rPr>
                <w:sz w:val="16"/>
              </w:rPr>
            </w:pPr>
            <w:r>
              <w:rPr>
                <w:sz w:val="16"/>
              </w:rPr>
              <w:t>Ensure inclusive and equitable quality education and promote lifelong learning opportunities for all</w:t>
            </w:r>
          </w:p>
        </w:tc>
        <w:tc>
          <w:tcPr>
            <w:tcW w:w="283" w:type="dxa"/>
            <w:tcBorders>
              <w:top w:val="single" w:sz="4" w:space="0" w:color="FFFFFF" w:themeColor="background1"/>
              <w:left w:val="nil"/>
              <w:bottom w:val="single" w:sz="4" w:space="0" w:color="FFFFFF" w:themeColor="background1"/>
              <w:right w:val="nil"/>
            </w:tcBorders>
            <w:shd w:val="clear" w:color="auto" w:fill="D7DEE2" w:themeFill="text2" w:themeFillTint="33"/>
          </w:tcPr>
          <w:p w14:paraId="3C27794E" w14:textId="77777777" w:rsidR="00076EDF" w:rsidRDefault="00076EDF"/>
        </w:tc>
        <w:tc>
          <w:tcPr>
            <w:tcW w:w="1276"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51657DFA" w14:textId="77777777" w:rsidR="00076EDF" w:rsidRDefault="00076EDF">
            <w:pPr>
              <w:spacing w:before="80" w:after="80"/>
            </w:pPr>
            <w:r>
              <w:rPr>
                <w:noProof/>
                <w:lang w:val="en-AU" w:eastAsia="en-AU"/>
              </w:rPr>
              <w:drawing>
                <wp:inline distT="0" distB="0" distL="0" distR="0" wp14:anchorId="2C5D39D3" wp14:editId="0F801837">
                  <wp:extent cx="609600" cy="609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544"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3D9EB517" w14:textId="77777777" w:rsidR="00076EDF" w:rsidRDefault="00076EDF">
            <w:pPr>
              <w:spacing w:before="80" w:after="80"/>
              <w:rPr>
                <w:sz w:val="16"/>
              </w:rPr>
            </w:pPr>
            <w:r>
              <w:rPr>
                <w:sz w:val="16"/>
              </w:rPr>
              <w:t>Take urgent action to combat climate change and its impacts</w:t>
            </w:r>
          </w:p>
        </w:tc>
      </w:tr>
      <w:tr w:rsidR="00076EDF" w14:paraId="6950AB29" w14:textId="77777777" w:rsidTr="00076EDF">
        <w:tc>
          <w:tcPr>
            <w:tcW w:w="1271" w:type="dxa"/>
            <w:tcBorders>
              <w:top w:val="single" w:sz="4" w:space="0" w:color="FFFFFF" w:themeColor="background1"/>
              <w:left w:val="single" w:sz="4" w:space="0" w:color="FFFFFF" w:themeColor="background1"/>
              <w:bottom w:val="single" w:sz="4" w:space="0" w:color="FFFFFF" w:themeColor="background1"/>
              <w:right w:val="nil"/>
            </w:tcBorders>
            <w:shd w:val="clear" w:color="auto" w:fill="D7DEE2" w:themeFill="text2" w:themeFillTint="33"/>
            <w:hideMark/>
          </w:tcPr>
          <w:p w14:paraId="71D5DC3B" w14:textId="77777777" w:rsidR="00076EDF" w:rsidRDefault="00076EDF">
            <w:pPr>
              <w:spacing w:before="80" w:after="80"/>
            </w:pPr>
            <w:r>
              <w:rPr>
                <w:noProof/>
                <w:lang w:val="en-AU" w:eastAsia="en-AU"/>
              </w:rPr>
              <w:drawing>
                <wp:inline distT="0" distB="0" distL="0" distR="0" wp14:anchorId="402DB12D" wp14:editId="33F2D1DB">
                  <wp:extent cx="609600" cy="609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346EC789" w14:textId="77777777" w:rsidR="00076EDF" w:rsidRDefault="00076EDF">
            <w:pPr>
              <w:spacing w:before="80" w:after="80"/>
              <w:rPr>
                <w:sz w:val="16"/>
              </w:rPr>
            </w:pPr>
            <w:r>
              <w:rPr>
                <w:sz w:val="16"/>
              </w:rPr>
              <w:t>Achieve gender equality and empower all women and girls</w:t>
            </w:r>
          </w:p>
        </w:tc>
        <w:tc>
          <w:tcPr>
            <w:tcW w:w="283" w:type="dxa"/>
            <w:tcBorders>
              <w:top w:val="single" w:sz="4" w:space="0" w:color="FFFFFF" w:themeColor="background1"/>
              <w:left w:val="nil"/>
              <w:bottom w:val="single" w:sz="4" w:space="0" w:color="FFFFFF" w:themeColor="background1"/>
              <w:right w:val="nil"/>
            </w:tcBorders>
            <w:shd w:val="clear" w:color="auto" w:fill="D7DEE2" w:themeFill="text2" w:themeFillTint="33"/>
          </w:tcPr>
          <w:p w14:paraId="18E98F3D" w14:textId="77777777" w:rsidR="00076EDF" w:rsidRDefault="00076EDF"/>
        </w:tc>
        <w:tc>
          <w:tcPr>
            <w:tcW w:w="1276"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5328E10A" w14:textId="77777777" w:rsidR="00076EDF" w:rsidRDefault="00076EDF">
            <w:pPr>
              <w:spacing w:before="80" w:after="80"/>
            </w:pPr>
            <w:r>
              <w:rPr>
                <w:noProof/>
                <w:lang w:val="en-AU" w:eastAsia="en-AU"/>
              </w:rPr>
              <w:drawing>
                <wp:inline distT="0" distB="0" distL="0" distR="0" wp14:anchorId="0569957B" wp14:editId="3E9837C5">
                  <wp:extent cx="609600" cy="609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544"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624E1A37" w14:textId="77777777" w:rsidR="00076EDF" w:rsidRDefault="00076EDF">
            <w:pPr>
              <w:spacing w:before="80" w:after="80"/>
              <w:rPr>
                <w:sz w:val="16"/>
              </w:rPr>
            </w:pPr>
            <w:r>
              <w:rPr>
                <w:sz w:val="16"/>
              </w:rPr>
              <w:t>Conserve and sustainably use the oceans, seas and marine resources for sustainable development</w:t>
            </w:r>
          </w:p>
        </w:tc>
      </w:tr>
      <w:tr w:rsidR="00076EDF" w14:paraId="49D7227D" w14:textId="77777777" w:rsidTr="00076EDF">
        <w:tc>
          <w:tcPr>
            <w:tcW w:w="1271" w:type="dxa"/>
            <w:tcBorders>
              <w:top w:val="single" w:sz="4" w:space="0" w:color="FFFFFF" w:themeColor="background1"/>
              <w:left w:val="single" w:sz="4" w:space="0" w:color="FFFFFF" w:themeColor="background1"/>
              <w:bottom w:val="single" w:sz="4" w:space="0" w:color="FFFFFF" w:themeColor="background1"/>
              <w:right w:val="nil"/>
            </w:tcBorders>
            <w:shd w:val="clear" w:color="auto" w:fill="D7DEE2" w:themeFill="text2" w:themeFillTint="33"/>
            <w:hideMark/>
          </w:tcPr>
          <w:p w14:paraId="56C33569" w14:textId="77777777" w:rsidR="00076EDF" w:rsidRDefault="00076EDF">
            <w:pPr>
              <w:spacing w:before="80" w:after="80"/>
            </w:pPr>
            <w:r>
              <w:rPr>
                <w:noProof/>
                <w:lang w:val="en-AU" w:eastAsia="en-AU"/>
              </w:rPr>
              <w:drawing>
                <wp:inline distT="0" distB="0" distL="0" distR="0" wp14:anchorId="70A06139" wp14:editId="53BEADAF">
                  <wp:extent cx="609600" cy="609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19E4DE1B" w14:textId="77777777" w:rsidR="00076EDF" w:rsidRDefault="00076EDF">
            <w:pPr>
              <w:spacing w:before="80" w:after="80"/>
              <w:rPr>
                <w:sz w:val="16"/>
              </w:rPr>
            </w:pPr>
            <w:r>
              <w:rPr>
                <w:sz w:val="16"/>
              </w:rPr>
              <w:t>Ensure availability and sustainability management of water and sanitation for all</w:t>
            </w:r>
          </w:p>
        </w:tc>
        <w:tc>
          <w:tcPr>
            <w:tcW w:w="283" w:type="dxa"/>
            <w:tcBorders>
              <w:top w:val="single" w:sz="4" w:space="0" w:color="FFFFFF" w:themeColor="background1"/>
              <w:left w:val="nil"/>
              <w:bottom w:val="single" w:sz="4" w:space="0" w:color="FFFFFF" w:themeColor="background1"/>
              <w:right w:val="nil"/>
            </w:tcBorders>
            <w:shd w:val="clear" w:color="auto" w:fill="D7DEE2" w:themeFill="text2" w:themeFillTint="33"/>
          </w:tcPr>
          <w:p w14:paraId="7C2966EE" w14:textId="77777777" w:rsidR="00076EDF" w:rsidRDefault="00076EDF"/>
        </w:tc>
        <w:tc>
          <w:tcPr>
            <w:tcW w:w="1276"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5B5EB058" w14:textId="77777777" w:rsidR="00076EDF" w:rsidRDefault="00076EDF">
            <w:pPr>
              <w:spacing w:before="80" w:after="80"/>
            </w:pPr>
            <w:r>
              <w:rPr>
                <w:noProof/>
                <w:lang w:val="en-AU" w:eastAsia="en-AU"/>
              </w:rPr>
              <w:drawing>
                <wp:inline distT="0" distB="0" distL="0" distR="0" wp14:anchorId="5519F4A8" wp14:editId="5FCBA1F4">
                  <wp:extent cx="609600" cy="609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544"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5AA011C9" w14:textId="77777777" w:rsidR="00076EDF" w:rsidRDefault="00076EDF">
            <w:pPr>
              <w:spacing w:before="80" w:after="80"/>
              <w:rPr>
                <w:sz w:val="16"/>
              </w:rPr>
            </w:pPr>
            <w:r>
              <w:rPr>
                <w:sz w:val="16"/>
              </w:rPr>
              <w:t>Protect, restore and promote sustainable use of terrestrial ecosystems</w:t>
            </w:r>
          </w:p>
        </w:tc>
      </w:tr>
      <w:tr w:rsidR="00076EDF" w14:paraId="093EB3C8" w14:textId="77777777" w:rsidTr="00076EDF">
        <w:tc>
          <w:tcPr>
            <w:tcW w:w="1271" w:type="dxa"/>
            <w:tcBorders>
              <w:top w:val="single" w:sz="4" w:space="0" w:color="FFFFFF" w:themeColor="background1"/>
              <w:left w:val="single" w:sz="4" w:space="0" w:color="FFFFFF" w:themeColor="background1"/>
              <w:bottom w:val="single" w:sz="4" w:space="0" w:color="FFFFFF" w:themeColor="background1"/>
              <w:right w:val="nil"/>
            </w:tcBorders>
            <w:shd w:val="clear" w:color="auto" w:fill="D7DEE2" w:themeFill="text2" w:themeFillTint="33"/>
            <w:hideMark/>
          </w:tcPr>
          <w:p w14:paraId="5D52E069" w14:textId="77777777" w:rsidR="00076EDF" w:rsidRDefault="00076EDF">
            <w:pPr>
              <w:spacing w:before="80" w:after="80"/>
            </w:pPr>
            <w:r>
              <w:rPr>
                <w:noProof/>
                <w:lang w:val="en-AU" w:eastAsia="en-AU"/>
              </w:rPr>
              <w:drawing>
                <wp:inline distT="0" distB="0" distL="0" distR="0" wp14:anchorId="2210EE13" wp14:editId="7E8A1FF9">
                  <wp:extent cx="609600" cy="609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4F781587" w14:textId="77777777" w:rsidR="00076EDF" w:rsidRDefault="00076EDF">
            <w:pPr>
              <w:spacing w:before="80" w:after="80"/>
              <w:rPr>
                <w:sz w:val="16"/>
              </w:rPr>
            </w:pPr>
            <w:r>
              <w:rPr>
                <w:sz w:val="16"/>
              </w:rPr>
              <w:t>Ensure access to affordable, reliable sustainable and modern energy for all</w:t>
            </w:r>
          </w:p>
        </w:tc>
        <w:tc>
          <w:tcPr>
            <w:tcW w:w="283" w:type="dxa"/>
            <w:tcBorders>
              <w:top w:val="single" w:sz="4" w:space="0" w:color="FFFFFF" w:themeColor="background1"/>
              <w:left w:val="nil"/>
              <w:bottom w:val="single" w:sz="4" w:space="0" w:color="FFFFFF" w:themeColor="background1"/>
              <w:right w:val="nil"/>
            </w:tcBorders>
            <w:shd w:val="clear" w:color="auto" w:fill="D7DEE2" w:themeFill="text2" w:themeFillTint="33"/>
          </w:tcPr>
          <w:p w14:paraId="4CDEBFC6" w14:textId="77777777" w:rsidR="00076EDF" w:rsidRDefault="00076EDF"/>
        </w:tc>
        <w:tc>
          <w:tcPr>
            <w:tcW w:w="1276"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186FDFB5" w14:textId="77777777" w:rsidR="00076EDF" w:rsidRDefault="00076EDF">
            <w:pPr>
              <w:spacing w:before="80" w:after="80"/>
            </w:pPr>
            <w:r>
              <w:rPr>
                <w:noProof/>
                <w:lang w:val="en-AU" w:eastAsia="en-AU"/>
              </w:rPr>
              <w:drawing>
                <wp:inline distT="0" distB="0" distL="0" distR="0" wp14:anchorId="13F981D4" wp14:editId="65F66AEB">
                  <wp:extent cx="609600"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544"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16E5CEE4" w14:textId="77777777" w:rsidR="00076EDF" w:rsidRDefault="00076EDF">
            <w:pPr>
              <w:spacing w:before="80" w:after="80"/>
              <w:rPr>
                <w:sz w:val="16"/>
              </w:rPr>
            </w:pPr>
            <w:r>
              <w:rPr>
                <w:sz w:val="16"/>
              </w:rPr>
              <w:t>Promote peaceful and inclusive societies for sustainable development and provide access to justice for all</w:t>
            </w:r>
          </w:p>
        </w:tc>
      </w:tr>
      <w:tr w:rsidR="00076EDF" w14:paraId="6AAD2CAC" w14:textId="77777777" w:rsidTr="00076EDF">
        <w:tc>
          <w:tcPr>
            <w:tcW w:w="1271" w:type="dxa"/>
            <w:tcBorders>
              <w:top w:val="single" w:sz="4" w:space="0" w:color="FFFFFF" w:themeColor="background1"/>
              <w:left w:val="single" w:sz="4" w:space="0" w:color="FFFFFF" w:themeColor="background1"/>
              <w:bottom w:val="single" w:sz="4" w:space="0" w:color="FFFFFF" w:themeColor="background1"/>
              <w:right w:val="nil"/>
            </w:tcBorders>
            <w:shd w:val="clear" w:color="auto" w:fill="D7DEE2" w:themeFill="text2" w:themeFillTint="33"/>
            <w:hideMark/>
          </w:tcPr>
          <w:p w14:paraId="4583C6EA" w14:textId="77777777" w:rsidR="00076EDF" w:rsidRDefault="00076EDF">
            <w:pPr>
              <w:spacing w:before="80" w:after="80"/>
            </w:pPr>
            <w:r>
              <w:rPr>
                <w:noProof/>
                <w:lang w:val="en-AU" w:eastAsia="en-AU"/>
              </w:rPr>
              <w:drawing>
                <wp:inline distT="0" distB="0" distL="0" distR="0" wp14:anchorId="3970AF75" wp14:editId="3307FF89">
                  <wp:extent cx="609600" cy="609600"/>
                  <wp:effectExtent l="0" t="0" r="0" b="0"/>
                  <wp:docPr id="8" name="Picture 8" descr="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DG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6B72CEE1" w14:textId="77777777" w:rsidR="00076EDF" w:rsidRDefault="00076EDF">
            <w:pPr>
              <w:spacing w:before="80" w:after="80"/>
              <w:rPr>
                <w:sz w:val="16"/>
              </w:rPr>
            </w:pPr>
            <w:r>
              <w:rPr>
                <w:sz w:val="16"/>
              </w:rPr>
              <w:t>Promote sustained, inclusive and sustainable economic growth, full and productive employment</w:t>
            </w:r>
          </w:p>
        </w:tc>
        <w:tc>
          <w:tcPr>
            <w:tcW w:w="283" w:type="dxa"/>
            <w:tcBorders>
              <w:top w:val="single" w:sz="4" w:space="0" w:color="FFFFFF" w:themeColor="background1"/>
              <w:left w:val="nil"/>
              <w:bottom w:val="single" w:sz="4" w:space="0" w:color="FFFFFF" w:themeColor="background1"/>
              <w:right w:val="nil"/>
            </w:tcBorders>
            <w:shd w:val="clear" w:color="auto" w:fill="D7DEE2" w:themeFill="text2" w:themeFillTint="33"/>
          </w:tcPr>
          <w:p w14:paraId="2E777FB5" w14:textId="77777777" w:rsidR="00076EDF" w:rsidRDefault="00076EDF"/>
        </w:tc>
        <w:tc>
          <w:tcPr>
            <w:tcW w:w="1276"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396B00DF" w14:textId="77777777" w:rsidR="00076EDF" w:rsidRDefault="00076EDF">
            <w:pPr>
              <w:spacing w:before="80" w:after="80"/>
            </w:pPr>
            <w:r>
              <w:rPr>
                <w:noProof/>
                <w:lang w:val="en-AU" w:eastAsia="en-AU"/>
              </w:rPr>
              <w:drawing>
                <wp:inline distT="0" distB="0" distL="0" distR="0" wp14:anchorId="54E2F10D" wp14:editId="2146681A">
                  <wp:extent cx="609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544"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590D34BD" w14:textId="77777777" w:rsidR="00076EDF" w:rsidRDefault="00076EDF">
            <w:pPr>
              <w:spacing w:before="80" w:after="80"/>
              <w:rPr>
                <w:sz w:val="16"/>
              </w:rPr>
            </w:pPr>
            <w:r>
              <w:rPr>
                <w:sz w:val="16"/>
              </w:rPr>
              <w:t>Strengthen the means of implementation and revitalise the global partnership for sustainable development</w:t>
            </w:r>
          </w:p>
        </w:tc>
      </w:tr>
      <w:tr w:rsidR="00076EDF" w14:paraId="0D1BDED3" w14:textId="77777777" w:rsidTr="00076EDF">
        <w:tc>
          <w:tcPr>
            <w:tcW w:w="1271" w:type="dxa"/>
            <w:tcBorders>
              <w:top w:val="single" w:sz="4" w:space="0" w:color="FFFFFF" w:themeColor="background1"/>
              <w:left w:val="single" w:sz="4" w:space="0" w:color="FFFFFF" w:themeColor="background1"/>
              <w:bottom w:val="single" w:sz="4" w:space="0" w:color="FFFFFF" w:themeColor="background1"/>
              <w:right w:val="nil"/>
            </w:tcBorders>
            <w:shd w:val="clear" w:color="auto" w:fill="D7DEE2" w:themeFill="text2" w:themeFillTint="33"/>
            <w:hideMark/>
          </w:tcPr>
          <w:p w14:paraId="10979F8C" w14:textId="77777777" w:rsidR="00076EDF" w:rsidRDefault="00076EDF">
            <w:pPr>
              <w:spacing w:before="80" w:after="80"/>
            </w:pPr>
            <w:r>
              <w:rPr>
                <w:noProof/>
                <w:lang w:val="en-AU" w:eastAsia="en-AU"/>
              </w:rPr>
              <w:drawing>
                <wp:inline distT="0" distB="0" distL="0" distR="0" wp14:anchorId="251461E6" wp14:editId="19FC6DBA">
                  <wp:extent cx="60960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tcBorders>
              <w:top w:val="single" w:sz="4" w:space="0" w:color="FFFFFF" w:themeColor="background1"/>
              <w:left w:val="nil"/>
              <w:bottom w:val="single" w:sz="4" w:space="0" w:color="FFFFFF" w:themeColor="background1"/>
              <w:right w:val="nil"/>
            </w:tcBorders>
            <w:shd w:val="clear" w:color="auto" w:fill="D7DEE2" w:themeFill="text2" w:themeFillTint="33"/>
            <w:hideMark/>
          </w:tcPr>
          <w:p w14:paraId="23D08844" w14:textId="77777777" w:rsidR="00076EDF" w:rsidRDefault="00076EDF">
            <w:pPr>
              <w:spacing w:before="80" w:after="80"/>
              <w:rPr>
                <w:sz w:val="16"/>
              </w:rPr>
            </w:pPr>
            <w:r>
              <w:rPr>
                <w:sz w:val="16"/>
              </w:rPr>
              <w:t>Build resilient infrastructure, promote inclusive and sustainable Industrialisation and foster innovation</w:t>
            </w:r>
          </w:p>
        </w:tc>
        <w:tc>
          <w:tcPr>
            <w:tcW w:w="283" w:type="dxa"/>
            <w:tcBorders>
              <w:top w:val="single" w:sz="4" w:space="0" w:color="FFFFFF" w:themeColor="background1"/>
              <w:left w:val="nil"/>
              <w:bottom w:val="single" w:sz="4" w:space="0" w:color="FFFFFF" w:themeColor="background1"/>
              <w:right w:val="nil"/>
            </w:tcBorders>
            <w:shd w:val="clear" w:color="auto" w:fill="D7DEE2" w:themeFill="text2" w:themeFillTint="33"/>
          </w:tcPr>
          <w:p w14:paraId="12085A58" w14:textId="77777777" w:rsidR="00076EDF" w:rsidRDefault="00076EDF"/>
        </w:tc>
        <w:tc>
          <w:tcPr>
            <w:tcW w:w="1276" w:type="dxa"/>
            <w:tcBorders>
              <w:top w:val="single" w:sz="4" w:space="0" w:color="FFFFFF" w:themeColor="background1"/>
              <w:left w:val="nil"/>
              <w:bottom w:val="single" w:sz="4" w:space="0" w:color="FFFFFF" w:themeColor="background1"/>
              <w:right w:val="nil"/>
            </w:tcBorders>
            <w:shd w:val="clear" w:color="auto" w:fill="D7DEE2" w:themeFill="text2" w:themeFillTint="33"/>
          </w:tcPr>
          <w:p w14:paraId="657E99F0" w14:textId="77777777" w:rsidR="00076EDF" w:rsidRDefault="00076EDF">
            <w:pPr>
              <w:spacing w:before="80" w:after="80"/>
              <w:rPr>
                <w:sz w:val="16"/>
              </w:rPr>
            </w:pPr>
          </w:p>
        </w:tc>
        <w:tc>
          <w:tcPr>
            <w:tcW w:w="3544" w:type="dxa"/>
            <w:tcBorders>
              <w:top w:val="single" w:sz="4" w:space="0" w:color="FFFFFF" w:themeColor="background1"/>
              <w:left w:val="nil"/>
              <w:bottom w:val="single" w:sz="4" w:space="0" w:color="FFFFFF" w:themeColor="background1"/>
              <w:right w:val="nil"/>
            </w:tcBorders>
            <w:shd w:val="clear" w:color="auto" w:fill="D7DEE2" w:themeFill="text2" w:themeFillTint="33"/>
          </w:tcPr>
          <w:p w14:paraId="44E48054" w14:textId="77777777" w:rsidR="00076EDF" w:rsidRDefault="00076EDF">
            <w:pPr>
              <w:spacing w:before="80" w:after="80"/>
              <w:rPr>
                <w:sz w:val="16"/>
              </w:rPr>
            </w:pPr>
          </w:p>
        </w:tc>
      </w:tr>
    </w:tbl>
    <w:p w14:paraId="46BFB5EE" w14:textId="77777777" w:rsidR="006C4F09" w:rsidRPr="00076EDF" w:rsidRDefault="006C4F09" w:rsidP="00076EDF"/>
    <w:sectPr w:rsidR="006C4F09" w:rsidRPr="00076EDF" w:rsidSect="00CA7DD8">
      <w:headerReference w:type="default" r:id="rId35"/>
      <w:pgSz w:w="11906" w:h="16838" w:code="9"/>
      <w:pgMar w:top="1527" w:right="1134" w:bottom="851" w:left="1134"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55D7C" w14:textId="77777777" w:rsidR="00B90DFB" w:rsidRDefault="00B90DFB" w:rsidP="00EF4574">
      <w:pPr>
        <w:spacing w:before="0" w:after="0" w:line="240" w:lineRule="auto"/>
      </w:pPr>
      <w:r>
        <w:separator/>
      </w:r>
    </w:p>
  </w:endnote>
  <w:endnote w:type="continuationSeparator" w:id="0">
    <w:p w14:paraId="4C80EA14" w14:textId="77777777" w:rsidR="00B90DFB" w:rsidRDefault="00B90DFB" w:rsidP="00EF4574">
      <w:pPr>
        <w:spacing w:before="0" w:after="0" w:line="240" w:lineRule="auto"/>
      </w:pPr>
      <w:r>
        <w:continuationSeparator/>
      </w:r>
    </w:p>
  </w:endnote>
  <w:endnote w:type="continuationNotice" w:id="1">
    <w:p w14:paraId="212753BC" w14:textId="77777777" w:rsidR="00B90DFB" w:rsidRDefault="00B90D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FF8B3" w14:textId="77777777" w:rsidR="00FC6855" w:rsidRDefault="00FC6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150651"/>
      <w:docPartObj>
        <w:docPartGallery w:val="Page Numbers (Bottom of Page)"/>
        <w:docPartUnique/>
      </w:docPartObj>
    </w:sdtPr>
    <w:sdtEndPr>
      <w:rPr>
        <w:noProof/>
      </w:rPr>
    </w:sdtEndPr>
    <w:sdtContent>
      <w:p w14:paraId="4A21F1EC" w14:textId="735DD9E3" w:rsidR="00B90DFB" w:rsidRDefault="00B90DFB">
        <w:pPr>
          <w:pStyle w:val="Footer"/>
        </w:pPr>
        <w:r>
          <w:fldChar w:fldCharType="begin"/>
        </w:r>
        <w:r>
          <w:instrText xml:space="preserve"> PAGE   \* MERGEFORMAT </w:instrText>
        </w:r>
        <w:r>
          <w:fldChar w:fldCharType="separate"/>
        </w:r>
        <w:r w:rsidR="00027031">
          <w:rPr>
            <w:noProof/>
          </w:rPr>
          <w:t>4</w:t>
        </w:r>
        <w:r>
          <w:rPr>
            <w:noProof/>
          </w:rPr>
          <w:fldChar w:fldCharType="end"/>
        </w:r>
      </w:p>
    </w:sdtContent>
  </w:sdt>
  <w:p w14:paraId="4CA054A4" w14:textId="77777777" w:rsidR="00B90DFB" w:rsidRDefault="00B90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B6879" w14:textId="77777777" w:rsidR="00FC6855" w:rsidRDefault="00FC6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12057" w14:textId="77777777" w:rsidR="00B90DFB" w:rsidRPr="008C5A0E" w:rsidRDefault="00B90DFB" w:rsidP="001D663E">
      <w:pPr>
        <w:pStyle w:val="Footer"/>
        <w:pBdr>
          <w:top w:val="single" w:sz="4" w:space="1" w:color="495965" w:themeColor="text2"/>
        </w:pBdr>
      </w:pPr>
    </w:p>
  </w:footnote>
  <w:footnote w:type="continuationSeparator" w:id="0">
    <w:p w14:paraId="71A596CD" w14:textId="77777777" w:rsidR="00B90DFB" w:rsidRDefault="00B90DFB" w:rsidP="00EF4574">
      <w:pPr>
        <w:spacing w:before="0" w:after="0" w:line="240" w:lineRule="auto"/>
      </w:pPr>
      <w:r>
        <w:continuationSeparator/>
      </w:r>
    </w:p>
  </w:footnote>
  <w:footnote w:type="continuationNotice" w:id="1">
    <w:p w14:paraId="5A41F1CD" w14:textId="77777777" w:rsidR="00B90DFB" w:rsidRDefault="00B90DFB">
      <w:pPr>
        <w:spacing w:before="0" w:after="0" w:line="240" w:lineRule="auto"/>
      </w:pPr>
    </w:p>
  </w:footnote>
  <w:footnote w:id="2">
    <w:p w14:paraId="3EF94DD3" w14:textId="6A6F4592" w:rsidR="00B90DFB" w:rsidRPr="00467448" w:rsidRDefault="00B90DFB">
      <w:pPr>
        <w:pStyle w:val="FootnoteText"/>
        <w:rPr>
          <w:lang w:val="en-AU"/>
        </w:rPr>
      </w:pPr>
      <w:r>
        <w:rPr>
          <w:rStyle w:val="FootnoteReference"/>
        </w:rPr>
        <w:footnoteRef/>
      </w:r>
      <w:r>
        <w:t xml:space="preserve"> </w:t>
      </w:r>
      <w:r>
        <w:rPr>
          <w:lang w:val="en-AU"/>
        </w:rPr>
        <w:t>The World Bank 2017 Systematic Country Diagnostic</w:t>
      </w:r>
    </w:p>
  </w:footnote>
  <w:footnote w:id="3">
    <w:p w14:paraId="6BDF2D1B" w14:textId="51E6FAB3" w:rsidR="00B90DFB" w:rsidRPr="00467448" w:rsidRDefault="00B90DFB">
      <w:pPr>
        <w:pStyle w:val="FootnoteText"/>
        <w:rPr>
          <w:lang w:val="en-AU"/>
        </w:rPr>
      </w:pPr>
      <w:r>
        <w:rPr>
          <w:rStyle w:val="FootnoteReference"/>
        </w:rPr>
        <w:footnoteRef/>
      </w:r>
      <w:r>
        <w:t xml:space="preserve"> </w:t>
      </w:r>
      <w:r w:rsidRPr="00D95C6F">
        <w:rPr>
          <w:lang w:val="en-AU"/>
        </w:rPr>
        <w:t>The World Bank 201</w:t>
      </w:r>
      <w:r>
        <w:rPr>
          <w:lang w:val="en-AU"/>
        </w:rPr>
        <w:t>7</w:t>
      </w:r>
      <w:r w:rsidRPr="00D95C6F">
        <w:rPr>
          <w:lang w:val="en-AU"/>
        </w:rPr>
        <w:t xml:space="preserve"> Systematic Country Diagnostic</w:t>
      </w:r>
    </w:p>
  </w:footnote>
  <w:footnote w:id="4">
    <w:p w14:paraId="5AEB5E03" w14:textId="22169D82" w:rsidR="00B90DFB" w:rsidRPr="00E90A76" w:rsidRDefault="00B90DFB">
      <w:pPr>
        <w:pStyle w:val="FootnoteText"/>
        <w:rPr>
          <w:lang w:val="en-AU"/>
        </w:rPr>
      </w:pPr>
      <w:r>
        <w:rPr>
          <w:rStyle w:val="FootnoteReference"/>
        </w:rPr>
        <w:footnoteRef/>
      </w:r>
      <w:r>
        <w:t xml:space="preserve"> The World Bank, 2015, </w:t>
      </w:r>
      <w:r w:rsidRPr="004D1217">
        <w:t>https://data.worldbank.org/indicator/DT.ODA.ODAT.GN.ZS?view=chart</w:t>
      </w:r>
      <w:r>
        <w:t xml:space="preserve">, </w:t>
      </w:r>
    </w:p>
  </w:footnote>
  <w:footnote w:id="5">
    <w:p w14:paraId="6E61F762" w14:textId="61301541" w:rsidR="00B90DFB" w:rsidRPr="004A46C7" w:rsidRDefault="00B90DFB">
      <w:pPr>
        <w:pStyle w:val="FootnoteText"/>
        <w:rPr>
          <w:lang w:val="en-AU"/>
        </w:rPr>
      </w:pPr>
      <w:r>
        <w:rPr>
          <w:rStyle w:val="FootnoteReference"/>
        </w:rPr>
        <w:footnoteRef/>
      </w:r>
      <w:r>
        <w:t xml:space="preserve"> </w:t>
      </w:r>
      <w:r w:rsidRPr="00BE2622">
        <w:rPr>
          <w:rFonts w:ascii="Calibri Light" w:eastAsia="Calibri Light" w:hAnsi="Calibri Light" w:cs="Times New Roman"/>
          <w:color w:val="595959" w:themeColor="text1" w:themeTint="A6"/>
        </w:rPr>
        <w:t>T</w:t>
      </w:r>
      <w:r>
        <w:rPr>
          <w:rFonts w:ascii="Calibri Light" w:eastAsia="Calibri Light" w:hAnsi="Calibri Light" w:cs="Times New Roman"/>
          <w:color w:val="595959" w:themeColor="text1" w:themeTint="A6"/>
        </w:rPr>
        <w:t>otal expenditure on aid-for-trade investments of $7.2 million represented 16.3 per cent of budgeted expenditure of $44.2 million (excluding the $6 million contribution for COP 23 support which was only approved and disbursed in June).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E6154" w14:textId="77777777" w:rsidR="00FC6855" w:rsidRDefault="00FC6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F497B" w14:textId="77777777" w:rsidR="00FC6855" w:rsidRDefault="00FC6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08779" w14:textId="77777777" w:rsidR="00FC6855" w:rsidRDefault="00FC68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1A9C" w14:textId="77777777" w:rsidR="00B90DFB" w:rsidRPr="00333501" w:rsidRDefault="00B90DFB" w:rsidP="008F56A8">
    <w:pPr>
      <w:pStyle w:val="Header"/>
      <w:jc w:val="left"/>
    </w:pPr>
    <w:r>
      <w:rPr>
        <w:noProof/>
        <w:lang w:val="en-AU" w:eastAsia="en-AU"/>
      </w:rPr>
      <w:drawing>
        <wp:anchor distT="0" distB="0" distL="114300" distR="114300" simplePos="0" relativeHeight="251699200" behindDoc="1" locked="1" layoutInCell="1" allowOverlap="1" wp14:anchorId="1B97D070" wp14:editId="2A2408DE">
          <wp:simplePos x="0" y="0"/>
          <wp:positionH relativeFrom="page">
            <wp:align>right</wp:align>
          </wp:positionH>
          <wp:positionV relativeFrom="page">
            <wp:align>top</wp:align>
          </wp:positionV>
          <wp:extent cx="7559040" cy="11025505"/>
          <wp:effectExtent l="0" t="0" r="3810" b="444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6566B2"/>
    <w:multiLevelType w:val="hybridMultilevel"/>
    <w:tmpl w:val="33CA21CE"/>
    <w:lvl w:ilvl="0" w:tplc="3EE68596">
      <w:numFmt w:val="bullet"/>
      <w:lvlText w:val=""/>
      <w:lvlJc w:val="left"/>
      <w:pPr>
        <w:ind w:left="644" w:hanging="360"/>
      </w:pPr>
      <w:rPr>
        <w:rFonts w:ascii="Symbol" w:eastAsiaTheme="minorHAnsi" w:hAnsi="Symbol" w:cstheme="minorBidi" w:hint="default"/>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6B4A30"/>
    <w:multiLevelType w:val="hybridMultilevel"/>
    <w:tmpl w:val="6E3A2C74"/>
    <w:lvl w:ilvl="0" w:tplc="451CB27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B337E77"/>
    <w:multiLevelType w:val="hybridMultilevel"/>
    <w:tmpl w:val="DD2C7B1A"/>
    <w:lvl w:ilvl="0" w:tplc="F580C3B0">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4E7A34"/>
    <w:multiLevelType w:val="hybridMultilevel"/>
    <w:tmpl w:val="BDB8E498"/>
    <w:lvl w:ilvl="0" w:tplc="9ACE7F08">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3C1EA7"/>
    <w:multiLevelType w:val="multilevel"/>
    <w:tmpl w:val="43428892"/>
    <w:numStyleLink w:val="BulletsList"/>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4EB5F57"/>
    <w:multiLevelType w:val="hybridMultilevel"/>
    <w:tmpl w:val="111849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5B7FBB"/>
    <w:multiLevelType w:val="hybridMultilevel"/>
    <w:tmpl w:val="043A6958"/>
    <w:lvl w:ilvl="0" w:tplc="8B76C64C">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15"/>
  </w:num>
  <w:num w:numId="23">
    <w:abstractNumId w:val="15"/>
  </w:num>
  <w:num w:numId="24">
    <w:abstractNumId w:val="23"/>
  </w:num>
  <w:num w:numId="25">
    <w:abstractNumId w:val="23"/>
  </w:num>
  <w:num w:numId="26">
    <w:abstractNumId w:val="23"/>
  </w:num>
  <w:num w:numId="27">
    <w:abstractNumId w:val="20"/>
  </w:num>
  <w:num w:numId="28">
    <w:abstractNumId w:val="10"/>
  </w:num>
  <w:num w:numId="29">
    <w:abstractNumId w:val="10"/>
  </w:num>
  <w:num w:numId="30">
    <w:abstractNumId w:val="10"/>
  </w:num>
  <w:num w:numId="31">
    <w:abstractNumId w:val="16"/>
  </w:num>
  <w:num w:numId="32">
    <w:abstractNumId w:val="19"/>
  </w:num>
  <w:num w:numId="33">
    <w:abstractNumId w:val="27"/>
  </w:num>
  <w:num w:numId="34">
    <w:abstractNumId w:val="18"/>
  </w:num>
  <w:num w:numId="35">
    <w:abstractNumId w:val="12"/>
  </w:num>
  <w:num w:numId="36">
    <w:abstractNumId w:val="14"/>
  </w:num>
  <w:num w:numId="37">
    <w:abstractNumId w:val="13"/>
  </w:num>
  <w:num w:numId="38">
    <w:abstractNumId w:val="22"/>
  </w:num>
  <w:num w:numId="39">
    <w:abstractNumId w:val="28"/>
  </w:num>
  <w:num w:numId="40">
    <w:abstractNumId w:val="21"/>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1E7D"/>
    <w:rsid w:val="000020D9"/>
    <w:rsid w:val="00002BB5"/>
    <w:rsid w:val="00012F02"/>
    <w:rsid w:val="0001516E"/>
    <w:rsid w:val="00015316"/>
    <w:rsid w:val="0002080A"/>
    <w:rsid w:val="00021F28"/>
    <w:rsid w:val="00022492"/>
    <w:rsid w:val="00023B75"/>
    <w:rsid w:val="000246F2"/>
    <w:rsid w:val="00027031"/>
    <w:rsid w:val="0002782F"/>
    <w:rsid w:val="00027F29"/>
    <w:rsid w:val="00030F82"/>
    <w:rsid w:val="00031512"/>
    <w:rsid w:val="00033AB7"/>
    <w:rsid w:val="000417F7"/>
    <w:rsid w:val="0004198F"/>
    <w:rsid w:val="0004659A"/>
    <w:rsid w:val="000527F3"/>
    <w:rsid w:val="00054E4D"/>
    <w:rsid w:val="00055DAB"/>
    <w:rsid w:val="00057F38"/>
    <w:rsid w:val="00060073"/>
    <w:rsid w:val="00060268"/>
    <w:rsid w:val="000617A1"/>
    <w:rsid w:val="00063599"/>
    <w:rsid w:val="00064CEC"/>
    <w:rsid w:val="000656D6"/>
    <w:rsid w:val="000662EF"/>
    <w:rsid w:val="00066F95"/>
    <w:rsid w:val="00070647"/>
    <w:rsid w:val="000725AA"/>
    <w:rsid w:val="000726EF"/>
    <w:rsid w:val="00074A85"/>
    <w:rsid w:val="00076EDF"/>
    <w:rsid w:val="00081910"/>
    <w:rsid w:val="00081C0E"/>
    <w:rsid w:val="00084483"/>
    <w:rsid w:val="00091CF3"/>
    <w:rsid w:val="000973F5"/>
    <w:rsid w:val="00097A39"/>
    <w:rsid w:val="000A026C"/>
    <w:rsid w:val="000A53A5"/>
    <w:rsid w:val="000A54F9"/>
    <w:rsid w:val="000B4BE7"/>
    <w:rsid w:val="000C029C"/>
    <w:rsid w:val="000C2122"/>
    <w:rsid w:val="000C3519"/>
    <w:rsid w:val="000C562F"/>
    <w:rsid w:val="000C67E3"/>
    <w:rsid w:val="000D0D13"/>
    <w:rsid w:val="000D66D6"/>
    <w:rsid w:val="000E13A8"/>
    <w:rsid w:val="000E314A"/>
    <w:rsid w:val="000E62EF"/>
    <w:rsid w:val="000F0CD8"/>
    <w:rsid w:val="000F1039"/>
    <w:rsid w:val="000F30A0"/>
    <w:rsid w:val="000F6273"/>
    <w:rsid w:val="00101DBF"/>
    <w:rsid w:val="001103E6"/>
    <w:rsid w:val="00116454"/>
    <w:rsid w:val="00116734"/>
    <w:rsid w:val="00120A2A"/>
    <w:rsid w:val="00122D84"/>
    <w:rsid w:val="001300F8"/>
    <w:rsid w:val="00134DB2"/>
    <w:rsid w:val="00135F56"/>
    <w:rsid w:val="00136B88"/>
    <w:rsid w:val="0014053A"/>
    <w:rsid w:val="0014098A"/>
    <w:rsid w:val="00141707"/>
    <w:rsid w:val="00151156"/>
    <w:rsid w:val="00151A73"/>
    <w:rsid w:val="0015334B"/>
    <w:rsid w:val="00153AB4"/>
    <w:rsid w:val="001541C2"/>
    <w:rsid w:val="001541EA"/>
    <w:rsid w:val="00154AAE"/>
    <w:rsid w:val="00155DC5"/>
    <w:rsid w:val="00157DD7"/>
    <w:rsid w:val="00162000"/>
    <w:rsid w:val="00162218"/>
    <w:rsid w:val="00166962"/>
    <w:rsid w:val="0017048B"/>
    <w:rsid w:val="001706E2"/>
    <w:rsid w:val="00174B8C"/>
    <w:rsid w:val="00181833"/>
    <w:rsid w:val="001823D6"/>
    <w:rsid w:val="00184315"/>
    <w:rsid w:val="00184818"/>
    <w:rsid w:val="001859E0"/>
    <w:rsid w:val="00186EA3"/>
    <w:rsid w:val="0019483C"/>
    <w:rsid w:val="0019496E"/>
    <w:rsid w:val="00194A3E"/>
    <w:rsid w:val="001974E0"/>
    <w:rsid w:val="001A1DA6"/>
    <w:rsid w:val="001A23F8"/>
    <w:rsid w:val="001A412C"/>
    <w:rsid w:val="001A5F28"/>
    <w:rsid w:val="001B0375"/>
    <w:rsid w:val="001B1EFE"/>
    <w:rsid w:val="001B5019"/>
    <w:rsid w:val="001B7DF7"/>
    <w:rsid w:val="001C1E33"/>
    <w:rsid w:val="001C441F"/>
    <w:rsid w:val="001D1B0E"/>
    <w:rsid w:val="001D30D5"/>
    <w:rsid w:val="001D663E"/>
    <w:rsid w:val="001E0BC4"/>
    <w:rsid w:val="001E1DC0"/>
    <w:rsid w:val="001E6FAC"/>
    <w:rsid w:val="001E70FF"/>
    <w:rsid w:val="001F5659"/>
    <w:rsid w:val="001F635D"/>
    <w:rsid w:val="002012C8"/>
    <w:rsid w:val="0020363F"/>
    <w:rsid w:val="00207DB7"/>
    <w:rsid w:val="00210962"/>
    <w:rsid w:val="00215B35"/>
    <w:rsid w:val="0021620D"/>
    <w:rsid w:val="00216DC7"/>
    <w:rsid w:val="002224F1"/>
    <w:rsid w:val="002245C7"/>
    <w:rsid w:val="00226404"/>
    <w:rsid w:val="002309D8"/>
    <w:rsid w:val="00234C59"/>
    <w:rsid w:val="00235805"/>
    <w:rsid w:val="002363F0"/>
    <w:rsid w:val="00236A53"/>
    <w:rsid w:val="00236E4B"/>
    <w:rsid w:val="00241B89"/>
    <w:rsid w:val="00251811"/>
    <w:rsid w:val="00253910"/>
    <w:rsid w:val="00264B17"/>
    <w:rsid w:val="00275DB7"/>
    <w:rsid w:val="0027602A"/>
    <w:rsid w:val="002768BA"/>
    <w:rsid w:val="002773D6"/>
    <w:rsid w:val="00280758"/>
    <w:rsid w:val="00284957"/>
    <w:rsid w:val="0028602A"/>
    <w:rsid w:val="002A2A4E"/>
    <w:rsid w:val="002A51CA"/>
    <w:rsid w:val="002A6037"/>
    <w:rsid w:val="002A6AC8"/>
    <w:rsid w:val="002A74E2"/>
    <w:rsid w:val="002B3E95"/>
    <w:rsid w:val="002B5550"/>
    <w:rsid w:val="002B5E10"/>
    <w:rsid w:val="002C1025"/>
    <w:rsid w:val="002C4647"/>
    <w:rsid w:val="002D2B16"/>
    <w:rsid w:val="002D33F1"/>
    <w:rsid w:val="002F43F6"/>
    <w:rsid w:val="002F5476"/>
    <w:rsid w:val="003002C0"/>
    <w:rsid w:val="00301144"/>
    <w:rsid w:val="00301660"/>
    <w:rsid w:val="00307CA4"/>
    <w:rsid w:val="00310058"/>
    <w:rsid w:val="003110AD"/>
    <w:rsid w:val="003148B7"/>
    <w:rsid w:val="003158C3"/>
    <w:rsid w:val="00320251"/>
    <w:rsid w:val="00322767"/>
    <w:rsid w:val="00324651"/>
    <w:rsid w:val="00326F8A"/>
    <w:rsid w:val="003274CD"/>
    <w:rsid w:val="00332EC9"/>
    <w:rsid w:val="00333501"/>
    <w:rsid w:val="00334F42"/>
    <w:rsid w:val="00340848"/>
    <w:rsid w:val="003457C4"/>
    <w:rsid w:val="00345D87"/>
    <w:rsid w:val="0035119D"/>
    <w:rsid w:val="0035274C"/>
    <w:rsid w:val="00352E53"/>
    <w:rsid w:val="0036235A"/>
    <w:rsid w:val="003634D1"/>
    <w:rsid w:val="003801EA"/>
    <w:rsid w:val="00382146"/>
    <w:rsid w:val="00385DFD"/>
    <w:rsid w:val="003929F4"/>
    <w:rsid w:val="003A3172"/>
    <w:rsid w:val="003A44F8"/>
    <w:rsid w:val="003A4BBB"/>
    <w:rsid w:val="003A667F"/>
    <w:rsid w:val="003A6E90"/>
    <w:rsid w:val="003A7805"/>
    <w:rsid w:val="003B1781"/>
    <w:rsid w:val="003B3538"/>
    <w:rsid w:val="003B43B7"/>
    <w:rsid w:val="003B4F12"/>
    <w:rsid w:val="003C539C"/>
    <w:rsid w:val="003D352D"/>
    <w:rsid w:val="003D4B55"/>
    <w:rsid w:val="003D4DAF"/>
    <w:rsid w:val="003D5DC1"/>
    <w:rsid w:val="003D6876"/>
    <w:rsid w:val="003E3374"/>
    <w:rsid w:val="003E4BE4"/>
    <w:rsid w:val="003E6133"/>
    <w:rsid w:val="003F0EF5"/>
    <w:rsid w:val="003F2EF2"/>
    <w:rsid w:val="003F4F33"/>
    <w:rsid w:val="00400B0F"/>
    <w:rsid w:val="00402ACC"/>
    <w:rsid w:val="00406BD6"/>
    <w:rsid w:val="004107F6"/>
    <w:rsid w:val="004120EC"/>
    <w:rsid w:val="00412202"/>
    <w:rsid w:val="004135BD"/>
    <w:rsid w:val="00414122"/>
    <w:rsid w:val="00416106"/>
    <w:rsid w:val="00420110"/>
    <w:rsid w:val="00423F31"/>
    <w:rsid w:val="004246CA"/>
    <w:rsid w:val="00431899"/>
    <w:rsid w:val="00431E2C"/>
    <w:rsid w:val="0043564E"/>
    <w:rsid w:val="004356C9"/>
    <w:rsid w:val="0044144D"/>
    <w:rsid w:val="0044195F"/>
    <w:rsid w:val="004423BA"/>
    <w:rsid w:val="004428EA"/>
    <w:rsid w:val="00442FBC"/>
    <w:rsid w:val="004449B5"/>
    <w:rsid w:val="0045462F"/>
    <w:rsid w:val="00461CF1"/>
    <w:rsid w:val="00467448"/>
    <w:rsid w:val="00474BD1"/>
    <w:rsid w:val="004754FA"/>
    <w:rsid w:val="0047769C"/>
    <w:rsid w:val="0048195B"/>
    <w:rsid w:val="00486804"/>
    <w:rsid w:val="004977A1"/>
    <w:rsid w:val="00497A49"/>
    <w:rsid w:val="004A0BED"/>
    <w:rsid w:val="004A46C7"/>
    <w:rsid w:val="004A4E38"/>
    <w:rsid w:val="004A713F"/>
    <w:rsid w:val="004B0A76"/>
    <w:rsid w:val="004B3590"/>
    <w:rsid w:val="004B3775"/>
    <w:rsid w:val="004C17BE"/>
    <w:rsid w:val="004C4F86"/>
    <w:rsid w:val="004C6A4C"/>
    <w:rsid w:val="004D0BA0"/>
    <w:rsid w:val="004D1217"/>
    <w:rsid w:val="004D43F3"/>
    <w:rsid w:val="004D736A"/>
    <w:rsid w:val="004E0264"/>
    <w:rsid w:val="004E058F"/>
    <w:rsid w:val="004E1FF0"/>
    <w:rsid w:val="004E3159"/>
    <w:rsid w:val="004E3B87"/>
    <w:rsid w:val="004E3D5A"/>
    <w:rsid w:val="004E5AB5"/>
    <w:rsid w:val="004F3E9F"/>
    <w:rsid w:val="004F437F"/>
    <w:rsid w:val="004F6DFD"/>
    <w:rsid w:val="004F73EB"/>
    <w:rsid w:val="004F7E8A"/>
    <w:rsid w:val="00502261"/>
    <w:rsid w:val="00502E9A"/>
    <w:rsid w:val="00504CF3"/>
    <w:rsid w:val="00510921"/>
    <w:rsid w:val="00510AD3"/>
    <w:rsid w:val="00510FAB"/>
    <w:rsid w:val="00512131"/>
    <w:rsid w:val="00513348"/>
    <w:rsid w:val="00516C4D"/>
    <w:rsid w:val="0052168C"/>
    <w:rsid w:val="00521E3E"/>
    <w:rsid w:val="00523640"/>
    <w:rsid w:val="005311F1"/>
    <w:rsid w:val="00531A64"/>
    <w:rsid w:val="00533069"/>
    <w:rsid w:val="00533B5D"/>
    <w:rsid w:val="00535C04"/>
    <w:rsid w:val="00540063"/>
    <w:rsid w:val="005438B0"/>
    <w:rsid w:val="00544946"/>
    <w:rsid w:val="0054526A"/>
    <w:rsid w:val="005468F6"/>
    <w:rsid w:val="00547EC4"/>
    <w:rsid w:val="005511BF"/>
    <w:rsid w:val="00551D88"/>
    <w:rsid w:val="005634E0"/>
    <w:rsid w:val="005641DD"/>
    <w:rsid w:val="005809DE"/>
    <w:rsid w:val="0059146A"/>
    <w:rsid w:val="0059150F"/>
    <w:rsid w:val="00593940"/>
    <w:rsid w:val="00593B55"/>
    <w:rsid w:val="005A50C8"/>
    <w:rsid w:val="005B5769"/>
    <w:rsid w:val="005C07A8"/>
    <w:rsid w:val="005C2D36"/>
    <w:rsid w:val="005C3FE2"/>
    <w:rsid w:val="005C46EB"/>
    <w:rsid w:val="005C7611"/>
    <w:rsid w:val="005D35D3"/>
    <w:rsid w:val="005D3655"/>
    <w:rsid w:val="005E4033"/>
    <w:rsid w:val="005E4674"/>
    <w:rsid w:val="005E606B"/>
    <w:rsid w:val="005F0306"/>
    <w:rsid w:val="00600479"/>
    <w:rsid w:val="006062FC"/>
    <w:rsid w:val="00606345"/>
    <w:rsid w:val="00615669"/>
    <w:rsid w:val="00623283"/>
    <w:rsid w:val="00623BA1"/>
    <w:rsid w:val="00624232"/>
    <w:rsid w:val="00624B54"/>
    <w:rsid w:val="00632AD8"/>
    <w:rsid w:val="006346BC"/>
    <w:rsid w:val="00637A8B"/>
    <w:rsid w:val="00637CC2"/>
    <w:rsid w:val="00640410"/>
    <w:rsid w:val="006437E6"/>
    <w:rsid w:val="00644B75"/>
    <w:rsid w:val="00646238"/>
    <w:rsid w:val="00646DC5"/>
    <w:rsid w:val="00647559"/>
    <w:rsid w:val="00650A39"/>
    <w:rsid w:val="00650EC3"/>
    <w:rsid w:val="00651DB0"/>
    <w:rsid w:val="00656BB1"/>
    <w:rsid w:val="00657902"/>
    <w:rsid w:val="00657AEE"/>
    <w:rsid w:val="006654AE"/>
    <w:rsid w:val="0066652A"/>
    <w:rsid w:val="00675D83"/>
    <w:rsid w:val="00680522"/>
    <w:rsid w:val="00681F08"/>
    <w:rsid w:val="00682167"/>
    <w:rsid w:val="00683D75"/>
    <w:rsid w:val="006848F5"/>
    <w:rsid w:val="00685B69"/>
    <w:rsid w:val="00686AE3"/>
    <w:rsid w:val="00687E46"/>
    <w:rsid w:val="0069077E"/>
    <w:rsid w:val="00691A38"/>
    <w:rsid w:val="006926A1"/>
    <w:rsid w:val="00695709"/>
    <w:rsid w:val="006B0BB4"/>
    <w:rsid w:val="006B471E"/>
    <w:rsid w:val="006B52DD"/>
    <w:rsid w:val="006C2E7B"/>
    <w:rsid w:val="006C42AF"/>
    <w:rsid w:val="006C4F09"/>
    <w:rsid w:val="006D104E"/>
    <w:rsid w:val="006D3061"/>
    <w:rsid w:val="006D30CF"/>
    <w:rsid w:val="006D45DD"/>
    <w:rsid w:val="006D523D"/>
    <w:rsid w:val="006D613D"/>
    <w:rsid w:val="006E3361"/>
    <w:rsid w:val="006E478E"/>
    <w:rsid w:val="006E5F10"/>
    <w:rsid w:val="006F0315"/>
    <w:rsid w:val="006F0E46"/>
    <w:rsid w:val="006F1396"/>
    <w:rsid w:val="006F27B1"/>
    <w:rsid w:val="007033E5"/>
    <w:rsid w:val="00705EEB"/>
    <w:rsid w:val="007070F2"/>
    <w:rsid w:val="00711D8E"/>
    <w:rsid w:val="00712672"/>
    <w:rsid w:val="0071660C"/>
    <w:rsid w:val="00732695"/>
    <w:rsid w:val="00734E3F"/>
    <w:rsid w:val="00736728"/>
    <w:rsid w:val="00736985"/>
    <w:rsid w:val="0074151E"/>
    <w:rsid w:val="00743097"/>
    <w:rsid w:val="007448D4"/>
    <w:rsid w:val="00744B58"/>
    <w:rsid w:val="00745DF5"/>
    <w:rsid w:val="00746CAF"/>
    <w:rsid w:val="00746FD6"/>
    <w:rsid w:val="0076250F"/>
    <w:rsid w:val="00771B53"/>
    <w:rsid w:val="00772321"/>
    <w:rsid w:val="0078106E"/>
    <w:rsid w:val="0078275A"/>
    <w:rsid w:val="007839AF"/>
    <w:rsid w:val="00784031"/>
    <w:rsid w:val="007842EF"/>
    <w:rsid w:val="0078499C"/>
    <w:rsid w:val="00784BEB"/>
    <w:rsid w:val="007917E1"/>
    <w:rsid w:val="007926AF"/>
    <w:rsid w:val="00793E91"/>
    <w:rsid w:val="007A275B"/>
    <w:rsid w:val="007B297A"/>
    <w:rsid w:val="007B4865"/>
    <w:rsid w:val="007B6200"/>
    <w:rsid w:val="007C2346"/>
    <w:rsid w:val="007C2540"/>
    <w:rsid w:val="007C5C65"/>
    <w:rsid w:val="007C657D"/>
    <w:rsid w:val="007C6800"/>
    <w:rsid w:val="007C7418"/>
    <w:rsid w:val="007D0299"/>
    <w:rsid w:val="007D2E25"/>
    <w:rsid w:val="007D3C1D"/>
    <w:rsid w:val="007D3C36"/>
    <w:rsid w:val="007D3F50"/>
    <w:rsid w:val="007E131D"/>
    <w:rsid w:val="007E18F6"/>
    <w:rsid w:val="007E36A0"/>
    <w:rsid w:val="007E481C"/>
    <w:rsid w:val="007E5A60"/>
    <w:rsid w:val="007E7E4F"/>
    <w:rsid w:val="007F3395"/>
    <w:rsid w:val="007F455A"/>
    <w:rsid w:val="007F6F08"/>
    <w:rsid w:val="00801B9F"/>
    <w:rsid w:val="008057FD"/>
    <w:rsid w:val="008069B0"/>
    <w:rsid w:val="008116D8"/>
    <w:rsid w:val="00814919"/>
    <w:rsid w:val="00821CB6"/>
    <w:rsid w:val="00826C13"/>
    <w:rsid w:val="0083359F"/>
    <w:rsid w:val="008356E4"/>
    <w:rsid w:val="00835790"/>
    <w:rsid w:val="00841F59"/>
    <w:rsid w:val="008475AE"/>
    <w:rsid w:val="008475F0"/>
    <w:rsid w:val="0085121B"/>
    <w:rsid w:val="008518C3"/>
    <w:rsid w:val="008533CD"/>
    <w:rsid w:val="00857781"/>
    <w:rsid w:val="00860477"/>
    <w:rsid w:val="00864210"/>
    <w:rsid w:val="00866D4F"/>
    <w:rsid w:val="00873739"/>
    <w:rsid w:val="00880004"/>
    <w:rsid w:val="00885797"/>
    <w:rsid w:val="00885AD7"/>
    <w:rsid w:val="00891631"/>
    <w:rsid w:val="008A001E"/>
    <w:rsid w:val="008A29A7"/>
    <w:rsid w:val="008A5AFE"/>
    <w:rsid w:val="008B1A95"/>
    <w:rsid w:val="008B5B79"/>
    <w:rsid w:val="008B68D7"/>
    <w:rsid w:val="008B7D42"/>
    <w:rsid w:val="008C22C5"/>
    <w:rsid w:val="008C2F58"/>
    <w:rsid w:val="008C570B"/>
    <w:rsid w:val="008C5A0E"/>
    <w:rsid w:val="008C660F"/>
    <w:rsid w:val="008D19F3"/>
    <w:rsid w:val="008D5D89"/>
    <w:rsid w:val="008E06B6"/>
    <w:rsid w:val="008E12E2"/>
    <w:rsid w:val="008E4FC1"/>
    <w:rsid w:val="008E66B7"/>
    <w:rsid w:val="008F0C31"/>
    <w:rsid w:val="008F1063"/>
    <w:rsid w:val="008F2B47"/>
    <w:rsid w:val="008F56A8"/>
    <w:rsid w:val="009022A0"/>
    <w:rsid w:val="00902556"/>
    <w:rsid w:val="00904445"/>
    <w:rsid w:val="00906A2A"/>
    <w:rsid w:val="009078B0"/>
    <w:rsid w:val="00910995"/>
    <w:rsid w:val="00915E32"/>
    <w:rsid w:val="00916742"/>
    <w:rsid w:val="009217A9"/>
    <w:rsid w:val="00922EC7"/>
    <w:rsid w:val="009267B4"/>
    <w:rsid w:val="0092754E"/>
    <w:rsid w:val="009365E1"/>
    <w:rsid w:val="009435A8"/>
    <w:rsid w:val="0095795B"/>
    <w:rsid w:val="00960AAB"/>
    <w:rsid w:val="00970924"/>
    <w:rsid w:val="009718D4"/>
    <w:rsid w:val="00972442"/>
    <w:rsid w:val="009903F3"/>
    <w:rsid w:val="009905E7"/>
    <w:rsid w:val="00992C76"/>
    <w:rsid w:val="00994022"/>
    <w:rsid w:val="0099654A"/>
    <w:rsid w:val="00997704"/>
    <w:rsid w:val="009A2C7F"/>
    <w:rsid w:val="009A2F3C"/>
    <w:rsid w:val="009A3987"/>
    <w:rsid w:val="009A6842"/>
    <w:rsid w:val="009B1F64"/>
    <w:rsid w:val="009B4D3B"/>
    <w:rsid w:val="009C29AD"/>
    <w:rsid w:val="009C307A"/>
    <w:rsid w:val="009C3CF2"/>
    <w:rsid w:val="009C40D7"/>
    <w:rsid w:val="009C5271"/>
    <w:rsid w:val="009C6C6F"/>
    <w:rsid w:val="009D2F6E"/>
    <w:rsid w:val="009D7407"/>
    <w:rsid w:val="009E0372"/>
    <w:rsid w:val="009E0866"/>
    <w:rsid w:val="009E131E"/>
    <w:rsid w:val="009E3A32"/>
    <w:rsid w:val="009E3DDE"/>
    <w:rsid w:val="009E5E48"/>
    <w:rsid w:val="009E7BB8"/>
    <w:rsid w:val="009F0793"/>
    <w:rsid w:val="009F1D33"/>
    <w:rsid w:val="009F5488"/>
    <w:rsid w:val="009F6423"/>
    <w:rsid w:val="009F6721"/>
    <w:rsid w:val="00A012C9"/>
    <w:rsid w:val="00A0270F"/>
    <w:rsid w:val="00A04084"/>
    <w:rsid w:val="00A04BB5"/>
    <w:rsid w:val="00A05CCA"/>
    <w:rsid w:val="00A076B7"/>
    <w:rsid w:val="00A14BDC"/>
    <w:rsid w:val="00A15C2D"/>
    <w:rsid w:val="00A171AE"/>
    <w:rsid w:val="00A239C8"/>
    <w:rsid w:val="00A24280"/>
    <w:rsid w:val="00A24A62"/>
    <w:rsid w:val="00A26D21"/>
    <w:rsid w:val="00A314B8"/>
    <w:rsid w:val="00A31C9F"/>
    <w:rsid w:val="00A3256A"/>
    <w:rsid w:val="00A4144F"/>
    <w:rsid w:val="00A418B1"/>
    <w:rsid w:val="00A46E0D"/>
    <w:rsid w:val="00A502CF"/>
    <w:rsid w:val="00A5344D"/>
    <w:rsid w:val="00A54034"/>
    <w:rsid w:val="00A56F14"/>
    <w:rsid w:val="00A60B10"/>
    <w:rsid w:val="00A61B50"/>
    <w:rsid w:val="00A61F30"/>
    <w:rsid w:val="00A628A0"/>
    <w:rsid w:val="00A63FB4"/>
    <w:rsid w:val="00A65112"/>
    <w:rsid w:val="00A66381"/>
    <w:rsid w:val="00A70D51"/>
    <w:rsid w:val="00A720D8"/>
    <w:rsid w:val="00A7377F"/>
    <w:rsid w:val="00A75834"/>
    <w:rsid w:val="00A80F95"/>
    <w:rsid w:val="00A8197B"/>
    <w:rsid w:val="00A9089D"/>
    <w:rsid w:val="00A92B36"/>
    <w:rsid w:val="00A93783"/>
    <w:rsid w:val="00AA0C4D"/>
    <w:rsid w:val="00AA7BE3"/>
    <w:rsid w:val="00AB46D3"/>
    <w:rsid w:val="00AB5E7F"/>
    <w:rsid w:val="00AC164A"/>
    <w:rsid w:val="00AC302F"/>
    <w:rsid w:val="00AC31D3"/>
    <w:rsid w:val="00AC5AEA"/>
    <w:rsid w:val="00AD7D2C"/>
    <w:rsid w:val="00AE2C00"/>
    <w:rsid w:val="00AE2F8D"/>
    <w:rsid w:val="00AE5C4D"/>
    <w:rsid w:val="00AE721A"/>
    <w:rsid w:val="00AE7C6C"/>
    <w:rsid w:val="00AF1B85"/>
    <w:rsid w:val="00AF2050"/>
    <w:rsid w:val="00AF5EF1"/>
    <w:rsid w:val="00B03CA8"/>
    <w:rsid w:val="00B07D83"/>
    <w:rsid w:val="00B115F0"/>
    <w:rsid w:val="00B16FBC"/>
    <w:rsid w:val="00B177D1"/>
    <w:rsid w:val="00B22F78"/>
    <w:rsid w:val="00B237B8"/>
    <w:rsid w:val="00B24005"/>
    <w:rsid w:val="00B2493B"/>
    <w:rsid w:val="00B25727"/>
    <w:rsid w:val="00B2684C"/>
    <w:rsid w:val="00B331DC"/>
    <w:rsid w:val="00B33E21"/>
    <w:rsid w:val="00B37C19"/>
    <w:rsid w:val="00B42DA7"/>
    <w:rsid w:val="00B438D3"/>
    <w:rsid w:val="00B462FE"/>
    <w:rsid w:val="00B473C1"/>
    <w:rsid w:val="00B518F5"/>
    <w:rsid w:val="00B55E19"/>
    <w:rsid w:val="00B607B5"/>
    <w:rsid w:val="00B6553A"/>
    <w:rsid w:val="00B70659"/>
    <w:rsid w:val="00B76924"/>
    <w:rsid w:val="00B90DFB"/>
    <w:rsid w:val="00B9244B"/>
    <w:rsid w:val="00B96210"/>
    <w:rsid w:val="00BA4B6D"/>
    <w:rsid w:val="00BB254C"/>
    <w:rsid w:val="00BB26C5"/>
    <w:rsid w:val="00BB29E6"/>
    <w:rsid w:val="00BB51EB"/>
    <w:rsid w:val="00BB5857"/>
    <w:rsid w:val="00BB7713"/>
    <w:rsid w:val="00BB7853"/>
    <w:rsid w:val="00BB7964"/>
    <w:rsid w:val="00BC1465"/>
    <w:rsid w:val="00BC337C"/>
    <w:rsid w:val="00BC4341"/>
    <w:rsid w:val="00BE1A79"/>
    <w:rsid w:val="00BE2622"/>
    <w:rsid w:val="00BE6C6D"/>
    <w:rsid w:val="00BE737D"/>
    <w:rsid w:val="00BF13A0"/>
    <w:rsid w:val="00BF4DE6"/>
    <w:rsid w:val="00BF67E3"/>
    <w:rsid w:val="00C01CFF"/>
    <w:rsid w:val="00C21FB5"/>
    <w:rsid w:val="00C26C4B"/>
    <w:rsid w:val="00C35395"/>
    <w:rsid w:val="00C35D97"/>
    <w:rsid w:val="00C37B8B"/>
    <w:rsid w:val="00C406F0"/>
    <w:rsid w:val="00C4258C"/>
    <w:rsid w:val="00C42CDE"/>
    <w:rsid w:val="00C4410B"/>
    <w:rsid w:val="00C500D7"/>
    <w:rsid w:val="00C51712"/>
    <w:rsid w:val="00C5182A"/>
    <w:rsid w:val="00C63EE9"/>
    <w:rsid w:val="00C653EC"/>
    <w:rsid w:val="00C6626C"/>
    <w:rsid w:val="00C66811"/>
    <w:rsid w:val="00C7787D"/>
    <w:rsid w:val="00C867B1"/>
    <w:rsid w:val="00C90AA1"/>
    <w:rsid w:val="00CA37B1"/>
    <w:rsid w:val="00CA5923"/>
    <w:rsid w:val="00CA7DD8"/>
    <w:rsid w:val="00CB095C"/>
    <w:rsid w:val="00CB1959"/>
    <w:rsid w:val="00CB239B"/>
    <w:rsid w:val="00CC4E48"/>
    <w:rsid w:val="00CC687E"/>
    <w:rsid w:val="00CD0E4B"/>
    <w:rsid w:val="00CD165C"/>
    <w:rsid w:val="00CD5DA8"/>
    <w:rsid w:val="00CE0155"/>
    <w:rsid w:val="00CE2200"/>
    <w:rsid w:val="00CE2871"/>
    <w:rsid w:val="00CE3CF4"/>
    <w:rsid w:val="00CE4FC2"/>
    <w:rsid w:val="00CE5DF0"/>
    <w:rsid w:val="00CE5F37"/>
    <w:rsid w:val="00CE6AF4"/>
    <w:rsid w:val="00CE6ECC"/>
    <w:rsid w:val="00CF1673"/>
    <w:rsid w:val="00CF31B8"/>
    <w:rsid w:val="00CF350F"/>
    <w:rsid w:val="00CF373F"/>
    <w:rsid w:val="00CF4940"/>
    <w:rsid w:val="00CF529A"/>
    <w:rsid w:val="00CF5B23"/>
    <w:rsid w:val="00D00802"/>
    <w:rsid w:val="00D02841"/>
    <w:rsid w:val="00D0296C"/>
    <w:rsid w:val="00D0415F"/>
    <w:rsid w:val="00D10455"/>
    <w:rsid w:val="00D11F7B"/>
    <w:rsid w:val="00D146A2"/>
    <w:rsid w:val="00D15A00"/>
    <w:rsid w:val="00D15C84"/>
    <w:rsid w:val="00D32A2D"/>
    <w:rsid w:val="00D3315E"/>
    <w:rsid w:val="00D33502"/>
    <w:rsid w:val="00D33BF8"/>
    <w:rsid w:val="00D343FE"/>
    <w:rsid w:val="00D37B8D"/>
    <w:rsid w:val="00D40AEB"/>
    <w:rsid w:val="00D417E6"/>
    <w:rsid w:val="00D424F3"/>
    <w:rsid w:val="00D45F8C"/>
    <w:rsid w:val="00D460DC"/>
    <w:rsid w:val="00D50258"/>
    <w:rsid w:val="00D64BD1"/>
    <w:rsid w:val="00D72760"/>
    <w:rsid w:val="00D73EFE"/>
    <w:rsid w:val="00D8089E"/>
    <w:rsid w:val="00D81ABD"/>
    <w:rsid w:val="00D84F6B"/>
    <w:rsid w:val="00D85754"/>
    <w:rsid w:val="00D86954"/>
    <w:rsid w:val="00D91A85"/>
    <w:rsid w:val="00D95496"/>
    <w:rsid w:val="00D95C6F"/>
    <w:rsid w:val="00DA040F"/>
    <w:rsid w:val="00DB1E60"/>
    <w:rsid w:val="00DC30FC"/>
    <w:rsid w:val="00DC5784"/>
    <w:rsid w:val="00DC7F4B"/>
    <w:rsid w:val="00DD06C5"/>
    <w:rsid w:val="00DD1986"/>
    <w:rsid w:val="00DD2772"/>
    <w:rsid w:val="00DD4449"/>
    <w:rsid w:val="00DD723D"/>
    <w:rsid w:val="00DE00DF"/>
    <w:rsid w:val="00DE013A"/>
    <w:rsid w:val="00DE084C"/>
    <w:rsid w:val="00DE67F9"/>
    <w:rsid w:val="00DF1C76"/>
    <w:rsid w:val="00DF2906"/>
    <w:rsid w:val="00DF494C"/>
    <w:rsid w:val="00E06CDA"/>
    <w:rsid w:val="00E06CEE"/>
    <w:rsid w:val="00E06FA6"/>
    <w:rsid w:val="00E0719C"/>
    <w:rsid w:val="00E10F39"/>
    <w:rsid w:val="00E17542"/>
    <w:rsid w:val="00E245D7"/>
    <w:rsid w:val="00E314E6"/>
    <w:rsid w:val="00E3255A"/>
    <w:rsid w:val="00E357B7"/>
    <w:rsid w:val="00E36F91"/>
    <w:rsid w:val="00E423C2"/>
    <w:rsid w:val="00E43096"/>
    <w:rsid w:val="00E454A3"/>
    <w:rsid w:val="00E472F5"/>
    <w:rsid w:val="00E47CE3"/>
    <w:rsid w:val="00E53800"/>
    <w:rsid w:val="00E5524B"/>
    <w:rsid w:val="00E6081F"/>
    <w:rsid w:val="00E61CBE"/>
    <w:rsid w:val="00E654CE"/>
    <w:rsid w:val="00E7257B"/>
    <w:rsid w:val="00E729C8"/>
    <w:rsid w:val="00E72C21"/>
    <w:rsid w:val="00E80D76"/>
    <w:rsid w:val="00E8145F"/>
    <w:rsid w:val="00E8211F"/>
    <w:rsid w:val="00E824CF"/>
    <w:rsid w:val="00E87A4D"/>
    <w:rsid w:val="00E90A76"/>
    <w:rsid w:val="00E91FDD"/>
    <w:rsid w:val="00E92DA3"/>
    <w:rsid w:val="00EA04B2"/>
    <w:rsid w:val="00EA20F3"/>
    <w:rsid w:val="00EA3CB4"/>
    <w:rsid w:val="00EB2D0F"/>
    <w:rsid w:val="00EB6312"/>
    <w:rsid w:val="00EC577F"/>
    <w:rsid w:val="00ED2831"/>
    <w:rsid w:val="00ED43D1"/>
    <w:rsid w:val="00ED70F9"/>
    <w:rsid w:val="00ED7E1B"/>
    <w:rsid w:val="00EE2EA8"/>
    <w:rsid w:val="00EE4EE1"/>
    <w:rsid w:val="00EE65EE"/>
    <w:rsid w:val="00EF212A"/>
    <w:rsid w:val="00EF4574"/>
    <w:rsid w:val="00EF6543"/>
    <w:rsid w:val="00EF7774"/>
    <w:rsid w:val="00F02143"/>
    <w:rsid w:val="00F03D85"/>
    <w:rsid w:val="00F04602"/>
    <w:rsid w:val="00F137D9"/>
    <w:rsid w:val="00F162B9"/>
    <w:rsid w:val="00F2315B"/>
    <w:rsid w:val="00F25AAE"/>
    <w:rsid w:val="00F2684E"/>
    <w:rsid w:val="00F27EC3"/>
    <w:rsid w:val="00F301F2"/>
    <w:rsid w:val="00F3407F"/>
    <w:rsid w:val="00F369D8"/>
    <w:rsid w:val="00F36AC9"/>
    <w:rsid w:val="00F376F2"/>
    <w:rsid w:val="00F40E4A"/>
    <w:rsid w:val="00F4736B"/>
    <w:rsid w:val="00F51CDA"/>
    <w:rsid w:val="00F5404C"/>
    <w:rsid w:val="00F57255"/>
    <w:rsid w:val="00F60505"/>
    <w:rsid w:val="00F64058"/>
    <w:rsid w:val="00F713AF"/>
    <w:rsid w:val="00F729EF"/>
    <w:rsid w:val="00F73C02"/>
    <w:rsid w:val="00F77CAE"/>
    <w:rsid w:val="00F77ECA"/>
    <w:rsid w:val="00F82271"/>
    <w:rsid w:val="00F83428"/>
    <w:rsid w:val="00F84993"/>
    <w:rsid w:val="00F853A3"/>
    <w:rsid w:val="00F86A88"/>
    <w:rsid w:val="00F95B5A"/>
    <w:rsid w:val="00F96BB9"/>
    <w:rsid w:val="00FA4CE4"/>
    <w:rsid w:val="00FB0AE4"/>
    <w:rsid w:val="00FC3544"/>
    <w:rsid w:val="00FC6855"/>
    <w:rsid w:val="00FD1614"/>
    <w:rsid w:val="00FD5234"/>
    <w:rsid w:val="00FD64B5"/>
    <w:rsid w:val="00FD6CF3"/>
    <w:rsid w:val="00FE218D"/>
    <w:rsid w:val="00FE3F0A"/>
    <w:rsid w:val="00FE6508"/>
    <w:rsid w:val="00FE69A2"/>
    <w:rsid w:val="00FE6D51"/>
    <w:rsid w:val="00FF09F3"/>
    <w:rsid w:val="00FF3073"/>
    <w:rsid w:val="00FF5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FA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character" w:styleId="CommentReference">
    <w:name w:val="annotation reference"/>
    <w:basedOn w:val="DefaultParagraphFont"/>
    <w:uiPriority w:val="99"/>
    <w:semiHidden/>
    <w:unhideWhenUsed/>
    <w:rsid w:val="008116D8"/>
    <w:rPr>
      <w:sz w:val="16"/>
      <w:szCs w:val="16"/>
    </w:rPr>
  </w:style>
  <w:style w:type="paragraph" w:styleId="CommentText">
    <w:name w:val="annotation text"/>
    <w:basedOn w:val="Normal"/>
    <w:link w:val="CommentTextChar"/>
    <w:uiPriority w:val="99"/>
    <w:semiHidden/>
    <w:unhideWhenUsed/>
    <w:rsid w:val="008116D8"/>
    <w:pPr>
      <w:suppressAutoHyphens w:val="0"/>
      <w:spacing w:before="0" w:after="160" w:line="240" w:lineRule="auto"/>
    </w:pPr>
    <w:rPr>
      <w:color w:val="auto"/>
      <w:sz w:val="20"/>
      <w:szCs w:val="20"/>
      <w:lang w:val="en-AU"/>
    </w:rPr>
  </w:style>
  <w:style w:type="character" w:customStyle="1" w:styleId="CommentTextChar">
    <w:name w:val="Comment Text Char"/>
    <w:basedOn w:val="DefaultParagraphFont"/>
    <w:link w:val="CommentText"/>
    <w:uiPriority w:val="99"/>
    <w:semiHidden/>
    <w:rsid w:val="008116D8"/>
    <w:rPr>
      <w:sz w:val="20"/>
      <w:szCs w:val="20"/>
    </w:rPr>
  </w:style>
  <w:style w:type="paragraph" w:styleId="CommentSubject">
    <w:name w:val="annotation subject"/>
    <w:basedOn w:val="CommentText"/>
    <w:next w:val="CommentText"/>
    <w:link w:val="CommentSubjectChar"/>
    <w:uiPriority w:val="99"/>
    <w:semiHidden/>
    <w:unhideWhenUsed/>
    <w:rsid w:val="00A012C9"/>
    <w:pPr>
      <w:suppressAutoHyphens/>
      <w:spacing w:before="120" w:after="60"/>
    </w:pPr>
    <w:rPr>
      <w:b/>
      <w:bCs/>
      <w:color w:val="495965" w:themeColor="text2"/>
      <w:lang w:val="en-GB"/>
    </w:rPr>
  </w:style>
  <w:style w:type="character" w:customStyle="1" w:styleId="CommentSubjectChar">
    <w:name w:val="Comment Subject Char"/>
    <w:basedOn w:val="CommentTextChar"/>
    <w:link w:val="CommentSubject"/>
    <w:uiPriority w:val="99"/>
    <w:semiHidden/>
    <w:rsid w:val="00A012C9"/>
    <w:rPr>
      <w:b/>
      <w:bCs/>
      <w:color w:val="495965" w:themeColor="text2"/>
      <w:sz w:val="20"/>
      <w:szCs w:val="20"/>
      <w:lang w:val="en-GB"/>
    </w:rPr>
  </w:style>
  <w:style w:type="table" w:customStyle="1" w:styleId="APPR1">
    <w:name w:val="APPR1"/>
    <w:basedOn w:val="TableNormal"/>
    <w:uiPriority w:val="99"/>
    <w:rsid w:val="005809DE"/>
    <w:pPr>
      <w:spacing w:after="0" w:line="240" w:lineRule="auto"/>
    </w:pPr>
    <w:rPr>
      <w:rFonts w:ascii="Franklin Gothic Book" w:hAnsi="Franklin Gothic Book"/>
      <w:sz w:val="17"/>
      <w:lang w:eastAsia="en-AU"/>
    </w:rPr>
    <w:tblPr>
      <w:tblStyleRowBandSize w:val="1"/>
      <w:tblCellSpacing w:w="14" w:type="dxa"/>
      <w:tblBorders>
        <w:top w:val="single" w:sz="12" w:space="0" w:color="000000"/>
        <w:bottom w:val="single" w:sz="12" w:space="0" w:color="000000"/>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2">
    <w:name w:val="APPR2"/>
    <w:basedOn w:val="TableNormal"/>
    <w:uiPriority w:val="99"/>
    <w:rsid w:val="005809DE"/>
    <w:pPr>
      <w:spacing w:after="0" w:line="240" w:lineRule="auto"/>
    </w:pPr>
    <w:rPr>
      <w:rFonts w:ascii="Franklin Gothic Book" w:hAnsi="Franklin Gothic Book"/>
      <w:sz w:val="17"/>
      <w:lang w:eastAsia="en-AU"/>
    </w:rPr>
    <w:tblPr>
      <w:tblStyleRowBandSize w:val="1"/>
      <w:tblCellSpacing w:w="14" w:type="dxa"/>
      <w:tblBorders>
        <w:top w:val="single" w:sz="12" w:space="0" w:color="000000"/>
        <w:bottom w:val="single" w:sz="12" w:space="0" w:color="000000"/>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4D736A"/>
    <w:pPr>
      <w:spacing w:after="0" w:line="240" w:lineRule="auto"/>
    </w:pPr>
    <w:rPr>
      <w:color w:val="495965" w:themeColor="text2"/>
      <w:lang w:val="en-GB"/>
    </w:rPr>
  </w:style>
  <w:style w:type="table" w:customStyle="1" w:styleId="TableGrid1">
    <w:name w:val="Table Grid1"/>
    <w:basedOn w:val="TableNormal"/>
    <w:next w:val="TableGrid"/>
    <w:rsid w:val="00F73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F73C02"/>
    <w:rPr>
      <w:vertAlign w:val="superscript"/>
    </w:rPr>
  </w:style>
  <w:style w:type="paragraph" w:customStyle="1" w:styleId="msonormal0">
    <w:name w:val="msonormal"/>
    <w:basedOn w:val="Normal"/>
    <w:rsid w:val="00076EDF"/>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90196">
      <w:bodyDiv w:val="1"/>
      <w:marLeft w:val="0"/>
      <w:marRight w:val="0"/>
      <w:marTop w:val="0"/>
      <w:marBottom w:val="0"/>
      <w:divBdr>
        <w:top w:val="none" w:sz="0" w:space="0" w:color="auto"/>
        <w:left w:val="none" w:sz="0" w:space="0" w:color="auto"/>
        <w:bottom w:val="none" w:sz="0" w:space="0" w:color="auto"/>
        <w:right w:val="none" w:sz="0" w:space="0" w:color="auto"/>
      </w:divBdr>
    </w:div>
    <w:div w:id="406731406">
      <w:bodyDiv w:val="1"/>
      <w:marLeft w:val="0"/>
      <w:marRight w:val="0"/>
      <w:marTop w:val="0"/>
      <w:marBottom w:val="0"/>
      <w:divBdr>
        <w:top w:val="none" w:sz="0" w:space="0" w:color="auto"/>
        <w:left w:val="none" w:sz="0" w:space="0" w:color="auto"/>
        <w:bottom w:val="none" w:sz="0" w:space="0" w:color="auto"/>
        <w:right w:val="none" w:sz="0" w:space="0" w:color="auto"/>
      </w:divBdr>
    </w:div>
    <w:div w:id="583027757">
      <w:bodyDiv w:val="1"/>
      <w:marLeft w:val="0"/>
      <w:marRight w:val="0"/>
      <w:marTop w:val="0"/>
      <w:marBottom w:val="0"/>
      <w:divBdr>
        <w:top w:val="none" w:sz="0" w:space="0" w:color="auto"/>
        <w:left w:val="none" w:sz="0" w:space="0" w:color="auto"/>
        <w:bottom w:val="none" w:sz="0" w:space="0" w:color="auto"/>
        <w:right w:val="none" w:sz="0" w:space="0" w:color="auto"/>
      </w:divBdr>
    </w:div>
    <w:div w:id="608585588">
      <w:bodyDiv w:val="1"/>
      <w:marLeft w:val="0"/>
      <w:marRight w:val="0"/>
      <w:marTop w:val="0"/>
      <w:marBottom w:val="0"/>
      <w:divBdr>
        <w:top w:val="none" w:sz="0" w:space="0" w:color="auto"/>
        <w:left w:val="none" w:sz="0" w:space="0" w:color="auto"/>
        <w:bottom w:val="none" w:sz="0" w:space="0" w:color="auto"/>
        <w:right w:val="none" w:sz="0" w:space="0" w:color="auto"/>
      </w:divBdr>
    </w:div>
    <w:div w:id="615791103">
      <w:bodyDiv w:val="1"/>
      <w:marLeft w:val="0"/>
      <w:marRight w:val="0"/>
      <w:marTop w:val="0"/>
      <w:marBottom w:val="0"/>
      <w:divBdr>
        <w:top w:val="none" w:sz="0" w:space="0" w:color="auto"/>
        <w:left w:val="none" w:sz="0" w:space="0" w:color="auto"/>
        <w:bottom w:val="none" w:sz="0" w:space="0" w:color="auto"/>
        <w:right w:val="none" w:sz="0" w:space="0" w:color="auto"/>
      </w:divBdr>
    </w:div>
    <w:div w:id="660737444">
      <w:bodyDiv w:val="1"/>
      <w:marLeft w:val="0"/>
      <w:marRight w:val="0"/>
      <w:marTop w:val="0"/>
      <w:marBottom w:val="0"/>
      <w:divBdr>
        <w:top w:val="none" w:sz="0" w:space="0" w:color="auto"/>
        <w:left w:val="none" w:sz="0" w:space="0" w:color="auto"/>
        <w:bottom w:val="none" w:sz="0" w:space="0" w:color="auto"/>
        <w:right w:val="none" w:sz="0" w:space="0" w:color="auto"/>
      </w:divBdr>
    </w:div>
    <w:div w:id="763110389">
      <w:bodyDiv w:val="1"/>
      <w:marLeft w:val="0"/>
      <w:marRight w:val="0"/>
      <w:marTop w:val="0"/>
      <w:marBottom w:val="0"/>
      <w:divBdr>
        <w:top w:val="none" w:sz="0" w:space="0" w:color="auto"/>
        <w:left w:val="none" w:sz="0" w:space="0" w:color="auto"/>
        <w:bottom w:val="none" w:sz="0" w:space="0" w:color="auto"/>
        <w:right w:val="none" w:sz="0" w:space="0" w:color="auto"/>
      </w:divBdr>
    </w:div>
    <w:div w:id="948196683">
      <w:bodyDiv w:val="1"/>
      <w:marLeft w:val="0"/>
      <w:marRight w:val="0"/>
      <w:marTop w:val="0"/>
      <w:marBottom w:val="0"/>
      <w:divBdr>
        <w:top w:val="none" w:sz="0" w:space="0" w:color="auto"/>
        <w:left w:val="none" w:sz="0" w:space="0" w:color="auto"/>
        <w:bottom w:val="none" w:sz="0" w:space="0" w:color="auto"/>
        <w:right w:val="none" w:sz="0" w:space="0" w:color="auto"/>
      </w:divBdr>
    </w:div>
    <w:div w:id="1163206738">
      <w:bodyDiv w:val="1"/>
      <w:marLeft w:val="0"/>
      <w:marRight w:val="0"/>
      <w:marTop w:val="0"/>
      <w:marBottom w:val="0"/>
      <w:divBdr>
        <w:top w:val="none" w:sz="0" w:space="0" w:color="auto"/>
        <w:left w:val="none" w:sz="0" w:space="0" w:color="auto"/>
        <w:bottom w:val="none" w:sz="0" w:space="0" w:color="auto"/>
        <w:right w:val="none" w:sz="0" w:space="0" w:color="auto"/>
      </w:divBdr>
    </w:div>
    <w:div w:id="1175262186">
      <w:bodyDiv w:val="1"/>
      <w:marLeft w:val="0"/>
      <w:marRight w:val="0"/>
      <w:marTop w:val="0"/>
      <w:marBottom w:val="0"/>
      <w:divBdr>
        <w:top w:val="none" w:sz="0" w:space="0" w:color="auto"/>
        <w:left w:val="none" w:sz="0" w:space="0" w:color="auto"/>
        <w:bottom w:val="none" w:sz="0" w:space="0" w:color="auto"/>
        <w:right w:val="none" w:sz="0" w:space="0" w:color="auto"/>
      </w:divBdr>
    </w:div>
    <w:div w:id="1227641052">
      <w:bodyDiv w:val="1"/>
      <w:marLeft w:val="0"/>
      <w:marRight w:val="0"/>
      <w:marTop w:val="0"/>
      <w:marBottom w:val="0"/>
      <w:divBdr>
        <w:top w:val="none" w:sz="0" w:space="0" w:color="auto"/>
        <w:left w:val="none" w:sz="0" w:space="0" w:color="auto"/>
        <w:bottom w:val="none" w:sz="0" w:space="0" w:color="auto"/>
        <w:right w:val="none" w:sz="0" w:space="0" w:color="auto"/>
      </w:divBdr>
    </w:div>
    <w:div w:id="1453593742">
      <w:bodyDiv w:val="1"/>
      <w:marLeft w:val="0"/>
      <w:marRight w:val="0"/>
      <w:marTop w:val="0"/>
      <w:marBottom w:val="0"/>
      <w:divBdr>
        <w:top w:val="none" w:sz="0" w:space="0" w:color="auto"/>
        <w:left w:val="none" w:sz="0" w:space="0" w:color="auto"/>
        <w:bottom w:val="none" w:sz="0" w:space="0" w:color="auto"/>
        <w:right w:val="none" w:sz="0" w:space="0" w:color="auto"/>
      </w:divBdr>
    </w:div>
    <w:div w:id="1456211901">
      <w:bodyDiv w:val="1"/>
      <w:marLeft w:val="0"/>
      <w:marRight w:val="0"/>
      <w:marTop w:val="0"/>
      <w:marBottom w:val="0"/>
      <w:divBdr>
        <w:top w:val="none" w:sz="0" w:space="0" w:color="auto"/>
        <w:left w:val="none" w:sz="0" w:space="0" w:color="auto"/>
        <w:bottom w:val="none" w:sz="0" w:space="0" w:color="auto"/>
        <w:right w:val="none" w:sz="0" w:space="0" w:color="auto"/>
      </w:divBdr>
    </w:div>
    <w:div w:id="1523008609">
      <w:bodyDiv w:val="1"/>
      <w:marLeft w:val="0"/>
      <w:marRight w:val="0"/>
      <w:marTop w:val="0"/>
      <w:marBottom w:val="0"/>
      <w:divBdr>
        <w:top w:val="none" w:sz="0" w:space="0" w:color="auto"/>
        <w:left w:val="none" w:sz="0" w:space="0" w:color="auto"/>
        <w:bottom w:val="none" w:sz="0" w:space="0" w:color="auto"/>
        <w:right w:val="none" w:sz="0" w:space="0" w:color="auto"/>
      </w:divBdr>
    </w:div>
    <w:div w:id="1675037669">
      <w:bodyDiv w:val="1"/>
      <w:marLeft w:val="0"/>
      <w:marRight w:val="0"/>
      <w:marTop w:val="0"/>
      <w:marBottom w:val="0"/>
      <w:divBdr>
        <w:top w:val="none" w:sz="0" w:space="0" w:color="auto"/>
        <w:left w:val="none" w:sz="0" w:space="0" w:color="auto"/>
        <w:bottom w:val="none" w:sz="0" w:space="0" w:color="auto"/>
        <w:right w:val="none" w:sz="0" w:space="0" w:color="auto"/>
      </w:divBdr>
    </w:div>
    <w:div w:id="1930844951">
      <w:bodyDiv w:val="1"/>
      <w:marLeft w:val="0"/>
      <w:marRight w:val="0"/>
      <w:marTop w:val="0"/>
      <w:marBottom w:val="0"/>
      <w:divBdr>
        <w:top w:val="none" w:sz="0" w:space="0" w:color="auto"/>
        <w:left w:val="none" w:sz="0" w:space="0" w:color="auto"/>
        <w:bottom w:val="none" w:sz="0" w:space="0" w:color="auto"/>
        <w:right w:val="none" w:sz="0" w:space="0" w:color="auto"/>
      </w:divBdr>
    </w:div>
    <w:div w:id="1979719446">
      <w:bodyDiv w:val="1"/>
      <w:marLeft w:val="0"/>
      <w:marRight w:val="0"/>
      <w:marTop w:val="0"/>
      <w:marBottom w:val="0"/>
      <w:divBdr>
        <w:top w:val="none" w:sz="0" w:space="0" w:color="auto"/>
        <w:left w:val="none" w:sz="0" w:space="0" w:color="auto"/>
        <w:bottom w:val="none" w:sz="0" w:space="0" w:color="auto"/>
        <w:right w:val="none" w:sz="0" w:space="0" w:color="auto"/>
      </w:divBdr>
    </w:div>
    <w:div w:id="2056814175">
      <w:bodyDiv w:val="1"/>
      <w:marLeft w:val="0"/>
      <w:marRight w:val="0"/>
      <w:marTop w:val="0"/>
      <w:marBottom w:val="0"/>
      <w:divBdr>
        <w:top w:val="none" w:sz="0" w:space="0" w:color="auto"/>
        <w:left w:val="none" w:sz="0" w:space="0" w:color="auto"/>
        <w:bottom w:val="none" w:sz="0" w:space="0" w:color="auto"/>
        <w:right w:val="none" w:sz="0" w:space="0" w:color="auto"/>
      </w:divBdr>
    </w:div>
    <w:div w:id="213005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image" Target="media/image14.png"/><Relationship Id="rId39" Type="http://schemas.openxmlformats.org/officeDocument/2006/relationships/customXml" Target="../customXml/item2.xml"/><Relationship Id="rId21" Type="http://schemas.openxmlformats.org/officeDocument/2006/relationships/image" Target="media/image9.jpeg"/><Relationship Id="rId34" Type="http://schemas.openxmlformats.org/officeDocument/2006/relationships/image" Target="media/image22.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image" Target="media/image20.png"/><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eader" Target="header4.xml"/><Relationship Id="rId8" Type="http://schemas.openxmlformats.org/officeDocument/2006/relationships/image" Target="media/image2.png"/><Relationship Id="rId3" Type="http://schemas.openxmlformats.org/officeDocument/2006/relationships/settings" Target="settings.xml"/></Relationships>
</file>

<file path=word/_rels/header4.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7DE239-7992-4016-8253-F1A6EA214F22}"/>
</file>

<file path=customXml/itemProps2.xml><?xml version="1.0" encoding="utf-8"?>
<ds:datastoreItem xmlns:ds="http://schemas.openxmlformats.org/officeDocument/2006/customXml" ds:itemID="{094EBB5C-E836-432C-8D7A-4663B6A09620}"/>
</file>

<file path=customXml/itemProps3.xml><?xml version="1.0" encoding="utf-8"?>
<ds:datastoreItem xmlns:ds="http://schemas.openxmlformats.org/officeDocument/2006/customXml" ds:itemID="{6E87F60B-0FCE-4F98-BDBF-3A0D4795688E}"/>
</file>

<file path=docProps/app.xml><?xml version="1.0" encoding="utf-8"?>
<Properties xmlns="http://schemas.openxmlformats.org/officeDocument/2006/extended-properties" xmlns:vt="http://schemas.openxmlformats.org/officeDocument/2006/docPropsVTypes">
  <Template>Normal.dotm</Template>
  <TotalTime>0</TotalTime>
  <Pages>26</Pages>
  <Words>11411</Words>
  <Characters>65043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Fiji Aid Program Performance Report 2016-17</vt:lpstr>
    </vt:vector>
  </TitlesOfParts>
  <Company/>
  <LinksUpToDate>false</LinksUpToDate>
  <CharactersWithSpaces>76302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Fiji Aid Program Performance Report 2016-17</dc:title>
  <dc:creator/>
  <cp:lastModifiedBy/>
  <cp:revision>1</cp:revision>
  <dcterms:created xsi:type="dcterms:W3CDTF">2017-09-21T23:03:00Z</dcterms:created>
  <dcterms:modified xsi:type="dcterms:W3CDTF">2017-09-21T23:04:00Z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2ab1efba-fa3d-4f68-945e-725edf4f07f8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1123000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