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99BA" w14:textId="77777777" w:rsidR="0059146A" w:rsidRDefault="0059146A" w:rsidP="005B5769">
      <w:pPr>
        <w:pStyle w:val="ListBullet"/>
        <w:tabs>
          <w:tab w:val="clear" w:pos="284"/>
        </w:tabs>
      </w:pPr>
    </w:p>
    <w:p w14:paraId="4A7471B3" w14:textId="77777777" w:rsidR="0059146A" w:rsidRDefault="0059146A" w:rsidP="005B5769">
      <w:pPr>
        <w:pStyle w:val="ListBullet"/>
        <w:tabs>
          <w:tab w:val="clear" w:pos="284"/>
        </w:tabs>
      </w:pPr>
    </w:p>
    <w:p w14:paraId="703AC70D" w14:textId="77777777" w:rsidR="0059146A" w:rsidRPr="0059146A" w:rsidRDefault="0059146A" w:rsidP="005B5769">
      <w:pPr>
        <w:pStyle w:val="ListBullet"/>
        <w:tabs>
          <w:tab w:val="clear" w:pos="284"/>
        </w:tabs>
      </w:pPr>
    </w:p>
    <w:p w14:paraId="19F33490" w14:textId="77777777" w:rsidR="00A56F14" w:rsidRPr="0059146A" w:rsidRDefault="00A56F14" w:rsidP="0059146A">
      <w:pPr>
        <w:pStyle w:val="ListBullet"/>
        <w:tabs>
          <w:tab w:val="clear" w:pos="284"/>
        </w:tabs>
      </w:pPr>
    </w:p>
    <w:p w14:paraId="22342F16" w14:textId="77777777" w:rsidR="00A56F14" w:rsidRDefault="00A56F14" w:rsidP="00A56F14">
      <w:pPr>
        <w:spacing w:after="200" w:line="276" w:lineRule="auto"/>
        <w:rPr>
          <w:b/>
        </w:rPr>
      </w:pPr>
    </w:p>
    <w:p w14:paraId="46FF305D" w14:textId="77777777" w:rsidR="00A56F14" w:rsidRDefault="00A56F14" w:rsidP="00A56F14">
      <w:pPr>
        <w:spacing w:after="200" w:line="276" w:lineRule="auto"/>
        <w:rPr>
          <w:b/>
        </w:rPr>
      </w:pPr>
    </w:p>
    <w:p w14:paraId="46EF43AA" w14:textId="77777777" w:rsidR="00C6626C" w:rsidRDefault="00C6626C" w:rsidP="00A56F14"/>
    <w:p w14:paraId="6403AF77" w14:textId="77777777" w:rsidR="00C6626C" w:rsidRDefault="00C6626C" w:rsidP="00A56F14"/>
    <w:p w14:paraId="7C6F58D8" w14:textId="77777777" w:rsidR="00C6626C" w:rsidRDefault="00C6626C" w:rsidP="00A56F14"/>
    <w:p w14:paraId="56B056E5" w14:textId="77777777" w:rsidR="00C6626C" w:rsidRDefault="00C6626C" w:rsidP="00A56F14"/>
    <w:p w14:paraId="460275EB" w14:textId="77777777" w:rsidR="00C6626C" w:rsidRDefault="00C6626C" w:rsidP="00A56F14"/>
    <w:p w14:paraId="67729355" w14:textId="77777777" w:rsidR="00C6626C" w:rsidRDefault="00C6626C" w:rsidP="00A56F14"/>
    <w:p w14:paraId="318B115A" w14:textId="77777777" w:rsidR="00C6626C" w:rsidRDefault="00C6626C" w:rsidP="00A56F14"/>
    <w:p w14:paraId="3F256BA2" w14:textId="77777777" w:rsidR="00C6626C" w:rsidRDefault="00C6626C" w:rsidP="00A56F14"/>
    <w:p w14:paraId="199EF9B3" w14:textId="77777777" w:rsidR="00C6626C" w:rsidRDefault="00C6626C" w:rsidP="00A56F14"/>
    <w:p w14:paraId="02DE0553" w14:textId="77777777" w:rsidR="00C6626C" w:rsidRDefault="00C6626C" w:rsidP="00A56F14"/>
    <w:p w14:paraId="1A7EE499" w14:textId="77777777" w:rsidR="00C6626C" w:rsidRDefault="00C6626C" w:rsidP="00A56F14"/>
    <w:p w14:paraId="111471D7" w14:textId="77777777" w:rsidR="00C6626C" w:rsidRDefault="00C6626C" w:rsidP="00A56F14"/>
    <w:p w14:paraId="58600EAF" w14:textId="77777777" w:rsidR="00C6626C" w:rsidRDefault="00C6626C" w:rsidP="00A56F14"/>
    <w:p w14:paraId="782037A6" w14:textId="77777777" w:rsidR="00C6626C" w:rsidRDefault="00C6626C" w:rsidP="00A56F14"/>
    <w:p w14:paraId="0703C09D" w14:textId="77777777" w:rsidR="00C6626C" w:rsidRDefault="00C6626C" w:rsidP="00A56F14"/>
    <w:p w14:paraId="3600EA54" w14:textId="77777777" w:rsidR="00C6626C" w:rsidRDefault="00C6626C" w:rsidP="00A56F14"/>
    <w:p w14:paraId="5C2A6132" w14:textId="77777777" w:rsidR="00C6626C" w:rsidRDefault="00C6626C" w:rsidP="00A56F14"/>
    <w:p w14:paraId="60DF9C58" w14:textId="77777777" w:rsidR="00C6626C" w:rsidRDefault="00C6626C" w:rsidP="00A56F14"/>
    <w:p w14:paraId="7D7DCC5C" w14:textId="77777777" w:rsidR="00C6626C" w:rsidRDefault="00C6626C" w:rsidP="00A56F14"/>
    <w:p w14:paraId="5E15D0F1" w14:textId="77777777" w:rsidR="00C6626C" w:rsidRDefault="00C6626C" w:rsidP="00A56F14"/>
    <w:p w14:paraId="05FDA092" w14:textId="77777777" w:rsidR="00C6626C" w:rsidRDefault="00C6626C" w:rsidP="00A56F14"/>
    <w:p w14:paraId="6E05AD8B" w14:textId="77777777" w:rsidR="00A56F14" w:rsidRPr="002A51CA" w:rsidRDefault="00A56F14" w:rsidP="002A51CA">
      <w:pPr>
        <w:pStyle w:val="Title"/>
        <w:spacing w:after="120" w:line="600" w:lineRule="exact"/>
        <w:rPr>
          <w:spacing w:val="-20"/>
          <w:sz w:val="60"/>
        </w:rPr>
      </w:pPr>
      <w:r w:rsidRPr="002A51CA">
        <w:rPr>
          <w:noProof/>
          <w:spacing w:val="-20"/>
          <w:sz w:val="60"/>
          <w:lang w:val="en-AU" w:eastAsia="en-AU"/>
        </w:rPr>
        <w:drawing>
          <wp:anchor distT="0" distB="0" distL="114300" distR="114300" simplePos="0" relativeHeight="251664384" behindDoc="1" locked="1" layoutInCell="1" allowOverlap="1" wp14:anchorId="6032F80E" wp14:editId="1E630B14">
            <wp:simplePos x="0" y="0"/>
            <wp:positionH relativeFrom="page">
              <wp:posOffset>872490</wp:posOffset>
            </wp:positionH>
            <wp:positionV relativeFrom="page">
              <wp:posOffset>1561465</wp:posOffset>
            </wp:positionV>
            <wp:extent cx="3167380" cy="5543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7380" cy="554355"/>
                    </a:xfrm>
                    <a:prstGeom prst="rect">
                      <a:avLst/>
                    </a:prstGeom>
                  </pic:spPr>
                </pic:pic>
              </a:graphicData>
            </a:graphic>
            <wp14:sizeRelH relativeFrom="margin">
              <wp14:pctWidth>0</wp14:pctWidth>
            </wp14:sizeRelH>
            <wp14:sizeRelV relativeFrom="margin">
              <wp14:pctHeight>0</wp14:pctHeight>
            </wp14:sizeRelV>
          </wp:anchor>
        </w:drawing>
      </w:r>
      <w:r w:rsidRPr="002A51CA">
        <w:rPr>
          <w:noProof/>
          <w:spacing w:val="-20"/>
          <w:sz w:val="60"/>
          <w:lang w:val="en-AU" w:eastAsia="en-AU"/>
        </w:rPr>
        <w:drawing>
          <wp:anchor distT="0" distB="0" distL="114300" distR="114300" simplePos="0" relativeHeight="251663360" behindDoc="1" locked="1" layoutInCell="1" allowOverlap="1" wp14:anchorId="58ACB782" wp14:editId="7508EDBC">
            <wp:simplePos x="0" y="0"/>
            <wp:positionH relativeFrom="page">
              <wp:posOffset>13335</wp:posOffset>
            </wp:positionH>
            <wp:positionV relativeFrom="page">
              <wp:posOffset>59055</wp:posOffset>
            </wp:positionV>
            <wp:extent cx="7750810" cy="1072578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Cover-1-Gradient-Mask.png"/>
                    <pic:cNvPicPr/>
                  </pic:nvPicPr>
                  <pic:blipFill>
                    <a:blip r:embed="rId12">
                      <a:extLst>
                        <a:ext uri="{28A0092B-C50C-407E-A947-70E740481C1C}">
                          <a14:useLocalDpi xmlns:a14="http://schemas.microsoft.com/office/drawing/2010/main" val="0"/>
                        </a:ext>
                      </a:extLst>
                    </a:blip>
                    <a:stretch>
                      <a:fillRect/>
                    </a:stretch>
                  </pic:blipFill>
                  <pic:spPr>
                    <a:xfrm>
                      <a:off x="0" y="0"/>
                      <a:ext cx="7750810" cy="10725785"/>
                    </a:xfrm>
                    <a:prstGeom prst="rect">
                      <a:avLst/>
                    </a:prstGeom>
                  </pic:spPr>
                </pic:pic>
              </a:graphicData>
            </a:graphic>
            <wp14:sizeRelH relativeFrom="margin">
              <wp14:pctWidth>0</wp14:pctWidth>
            </wp14:sizeRelH>
            <wp14:sizeRelV relativeFrom="margin">
              <wp14:pctHeight>0</wp14:pctHeight>
            </wp14:sizeRelV>
          </wp:anchor>
        </w:drawing>
      </w:r>
      <w:r w:rsidR="00C6626C" w:rsidRPr="002A51CA">
        <w:rPr>
          <w:spacing w:val="-20"/>
          <w:sz w:val="60"/>
        </w:rPr>
        <w:t xml:space="preserve">Aid Program Performance </w:t>
      </w:r>
    </w:p>
    <w:p w14:paraId="6ADFA9A6" w14:textId="77777777" w:rsidR="00C6626C" w:rsidRPr="002A51CA" w:rsidRDefault="00C6626C" w:rsidP="002A51CA">
      <w:pPr>
        <w:pStyle w:val="Title"/>
        <w:spacing w:after="120" w:line="600" w:lineRule="exact"/>
        <w:rPr>
          <w:spacing w:val="-20"/>
          <w:sz w:val="60"/>
        </w:rPr>
      </w:pPr>
      <w:r w:rsidRPr="002A51CA">
        <w:rPr>
          <w:spacing w:val="-20"/>
          <w:sz w:val="60"/>
        </w:rPr>
        <w:t>Report 2015-16</w:t>
      </w:r>
    </w:p>
    <w:p w14:paraId="217C44C3" w14:textId="77777777" w:rsidR="00C6626C" w:rsidRDefault="004F741F" w:rsidP="00A56F14">
      <w:r>
        <w:rPr>
          <w:sz w:val="40"/>
        </w:rPr>
        <w:t>Fiji</w:t>
      </w:r>
    </w:p>
    <w:p w14:paraId="37669F44" w14:textId="77777777" w:rsidR="00C6626C" w:rsidRPr="002A51CA" w:rsidRDefault="00C6626C" w:rsidP="00A56F14">
      <w:pPr>
        <w:rPr>
          <w:sz w:val="24"/>
        </w:rPr>
      </w:pPr>
      <w:r w:rsidRPr="002A51CA">
        <w:rPr>
          <w:sz w:val="24"/>
        </w:rPr>
        <w:t>September 2016</w:t>
      </w:r>
    </w:p>
    <w:p w14:paraId="76F8D6E8" w14:textId="77777777" w:rsidR="00C6626C" w:rsidRDefault="00C6626C" w:rsidP="00A56F14">
      <w:pPr>
        <w:sectPr w:rsidR="00C6626C" w:rsidSect="00C6626C">
          <w:headerReference w:type="default" r:id="rId13"/>
          <w:footerReference w:type="default" r:id="rId14"/>
          <w:pgSz w:w="11906" w:h="16838" w:code="9"/>
          <w:pgMar w:top="1952" w:right="1134" w:bottom="851" w:left="1134" w:header="1814" w:footer="567" w:gutter="0"/>
          <w:cols w:space="397"/>
          <w:docGrid w:linePitch="360"/>
        </w:sectPr>
      </w:pPr>
    </w:p>
    <w:p w14:paraId="43596F01" w14:textId="77777777" w:rsidR="00C6626C" w:rsidRPr="00C61187" w:rsidRDefault="00C6626C" w:rsidP="002A51CA">
      <w:pPr>
        <w:pStyle w:val="ListBullet"/>
        <w:tabs>
          <w:tab w:val="clear" w:pos="284"/>
        </w:tabs>
        <w:spacing w:before="360"/>
        <w:rPr>
          <w:kern w:val="28"/>
        </w:rPr>
      </w:pPr>
      <w:r w:rsidRPr="002A51CA">
        <w:rPr>
          <w:rFonts w:asciiTheme="majorHAnsi" w:eastAsiaTheme="majorEastAsia" w:hAnsiTheme="majorHAnsi" w:cstheme="majorBidi"/>
          <w:caps/>
          <w:color w:val="495965" w:themeColor="text2"/>
          <w:sz w:val="38"/>
          <w:szCs w:val="26"/>
          <w:lang w:val="en-GB" w:eastAsia="en-US"/>
        </w:rPr>
        <w:lastRenderedPageBreak/>
        <w:t>Key Messages</w:t>
      </w:r>
      <w:r w:rsidRPr="00C61187">
        <w:rPr>
          <w:rFonts w:ascii="Helvetica" w:hAnsi="Helvetica" w:cs="Arial"/>
          <w:color w:val="007FAD"/>
          <w:kern w:val="28"/>
          <w:sz w:val="28"/>
          <w:szCs w:val="28"/>
        </w:rPr>
        <w:tab/>
      </w:r>
      <w:r w:rsidRPr="00C61187">
        <w:rPr>
          <w:rFonts w:ascii="Helvetica" w:hAnsi="Helvetica" w:cs="Arial"/>
          <w:color w:val="007FAD"/>
          <w:kern w:val="28"/>
          <w:sz w:val="24"/>
          <w:szCs w:val="28"/>
        </w:rPr>
        <w:tab/>
      </w:r>
      <w:r w:rsidRPr="00C61187">
        <w:rPr>
          <w:rFonts w:ascii="Helvetica" w:hAnsi="Helvetica" w:cs="Arial"/>
          <w:color w:val="007FAD"/>
          <w:kern w:val="28"/>
          <w:sz w:val="32"/>
          <w:szCs w:val="32"/>
        </w:rPr>
        <w:tab/>
      </w:r>
      <w:r w:rsidRPr="00C61187">
        <w:rPr>
          <w:rFonts w:ascii="Helvetica" w:hAnsi="Helvetica" w:cs="Arial"/>
          <w:color w:val="007FAD"/>
          <w:kern w:val="28"/>
          <w:sz w:val="32"/>
          <w:szCs w:val="32"/>
        </w:rPr>
        <w:tab/>
      </w:r>
      <w:r w:rsidRPr="00C61187">
        <w:rPr>
          <w:rFonts w:ascii="Helvetica" w:hAnsi="Helvetica" w:cs="Arial"/>
          <w:color w:val="007FAD"/>
          <w:kern w:val="28"/>
          <w:sz w:val="32"/>
          <w:szCs w:val="32"/>
        </w:rPr>
        <w:tab/>
      </w:r>
      <w:r w:rsidRPr="00C61187">
        <w:rPr>
          <w:rFonts w:ascii="Helvetica" w:hAnsi="Helvetica" w:cs="Arial"/>
          <w:color w:val="007FAD"/>
          <w:kern w:val="28"/>
          <w:sz w:val="32"/>
          <w:szCs w:val="32"/>
        </w:rPr>
        <w:tab/>
      </w:r>
    </w:p>
    <w:p w14:paraId="5904426B" w14:textId="77777777" w:rsidR="00A36A1C" w:rsidRPr="00C92066" w:rsidRDefault="00A36A1C" w:rsidP="00A36A1C">
      <w:pPr>
        <w:rPr>
          <w:rFonts w:ascii="Calibri Light" w:eastAsia="Calibri Light" w:hAnsi="Calibri Light" w:cs="Times New Roman"/>
          <w:color w:val="495965"/>
        </w:rPr>
      </w:pPr>
      <w:r w:rsidRPr="00C92066">
        <w:rPr>
          <w:rFonts w:ascii="Calibri Light" w:eastAsia="Calibri Light" w:hAnsi="Calibri Light" w:cs="Times New Roman"/>
          <w:color w:val="495965"/>
        </w:rPr>
        <w:t>In 2015-16</w:t>
      </w:r>
      <w:r w:rsidR="00F27056">
        <w:rPr>
          <w:rFonts w:ascii="Calibri Light" w:eastAsia="Calibri Light" w:hAnsi="Calibri Light" w:cs="Times New Roman"/>
          <w:color w:val="495965"/>
        </w:rPr>
        <w:t>,</w:t>
      </w:r>
      <w:r w:rsidRPr="00C92066">
        <w:rPr>
          <w:rFonts w:ascii="Calibri Light" w:eastAsia="Calibri Light" w:hAnsi="Calibri Light" w:cs="Times New Roman"/>
          <w:color w:val="495965"/>
        </w:rPr>
        <w:t xml:space="preserve"> Australia’s aid program </w:t>
      </w:r>
      <w:r w:rsidR="00B26FB3">
        <w:rPr>
          <w:rFonts w:ascii="Calibri Light" w:eastAsia="Calibri Light" w:hAnsi="Calibri Light" w:cs="Times New Roman"/>
          <w:color w:val="495965"/>
        </w:rPr>
        <w:t xml:space="preserve">in Fiji </w:t>
      </w:r>
      <w:r w:rsidRPr="00C92066">
        <w:rPr>
          <w:rFonts w:ascii="Calibri Light" w:eastAsia="Calibri Light" w:hAnsi="Calibri Light" w:cs="Times New Roman"/>
          <w:color w:val="495965"/>
        </w:rPr>
        <w:t xml:space="preserve">demonstrated </w:t>
      </w:r>
      <w:r w:rsidR="006F621E" w:rsidRPr="00C92066">
        <w:rPr>
          <w:rFonts w:ascii="Calibri Light" w:eastAsia="Calibri Light" w:hAnsi="Calibri Light" w:cs="Times New Roman"/>
          <w:color w:val="495965"/>
        </w:rPr>
        <w:t xml:space="preserve">good </w:t>
      </w:r>
      <w:r w:rsidRPr="00C92066">
        <w:rPr>
          <w:rFonts w:ascii="Calibri Light" w:eastAsia="Calibri Light" w:hAnsi="Calibri Light" w:cs="Times New Roman"/>
          <w:color w:val="495965"/>
        </w:rPr>
        <w:t>overall performance against the objectives of supporting private sector development and human development, despite the devastation and disruption caused by Tropical Cyclone (TC) Winston</w:t>
      </w:r>
      <w:r w:rsidR="00066293">
        <w:rPr>
          <w:rFonts w:ascii="Calibri Light" w:eastAsia="Calibri Light" w:hAnsi="Calibri Light" w:cs="Times New Roman"/>
          <w:color w:val="495965"/>
        </w:rPr>
        <w:t xml:space="preserve"> in </w:t>
      </w:r>
      <w:r w:rsidRPr="00C92066">
        <w:rPr>
          <w:rFonts w:ascii="Calibri Light" w:eastAsia="Calibri Light" w:hAnsi="Calibri Light" w:cs="Times New Roman"/>
          <w:color w:val="495965"/>
        </w:rPr>
        <w:t xml:space="preserve">February 2016. Australia’s swift and </w:t>
      </w:r>
      <w:r w:rsidR="00066293">
        <w:rPr>
          <w:rFonts w:ascii="Calibri Light" w:eastAsia="Calibri Light" w:hAnsi="Calibri Light" w:cs="Times New Roman"/>
          <w:color w:val="495965"/>
        </w:rPr>
        <w:t xml:space="preserve">comprehensive </w:t>
      </w:r>
      <w:r w:rsidRPr="00C92066">
        <w:rPr>
          <w:rFonts w:ascii="Calibri Light" w:eastAsia="Calibri Light" w:hAnsi="Calibri Light" w:cs="Times New Roman"/>
          <w:color w:val="495965"/>
        </w:rPr>
        <w:t>response</w:t>
      </w:r>
      <w:r w:rsidR="00F27056">
        <w:rPr>
          <w:rFonts w:ascii="Calibri Light" w:eastAsia="Calibri Light" w:hAnsi="Calibri Light" w:cs="Times New Roman"/>
          <w:color w:val="495965"/>
        </w:rPr>
        <w:t xml:space="preserve"> to TC Winston</w:t>
      </w:r>
      <w:r w:rsidRPr="00C92066">
        <w:rPr>
          <w:rFonts w:ascii="Calibri Light" w:eastAsia="Calibri Light" w:hAnsi="Calibri Light" w:cs="Times New Roman"/>
          <w:color w:val="495965"/>
        </w:rPr>
        <w:t xml:space="preserve"> </w:t>
      </w:r>
      <w:r w:rsidR="00066293">
        <w:rPr>
          <w:rFonts w:ascii="Calibri Light" w:eastAsia="Calibri Light" w:hAnsi="Calibri Light" w:cs="Times New Roman"/>
          <w:color w:val="495965"/>
        </w:rPr>
        <w:t>included the provision of immediate</w:t>
      </w:r>
      <w:r w:rsidRPr="00C92066">
        <w:rPr>
          <w:rFonts w:ascii="Calibri Light" w:eastAsia="Calibri Light" w:hAnsi="Calibri Light" w:cs="Times New Roman"/>
          <w:color w:val="495965"/>
        </w:rPr>
        <w:t xml:space="preserve"> humanitarian relief to over 200,000 people. </w:t>
      </w:r>
      <w:r w:rsidR="00F27056">
        <w:rPr>
          <w:rFonts w:ascii="Calibri Light" w:eastAsia="Calibri Light" w:hAnsi="Calibri Light" w:cs="Times New Roman"/>
          <w:color w:val="495965"/>
        </w:rPr>
        <w:t xml:space="preserve">Total </w:t>
      </w:r>
      <w:r w:rsidRPr="00C92066">
        <w:rPr>
          <w:rFonts w:ascii="Calibri Light" w:eastAsia="Calibri Light" w:hAnsi="Calibri Light" w:cs="Times New Roman"/>
          <w:color w:val="495965"/>
        </w:rPr>
        <w:t xml:space="preserve">Australian aid to Fiji in 2015-16 was </w:t>
      </w:r>
      <w:r w:rsidR="0089169A">
        <w:rPr>
          <w:rFonts w:ascii="Calibri Light" w:eastAsia="Calibri Light" w:hAnsi="Calibri Light" w:cs="Times New Roman"/>
          <w:color w:val="495965"/>
        </w:rPr>
        <w:t>$</w:t>
      </w:r>
      <w:r w:rsidR="00B246EC">
        <w:rPr>
          <w:rFonts w:ascii="Calibri Light" w:eastAsia="Calibri Light" w:hAnsi="Calibri Light" w:cs="Times New Roman"/>
          <w:color w:val="495965"/>
        </w:rPr>
        <w:t>78</w:t>
      </w:r>
      <w:r w:rsidRPr="00C92066">
        <w:rPr>
          <w:rFonts w:ascii="Calibri Light" w:eastAsia="Calibri Light" w:hAnsi="Calibri Light" w:cs="Times New Roman"/>
          <w:color w:val="495965"/>
        </w:rPr>
        <w:t>.7 million</w:t>
      </w:r>
      <w:r w:rsidR="00F27056">
        <w:rPr>
          <w:rFonts w:ascii="Calibri Light" w:eastAsia="Calibri Light" w:hAnsi="Calibri Light" w:cs="Times New Roman"/>
          <w:color w:val="495965"/>
        </w:rPr>
        <w:t xml:space="preserve">. </w:t>
      </w:r>
      <w:r w:rsidR="00F27056" w:rsidRPr="00E97964">
        <w:rPr>
          <w:rFonts w:ascii="Calibri Light" w:eastAsia="Calibri Light" w:hAnsi="Calibri Light" w:cs="Times New Roman"/>
          <w:color w:val="495965"/>
        </w:rPr>
        <w:t>This included $50.3 million in bilateral flows</w:t>
      </w:r>
      <w:r w:rsidR="00B246EC">
        <w:rPr>
          <w:rFonts w:ascii="Calibri Light" w:eastAsia="Calibri Light" w:hAnsi="Calibri Light" w:cs="Times New Roman"/>
          <w:color w:val="495965"/>
        </w:rPr>
        <w:t>, $19 million of which was provided for TC Winston relief efforts and to support Fiji’s longer term recovery.  R</w:t>
      </w:r>
      <w:r w:rsidR="00F27056" w:rsidRPr="00E97964">
        <w:rPr>
          <w:rFonts w:ascii="Calibri Light" w:eastAsia="Calibri Light" w:hAnsi="Calibri Light" w:cs="Times New Roman"/>
          <w:color w:val="495965"/>
        </w:rPr>
        <w:t>egional and global programs managed by DFAT</w:t>
      </w:r>
      <w:r w:rsidR="00B246EC">
        <w:rPr>
          <w:rFonts w:ascii="Calibri Light" w:eastAsia="Calibri Light" w:hAnsi="Calibri Light" w:cs="Times New Roman"/>
          <w:color w:val="495965"/>
        </w:rPr>
        <w:t xml:space="preserve"> totalled $25.9 million</w:t>
      </w:r>
      <w:r w:rsidR="00F27056">
        <w:rPr>
          <w:rFonts w:ascii="Calibri Light" w:eastAsia="Calibri Light" w:hAnsi="Calibri Light" w:cs="Times New Roman"/>
          <w:color w:val="495965"/>
        </w:rPr>
        <w:t xml:space="preserve"> </w:t>
      </w:r>
      <w:r w:rsidR="00F27056" w:rsidRPr="00E97964">
        <w:rPr>
          <w:rFonts w:ascii="Calibri Light" w:eastAsia="Calibri Light" w:hAnsi="Calibri Light" w:cs="Times New Roman"/>
          <w:color w:val="495965"/>
        </w:rPr>
        <w:t>and $2.5</w:t>
      </w:r>
      <w:r w:rsidR="00F27056">
        <w:rPr>
          <w:rFonts w:ascii="Calibri Light" w:eastAsia="Calibri Light" w:hAnsi="Calibri Light" w:cs="Times New Roman"/>
          <w:color w:val="495965"/>
        </w:rPr>
        <w:t xml:space="preserve"> million was</w:t>
      </w:r>
      <w:r w:rsidR="00F27056" w:rsidRPr="00E97964">
        <w:rPr>
          <w:rFonts w:ascii="Calibri Light" w:eastAsia="Calibri Light" w:hAnsi="Calibri Light" w:cs="Times New Roman"/>
          <w:color w:val="495965"/>
        </w:rPr>
        <w:t xml:space="preserve"> managed by other government</w:t>
      </w:r>
      <w:r w:rsidR="00F27056">
        <w:rPr>
          <w:rFonts w:ascii="Calibri Light" w:eastAsia="Calibri Light" w:hAnsi="Calibri Light" w:cs="Times New Roman"/>
          <w:color w:val="495965"/>
        </w:rPr>
        <w:t xml:space="preserve"> departments.</w:t>
      </w:r>
    </w:p>
    <w:p w14:paraId="1374E089" w14:textId="77777777" w:rsidR="00A36A1C" w:rsidRPr="00C92066" w:rsidRDefault="0089169A" w:rsidP="00A36A1C">
      <w:pPr>
        <w:rPr>
          <w:rFonts w:ascii="Calibri Light" w:eastAsia="Calibri Light" w:hAnsi="Calibri Light" w:cs="Times New Roman"/>
          <w:color w:val="495965"/>
        </w:rPr>
      </w:pPr>
      <w:r>
        <w:rPr>
          <w:rFonts w:ascii="Calibri Light" w:eastAsia="Calibri Light" w:hAnsi="Calibri Light" w:cs="Times New Roman"/>
          <w:color w:val="495965"/>
        </w:rPr>
        <w:t>I</w:t>
      </w:r>
      <w:r w:rsidRPr="00C92066">
        <w:rPr>
          <w:rFonts w:ascii="Calibri Light" w:eastAsia="Calibri Light" w:hAnsi="Calibri Light" w:cs="Times New Roman"/>
          <w:color w:val="495965"/>
        </w:rPr>
        <w:t>n 2015-16</w:t>
      </w:r>
      <w:r w:rsidR="00F27056">
        <w:rPr>
          <w:rFonts w:ascii="Calibri Light" w:eastAsia="Calibri Light" w:hAnsi="Calibri Light" w:cs="Times New Roman"/>
          <w:color w:val="495965"/>
        </w:rPr>
        <w:t>,</w:t>
      </w:r>
      <w:r w:rsidRPr="00C92066">
        <w:rPr>
          <w:rFonts w:ascii="Calibri Light" w:eastAsia="Calibri Light" w:hAnsi="Calibri Light" w:cs="Times New Roman"/>
          <w:color w:val="495965"/>
        </w:rPr>
        <w:t xml:space="preserve"> the aid program continued its reorientation towards working directly with </w:t>
      </w:r>
      <w:r>
        <w:rPr>
          <w:rFonts w:ascii="Calibri Light" w:eastAsia="Calibri Light" w:hAnsi="Calibri Light" w:cs="Times New Roman"/>
          <w:color w:val="495965"/>
        </w:rPr>
        <w:t xml:space="preserve">Fiji </w:t>
      </w:r>
      <w:r w:rsidRPr="00C92066">
        <w:rPr>
          <w:rFonts w:ascii="Calibri Light" w:eastAsia="Calibri Light" w:hAnsi="Calibri Light" w:cs="Times New Roman"/>
          <w:color w:val="495965"/>
        </w:rPr>
        <w:t xml:space="preserve">government </w:t>
      </w:r>
      <w:r>
        <w:rPr>
          <w:rFonts w:ascii="Calibri Light" w:eastAsia="Calibri Light" w:hAnsi="Calibri Light" w:cs="Times New Roman"/>
          <w:color w:val="495965"/>
        </w:rPr>
        <w:t>agencies</w:t>
      </w:r>
      <w:r w:rsidRPr="00C92066">
        <w:rPr>
          <w:rFonts w:ascii="Calibri Light" w:eastAsia="Calibri Light" w:hAnsi="Calibri Light" w:cs="Times New Roman"/>
          <w:color w:val="495965"/>
        </w:rPr>
        <w:t xml:space="preserve"> to support </w:t>
      </w:r>
      <w:r>
        <w:rPr>
          <w:rFonts w:ascii="Calibri Light" w:eastAsia="Calibri Light" w:hAnsi="Calibri Light" w:cs="Times New Roman"/>
          <w:color w:val="495965"/>
        </w:rPr>
        <w:t xml:space="preserve">the </w:t>
      </w:r>
      <w:r w:rsidR="00A36A1C" w:rsidRPr="00C92066">
        <w:rPr>
          <w:rFonts w:ascii="Calibri Light" w:eastAsia="Calibri Light" w:hAnsi="Calibri Light" w:cs="Times New Roman"/>
          <w:color w:val="495965"/>
        </w:rPr>
        <w:t>develop</w:t>
      </w:r>
      <w:r>
        <w:rPr>
          <w:rFonts w:ascii="Calibri Light" w:eastAsia="Calibri Light" w:hAnsi="Calibri Light" w:cs="Times New Roman"/>
          <w:color w:val="495965"/>
        </w:rPr>
        <w:t>ment of</w:t>
      </w:r>
      <w:r w:rsidR="00A36A1C" w:rsidRPr="00C92066">
        <w:rPr>
          <w:rFonts w:ascii="Calibri Light" w:eastAsia="Calibri Light" w:hAnsi="Calibri Light" w:cs="Times New Roman"/>
          <w:color w:val="495965"/>
        </w:rPr>
        <w:t xml:space="preserve"> economic policies, improve public sector capacity and deliver health and education services to the people of Fiji. </w:t>
      </w:r>
      <w:r w:rsidR="006F621E">
        <w:rPr>
          <w:rFonts w:ascii="Calibri Light" w:eastAsia="Calibri Light" w:hAnsi="Calibri Light" w:cs="Times New Roman"/>
          <w:color w:val="495965"/>
        </w:rPr>
        <w:t xml:space="preserve">We established new relationships with seven </w:t>
      </w:r>
      <w:r w:rsidR="007C4A07">
        <w:rPr>
          <w:rFonts w:ascii="Calibri Light" w:eastAsia="Calibri Light" w:hAnsi="Calibri Light" w:cs="Times New Roman"/>
          <w:color w:val="495965"/>
        </w:rPr>
        <w:t>Fiji G</w:t>
      </w:r>
      <w:r w:rsidR="00A36A1C" w:rsidRPr="00C92066">
        <w:rPr>
          <w:rFonts w:ascii="Calibri Light" w:eastAsia="Calibri Light" w:hAnsi="Calibri Light" w:cs="Times New Roman"/>
          <w:color w:val="495965"/>
        </w:rPr>
        <w:t xml:space="preserve">overnment </w:t>
      </w:r>
      <w:r w:rsidR="007C4A07">
        <w:rPr>
          <w:rFonts w:ascii="Calibri Light" w:eastAsia="Calibri Light" w:hAnsi="Calibri Light" w:cs="Times New Roman"/>
          <w:color w:val="495965"/>
        </w:rPr>
        <w:t xml:space="preserve">Ministries and </w:t>
      </w:r>
      <w:r w:rsidR="00A36A1C" w:rsidRPr="00C92066">
        <w:rPr>
          <w:rFonts w:ascii="Calibri Light" w:eastAsia="Calibri Light" w:hAnsi="Calibri Light" w:cs="Times New Roman"/>
          <w:color w:val="495965"/>
        </w:rPr>
        <w:t>agencies</w:t>
      </w:r>
      <w:r w:rsidR="008F14FE">
        <w:rPr>
          <w:rFonts w:ascii="Calibri Light" w:eastAsia="Calibri Light" w:hAnsi="Calibri Light" w:cs="Times New Roman"/>
          <w:color w:val="495965"/>
        </w:rPr>
        <w:t xml:space="preserve">, </w:t>
      </w:r>
      <w:r w:rsidR="006F621E">
        <w:rPr>
          <w:rFonts w:ascii="Calibri Light" w:eastAsia="Calibri Light" w:hAnsi="Calibri Light" w:cs="Times New Roman"/>
          <w:color w:val="495965"/>
        </w:rPr>
        <w:t>bringing the total number of Ministries and agencies with which the program works to 25.</w:t>
      </w:r>
    </w:p>
    <w:p w14:paraId="05D69D33" w14:textId="77777777" w:rsidR="00BD42EE" w:rsidRDefault="00A36A1C" w:rsidP="00A36A1C">
      <w:pPr>
        <w:rPr>
          <w:rFonts w:ascii="Calibri Light" w:eastAsia="Calibri Light" w:hAnsi="Calibri Light" w:cs="Times New Roman"/>
          <w:color w:val="495965"/>
        </w:rPr>
      </w:pPr>
      <w:r w:rsidRPr="00C92066">
        <w:rPr>
          <w:rFonts w:ascii="Calibri Light" w:eastAsia="Calibri Light" w:hAnsi="Calibri Light" w:cs="Times New Roman"/>
          <w:color w:val="495965"/>
        </w:rPr>
        <w:t xml:space="preserve">Australia’s aid program in 2015-16 consolidated the gains </w:t>
      </w:r>
      <w:r w:rsidR="006F621E">
        <w:rPr>
          <w:rFonts w:ascii="Calibri Light" w:eastAsia="Calibri Light" w:hAnsi="Calibri Light" w:cs="Times New Roman"/>
          <w:color w:val="495965"/>
        </w:rPr>
        <w:t xml:space="preserve">that have </w:t>
      </w:r>
      <w:r w:rsidR="00BD42EE">
        <w:rPr>
          <w:rFonts w:ascii="Calibri Light" w:eastAsia="Calibri Light" w:hAnsi="Calibri Light" w:cs="Times New Roman"/>
          <w:color w:val="495965"/>
        </w:rPr>
        <w:t xml:space="preserve">previously </w:t>
      </w:r>
      <w:r w:rsidR="006F621E">
        <w:rPr>
          <w:rFonts w:ascii="Calibri Light" w:eastAsia="Calibri Light" w:hAnsi="Calibri Light" w:cs="Times New Roman"/>
          <w:color w:val="495965"/>
        </w:rPr>
        <w:t xml:space="preserve">been </w:t>
      </w:r>
      <w:r w:rsidRPr="00C92066">
        <w:rPr>
          <w:rFonts w:ascii="Calibri Light" w:eastAsia="Calibri Light" w:hAnsi="Calibri Light" w:cs="Times New Roman"/>
          <w:color w:val="495965"/>
        </w:rPr>
        <w:t xml:space="preserve">made in </w:t>
      </w:r>
      <w:r w:rsidR="00FA36C4">
        <w:rPr>
          <w:rFonts w:ascii="Calibri Light" w:eastAsia="Calibri Light" w:hAnsi="Calibri Light" w:cs="Times New Roman"/>
          <w:color w:val="495965"/>
        </w:rPr>
        <w:t xml:space="preserve">the </w:t>
      </w:r>
      <w:r w:rsidRPr="00C92066">
        <w:rPr>
          <w:rFonts w:ascii="Calibri Light" w:eastAsia="Calibri Light" w:hAnsi="Calibri Light" w:cs="Times New Roman"/>
          <w:color w:val="495965"/>
        </w:rPr>
        <w:t xml:space="preserve">health and education </w:t>
      </w:r>
      <w:r w:rsidR="00FA36C4">
        <w:rPr>
          <w:rFonts w:ascii="Calibri Light" w:eastAsia="Calibri Light" w:hAnsi="Calibri Light" w:cs="Times New Roman"/>
          <w:color w:val="495965"/>
        </w:rPr>
        <w:t>sectors</w:t>
      </w:r>
      <w:r w:rsidR="00BD42EE">
        <w:rPr>
          <w:rFonts w:ascii="Calibri Light" w:eastAsia="Calibri Light" w:hAnsi="Calibri Light" w:cs="Times New Roman"/>
          <w:color w:val="495965"/>
        </w:rPr>
        <w:t>,</w:t>
      </w:r>
      <w:r w:rsidR="00FA36C4">
        <w:rPr>
          <w:rFonts w:ascii="Calibri Light" w:eastAsia="Calibri Light" w:hAnsi="Calibri Light" w:cs="Times New Roman"/>
          <w:color w:val="495965"/>
        </w:rPr>
        <w:t xml:space="preserve"> </w:t>
      </w:r>
      <w:r w:rsidRPr="00C92066">
        <w:rPr>
          <w:rFonts w:ascii="Calibri Light" w:eastAsia="Calibri Light" w:hAnsi="Calibri Light" w:cs="Times New Roman"/>
          <w:color w:val="495965"/>
        </w:rPr>
        <w:t xml:space="preserve">and continued to transfer responsibilities </w:t>
      </w:r>
      <w:r w:rsidR="00754879">
        <w:rPr>
          <w:rFonts w:ascii="Calibri Light" w:eastAsia="Calibri Light" w:hAnsi="Calibri Light" w:cs="Times New Roman"/>
          <w:color w:val="495965"/>
        </w:rPr>
        <w:t>to relevant Ministries</w:t>
      </w:r>
      <w:r w:rsidR="00066293">
        <w:rPr>
          <w:rFonts w:ascii="Calibri Light" w:eastAsia="Calibri Light" w:hAnsi="Calibri Light" w:cs="Times New Roman"/>
          <w:color w:val="495965"/>
        </w:rPr>
        <w:t xml:space="preserve">.  </w:t>
      </w:r>
      <w:r w:rsidR="00F27056">
        <w:rPr>
          <w:rFonts w:ascii="Calibri Light" w:eastAsia="Calibri Light" w:hAnsi="Calibri Light" w:cs="Times New Roman"/>
          <w:color w:val="495965"/>
        </w:rPr>
        <w:t>This</w:t>
      </w:r>
      <w:r w:rsidR="000A1410">
        <w:rPr>
          <w:rFonts w:ascii="Calibri Light" w:eastAsia="Calibri Light" w:hAnsi="Calibri Light" w:cs="Times New Roman"/>
          <w:color w:val="495965"/>
        </w:rPr>
        <w:t xml:space="preserve"> </w:t>
      </w:r>
      <w:r w:rsidR="00066293">
        <w:rPr>
          <w:rFonts w:ascii="Calibri Light" w:eastAsia="Calibri Light" w:hAnsi="Calibri Light" w:cs="Times New Roman"/>
          <w:color w:val="495965"/>
        </w:rPr>
        <w:t>include</w:t>
      </w:r>
      <w:r w:rsidR="000A1410">
        <w:rPr>
          <w:rFonts w:ascii="Calibri Light" w:eastAsia="Calibri Light" w:hAnsi="Calibri Light" w:cs="Times New Roman"/>
          <w:color w:val="495965"/>
        </w:rPr>
        <w:t>d</w:t>
      </w:r>
      <w:r w:rsidR="00066293">
        <w:rPr>
          <w:rFonts w:ascii="Calibri Light" w:eastAsia="Calibri Light" w:hAnsi="Calibri Light" w:cs="Times New Roman"/>
          <w:color w:val="495965"/>
        </w:rPr>
        <w:t xml:space="preserve"> </w:t>
      </w:r>
      <w:r w:rsidR="00754879">
        <w:rPr>
          <w:rFonts w:ascii="Calibri Light" w:eastAsia="Calibri Light" w:hAnsi="Calibri Light" w:cs="Times New Roman"/>
          <w:color w:val="495965"/>
        </w:rPr>
        <w:t xml:space="preserve">strengthening </w:t>
      </w:r>
      <w:r w:rsidR="003D5319">
        <w:rPr>
          <w:rFonts w:ascii="Calibri Light" w:eastAsia="Calibri Light" w:hAnsi="Calibri Light" w:cs="Times New Roman"/>
          <w:color w:val="495965"/>
        </w:rPr>
        <w:t xml:space="preserve">government </w:t>
      </w:r>
      <w:r w:rsidR="00754879">
        <w:rPr>
          <w:rFonts w:ascii="Calibri Light" w:eastAsia="Calibri Light" w:hAnsi="Calibri Light" w:cs="Times New Roman"/>
          <w:color w:val="495965"/>
        </w:rPr>
        <w:t>information management systems to improve planning, budget</w:t>
      </w:r>
      <w:r w:rsidR="00207A2A">
        <w:rPr>
          <w:rFonts w:ascii="Calibri Light" w:eastAsia="Calibri Light" w:hAnsi="Calibri Light" w:cs="Times New Roman"/>
          <w:color w:val="495965"/>
        </w:rPr>
        <w:t>ing</w:t>
      </w:r>
      <w:r w:rsidR="00754879">
        <w:rPr>
          <w:rFonts w:ascii="Calibri Light" w:eastAsia="Calibri Light" w:hAnsi="Calibri Light" w:cs="Times New Roman"/>
          <w:color w:val="495965"/>
        </w:rPr>
        <w:t xml:space="preserve"> and service delivery.</w:t>
      </w:r>
      <w:r w:rsidR="00FA36C4">
        <w:rPr>
          <w:rFonts w:ascii="Calibri Light" w:eastAsia="Calibri Light" w:hAnsi="Calibri Light" w:cs="Times New Roman"/>
          <w:color w:val="495965"/>
        </w:rPr>
        <w:t xml:space="preserve"> </w:t>
      </w:r>
      <w:r w:rsidR="00BD42EE">
        <w:rPr>
          <w:rFonts w:ascii="Calibri Light" w:eastAsia="Calibri Light" w:hAnsi="Calibri Light" w:cs="Times New Roman"/>
          <w:color w:val="495965"/>
        </w:rPr>
        <w:t xml:space="preserve">However, </w:t>
      </w:r>
      <w:r w:rsidR="00F27056">
        <w:rPr>
          <w:rFonts w:ascii="Calibri Light" w:eastAsia="Calibri Light" w:hAnsi="Calibri Light" w:cs="Times New Roman"/>
          <w:color w:val="495965"/>
        </w:rPr>
        <w:t>following</w:t>
      </w:r>
      <w:r w:rsidR="00BD42EE">
        <w:rPr>
          <w:rFonts w:ascii="Calibri Light" w:eastAsia="Calibri Light" w:hAnsi="Calibri Light" w:cs="Times New Roman"/>
          <w:color w:val="495965"/>
        </w:rPr>
        <w:t xml:space="preserve"> the damage or destruction of almost 500 schools</w:t>
      </w:r>
      <w:r w:rsidR="00323490">
        <w:rPr>
          <w:rFonts w:ascii="Calibri Light" w:eastAsia="Calibri Light" w:hAnsi="Calibri Light" w:cs="Times New Roman"/>
          <w:color w:val="495965"/>
        </w:rPr>
        <w:t xml:space="preserve"> from TC Winston</w:t>
      </w:r>
      <w:r w:rsidR="00BD42EE">
        <w:rPr>
          <w:rFonts w:ascii="Calibri Light" w:eastAsia="Calibri Light" w:hAnsi="Calibri Light" w:cs="Times New Roman"/>
          <w:color w:val="495965"/>
        </w:rPr>
        <w:t>, including 43 of 85 schools supported by the program</w:t>
      </w:r>
      <w:r w:rsidR="00F71AAA">
        <w:rPr>
          <w:rFonts w:ascii="Calibri Light" w:eastAsia="Calibri Light" w:hAnsi="Calibri Light" w:cs="Times New Roman"/>
          <w:color w:val="495965"/>
        </w:rPr>
        <w:t>, and a number of medical facilities</w:t>
      </w:r>
      <w:r w:rsidR="00F27056">
        <w:rPr>
          <w:rFonts w:ascii="Calibri Light" w:eastAsia="Calibri Light" w:hAnsi="Calibri Light" w:cs="Times New Roman"/>
          <w:color w:val="495965"/>
        </w:rPr>
        <w:t>, s</w:t>
      </w:r>
      <w:r w:rsidR="00F71AAA">
        <w:rPr>
          <w:rFonts w:ascii="Calibri Light" w:eastAsia="Calibri Light" w:hAnsi="Calibri Light" w:cs="Times New Roman"/>
          <w:color w:val="495965"/>
        </w:rPr>
        <w:t>taff and resources were diverted to respond to the immediate needs of affected populations.  As a result, it was not possible for some elements of the program to achieve the outcomes that had been expected.</w:t>
      </w:r>
    </w:p>
    <w:p w14:paraId="15594E33" w14:textId="77777777" w:rsidR="00A36A1C" w:rsidRPr="00C92066" w:rsidRDefault="00FA36C4" w:rsidP="00A36A1C">
      <w:pPr>
        <w:rPr>
          <w:rFonts w:ascii="Calibri Light" w:eastAsia="Calibri Light" w:hAnsi="Calibri Light" w:cs="Times New Roman"/>
          <w:color w:val="495965"/>
        </w:rPr>
      </w:pPr>
      <w:r>
        <w:rPr>
          <w:rFonts w:ascii="Calibri Light" w:eastAsia="Calibri Light" w:hAnsi="Calibri Light" w:cs="Times New Roman"/>
          <w:color w:val="495965"/>
        </w:rPr>
        <w:t>The aid program</w:t>
      </w:r>
      <w:r w:rsidR="00A36A1C" w:rsidRPr="00C92066">
        <w:rPr>
          <w:rFonts w:ascii="Calibri Light" w:eastAsia="Calibri Light" w:hAnsi="Calibri Light" w:cs="Times New Roman"/>
          <w:color w:val="495965"/>
        </w:rPr>
        <w:t xml:space="preserve"> also saw </w:t>
      </w:r>
      <w:r w:rsidR="00A36A1C">
        <w:rPr>
          <w:rFonts w:ascii="Calibri Light" w:eastAsia="Calibri Light" w:hAnsi="Calibri Light" w:cs="Times New Roman"/>
          <w:color w:val="495965"/>
        </w:rPr>
        <w:t>further increases in our</w:t>
      </w:r>
      <w:r w:rsidR="00A36A1C" w:rsidRPr="00C92066">
        <w:rPr>
          <w:rFonts w:ascii="Calibri Light" w:eastAsia="Calibri Light" w:hAnsi="Calibri Light" w:cs="Times New Roman"/>
          <w:color w:val="495965"/>
        </w:rPr>
        <w:t xml:space="preserve"> </w:t>
      </w:r>
      <w:r w:rsidR="00B26FB3">
        <w:rPr>
          <w:rFonts w:ascii="Calibri Light" w:eastAsia="Calibri Light" w:hAnsi="Calibri Light" w:cs="Times New Roman"/>
          <w:color w:val="495965"/>
        </w:rPr>
        <w:t>assistance</w:t>
      </w:r>
      <w:r w:rsidR="00A36A1C">
        <w:rPr>
          <w:rFonts w:ascii="Calibri Light" w:eastAsia="Calibri Light" w:hAnsi="Calibri Light" w:cs="Times New Roman"/>
          <w:color w:val="495965"/>
        </w:rPr>
        <w:t xml:space="preserve"> to</w:t>
      </w:r>
      <w:r w:rsidR="00A36A1C" w:rsidRPr="00C92066">
        <w:rPr>
          <w:rFonts w:ascii="Calibri Light" w:eastAsia="Calibri Light" w:hAnsi="Calibri Light" w:cs="Times New Roman"/>
          <w:color w:val="495965"/>
        </w:rPr>
        <w:t xml:space="preserve"> private sector development and</w:t>
      </w:r>
      <w:r w:rsidR="00A36A1C">
        <w:rPr>
          <w:rFonts w:ascii="Calibri Light" w:eastAsia="Calibri Light" w:hAnsi="Calibri Light" w:cs="Times New Roman"/>
          <w:color w:val="495965"/>
        </w:rPr>
        <w:t xml:space="preserve"> </w:t>
      </w:r>
      <w:r w:rsidR="00A36A1C" w:rsidRPr="00C92066">
        <w:rPr>
          <w:rFonts w:ascii="Calibri Light" w:eastAsia="Calibri Light" w:hAnsi="Calibri Light" w:cs="Times New Roman"/>
          <w:color w:val="495965"/>
        </w:rPr>
        <w:t>governance</w:t>
      </w:r>
      <w:r w:rsidR="00A36A1C">
        <w:rPr>
          <w:rFonts w:ascii="Calibri Light" w:eastAsia="Calibri Light" w:hAnsi="Calibri Light" w:cs="Times New Roman"/>
          <w:color w:val="495965"/>
        </w:rPr>
        <w:t xml:space="preserve"> activities</w:t>
      </w:r>
      <w:r w:rsidR="00A36A1C" w:rsidRPr="00C92066">
        <w:rPr>
          <w:rFonts w:ascii="Calibri Light" w:eastAsia="Calibri Light" w:hAnsi="Calibri Light" w:cs="Times New Roman"/>
          <w:color w:val="495965"/>
        </w:rPr>
        <w:t xml:space="preserve">. Our support to the Fiji Parliament </w:t>
      </w:r>
      <w:r w:rsidR="0089169A">
        <w:rPr>
          <w:rFonts w:ascii="Calibri Light" w:eastAsia="Calibri Light" w:hAnsi="Calibri Light" w:cs="Times New Roman"/>
          <w:color w:val="495965"/>
        </w:rPr>
        <w:t xml:space="preserve">has improved </w:t>
      </w:r>
      <w:r w:rsidR="000A1410">
        <w:rPr>
          <w:rFonts w:ascii="Calibri Light" w:eastAsia="Calibri Light" w:hAnsi="Calibri Light" w:cs="Times New Roman"/>
          <w:color w:val="495965"/>
        </w:rPr>
        <w:t>its</w:t>
      </w:r>
      <w:r w:rsidR="0089169A">
        <w:rPr>
          <w:rFonts w:ascii="Calibri Light" w:eastAsia="Calibri Light" w:hAnsi="Calibri Light" w:cs="Times New Roman"/>
          <w:color w:val="495965"/>
        </w:rPr>
        <w:t xml:space="preserve"> capacity for </w:t>
      </w:r>
      <w:r w:rsidR="000A1410">
        <w:rPr>
          <w:rFonts w:ascii="Calibri Light" w:eastAsia="Calibri Light" w:hAnsi="Calibri Light" w:cs="Times New Roman"/>
          <w:color w:val="495965"/>
        </w:rPr>
        <w:t xml:space="preserve">both </w:t>
      </w:r>
      <w:r w:rsidR="00A36A1C">
        <w:rPr>
          <w:rFonts w:ascii="Calibri Light" w:eastAsia="Calibri Light" w:hAnsi="Calibri Light" w:cs="Times New Roman"/>
          <w:color w:val="495965"/>
        </w:rPr>
        <w:t>g</w:t>
      </w:r>
      <w:r w:rsidR="00A36A1C" w:rsidRPr="0005589E">
        <w:rPr>
          <w:rFonts w:ascii="Calibri Light" w:eastAsia="Calibri Light" w:hAnsi="Calibri Light" w:cs="Times New Roman"/>
          <w:color w:val="495965"/>
        </w:rPr>
        <w:t xml:space="preserve">eneral </w:t>
      </w:r>
      <w:r w:rsidR="00A36A1C">
        <w:rPr>
          <w:rFonts w:ascii="Calibri Light" w:eastAsia="Calibri Light" w:hAnsi="Calibri Light" w:cs="Times New Roman"/>
          <w:color w:val="495965"/>
        </w:rPr>
        <w:t>p</w:t>
      </w:r>
      <w:r w:rsidR="00A36A1C" w:rsidRPr="0005589E">
        <w:rPr>
          <w:rFonts w:ascii="Calibri Light" w:eastAsia="Calibri Light" w:hAnsi="Calibri Light" w:cs="Times New Roman"/>
          <w:color w:val="495965"/>
        </w:rPr>
        <w:t xml:space="preserve">ublic </w:t>
      </w:r>
      <w:r w:rsidR="00A36A1C">
        <w:rPr>
          <w:rFonts w:ascii="Calibri Light" w:eastAsia="Calibri Light" w:hAnsi="Calibri Light" w:cs="Times New Roman"/>
          <w:color w:val="495965"/>
        </w:rPr>
        <w:t>o</w:t>
      </w:r>
      <w:r w:rsidR="00A36A1C" w:rsidRPr="0005589E">
        <w:rPr>
          <w:rFonts w:ascii="Calibri Light" w:eastAsia="Calibri Light" w:hAnsi="Calibri Light" w:cs="Times New Roman"/>
          <w:color w:val="495965"/>
        </w:rPr>
        <w:t>utreach</w:t>
      </w:r>
      <w:r w:rsidR="0089169A">
        <w:rPr>
          <w:rFonts w:ascii="Calibri Light" w:eastAsia="Calibri Light" w:hAnsi="Calibri Light" w:cs="Times New Roman"/>
          <w:color w:val="495965"/>
        </w:rPr>
        <w:t xml:space="preserve"> and</w:t>
      </w:r>
      <w:r w:rsidR="00A36A1C">
        <w:rPr>
          <w:rFonts w:ascii="Calibri Light" w:eastAsia="Calibri Light" w:hAnsi="Calibri Light" w:cs="Times New Roman"/>
          <w:color w:val="495965"/>
        </w:rPr>
        <w:t xml:space="preserve"> </w:t>
      </w:r>
      <w:r w:rsidR="003A2B5E">
        <w:rPr>
          <w:rFonts w:ascii="Calibri Light" w:eastAsia="Calibri Light" w:hAnsi="Calibri Light" w:cs="Times New Roman"/>
          <w:color w:val="495965"/>
        </w:rPr>
        <w:t>r</w:t>
      </w:r>
      <w:r w:rsidR="003A2B5E" w:rsidRPr="0005589E">
        <w:rPr>
          <w:rFonts w:ascii="Calibri Light" w:eastAsia="Calibri Light" w:hAnsi="Calibri Light" w:cs="Times New Roman"/>
          <w:color w:val="495965"/>
        </w:rPr>
        <w:t xml:space="preserve">esearch and </w:t>
      </w:r>
      <w:r w:rsidR="003A2B5E">
        <w:rPr>
          <w:rFonts w:ascii="Calibri Light" w:eastAsia="Calibri Light" w:hAnsi="Calibri Light" w:cs="Times New Roman"/>
          <w:color w:val="495965"/>
        </w:rPr>
        <w:t>a</w:t>
      </w:r>
      <w:r w:rsidR="003A2B5E" w:rsidRPr="0005589E">
        <w:rPr>
          <w:rFonts w:ascii="Calibri Light" w:eastAsia="Calibri Light" w:hAnsi="Calibri Light" w:cs="Times New Roman"/>
          <w:color w:val="495965"/>
        </w:rPr>
        <w:t>nalysis</w:t>
      </w:r>
      <w:r w:rsidR="00A36A1C" w:rsidRPr="0005589E">
        <w:rPr>
          <w:rFonts w:ascii="Calibri Light" w:eastAsia="Calibri Light" w:hAnsi="Calibri Light" w:cs="Times New Roman"/>
          <w:color w:val="495965"/>
        </w:rPr>
        <w:t>.</w:t>
      </w:r>
      <w:r w:rsidR="00A36A1C">
        <w:rPr>
          <w:rFonts w:ascii="Calibri Light" w:eastAsia="Calibri Light" w:hAnsi="Calibri Light" w:cs="Times New Roman"/>
          <w:color w:val="495965"/>
        </w:rPr>
        <w:t xml:space="preserve"> </w:t>
      </w:r>
      <w:r w:rsidR="00A36A1C" w:rsidRPr="00C92066">
        <w:rPr>
          <w:rFonts w:ascii="Calibri Light" w:eastAsia="Calibri Light" w:hAnsi="Calibri Light" w:cs="Times New Roman"/>
          <w:color w:val="495965"/>
        </w:rPr>
        <w:t xml:space="preserve">Australia </w:t>
      </w:r>
      <w:r w:rsidR="00207A2A">
        <w:rPr>
          <w:rFonts w:ascii="Calibri Light" w:eastAsia="Calibri Light" w:hAnsi="Calibri Light" w:cs="Times New Roman"/>
          <w:color w:val="495965"/>
        </w:rPr>
        <w:t xml:space="preserve">also </w:t>
      </w:r>
      <w:r w:rsidR="00A36A1C" w:rsidRPr="00C92066">
        <w:rPr>
          <w:rFonts w:ascii="Calibri Light" w:eastAsia="Calibri Light" w:hAnsi="Calibri Light" w:cs="Times New Roman"/>
          <w:color w:val="495965"/>
        </w:rPr>
        <w:t xml:space="preserve">continued to help more men and women earn cash-based incomes through </w:t>
      </w:r>
      <w:r w:rsidR="008F14FE" w:rsidRPr="00FF6BF0">
        <w:rPr>
          <w:rFonts w:ascii="Calibri Light" w:eastAsia="Calibri Light" w:hAnsi="Calibri Light" w:cs="Times New Roman"/>
          <w:color w:val="495965"/>
        </w:rPr>
        <w:t>market</w:t>
      </w:r>
      <w:r w:rsidR="008F14FE" w:rsidRPr="008F14FE">
        <w:rPr>
          <w:rFonts w:ascii="Calibri Light" w:eastAsia="Calibri Light" w:hAnsi="Calibri Light" w:cs="Times New Roman"/>
          <w:color w:val="495965"/>
        </w:rPr>
        <w:t xml:space="preserve"> </w:t>
      </w:r>
      <w:r w:rsidR="00A36A1C" w:rsidRPr="003F0EB8">
        <w:rPr>
          <w:rFonts w:ascii="Calibri Light" w:eastAsia="Calibri Light" w:hAnsi="Calibri Light" w:cs="Times New Roman"/>
          <w:color w:val="495965"/>
        </w:rPr>
        <w:t>development,</w:t>
      </w:r>
      <w:r w:rsidR="00A36A1C" w:rsidRPr="00C92066">
        <w:rPr>
          <w:rFonts w:ascii="Calibri Light" w:eastAsia="Calibri Light" w:hAnsi="Calibri Light" w:cs="Times New Roman"/>
          <w:color w:val="495965"/>
        </w:rPr>
        <w:t xml:space="preserve"> women’s economic empowerment and targ</w:t>
      </w:r>
      <w:r w:rsidR="007C4A07">
        <w:rPr>
          <w:rFonts w:ascii="Calibri Light" w:eastAsia="Calibri Light" w:hAnsi="Calibri Light" w:cs="Times New Roman"/>
          <w:color w:val="495965"/>
        </w:rPr>
        <w:t>eted aid-for-trade investments.</w:t>
      </w:r>
    </w:p>
    <w:p w14:paraId="1E19B580" w14:textId="77777777" w:rsidR="0018208C" w:rsidRDefault="00A36A1C" w:rsidP="0018208C">
      <w:pPr>
        <w:rPr>
          <w:rFonts w:ascii="Calibri Light" w:eastAsia="Calibri Light" w:hAnsi="Calibri Light" w:cs="Times New Roman"/>
          <w:color w:val="495965"/>
        </w:rPr>
      </w:pPr>
      <w:r w:rsidRPr="00C92066">
        <w:rPr>
          <w:rFonts w:ascii="Calibri Light" w:eastAsia="Calibri Light" w:hAnsi="Calibri Light" w:cs="Times New Roman"/>
          <w:color w:val="495965"/>
        </w:rPr>
        <w:t>The aid program</w:t>
      </w:r>
      <w:r w:rsidR="00F27056">
        <w:rPr>
          <w:rFonts w:ascii="Calibri Light" w:eastAsia="Calibri Light" w:hAnsi="Calibri Light" w:cs="Times New Roman"/>
          <w:color w:val="495965"/>
        </w:rPr>
        <w:t xml:space="preserve"> also</w:t>
      </w:r>
      <w:r w:rsidRPr="00C92066">
        <w:rPr>
          <w:rFonts w:ascii="Calibri Light" w:eastAsia="Calibri Light" w:hAnsi="Calibri Light" w:cs="Times New Roman"/>
          <w:color w:val="495965"/>
        </w:rPr>
        <w:t xml:space="preserve"> strengthened efforts to promote gender equality and expand opportunities for people with disabilities</w:t>
      </w:r>
      <w:r w:rsidRPr="00C92066">
        <w:rPr>
          <w:rFonts w:ascii="Calibri Light" w:eastAsia="Calibri Light" w:hAnsi="Calibri Light" w:cs="Times New Roman"/>
          <w:b/>
          <w:color w:val="495965"/>
        </w:rPr>
        <w:t xml:space="preserve">. </w:t>
      </w:r>
      <w:r w:rsidR="00754879">
        <w:t>In</w:t>
      </w:r>
      <w:r w:rsidR="00754879" w:rsidRPr="00BF385C">
        <w:t xml:space="preserve"> </w:t>
      </w:r>
      <w:r w:rsidR="00754879">
        <w:t>2015-16</w:t>
      </w:r>
      <w:r w:rsidR="00F27056">
        <w:t>,</w:t>
      </w:r>
      <w:r w:rsidR="00754879">
        <w:t xml:space="preserve"> we</w:t>
      </w:r>
      <w:r w:rsidR="00754879" w:rsidRPr="00BF385C">
        <w:t xml:space="preserve"> </w:t>
      </w:r>
      <w:r w:rsidR="00754879">
        <w:t xml:space="preserve">implemented a number of activities </w:t>
      </w:r>
      <w:r w:rsidR="000A1410">
        <w:t xml:space="preserve">to </w:t>
      </w:r>
      <w:r w:rsidR="00754879">
        <w:t>advanc</w:t>
      </w:r>
      <w:r w:rsidR="000A1410">
        <w:t>e</w:t>
      </w:r>
      <w:r w:rsidR="00754879">
        <w:t xml:space="preserve"> </w:t>
      </w:r>
      <w:r w:rsidR="00754879" w:rsidRPr="00754879">
        <w:t xml:space="preserve">women’s leadership and empowerment, </w:t>
      </w:r>
      <w:r w:rsidR="00754879" w:rsidRPr="008F14FE">
        <w:t>including training journalists on domestic violence to ensure appropriate and adequate media reporting.</w:t>
      </w:r>
      <w:r w:rsidR="00754879">
        <w:t xml:space="preserve"> </w:t>
      </w:r>
      <w:r w:rsidRPr="00C92066">
        <w:rPr>
          <w:rFonts w:ascii="Calibri Light" w:eastAsia="Calibri Light" w:hAnsi="Calibri Light" w:cs="Times New Roman"/>
          <w:color w:val="495965"/>
        </w:rPr>
        <w:t xml:space="preserve">Disability inclusive design principles </w:t>
      </w:r>
      <w:r w:rsidR="0089169A">
        <w:rPr>
          <w:rFonts w:ascii="Calibri Light" w:eastAsia="Calibri Light" w:hAnsi="Calibri Light" w:cs="Times New Roman"/>
          <w:color w:val="495965"/>
        </w:rPr>
        <w:t xml:space="preserve">will </w:t>
      </w:r>
      <w:r w:rsidRPr="00C92066">
        <w:rPr>
          <w:rFonts w:ascii="Calibri Light" w:eastAsia="Calibri Light" w:hAnsi="Calibri Light" w:cs="Times New Roman"/>
          <w:color w:val="495965"/>
        </w:rPr>
        <w:t>inform the rebuilding of schools, health facilities and market places</w:t>
      </w:r>
      <w:r>
        <w:rPr>
          <w:rFonts w:ascii="Calibri Light" w:eastAsia="Calibri Light" w:hAnsi="Calibri Light" w:cs="Times New Roman"/>
          <w:color w:val="495965"/>
        </w:rPr>
        <w:t xml:space="preserve"> damaged by TC Winston</w:t>
      </w:r>
      <w:r w:rsidRPr="00C92066">
        <w:rPr>
          <w:rFonts w:ascii="Calibri Light" w:eastAsia="Calibri Light" w:hAnsi="Calibri Light" w:cs="Times New Roman"/>
          <w:color w:val="495965"/>
        </w:rPr>
        <w:t xml:space="preserve">. The </w:t>
      </w:r>
      <w:r>
        <w:rPr>
          <w:rFonts w:ascii="Calibri Light" w:eastAsia="Calibri Light" w:hAnsi="Calibri Light" w:cs="Times New Roman"/>
          <w:color w:val="495965"/>
        </w:rPr>
        <w:t xml:space="preserve">aid </w:t>
      </w:r>
      <w:r w:rsidRPr="00C92066">
        <w:rPr>
          <w:rFonts w:ascii="Calibri Light" w:eastAsia="Calibri Light" w:hAnsi="Calibri Light" w:cs="Times New Roman"/>
          <w:color w:val="495965"/>
        </w:rPr>
        <w:t xml:space="preserve">program </w:t>
      </w:r>
      <w:r w:rsidR="0018208C">
        <w:rPr>
          <w:rFonts w:ascii="Calibri Light" w:eastAsia="Calibri Light" w:hAnsi="Calibri Light" w:cs="Times New Roman"/>
          <w:color w:val="495965"/>
        </w:rPr>
        <w:t xml:space="preserve">has </w:t>
      </w:r>
      <w:r w:rsidR="000A1410">
        <w:rPr>
          <w:rFonts w:ascii="Calibri Light" w:eastAsia="Calibri Light" w:hAnsi="Calibri Light" w:cs="Times New Roman"/>
          <w:color w:val="495965"/>
        </w:rPr>
        <w:t xml:space="preserve">also </w:t>
      </w:r>
      <w:r w:rsidR="0018208C">
        <w:rPr>
          <w:rFonts w:ascii="Calibri Light" w:eastAsia="Calibri Light" w:hAnsi="Calibri Light" w:cs="Times New Roman"/>
          <w:color w:val="495965"/>
        </w:rPr>
        <w:t xml:space="preserve">taken </w:t>
      </w:r>
      <w:r w:rsidRPr="00C92066">
        <w:rPr>
          <w:rFonts w:ascii="Calibri Light" w:eastAsia="Calibri Light" w:hAnsi="Calibri Light" w:cs="Times New Roman"/>
          <w:color w:val="495965"/>
        </w:rPr>
        <w:t xml:space="preserve">a more </w:t>
      </w:r>
      <w:r>
        <w:rPr>
          <w:rFonts w:ascii="Calibri Light" w:eastAsia="Calibri Light" w:hAnsi="Calibri Light" w:cs="Times New Roman"/>
          <w:color w:val="495965"/>
        </w:rPr>
        <w:t>comprehensive</w:t>
      </w:r>
      <w:r w:rsidRPr="00C92066">
        <w:rPr>
          <w:rFonts w:ascii="Calibri Light" w:eastAsia="Calibri Light" w:hAnsi="Calibri Light" w:cs="Times New Roman"/>
          <w:color w:val="495965"/>
        </w:rPr>
        <w:t xml:space="preserve"> approach to addressing gender equality a</w:t>
      </w:r>
      <w:r>
        <w:rPr>
          <w:rFonts w:ascii="Calibri Light" w:eastAsia="Calibri Light" w:hAnsi="Calibri Light" w:cs="Times New Roman"/>
          <w:color w:val="495965"/>
        </w:rPr>
        <w:t>nd disability in other sectors</w:t>
      </w:r>
      <w:r w:rsidR="00FF6BF0">
        <w:rPr>
          <w:rFonts w:ascii="Calibri Light" w:eastAsia="Calibri Light" w:hAnsi="Calibri Light" w:cs="Times New Roman"/>
          <w:color w:val="495965"/>
        </w:rPr>
        <w:t>;</w:t>
      </w:r>
      <w:r>
        <w:rPr>
          <w:rFonts w:ascii="Calibri Light" w:eastAsia="Calibri Light" w:hAnsi="Calibri Light" w:cs="Times New Roman"/>
          <w:color w:val="495965"/>
        </w:rPr>
        <w:t xml:space="preserve"> </w:t>
      </w:r>
      <w:r w:rsidR="00FF6BF0">
        <w:rPr>
          <w:rFonts w:ascii="Calibri Light" w:eastAsia="Calibri Light" w:hAnsi="Calibri Light" w:cs="Times New Roman"/>
          <w:color w:val="495965"/>
        </w:rPr>
        <w:t>although</w:t>
      </w:r>
      <w:r w:rsidR="000A1410">
        <w:rPr>
          <w:rFonts w:ascii="Calibri Light" w:eastAsia="Calibri Light" w:hAnsi="Calibri Light" w:cs="Times New Roman"/>
          <w:color w:val="495965"/>
        </w:rPr>
        <w:t xml:space="preserve"> t</w:t>
      </w:r>
      <w:r w:rsidRPr="00C92066">
        <w:rPr>
          <w:rFonts w:ascii="Calibri Light" w:eastAsia="Calibri Light" w:hAnsi="Calibri Light" w:cs="Times New Roman"/>
          <w:color w:val="495965"/>
        </w:rPr>
        <w:t>here is still a need to more consistently c</w:t>
      </w:r>
      <w:r w:rsidR="0018208C">
        <w:rPr>
          <w:rFonts w:ascii="Calibri Light" w:eastAsia="Calibri Light" w:hAnsi="Calibri Light" w:cs="Times New Roman"/>
          <w:color w:val="495965"/>
        </w:rPr>
        <w:t xml:space="preserve">ollect sex </w:t>
      </w:r>
      <w:r w:rsidR="00207A2A">
        <w:rPr>
          <w:rFonts w:ascii="Calibri Light" w:eastAsia="Calibri Light" w:hAnsi="Calibri Light" w:cs="Times New Roman"/>
          <w:color w:val="495965"/>
        </w:rPr>
        <w:t xml:space="preserve">and disability </w:t>
      </w:r>
      <w:r w:rsidR="0018208C">
        <w:rPr>
          <w:rFonts w:ascii="Calibri Light" w:eastAsia="Calibri Light" w:hAnsi="Calibri Light" w:cs="Times New Roman"/>
          <w:color w:val="495965"/>
        </w:rPr>
        <w:t xml:space="preserve">disaggregated data. </w:t>
      </w:r>
    </w:p>
    <w:p w14:paraId="5B54A11A" w14:textId="77777777" w:rsidR="009C7391" w:rsidRPr="0018208C" w:rsidRDefault="00A36A1C" w:rsidP="0018208C">
      <w:pPr>
        <w:rPr>
          <w:rFonts w:ascii="Calibri Light" w:eastAsia="Calibri Light" w:hAnsi="Calibri Light" w:cs="Times New Roman"/>
          <w:color w:val="495965"/>
        </w:rPr>
      </w:pPr>
      <w:r w:rsidRPr="00C92066">
        <w:rPr>
          <w:rFonts w:ascii="Calibri Light" w:eastAsia="Calibri Light" w:hAnsi="Calibri Light"/>
          <w:color w:val="495965"/>
        </w:rPr>
        <w:t xml:space="preserve">A key </w:t>
      </w:r>
      <w:r w:rsidR="000A1410">
        <w:rPr>
          <w:rFonts w:ascii="Calibri Light" w:eastAsia="Calibri Light" w:hAnsi="Calibri Light"/>
          <w:color w:val="495965"/>
        </w:rPr>
        <w:t>priority</w:t>
      </w:r>
      <w:r w:rsidRPr="00C92066">
        <w:rPr>
          <w:rFonts w:ascii="Calibri Light" w:eastAsia="Calibri Light" w:hAnsi="Calibri Light"/>
          <w:color w:val="495965"/>
        </w:rPr>
        <w:t xml:space="preserve"> for 2016-17 </w:t>
      </w:r>
      <w:r w:rsidR="000B3B74">
        <w:rPr>
          <w:rFonts w:ascii="Calibri Light" w:eastAsia="Calibri Light" w:hAnsi="Calibri Light"/>
          <w:color w:val="495965"/>
        </w:rPr>
        <w:t xml:space="preserve">and beyond </w:t>
      </w:r>
      <w:r w:rsidR="000A1410">
        <w:rPr>
          <w:rFonts w:ascii="Calibri Light" w:eastAsia="Calibri Light" w:hAnsi="Calibri Light"/>
          <w:color w:val="495965"/>
        </w:rPr>
        <w:t xml:space="preserve">will be </w:t>
      </w:r>
      <w:r w:rsidRPr="00C92066">
        <w:rPr>
          <w:rFonts w:ascii="Calibri Light" w:hAnsi="Calibri Light"/>
          <w:color w:val="495965"/>
        </w:rPr>
        <w:t xml:space="preserve">supporting Fiji’s longer-term recovery and reconstruction effort from TC Winston </w:t>
      </w:r>
      <w:r w:rsidR="006F621E">
        <w:rPr>
          <w:rFonts w:ascii="Calibri Light" w:hAnsi="Calibri Light"/>
          <w:color w:val="495965"/>
        </w:rPr>
        <w:t xml:space="preserve">by allocating the remaining </w:t>
      </w:r>
      <w:r w:rsidRPr="00C92066">
        <w:rPr>
          <w:rFonts w:ascii="Calibri Light" w:hAnsi="Calibri Light"/>
          <w:color w:val="495965"/>
        </w:rPr>
        <w:t>$16 million</w:t>
      </w:r>
      <w:r w:rsidR="00C22912">
        <w:rPr>
          <w:rFonts w:ascii="Calibri Light" w:hAnsi="Calibri Light"/>
          <w:color w:val="495965"/>
        </w:rPr>
        <w:t xml:space="preserve"> </w:t>
      </w:r>
      <w:r w:rsidR="006F621E">
        <w:rPr>
          <w:rFonts w:ascii="Calibri Light" w:hAnsi="Calibri Light"/>
          <w:color w:val="495965"/>
        </w:rPr>
        <w:t xml:space="preserve">of the $35 million assistance package announced </w:t>
      </w:r>
      <w:r w:rsidR="007B1B01">
        <w:rPr>
          <w:rFonts w:ascii="Calibri Light" w:hAnsi="Calibri Light"/>
          <w:color w:val="495965"/>
        </w:rPr>
        <w:t>by the Australian Government</w:t>
      </w:r>
      <w:r w:rsidRPr="00C92066">
        <w:rPr>
          <w:rFonts w:ascii="Calibri Light" w:hAnsi="Calibri Light"/>
          <w:color w:val="495965"/>
        </w:rPr>
        <w:t xml:space="preserve">. The Government of Fiji </w:t>
      </w:r>
      <w:r w:rsidR="006F621E">
        <w:rPr>
          <w:rFonts w:ascii="Calibri Light" w:hAnsi="Calibri Light"/>
          <w:color w:val="495965"/>
        </w:rPr>
        <w:t xml:space="preserve">is expected to </w:t>
      </w:r>
      <w:r w:rsidRPr="00C92066">
        <w:rPr>
          <w:rFonts w:ascii="Calibri Light" w:hAnsi="Calibri Light"/>
          <w:color w:val="495965"/>
        </w:rPr>
        <w:t xml:space="preserve">release </w:t>
      </w:r>
      <w:r w:rsidR="00207A2A">
        <w:rPr>
          <w:rFonts w:ascii="Calibri Light" w:hAnsi="Calibri Light"/>
          <w:color w:val="495965"/>
        </w:rPr>
        <w:t>its</w:t>
      </w:r>
      <w:r w:rsidRPr="00C92066">
        <w:rPr>
          <w:rFonts w:ascii="Calibri Light" w:hAnsi="Calibri Light"/>
          <w:color w:val="495965"/>
        </w:rPr>
        <w:t xml:space="preserve"> </w:t>
      </w:r>
      <w:r w:rsidR="0089169A">
        <w:rPr>
          <w:rFonts w:ascii="Calibri Light" w:hAnsi="Calibri Light"/>
          <w:color w:val="495965"/>
        </w:rPr>
        <w:t xml:space="preserve">5-year and 10-year </w:t>
      </w:r>
      <w:r w:rsidRPr="00C92066">
        <w:rPr>
          <w:rFonts w:ascii="Calibri Light" w:eastAsia="Calibri Light" w:hAnsi="Calibri Light"/>
          <w:color w:val="495965"/>
        </w:rPr>
        <w:t>National Development Plan</w:t>
      </w:r>
      <w:r w:rsidR="0089169A">
        <w:rPr>
          <w:rFonts w:ascii="Calibri Light" w:eastAsia="Calibri Light" w:hAnsi="Calibri Light"/>
          <w:color w:val="495965"/>
        </w:rPr>
        <w:t>s</w:t>
      </w:r>
      <w:r w:rsidR="006F621E">
        <w:rPr>
          <w:rFonts w:ascii="Calibri Light" w:eastAsia="Calibri Light" w:hAnsi="Calibri Light"/>
          <w:color w:val="495965"/>
        </w:rPr>
        <w:t xml:space="preserve"> by the end of 2016</w:t>
      </w:r>
      <w:r w:rsidR="0018208C">
        <w:rPr>
          <w:rFonts w:ascii="Calibri Light" w:eastAsia="Calibri Light" w:hAnsi="Calibri Light"/>
          <w:color w:val="495965"/>
        </w:rPr>
        <w:t>,</w:t>
      </w:r>
      <w:r w:rsidRPr="00C92066">
        <w:rPr>
          <w:rFonts w:ascii="Calibri Light" w:eastAsia="Calibri Light" w:hAnsi="Calibri Light"/>
          <w:color w:val="495965"/>
        </w:rPr>
        <w:t xml:space="preserve"> provid</w:t>
      </w:r>
      <w:r w:rsidR="006F621E">
        <w:rPr>
          <w:rFonts w:ascii="Calibri Light" w:eastAsia="Calibri Light" w:hAnsi="Calibri Light"/>
          <w:color w:val="495965"/>
        </w:rPr>
        <w:t>ing</w:t>
      </w:r>
      <w:r w:rsidRPr="00C92066">
        <w:rPr>
          <w:rFonts w:ascii="Calibri Light" w:eastAsia="Calibri Light" w:hAnsi="Calibri Light"/>
          <w:color w:val="495965"/>
        </w:rPr>
        <w:t xml:space="preserve"> the opportunity for Australia and Fiji to identify aid objectives, targets and mutual obligations with a view to finalis</w:t>
      </w:r>
      <w:r>
        <w:rPr>
          <w:rFonts w:ascii="Calibri Light" w:eastAsia="Calibri Light" w:hAnsi="Calibri Light"/>
          <w:color w:val="495965"/>
        </w:rPr>
        <w:t>ing</w:t>
      </w:r>
      <w:r w:rsidRPr="00C92066">
        <w:rPr>
          <w:rFonts w:ascii="Calibri Light" w:eastAsia="Calibri Light" w:hAnsi="Calibri Light"/>
          <w:color w:val="495965"/>
        </w:rPr>
        <w:t xml:space="preserve"> an Aid Partnership. </w:t>
      </w:r>
    </w:p>
    <w:p w14:paraId="58B545B9" w14:textId="77777777" w:rsidR="00D90B90" w:rsidRDefault="00C6626C" w:rsidP="007F27F8">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sidRPr="002A51CA">
        <w:rPr>
          <w:rFonts w:asciiTheme="majorHAnsi" w:eastAsiaTheme="majorEastAsia" w:hAnsiTheme="majorHAnsi" w:cstheme="majorBidi"/>
          <w:caps/>
          <w:color w:val="495965" w:themeColor="text2"/>
          <w:sz w:val="38"/>
          <w:szCs w:val="26"/>
          <w:lang w:val="en-GB" w:eastAsia="en-US"/>
        </w:rPr>
        <w:t xml:space="preserve">Context </w:t>
      </w:r>
    </w:p>
    <w:p w14:paraId="3D40BDE6" w14:textId="77777777" w:rsidR="00A36A1C" w:rsidRPr="00F27056" w:rsidRDefault="00A36A1C" w:rsidP="00160D8C">
      <w:pPr>
        <w:rPr>
          <w:rFonts w:ascii="Calibri Light" w:eastAsia="Calibri Light" w:hAnsi="Calibri Light" w:cs="Times New Roman"/>
          <w:color w:val="495965"/>
        </w:rPr>
      </w:pPr>
      <w:r w:rsidRPr="00F27056">
        <w:rPr>
          <w:rFonts w:ascii="Calibri Light" w:eastAsia="Calibri Light" w:hAnsi="Calibri Light" w:cs="Times New Roman"/>
          <w:color w:val="495965"/>
        </w:rPr>
        <w:t>Australia and Fiji share an enduring bilateral relationship, underpinned by strong people-to-people links and long</w:t>
      </w:r>
      <w:r w:rsidR="000A1410" w:rsidRPr="00E97964">
        <w:rPr>
          <w:rFonts w:ascii="Calibri Light" w:eastAsia="Calibri Light" w:hAnsi="Calibri Light" w:cs="Times New Roman"/>
          <w:color w:val="495965"/>
        </w:rPr>
        <w:t>-</w:t>
      </w:r>
      <w:r w:rsidRPr="00E97964">
        <w:rPr>
          <w:rFonts w:ascii="Calibri Light" w:eastAsia="Calibri Light" w:hAnsi="Calibri Light" w:cs="Times New Roman"/>
          <w:color w:val="495965"/>
        </w:rPr>
        <w:t xml:space="preserve">standing trade and investment ties. A stable and prosperous Fiji that is an active member of the Pacific community is in Australia’s national interest. </w:t>
      </w:r>
      <w:r w:rsidR="00930163" w:rsidRPr="00E97964">
        <w:rPr>
          <w:rFonts w:ascii="Calibri Light" w:eastAsia="Calibri Light" w:hAnsi="Calibri Light" w:cs="Times New Roman"/>
          <w:color w:val="495965"/>
        </w:rPr>
        <w:t>Australia is Fiji’s largest donor, accounting for approximately half of all Official D</w:t>
      </w:r>
      <w:r w:rsidR="00930163" w:rsidRPr="00BB7ADB">
        <w:rPr>
          <w:rFonts w:ascii="Calibri Light" w:eastAsia="Calibri Light" w:hAnsi="Calibri Light" w:cs="Times New Roman"/>
          <w:color w:val="495965"/>
        </w:rPr>
        <w:t>evelopment A</w:t>
      </w:r>
      <w:r w:rsidR="00930163" w:rsidRPr="00BD2BC7">
        <w:rPr>
          <w:rFonts w:ascii="Calibri Light" w:eastAsia="Calibri Light" w:hAnsi="Calibri Light" w:cs="Times New Roman"/>
          <w:color w:val="495965"/>
        </w:rPr>
        <w:t>ssistance (ODA).</w:t>
      </w:r>
      <w:r w:rsidR="00930163" w:rsidRPr="00323490">
        <w:rPr>
          <w:rFonts w:ascii="Calibri Light" w:eastAsia="Calibri Light" w:hAnsi="Calibri Light" w:cs="Times New Roman"/>
          <w:color w:val="495965"/>
        </w:rPr>
        <w:t xml:space="preserve"> </w:t>
      </w:r>
    </w:p>
    <w:p w14:paraId="77C1E569" w14:textId="77777777" w:rsidR="00A36A1C" w:rsidRPr="00C92066" w:rsidRDefault="00A36A1C" w:rsidP="00E97964">
      <w:pPr>
        <w:rPr>
          <w:rFonts w:ascii="Calibri Light" w:eastAsia="Calibri Light" w:hAnsi="Calibri Light" w:cs="Times New Roman"/>
          <w:color w:val="495965"/>
        </w:rPr>
      </w:pPr>
      <w:r w:rsidRPr="00C92066">
        <w:rPr>
          <w:rFonts w:ascii="Calibri Light" w:eastAsia="Calibri Light" w:hAnsi="Calibri Light" w:cs="Times New Roman"/>
          <w:color w:val="495965"/>
        </w:rPr>
        <w:t xml:space="preserve">2015-16 was a year of two halves for Fiji. The first half was characterised by </w:t>
      </w:r>
      <w:r w:rsidRPr="003D1F42">
        <w:rPr>
          <w:rFonts w:ascii="Calibri Light" w:eastAsia="Calibri Light" w:hAnsi="Calibri Light" w:cs="Times New Roman"/>
          <w:color w:val="495965"/>
        </w:rPr>
        <w:t xml:space="preserve">progress </w:t>
      </w:r>
      <w:r w:rsidR="00917199">
        <w:rPr>
          <w:rFonts w:ascii="Calibri Light" w:eastAsia="Calibri Light" w:hAnsi="Calibri Light" w:cs="Times New Roman"/>
          <w:color w:val="495965"/>
        </w:rPr>
        <w:t xml:space="preserve">in </w:t>
      </w:r>
      <w:r w:rsidRPr="003D1F42">
        <w:rPr>
          <w:rFonts w:ascii="Calibri Light" w:eastAsia="Calibri Light" w:hAnsi="Calibri Light" w:cs="Times New Roman"/>
          <w:color w:val="495965"/>
        </w:rPr>
        <w:t>bedding down core democratic functions and improving public sector capacity. Parliament demonstrated an increas</w:t>
      </w:r>
      <w:r w:rsidR="00C22912">
        <w:rPr>
          <w:rFonts w:ascii="Calibri Light" w:eastAsia="Calibri Light" w:hAnsi="Calibri Light" w:cs="Times New Roman"/>
          <w:color w:val="495965"/>
        </w:rPr>
        <w:t>ing</w:t>
      </w:r>
      <w:r w:rsidRPr="003D1F42">
        <w:rPr>
          <w:rFonts w:ascii="Calibri Light" w:eastAsia="Calibri Light" w:hAnsi="Calibri Light" w:cs="Times New Roman"/>
          <w:color w:val="495965"/>
        </w:rPr>
        <w:t xml:space="preserve"> confidence and robustness in </w:t>
      </w:r>
      <w:r>
        <w:rPr>
          <w:rFonts w:ascii="Calibri Light" w:eastAsia="Calibri Light" w:hAnsi="Calibri Light" w:cs="Times New Roman"/>
          <w:color w:val="495965"/>
        </w:rPr>
        <w:t>procedures and debate</w:t>
      </w:r>
      <w:r w:rsidRPr="003D1F42">
        <w:rPr>
          <w:rFonts w:ascii="Calibri Light" w:eastAsia="Calibri Light" w:hAnsi="Calibri Light" w:cs="Times New Roman"/>
          <w:color w:val="495965"/>
        </w:rPr>
        <w:t>. In February</w:t>
      </w:r>
      <w:r>
        <w:rPr>
          <w:rFonts w:ascii="Calibri Light" w:eastAsia="Calibri Light" w:hAnsi="Calibri Light" w:cs="Times New Roman"/>
          <w:color w:val="495965"/>
        </w:rPr>
        <w:t>,</w:t>
      </w:r>
      <w:r w:rsidRPr="003D1F42">
        <w:rPr>
          <w:rFonts w:ascii="Calibri Light" w:eastAsia="Calibri Light" w:hAnsi="Calibri Light" w:cs="Times New Roman"/>
          <w:color w:val="495965"/>
        </w:rPr>
        <w:t xml:space="preserve"> Fiji appointed </w:t>
      </w:r>
      <w:r w:rsidR="0077596D">
        <w:rPr>
          <w:rFonts w:ascii="Calibri Light" w:eastAsia="Calibri Light" w:hAnsi="Calibri Light" w:cs="Times New Roman"/>
          <w:color w:val="495965"/>
        </w:rPr>
        <w:t>17</w:t>
      </w:r>
      <w:r w:rsidRPr="003D1F42">
        <w:rPr>
          <w:rFonts w:ascii="Calibri Light" w:eastAsia="Calibri Light" w:hAnsi="Calibri Light" w:cs="Times New Roman"/>
          <w:color w:val="495965"/>
        </w:rPr>
        <w:t xml:space="preserve"> new </w:t>
      </w:r>
      <w:r w:rsidR="00FA7C97">
        <w:rPr>
          <w:rFonts w:ascii="Calibri Light" w:eastAsia="Calibri Light" w:hAnsi="Calibri Light" w:cs="Times New Roman"/>
          <w:color w:val="495965"/>
        </w:rPr>
        <w:t>P</w:t>
      </w:r>
      <w:r w:rsidRPr="003D1F42">
        <w:rPr>
          <w:rFonts w:ascii="Calibri Light" w:eastAsia="Calibri Light" w:hAnsi="Calibri Light" w:cs="Times New Roman"/>
          <w:color w:val="495965"/>
        </w:rPr>
        <w:t xml:space="preserve">ermanent </w:t>
      </w:r>
      <w:r w:rsidR="00FA7C97">
        <w:rPr>
          <w:rFonts w:ascii="Calibri Light" w:eastAsia="Calibri Light" w:hAnsi="Calibri Light" w:cs="Times New Roman"/>
          <w:color w:val="495965"/>
        </w:rPr>
        <w:t>S</w:t>
      </w:r>
      <w:r w:rsidRPr="003D1F42">
        <w:rPr>
          <w:rFonts w:ascii="Calibri Light" w:eastAsia="Calibri Light" w:hAnsi="Calibri Light" w:cs="Times New Roman"/>
          <w:color w:val="495965"/>
        </w:rPr>
        <w:t xml:space="preserve">ecretaries to head government </w:t>
      </w:r>
      <w:r w:rsidR="003270F8">
        <w:rPr>
          <w:rFonts w:ascii="Calibri Light" w:eastAsia="Calibri Light" w:hAnsi="Calibri Light" w:cs="Times New Roman"/>
          <w:color w:val="495965"/>
        </w:rPr>
        <w:t>ministries</w:t>
      </w:r>
      <w:r w:rsidRPr="003D1F42">
        <w:rPr>
          <w:rFonts w:ascii="Calibri Light" w:eastAsia="Calibri Light" w:hAnsi="Calibri Light" w:cs="Times New Roman"/>
          <w:color w:val="495965"/>
        </w:rPr>
        <w:t>, improving stability within the public service</w:t>
      </w:r>
      <w:r w:rsidR="0077596D">
        <w:rPr>
          <w:rFonts w:ascii="Calibri Light" w:eastAsia="Calibri Light" w:hAnsi="Calibri Light" w:cs="Times New Roman"/>
          <w:color w:val="495965"/>
        </w:rPr>
        <w:t>.</w:t>
      </w:r>
    </w:p>
    <w:p w14:paraId="648AEA93" w14:textId="77777777" w:rsidR="00A36A1C" w:rsidRPr="00C92066" w:rsidRDefault="00A1307E" w:rsidP="00A36A1C">
      <w:pPr>
        <w:tabs>
          <w:tab w:val="left" w:pos="284"/>
        </w:tabs>
        <w:suppressAutoHyphens w:val="0"/>
        <w:rPr>
          <w:rFonts w:ascii="Calibri Light" w:eastAsia="Calibri Light" w:hAnsi="Calibri Light" w:cs="Times New Roman"/>
          <w:color w:val="495965"/>
        </w:rPr>
      </w:pPr>
      <w:r>
        <w:rPr>
          <w:rFonts w:ascii="Calibri Light" w:eastAsia="Calibri Light" w:hAnsi="Calibri Light" w:cs="Times New Roman"/>
          <w:color w:val="495965"/>
        </w:rPr>
        <w:lastRenderedPageBreak/>
        <w:t xml:space="preserve">However, </w:t>
      </w:r>
      <w:r w:rsidR="00A36A1C" w:rsidRPr="00C92066">
        <w:rPr>
          <w:rFonts w:ascii="Calibri Light" w:eastAsia="Calibri Light" w:hAnsi="Calibri Light" w:cs="Times New Roman"/>
          <w:color w:val="495965"/>
        </w:rPr>
        <w:t xml:space="preserve">in February Fiji was hit by its strongest cyclone ever recorded. TC Winston caused 44 deaths and affected </w:t>
      </w:r>
      <w:r w:rsidR="00774D30">
        <w:rPr>
          <w:rFonts w:ascii="Calibri Light" w:eastAsia="Calibri Light" w:hAnsi="Calibri Light" w:cs="Times New Roman"/>
          <w:color w:val="495965"/>
        </w:rPr>
        <w:t>almost two</w:t>
      </w:r>
      <w:r w:rsidR="00A36A1C" w:rsidRPr="00C92066">
        <w:rPr>
          <w:rFonts w:ascii="Calibri Light" w:eastAsia="Calibri Light" w:hAnsi="Calibri Light" w:cs="Times New Roman"/>
          <w:color w:val="495965"/>
        </w:rPr>
        <w:t>-third</w:t>
      </w:r>
      <w:r w:rsidR="00774D30">
        <w:rPr>
          <w:rFonts w:ascii="Calibri Light" w:eastAsia="Calibri Light" w:hAnsi="Calibri Light" w:cs="Times New Roman"/>
          <w:color w:val="495965"/>
        </w:rPr>
        <w:t>s</w:t>
      </w:r>
      <w:r w:rsidR="00A36A1C" w:rsidRPr="00C92066">
        <w:rPr>
          <w:rFonts w:ascii="Calibri Light" w:eastAsia="Calibri Light" w:hAnsi="Calibri Light" w:cs="Times New Roman"/>
          <w:color w:val="495965"/>
        </w:rPr>
        <w:t xml:space="preserve"> of Fiji’s population. The disaster </w:t>
      </w:r>
      <w:r w:rsidR="00B26FB3">
        <w:rPr>
          <w:rFonts w:ascii="Calibri Light" w:eastAsia="Calibri Light" w:hAnsi="Calibri Light" w:cs="Times New Roman"/>
          <w:color w:val="495965"/>
        </w:rPr>
        <w:t xml:space="preserve">is estimated to have caused </w:t>
      </w:r>
      <w:r w:rsidR="00323490">
        <w:rPr>
          <w:rFonts w:ascii="Calibri Light" w:eastAsia="Calibri Light" w:hAnsi="Calibri Light" w:cs="Times New Roman"/>
          <w:color w:val="495965"/>
        </w:rPr>
        <w:t>$</w:t>
      </w:r>
      <w:r w:rsidR="00A36A1C" w:rsidRPr="00C92066">
        <w:rPr>
          <w:rFonts w:ascii="Calibri Light" w:eastAsia="Calibri Light" w:hAnsi="Calibri Light" w:cs="Times New Roman"/>
          <w:color w:val="495965"/>
        </w:rPr>
        <w:t>1.</w:t>
      </w:r>
      <w:r w:rsidR="00FD2B08">
        <w:rPr>
          <w:rFonts w:ascii="Calibri Light" w:eastAsia="Calibri Light" w:hAnsi="Calibri Light" w:cs="Times New Roman"/>
          <w:color w:val="495965"/>
        </w:rPr>
        <w:t>3</w:t>
      </w:r>
      <w:r w:rsidR="00FD2B08" w:rsidRPr="00C92066">
        <w:rPr>
          <w:rFonts w:ascii="Calibri Light" w:eastAsia="Calibri Light" w:hAnsi="Calibri Light" w:cs="Times New Roman"/>
          <w:color w:val="495965"/>
        </w:rPr>
        <w:t xml:space="preserve"> </w:t>
      </w:r>
      <w:r w:rsidR="00A36A1C" w:rsidRPr="00C92066">
        <w:rPr>
          <w:rFonts w:ascii="Calibri Light" w:eastAsia="Calibri Light" w:hAnsi="Calibri Light" w:cs="Times New Roman"/>
          <w:color w:val="495965"/>
        </w:rPr>
        <w:t>billion worth of damage, equal to almost 20 per cent of GDP.</w:t>
      </w:r>
      <w:r w:rsidR="00A36A1C">
        <w:rPr>
          <w:rStyle w:val="FootnoteReference"/>
          <w:rFonts w:ascii="Calibri Light" w:eastAsia="Calibri Light" w:hAnsi="Calibri Light" w:cs="Times New Roman"/>
          <w:color w:val="495965"/>
        </w:rPr>
        <w:footnoteReference w:id="2"/>
      </w:r>
      <w:r w:rsidR="00A36A1C" w:rsidRPr="00C92066">
        <w:rPr>
          <w:rFonts w:ascii="Calibri Light" w:eastAsia="Calibri Light" w:hAnsi="Calibri Light" w:cs="Times New Roman"/>
          <w:color w:val="495965"/>
        </w:rPr>
        <w:t xml:space="preserve">  A state of emergency was put in place until 19 April and the Government of Fiji demonstrated strong leadership in coordinating the extensive relief effort.  </w:t>
      </w:r>
    </w:p>
    <w:p w14:paraId="4055E5F0" w14:textId="77777777" w:rsidR="00A36A1C" w:rsidRPr="00C92066" w:rsidRDefault="00F27056" w:rsidP="00A36A1C">
      <w:pPr>
        <w:rPr>
          <w:rFonts w:ascii="Calibri Light" w:eastAsia="Calibri Light" w:hAnsi="Calibri Light" w:cs="Times New Roman"/>
          <w:color w:val="495965"/>
        </w:rPr>
      </w:pPr>
      <w:r>
        <w:rPr>
          <w:rFonts w:ascii="Calibri Light" w:eastAsia="Calibri Light" w:hAnsi="Calibri Light" w:cs="Times New Roman"/>
          <w:color w:val="495965"/>
        </w:rPr>
        <w:t>T</w:t>
      </w:r>
      <w:r w:rsidR="00A36A1C" w:rsidRPr="00C92066">
        <w:rPr>
          <w:rFonts w:ascii="Calibri Light" w:eastAsia="Calibri Light" w:hAnsi="Calibri Light" w:cs="Times New Roman"/>
          <w:color w:val="495965"/>
        </w:rPr>
        <w:t>he fundamentals of Fiji’s economy remain sound. In 2015</w:t>
      </w:r>
      <w:r w:rsidR="00FA7C97">
        <w:rPr>
          <w:rFonts w:ascii="Calibri Light" w:eastAsia="Calibri Light" w:hAnsi="Calibri Light" w:cs="Times New Roman"/>
          <w:color w:val="495965"/>
        </w:rPr>
        <w:t>,</w:t>
      </w:r>
      <w:r w:rsidR="00A36A1C" w:rsidRPr="00C92066">
        <w:rPr>
          <w:rFonts w:ascii="Calibri Light" w:eastAsia="Calibri Light" w:hAnsi="Calibri Light" w:cs="Times New Roman"/>
          <w:color w:val="495965"/>
        </w:rPr>
        <w:t xml:space="preserve"> GDP </w:t>
      </w:r>
      <w:r w:rsidR="00A36A1C">
        <w:rPr>
          <w:rFonts w:ascii="Calibri Light" w:eastAsia="Calibri Light" w:hAnsi="Calibri Light" w:cs="Times New Roman"/>
          <w:color w:val="495965"/>
        </w:rPr>
        <w:t>grew</w:t>
      </w:r>
      <w:r w:rsidR="00A36A1C" w:rsidRPr="00C92066">
        <w:rPr>
          <w:rFonts w:ascii="Calibri Light" w:eastAsia="Calibri Light" w:hAnsi="Calibri Light" w:cs="Times New Roman"/>
          <w:color w:val="495965"/>
        </w:rPr>
        <w:t xml:space="preserve"> by 4.2 per cent - the seventh consecutive year of growth. </w:t>
      </w:r>
      <w:r>
        <w:rPr>
          <w:rFonts w:ascii="Calibri Light" w:eastAsia="Calibri Light" w:hAnsi="Calibri Light" w:cs="Times New Roman"/>
          <w:color w:val="495965"/>
        </w:rPr>
        <w:t>F</w:t>
      </w:r>
      <w:r w:rsidR="00A36A1C">
        <w:rPr>
          <w:rFonts w:ascii="Calibri Light" w:eastAsia="Calibri Light" w:hAnsi="Calibri Light" w:cs="Times New Roman"/>
          <w:color w:val="495965"/>
        </w:rPr>
        <w:t xml:space="preserve">ollowing TC Winston growth has been revised down from 3.5 per cent </w:t>
      </w:r>
      <w:r w:rsidR="00A36A1C" w:rsidRPr="00C92066">
        <w:rPr>
          <w:rFonts w:ascii="Calibri Light" w:eastAsia="Calibri Light" w:hAnsi="Calibri Light" w:cs="Times New Roman"/>
          <w:color w:val="495965"/>
        </w:rPr>
        <w:t xml:space="preserve">to 2.4 per cent </w:t>
      </w:r>
      <w:r w:rsidR="00A36A1C">
        <w:rPr>
          <w:rFonts w:ascii="Calibri Light" w:eastAsia="Calibri Light" w:hAnsi="Calibri Light" w:cs="Times New Roman"/>
          <w:color w:val="495965"/>
        </w:rPr>
        <w:t>for 2016</w:t>
      </w:r>
      <w:r w:rsidR="00917199">
        <w:rPr>
          <w:rFonts w:ascii="Calibri Light" w:eastAsia="Calibri Light" w:hAnsi="Calibri Light" w:cs="Times New Roman"/>
          <w:color w:val="495965"/>
        </w:rPr>
        <w:t xml:space="preserve"> and t</w:t>
      </w:r>
      <w:r w:rsidR="00A36A1C">
        <w:rPr>
          <w:rFonts w:ascii="Calibri Light" w:eastAsia="Calibri Light" w:hAnsi="Calibri Light" w:cs="Times New Roman"/>
          <w:color w:val="495965"/>
        </w:rPr>
        <w:t xml:space="preserve">he </w:t>
      </w:r>
      <w:r w:rsidR="00917199">
        <w:rPr>
          <w:rFonts w:ascii="Calibri Light" w:eastAsia="Calibri Light" w:hAnsi="Calibri Light" w:cs="Times New Roman"/>
          <w:color w:val="495965"/>
        </w:rPr>
        <w:t>g</w:t>
      </w:r>
      <w:r w:rsidR="00A36A1C" w:rsidRPr="00C92066">
        <w:rPr>
          <w:rFonts w:ascii="Calibri Light" w:eastAsia="Calibri Light" w:hAnsi="Calibri Light" w:cs="Times New Roman"/>
          <w:color w:val="495965"/>
        </w:rPr>
        <w:t xml:space="preserve">overnment estimates that it will take ten years </w:t>
      </w:r>
      <w:r w:rsidR="00917199">
        <w:rPr>
          <w:rFonts w:ascii="Calibri Light" w:eastAsia="Calibri Light" w:hAnsi="Calibri Light" w:cs="Times New Roman"/>
          <w:color w:val="495965"/>
        </w:rPr>
        <w:t xml:space="preserve">for production </w:t>
      </w:r>
      <w:r w:rsidR="00A36A1C" w:rsidRPr="00C92066">
        <w:rPr>
          <w:rFonts w:ascii="Calibri Light" w:eastAsia="Calibri Light" w:hAnsi="Calibri Light" w:cs="Times New Roman"/>
          <w:color w:val="495965"/>
        </w:rPr>
        <w:t>to return to pre-cyclone levels.</w:t>
      </w:r>
      <w:r w:rsidR="00917199">
        <w:rPr>
          <w:rStyle w:val="FootnoteReference"/>
          <w:rFonts w:ascii="Calibri Light" w:eastAsia="Calibri Light" w:hAnsi="Calibri Light" w:cs="Times New Roman"/>
          <w:color w:val="495965"/>
        </w:rPr>
        <w:footnoteReference w:id="3"/>
      </w:r>
      <w:r w:rsidR="00917199">
        <w:rPr>
          <w:rFonts w:ascii="Calibri Light" w:eastAsia="Calibri Light" w:hAnsi="Calibri Light" w:cs="Times New Roman"/>
          <w:color w:val="495965"/>
        </w:rPr>
        <w:t xml:space="preserve"> </w:t>
      </w:r>
      <w:r w:rsidR="00A36A1C" w:rsidRPr="00C92066">
        <w:rPr>
          <w:rFonts w:ascii="Calibri Light" w:eastAsia="Calibri Light" w:hAnsi="Calibri Light" w:cs="Times New Roman"/>
          <w:color w:val="495965"/>
        </w:rPr>
        <w:t xml:space="preserve"> While public debt has increased to finance reconstruction, the </w:t>
      </w:r>
      <w:r w:rsidR="00A36A1C" w:rsidRPr="00FA7C97">
        <w:rPr>
          <w:rFonts w:ascii="Calibri Light" w:eastAsia="Calibri Light" w:hAnsi="Calibri Light" w:cs="Times New Roman"/>
          <w:color w:val="495965"/>
        </w:rPr>
        <w:t>I</w:t>
      </w:r>
      <w:r w:rsidR="007C4A07" w:rsidRPr="00FA7C97">
        <w:rPr>
          <w:rFonts w:ascii="Calibri Light" w:eastAsia="Calibri Light" w:hAnsi="Calibri Light" w:cs="Times New Roman"/>
          <w:color w:val="495965"/>
        </w:rPr>
        <w:t xml:space="preserve">nternational </w:t>
      </w:r>
      <w:r w:rsidR="00A36A1C" w:rsidRPr="00FA7C97">
        <w:rPr>
          <w:rFonts w:ascii="Calibri Light" w:eastAsia="Calibri Light" w:hAnsi="Calibri Light" w:cs="Times New Roman"/>
          <w:color w:val="495965"/>
        </w:rPr>
        <w:t>M</w:t>
      </w:r>
      <w:r w:rsidR="007C4A07" w:rsidRPr="00FA7C97">
        <w:rPr>
          <w:rFonts w:ascii="Calibri Light" w:eastAsia="Calibri Light" w:hAnsi="Calibri Light" w:cs="Times New Roman"/>
          <w:color w:val="495965"/>
        </w:rPr>
        <w:t xml:space="preserve">onetary </w:t>
      </w:r>
      <w:r w:rsidR="00A36A1C" w:rsidRPr="00FA7C97">
        <w:rPr>
          <w:rFonts w:ascii="Calibri Light" w:eastAsia="Calibri Light" w:hAnsi="Calibri Light" w:cs="Times New Roman"/>
          <w:color w:val="495965"/>
        </w:rPr>
        <w:t>F</w:t>
      </w:r>
      <w:r w:rsidR="007C4A07" w:rsidRPr="00FA7C97">
        <w:rPr>
          <w:rFonts w:ascii="Calibri Light" w:eastAsia="Calibri Light" w:hAnsi="Calibri Light" w:cs="Times New Roman"/>
          <w:color w:val="495965"/>
        </w:rPr>
        <w:t>und</w:t>
      </w:r>
      <w:r w:rsidR="00A36A1C" w:rsidRPr="00C92066">
        <w:rPr>
          <w:rFonts w:ascii="Calibri Light" w:eastAsia="Calibri Light" w:hAnsi="Calibri Light" w:cs="Times New Roman"/>
          <w:color w:val="495965"/>
        </w:rPr>
        <w:t xml:space="preserve"> assesses it to be at manageable levels.</w:t>
      </w:r>
    </w:p>
    <w:p w14:paraId="3A630E8A" w14:textId="77777777" w:rsidR="00A36A1C" w:rsidRPr="00C92066" w:rsidRDefault="00A36A1C" w:rsidP="00A36A1C">
      <w:pPr>
        <w:rPr>
          <w:rFonts w:ascii="Calibri Light" w:eastAsia="Calibri Light" w:hAnsi="Calibri Light" w:cs="Times New Roman"/>
          <w:iCs/>
          <w:color w:val="495965"/>
        </w:rPr>
      </w:pPr>
      <w:r w:rsidRPr="00C92066">
        <w:rPr>
          <w:rFonts w:ascii="Calibri Light" w:eastAsia="Calibri Light" w:hAnsi="Calibri Light" w:cs="Times New Roman"/>
          <w:iCs/>
          <w:color w:val="495965"/>
        </w:rPr>
        <w:t xml:space="preserve">Tourism remains Fiji’s main source of foreign exchange and visitor numbers grow steadily each year, reaching 750,000 in 2015 – a new record.  Australia remains Fiji’s largest tourism market, accounting for 49 per cent of visitor arrivals in 2015. </w:t>
      </w:r>
      <w:r w:rsidR="0077596D">
        <w:rPr>
          <w:rFonts w:ascii="Calibri Light" w:eastAsia="Calibri Light" w:hAnsi="Calibri Light" w:cs="Times New Roman"/>
          <w:iCs/>
          <w:color w:val="495965"/>
        </w:rPr>
        <w:t>T</w:t>
      </w:r>
      <w:r w:rsidRPr="00C92066">
        <w:rPr>
          <w:rFonts w:ascii="Calibri Light" w:eastAsia="Calibri Light" w:hAnsi="Calibri Light" w:cs="Times New Roman"/>
          <w:iCs/>
          <w:color w:val="495965"/>
        </w:rPr>
        <w:t>ourist arrivals from January to June 2016 were higher than during the same period in 2015 indicating that TC Winston has not dampened demand. The agricultural sector is a different story. It has been in long-term decline, particularly due to changing trade preferences for sugar, and TC Winston caused significant damage to crops and farming infrastructure. In 2016</w:t>
      </w:r>
      <w:r w:rsidR="0018208C">
        <w:rPr>
          <w:rFonts w:ascii="Calibri Light" w:eastAsia="Calibri Light" w:hAnsi="Calibri Light" w:cs="Times New Roman"/>
          <w:iCs/>
          <w:color w:val="495965"/>
        </w:rPr>
        <w:t>,</w:t>
      </w:r>
      <w:r w:rsidRPr="00C92066">
        <w:rPr>
          <w:rFonts w:ascii="Calibri Light" w:eastAsia="Calibri Light" w:hAnsi="Calibri Light" w:cs="Times New Roman"/>
          <w:iCs/>
          <w:color w:val="495965"/>
        </w:rPr>
        <w:t xml:space="preserve"> the agricultural sector is expected to contract by 11 per cent.</w:t>
      </w:r>
      <w:r>
        <w:rPr>
          <w:rStyle w:val="FootnoteReference"/>
          <w:rFonts w:ascii="Calibri Light" w:eastAsia="Calibri Light" w:hAnsi="Calibri Light" w:cs="Times New Roman"/>
          <w:iCs/>
          <w:color w:val="495965"/>
        </w:rPr>
        <w:footnoteReference w:id="4"/>
      </w:r>
    </w:p>
    <w:p w14:paraId="0531A29F" w14:textId="77777777" w:rsidR="00A36A1C" w:rsidRPr="00C92066" w:rsidRDefault="00A36A1C" w:rsidP="00A36A1C">
      <w:pPr>
        <w:rPr>
          <w:rFonts w:ascii="Calibri Light" w:eastAsia="Calibri Light" w:hAnsi="Calibri Light" w:cs="Times New Roman"/>
          <w:color w:val="495965"/>
        </w:rPr>
      </w:pPr>
      <w:r w:rsidRPr="00C92066">
        <w:rPr>
          <w:rFonts w:ascii="Calibri Light" w:eastAsia="Calibri Light" w:hAnsi="Calibri Light" w:cs="Times New Roman"/>
          <w:color w:val="495965"/>
        </w:rPr>
        <w:t>To support growth, the Government</w:t>
      </w:r>
      <w:r w:rsidR="001554F5">
        <w:rPr>
          <w:rFonts w:ascii="Calibri Light" w:eastAsia="Calibri Light" w:hAnsi="Calibri Light" w:cs="Times New Roman"/>
          <w:color w:val="495965"/>
        </w:rPr>
        <w:t xml:space="preserve"> of Fiji</w:t>
      </w:r>
      <w:r w:rsidRPr="00C92066">
        <w:rPr>
          <w:rFonts w:ascii="Calibri Light" w:eastAsia="Calibri Light" w:hAnsi="Calibri Light" w:cs="Times New Roman"/>
          <w:color w:val="495965"/>
        </w:rPr>
        <w:t xml:space="preserve"> continues to invest in infrastructure and implement structural reforms, including state owned enterprise reform, public sector reform and streamlining business and investment regulations. Deepening external trade remains a government priority, with Fiji participating in PACER Plus trade negotiations and the recently finalised Melanesian Free Trade Agreement. Fiji was ranked 88 out of 189 countries in the World Bank’s Doing Business Index in 2016</w:t>
      </w:r>
      <w:r w:rsidR="001554F5">
        <w:rPr>
          <w:rFonts w:ascii="Calibri Light" w:eastAsia="Calibri Light" w:hAnsi="Calibri Light" w:cs="Times New Roman"/>
          <w:color w:val="495965"/>
        </w:rPr>
        <w:t>.</w:t>
      </w:r>
      <w:r w:rsidRPr="00C92066">
        <w:rPr>
          <w:rFonts w:ascii="Calibri Light" w:eastAsia="Calibri Light" w:hAnsi="Calibri Light" w:cs="Times New Roman"/>
          <w:color w:val="495965"/>
        </w:rPr>
        <w:t xml:space="preserve"> </w:t>
      </w:r>
      <w:r w:rsidR="001554F5">
        <w:rPr>
          <w:rFonts w:ascii="Calibri Light" w:eastAsia="Calibri Light" w:hAnsi="Calibri Light" w:cs="Times New Roman"/>
          <w:color w:val="495965"/>
        </w:rPr>
        <w:t>S</w:t>
      </w:r>
      <w:r w:rsidRPr="00C92066">
        <w:rPr>
          <w:rFonts w:ascii="Calibri Light" w:eastAsia="Calibri Light" w:hAnsi="Calibri Light" w:cs="Times New Roman"/>
          <w:color w:val="495965"/>
        </w:rPr>
        <w:t>tarting a business</w:t>
      </w:r>
      <w:r w:rsidR="001554F5">
        <w:rPr>
          <w:rFonts w:ascii="Calibri Light" w:eastAsia="Calibri Light" w:hAnsi="Calibri Light" w:cs="Times New Roman"/>
          <w:color w:val="495965"/>
        </w:rPr>
        <w:t xml:space="preserve"> is</w:t>
      </w:r>
      <w:r w:rsidRPr="00C92066">
        <w:rPr>
          <w:rFonts w:ascii="Calibri Light" w:eastAsia="Calibri Light" w:hAnsi="Calibri Light" w:cs="Times New Roman"/>
          <w:color w:val="495965"/>
        </w:rPr>
        <w:t xml:space="preserve"> a particular area that needs improvement (it takes 58 days in Fiji compared to the Asia-Pacific average of 26 days).</w:t>
      </w:r>
      <w:r w:rsidRPr="00F3544E">
        <w:rPr>
          <w:rFonts w:ascii="Calibri Light" w:eastAsia="Calibri Light" w:hAnsi="Calibri Light" w:cs="Times New Roman"/>
          <w:color w:val="495965"/>
          <w:vertAlign w:val="superscript"/>
        </w:rPr>
        <w:t xml:space="preserve"> </w:t>
      </w:r>
      <w:r w:rsidRPr="00C92066">
        <w:rPr>
          <w:rFonts w:ascii="Calibri Light" w:eastAsia="Calibri Light" w:hAnsi="Calibri Light" w:cs="Times New Roman"/>
          <w:color w:val="495965"/>
          <w:vertAlign w:val="superscript"/>
        </w:rPr>
        <w:footnoteReference w:id="5"/>
      </w:r>
      <w:r w:rsidRPr="00C92066">
        <w:rPr>
          <w:rFonts w:ascii="Calibri Light" w:eastAsia="Calibri Light" w:hAnsi="Calibri Light" w:cs="Times New Roman"/>
          <w:color w:val="495965"/>
        </w:rPr>
        <w:t xml:space="preserve"> </w:t>
      </w:r>
    </w:p>
    <w:p w14:paraId="5C38631C" w14:textId="77777777" w:rsidR="00A36A1C" w:rsidRPr="00C92066" w:rsidRDefault="00A36A1C" w:rsidP="00A36A1C">
      <w:pPr>
        <w:rPr>
          <w:rFonts w:ascii="Calibri Light" w:eastAsia="Calibri Light" w:hAnsi="Calibri Light" w:cs="Times New Roman"/>
          <w:iCs/>
          <w:color w:val="495965"/>
        </w:rPr>
      </w:pPr>
      <w:r w:rsidRPr="00C92066">
        <w:rPr>
          <w:rFonts w:ascii="Calibri Light" w:eastAsia="Calibri Light" w:hAnsi="Calibri Light" w:cs="Times New Roman"/>
          <w:color w:val="495965"/>
        </w:rPr>
        <w:t>In 2015</w:t>
      </w:r>
      <w:r w:rsidR="00917199">
        <w:rPr>
          <w:rFonts w:ascii="Calibri Light" w:eastAsia="Calibri Light" w:hAnsi="Calibri Light" w:cs="Times New Roman"/>
          <w:color w:val="495965"/>
        </w:rPr>
        <w:t>-16</w:t>
      </w:r>
      <w:r w:rsidRPr="00C92066">
        <w:rPr>
          <w:rFonts w:ascii="Calibri Light" w:eastAsia="Calibri Light" w:hAnsi="Calibri Light" w:cs="Times New Roman"/>
          <w:color w:val="495965"/>
        </w:rPr>
        <w:t xml:space="preserve">, the Government </w:t>
      </w:r>
      <w:r w:rsidR="001554F5">
        <w:rPr>
          <w:rFonts w:ascii="Calibri Light" w:eastAsia="Calibri Light" w:hAnsi="Calibri Light" w:cs="Times New Roman"/>
          <w:color w:val="495965"/>
        </w:rPr>
        <w:t xml:space="preserve">of Fiji </w:t>
      </w:r>
      <w:r w:rsidRPr="00C92066">
        <w:rPr>
          <w:rFonts w:ascii="Calibri Light" w:eastAsia="Calibri Light" w:hAnsi="Calibri Light" w:cs="Times New Roman"/>
          <w:color w:val="495965"/>
        </w:rPr>
        <w:t>continued to invest in social policy measures to ensure equitable development across regions and socio-economic groups. These included fee-free primary and secondary education, free medicines for low income families, road infrastructure upgrades in rural areas and electricity and water subsidies for the poor.</w:t>
      </w:r>
    </w:p>
    <w:p w14:paraId="7A3F0F98" w14:textId="77777777" w:rsidR="00A36A1C" w:rsidRPr="00C92066" w:rsidRDefault="00A36A1C" w:rsidP="00A36A1C">
      <w:pPr>
        <w:suppressAutoHyphens w:val="0"/>
        <w:autoSpaceDE w:val="0"/>
        <w:autoSpaceDN w:val="0"/>
        <w:adjustRightInd w:val="0"/>
        <w:spacing w:before="0" w:after="0" w:line="240" w:lineRule="auto"/>
        <w:rPr>
          <w:rFonts w:ascii="Calibri Light" w:eastAsia="Calibri Light" w:hAnsi="Calibri Light" w:cs="Times New Roman"/>
          <w:color w:val="495965"/>
        </w:rPr>
      </w:pPr>
      <w:r w:rsidRPr="00C92066">
        <w:rPr>
          <w:rFonts w:ascii="Calibri Light" w:eastAsia="Calibri Light" w:hAnsi="Calibri Light" w:cs="Times New Roman"/>
          <w:color w:val="495965"/>
        </w:rPr>
        <w:t xml:space="preserve">Fiji’s solid economic performance and </w:t>
      </w:r>
      <w:r w:rsidR="005A598B">
        <w:rPr>
          <w:rFonts w:ascii="Calibri Light" w:eastAsia="Calibri Light" w:hAnsi="Calibri Light" w:cs="Times New Roman"/>
          <w:color w:val="495965"/>
        </w:rPr>
        <w:t xml:space="preserve">increasingly </w:t>
      </w:r>
      <w:r w:rsidRPr="00C92066">
        <w:rPr>
          <w:rFonts w:ascii="Calibri Light" w:eastAsia="Calibri Light" w:hAnsi="Calibri Light" w:cs="Times New Roman"/>
          <w:color w:val="495965"/>
        </w:rPr>
        <w:t>progressive social policies have contributed towards Fiji’s development</w:t>
      </w:r>
      <w:r w:rsidR="00E27D7B">
        <w:rPr>
          <w:rFonts w:ascii="Calibri Light" w:eastAsia="Calibri Light" w:hAnsi="Calibri Light" w:cs="Times New Roman"/>
          <w:color w:val="495965"/>
        </w:rPr>
        <w:t>,</w:t>
      </w:r>
      <w:r w:rsidRPr="00C92066">
        <w:rPr>
          <w:rFonts w:ascii="Calibri Light" w:eastAsia="Calibri Light" w:hAnsi="Calibri Light" w:cs="Times New Roman"/>
          <w:color w:val="495965"/>
        </w:rPr>
        <w:t xml:space="preserve"> </w:t>
      </w:r>
      <w:r w:rsidR="005F06B9" w:rsidRPr="005F06B9">
        <w:rPr>
          <w:rFonts w:ascii="Calibri Light" w:eastAsia="Calibri Light" w:hAnsi="Calibri Light" w:cs="Times New Roman"/>
          <w:color w:val="495965"/>
        </w:rPr>
        <w:t xml:space="preserve">with the Government reporting </w:t>
      </w:r>
      <w:r w:rsidR="00735DF4">
        <w:rPr>
          <w:rFonts w:ascii="Calibri Light" w:eastAsia="Calibri Light" w:hAnsi="Calibri Light" w:cs="Times New Roman"/>
          <w:color w:val="495965"/>
        </w:rPr>
        <w:t>a declin</w:t>
      </w:r>
      <w:r w:rsidR="00917199">
        <w:rPr>
          <w:rFonts w:ascii="Calibri Light" w:eastAsia="Calibri Light" w:hAnsi="Calibri Light" w:cs="Times New Roman"/>
          <w:color w:val="495965"/>
        </w:rPr>
        <w:t xml:space="preserve">e in the </w:t>
      </w:r>
      <w:r w:rsidR="005F06B9" w:rsidRPr="005F06B9">
        <w:rPr>
          <w:rFonts w:ascii="Calibri Light" w:eastAsia="Calibri Light" w:hAnsi="Calibri Light" w:cs="Times New Roman"/>
          <w:color w:val="495965"/>
        </w:rPr>
        <w:t>poverty</w:t>
      </w:r>
      <w:r w:rsidR="002E4BF5">
        <w:rPr>
          <w:rFonts w:ascii="Calibri Light" w:eastAsia="Calibri Light" w:hAnsi="Calibri Light" w:cs="Times New Roman"/>
          <w:color w:val="495965"/>
        </w:rPr>
        <w:t xml:space="preserve"> rate</w:t>
      </w:r>
      <w:r w:rsidR="005F06B9" w:rsidRPr="005F06B9">
        <w:rPr>
          <w:rFonts w:ascii="Calibri Light" w:eastAsia="Calibri Light" w:hAnsi="Calibri Light" w:cs="Times New Roman"/>
          <w:color w:val="495965"/>
        </w:rPr>
        <w:t xml:space="preserve"> from 35 per cent in 2008 to 28 per cent in 2014.</w:t>
      </w:r>
      <w:r w:rsidR="005F06B9" w:rsidRPr="005F06B9">
        <w:rPr>
          <w:rFonts w:ascii="Calibri Light" w:eastAsia="Calibri Light" w:hAnsi="Calibri Light" w:cs="Times New Roman"/>
          <w:color w:val="495965"/>
          <w:vertAlign w:val="superscript"/>
        </w:rPr>
        <w:footnoteReference w:id="6"/>
      </w:r>
      <w:r w:rsidRPr="00C92066">
        <w:rPr>
          <w:rFonts w:ascii="Calibri Light" w:eastAsia="Calibri Light" w:hAnsi="Calibri Light" w:cs="Times New Roman"/>
          <w:color w:val="495965"/>
        </w:rPr>
        <w:t xml:space="preserve"> Fiji achieved two Millennium Development Goals (environmental sustainability and universal primary education) and made progress in the others. Maternal mortality rates </w:t>
      </w:r>
      <w:r w:rsidR="00E27D7B">
        <w:rPr>
          <w:rFonts w:ascii="Calibri Light" w:eastAsia="Calibri Light" w:hAnsi="Calibri Light" w:cs="Times New Roman"/>
          <w:color w:val="495965"/>
        </w:rPr>
        <w:t xml:space="preserve">have fallen </w:t>
      </w:r>
      <w:r w:rsidRPr="00C92066">
        <w:rPr>
          <w:rFonts w:ascii="Calibri Light" w:eastAsia="Calibri Light" w:hAnsi="Calibri Light" w:cs="Times New Roman"/>
          <w:color w:val="495965"/>
        </w:rPr>
        <w:t xml:space="preserve">from 89/100,000 live births in 1990 to 29 </w:t>
      </w:r>
      <w:r w:rsidR="00E27D7B">
        <w:rPr>
          <w:rFonts w:ascii="Calibri Light" w:eastAsia="Calibri Light" w:hAnsi="Calibri Light" w:cs="Times New Roman"/>
          <w:color w:val="495965"/>
        </w:rPr>
        <w:t>in</w:t>
      </w:r>
      <w:r w:rsidRPr="00C92066">
        <w:rPr>
          <w:rFonts w:ascii="Calibri Light" w:eastAsia="Calibri Light" w:hAnsi="Calibri Light" w:cs="Times New Roman"/>
          <w:color w:val="495965"/>
        </w:rPr>
        <w:t xml:space="preserve"> 2015; and infant mortality rates dropped from 30/1,000 live births in 1990 to 13 </w:t>
      </w:r>
      <w:r w:rsidR="00E27D7B">
        <w:rPr>
          <w:rFonts w:ascii="Calibri Light" w:eastAsia="Calibri Light" w:hAnsi="Calibri Light" w:cs="Times New Roman"/>
          <w:color w:val="495965"/>
        </w:rPr>
        <w:t>in</w:t>
      </w:r>
      <w:r w:rsidRPr="00C92066">
        <w:rPr>
          <w:rFonts w:ascii="Calibri Light" w:eastAsia="Calibri Light" w:hAnsi="Calibri Light" w:cs="Times New Roman"/>
          <w:color w:val="495965"/>
        </w:rPr>
        <w:t xml:space="preserve"> 2015. Most households (87 per cent) now have access to sanitation (2012), up from 57 per cent (1990)</w:t>
      </w:r>
      <w:r w:rsidRPr="00C92066">
        <w:rPr>
          <w:rFonts w:ascii="Calibri Light" w:eastAsia="Calibri Light" w:hAnsi="Calibri Light" w:cs="Times New Roman"/>
          <w:color w:val="495965"/>
          <w:vertAlign w:val="superscript"/>
        </w:rPr>
        <w:footnoteReference w:id="7"/>
      </w:r>
      <w:r w:rsidRPr="00C92066">
        <w:rPr>
          <w:rFonts w:ascii="Calibri Light" w:eastAsia="Calibri Light" w:hAnsi="Calibri Light" w:cs="Times New Roman"/>
          <w:color w:val="495965"/>
        </w:rPr>
        <w:t xml:space="preserve">; and the rural road network has improved. </w:t>
      </w:r>
      <w:r w:rsidR="001554F5">
        <w:rPr>
          <w:rFonts w:ascii="Calibri Light" w:eastAsia="Calibri Light" w:hAnsi="Calibri Light" w:cs="Times New Roman"/>
          <w:color w:val="495965"/>
        </w:rPr>
        <w:t xml:space="preserve">Fiji </w:t>
      </w:r>
      <w:r w:rsidRPr="00C92066">
        <w:rPr>
          <w:rFonts w:ascii="Calibri Light" w:eastAsia="Calibri Light" w:hAnsi="Calibri Light" w:cs="Times New Roman"/>
          <w:color w:val="495965"/>
        </w:rPr>
        <w:t xml:space="preserve">Prime Minister </w:t>
      </w:r>
      <w:r w:rsidR="001554F5">
        <w:rPr>
          <w:rFonts w:ascii="Calibri Light" w:eastAsia="Calibri Light" w:hAnsi="Calibri Light" w:cs="Times New Roman"/>
          <w:color w:val="495965"/>
        </w:rPr>
        <w:t xml:space="preserve">Frank </w:t>
      </w:r>
      <w:r w:rsidRPr="00C92066">
        <w:rPr>
          <w:rFonts w:ascii="Calibri Light" w:eastAsia="Calibri Light" w:hAnsi="Calibri Light" w:cs="Times New Roman"/>
          <w:color w:val="495965"/>
        </w:rPr>
        <w:t>Bainimarama has pledged</w:t>
      </w:r>
      <w:r w:rsidR="00774D30">
        <w:rPr>
          <w:rFonts w:ascii="Calibri Light" w:eastAsia="Calibri Light" w:hAnsi="Calibri Light" w:cs="Times New Roman"/>
          <w:color w:val="495965"/>
        </w:rPr>
        <w:t xml:space="preserve"> Fiji’s</w:t>
      </w:r>
      <w:r w:rsidRPr="00C92066">
        <w:rPr>
          <w:rFonts w:ascii="Calibri Light" w:eastAsia="Calibri Light" w:hAnsi="Calibri Light" w:cs="Times New Roman"/>
          <w:color w:val="495965"/>
        </w:rPr>
        <w:t xml:space="preserve"> full support for the adoption of the 2030 Agenda for Sustainable Development.</w:t>
      </w:r>
    </w:p>
    <w:p w14:paraId="60464609" w14:textId="77777777" w:rsidR="00A36A1C" w:rsidRPr="00C92066" w:rsidRDefault="00A36A1C" w:rsidP="00A36A1C">
      <w:pPr>
        <w:tabs>
          <w:tab w:val="left" w:pos="284"/>
        </w:tabs>
        <w:suppressAutoHyphens w:val="0"/>
        <w:rPr>
          <w:rFonts w:ascii="Calibri Light" w:eastAsia="Calibri Light" w:hAnsi="Calibri Light" w:cs="Times New Roman"/>
          <w:color w:val="495965"/>
          <w:lang w:eastAsia="en-AU"/>
        </w:rPr>
      </w:pPr>
      <w:r w:rsidRPr="00C92066">
        <w:rPr>
          <w:rFonts w:ascii="Calibri Light" w:eastAsia="Calibri Light" w:hAnsi="Calibri Light" w:cs="Times New Roman"/>
          <w:color w:val="495965"/>
          <w:lang w:eastAsia="en-AU"/>
        </w:rPr>
        <w:t xml:space="preserve">Despite this progress, </w:t>
      </w:r>
      <w:r w:rsidR="005F06B9">
        <w:rPr>
          <w:rFonts w:ascii="Calibri Light" w:eastAsia="Calibri Light" w:hAnsi="Calibri Light" w:cs="Times New Roman"/>
          <w:color w:val="495965"/>
          <w:lang w:eastAsia="en-AU"/>
        </w:rPr>
        <w:t>significant poverty reduction challenges remain</w:t>
      </w:r>
      <w:r w:rsidRPr="00C92066">
        <w:rPr>
          <w:rFonts w:ascii="Calibri Light" w:eastAsia="Calibri Light" w:hAnsi="Calibri Light" w:cs="Times New Roman"/>
          <w:color w:val="495965"/>
          <w:lang w:eastAsia="en-AU"/>
        </w:rPr>
        <w:t xml:space="preserve">. Unemployment is high, particularly among young people, and the decline of the sugar </w:t>
      </w:r>
      <w:r w:rsidR="00E27D7B">
        <w:rPr>
          <w:rFonts w:ascii="Calibri Light" w:eastAsia="Calibri Light" w:hAnsi="Calibri Light" w:cs="Times New Roman"/>
          <w:color w:val="495965"/>
          <w:lang w:eastAsia="en-AU"/>
        </w:rPr>
        <w:t xml:space="preserve">industry </w:t>
      </w:r>
      <w:r w:rsidRPr="00C92066">
        <w:rPr>
          <w:rFonts w:ascii="Calibri Light" w:eastAsia="Calibri Light" w:hAnsi="Calibri Light" w:cs="Times New Roman"/>
          <w:color w:val="495965"/>
          <w:lang w:eastAsia="en-AU"/>
        </w:rPr>
        <w:t xml:space="preserve">and </w:t>
      </w:r>
      <w:r w:rsidR="00E27D7B">
        <w:rPr>
          <w:rFonts w:ascii="Calibri Light" w:eastAsia="Calibri Light" w:hAnsi="Calibri Light" w:cs="Times New Roman"/>
          <w:color w:val="495965"/>
          <w:lang w:eastAsia="en-AU"/>
        </w:rPr>
        <w:t xml:space="preserve">other </w:t>
      </w:r>
      <w:r w:rsidRPr="00C92066">
        <w:rPr>
          <w:rFonts w:ascii="Calibri Light" w:eastAsia="Calibri Light" w:hAnsi="Calibri Light" w:cs="Times New Roman"/>
          <w:color w:val="495965"/>
          <w:lang w:eastAsia="en-AU"/>
        </w:rPr>
        <w:t xml:space="preserve">agricultural </w:t>
      </w:r>
      <w:r w:rsidR="00E27D7B">
        <w:rPr>
          <w:rFonts w:ascii="Calibri Light" w:eastAsia="Calibri Light" w:hAnsi="Calibri Light" w:cs="Times New Roman"/>
          <w:color w:val="495965"/>
          <w:lang w:eastAsia="en-AU"/>
        </w:rPr>
        <w:t xml:space="preserve">sectors </w:t>
      </w:r>
      <w:r w:rsidRPr="00C92066">
        <w:rPr>
          <w:rFonts w:ascii="Calibri Light" w:eastAsia="Calibri Light" w:hAnsi="Calibri Light" w:cs="Times New Roman"/>
          <w:color w:val="495965"/>
          <w:lang w:eastAsia="en-AU"/>
        </w:rPr>
        <w:t>is hurting rural communities. Consequently</w:t>
      </w:r>
      <w:r w:rsidR="0018208C">
        <w:rPr>
          <w:rFonts w:ascii="Calibri Light" w:eastAsia="Calibri Light" w:hAnsi="Calibri Light" w:cs="Times New Roman"/>
          <w:color w:val="495965"/>
          <w:lang w:eastAsia="en-AU"/>
        </w:rPr>
        <w:t>,</w:t>
      </w:r>
      <w:r w:rsidRPr="00C92066">
        <w:rPr>
          <w:rFonts w:ascii="Calibri Light" w:eastAsia="Calibri Light" w:hAnsi="Calibri Light" w:cs="Times New Roman"/>
          <w:color w:val="495965"/>
          <w:lang w:eastAsia="en-AU"/>
        </w:rPr>
        <w:t xml:space="preserve"> rural to urban migration continues at pace. Despite improvements in children attending school, </w:t>
      </w:r>
      <w:r w:rsidRPr="00C92066">
        <w:rPr>
          <w:rFonts w:ascii="Calibri Light" w:eastAsia="Times New Roman" w:hAnsi="Calibri Light" w:cs="Times New Roman"/>
          <w:color w:val="495965"/>
          <w:lang w:eastAsia="en-AU"/>
        </w:rPr>
        <w:t>t</w:t>
      </w:r>
      <w:r w:rsidRPr="00C92066">
        <w:rPr>
          <w:rFonts w:ascii="Calibri Light" w:eastAsia="Calibri Light" w:hAnsi="Calibri Light" w:cs="Times New Roman"/>
          <w:color w:val="495965"/>
          <w:lang w:eastAsia="en-AU"/>
        </w:rPr>
        <w:t xml:space="preserve">he academic performance of students in remote rural areas is poor when compared to national averages, and appropriate educational opportunities for children with disabilities are limited.  </w:t>
      </w:r>
    </w:p>
    <w:p w14:paraId="02F99F04" w14:textId="77777777" w:rsidR="00CA6783" w:rsidRDefault="00CA6783" w:rsidP="00CA6783">
      <w:pPr>
        <w:pStyle w:val="ListBullet"/>
        <w:spacing w:before="120" w:after="60" w:line="230" w:lineRule="atLeast"/>
        <w:rPr>
          <w:rFonts w:asciiTheme="minorHAnsi" w:eastAsiaTheme="minorHAnsi" w:hAnsiTheme="minorHAnsi" w:cstheme="minorBidi"/>
          <w:color w:val="495965" w:themeColor="text2"/>
          <w:sz w:val="22"/>
          <w:szCs w:val="22"/>
          <w:lang w:val="en-GB" w:eastAsia="en-US"/>
        </w:rPr>
      </w:pPr>
      <w:r w:rsidRPr="005C28C5">
        <w:rPr>
          <w:rFonts w:asciiTheme="minorHAnsi" w:eastAsiaTheme="minorHAnsi" w:hAnsiTheme="minorHAnsi" w:cstheme="minorBidi"/>
          <w:color w:val="495965" w:themeColor="text2"/>
          <w:sz w:val="22"/>
          <w:szCs w:val="22"/>
          <w:lang w:val="en-GB" w:eastAsia="en-US"/>
        </w:rPr>
        <w:t>Gender inequality presents an ongoing challenge to development in Fiji. Rates of violence against women and girls in Fiji are among t</w:t>
      </w:r>
      <w:r>
        <w:rPr>
          <w:rFonts w:asciiTheme="minorHAnsi" w:eastAsiaTheme="minorHAnsi" w:hAnsiTheme="minorHAnsi" w:cstheme="minorBidi"/>
          <w:color w:val="495965" w:themeColor="text2"/>
          <w:sz w:val="22"/>
          <w:szCs w:val="22"/>
          <w:lang w:val="en-GB" w:eastAsia="en-US"/>
        </w:rPr>
        <w:t>he highest in the world</w:t>
      </w:r>
      <w:r w:rsidR="00774D30">
        <w:rPr>
          <w:rFonts w:asciiTheme="minorHAnsi" w:eastAsiaTheme="minorHAnsi" w:hAnsiTheme="minorHAnsi" w:cstheme="minorBidi"/>
          <w:color w:val="495965" w:themeColor="text2"/>
          <w:sz w:val="22"/>
          <w:szCs w:val="22"/>
          <w:lang w:val="en-GB" w:eastAsia="en-US"/>
        </w:rPr>
        <w:t>:</w:t>
      </w:r>
      <w:r>
        <w:rPr>
          <w:rFonts w:asciiTheme="minorHAnsi" w:eastAsiaTheme="minorHAnsi" w:hAnsiTheme="minorHAnsi" w:cstheme="minorBidi"/>
          <w:color w:val="495965" w:themeColor="text2"/>
          <w:sz w:val="22"/>
          <w:szCs w:val="22"/>
          <w:lang w:val="en-GB" w:eastAsia="en-US"/>
        </w:rPr>
        <w:t xml:space="preserve"> 64 per cent</w:t>
      </w:r>
      <w:r w:rsidRPr="005C28C5">
        <w:rPr>
          <w:rFonts w:asciiTheme="minorHAnsi" w:eastAsiaTheme="minorHAnsi" w:hAnsiTheme="minorHAnsi" w:cstheme="minorBidi"/>
          <w:color w:val="495965" w:themeColor="text2"/>
          <w:sz w:val="22"/>
          <w:szCs w:val="22"/>
          <w:lang w:val="en-GB" w:eastAsia="en-US"/>
        </w:rPr>
        <w:t xml:space="preserve"> of women who have been in an intimate </w:t>
      </w:r>
      <w:r w:rsidRPr="005C28C5">
        <w:rPr>
          <w:rFonts w:asciiTheme="minorHAnsi" w:eastAsiaTheme="minorHAnsi" w:hAnsiTheme="minorHAnsi" w:cstheme="minorBidi"/>
          <w:color w:val="495965" w:themeColor="text2"/>
          <w:sz w:val="22"/>
          <w:szCs w:val="22"/>
          <w:lang w:val="en-GB" w:eastAsia="en-US"/>
        </w:rPr>
        <w:lastRenderedPageBreak/>
        <w:t>relationship have experienced physical and / or sexual violence by a husband or intimate partner in their lifetime</w:t>
      </w:r>
      <w:r w:rsidR="001554F5">
        <w:rPr>
          <w:rFonts w:asciiTheme="minorHAnsi" w:eastAsiaTheme="minorHAnsi" w:hAnsiTheme="minorHAnsi" w:cstheme="minorBidi"/>
          <w:color w:val="495965" w:themeColor="text2"/>
          <w:sz w:val="22"/>
          <w:szCs w:val="22"/>
          <w:lang w:val="en-GB" w:eastAsia="en-US"/>
        </w:rPr>
        <w:t>.</w:t>
      </w:r>
      <w:r>
        <w:rPr>
          <w:rStyle w:val="FootnoteReference"/>
          <w:rFonts w:asciiTheme="minorHAnsi" w:eastAsiaTheme="minorHAnsi" w:hAnsiTheme="minorHAnsi" w:cstheme="minorBidi"/>
          <w:color w:val="495965" w:themeColor="text2"/>
          <w:sz w:val="22"/>
          <w:szCs w:val="22"/>
          <w:lang w:val="en-GB" w:eastAsia="en-US"/>
        </w:rPr>
        <w:footnoteReference w:id="8"/>
      </w:r>
      <w:r>
        <w:rPr>
          <w:rFonts w:asciiTheme="minorHAnsi" w:eastAsiaTheme="minorHAnsi" w:hAnsiTheme="minorHAnsi" w:cstheme="minorBidi"/>
          <w:color w:val="495965" w:themeColor="text2"/>
          <w:sz w:val="22"/>
          <w:szCs w:val="22"/>
          <w:lang w:val="en-GB" w:eastAsia="en-US"/>
        </w:rPr>
        <w:t xml:space="preserve"> </w:t>
      </w:r>
      <w:r w:rsidRPr="005C28C5">
        <w:rPr>
          <w:rFonts w:asciiTheme="minorHAnsi" w:eastAsiaTheme="minorHAnsi" w:hAnsiTheme="minorHAnsi" w:cstheme="minorBidi"/>
          <w:color w:val="495965" w:themeColor="text2"/>
          <w:sz w:val="22"/>
          <w:szCs w:val="22"/>
          <w:lang w:val="en-GB" w:eastAsia="en-US"/>
        </w:rPr>
        <w:t xml:space="preserve">Women’s participation in the labour force is about half that of men. </w:t>
      </w:r>
      <w:r w:rsidR="004A2721">
        <w:rPr>
          <w:rFonts w:asciiTheme="minorHAnsi" w:eastAsiaTheme="minorHAnsi" w:hAnsiTheme="minorHAnsi" w:cstheme="minorBidi"/>
          <w:color w:val="495965" w:themeColor="text2"/>
          <w:sz w:val="22"/>
          <w:szCs w:val="22"/>
          <w:lang w:val="en-GB" w:eastAsia="en-US"/>
        </w:rPr>
        <w:t>S</w:t>
      </w:r>
      <w:r w:rsidRPr="005C28C5">
        <w:rPr>
          <w:rFonts w:asciiTheme="minorHAnsi" w:eastAsiaTheme="minorHAnsi" w:hAnsiTheme="minorHAnsi" w:cstheme="minorBidi"/>
          <w:color w:val="495965" w:themeColor="text2"/>
          <w:sz w:val="22"/>
          <w:szCs w:val="22"/>
          <w:lang w:val="en-GB" w:eastAsia="en-US"/>
        </w:rPr>
        <w:t xml:space="preserve">tructural and cultural barriers </w:t>
      </w:r>
      <w:r w:rsidR="004A2721">
        <w:rPr>
          <w:rFonts w:asciiTheme="minorHAnsi" w:eastAsiaTheme="minorHAnsi" w:hAnsiTheme="minorHAnsi" w:cstheme="minorBidi"/>
          <w:color w:val="495965" w:themeColor="text2"/>
          <w:sz w:val="22"/>
          <w:szCs w:val="22"/>
          <w:lang w:val="en-GB" w:eastAsia="en-US"/>
        </w:rPr>
        <w:t xml:space="preserve">that </w:t>
      </w:r>
      <w:r w:rsidRPr="005C28C5">
        <w:rPr>
          <w:rFonts w:asciiTheme="minorHAnsi" w:eastAsiaTheme="minorHAnsi" w:hAnsiTheme="minorHAnsi" w:cstheme="minorBidi"/>
          <w:color w:val="495965" w:themeColor="text2"/>
          <w:sz w:val="22"/>
          <w:szCs w:val="22"/>
          <w:lang w:val="en-GB" w:eastAsia="en-US"/>
        </w:rPr>
        <w:t>continue to marginalise women and constrain their capacity to influence and control various aspects of their lives</w:t>
      </w:r>
      <w:r w:rsidR="004A2721">
        <w:rPr>
          <w:rFonts w:asciiTheme="minorHAnsi" w:eastAsiaTheme="minorHAnsi" w:hAnsiTheme="minorHAnsi" w:cstheme="minorBidi"/>
          <w:color w:val="495965" w:themeColor="text2"/>
          <w:sz w:val="22"/>
          <w:szCs w:val="22"/>
          <w:lang w:val="en-GB" w:eastAsia="en-US"/>
        </w:rPr>
        <w:t xml:space="preserve"> </w:t>
      </w:r>
      <w:r w:rsidRPr="005C28C5">
        <w:rPr>
          <w:rFonts w:asciiTheme="minorHAnsi" w:eastAsiaTheme="minorHAnsi" w:hAnsiTheme="minorHAnsi" w:cstheme="minorBidi"/>
          <w:color w:val="495965" w:themeColor="text2"/>
          <w:sz w:val="22"/>
          <w:szCs w:val="22"/>
          <w:lang w:val="en-GB" w:eastAsia="en-US"/>
        </w:rPr>
        <w:t>includ</w:t>
      </w:r>
      <w:r w:rsidR="004A2721">
        <w:rPr>
          <w:rFonts w:asciiTheme="minorHAnsi" w:eastAsiaTheme="minorHAnsi" w:hAnsiTheme="minorHAnsi" w:cstheme="minorBidi"/>
          <w:color w:val="495965" w:themeColor="text2"/>
          <w:sz w:val="22"/>
          <w:szCs w:val="22"/>
          <w:lang w:val="en-GB" w:eastAsia="en-US"/>
        </w:rPr>
        <w:t>e</w:t>
      </w:r>
      <w:r w:rsidRPr="005C28C5">
        <w:rPr>
          <w:rFonts w:asciiTheme="minorHAnsi" w:eastAsiaTheme="minorHAnsi" w:hAnsiTheme="minorHAnsi" w:cstheme="minorBidi"/>
          <w:color w:val="495965" w:themeColor="text2"/>
          <w:sz w:val="22"/>
          <w:szCs w:val="22"/>
          <w:lang w:val="en-GB" w:eastAsia="en-US"/>
        </w:rPr>
        <w:t xml:space="preserve"> access to resources such as finance, agricultural inputs, and property as well as </w:t>
      </w:r>
      <w:r w:rsidR="007C4A07">
        <w:rPr>
          <w:rFonts w:asciiTheme="minorHAnsi" w:eastAsiaTheme="minorHAnsi" w:hAnsiTheme="minorHAnsi" w:cstheme="minorBidi"/>
          <w:color w:val="495965" w:themeColor="text2"/>
          <w:sz w:val="22"/>
          <w:szCs w:val="22"/>
          <w:lang w:val="en-GB" w:eastAsia="en-US"/>
        </w:rPr>
        <w:t>access to education and</w:t>
      </w:r>
      <w:r w:rsidRPr="005C28C5">
        <w:rPr>
          <w:rFonts w:asciiTheme="minorHAnsi" w:eastAsiaTheme="minorHAnsi" w:hAnsiTheme="minorHAnsi" w:cstheme="minorBidi"/>
          <w:color w:val="495965" w:themeColor="text2"/>
          <w:sz w:val="22"/>
          <w:szCs w:val="22"/>
          <w:lang w:val="en-GB" w:eastAsia="en-US"/>
        </w:rPr>
        <w:t xml:space="preserve"> health</w:t>
      </w:r>
      <w:r w:rsidR="007C4A07">
        <w:rPr>
          <w:rFonts w:asciiTheme="minorHAnsi" w:eastAsiaTheme="minorHAnsi" w:hAnsiTheme="minorHAnsi" w:cstheme="minorBidi"/>
          <w:color w:val="495965" w:themeColor="text2"/>
          <w:sz w:val="22"/>
          <w:szCs w:val="22"/>
          <w:lang w:val="en-GB" w:eastAsia="en-US"/>
        </w:rPr>
        <w:t xml:space="preserve"> services</w:t>
      </w:r>
      <w:r w:rsidRPr="005C28C5">
        <w:rPr>
          <w:rFonts w:asciiTheme="minorHAnsi" w:eastAsiaTheme="minorHAnsi" w:hAnsiTheme="minorHAnsi" w:cstheme="minorBidi"/>
          <w:color w:val="495965" w:themeColor="text2"/>
          <w:sz w:val="22"/>
          <w:szCs w:val="22"/>
          <w:lang w:val="en-GB" w:eastAsia="en-US"/>
        </w:rPr>
        <w:t xml:space="preserve"> (including sexual and reproductive health), secure housing and employment</w:t>
      </w:r>
      <w:r>
        <w:rPr>
          <w:rFonts w:asciiTheme="minorHAnsi" w:eastAsiaTheme="minorHAnsi" w:hAnsiTheme="minorHAnsi" w:cstheme="minorBidi"/>
          <w:color w:val="495965" w:themeColor="text2"/>
          <w:sz w:val="22"/>
          <w:szCs w:val="22"/>
          <w:lang w:val="en-GB" w:eastAsia="en-US"/>
        </w:rPr>
        <w:t xml:space="preserve">. </w:t>
      </w:r>
    </w:p>
    <w:p w14:paraId="3D560477" w14:textId="77777777" w:rsidR="00A36A1C" w:rsidRPr="00C92066" w:rsidRDefault="00A36A1C" w:rsidP="00A36A1C">
      <w:pPr>
        <w:tabs>
          <w:tab w:val="left" w:pos="284"/>
        </w:tabs>
        <w:suppressAutoHyphens w:val="0"/>
        <w:rPr>
          <w:rFonts w:ascii="Calibri Light" w:eastAsia="Calibri Light" w:hAnsi="Calibri Light" w:cs="Times New Roman"/>
          <w:color w:val="495965"/>
          <w:lang w:eastAsia="en-AU"/>
        </w:rPr>
      </w:pPr>
      <w:r w:rsidRPr="00C92066">
        <w:rPr>
          <w:rFonts w:ascii="Calibri Light" w:eastAsia="Calibri Light" w:hAnsi="Calibri Light" w:cs="Times New Roman"/>
          <w:color w:val="495965"/>
          <w:lang w:eastAsia="en-AU"/>
        </w:rPr>
        <w:t>Like many countries, Fiji experiences the “triple burden of disease” – the “unfinished business” of communicable disease and reproductive health; an</w:t>
      </w:r>
      <w:r w:rsidR="007C4A07">
        <w:rPr>
          <w:rFonts w:ascii="Calibri Light" w:eastAsia="Calibri Light" w:hAnsi="Calibri Light" w:cs="Times New Roman"/>
          <w:color w:val="495965"/>
          <w:lang w:eastAsia="en-AU"/>
        </w:rPr>
        <w:t xml:space="preserve"> increasingly severe burden of non-communicable diseases (N</w:t>
      </w:r>
      <w:r w:rsidRPr="00C92066">
        <w:rPr>
          <w:rFonts w:ascii="Calibri Light" w:eastAsia="Calibri Light" w:hAnsi="Calibri Light" w:cs="Times New Roman"/>
          <w:color w:val="495965"/>
          <w:lang w:eastAsia="en-AU"/>
        </w:rPr>
        <w:t>CDs</w:t>
      </w:r>
      <w:r w:rsidR="007C4A07">
        <w:rPr>
          <w:rFonts w:ascii="Calibri Light" w:eastAsia="Calibri Light" w:hAnsi="Calibri Light" w:cs="Times New Roman"/>
          <w:color w:val="495965"/>
          <w:lang w:eastAsia="en-AU"/>
        </w:rPr>
        <w:t>)</w:t>
      </w:r>
      <w:r w:rsidRPr="00C92066">
        <w:rPr>
          <w:rFonts w:ascii="Calibri Light" w:eastAsia="Calibri Light" w:hAnsi="Calibri Light" w:cs="Times New Roman"/>
          <w:color w:val="495965"/>
          <w:lang w:eastAsia="en-AU"/>
        </w:rPr>
        <w:t>, some of which are exacerbating and increasing communicable diseases (for example tuberculosis in diabetes patients); and emerging risks from new diseases and environmental change.</w:t>
      </w:r>
    </w:p>
    <w:p w14:paraId="27F622EC" w14:textId="77777777" w:rsidR="00D90B90" w:rsidRPr="002A51CA" w:rsidRDefault="00D90B90" w:rsidP="00160D8C">
      <w:pPr>
        <w:rPr>
          <w:rFonts w:asciiTheme="majorHAnsi" w:eastAsiaTheme="majorEastAsia" w:hAnsiTheme="majorHAnsi" w:cstheme="majorBidi"/>
          <w:caps/>
          <w:sz w:val="38"/>
          <w:szCs w:val="26"/>
        </w:rPr>
      </w:pPr>
      <w:r w:rsidRPr="002A51CA">
        <w:rPr>
          <w:rFonts w:asciiTheme="majorHAnsi" w:eastAsiaTheme="majorEastAsia" w:hAnsiTheme="majorHAnsi" w:cstheme="majorBidi"/>
          <w:caps/>
          <w:sz w:val="38"/>
          <w:szCs w:val="26"/>
        </w:rPr>
        <w:t>Expenditure</w:t>
      </w:r>
      <w:r w:rsidR="00524E2B">
        <w:rPr>
          <w:rFonts w:asciiTheme="majorHAnsi" w:eastAsiaTheme="majorEastAsia" w:hAnsiTheme="majorHAnsi" w:cstheme="majorBidi"/>
          <w:caps/>
          <w:sz w:val="38"/>
          <w:szCs w:val="26"/>
        </w:rPr>
        <w:tab/>
      </w:r>
    </w:p>
    <w:p w14:paraId="28A69279" w14:textId="28327618" w:rsidR="00D90B90" w:rsidRPr="008C2F58" w:rsidRDefault="00D90B90" w:rsidP="00D90B90">
      <w:pPr>
        <w:rPr>
          <w:b/>
          <w:sz w:val="24"/>
        </w:rPr>
      </w:pPr>
      <w:r w:rsidRPr="008C2F58">
        <w:rPr>
          <w:b/>
          <w:sz w:val="24"/>
        </w:rPr>
        <w:t xml:space="preserve">Table </w:t>
      </w:r>
      <w:r w:rsidRPr="008C2F58">
        <w:rPr>
          <w:b/>
          <w:sz w:val="24"/>
        </w:rPr>
        <w:fldChar w:fldCharType="begin"/>
      </w:r>
      <w:r w:rsidRPr="008C2F58">
        <w:rPr>
          <w:b/>
          <w:sz w:val="24"/>
        </w:rPr>
        <w:instrText xml:space="preserve"> SEQ Table \* ARABIC </w:instrText>
      </w:r>
      <w:r w:rsidRPr="008C2F58">
        <w:rPr>
          <w:b/>
          <w:sz w:val="24"/>
        </w:rPr>
        <w:fldChar w:fldCharType="separate"/>
      </w:r>
      <w:r w:rsidR="00332F13">
        <w:rPr>
          <w:b/>
          <w:noProof/>
          <w:sz w:val="24"/>
        </w:rPr>
        <w:t>1</w:t>
      </w:r>
      <w:r w:rsidRPr="008C2F58">
        <w:rPr>
          <w:b/>
          <w:noProof/>
          <w:sz w:val="24"/>
        </w:rPr>
        <w:fldChar w:fldCharType="end"/>
      </w:r>
      <w:r>
        <w:rPr>
          <w:b/>
          <w:noProof/>
          <w:sz w:val="24"/>
        </w:rPr>
        <w:t xml:space="preserve">: </w:t>
      </w:r>
      <w:r w:rsidRPr="008C2F58">
        <w:rPr>
          <w:b/>
          <w:sz w:val="24"/>
        </w:rPr>
        <w:t>Total ODA Expenditure in FY 2015-16</w:t>
      </w:r>
    </w:p>
    <w:tbl>
      <w:tblPr>
        <w:tblStyle w:val="TableGrid"/>
        <w:tblpPr w:leftFromText="180" w:rightFromText="180" w:vertAnchor="text" w:tblpY="1"/>
        <w:tblOverlap w:val="never"/>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152"/>
        <w:gridCol w:w="1971"/>
        <w:gridCol w:w="1515"/>
      </w:tblGrid>
      <w:tr w:rsidR="00D90B90" w:rsidRPr="003B0793" w14:paraId="684D6523" w14:textId="77777777" w:rsidTr="00D90B90">
        <w:trPr>
          <w:trHeight w:val="392"/>
        </w:trPr>
        <w:tc>
          <w:tcPr>
            <w:tcW w:w="6204" w:type="dxa"/>
          </w:tcPr>
          <w:p w14:paraId="194E0486" w14:textId="77777777" w:rsidR="00D90B90" w:rsidRPr="003B0793" w:rsidRDefault="00D90B90" w:rsidP="00D90B90">
            <w:pPr>
              <w:keepNext/>
              <w:spacing w:after="0" w:line="240" w:lineRule="auto"/>
              <w:rPr>
                <w:rFonts w:eastAsia="Times New Roman"/>
                <w:b/>
                <w:sz w:val="17"/>
                <w:szCs w:val="17"/>
              </w:rPr>
            </w:pPr>
            <w:r w:rsidRPr="003B0793">
              <w:rPr>
                <w:rFonts w:eastAsia="Times New Roman"/>
                <w:b/>
                <w:sz w:val="17"/>
                <w:szCs w:val="17"/>
              </w:rPr>
              <w:t>Objective</w:t>
            </w:r>
          </w:p>
        </w:tc>
        <w:tc>
          <w:tcPr>
            <w:tcW w:w="1984" w:type="dxa"/>
          </w:tcPr>
          <w:p w14:paraId="611056FA" w14:textId="77777777" w:rsidR="00D90B90" w:rsidRPr="003B0793" w:rsidRDefault="00D90B90" w:rsidP="00D90B90">
            <w:pPr>
              <w:keepNext/>
              <w:spacing w:after="0" w:line="240" w:lineRule="auto"/>
              <w:rPr>
                <w:rFonts w:eastAsia="Times New Roman"/>
                <w:sz w:val="17"/>
                <w:szCs w:val="17"/>
              </w:rPr>
            </w:pPr>
            <w:r w:rsidRPr="003B0793">
              <w:rPr>
                <w:rFonts w:eastAsia="Times New Roman"/>
                <w:b/>
                <w:sz w:val="17"/>
                <w:szCs w:val="17"/>
              </w:rPr>
              <w:t>A$ million</w:t>
            </w:r>
          </w:p>
        </w:tc>
        <w:tc>
          <w:tcPr>
            <w:tcW w:w="1525" w:type="dxa"/>
          </w:tcPr>
          <w:p w14:paraId="4AE5ADE7" w14:textId="77777777" w:rsidR="00D90B90" w:rsidRPr="003B0793" w:rsidRDefault="00D90B90" w:rsidP="00D90B90">
            <w:pPr>
              <w:keepNext/>
              <w:spacing w:after="0" w:line="240" w:lineRule="auto"/>
              <w:rPr>
                <w:rFonts w:eastAsia="Times New Roman"/>
                <w:sz w:val="17"/>
                <w:szCs w:val="17"/>
              </w:rPr>
            </w:pPr>
            <w:r w:rsidRPr="003B0793">
              <w:rPr>
                <w:rFonts w:eastAsia="Times New Roman"/>
                <w:b/>
                <w:sz w:val="17"/>
                <w:szCs w:val="17"/>
              </w:rPr>
              <w:t>% of total ODA</w:t>
            </w:r>
          </w:p>
        </w:tc>
      </w:tr>
      <w:tr w:rsidR="00D90B90" w:rsidRPr="003B0793" w14:paraId="1718FF52" w14:textId="77777777" w:rsidTr="00D90B90">
        <w:trPr>
          <w:trHeight w:val="402"/>
        </w:trPr>
        <w:tc>
          <w:tcPr>
            <w:tcW w:w="6204" w:type="dxa"/>
          </w:tcPr>
          <w:p w14:paraId="7C2DD0F8" w14:textId="77777777" w:rsidR="00D90B90" w:rsidRPr="002901DA" w:rsidRDefault="00D90B90" w:rsidP="00D90B90">
            <w:pPr>
              <w:keepNext/>
              <w:spacing w:after="0" w:line="240" w:lineRule="auto"/>
              <w:rPr>
                <w:rFonts w:eastAsia="Times New Roman"/>
                <w:b/>
                <w:sz w:val="17"/>
                <w:szCs w:val="17"/>
              </w:rPr>
            </w:pPr>
            <w:r w:rsidRPr="002901DA">
              <w:rPr>
                <w:rFonts w:eastAsia="Times New Roman"/>
                <w:b/>
                <w:sz w:val="17"/>
                <w:szCs w:val="17"/>
              </w:rPr>
              <w:t xml:space="preserve">Bilateral </w:t>
            </w:r>
          </w:p>
        </w:tc>
        <w:tc>
          <w:tcPr>
            <w:tcW w:w="1984" w:type="dxa"/>
          </w:tcPr>
          <w:p w14:paraId="04B6B175" w14:textId="77777777" w:rsidR="00D90B90" w:rsidRPr="003B0793" w:rsidRDefault="00D90B90" w:rsidP="00D90B90">
            <w:pPr>
              <w:keepNext/>
              <w:spacing w:after="0" w:line="240" w:lineRule="auto"/>
              <w:rPr>
                <w:rFonts w:eastAsia="Times New Roman"/>
                <w:b/>
                <w:sz w:val="17"/>
                <w:szCs w:val="17"/>
              </w:rPr>
            </w:pPr>
          </w:p>
        </w:tc>
        <w:tc>
          <w:tcPr>
            <w:tcW w:w="1525" w:type="dxa"/>
          </w:tcPr>
          <w:p w14:paraId="6FC2969D" w14:textId="77777777" w:rsidR="00D90B90" w:rsidRPr="003B0793" w:rsidRDefault="00D90B90" w:rsidP="00D90B90">
            <w:pPr>
              <w:keepNext/>
              <w:spacing w:after="0" w:line="240" w:lineRule="auto"/>
              <w:rPr>
                <w:rFonts w:eastAsia="Times New Roman"/>
                <w:b/>
                <w:sz w:val="17"/>
                <w:szCs w:val="17"/>
              </w:rPr>
            </w:pPr>
          </w:p>
        </w:tc>
      </w:tr>
      <w:tr w:rsidR="00D90B90" w:rsidRPr="003B0793" w14:paraId="7F5AAA59" w14:textId="77777777" w:rsidTr="00EE4108">
        <w:tc>
          <w:tcPr>
            <w:tcW w:w="6204" w:type="dxa"/>
          </w:tcPr>
          <w:p w14:paraId="3507B10D" w14:textId="77777777" w:rsidR="00D90B90" w:rsidRDefault="000C4EE5" w:rsidP="00D90B90">
            <w:pPr>
              <w:keepNext/>
              <w:spacing w:after="0" w:line="240" w:lineRule="auto"/>
              <w:rPr>
                <w:rFonts w:eastAsia="Times New Roman"/>
                <w:sz w:val="17"/>
                <w:szCs w:val="17"/>
              </w:rPr>
            </w:pPr>
            <w:r>
              <w:rPr>
                <w:rFonts w:eastAsia="Times New Roman"/>
                <w:sz w:val="17"/>
                <w:szCs w:val="17"/>
              </w:rPr>
              <w:t>Objective 1: P</w:t>
            </w:r>
            <w:r w:rsidR="00D90B90">
              <w:rPr>
                <w:rFonts w:eastAsia="Times New Roman"/>
                <w:sz w:val="17"/>
                <w:szCs w:val="17"/>
              </w:rPr>
              <w:t xml:space="preserve">rivate sector development </w:t>
            </w:r>
          </w:p>
        </w:tc>
        <w:tc>
          <w:tcPr>
            <w:tcW w:w="1984" w:type="dxa"/>
            <w:shd w:val="clear" w:color="auto" w:fill="auto"/>
          </w:tcPr>
          <w:p w14:paraId="03200569" w14:textId="77777777" w:rsidR="00D90B90" w:rsidRPr="00EE4108" w:rsidRDefault="00EE4108" w:rsidP="00D90B90">
            <w:pPr>
              <w:keepNext/>
              <w:spacing w:after="0" w:line="240" w:lineRule="auto"/>
              <w:rPr>
                <w:rFonts w:eastAsia="Times New Roman"/>
                <w:sz w:val="17"/>
                <w:szCs w:val="17"/>
              </w:rPr>
            </w:pPr>
            <w:r w:rsidRPr="00EE4108">
              <w:rPr>
                <w:rFonts w:eastAsia="Times New Roman"/>
                <w:sz w:val="17"/>
                <w:szCs w:val="17"/>
              </w:rPr>
              <w:t>7.7</w:t>
            </w:r>
          </w:p>
        </w:tc>
        <w:tc>
          <w:tcPr>
            <w:tcW w:w="1525" w:type="dxa"/>
          </w:tcPr>
          <w:p w14:paraId="7E7C3DC5" w14:textId="77777777" w:rsidR="00D90B90" w:rsidRPr="003B0793" w:rsidRDefault="00EE4108" w:rsidP="00D90B90">
            <w:pPr>
              <w:keepNext/>
              <w:spacing w:after="0" w:line="240" w:lineRule="auto"/>
              <w:rPr>
                <w:rFonts w:eastAsia="Times New Roman"/>
                <w:sz w:val="17"/>
                <w:szCs w:val="17"/>
              </w:rPr>
            </w:pPr>
            <w:r>
              <w:rPr>
                <w:rFonts w:eastAsia="Times New Roman"/>
                <w:sz w:val="17"/>
                <w:szCs w:val="17"/>
              </w:rPr>
              <w:t>9.9</w:t>
            </w:r>
          </w:p>
        </w:tc>
      </w:tr>
      <w:tr w:rsidR="00D90B90" w:rsidRPr="003B0793" w14:paraId="27D3861B" w14:textId="77777777" w:rsidTr="00D90B90">
        <w:tc>
          <w:tcPr>
            <w:tcW w:w="6204" w:type="dxa"/>
          </w:tcPr>
          <w:p w14:paraId="54460BF2" w14:textId="77777777" w:rsidR="00D90B90" w:rsidRDefault="00D90B90" w:rsidP="000C4EE5">
            <w:pPr>
              <w:keepNext/>
              <w:spacing w:after="0" w:line="240" w:lineRule="auto"/>
              <w:rPr>
                <w:rFonts w:eastAsia="Times New Roman"/>
                <w:sz w:val="17"/>
                <w:szCs w:val="17"/>
              </w:rPr>
            </w:pPr>
            <w:r>
              <w:rPr>
                <w:rFonts w:eastAsia="Times New Roman"/>
                <w:sz w:val="17"/>
                <w:szCs w:val="17"/>
              </w:rPr>
              <w:t xml:space="preserve">Objective 2: </w:t>
            </w:r>
            <w:r w:rsidR="000C4EE5">
              <w:rPr>
                <w:rFonts w:eastAsia="Times New Roman"/>
                <w:sz w:val="17"/>
                <w:szCs w:val="17"/>
              </w:rPr>
              <w:t>H</w:t>
            </w:r>
            <w:r>
              <w:rPr>
                <w:rFonts w:eastAsia="Times New Roman"/>
                <w:sz w:val="17"/>
                <w:szCs w:val="17"/>
              </w:rPr>
              <w:t xml:space="preserve">uman development </w:t>
            </w:r>
          </w:p>
        </w:tc>
        <w:tc>
          <w:tcPr>
            <w:tcW w:w="1984" w:type="dxa"/>
          </w:tcPr>
          <w:p w14:paraId="1E45273F" w14:textId="77777777" w:rsidR="00D90B90" w:rsidRPr="003B0793" w:rsidRDefault="00EE4108" w:rsidP="00D90B90">
            <w:pPr>
              <w:keepNext/>
              <w:spacing w:after="0" w:line="240" w:lineRule="auto"/>
              <w:rPr>
                <w:rFonts w:eastAsia="Times New Roman"/>
                <w:sz w:val="17"/>
                <w:szCs w:val="17"/>
              </w:rPr>
            </w:pPr>
            <w:r>
              <w:rPr>
                <w:rFonts w:eastAsia="Times New Roman"/>
                <w:sz w:val="17"/>
                <w:szCs w:val="17"/>
              </w:rPr>
              <w:t>15.2</w:t>
            </w:r>
          </w:p>
        </w:tc>
        <w:tc>
          <w:tcPr>
            <w:tcW w:w="1525" w:type="dxa"/>
          </w:tcPr>
          <w:p w14:paraId="5DFF57AE" w14:textId="77777777" w:rsidR="00D90B90" w:rsidRPr="003B0793" w:rsidRDefault="00EE4108" w:rsidP="00D90B90">
            <w:pPr>
              <w:keepNext/>
              <w:spacing w:after="0" w:line="240" w:lineRule="auto"/>
              <w:rPr>
                <w:rFonts w:eastAsia="Times New Roman"/>
                <w:sz w:val="17"/>
                <w:szCs w:val="17"/>
              </w:rPr>
            </w:pPr>
            <w:r>
              <w:rPr>
                <w:rFonts w:eastAsia="Times New Roman"/>
                <w:sz w:val="17"/>
                <w:szCs w:val="17"/>
              </w:rPr>
              <w:t>19.3</w:t>
            </w:r>
          </w:p>
        </w:tc>
      </w:tr>
      <w:tr w:rsidR="00D90B90" w:rsidRPr="003B0793" w14:paraId="53909C96" w14:textId="77777777" w:rsidTr="00D90B90">
        <w:tc>
          <w:tcPr>
            <w:tcW w:w="6204" w:type="dxa"/>
          </w:tcPr>
          <w:p w14:paraId="78CC6FC1" w14:textId="77777777" w:rsidR="00D90B90" w:rsidRDefault="000C4EE5" w:rsidP="00D90B90">
            <w:pPr>
              <w:keepNext/>
              <w:spacing w:after="0" w:line="240" w:lineRule="auto"/>
              <w:rPr>
                <w:rFonts w:eastAsia="Times New Roman"/>
                <w:sz w:val="17"/>
                <w:szCs w:val="17"/>
              </w:rPr>
            </w:pPr>
            <w:r>
              <w:rPr>
                <w:rFonts w:eastAsia="Times New Roman"/>
                <w:sz w:val="17"/>
                <w:szCs w:val="17"/>
              </w:rPr>
              <w:t>Objective 3: Tropical Cyclone Winston recovery</w:t>
            </w:r>
          </w:p>
        </w:tc>
        <w:tc>
          <w:tcPr>
            <w:tcW w:w="1984" w:type="dxa"/>
          </w:tcPr>
          <w:p w14:paraId="55E836EC" w14:textId="77777777" w:rsidR="00D90B90" w:rsidRPr="003B0793" w:rsidRDefault="000C4EE5" w:rsidP="00D90B90">
            <w:pPr>
              <w:keepNext/>
              <w:spacing w:after="0" w:line="240" w:lineRule="auto"/>
              <w:rPr>
                <w:rFonts w:eastAsia="Times New Roman"/>
                <w:sz w:val="17"/>
                <w:szCs w:val="17"/>
              </w:rPr>
            </w:pPr>
            <w:r>
              <w:rPr>
                <w:rFonts w:eastAsia="Times New Roman"/>
                <w:sz w:val="17"/>
                <w:szCs w:val="17"/>
              </w:rPr>
              <w:t>19</w:t>
            </w:r>
          </w:p>
        </w:tc>
        <w:tc>
          <w:tcPr>
            <w:tcW w:w="1525" w:type="dxa"/>
          </w:tcPr>
          <w:p w14:paraId="488FE6A8" w14:textId="77777777" w:rsidR="00D90B90" w:rsidRPr="003B0793" w:rsidRDefault="00EE4108" w:rsidP="00D90B90">
            <w:pPr>
              <w:keepNext/>
              <w:spacing w:after="0" w:line="240" w:lineRule="auto"/>
              <w:rPr>
                <w:rFonts w:eastAsia="Times New Roman"/>
                <w:sz w:val="17"/>
                <w:szCs w:val="17"/>
              </w:rPr>
            </w:pPr>
            <w:r>
              <w:rPr>
                <w:rFonts w:eastAsia="Times New Roman"/>
                <w:sz w:val="17"/>
                <w:szCs w:val="17"/>
              </w:rPr>
              <w:t>24.2</w:t>
            </w:r>
          </w:p>
        </w:tc>
      </w:tr>
      <w:tr w:rsidR="000C4EE5" w:rsidRPr="003B0793" w14:paraId="235A38D7" w14:textId="77777777" w:rsidTr="00D90B90">
        <w:tc>
          <w:tcPr>
            <w:tcW w:w="6204" w:type="dxa"/>
          </w:tcPr>
          <w:p w14:paraId="6DD4135C" w14:textId="77777777" w:rsidR="000C4EE5" w:rsidRDefault="000C4EE5" w:rsidP="00D90B90">
            <w:pPr>
              <w:keepNext/>
              <w:spacing w:after="0" w:line="240" w:lineRule="auto"/>
              <w:rPr>
                <w:rFonts w:eastAsia="Times New Roman"/>
                <w:sz w:val="17"/>
                <w:szCs w:val="17"/>
              </w:rPr>
            </w:pPr>
            <w:r>
              <w:rPr>
                <w:rFonts w:eastAsia="Times New Roman"/>
                <w:sz w:val="17"/>
                <w:szCs w:val="17"/>
              </w:rPr>
              <w:t>Gender</w:t>
            </w:r>
          </w:p>
        </w:tc>
        <w:tc>
          <w:tcPr>
            <w:tcW w:w="1984" w:type="dxa"/>
          </w:tcPr>
          <w:p w14:paraId="7BF7ADB3" w14:textId="77777777" w:rsidR="000C4EE5" w:rsidRDefault="00EE4108" w:rsidP="00D90B90">
            <w:pPr>
              <w:keepNext/>
              <w:spacing w:after="0" w:line="240" w:lineRule="auto"/>
              <w:rPr>
                <w:rFonts w:eastAsia="Times New Roman"/>
                <w:sz w:val="17"/>
                <w:szCs w:val="17"/>
              </w:rPr>
            </w:pPr>
            <w:r>
              <w:rPr>
                <w:rFonts w:eastAsia="Times New Roman"/>
                <w:sz w:val="17"/>
                <w:szCs w:val="17"/>
              </w:rPr>
              <w:t>3.6</w:t>
            </w:r>
          </w:p>
        </w:tc>
        <w:tc>
          <w:tcPr>
            <w:tcW w:w="1525" w:type="dxa"/>
          </w:tcPr>
          <w:p w14:paraId="67CFA0D7" w14:textId="77777777" w:rsidR="000C4EE5" w:rsidRPr="003B0793" w:rsidRDefault="00EE4108" w:rsidP="00D90B90">
            <w:pPr>
              <w:keepNext/>
              <w:spacing w:after="0" w:line="240" w:lineRule="auto"/>
              <w:rPr>
                <w:rFonts w:eastAsia="Times New Roman"/>
                <w:sz w:val="17"/>
                <w:szCs w:val="17"/>
              </w:rPr>
            </w:pPr>
            <w:r>
              <w:rPr>
                <w:rFonts w:eastAsia="Times New Roman"/>
                <w:sz w:val="17"/>
                <w:szCs w:val="17"/>
              </w:rPr>
              <w:t>4.6</w:t>
            </w:r>
          </w:p>
        </w:tc>
      </w:tr>
      <w:tr w:rsidR="00D90B90" w:rsidRPr="003B0793" w14:paraId="101CD938" w14:textId="77777777" w:rsidTr="00D90B90">
        <w:tc>
          <w:tcPr>
            <w:tcW w:w="6204" w:type="dxa"/>
          </w:tcPr>
          <w:p w14:paraId="574356B0" w14:textId="77777777" w:rsidR="00D90B90" w:rsidRDefault="000C4EE5" w:rsidP="00D90B90">
            <w:pPr>
              <w:keepNext/>
              <w:spacing w:after="0" w:line="240" w:lineRule="auto"/>
              <w:rPr>
                <w:rFonts w:eastAsia="Times New Roman"/>
                <w:sz w:val="17"/>
                <w:szCs w:val="17"/>
              </w:rPr>
            </w:pPr>
            <w:r>
              <w:rPr>
                <w:rFonts w:eastAsia="Times New Roman"/>
                <w:sz w:val="17"/>
                <w:szCs w:val="17"/>
              </w:rPr>
              <w:t>Scholarships</w:t>
            </w:r>
            <w:r w:rsidR="00D90B90">
              <w:rPr>
                <w:rFonts w:eastAsia="Times New Roman"/>
                <w:sz w:val="17"/>
                <w:szCs w:val="17"/>
              </w:rPr>
              <w:t xml:space="preserve"> </w:t>
            </w:r>
          </w:p>
        </w:tc>
        <w:tc>
          <w:tcPr>
            <w:tcW w:w="1984" w:type="dxa"/>
          </w:tcPr>
          <w:p w14:paraId="4D617BD2" w14:textId="77777777" w:rsidR="00D90B90" w:rsidRPr="003B0793" w:rsidRDefault="00EE4108" w:rsidP="00D90B90">
            <w:pPr>
              <w:keepNext/>
              <w:spacing w:after="0" w:line="240" w:lineRule="auto"/>
              <w:rPr>
                <w:rFonts w:eastAsia="Times New Roman"/>
                <w:sz w:val="17"/>
                <w:szCs w:val="17"/>
              </w:rPr>
            </w:pPr>
            <w:r>
              <w:rPr>
                <w:rFonts w:eastAsia="Times New Roman"/>
                <w:sz w:val="17"/>
                <w:szCs w:val="17"/>
              </w:rPr>
              <w:t>4.8</w:t>
            </w:r>
          </w:p>
        </w:tc>
        <w:tc>
          <w:tcPr>
            <w:tcW w:w="1525" w:type="dxa"/>
          </w:tcPr>
          <w:p w14:paraId="2FD817FC" w14:textId="77777777" w:rsidR="00D90B90" w:rsidRPr="003B0793" w:rsidRDefault="00EE4108" w:rsidP="00D90B90">
            <w:pPr>
              <w:keepNext/>
              <w:spacing w:after="0" w:line="240" w:lineRule="auto"/>
              <w:rPr>
                <w:rFonts w:eastAsia="Times New Roman"/>
                <w:sz w:val="17"/>
                <w:szCs w:val="17"/>
              </w:rPr>
            </w:pPr>
            <w:r>
              <w:rPr>
                <w:rFonts w:eastAsia="Times New Roman"/>
                <w:sz w:val="17"/>
                <w:szCs w:val="17"/>
              </w:rPr>
              <w:t>6</w:t>
            </w:r>
          </w:p>
        </w:tc>
      </w:tr>
      <w:tr w:rsidR="00D90B90" w:rsidRPr="003B0793" w14:paraId="306CF305" w14:textId="77777777" w:rsidTr="00D90B90">
        <w:tc>
          <w:tcPr>
            <w:tcW w:w="6204" w:type="dxa"/>
          </w:tcPr>
          <w:p w14:paraId="3DC5F570" w14:textId="77777777" w:rsidR="00D90B90" w:rsidRPr="002901DA" w:rsidRDefault="00D90B90" w:rsidP="00D90B90">
            <w:pPr>
              <w:keepNext/>
              <w:spacing w:after="0" w:line="240" w:lineRule="auto"/>
              <w:rPr>
                <w:rFonts w:eastAsia="Times New Roman"/>
                <w:i/>
                <w:sz w:val="17"/>
                <w:szCs w:val="17"/>
              </w:rPr>
            </w:pPr>
            <w:r w:rsidRPr="002901DA">
              <w:rPr>
                <w:rFonts w:eastAsia="Times New Roman"/>
                <w:b/>
                <w:i/>
                <w:sz w:val="17"/>
                <w:szCs w:val="17"/>
              </w:rPr>
              <w:t>Sub-Total Bilateral</w:t>
            </w:r>
          </w:p>
        </w:tc>
        <w:tc>
          <w:tcPr>
            <w:tcW w:w="1984" w:type="dxa"/>
          </w:tcPr>
          <w:p w14:paraId="6E659716" w14:textId="77777777" w:rsidR="00D90B90" w:rsidRPr="000C4EE5" w:rsidRDefault="000C4EE5" w:rsidP="000C4EE5">
            <w:pPr>
              <w:keepNext/>
              <w:spacing w:after="0" w:line="240" w:lineRule="auto"/>
              <w:jc w:val="center"/>
              <w:rPr>
                <w:rFonts w:eastAsia="Times New Roman"/>
                <w:b/>
                <w:sz w:val="17"/>
                <w:szCs w:val="17"/>
              </w:rPr>
            </w:pPr>
            <w:r w:rsidRPr="000C4EE5">
              <w:rPr>
                <w:rFonts w:eastAsia="Times New Roman"/>
                <w:b/>
                <w:sz w:val="17"/>
                <w:szCs w:val="17"/>
              </w:rPr>
              <w:t>50.3</w:t>
            </w:r>
          </w:p>
        </w:tc>
        <w:tc>
          <w:tcPr>
            <w:tcW w:w="1525" w:type="dxa"/>
          </w:tcPr>
          <w:p w14:paraId="4A62192F" w14:textId="77777777" w:rsidR="00D90B90" w:rsidRPr="000C4EE5" w:rsidRDefault="000C4EE5" w:rsidP="000C4EE5">
            <w:pPr>
              <w:keepNext/>
              <w:spacing w:after="0" w:line="240" w:lineRule="auto"/>
              <w:jc w:val="center"/>
              <w:rPr>
                <w:rFonts w:eastAsia="Times New Roman"/>
                <w:b/>
                <w:sz w:val="17"/>
                <w:szCs w:val="17"/>
              </w:rPr>
            </w:pPr>
            <w:r w:rsidRPr="000C4EE5">
              <w:rPr>
                <w:rFonts w:eastAsia="Times New Roman"/>
                <w:b/>
                <w:sz w:val="17"/>
                <w:szCs w:val="17"/>
              </w:rPr>
              <w:t>64</w:t>
            </w:r>
          </w:p>
        </w:tc>
      </w:tr>
      <w:tr w:rsidR="00D90B90" w:rsidRPr="007F27F8" w14:paraId="424C16CA" w14:textId="77777777" w:rsidTr="00D90B90">
        <w:tc>
          <w:tcPr>
            <w:tcW w:w="6204" w:type="dxa"/>
          </w:tcPr>
          <w:p w14:paraId="5EB3E393" w14:textId="77777777" w:rsidR="00D90B90" w:rsidRPr="007F27F8" w:rsidRDefault="00D90B90" w:rsidP="00D90B90">
            <w:pPr>
              <w:keepNext/>
              <w:spacing w:after="0" w:line="240" w:lineRule="auto"/>
              <w:rPr>
                <w:rFonts w:eastAsia="Times New Roman"/>
                <w:b/>
                <w:sz w:val="17"/>
                <w:szCs w:val="17"/>
              </w:rPr>
            </w:pPr>
            <w:r w:rsidRPr="003B0793">
              <w:rPr>
                <w:rFonts w:eastAsia="Times New Roman"/>
                <w:sz w:val="17"/>
                <w:szCs w:val="17"/>
              </w:rPr>
              <w:t>Regional and Global</w:t>
            </w:r>
          </w:p>
        </w:tc>
        <w:tc>
          <w:tcPr>
            <w:tcW w:w="1984" w:type="dxa"/>
          </w:tcPr>
          <w:p w14:paraId="362E79A9" w14:textId="77777777" w:rsidR="00D90B90" w:rsidRPr="007F27F8" w:rsidRDefault="001A4C4E" w:rsidP="00D90B90">
            <w:pPr>
              <w:keepNext/>
              <w:spacing w:after="0" w:line="240" w:lineRule="auto"/>
              <w:rPr>
                <w:rFonts w:eastAsia="Times New Roman"/>
                <w:b/>
                <w:sz w:val="17"/>
                <w:szCs w:val="17"/>
              </w:rPr>
            </w:pPr>
            <w:r>
              <w:rPr>
                <w:rFonts w:eastAsia="Times New Roman"/>
                <w:sz w:val="17"/>
                <w:szCs w:val="17"/>
              </w:rPr>
              <w:t>25</w:t>
            </w:r>
            <w:r w:rsidR="00D90B90">
              <w:rPr>
                <w:rFonts w:eastAsia="Times New Roman"/>
                <w:sz w:val="17"/>
                <w:szCs w:val="17"/>
              </w:rPr>
              <w:t>.9</w:t>
            </w:r>
          </w:p>
        </w:tc>
        <w:tc>
          <w:tcPr>
            <w:tcW w:w="1525" w:type="dxa"/>
          </w:tcPr>
          <w:p w14:paraId="2FFE1A84" w14:textId="77777777" w:rsidR="00D90B90" w:rsidRPr="000C4EE5" w:rsidRDefault="000C4EE5" w:rsidP="00D90B90">
            <w:pPr>
              <w:keepNext/>
              <w:spacing w:after="0" w:line="240" w:lineRule="auto"/>
              <w:rPr>
                <w:rFonts w:eastAsia="Times New Roman"/>
                <w:sz w:val="17"/>
                <w:szCs w:val="17"/>
              </w:rPr>
            </w:pPr>
            <w:r w:rsidRPr="000C4EE5">
              <w:rPr>
                <w:rFonts w:eastAsia="Times New Roman"/>
                <w:sz w:val="17"/>
                <w:szCs w:val="17"/>
              </w:rPr>
              <w:t>33</w:t>
            </w:r>
          </w:p>
        </w:tc>
      </w:tr>
      <w:tr w:rsidR="00D90B90" w:rsidRPr="003B0793" w14:paraId="4C6BAB0F" w14:textId="77777777" w:rsidTr="00D90B90">
        <w:tc>
          <w:tcPr>
            <w:tcW w:w="6204" w:type="dxa"/>
          </w:tcPr>
          <w:p w14:paraId="7C131F3E" w14:textId="77777777" w:rsidR="00D90B90" w:rsidRPr="003B0793" w:rsidRDefault="00D90B90" w:rsidP="00D90B90">
            <w:pPr>
              <w:keepNext/>
              <w:spacing w:after="0" w:line="240" w:lineRule="auto"/>
              <w:rPr>
                <w:rFonts w:eastAsia="Times New Roman"/>
                <w:sz w:val="17"/>
                <w:szCs w:val="17"/>
              </w:rPr>
            </w:pPr>
            <w:r w:rsidRPr="003B0793">
              <w:rPr>
                <w:rFonts w:eastAsia="Times New Roman"/>
                <w:sz w:val="17"/>
                <w:szCs w:val="17"/>
              </w:rPr>
              <w:t>Other Government Departments</w:t>
            </w:r>
          </w:p>
        </w:tc>
        <w:tc>
          <w:tcPr>
            <w:tcW w:w="1984" w:type="dxa"/>
          </w:tcPr>
          <w:p w14:paraId="04A281E4" w14:textId="77777777" w:rsidR="00D90B90" w:rsidRPr="003B0793" w:rsidRDefault="001A4C4E" w:rsidP="00D90B90">
            <w:pPr>
              <w:keepNext/>
              <w:spacing w:after="0" w:line="240" w:lineRule="auto"/>
              <w:rPr>
                <w:rFonts w:eastAsia="Times New Roman"/>
                <w:sz w:val="17"/>
                <w:szCs w:val="17"/>
              </w:rPr>
            </w:pPr>
            <w:r>
              <w:rPr>
                <w:rFonts w:eastAsia="Times New Roman"/>
                <w:sz w:val="17"/>
                <w:szCs w:val="17"/>
              </w:rPr>
              <w:t>2.5</w:t>
            </w:r>
          </w:p>
        </w:tc>
        <w:tc>
          <w:tcPr>
            <w:tcW w:w="1525" w:type="dxa"/>
          </w:tcPr>
          <w:p w14:paraId="695DBEC0" w14:textId="77777777" w:rsidR="00D90B90" w:rsidRPr="003B0793" w:rsidRDefault="000C4EE5" w:rsidP="00D90B90">
            <w:pPr>
              <w:keepNext/>
              <w:spacing w:after="0" w:line="240" w:lineRule="auto"/>
              <w:rPr>
                <w:rFonts w:eastAsia="Times New Roman"/>
                <w:sz w:val="17"/>
                <w:szCs w:val="17"/>
              </w:rPr>
            </w:pPr>
            <w:r>
              <w:rPr>
                <w:rFonts w:eastAsia="Times New Roman"/>
                <w:sz w:val="17"/>
                <w:szCs w:val="17"/>
              </w:rPr>
              <w:t>3</w:t>
            </w:r>
          </w:p>
        </w:tc>
      </w:tr>
      <w:tr w:rsidR="00D90B90" w:rsidRPr="003B0793" w14:paraId="5E13A9E9" w14:textId="77777777" w:rsidTr="00E23256">
        <w:trPr>
          <w:trHeight w:val="109"/>
        </w:trPr>
        <w:tc>
          <w:tcPr>
            <w:tcW w:w="6204" w:type="dxa"/>
          </w:tcPr>
          <w:p w14:paraId="598E3A16" w14:textId="77777777" w:rsidR="00D90B90" w:rsidRPr="003B0793" w:rsidRDefault="00D90B90" w:rsidP="00D90B90">
            <w:pPr>
              <w:keepNext/>
              <w:spacing w:after="0" w:line="240" w:lineRule="auto"/>
              <w:rPr>
                <w:rFonts w:eastAsia="Times New Roman"/>
                <w:sz w:val="17"/>
                <w:szCs w:val="17"/>
              </w:rPr>
            </w:pPr>
            <w:r w:rsidRPr="007F27F8">
              <w:rPr>
                <w:rFonts w:eastAsia="Times New Roman"/>
                <w:b/>
                <w:sz w:val="17"/>
                <w:szCs w:val="17"/>
              </w:rPr>
              <w:t>Total ODA Expenditure</w:t>
            </w:r>
          </w:p>
        </w:tc>
        <w:tc>
          <w:tcPr>
            <w:tcW w:w="1984" w:type="dxa"/>
          </w:tcPr>
          <w:p w14:paraId="40573D73" w14:textId="77777777" w:rsidR="00D90B90" w:rsidRPr="003B0793" w:rsidRDefault="00D90B90" w:rsidP="00D90B90">
            <w:pPr>
              <w:keepNext/>
              <w:spacing w:after="0" w:line="240" w:lineRule="auto"/>
              <w:rPr>
                <w:rFonts w:eastAsia="Times New Roman"/>
                <w:sz w:val="17"/>
                <w:szCs w:val="17"/>
              </w:rPr>
            </w:pPr>
            <w:r w:rsidRPr="007F27F8">
              <w:rPr>
                <w:rFonts w:eastAsia="Times New Roman"/>
                <w:b/>
                <w:sz w:val="17"/>
                <w:szCs w:val="17"/>
              </w:rPr>
              <w:t>78.7</w:t>
            </w:r>
          </w:p>
        </w:tc>
        <w:tc>
          <w:tcPr>
            <w:tcW w:w="1525" w:type="dxa"/>
          </w:tcPr>
          <w:p w14:paraId="6DDD4E59" w14:textId="77777777" w:rsidR="00D90B90" w:rsidRPr="003B0793" w:rsidRDefault="00D90B90" w:rsidP="00D90B90">
            <w:pPr>
              <w:keepNext/>
              <w:spacing w:after="0" w:line="240" w:lineRule="auto"/>
              <w:rPr>
                <w:rFonts w:eastAsia="Times New Roman"/>
                <w:sz w:val="17"/>
                <w:szCs w:val="17"/>
              </w:rPr>
            </w:pPr>
            <w:r>
              <w:rPr>
                <w:rFonts w:eastAsia="Times New Roman"/>
                <w:b/>
                <w:sz w:val="17"/>
                <w:szCs w:val="17"/>
              </w:rPr>
              <w:t>100</w:t>
            </w:r>
          </w:p>
        </w:tc>
      </w:tr>
    </w:tbl>
    <w:p w14:paraId="336A39F8" w14:textId="77777777" w:rsidR="00D90B90" w:rsidRPr="002A51CA" w:rsidRDefault="00D90B90" w:rsidP="00D90B90">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sidRPr="002A51CA">
        <w:rPr>
          <w:rFonts w:asciiTheme="majorHAnsi" w:eastAsiaTheme="majorEastAsia" w:hAnsiTheme="majorHAnsi" w:cstheme="majorBidi"/>
          <w:caps/>
          <w:color w:val="495965" w:themeColor="text2"/>
          <w:sz w:val="38"/>
          <w:szCs w:val="26"/>
          <w:lang w:val="en-GB" w:eastAsia="en-US"/>
        </w:rPr>
        <w:t>Progress towards Objectives</w:t>
      </w:r>
      <w:r w:rsidRPr="002A51CA">
        <w:rPr>
          <w:rFonts w:asciiTheme="majorHAnsi" w:eastAsiaTheme="majorEastAsia" w:hAnsiTheme="majorHAnsi" w:cstheme="majorBidi"/>
          <w:caps/>
          <w:color w:val="495965" w:themeColor="text2"/>
          <w:sz w:val="38"/>
          <w:szCs w:val="26"/>
          <w:lang w:val="en-GB" w:eastAsia="en-US"/>
        </w:rPr>
        <w:tab/>
      </w:r>
    </w:p>
    <w:p w14:paraId="0D3EAF45" w14:textId="77777777" w:rsidR="00F27056" w:rsidRDefault="00F27056" w:rsidP="00D90B90">
      <w:pPr>
        <w:rPr>
          <w:rFonts w:ascii="Calibri Light" w:eastAsia="Calibri Light" w:hAnsi="Calibri Light" w:cs="Times New Roman"/>
          <w:color w:val="495965"/>
        </w:rPr>
      </w:pPr>
      <w:r w:rsidRPr="00C92066">
        <w:rPr>
          <w:rFonts w:ascii="Calibri Light" w:eastAsia="Calibri Light" w:hAnsi="Calibri Light" w:cs="Times New Roman"/>
          <w:color w:val="495965"/>
        </w:rPr>
        <w:t xml:space="preserve">Prior to </w:t>
      </w:r>
      <w:r>
        <w:rPr>
          <w:rFonts w:ascii="Calibri Light" w:eastAsia="Calibri Light" w:hAnsi="Calibri Light" w:cs="Times New Roman"/>
          <w:color w:val="495965"/>
        </w:rPr>
        <w:t>Fiji’s</w:t>
      </w:r>
      <w:r w:rsidRPr="00C92066">
        <w:rPr>
          <w:rFonts w:ascii="Calibri Light" w:eastAsia="Calibri Light" w:hAnsi="Calibri Light" w:cs="Times New Roman"/>
          <w:color w:val="495965"/>
        </w:rPr>
        <w:t xml:space="preserve"> 2014 elections, Australia’s aid was primarily directed to, and delivered by, community </w:t>
      </w:r>
      <w:r>
        <w:rPr>
          <w:rFonts w:ascii="Calibri Light" w:eastAsia="Calibri Light" w:hAnsi="Calibri Light" w:cs="Times New Roman"/>
          <w:color w:val="495965"/>
        </w:rPr>
        <w:t>groups</w:t>
      </w:r>
      <w:r w:rsidRPr="00C92066">
        <w:rPr>
          <w:rFonts w:ascii="Calibri Light" w:eastAsia="Calibri Light" w:hAnsi="Calibri Light" w:cs="Times New Roman"/>
          <w:color w:val="495965"/>
        </w:rPr>
        <w:t xml:space="preserve"> and non-government organisation</w:t>
      </w:r>
      <w:r>
        <w:rPr>
          <w:rFonts w:ascii="Calibri Light" w:eastAsia="Calibri Light" w:hAnsi="Calibri Light" w:cs="Times New Roman"/>
          <w:color w:val="495965"/>
        </w:rPr>
        <w:t>s</w:t>
      </w:r>
      <w:r w:rsidRPr="00C92066">
        <w:rPr>
          <w:rFonts w:ascii="Calibri Light" w:eastAsia="Calibri Light" w:hAnsi="Calibri Light" w:cs="Times New Roman"/>
          <w:color w:val="495965"/>
        </w:rPr>
        <w:t xml:space="preserve">; but </w:t>
      </w:r>
      <w:r>
        <w:rPr>
          <w:rFonts w:ascii="Calibri Light" w:eastAsia="Calibri Light" w:hAnsi="Calibri Light" w:cs="Times New Roman"/>
          <w:color w:val="495965"/>
        </w:rPr>
        <w:t xml:space="preserve">since then the aid program has been </w:t>
      </w:r>
      <w:r w:rsidR="00323490">
        <w:rPr>
          <w:rFonts w:ascii="Calibri Light" w:eastAsia="Calibri Light" w:hAnsi="Calibri Light" w:cs="Times New Roman"/>
          <w:color w:val="495965"/>
        </w:rPr>
        <w:t>reorient</w:t>
      </w:r>
      <w:r>
        <w:rPr>
          <w:rFonts w:ascii="Calibri Light" w:eastAsia="Calibri Light" w:hAnsi="Calibri Light" w:cs="Times New Roman"/>
          <w:color w:val="495965"/>
        </w:rPr>
        <w:t>ed</w:t>
      </w:r>
      <w:r w:rsidRPr="00C92066">
        <w:rPr>
          <w:rFonts w:ascii="Calibri Light" w:eastAsia="Calibri Light" w:hAnsi="Calibri Light" w:cs="Times New Roman"/>
          <w:color w:val="495965"/>
        </w:rPr>
        <w:t xml:space="preserve"> towards working directly with </w:t>
      </w:r>
      <w:r>
        <w:rPr>
          <w:rFonts w:ascii="Calibri Light" w:eastAsia="Calibri Light" w:hAnsi="Calibri Light" w:cs="Times New Roman"/>
          <w:color w:val="495965"/>
        </w:rPr>
        <w:t>Fiji government</w:t>
      </w:r>
      <w:r w:rsidRPr="00C92066">
        <w:rPr>
          <w:rFonts w:ascii="Calibri Light" w:eastAsia="Calibri Light" w:hAnsi="Calibri Light" w:cs="Times New Roman"/>
          <w:color w:val="495965"/>
        </w:rPr>
        <w:t xml:space="preserve"> ministries,  agencies</w:t>
      </w:r>
      <w:r>
        <w:rPr>
          <w:rFonts w:ascii="Calibri Light" w:eastAsia="Calibri Light" w:hAnsi="Calibri Light" w:cs="Times New Roman"/>
          <w:color w:val="495965"/>
        </w:rPr>
        <w:t xml:space="preserve">, and </w:t>
      </w:r>
      <w:r w:rsidRPr="00C92066">
        <w:rPr>
          <w:rFonts w:ascii="Calibri Light" w:eastAsia="Calibri Light" w:hAnsi="Calibri Light" w:cs="Times New Roman"/>
          <w:color w:val="495965"/>
        </w:rPr>
        <w:t xml:space="preserve">the Fiji Parliament. </w:t>
      </w:r>
      <w:r>
        <w:rPr>
          <w:rFonts w:ascii="Calibri Light" w:eastAsia="Calibri Light" w:hAnsi="Calibri Light" w:cs="Times New Roman"/>
          <w:color w:val="495965"/>
        </w:rPr>
        <w:t>In 2015-16, nine</w:t>
      </w:r>
      <w:r w:rsidRPr="00C92066">
        <w:rPr>
          <w:rFonts w:ascii="Calibri Light" w:eastAsia="Calibri Light" w:hAnsi="Calibri Light" w:cs="Times New Roman"/>
          <w:color w:val="495965"/>
        </w:rPr>
        <w:t xml:space="preserve"> Australian government agencies work</w:t>
      </w:r>
      <w:r>
        <w:rPr>
          <w:rFonts w:ascii="Calibri Light" w:eastAsia="Calibri Light" w:hAnsi="Calibri Light" w:cs="Times New Roman"/>
          <w:color w:val="495965"/>
        </w:rPr>
        <w:t xml:space="preserve">ed closely </w:t>
      </w:r>
      <w:r w:rsidRPr="00C92066">
        <w:rPr>
          <w:rFonts w:ascii="Calibri Light" w:eastAsia="Calibri Light" w:hAnsi="Calibri Light" w:cs="Times New Roman"/>
          <w:color w:val="495965"/>
        </w:rPr>
        <w:t>with their counterparts in Fiji</w:t>
      </w:r>
      <w:r>
        <w:rPr>
          <w:rFonts w:ascii="Calibri Light" w:eastAsia="Calibri Light" w:hAnsi="Calibri Light" w:cs="Times New Roman"/>
          <w:color w:val="495965"/>
        </w:rPr>
        <w:t xml:space="preserve">, </w:t>
      </w:r>
      <w:r w:rsidRPr="00C92066">
        <w:rPr>
          <w:rFonts w:ascii="Calibri Light" w:eastAsia="Calibri Light" w:hAnsi="Calibri Light" w:cs="Times New Roman"/>
          <w:color w:val="495965"/>
        </w:rPr>
        <w:t>broaden</w:t>
      </w:r>
      <w:r>
        <w:rPr>
          <w:rFonts w:ascii="Calibri Light" w:eastAsia="Calibri Light" w:hAnsi="Calibri Light" w:cs="Times New Roman"/>
          <w:color w:val="495965"/>
        </w:rPr>
        <w:t>ing</w:t>
      </w:r>
      <w:r w:rsidRPr="00C92066">
        <w:rPr>
          <w:rFonts w:ascii="Calibri Light" w:eastAsia="Calibri Light" w:hAnsi="Calibri Light" w:cs="Times New Roman"/>
          <w:color w:val="495965"/>
        </w:rPr>
        <w:t xml:space="preserve"> and de</w:t>
      </w:r>
      <w:r>
        <w:rPr>
          <w:rFonts w:ascii="Calibri Light" w:eastAsia="Calibri Light" w:hAnsi="Calibri Light" w:cs="Times New Roman"/>
          <w:color w:val="495965"/>
        </w:rPr>
        <w:t>epening the bilateral relationship</w:t>
      </w:r>
      <w:r w:rsidRPr="00C92066">
        <w:rPr>
          <w:rFonts w:ascii="Calibri Light" w:eastAsia="Calibri Light" w:hAnsi="Calibri Light" w:cs="Times New Roman"/>
          <w:color w:val="495965"/>
        </w:rPr>
        <w:t>.</w:t>
      </w:r>
    </w:p>
    <w:p w14:paraId="38D6AB2E" w14:textId="77777777" w:rsidR="00487247" w:rsidRDefault="00487247" w:rsidP="00D90B90">
      <w:r>
        <w:t xml:space="preserve">2015-16 saw an </w:t>
      </w:r>
      <w:r w:rsidR="00D90B90" w:rsidRPr="00FF52C2">
        <w:t>expansion of activities to support</w:t>
      </w:r>
      <w:r w:rsidR="00EB7494">
        <w:t xml:space="preserve"> gender equality,</w:t>
      </w:r>
      <w:r w:rsidR="00D90B90" w:rsidRPr="00FF52C2">
        <w:t xml:space="preserve"> private sector development and good governance</w:t>
      </w:r>
      <w:r w:rsidR="00C27851">
        <w:t>, with advisory support provided to the Government</w:t>
      </w:r>
      <w:r w:rsidR="004A2721">
        <w:t xml:space="preserve"> of Fiji</w:t>
      </w:r>
      <w:r w:rsidR="00C27851">
        <w:t xml:space="preserve"> to assist with sensitive economic and public sector reforms</w:t>
      </w:r>
      <w:r w:rsidR="003A2B5E">
        <w:t xml:space="preserve"> </w:t>
      </w:r>
      <w:r w:rsidR="0062156C">
        <w:t xml:space="preserve">as well as </w:t>
      </w:r>
      <w:r w:rsidR="003A2B5E">
        <w:t>progress</w:t>
      </w:r>
      <w:r w:rsidR="00EB7494">
        <w:t xml:space="preserve"> Fiji’s National Gender Policy.</w:t>
      </w:r>
      <w:r w:rsidR="00F27056">
        <w:t xml:space="preserve"> The aid program continued to transfer responsibilities for health and education programs to relevant Ministries to ensure key activities will continue when individual programs end.</w:t>
      </w:r>
    </w:p>
    <w:p w14:paraId="1E71D7A2" w14:textId="77777777" w:rsidR="00F71AAA" w:rsidRDefault="0062156C" w:rsidP="00D90B90">
      <w:r>
        <w:t xml:space="preserve">The Australian Government responded to the devastation caused by </w:t>
      </w:r>
      <w:r w:rsidR="00487247">
        <w:t xml:space="preserve">TC Winston </w:t>
      </w:r>
      <w:r>
        <w:t xml:space="preserve">with the rapid deployment of one of Australia’s largest </w:t>
      </w:r>
      <w:r w:rsidR="00BD42EE">
        <w:t xml:space="preserve">overseas </w:t>
      </w:r>
      <w:r>
        <w:t xml:space="preserve">humanitarian operations. </w:t>
      </w:r>
      <w:r w:rsidR="00BD42EE">
        <w:t>Inevitably, t</w:t>
      </w:r>
      <w:r>
        <w:t xml:space="preserve">he destruction caused by TC Winston and the need to develop and deploy such </w:t>
      </w:r>
      <w:r w:rsidR="001F083C">
        <w:t>a large humanitarian relief program</w:t>
      </w:r>
      <w:r>
        <w:t xml:space="preserve"> in a short space of time </w:t>
      </w:r>
      <w:r w:rsidR="003C38E3">
        <w:t xml:space="preserve">adversely affected </w:t>
      </w:r>
      <w:r>
        <w:t xml:space="preserve">the bilateral aid program. Staff and resources supporting the </w:t>
      </w:r>
      <w:r w:rsidR="00BD42EE">
        <w:t xml:space="preserve">bilateral </w:t>
      </w:r>
      <w:r>
        <w:t xml:space="preserve">program were diverted to develop and deliver </w:t>
      </w:r>
      <w:r w:rsidR="004C4A49">
        <w:t xml:space="preserve">Australia’s emergency response. </w:t>
      </w:r>
      <w:r w:rsidR="00F27056">
        <w:t>Over time</w:t>
      </w:r>
      <w:r>
        <w:t xml:space="preserve">, </w:t>
      </w:r>
      <w:r w:rsidR="00F71AAA">
        <w:t xml:space="preserve">individual </w:t>
      </w:r>
      <w:r w:rsidR="00EB7494">
        <w:t xml:space="preserve">programs adjusted to the new challenges </w:t>
      </w:r>
      <w:r w:rsidR="004A2721">
        <w:t>presented</w:t>
      </w:r>
      <w:r w:rsidR="00EB7494">
        <w:t xml:space="preserve"> by </w:t>
      </w:r>
      <w:r w:rsidR="00BD42EE">
        <w:t>the cyclone</w:t>
      </w:r>
      <w:r w:rsidR="00EB7494">
        <w:t>.</w:t>
      </w:r>
    </w:p>
    <w:p w14:paraId="106A261D" w14:textId="77777777" w:rsidR="00F71AAA" w:rsidRDefault="00F71AAA" w:rsidP="00D90B90">
      <w:r>
        <w:t>Despite the enormous challenges caused by TC Winston, t</w:t>
      </w:r>
      <w:r w:rsidR="00D90B90" w:rsidRPr="0054017F">
        <w:t xml:space="preserve">he Fiji program </w:t>
      </w:r>
      <w:r w:rsidR="0062156C">
        <w:t xml:space="preserve">was able to maintain </w:t>
      </w:r>
      <w:r w:rsidR="00F27056">
        <w:t xml:space="preserve">progress as expected in the support of </w:t>
      </w:r>
      <w:r w:rsidR="0062156C">
        <w:t>Increased Private Sector Development</w:t>
      </w:r>
      <w:r>
        <w:t xml:space="preserve">.  The speed and effectiveness of the program’s response to the needs generated by </w:t>
      </w:r>
      <w:r w:rsidR="00F27056">
        <w:t>TC Winston also means the program has been assessed positively for its initiation response to this new priority.</w:t>
      </w:r>
    </w:p>
    <w:p w14:paraId="5344EC38" w14:textId="77777777" w:rsidR="00D90B90" w:rsidRPr="005218E3" w:rsidRDefault="00F27056" w:rsidP="00D90B90">
      <w:pPr>
        <w:rPr>
          <w:i/>
          <w:color w:val="0070C0"/>
        </w:rPr>
      </w:pPr>
      <w:r>
        <w:t>The</w:t>
      </w:r>
      <w:r w:rsidR="00F67381">
        <w:t xml:space="preserve"> widespread damage to schools and medical facilitie</w:t>
      </w:r>
      <w:r>
        <w:t xml:space="preserve">s did, however, </w:t>
      </w:r>
      <w:r w:rsidR="00F67381">
        <w:t>disrupt existing programs while Ministries and workers concentrated on meeting the immediate needs of their families and neighbours. This meant that s</w:t>
      </w:r>
      <w:r w:rsidR="00BD42EE">
        <w:t xml:space="preserve">ome elements of the </w:t>
      </w:r>
      <w:r w:rsidR="00F67381">
        <w:t>program were not able to achieve the progress that had been expected at the start of the period</w:t>
      </w:r>
      <w:r w:rsidR="00BD42EE">
        <w:t xml:space="preserve">.  As a result, </w:t>
      </w:r>
      <w:r w:rsidR="00F67381">
        <w:t>the program’s second objective of Improved Human Development has been given an amber rating</w:t>
      </w:r>
      <w:r w:rsidR="004C4A49">
        <w:t xml:space="preserve">. </w:t>
      </w:r>
    </w:p>
    <w:p w14:paraId="1626F757" w14:textId="3332DF6D" w:rsidR="00D90B90" w:rsidRPr="008C2F58" w:rsidRDefault="00D90B90" w:rsidP="00D90B90">
      <w:pPr>
        <w:rPr>
          <w:b/>
          <w:sz w:val="24"/>
        </w:rPr>
      </w:pPr>
      <w:r w:rsidRPr="008C2F58">
        <w:rPr>
          <w:b/>
          <w:sz w:val="24"/>
        </w:rPr>
        <w:t xml:space="preserve">Table </w:t>
      </w:r>
      <w:r w:rsidRPr="008C2F58">
        <w:rPr>
          <w:b/>
          <w:sz w:val="24"/>
        </w:rPr>
        <w:fldChar w:fldCharType="begin"/>
      </w:r>
      <w:r w:rsidRPr="008C2F58">
        <w:rPr>
          <w:b/>
          <w:sz w:val="24"/>
        </w:rPr>
        <w:instrText xml:space="preserve"> SEQ Table \* ARABIC </w:instrText>
      </w:r>
      <w:r w:rsidRPr="008C2F58">
        <w:rPr>
          <w:b/>
          <w:sz w:val="24"/>
        </w:rPr>
        <w:fldChar w:fldCharType="separate"/>
      </w:r>
      <w:r w:rsidR="00332F13">
        <w:rPr>
          <w:b/>
          <w:noProof/>
          <w:sz w:val="24"/>
        </w:rPr>
        <w:t>2</w:t>
      </w:r>
      <w:r w:rsidRPr="008C2F58">
        <w:rPr>
          <w:b/>
          <w:noProof/>
          <w:sz w:val="24"/>
        </w:rPr>
        <w:fldChar w:fldCharType="end"/>
      </w:r>
      <w:r w:rsidR="004A2721">
        <w:rPr>
          <w:b/>
          <w:noProof/>
          <w:sz w:val="24"/>
        </w:rPr>
        <w:t>:</w:t>
      </w:r>
      <w:r w:rsidRPr="008C2F58">
        <w:rPr>
          <w:b/>
          <w:sz w:val="24"/>
        </w:rPr>
        <w:t xml:space="preserve"> Rating of the Program's Progress towards Australia’s Aid Objectives</w:t>
      </w:r>
    </w:p>
    <w:tbl>
      <w:tblPr>
        <w:tblStyle w:val="APPR"/>
        <w:tblW w:w="5000" w:type="pct"/>
        <w:tblLook w:val="0000" w:firstRow="0" w:lastRow="0" w:firstColumn="0" w:lastColumn="0" w:noHBand="0" w:noVBand="0"/>
      </w:tblPr>
      <w:tblGrid>
        <w:gridCol w:w="5832"/>
        <w:gridCol w:w="1749"/>
        <w:gridCol w:w="505"/>
        <w:gridCol w:w="1552"/>
      </w:tblGrid>
      <w:tr w:rsidR="00D90B90" w:rsidRPr="003B0793" w14:paraId="293691F7" w14:textId="77777777" w:rsidTr="00066293">
        <w:trPr>
          <w:cnfStyle w:val="000000010000" w:firstRow="0" w:lastRow="0" w:firstColumn="0" w:lastColumn="0" w:oddVBand="0" w:evenVBand="0" w:oddHBand="0" w:evenHBand="1" w:firstRowFirstColumn="0" w:firstRowLastColumn="0" w:lastRowFirstColumn="0" w:lastRowLastColumn="0"/>
          <w:trHeight w:val="443"/>
        </w:trPr>
        <w:tc>
          <w:tcPr>
            <w:tcW w:w="6048" w:type="dxa"/>
          </w:tcPr>
          <w:p w14:paraId="6FEB73A8" w14:textId="77777777" w:rsidR="00D90B90" w:rsidRPr="003B0793" w:rsidRDefault="00D90B90" w:rsidP="00D90B90">
            <w:pPr>
              <w:keepLines/>
              <w:spacing w:before="80" w:after="80" w:line="200" w:lineRule="atLeast"/>
              <w:rPr>
                <w:rFonts w:asciiTheme="minorHAnsi" w:eastAsia="Times New Roman" w:hAnsiTheme="minorHAnsi"/>
                <w:b/>
                <w:iCs/>
                <w:szCs w:val="17"/>
                <w:lang w:eastAsia="en-US"/>
              </w:rPr>
            </w:pPr>
            <w:r w:rsidRPr="003B0793">
              <w:rPr>
                <w:rFonts w:eastAsia="Times New Roman"/>
                <w:b/>
                <w:iCs/>
                <w:noProof/>
                <w:szCs w:val="17"/>
                <w:lang w:val="en-AU"/>
              </w:rPr>
              <w:drawing>
                <wp:anchor distT="0" distB="0" distL="114300" distR="114300" simplePos="0" relativeHeight="251678720" behindDoc="0" locked="0" layoutInCell="1" allowOverlap="1" wp14:anchorId="72953AA2" wp14:editId="61F74412">
                  <wp:simplePos x="0" y="0"/>
                  <wp:positionH relativeFrom="column">
                    <wp:posOffset>0</wp:posOffset>
                  </wp:positionH>
                  <wp:positionV relativeFrom="paragraph">
                    <wp:posOffset>0</wp:posOffset>
                  </wp:positionV>
                  <wp:extent cx="1857375" cy="228600"/>
                  <wp:effectExtent l="0" t="0" r="9525" b="0"/>
                  <wp:wrapNone/>
                  <wp:docPr id="2" name="Picture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hidden="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793">
              <w:rPr>
                <w:rFonts w:asciiTheme="minorHAnsi" w:eastAsia="Times New Roman" w:hAnsiTheme="minorHAnsi"/>
                <w:b/>
                <w:iCs/>
                <w:szCs w:val="17"/>
                <w:lang w:eastAsia="en-US"/>
              </w:rPr>
              <w:t>Objective</w:t>
            </w:r>
          </w:p>
        </w:tc>
        <w:tc>
          <w:tcPr>
            <w:tcW w:w="1721" w:type="dxa"/>
          </w:tcPr>
          <w:p w14:paraId="36C0F6EF" w14:textId="77777777" w:rsidR="00D90B90" w:rsidRPr="003B0793" w:rsidRDefault="00D90B90" w:rsidP="00D90B90">
            <w:pPr>
              <w:keepLines/>
              <w:spacing w:before="80" w:after="80" w:line="200" w:lineRule="atLeast"/>
              <w:jc w:val="center"/>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Previous Rating</w:t>
            </w:r>
          </w:p>
        </w:tc>
        <w:tc>
          <w:tcPr>
            <w:tcW w:w="491" w:type="dxa"/>
          </w:tcPr>
          <w:p w14:paraId="23CDEEE4" w14:textId="77777777" w:rsidR="00D90B90" w:rsidRPr="003B0793" w:rsidRDefault="00D90B90" w:rsidP="00D90B90">
            <w:pPr>
              <w:keepLines/>
              <w:spacing w:before="80" w:after="80" w:line="200" w:lineRule="atLeast"/>
              <w:jc w:val="center"/>
              <w:rPr>
                <w:rFonts w:asciiTheme="minorHAnsi" w:eastAsia="Times New Roman" w:hAnsiTheme="minorHAnsi"/>
                <w:b/>
                <w:iCs/>
                <w:szCs w:val="17"/>
                <w:lang w:eastAsia="en-US"/>
              </w:rPr>
            </w:pPr>
          </w:p>
        </w:tc>
        <w:tc>
          <w:tcPr>
            <w:tcW w:w="1510" w:type="dxa"/>
          </w:tcPr>
          <w:p w14:paraId="2E525FEB" w14:textId="77777777" w:rsidR="00D90B90" w:rsidRPr="003B0793" w:rsidRDefault="00D90B90" w:rsidP="00D90B90">
            <w:pPr>
              <w:keepLines/>
              <w:spacing w:before="80" w:after="80" w:line="200" w:lineRule="atLeast"/>
              <w:jc w:val="center"/>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Current Rating</w:t>
            </w:r>
          </w:p>
        </w:tc>
      </w:tr>
      <w:tr w:rsidR="00D90B90" w:rsidRPr="003B0793" w14:paraId="1072FBCF" w14:textId="77777777" w:rsidTr="00066293">
        <w:trPr>
          <w:cnfStyle w:val="000000010000" w:firstRow="0" w:lastRow="0" w:firstColumn="0" w:lastColumn="0" w:oddVBand="0" w:evenVBand="0" w:oddHBand="0" w:evenHBand="1" w:firstRowFirstColumn="0" w:firstRowLastColumn="0" w:lastRowFirstColumn="0" w:lastRowLastColumn="0"/>
        </w:trPr>
        <w:tc>
          <w:tcPr>
            <w:tcW w:w="6048" w:type="dxa"/>
          </w:tcPr>
          <w:p w14:paraId="2D8A712C" w14:textId="77777777" w:rsidR="00D90B90" w:rsidRPr="003B0793" w:rsidRDefault="00D90B90" w:rsidP="00D90B90">
            <w:pPr>
              <w:keepLines/>
              <w:spacing w:before="40" w:after="40" w:line="200" w:lineRule="atLeast"/>
              <w:rPr>
                <w:rFonts w:asciiTheme="minorHAnsi" w:eastAsia="Times New Roman" w:hAnsiTheme="minorHAnsi"/>
                <w:iCs/>
                <w:szCs w:val="17"/>
                <w:lang w:eastAsia="en-US"/>
              </w:rPr>
            </w:pPr>
            <w:r w:rsidRPr="007F27F8">
              <w:rPr>
                <w:rFonts w:asciiTheme="minorHAnsi" w:eastAsia="Times New Roman" w:hAnsiTheme="minorHAnsi" w:cs="Times New Roman"/>
                <w:iCs/>
                <w:color w:val="auto"/>
                <w:szCs w:val="17"/>
                <w:lang w:val="en-AU"/>
              </w:rPr>
              <w:t>Increased private sector development</w:t>
            </w:r>
          </w:p>
        </w:tc>
        <w:tc>
          <w:tcPr>
            <w:tcW w:w="1721" w:type="dxa"/>
            <w:shd w:val="clear" w:color="auto" w:fill="92D050"/>
            <w:noWrap/>
          </w:tcPr>
          <w:p w14:paraId="3324608E" w14:textId="77777777" w:rsidR="00D90B90" w:rsidRPr="003B0793" w:rsidRDefault="00D90B90" w:rsidP="00D90B90">
            <w:pPr>
              <w:keepLines/>
              <w:spacing w:before="40" w:after="40" w:line="200" w:lineRule="atLeast"/>
              <w:jc w:val="center"/>
              <w:rPr>
                <w:rFonts w:asciiTheme="minorHAnsi" w:eastAsia="Times New Roman" w:hAnsiTheme="minorHAnsi"/>
                <w:iCs/>
                <w:color w:val="FFFFFF" w:themeColor="background1"/>
                <w:szCs w:val="17"/>
                <w:lang w:eastAsia="en-US"/>
              </w:rPr>
            </w:pPr>
            <w:r w:rsidRPr="003B0793">
              <w:rPr>
                <w:rFonts w:asciiTheme="minorHAnsi" w:eastAsia="Times New Roman" w:hAnsiTheme="minorHAnsi"/>
                <w:iCs/>
                <w:color w:val="FFFFFF" w:themeColor="background1"/>
                <w:szCs w:val="17"/>
                <w:lang w:eastAsia="en-US"/>
              </w:rPr>
              <w:t>Green</w:t>
            </w:r>
          </w:p>
        </w:tc>
        <w:tc>
          <w:tcPr>
            <w:tcW w:w="491" w:type="dxa"/>
          </w:tcPr>
          <w:p w14:paraId="1598EA93" w14:textId="77777777" w:rsidR="00D90B90" w:rsidRPr="003B0793" w:rsidRDefault="00D90B90" w:rsidP="00D90B90">
            <w:pPr>
              <w:keepLines/>
              <w:spacing w:before="40" w:after="40" w:line="200" w:lineRule="atLeast"/>
              <w:jc w:val="center"/>
              <w:rPr>
                <w:rFonts w:asciiTheme="minorHAnsi" w:eastAsia="Times New Roman" w:hAnsiTheme="minorHAnsi"/>
                <w:iCs/>
                <w:color w:val="FFFFFF" w:themeColor="background1"/>
                <w:szCs w:val="17"/>
                <w:lang w:eastAsia="en-US"/>
              </w:rPr>
            </w:pPr>
          </w:p>
        </w:tc>
        <w:tc>
          <w:tcPr>
            <w:tcW w:w="1510" w:type="dxa"/>
            <w:shd w:val="clear" w:color="auto" w:fill="92D050"/>
            <w:noWrap/>
          </w:tcPr>
          <w:p w14:paraId="266BCBB7" w14:textId="77777777" w:rsidR="00D90B90" w:rsidRPr="003B0793" w:rsidRDefault="00D90B90" w:rsidP="00D90B90">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Green</w:t>
            </w:r>
          </w:p>
        </w:tc>
      </w:tr>
      <w:tr w:rsidR="00D90B90" w:rsidRPr="003B0793" w14:paraId="14C0E8CE" w14:textId="77777777" w:rsidTr="00FF6BF0">
        <w:trPr>
          <w:cnfStyle w:val="000000010000" w:firstRow="0" w:lastRow="0" w:firstColumn="0" w:lastColumn="0" w:oddVBand="0" w:evenVBand="0" w:oddHBand="0" w:evenHBand="1" w:firstRowFirstColumn="0" w:firstRowLastColumn="0" w:lastRowFirstColumn="0" w:lastRowLastColumn="0"/>
        </w:trPr>
        <w:tc>
          <w:tcPr>
            <w:tcW w:w="6048" w:type="dxa"/>
          </w:tcPr>
          <w:p w14:paraId="2632DCE3" w14:textId="77777777" w:rsidR="00D90B90" w:rsidRPr="003B0793" w:rsidRDefault="00D90B90" w:rsidP="00D90B90">
            <w:pPr>
              <w:pStyle w:val="TableTextEntries"/>
              <w:keepNext/>
              <w:rPr>
                <w:rFonts w:asciiTheme="minorHAnsi" w:hAnsiTheme="minorHAnsi"/>
              </w:rPr>
            </w:pPr>
            <w:r>
              <w:rPr>
                <w:rFonts w:asciiTheme="minorHAnsi" w:hAnsiTheme="minorHAnsi"/>
              </w:rPr>
              <w:t>Improved human development</w:t>
            </w:r>
          </w:p>
        </w:tc>
        <w:tc>
          <w:tcPr>
            <w:tcW w:w="1721" w:type="dxa"/>
            <w:shd w:val="clear" w:color="auto" w:fill="92D050"/>
            <w:noWrap/>
          </w:tcPr>
          <w:p w14:paraId="0850BC25" w14:textId="77777777" w:rsidR="00D90B90" w:rsidRPr="003B0793" w:rsidRDefault="00D90B90" w:rsidP="00D90B90">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Green</w:t>
            </w:r>
          </w:p>
        </w:tc>
        <w:tc>
          <w:tcPr>
            <w:tcW w:w="491" w:type="dxa"/>
          </w:tcPr>
          <w:p w14:paraId="1C4E9C74" w14:textId="77777777" w:rsidR="00D90B90" w:rsidRPr="003B0793" w:rsidRDefault="00D90B90" w:rsidP="00D90B90">
            <w:pPr>
              <w:keepLines/>
              <w:spacing w:before="40" w:after="40" w:line="200" w:lineRule="atLeast"/>
              <w:jc w:val="center"/>
              <w:rPr>
                <w:rFonts w:asciiTheme="minorHAnsi" w:eastAsia="Times New Roman" w:hAnsiTheme="minorHAnsi"/>
                <w:iCs/>
                <w:color w:val="FFFFFF" w:themeColor="background1"/>
                <w:szCs w:val="17"/>
                <w:lang w:eastAsia="en-US"/>
              </w:rPr>
            </w:pPr>
          </w:p>
        </w:tc>
        <w:tc>
          <w:tcPr>
            <w:tcW w:w="1510" w:type="dxa"/>
            <w:shd w:val="clear" w:color="auto" w:fill="FFC000"/>
            <w:noWrap/>
          </w:tcPr>
          <w:p w14:paraId="0ED4CCC9" w14:textId="77777777" w:rsidR="00D90B90" w:rsidRPr="003B0793" w:rsidRDefault="00524E2B" w:rsidP="00524E2B">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Amber</w:t>
            </w:r>
          </w:p>
        </w:tc>
      </w:tr>
      <w:tr w:rsidR="00D90B90" w:rsidRPr="003B0793" w14:paraId="1E1427B1" w14:textId="77777777" w:rsidTr="00066293">
        <w:trPr>
          <w:cnfStyle w:val="000000010000" w:firstRow="0" w:lastRow="0" w:firstColumn="0" w:lastColumn="0" w:oddVBand="0" w:evenVBand="0" w:oddHBand="0" w:evenHBand="1" w:firstRowFirstColumn="0" w:firstRowLastColumn="0" w:lastRowFirstColumn="0" w:lastRowLastColumn="0"/>
        </w:trPr>
        <w:tc>
          <w:tcPr>
            <w:tcW w:w="6048" w:type="dxa"/>
          </w:tcPr>
          <w:p w14:paraId="47AFD9A3" w14:textId="77777777" w:rsidR="00D90B90" w:rsidRPr="0030399D" w:rsidRDefault="00D90B90" w:rsidP="00D90B90">
            <w:pPr>
              <w:pStyle w:val="TableTextEntries"/>
              <w:keepNext/>
              <w:rPr>
                <w:rFonts w:asciiTheme="minorHAnsi" w:hAnsiTheme="minorHAnsi"/>
                <w:color w:val="7030A0"/>
              </w:rPr>
            </w:pPr>
            <w:r>
              <w:rPr>
                <w:rFonts w:asciiTheme="minorHAnsi" w:hAnsiTheme="minorHAnsi"/>
              </w:rPr>
              <w:t>T</w:t>
            </w:r>
            <w:r w:rsidR="00F27056">
              <w:rPr>
                <w:rFonts w:asciiTheme="minorHAnsi" w:hAnsiTheme="minorHAnsi"/>
              </w:rPr>
              <w:t xml:space="preserve">ropical </w:t>
            </w:r>
            <w:r>
              <w:rPr>
                <w:rFonts w:asciiTheme="minorHAnsi" w:hAnsiTheme="minorHAnsi"/>
              </w:rPr>
              <w:t>C</w:t>
            </w:r>
            <w:r w:rsidR="00F27056">
              <w:rPr>
                <w:rFonts w:asciiTheme="minorHAnsi" w:hAnsiTheme="minorHAnsi"/>
              </w:rPr>
              <w:t>yclone</w:t>
            </w:r>
            <w:r w:rsidRPr="00F30D93">
              <w:rPr>
                <w:rFonts w:asciiTheme="minorHAnsi" w:hAnsiTheme="minorHAnsi"/>
              </w:rPr>
              <w:t xml:space="preserve"> Winston Response</w:t>
            </w:r>
          </w:p>
        </w:tc>
        <w:tc>
          <w:tcPr>
            <w:tcW w:w="1721" w:type="dxa"/>
            <w:shd w:val="clear" w:color="auto" w:fill="auto"/>
            <w:noWrap/>
          </w:tcPr>
          <w:p w14:paraId="403D21E6" w14:textId="77777777" w:rsidR="00D90B90" w:rsidRPr="0030399D" w:rsidRDefault="00D90B90" w:rsidP="00D90B90">
            <w:pPr>
              <w:keepLines/>
              <w:spacing w:before="40" w:after="40" w:line="200" w:lineRule="atLeast"/>
              <w:jc w:val="center"/>
              <w:rPr>
                <w:rFonts w:eastAsia="Times New Roman"/>
                <w:iCs/>
                <w:color w:val="7030A0"/>
                <w:szCs w:val="17"/>
              </w:rPr>
            </w:pPr>
            <w:r>
              <w:rPr>
                <w:rFonts w:eastAsia="Times New Roman"/>
                <w:iCs/>
                <w:color w:val="7030A0"/>
                <w:szCs w:val="17"/>
              </w:rPr>
              <w:t>n/a</w:t>
            </w:r>
          </w:p>
        </w:tc>
        <w:tc>
          <w:tcPr>
            <w:tcW w:w="491" w:type="dxa"/>
          </w:tcPr>
          <w:p w14:paraId="044A4CAD" w14:textId="77777777" w:rsidR="00D90B90" w:rsidRPr="003B0793" w:rsidRDefault="00D90B90" w:rsidP="00D90B90">
            <w:pPr>
              <w:keepLines/>
              <w:spacing w:before="40" w:after="40" w:line="200" w:lineRule="atLeast"/>
              <w:jc w:val="center"/>
              <w:rPr>
                <w:rFonts w:eastAsia="Times New Roman"/>
                <w:iCs/>
                <w:color w:val="FFFFFF" w:themeColor="background1"/>
                <w:szCs w:val="17"/>
              </w:rPr>
            </w:pPr>
          </w:p>
        </w:tc>
        <w:tc>
          <w:tcPr>
            <w:tcW w:w="1510" w:type="dxa"/>
            <w:shd w:val="clear" w:color="auto" w:fill="92D050"/>
            <w:noWrap/>
          </w:tcPr>
          <w:p w14:paraId="316C2D57" w14:textId="77777777" w:rsidR="00D90B90" w:rsidRPr="003B0793" w:rsidRDefault="00D90B90" w:rsidP="00D90B90">
            <w:pPr>
              <w:keepLines/>
              <w:spacing w:before="40" w:after="40" w:line="200" w:lineRule="atLeast"/>
              <w:jc w:val="center"/>
              <w:rPr>
                <w:rFonts w:eastAsia="Times New Roman"/>
                <w:iCs/>
                <w:color w:val="FFFFFF" w:themeColor="background1"/>
                <w:szCs w:val="17"/>
              </w:rPr>
            </w:pPr>
            <w:r>
              <w:rPr>
                <w:rFonts w:eastAsia="Times New Roman"/>
                <w:iCs/>
                <w:color w:val="FFFFFF" w:themeColor="background1"/>
                <w:szCs w:val="17"/>
              </w:rPr>
              <w:t>Green</w:t>
            </w:r>
          </w:p>
        </w:tc>
      </w:tr>
    </w:tbl>
    <w:p w14:paraId="064376EA" w14:textId="77777777" w:rsidR="00D90B90" w:rsidRPr="003B0793" w:rsidRDefault="00D90B90" w:rsidP="00D90B90">
      <w:pPr>
        <w:spacing w:before="20" w:after="20" w:line="180" w:lineRule="atLeast"/>
        <w:jc w:val="both"/>
        <w:rPr>
          <w:rFonts w:eastAsia="Times New Roman"/>
          <w:b/>
          <w:sz w:val="16"/>
          <w:szCs w:val="14"/>
        </w:rPr>
      </w:pPr>
      <w:r w:rsidRPr="003B0793">
        <w:rPr>
          <w:rFonts w:eastAsia="Times New Roman"/>
          <w:b/>
          <w:color w:val="72AF2F"/>
          <w:sz w:val="16"/>
          <w:szCs w:val="14"/>
        </w:rPr>
        <w:sym w:font="Webdings" w:char="F067"/>
      </w:r>
      <w:r w:rsidRPr="003B0793">
        <w:rPr>
          <w:rFonts w:eastAsia="Times New Roman"/>
          <w:b/>
          <w:sz w:val="16"/>
          <w:szCs w:val="14"/>
        </w:rPr>
        <w:t> </w:t>
      </w:r>
      <w:r w:rsidRPr="003B0793">
        <w:rPr>
          <w:rFonts w:eastAsia="Times New Roman"/>
          <w:b/>
          <w:sz w:val="16"/>
          <w:szCs w:val="14"/>
        </w:rPr>
        <w:t xml:space="preserve"> Green</w:t>
      </w:r>
      <w:r w:rsidR="004A2721">
        <w:rPr>
          <w:rFonts w:eastAsia="Times New Roman"/>
          <w:b/>
          <w:sz w:val="16"/>
          <w:szCs w:val="14"/>
        </w:rPr>
        <w:t>:</w:t>
      </w:r>
      <w:r w:rsidR="00B22B76">
        <w:rPr>
          <w:rFonts w:eastAsia="Times New Roman"/>
          <w:b/>
          <w:sz w:val="16"/>
          <w:szCs w:val="14"/>
        </w:rPr>
        <w:t xml:space="preserve"> </w:t>
      </w:r>
      <w:r w:rsidR="004A2721">
        <w:rPr>
          <w:rFonts w:eastAsia="Times New Roman"/>
          <w:b/>
          <w:sz w:val="16"/>
          <w:szCs w:val="14"/>
        </w:rPr>
        <w:t>p</w:t>
      </w:r>
      <w:r w:rsidRPr="003B0793">
        <w:rPr>
          <w:rFonts w:eastAsia="Times New Roman"/>
          <w:b/>
          <w:sz w:val="16"/>
          <w:szCs w:val="14"/>
        </w:rPr>
        <w:t>rogress is as expected at this stage of implementation and it is likely that the objective will be achieved</w:t>
      </w:r>
      <w:r w:rsidR="00B22B76">
        <w:rPr>
          <w:rFonts w:eastAsia="Times New Roman"/>
          <w:b/>
          <w:sz w:val="16"/>
          <w:szCs w:val="14"/>
        </w:rPr>
        <w:t xml:space="preserve">. </w:t>
      </w:r>
      <w:r w:rsidRPr="003B0793">
        <w:rPr>
          <w:rFonts w:eastAsia="Times New Roman"/>
          <w:b/>
          <w:sz w:val="16"/>
          <w:szCs w:val="14"/>
        </w:rPr>
        <w:t>Standard program management practices are sufficient.</w:t>
      </w:r>
    </w:p>
    <w:p w14:paraId="653598AA" w14:textId="77777777" w:rsidR="00D90B90" w:rsidRPr="003B0793" w:rsidRDefault="00D90B90" w:rsidP="00D90B90">
      <w:pPr>
        <w:spacing w:before="20" w:after="20" w:line="180" w:lineRule="atLeast"/>
        <w:jc w:val="both"/>
        <w:rPr>
          <w:rFonts w:eastAsia="Times New Roman"/>
          <w:b/>
          <w:sz w:val="16"/>
          <w:szCs w:val="14"/>
        </w:rPr>
      </w:pPr>
      <w:r w:rsidRPr="003B0793">
        <w:rPr>
          <w:rFonts w:eastAsia="Times New Roman"/>
          <w:b/>
          <w:color w:val="E36C0A"/>
          <w:sz w:val="16"/>
          <w:szCs w:val="14"/>
        </w:rPr>
        <w:sym w:font="Webdings" w:char="F067"/>
      </w:r>
      <w:r w:rsidRPr="003B0793">
        <w:rPr>
          <w:rFonts w:eastAsia="Times New Roman"/>
          <w:b/>
          <w:sz w:val="16"/>
          <w:szCs w:val="14"/>
        </w:rPr>
        <w:t> </w:t>
      </w:r>
      <w:r w:rsidRPr="003B0793">
        <w:rPr>
          <w:rFonts w:eastAsia="Times New Roman"/>
          <w:b/>
          <w:sz w:val="16"/>
          <w:szCs w:val="14"/>
        </w:rPr>
        <w:t xml:space="preserve"> Amber</w:t>
      </w:r>
      <w:r w:rsidR="004A2721">
        <w:rPr>
          <w:rFonts w:eastAsia="Times New Roman"/>
          <w:b/>
          <w:sz w:val="16"/>
          <w:szCs w:val="14"/>
        </w:rPr>
        <w:t>: p</w:t>
      </w:r>
      <w:r w:rsidRPr="003B0793">
        <w:rPr>
          <w:rFonts w:eastAsia="Times New Roman"/>
          <w:b/>
          <w:sz w:val="16"/>
          <w:szCs w:val="14"/>
        </w:rPr>
        <w:t>rogress is somewhat less than expected at this stage of implementation and restorative action will be necessary if the objective is to be achieved</w:t>
      </w:r>
      <w:r w:rsidR="00B22B76">
        <w:rPr>
          <w:rFonts w:eastAsia="Times New Roman"/>
          <w:b/>
          <w:sz w:val="16"/>
          <w:szCs w:val="14"/>
        </w:rPr>
        <w:t xml:space="preserve">. </w:t>
      </w:r>
      <w:r w:rsidRPr="003B0793">
        <w:rPr>
          <w:rFonts w:eastAsia="Times New Roman"/>
          <w:b/>
          <w:sz w:val="16"/>
          <w:szCs w:val="14"/>
        </w:rPr>
        <w:t>Close performance monitoring is recommended.</w:t>
      </w:r>
    </w:p>
    <w:p w14:paraId="542EB1A9" w14:textId="77777777" w:rsidR="00D90B90" w:rsidRPr="003B0793" w:rsidRDefault="00D90B90" w:rsidP="00D90B90">
      <w:pPr>
        <w:spacing w:before="20" w:after="20" w:line="180" w:lineRule="atLeast"/>
        <w:jc w:val="both"/>
        <w:rPr>
          <w:rFonts w:eastAsia="Times New Roman"/>
          <w:b/>
          <w:sz w:val="16"/>
          <w:szCs w:val="14"/>
        </w:rPr>
      </w:pPr>
      <w:r w:rsidRPr="003B0793">
        <w:rPr>
          <w:rFonts w:eastAsia="Times New Roman"/>
          <w:b/>
          <w:color w:val="FF0000"/>
          <w:sz w:val="16"/>
          <w:szCs w:val="14"/>
        </w:rPr>
        <w:sym w:font="Webdings" w:char="F067"/>
      </w:r>
      <w:r w:rsidRPr="003B0793">
        <w:rPr>
          <w:rFonts w:eastAsia="Times New Roman"/>
          <w:b/>
          <w:sz w:val="16"/>
          <w:szCs w:val="14"/>
        </w:rPr>
        <w:t> </w:t>
      </w:r>
      <w:r w:rsidRPr="003B0793">
        <w:rPr>
          <w:rFonts w:eastAsia="Times New Roman"/>
          <w:b/>
          <w:sz w:val="16"/>
          <w:szCs w:val="14"/>
        </w:rPr>
        <w:t xml:space="preserve"> Red</w:t>
      </w:r>
      <w:r w:rsidR="004A2721">
        <w:rPr>
          <w:rFonts w:eastAsia="Times New Roman"/>
          <w:b/>
          <w:sz w:val="16"/>
          <w:szCs w:val="14"/>
        </w:rPr>
        <w:t>:</w:t>
      </w:r>
      <w:r w:rsidR="00B22B76">
        <w:rPr>
          <w:rFonts w:eastAsia="Times New Roman"/>
          <w:b/>
          <w:sz w:val="16"/>
          <w:szCs w:val="14"/>
        </w:rPr>
        <w:t xml:space="preserve"> </w:t>
      </w:r>
      <w:r w:rsidR="004A2721">
        <w:rPr>
          <w:rFonts w:eastAsia="Times New Roman"/>
          <w:b/>
          <w:sz w:val="16"/>
          <w:szCs w:val="14"/>
        </w:rPr>
        <w:t>p</w:t>
      </w:r>
      <w:r w:rsidRPr="003B0793">
        <w:rPr>
          <w:rFonts w:eastAsia="Times New Roman"/>
          <w:b/>
          <w:sz w:val="16"/>
          <w:szCs w:val="14"/>
        </w:rPr>
        <w:t>rogress is significantly less than expected at this stage of implementation and the objective is not likely to be met given available resources and priorities</w:t>
      </w:r>
      <w:r w:rsidR="00B22B76">
        <w:rPr>
          <w:rFonts w:eastAsia="Times New Roman"/>
          <w:b/>
          <w:sz w:val="16"/>
          <w:szCs w:val="14"/>
        </w:rPr>
        <w:t xml:space="preserve">. </w:t>
      </w:r>
      <w:r w:rsidRPr="003B0793">
        <w:rPr>
          <w:rFonts w:eastAsia="Times New Roman"/>
          <w:b/>
          <w:sz w:val="16"/>
          <w:szCs w:val="14"/>
        </w:rPr>
        <w:t>Recasting the objective may be required.</w:t>
      </w:r>
    </w:p>
    <w:p w14:paraId="1E627C8F" w14:textId="77777777" w:rsidR="0019638D" w:rsidRDefault="00D90B90" w:rsidP="00161F5F">
      <w:pPr>
        <w:spacing w:before="20" w:after="20" w:line="180" w:lineRule="atLeast"/>
        <w:jc w:val="both"/>
        <w:rPr>
          <w:rFonts w:eastAsia="Times New Roman"/>
          <w:b/>
          <w:sz w:val="14"/>
          <w:szCs w:val="14"/>
        </w:rPr>
      </w:pPr>
      <w:r w:rsidRPr="003B0793">
        <w:rPr>
          <w:rFonts w:eastAsia="Times New Roman"/>
          <w:b/>
          <w:sz w:val="14"/>
          <w:szCs w:val="14"/>
        </w:rPr>
        <w:t xml:space="preserve"> </w:t>
      </w:r>
    </w:p>
    <w:p w14:paraId="43513D76" w14:textId="77777777" w:rsidR="00D90B90" w:rsidRDefault="00D90B90" w:rsidP="00161F5F">
      <w:pPr>
        <w:spacing w:before="20" w:after="20" w:line="180" w:lineRule="atLeast"/>
        <w:jc w:val="both"/>
        <w:rPr>
          <w:rFonts w:asciiTheme="majorHAnsi" w:eastAsiaTheme="majorEastAsia" w:hAnsiTheme="majorHAnsi" w:cstheme="majorBidi"/>
          <w:caps/>
          <w:sz w:val="38"/>
          <w:szCs w:val="26"/>
        </w:rPr>
      </w:pPr>
      <w:r w:rsidRPr="002A51CA">
        <w:rPr>
          <w:rFonts w:asciiTheme="majorHAnsi" w:eastAsiaTheme="majorEastAsia" w:hAnsiTheme="majorHAnsi" w:cstheme="majorBidi"/>
          <w:caps/>
          <w:sz w:val="38"/>
          <w:szCs w:val="26"/>
        </w:rPr>
        <w:t>Objective 1</w:t>
      </w:r>
      <w:r>
        <w:rPr>
          <w:rFonts w:asciiTheme="majorHAnsi" w:eastAsiaTheme="majorEastAsia" w:hAnsiTheme="majorHAnsi" w:cstheme="majorBidi"/>
          <w:caps/>
          <w:sz w:val="38"/>
          <w:szCs w:val="26"/>
        </w:rPr>
        <w:t xml:space="preserve"> – Increased private sector development</w:t>
      </w:r>
    </w:p>
    <w:p w14:paraId="1EAFA499" w14:textId="77777777" w:rsidR="00C530F3" w:rsidRDefault="00F32235" w:rsidP="00D90B90">
      <w:pPr>
        <w:rPr>
          <w:rFonts w:cstheme="minorHAnsi"/>
        </w:rPr>
      </w:pPr>
      <w:r w:rsidRPr="00143E7A">
        <w:rPr>
          <w:rFonts w:cstheme="minorHAnsi"/>
        </w:rPr>
        <w:t xml:space="preserve">Australia’s investments in </w:t>
      </w:r>
      <w:r>
        <w:rPr>
          <w:rFonts w:cstheme="minorHAnsi"/>
        </w:rPr>
        <w:t xml:space="preserve">private sector development in Fiji work on two levels. At the policy/regulatory level, Australia supports </w:t>
      </w:r>
      <w:r w:rsidR="00F359A8">
        <w:rPr>
          <w:rFonts w:cstheme="minorHAnsi"/>
        </w:rPr>
        <w:t xml:space="preserve">a range of structural and regulatory reforms that have been prioritised by the Fiji Government. We do </w:t>
      </w:r>
      <w:r>
        <w:rPr>
          <w:rFonts w:cstheme="minorHAnsi"/>
        </w:rPr>
        <w:t xml:space="preserve">this </w:t>
      </w:r>
      <w:r w:rsidR="00F359A8">
        <w:rPr>
          <w:rFonts w:cstheme="minorHAnsi"/>
        </w:rPr>
        <w:t xml:space="preserve">by </w:t>
      </w:r>
      <w:r>
        <w:rPr>
          <w:rFonts w:cstheme="minorHAnsi"/>
        </w:rPr>
        <w:t>investing in ‘governance for growth’ focused programs</w:t>
      </w:r>
      <w:r w:rsidR="00724036">
        <w:rPr>
          <w:rFonts w:cstheme="minorHAnsi"/>
        </w:rPr>
        <w:t xml:space="preserve"> that are designed to </w:t>
      </w:r>
      <w:r>
        <w:rPr>
          <w:rFonts w:cstheme="minorHAnsi"/>
        </w:rPr>
        <w:t>strengthen economic and trade policies and regulations</w:t>
      </w:r>
      <w:r w:rsidR="00724036">
        <w:rPr>
          <w:rFonts w:cstheme="minorHAnsi"/>
        </w:rPr>
        <w:t>. They also seek to</w:t>
      </w:r>
      <w:r>
        <w:rPr>
          <w:rFonts w:cstheme="minorHAnsi"/>
        </w:rPr>
        <w:t xml:space="preserve"> advance broader public sector reforms to improve performance and accountability. </w:t>
      </w:r>
      <w:r w:rsidR="00F359A8">
        <w:rPr>
          <w:rFonts w:cstheme="minorHAnsi"/>
        </w:rPr>
        <w:t>Through these programs we are improving the enabling environment for the private sector</w:t>
      </w:r>
      <w:r w:rsidR="00724036">
        <w:rPr>
          <w:rFonts w:cstheme="minorHAnsi"/>
        </w:rPr>
        <w:t>, providing greater certainty and clarity of regulation so that business can invest more and increasing access to low-cost inputs through more competitive markets</w:t>
      </w:r>
      <w:r w:rsidR="00F359A8">
        <w:rPr>
          <w:rFonts w:cstheme="minorHAnsi"/>
        </w:rPr>
        <w:t xml:space="preserve">.  </w:t>
      </w:r>
      <w:r>
        <w:rPr>
          <w:rFonts w:cstheme="minorHAnsi"/>
        </w:rPr>
        <w:t>At a micro level we work directly with business and industry groups to stimulate investment, trade and create economic opportunities for the poor, particularly in the tourism, agriculture and agri-business sectors.</w:t>
      </w:r>
      <w:r w:rsidR="003B4F97">
        <w:rPr>
          <w:rFonts w:cstheme="minorHAnsi"/>
        </w:rPr>
        <w:t xml:space="preserve"> </w:t>
      </w:r>
      <w:r w:rsidR="0020460D">
        <w:rPr>
          <w:rFonts w:cstheme="minorHAnsi"/>
        </w:rPr>
        <w:t xml:space="preserve"> </w:t>
      </w:r>
      <w:r w:rsidR="00674EC7">
        <w:rPr>
          <w:rFonts w:cstheme="minorHAnsi"/>
        </w:rPr>
        <w:t xml:space="preserve">  </w:t>
      </w:r>
    </w:p>
    <w:p w14:paraId="534A350F" w14:textId="77777777" w:rsidR="00FC1E36" w:rsidRPr="00C86C28" w:rsidRDefault="001F083C" w:rsidP="00C86C28">
      <w:pPr>
        <w:suppressAutoHyphens w:val="0"/>
        <w:spacing w:after="120" w:line="240" w:lineRule="auto"/>
        <w:rPr>
          <w:b/>
        </w:rPr>
      </w:pPr>
      <w:r>
        <w:t>Australia</w:t>
      </w:r>
      <w:r w:rsidR="00FC1E36">
        <w:t xml:space="preserve"> ha</w:t>
      </w:r>
      <w:r>
        <w:t>s</w:t>
      </w:r>
      <w:r w:rsidR="00FC1E36">
        <w:t xml:space="preserve"> five aid investments contributing to these priorities: </w:t>
      </w:r>
      <w:r w:rsidR="00FC1E36" w:rsidRPr="00507E4E">
        <w:t xml:space="preserve">the </w:t>
      </w:r>
      <w:r w:rsidR="00FC1E36">
        <w:t>Institutional Partnerships Program</w:t>
      </w:r>
      <w:r w:rsidR="006004E9">
        <w:t xml:space="preserve"> (IPP)</w:t>
      </w:r>
      <w:r w:rsidR="00FC1E36">
        <w:t xml:space="preserve">, </w:t>
      </w:r>
      <w:r w:rsidR="00F359A8">
        <w:t xml:space="preserve">the </w:t>
      </w:r>
      <w:r w:rsidR="00FC1E36" w:rsidRPr="00507E4E">
        <w:t>Market Development Facility</w:t>
      </w:r>
      <w:r w:rsidR="006004E9">
        <w:t xml:space="preserve"> (MDF)</w:t>
      </w:r>
      <w:r w:rsidR="00FC1E36" w:rsidRPr="00507E4E">
        <w:t xml:space="preserve">, </w:t>
      </w:r>
      <w:r w:rsidR="00F359A8">
        <w:t xml:space="preserve">the </w:t>
      </w:r>
      <w:r w:rsidR="00FC1E36" w:rsidRPr="00507E4E">
        <w:t>Pacific Financial Inclusion Program</w:t>
      </w:r>
      <w:r w:rsidR="006004E9">
        <w:t xml:space="preserve"> (PFIP)</w:t>
      </w:r>
      <w:r w:rsidR="00FC1E36" w:rsidRPr="00507E4E">
        <w:t xml:space="preserve">, </w:t>
      </w:r>
      <w:r w:rsidR="00F359A8">
        <w:t xml:space="preserve">the </w:t>
      </w:r>
      <w:r w:rsidR="00FC1E36" w:rsidRPr="00507E4E">
        <w:t>Pacific Horticulture and Agricultural Market Access</w:t>
      </w:r>
      <w:r w:rsidR="00987413">
        <w:t xml:space="preserve"> (PHA</w:t>
      </w:r>
      <w:r w:rsidR="006004E9">
        <w:t>MA)</w:t>
      </w:r>
      <w:r w:rsidR="00FC1E36" w:rsidRPr="00507E4E">
        <w:t xml:space="preserve"> </w:t>
      </w:r>
      <w:r w:rsidR="006004E9">
        <w:t>p</w:t>
      </w:r>
      <w:r w:rsidR="00FC1E36" w:rsidRPr="00507E4E">
        <w:t xml:space="preserve">rogram </w:t>
      </w:r>
      <w:r w:rsidR="00FC1E36">
        <w:t xml:space="preserve">and the </w:t>
      </w:r>
      <w:r w:rsidR="00FC1E36" w:rsidRPr="00507E4E">
        <w:t>Private Sector Development Initiative</w:t>
      </w:r>
      <w:r w:rsidR="006004E9">
        <w:t xml:space="preserve"> (PSDI)</w:t>
      </w:r>
      <w:r w:rsidR="00FC1E36">
        <w:t xml:space="preserve">. </w:t>
      </w:r>
    </w:p>
    <w:p w14:paraId="60E2521F" w14:textId="77777777" w:rsidR="00D90B90" w:rsidRDefault="00987413" w:rsidP="00987413">
      <w:pPr>
        <w:suppressAutoHyphens w:val="0"/>
        <w:spacing w:after="120" w:line="240" w:lineRule="auto"/>
      </w:pPr>
      <w:r>
        <w:t xml:space="preserve">Progress against this objective is rated green based on the </w:t>
      </w:r>
      <w:r w:rsidR="00D90B90">
        <w:t>performance of our aid investments and strength</w:t>
      </w:r>
      <w:r w:rsidR="00C56B1E">
        <w:t>ened</w:t>
      </w:r>
      <w:r w:rsidR="00D90B90">
        <w:t xml:space="preserve"> relationships with </w:t>
      </w:r>
      <w:r w:rsidR="001F083C">
        <w:t>the G</w:t>
      </w:r>
      <w:r w:rsidR="00D90B90" w:rsidRPr="000A7752">
        <w:t>overnment</w:t>
      </w:r>
      <w:r w:rsidR="001F083C">
        <w:t xml:space="preserve"> of Fiji</w:t>
      </w:r>
      <w:r w:rsidR="00B22B76">
        <w:t xml:space="preserve">. </w:t>
      </w:r>
      <w:r w:rsidR="00D90B90">
        <w:t>However, there are an increasing number of development partners operating in this sector</w:t>
      </w:r>
      <w:r w:rsidR="00F359A8">
        <w:t xml:space="preserve">, creating a </w:t>
      </w:r>
      <w:r w:rsidR="00D90B90">
        <w:t>risk of overlap</w:t>
      </w:r>
      <w:r w:rsidR="00DF7AC6">
        <w:t>ping</w:t>
      </w:r>
      <w:r w:rsidR="00D90B90">
        <w:t xml:space="preserve"> activities and burdening government and non-government stakeholders</w:t>
      </w:r>
      <w:r w:rsidR="00B22B76">
        <w:t xml:space="preserve">. </w:t>
      </w:r>
      <w:r w:rsidR="00D90B90">
        <w:t>We will give consideration to how donor coordination in the sector can be improved in 2016-17 (</w:t>
      </w:r>
      <w:r w:rsidR="00F27056">
        <w:t xml:space="preserve">as outlined in the </w:t>
      </w:r>
      <w:r w:rsidR="00D90B90">
        <w:t xml:space="preserve">Management </w:t>
      </w:r>
      <w:r w:rsidR="000778F0">
        <w:t>Response</w:t>
      </w:r>
      <w:r w:rsidR="00F27056">
        <w:t xml:space="preserve"> below</w:t>
      </w:r>
      <w:r w:rsidR="00D90B90">
        <w:t xml:space="preserve">). </w:t>
      </w:r>
    </w:p>
    <w:p w14:paraId="657548A6" w14:textId="77777777" w:rsidR="00D90B90" w:rsidRPr="00160D8C" w:rsidRDefault="00ED3B70" w:rsidP="00160D8C">
      <w:pPr>
        <w:rPr>
          <w:rFonts w:ascii="Helvetica" w:hAnsi="Helvetica" w:cs="Arial"/>
          <w:color w:val="0C7DAF"/>
          <w:kern w:val="28"/>
          <w:szCs w:val="28"/>
        </w:rPr>
      </w:pPr>
      <w:r w:rsidRPr="00160D8C">
        <w:rPr>
          <w:rFonts w:ascii="Helvetica" w:hAnsi="Helvetica" w:cs="Arial"/>
          <w:color w:val="0C7DAF"/>
          <w:kern w:val="28"/>
          <w:szCs w:val="28"/>
        </w:rPr>
        <w:t xml:space="preserve">Governance for growth </w:t>
      </w:r>
    </w:p>
    <w:p w14:paraId="5F70FCE4" w14:textId="77777777" w:rsidR="00CA718C" w:rsidRDefault="004A2721" w:rsidP="000778F0">
      <w:r>
        <w:t>In 2015-16</w:t>
      </w:r>
      <w:r w:rsidR="00F27056">
        <w:t>,</w:t>
      </w:r>
      <w:r>
        <w:t xml:space="preserve"> </w:t>
      </w:r>
      <w:r w:rsidR="000778F0">
        <w:t xml:space="preserve">Australia continued to </w:t>
      </w:r>
      <w:r w:rsidR="007C7EC0">
        <w:t>work with the Government of</w:t>
      </w:r>
      <w:r w:rsidR="000778F0">
        <w:t xml:space="preserve"> Fiji to </w:t>
      </w:r>
      <w:r w:rsidR="00CA718C">
        <w:t>improve its e</w:t>
      </w:r>
      <w:r w:rsidR="00594BCC">
        <w:t>conomic and trade policies</w:t>
      </w:r>
      <w:r w:rsidR="00A904EC">
        <w:t>, business enabling environment</w:t>
      </w:r>
      <w:r w:rsidR="00CA718C">
        <w:t xml:space="preserve"> </w:t>
      </w:r>
      <w:r w:rsidR="006004E9">
        <w:t xml:space="preserve">and </w:t>
      </w:r>
      <w:r w:rsidR="00724036">
        <w:t xml:space="preserve">to </w:t>
      </w:r>
      <w:r w:rsidR="000778F0">
        <w:t>strengthen democratic processes and institutions</w:t>
      </w:r>
      <w:r w:rsidR="006004E9">
        <w:t>.</w:t>
      </w:r>
      <w:r w:rsidR="00594BCC">
        <w:t xml:space="preserve"> We have two programs in this sector: IPP ($16 million</w:t>
      </w:r>
      <w:r w:rsidR="00F27056">
        <w:t>,</w:t>
      </w:r>
      <w:r w:rsidR="00594BCC">
        <w:t xml:space="preserve"> 2014-18) and PSD</w:t>
      </w:r>
      <w:r w:rsidR="00381861">
        <w:t>I ($34 million</w:t>
      </w:r>
      <w:r w:rsidR="00690F6B">
        <w:t xml:space="preserve"> in the Pacific region</w:t>
      </w:r>
      <w:r w:rsidR="00381861">
        <w:t>, 2013-19</w:t>
      </w:r>
      <w:r w:rsidR="00594BCC">
        <w:t xml:space="preserve">). </w:t>
      </w:r>
    </w:p>
    <w:p w14:paraId="0CA2A8F3" w14:textId="77777777" w:rsidR="00ED7919" w:rsidRPr="00ED7919" w:rsidRDefault="00ED7919" w:rsidP="0020460D">
      <w:pPr>
        <w:pStyle w:val="ListParagraph"/>
        <w:suppressAutoHyphens w:val="0"/>
        <w:spacing w:after="120" w:line="240" w:lineRule="auto"/>
        <w:ind w:left="0"/>
      </w:pPr>
      <w:r>
        <w:rPr>
          <w:i/>
        </w:rPr>
        <w:t xml:space="preserve">Improved business enabling environment </w:t>
      </w:r>
    </w:p>
    <w:p w14:paraId="573817E4" w14:textId="77777777" w:rsidR="0020460D" w:rsidRPr="00B93FB3" w:rsidRDefault="0020460D" w:rsidP="0020460D">
      <w:pPr>
        <w:suppressAutoHyphens w:val="0"/>
        <w:spacing w:after="120" w:line="240" w:lineRule="auto"/>
      </w:pPr>
      <w:r>
        <w:t xml:space="preserve">Improving the productivity, efficiency and financial performance of </w:t>
      </w:r>
      <w:r w:rsidRPr="00160D8C">
        <w:t>State Owned Enterprises</w:t>
      </w:r>
      <w:r w:rsidRPr="00F27056">
        <w:t xml:space="preserve"> </w:t>
      </w:r>
      <w:r>
        <w:t xml:space="preserve">(SOE) is a priority of the Government of Fiji. </w:t>
      </w:r>
      <w:r w:rsidR="00CA718C">
        <w:t>In 2015-16</w:t>
      </w:r>
      <w:r w:rsidR="006004E9">
        <w:t>, through PSDI,</w:t>
      </w:r>
      <w:r w:rsidR="00CA718C">
        <w:t xml:space="preserve"> we </w:t>
      </w:r>
      <w:r>
        <w:t xml:space="preserve">supported </w:t>
      </w:r>
      <w:r w:rsidRPr="00B93FB3">
        <w:t xml:space="preserve">Fiji’s Ministry of Public Enterprises to develop policy and legislation around </w:t>
      </w:r>
      <w:r>
        <w:t xml:space="preserve">SOEs. </w:t>
      </w:r>
      <w:r w:rsidR="00254326">
        <w:t xml:space="preserve">We </w:t>
      </w:r>
      <w:r>
        <w:t xml:space="preserve">also </w:t>
      </w:r>
      <w:r w:rsidRPr="00B93FB3">
        <w:t>provid</w:t>
      </w:r>
      <w:r>
        <w:t>ed</w:t>
      </w:r>
      <w:r w:rsidRPr="00B93FB3">
        <w:t xml:space="preserve"> strategic advice </w:t>
      </w:r>
      <w:r>
        <w:t xml:space="preserve">on </w:t>
      </w:r>
      <w:r w:rsidRPr="00B93FB3">
        <w:t>major pending privatisations</w:t>
      </w:r>
      <w:r>
        <w:t xml:space="preserve"> including Fiji Airports Limited and the Fiji Electricity Authority. Given the </w:t>
      </w:r>
      <w:r w:rsidR="00C56B1E">
        <w:t>G</w:t>
      </w:r>
      <w:r>
        <w:t>overnment’s ambitious SOE reform agenda, we expect PSDI to increase its support in this area in 2016-17</w:t>
      </w:r>
      <w:r w:rsidR="006F2DCA">
        <w:t>.</w:t>
      </w:r>
    </w:p>
    <w:p w14:paraId="1DF966B6" w14:textId="77777777" w:rsidR="008C04D7" w:rsidRPr="00CF7190" w:rsidRDefault="00254326" w:rsidP="008C04D7">
      <w:r>
        <w:t xml:space="preserve">As part of our effort to expand </w:t>
      </w:r>
      <w:r w:rsidRPr="00160D8C">
        <w:t>financial services for the poor</w:t>
      </w:r>
      <w:r>
        <w:t xml:space="preserve">, </w:t>
      </w:r>
      <w:r w:rsidR="005D03B0">
        <w:t>PSDI</w:t>
      </w:r>
      <w:r w:rsidR="008C04D7">
        <w:t xml:space="preserve"> </w:t>
      </w:r>
      <w:r w:rsidR="006F2DCA">
        <w:t>assisted with the</w:t>
      </w:r>
      <w:r w:rsidR="008C04D7">
        <w:t xml:space="preserve"> </w:t>
      </w:r>
      <w:r w:rsidR="00715CC0">
        <w:t xml:space="preserve">drafting </w:t>
      </w:r>
      <w:r w:rsidR="006F2DCA">
        <w:t xml:space="preserve">of a </w:t>
      </w:r>
      <w:r w:rsidR="00715CC0" w:rsidRPr="00160D8C">
        <w:t>secured</w:t>
      </w:r>
      <w:r w:rsidR="008C04D7" w:rsidRPr="00160D8C">
        <w:t xml:space="preserve"> transaction law</w:t>
      </w:r>
      <w:r w:rsidR="00690F6B" w:rsidRPr="00160D8C">
        <w:t xml:space="preserve"> </w:t>
      </w:r>
      <w:r w:rsidR="00690F6B" w:rsidRPr="009C7391">
        <w:t xml:space="preserve">which </w:t>
      </w:r>
      <w:r w:rsidR="006F2DCA">
        <w:t>will go to</w:t>
      </w:r>
      <w:r w:rsidR="00594BCC">
        <w:t xml:space="preserve"> </w:t>
      </w:r>
      <w:r w:rsidR="00594BCC" w:rsidRPr="009C7391">
        <w:t xml:space="preserve">Parliament in </w:t>
      </w:r>
      <w:r w:rsidR="00690F6B">
        <w:t>2016-17</w:t>
      </w:r>
      <w:r w:rsidR="00594BCC">
        <w:t xml:space="preserve">. </w:t>
      </w:r>
      <w:r w:rsidR="008C04D7">
        <w:t>The planned reform</w:t>
      </w:r>
      <w:r w:rsidR="006F2DCA">
        <w:t xml:space="preserve"> w</w:t>
      </w:r>
      <w:r w:rsidR="00597380">
        <w:t>ill</w:t>
      </w:r>
      <w:r w:rsidR="008C04D7">
        <w:t xml:space="preserve"> allow borrowers to use a broader range of collateral </w:t>
      </w:r>
      <w:r w:rsidR="00597380">
        <w:t>(</w:t>
      </w:r>
      <w:r w:rsidR="00F359A8">
        <w:t xml:space="preserve">rather </w:t>
      </w:r>
      <w:r w:rsidR="008C04D7">
        <w:t>than just land</w:t>
      </w:r>
      <w:r w:rsidR="00597380">
        <w:t>)</w:t>
      </w:r>
      <w:r w:rsidR="008C04D7">
        <w:t xml:space="preserve"> to secure loans. This </w:t>
      </w:r>
      <w:r w:rsidR="0081100C">
        <w:t>will</w:t>
      </w:r>
      <w:r w:rsidR="008C04D7">
        <w:t xml:space="preserve"> increase access to finance for </w:t>
      </w:r>
      <w:r w:rsidR="00690F6B">
        <w:t>people</w:t>
      </w:r>
      <w:r w:rsidR="008C04D7">
        <w:t xml:space="preserve"> in c</w:t>
      </w:r>
      <w:r w:rsidR="009C78B8">
        <w:t>ustomary land ownership setting</w:t>
      </w:r>
      <w:r w:rsidR="00690F6B">
        <w:t>s</w:t>
      </w:r>
      <w:r>
        <w:t xml:space="preserve">, and for women who may not be listed on land titles. </w:t>
      </w:r>
      <w:r w:rsidR="009C78B8">
        <w:t xml:space="preserve"> </w:t>
      </w:r>
    </w:p>
    <w:p w14:paraId="03E628A4" w14:textId="77777777" w:rsidR="0020460D" w:rsidRDefault="004131B7" w:rsidP="0020460D">
      <w:r>
        <w:t>In 2015-16</w:t>
      </w:r>
      <w:r w:rsidR="00F27056">
        <w:t>,</w:t>
      </w:r>
      <w:r>
        <w:t xml:space="preserve"> </w:t>
      </w:r>
      <w:r w:rsidR="00690F6B">
        <w:t>we</w:t>
      </w:r>
      <w:r w:rsidR="00ED7919">
        <w:t xml:space="preserve"> developed new partnerships with a number of government agencies</w:t>
      </w:r>
      <w:r w:rsidR="006F2DCA">
        <w:t xml:space="preserve"> through </w:t>
      </w:r>
      <w:r w:rsidR="00F359A8">
        <w:t>the</w:t>
      </w:r>
      <w:r w:rsidR="006F2DCA">
        <w:t xml:space="preserve"> IPP</w:t>
      </w:r>
      <w:r w:rsidR="00ED7919">
        <w:t xml:space="preserve">. At the </w:t>
      </w:r>
      <w:r w:rsidR="006F2DCA">
        <w:t>G</w:t>
      </w:r>
      <w:r w:rsidR="00ED7919">
        <w:t>overnment</w:t>
      </w:r>
      <w:r w:rsidR="006F2DCA">
        <w:t xml:space="preserve"> of Fiji</w:t>
      </w:r>
      <w:r w:rsidR="00690F6B">
        <w:t>’s request</w:t>
      </w:r>
      <w:r w:rsidR="00ED7919">
        <w:t>, we provide</w:t>
      </w:r>
      <w:r w:rsidR="001A03CD">
        <w:t>d</w:t>
      </w:r>
      <w:r>
        <w:t xml:space="preserve"> technical assistance to</w:t>
      </w:r>
      <w:r w:rsidR="00594BCC">
        <w:t xml:space="preserve"> the Ministry of Economy to</w:t>
      </w:r>
      <w:r>
        <w:t xml:space="preserve"> </w:t>
      </w:r>
      <w:r w:rsidRPr="00BD2BC7">
        <w:t xml:space="preserve">reform </w:t>
      </w:r>
      <w:r w:rsidR="00594BCC" w:rsidRPr="00BD2BC7">
        <w:t>public procurement</w:t>
      </w:r>
      <w:r w:rsidR="001A03CD" w:rsidRPr="00BD2BC7">
        <w:t xml:space="preserve"> policies</w:t>
      </w:r>
      <w:r w:rsidR="00594BCC" w:rsidRPr="00F27056">
        <w:t xml:space="preserve"> </w:t>
      </w:r>
      <w:r w:rsidR="001A03CD">
        <w:t>to</w:t>
      </w:r>
      <w:r w:rsidR="00ED7919">
        <w:t xml:space="preserve"> </w:t>
      </w:r>
      <w:r>
        <w:t xml:space="preserve">allow </w:t>
      </w:r>
      <w:r w:rsidR="001A03CD">
        <w:t xml:space="preserve">for </w:t>
      </w:r>
      <w:r w:rsidR="0020460D" w:rsidRPr="0043424C">
        <w:t>a</w:t>
      </w:r>
      <w:r w:rsidR="00594BCC">
        <w:t xml:space="preserve"> more transparent and</w:t>
      </w:r>
      <w:r w:rsidR="0020460D" w:rsidRPr="0043424C">
        <w:t xml:space="preserve"> competitive environment for private companies to compete for government contracts</w:t>
      </w:r>
      <w:r w:rsidR="0020460D">
        <w:t xml:space="preserve">. </w:t>
      </w:r>
      <w:r w:rsidR="001A03CD">
        <w:t xml:space="preserve">This will benefit the private sector, </w:t>
      </w:r>
      <w:r w:rsidR="006F2DCA">
        <w:t xml:space="preserve">and </w:t>
      </w:r>
      <w:r w:rsidR="001A03CD">
        <w:t xml:space="preserve">should </w:t>
      </w:r>
      <w:r w:rsidR="00597380">
        <w:t xml:space="preserve">also </w:t>
      </w:r>
      <w:r w:rsidR="001A03CD">
        <w:t xml:space="preserve">result in improved value for money for public expenditure. </w:t>
      </w:r>
      <w:r w:rsidR="00ED7919">
        <w:t xml:space="preserve"> </w:t>
      </w:r>
      <w:r w:rsidR="0020460D">
        <w:t>We also provided technical support to the Ministry for</w:t>
      </w:r>
      <w:r w:rsidR="0020460D" w:rsidRPr="0043424C">
        <w:t xml:space="preserve"> </w:t>
      </w:r>
      <w:r w:rsidR="0020460D">
        <w:t xml:space="preserve">Industry, </w:t>
      </w:r>
      <w:r w:rsidR="0020460D" w:rsidRPr="0043424C">
        <w:t xml:space="preserve">Trade </w:t>
      </w:r>
      <w:r w:rsidR="00ED7919">
        <w:t xml:space="preserve">and Tourism </w:t>
      </w:r>
      <w:r w:rsidR="00690F6B">
        <w:t>to conduct needs assessments and planning for the Department of Trade Measurement and Standards – work which we expect to continue in 2016-17</w:t>
      </w:r>
      <w:r w:rsidR="006F2DCA">
        <w:t xml:space="preserve"> and will support Fiji </w:t>
      </w:r>
      <w:r w:rsidR="003D5319">
        <w:t xml:space="preserve">to </w:t>
      </w:r>
      <w:r w:rsidR="006F2DCA">
        <w:t xml:space="preserve">meet its </w:t>
      </w:r>
      <w:r w:rsidR="006F2DCA" w:rsidRPr="00160D8C">
        <w:t>international trade obligations</w:t>
      </w:r>
      <w:r w:rsidR="00690F6B" w:rsidRPr="00F27056">
        <w:t>.</w:t>
      </w:r>
      <w:r w:rsidR="00690F6B">
        <w:t xml:space="preserve"> Our support for </w:t>
      </w:r>
      <w:r w:rsidR="00A70482">
        <w:t xml:space="preserve">the </w:t>
      </w:r>
      <w:r w:rsidR="00690F6B">
        <w:t xml:space="preserve">Fiji Commerce Commission to attend Australia-based training in competition law and economics is now helping the Commission to encourage fair competition, discourage restrictive trade practices, and enhance consumer protection. </w:t>
      </w:r>
    </w:p>
    <w:p w14:paraId="2FB1CADC" w14:textId="77777777" w:rsidR="000778F0" w:rsidRPr="003A0361" w:rsidRDefault="000778F0" w:rsidP="000778F0">
      <w:pPr>
        <w:autoSpaceDE w:val="0"/>
        <w:autoSpaceDN w:val="0"/>
        <w:adjustRightInd w:val="0"/>
        <w:rPr>
          <w:i/>
        </w:rPr>
      </w:pPr>
      <w:r w:rsidRPr="003A0361">
        <w:rPr>
          <w:i/>
        </w:rPr>
        <w:t xml:space="preserve">Improved </w:t>
      </w:r>
      <w:r w:rsidR="005D03B0">
        <w:rPr>
          <w:i/>
        </w:rPr>
        <w:t>civil</w:t>
      </w:r>
      <w:r w:rsidRPr="003A0361">
        <w:rPr>
          <w:i/>
        </w:rPr>
        <w:t xml:space="preserve"> </w:t>
      </w:r>
      <w:r w:rsidR="00E23256">
        <w:rPr>
          <w:i/>
        </w:rPr>
        <w:t>s</w:t>
      </w:r>
      <w:r w:rsidRPr="003A0361">
        <w:rPr>
          <w:i/>
        </w:rPr>
        <w:t>ervice performance</w:t>
      </w:r>
      <w:r w:rsidR="00905EB3">
        <w:rPr>
          <w:i/>
        </w:rPr>
        <w:t xml:space="preserve"> and accountable and inclusive politics </w:t>
      </w:r>
    </w:p>
    <w:p w14:paraId="52C02500" w14:textId="77777777" w:rsidR="00DF3196" w:rsidRDefault="000778F0" w:rsidP="00933C74">
      <w:pPr>
        <w:autoSpaceDE w:val="0"/>
        <w:autoSpaceDN w:val="0"/>
        <w:adjustRightInd w:val="0"/>
      </w:pPr>
      <w:r>
        <w:t xml:space="preserve">Australia supported Fiji’s Civil Service Reform </w:t>
      </w:r>
      <w:r w:rsidR="00C6467A">
        <w:t xml:space="preserve">Management </w:t>
      </w:r>
      <w:r>
        <w:t xml:space="preserve">Unit </w:t>
      </w:r>
      <w:r w:rsidR="005D03B0">
        <w:t>(CSRMU)</w:t>
      </w:r>
      <w:r w:rsidR="00C56B1E">
        <w:t xml:space="preserve"> </w:t>
      </w:r>
      <w:r>
        <w:t xml:space="preserve">to </w:t>
      </w:r>
      <w:r w:rsidR="00381861">
        <w:t xml:space="preserve">assist </w:t>
      </w:r>
      <w:r w:rsidR="00CF1F4C">
        <w:t>g</w:t>
      </w:r>
      <w:r>
        <w:t xml:space="preserve">overnment ministries to implement newly </w:t>
      </w:r>
      <w:r w:rsidRPr="009650DA">
        <w:t xml:space="preserve">devolved </w:t>
      </w:r>
      <w:r>
        <w:t xml:space="preserve">powers </w:t>
      </w:r>
      <w:r w:rsidR="00466E1D">
        <w:t xml:space="preserve">which seek </w:t>
      </w:r>
      <w:r w:rsidR="00C56B1E">
        <w:t>to</w:t>
      </w:r>
      <w:r>
        <w:t xml:space="preserve"> drive improved performance; reorient</w:t>
      </w:r>
      <w:r w:rsidRPr="009650DA">
        <w:t xml:space="preserve"> </w:t>
      </w:r>
      <w:r>
        <w:t>c</w:t>
      </w:r>
      <w:r w:rsidRPr="009650DA">
        <w:t>entral agencies</w:t>
      </w:r>
      <w:r w:rsidR="00F27056">
        <w:t>’</w:t>
      </w:r>
      <w:r w:rsidRPr="009650DA">
        <w:t xml:space="preserve"> roles and functions; </w:t>
      </w:r>
      <w:r>
        <w:t>and increase technological innovation to advance</w:t>
      </w:r>
      <w:r w:rsidRPr="009650DA">
        <w:t xml:space="preserve"> the responsiveness, efficiency, and accessibility of government</w:t>
      </w:r>
      <w:r w:rsidR="00B22B76">
        <w:t xml:space="preserve">. </w:t>
      </w:r>
      <w:r w:rsidR="007C5DBB">
        <w:t>Our support has included</w:t>
      </w:r>
      <w:r>
        <w:t xml:space="preserve"> strategic institutional reform analysis, options </w:t>
      </w:r>
      <w:r w:rsidR="005D03B0">
        <w:t xml:space="preserve">papers and guideline documents </w:t>
      </w:r>
      <w:r>
        <w:t>through a World Bank implemented project</w:t>
      </w:r>
      <w:r w:rsidR="005D03B0">
        <w:t xml:space="preserve">. We have also provided </w:t>
      </w:r>
      <w:r>
        <w:t xml:space="preserve">training </w:t>
      </w:r>
      <w:r w:rsidR="00C56B1E">
        <w:t xml:space="preserve">to Government officials </w:t>
      </w:r>
      <w:r w:rsidR="005D03B0">
        <w:t xml:space="preserve">through </w:t>
      </w:r>
      <w:r>
        <w:t>bilateral technical support</w:t>
      </w:r>
      <w:r w:rsidR="008E30C9">
        <w:t xml:space="preserve"> and</w:t>
      </w:r>
      <w:r w:rsidR="00DF3196">
        <w:t xml:space="preserve"> </w:t>
      </w:r>
      <w:r w:rsidR="00A70482">
        <w:t xml:space="preserve">a </w:t>
      </w:r>
      <w:r w:rsidR="00987413">
        <w:t xml:space="preserve">partnership with </w:t>
      </w:r>
      <w:r w:rsidR="00DF3196">
        <w:t>the Australian Public Service Commission</w:t>
      </w:r>
      <w:r w:rsidR="005D03B0">
        <w:t>,</w:t>
      </w:r>
      <w:r>
        <w:t xml:space="preserve"> a</w:t>
      </w:r>
      <w:r w:rsidR="00A70482">
        <w:t xml:space="preserve">s well as </w:t>
      </w:r>
      <w:r>
        <w:t xml:space="preserve">capacity building </w:t>
      </w:r>
      <w:r w:rsidR="000A4DAE">
        <w:t xml:space="preserve">of </w:t>
      </w:r>
      <w:r w:rsidR="005D03B0">
        <w:t>CSRMU</w:t>
      </w:r>
      <w:r>
        <w:t xml:space="preserve"> </w:t>
      </w:r>
      <w:r w:rsidR="00C56B1E">
        <w:t xml:space="preserve">staff </w:t>
      </w:r>
      <w:r w:rsidR="005D03B0">
        <w:t xml:space="preserve">through </w:t>
      </w:r>
      <w:r w:rsidR="008E30C9">
        <w:t>the</w:t>
      </w:r>
      <w:r w:rsidR="005D03B0">
        <w:t xml:space="preserve"> A</w:t>
      </w:r>
      <w:r>
        <w:t>ustralian Civilian Corps</w:t>
      </w:r>
      <w:r w:rsidR="00B22B76">
        <w:t xml:space="preserve">. </w:t>
      </w:r>
    </w:p>
    <w:p w14:paraId="30584AFD" w14:textId="77777777" w:rsidR="000778F0" w:rsidRDefault="00DF3196" w:rsidP="00933C74">
      <w:pPr>
        <w:autoSpaceDE w:val="0"/>
        <w:autoSpaceDN w:val="0"/>
        <w:adjustRightInd w:val="0"/>
      </w:pPr>
      <w:r>
        <w:t xml:space="preserve">Results in </w:t>
      </w:r>
      <w:r w:rsidRPr="000E3782">
        <w:t>2015-16 have included the design and implementation of a</w:t>
      </w:r>
      <w:r w:rsidR="00466E1D">
        <w:t>n induction and leadership program for the</w:t>
      </w:r>
      <w:r w:rsidRPr="000E3782">
        <w:t xml:space="preserve"> </w:t>
      </w:r>
      <w:r w:rsidR="005D03B0">
        <w:t>newly recruited</w:t>
      </w:r>
      <w:r>
        <w:t xml:space="preserve"> </w:t>
      </w:r>
      <w:r w:rsidRPr="000E3782">
        <w:t>Permanent Secretar</w:t>
      </w:r>
      <w:r>
        <w:t>ies</w:t>
      </w:r>
      <w:r>
        <w:rPr>
          <w:sz w:val="21"/>
          <w:szCs w:val="21"/>
        </w:rPr>
        <w:t xml:space="preserve">; the conduct of several </w:t>
      </w:r>
      <w:r w:rsidR="00987413">
        <w:rPr>
          <w:sz w:val="21"/>
          <w:szCs w:val="21"/>
        </w:rPr>
        <w:t>M</w:t>
      </w:r>
      <w:r>
        <w:rPr>
          <w:sz w:val="21"/>
          <w:szCs w:val="21"/>
        </w:rPr>
        <w:t>inistry</w:t>
      </w:r>
      <w:r w:rsidRPr="00212478">
        <w:rPr>
          <w:sz w:val="21"/>
          <w:szCs w:val="21"/>
        </w:rPr>
        <w:t xml:space="preserve"> </w:t>
      </w:r>
      <w:r w:rsidRPr="004B10B9">
        <w:rPr>
          <w:sz w:val="21"/>
          <w:szCs w:val="21"/>
        </w:rPr>
        <w:t>institutional review</w:t>
      </w:r>
      <w:r>
        <w:rPr>
          <w:sz w:val="21"/>
          <w:szCs w:val="21"/>
        </w:rPr>
        <w:t>s</w:t>
      </w:r>
      <w:r w:rsidR="00466E1D">
        <w:rPr>
          <w:sz w:val="21"/>
          <w:szCs w:val="21"/>
        </w:rPr>
        <w:t xml:space="preserve"> to inform restructures</w:t>
      </w:r>
      <w:r>
        <w:rPr>
          <w:sz w:val="21"/>
          <w:szCs w:val="21"/>
        </w:rPr>
        <w:t>;</w:t>
      </w:r>
      <w:r w:rsidRPr="004B10B9">
        <w:rPr>
          <w:sz w:val="21"/>
          <w:szCs w:val="21"/>
        </w:rPr>
        <w:t xml:space="preserve"> </w:t>
      </w:r>
      <w:r w:rsidR="004F0A82">
        <w:rPr>
          <w:sz w:val="21"/>
          <w:szCs w:val="21"/>
        </w:rPr>
        <w:t xml:space="preserve">the roll out of </w:t>
      </w:r>
      <w:r>
        <w:rPr>
          <w:sz w:val="21"/>
          <w:szCs w:val="21"/>
        </w:rPr>
        <w:t xml:space="preserve">Merit Recruitment policy guidelines across all government departments; and a </w:t>
      </w:r>
      <w:r w:rsidRPr="004B10B9">
        <w:t>compensation benchmarking survey to inform government’s pay policy and employment conditions</w:t>
      </w:r>
      <w:r>
        <w:t xml:space="preserve">. </w:t>
      </w:r>
    </w:p>
    <w:p w14:paraId="4641AB85" w14:textId="77777777" w:rsidR="000778F0" w:rsidRPr="00A33ED9" w:rsidRDefault="00715518" w:rsidP="000778F0">
      <w:pPr>
        <w:autoSpaceDE w:val="0"/>
        <w:autoSpaceDN w:val="0"/>
        <w:adjustRightInd w:val="0"/>
      </w:pPr>
      <w:r>
        <w:t>A</w:t>
      </w:r>
      <w:r w:rsidR="00A1696E">
        <w:t xml:space="preserve">nother </w:t>
      </w:r>
      <w:r>
        <w:t xml:space="preserve">priority of </w:t>
      </w:r>
      <w:r w:rsidR="00466E1D">
        <w:t>the</w:t>
      </w:r>
      <w:r>
        <w:t xml:space="preserve"> governance program is </w:t>
      </w:r>
      <w:r w:rsidR="000778F0" w:rsidRPr="009B457F">
        <w:t>support</w:t>
      </w:r>
      <w:r w:rsidR="00A70482">
        <w:t>ing</w:t>
      </w:r>
      <w:r w:rsidR="000778F0" w:rsidRPr="009B457F">
        <w:t xml:space="preserve"> the connection between state and citizenry</w:t>
      </w:r>
      <w:r w:rsidR="000778F0">
        <w:t>, particularly under the new single constituency electoral system</w:t>
      </w:r>
      <w:r w:rsidR="00B22B76">
        <w:t>.</w:t>
      </w:r>
      <w:r w:rsidR="00524E2B" w:rsidRPr="00612968">
        <w:rPr>
          <w:rFonts w:ascii="Calibri Light" w:eastAsia="Calibri Light" w:hAnsi="Calibri Light"/>
          <w:color w:val="495965"/>
        </w:rPr>
        <w:t xml:space="preserve"> </w:t>
      </w:r>
      <w:r w:rsidR="000778F0">
        <w:t xml:space="preserve">In 2015-16, Australia continued to support the move towards more </w:t>
      </w:r>
      <w:r w:rsidR="000778F0" w:rsidRPr="00160D8C">
        <w:t>accountable and inclusive politics</w:t>
      </w:r>
      <w:r w:rsidR="000778F0" w:rsidRPr="00F27056">
        <w:t xml:space="preserve"> </w:t>
      </w:r>
      <w:r w:rsidR="000778F0">
        <w:t>through the United Nation</w:t>
      </w:r>
      <w:r w:rsidR="00CF1F4C">
        <w:t>s</w:t>
      </w:r>
      <w:r w:rsidR="000778F0">
        <w:t xml:space="preserve"> Development Program </w:t>
      </w:r>
      <w:r w:rsidR="00CF1F4C">
        <w:t xml:space="preserve">(UNDP) </w:t>
      </w:r>
      <w:r w:rsidR="000778F0">
        <w:t>Parliamentary Project</w:t>
      </w:r>
      <w:r w:rsidR="00124D26">
        <w:rPr>
          <w:rStyle w:val="FootnoteReference"/>
        </w:rPr>
        <w:footnoteReference w:id="9"/>
      </w:r>
      <w:r w:rsidR="000778F0">
        <w:t xml:space="preserve"> and the Australian/Victorian State parliament twinning arrangement. </w:t>
      </w:r>
      <w:r w:rsidR="00DF3196" w:rsidRPr="00A33ED9">
        <w:t xml:space="preserve">Through this support, we have assisted in building the capacity of the Fiji Parliament’s ICT specialists, </w:t>
      </w:r>
      <w:r w:rsidR="00A70482">
        <w:t>H</w:t>
      </w:r>
      <w:r w:rsidR="00DF3196" w:rsidRPr="00A33ED9">
        <w:t xml:space="preserve">ansard, public outreach, </w:t>
      </w:r>
      <w:r w:rsidR="00466E1D">
        <w:t>c</w:t>
      </w:r>
      <w:r w:rsidR="00DF3196" w:rsidRPr="00A33ED9">
        <w:t xml:space="preserve">ommittee and </w:t>
      </w:r>
      <w:r w:rsidR="00466E1D">
        <w:t>l</w:t>
      </w:r>
      <w:r w:rsidR="00DF3196" w:rsidRPr="00A33ED9">
        <w:t xml:space="preserve">egislative </w:t>
      </w:r>
      <w:r w:rsidR="00466E1D">
        <w:t>s</w:t>
      </w:r>
      <w:r w:rsidR="00DF3196" w:rsidRPr="00A33ED9">
        <w:t xml:space="preserve">ervice staff. </w:t>
      </w:r>
      <w:r w:rsidR="0028110E">
        <w:t>This support has resulted in a strengthened Fiji Parliament Secretariat gaining the trust of MPs and providing information on the Government’s website</w:t>
      </w:r>
      <w:r w:rsidR="00A70482">
        <w:t xml:space="preserve">.  It has also allowed the Secretariat to hold public </w:t>
      </w:r>
      <w:r w:rsidR="0028110E">
        <w:t xml:space="preserve">events </w:t>
      </w:r>
      <w:r w:rsidR="00A70482">
        <w:t xml:space="preserve">such as </w:t>
      </w:r>
      <w:r w:rsidR="0028110E">
        <w:t xml:space="preserve">the </w:t>
      </w:r>
      <w:r w:rsidR="00A70482">
        <w:t xml:space="preserve">well-attended </w:t>
      </w:r>
      <w:r w:rsidR="0028110E">
        <w:t xml:space="preserve">quarterly Speaker’s Debates </w:t>
      </w:r>
    </w:p>
    <w:p w14:paraId="605DDE76" w14:textId="77777777" w:rsidR="000778F0" w:rsidRDefault="00DF3196" w:rsidP="000778F0">
      <w:pPr>
        <w:autoSpaceDE w:val="0"/>
        <w:autoSpaceDN w:val="0"/>
        <w:adjustRightInd w:val="0"/>
      </w:pPr>
      <w:r w:rsidRPr="00DF3196">
        <w:t>In 2015-16</w:t>
      </w:r>
      <w:r w:rsidR="00F27056">
        <w:t>,</w:t>
      </w:r>
      <w:r w:rsidRPr="00DF3196">
        <w:t xml:space="preserve"> Australia’s electoral administration assistance focused on the Fiji Elections Office’s planning and knowledge management capabilities</w:t>
      </w:r>
      <w:r w:rsidRPr="00DF3196">
        <w:rPr>
          <w:color w:val="auto"/>
        </w:rPr>
        <w:t xml:space="preserve">; </w:t>
      </w:r>
      <w:r w:rsidRPr="00DF3196">
        <w:t xml:space="preserve">capacity building </w:t>
      </w:r>
      <w:r w:rsidR="00A70482">
        <w:t xml:space="preserve">for </w:t>
      </w:r>
      <w:r w:rsidRPr="00DF3196">
        <w:t>the Operations department</w:t>
      </w:r>
      <w:r w:rsidRPr="00DF3196">
        <w:rPr>
          <w:color w:val="auto"/>
        </w:rPr>
        <w:t xml:space="preserve">; </w:t>
      </w:r>
      <w:r w:rsidRPr="00DF3196">
        <w:t>and staff training through BRIDGE</w:t>
      </w:r>
      <w:r w:rsidRPr="00DF3196">
        <w:rPr>
          <w:vertAlign w:val="superscript"/>
        </w:rPr>
        <w:footnoteReference w:id="10"/>
      </w:r>
      <w:r w:rsidRPr="00DF3196">
        <w:t xml:space="preserve"> workshops. Australia’s electoral assistance was delivered by technical advisors, the Australian Electoral Commission and the Pacific Islands, Australia and New Zealand Electoral Administrators Network. </w:t>
      </w:r>
      <w:r w:rsidR="000778F0">
        <w:t xml:space="preserve">Other support to </w:t>
      </w:r>
      <w:r w:rsidR="000778F0" w:rsidRPr="00F95E87">
        <w:t xml:space="preserve">Fiji’s </w:t>
      </w:r>
      <w:r w:rsidR="000778F0" w:rsidRPr="00160D8C">
        <w:t>accountability institutions</w:t>
      </w:r>
      <w:r w:rsidR="000778F0" w:rsidRPr="00F95E87">
        <w:t xml:space="preserve"> include</w:t>
      </w:r>
      <w:r w:rsidR="000778F0">
        <w:t>s</w:t>
      </w:r>
      <w:r w:rsidR="000778F0" w:rsidRPr="00F95E87">
        <w:t xml:space="preserve"> a twinning</w:t>
      </w:r>
      <w:r w:rsidR="00CF1F4C">
        <w:t xml:space="preserve"> arrangement</w:t>
      </w:r>
      <w:r w:rsidR="000778F0" w:rsidRPr="00F95E87">
        <w:t xml:space="preserve"> between the Tasmanian Audit Office and Fiji’s </w:t>
      </w:r>
      <w:r w:rsidR="000778F0">
        <w:t>Office of the Auditor General</w:t>
      </w:r>
      <w:r w:rsidR="00B22B76">
        <w:t xml:space="preserve">. </w:t>
      </w:r>
    </w:p>
    <w:p w14:paraId="5FDAF9BA" w14:textId="77777777" w:rsidR="00DF7221" w:rsidRDefault="00DF7221" w:rsidP="00160D8C">
      <w:pPr>
        <w:rPr>
          <w:rFonts w:ascii="Helvetica" w:hAnsi="Helvetica" w:cs="Arial"/>
          <w:color w:val="0C7DAF"/>
          <w:kern w:val="28"/>
          <w:szCs w:val="28"/>
        </w:rPr>
      </w:pPr>
    </w:p>
    <w:p w14:paraId="1467BDE2" w14:textId="77777777" w:rsidR="00DF7221" w:rsidRDefault="00DF7221" w:rsidP="00160D8C">
      <w:pPr>
        <w:rPr>
          <w:rFonts w:ascii="Helvetica" w:hAnsi="Helvetica" w:cs="Arial"/>
          <w:color w:val="0C7DAF"/>
          <w:kern w:val="28"/>
          <w:szCs w:val="28"/>
        </w:rPr>
      </w:pPr>
    </w:p>
    <w:p w14:paraId="0C2C4A35" w14:textId="535F91C3" w:rsidR="00D90B90" w:rsidRPr="00160D8C" w:rsidRDefault="00D90B90" w:rsidP="00160D8C">
      <w:pPr>
        <w:rPr>
          <w:rFonts w:ascii="Helvetica" w:hAnsi="Helvetica" w:cs="Arial"/>
          <w:color w:val="0C7DAF"/>
          <w:kern w:val="28"/>
          <w:szCs w:val="28"/>
        </w:rPr>
      </w:pPr>
      <w:r w:rsidRPr="00160D8C">
        <w:rPr>
          <w:rFonts w:ascii="Helvetica" w:hAnsi="Helvetica" w:cs="Arial"/>
          <w:color w:val="0C7DAF"/>
          <w:kern w:val="28"/>
          <w:szCs w:val="28"/>
        </w:rPr>
        <w:t>Stimulate investment</w:t>
      </w:r>
      <w:r w:rsidR="00D073AE" w:rsidRPr="00160D8C">
        <w:rPr>
          <w:rFonts w:ascii="Helvetica" w:hAnsi="Helvetica" w:cs="Arial"/>
          <w:color w:val="0C7DAF"/>
          <w:kern w:val="28"/>
          <w:szCs w:val="28"/>
        </w:rPr>
        <w:t>, trade</w:t>
      </w:r>
      <w:r w:rsidR="0020460D" w:rsidRPr="00160D8C">
        <w:rPr>
          <w:rFonts w:ascii="Helvetica" w:hAnsi="Helvetica" w:cs="Arial"/>
          <w:color w:val="0C7DAF"/>
          <w:kern w:val="28"/>
          <w:szCs w:val="28"/>
        </w:rPr>
        <w:t xml:space="preserve"> and</w:t>
      </w:r>
      <w:r w:rsidR="00D073AE" w:rsidRPr="00160D8C">
        <w:rPr>
          <w:rFonts w:ascii="Helvetica" w:hAnsi="Helvetica" w:cs="Arial"/>
          <w:color w:val="0C7DAF"/>
          <w:kern w:val="28"/>
          <w:szCs w:val="28"/>
        </w:rPr>
        <w:t xml:space="preserve"> economic activity </w:t>
      </w:r>
      <w:r w:rsidRPr="00160D8C">
        <w:rPr>
          <w:rFonts w:ascii="Helvetica" w:hAnsi="Helvetica" w:cs="Arial"/>
          <w:color w:val="0C7DAF"/>
          <w:kern w:val="28"/>
          <w:szCs w:val="28"/>
        </w:rPr>
        <w:t>to increase incomes of the poor</w:t>
      </w:r>
    </w:p>
    <w:p w14:paraId="1A2797F7" w14:textId="77777777" w:rsidR="00D90B90" w:rsidRDefault="00F27056" w:rsidP="00D90B90">
      <w:r>
        <w:t>In 2015-16, t</w:t>
      </w:r>
      <w:r w:rsidR="00466E1D">
        <w:t>he</w:t>
      </w:r>
      <w:r w:rsidR="00DF3196">
        <w:t xml:space="preserve"> Market Development Facility</w:t>
      </w:r>
      <w:r w:rsidR="009110FC">
        <w:t xml:space="preserve"> (MDF)</w:t>
      </w:r>
      <w:r w:rsidR="00D90B90">
        <w:t xml:space="preserve"> provide</w:t>
      </w:r>
      <w:r>
        <w:t>d</w:t>
      </w:r>
      <w:r w:rsidR="00D90B90">
        <w:t xml:space="preserve"> advisory services and </w:t>
      </w:r>
      <w:r w:rsidR="00E721B1">
        <w:t>s</w:t>
      </w:r>
      <w:r w:rsidR="00015340">
        <w:t>eed</w:t>
      </w:r>
      <w:r w:rsidR="00E721B1">
        <w:t xml:space="preserve"> </w:t>
      </w:r>
      <w:r w:rsidR="00D90B90">
        <w:t>financing</w:t>
      </w:r>
      <w:r w:rsidR="00DF3196">
        <w:t xml:space="preserve"> </w:t>
      </w:r>
      <w:r w:rsidR="009110FC">
        <w:t>to</w:t>
      </w:r>
      <w:r w:rsidR="00DF3196">
        <w:t xml:space="preserve"> businesses </w:t>
      </w:r>
      <w:r w:rsidR="00D90B90">
        <w:t>that have a demonstrated impact on employment and incomes for low-income communities</w:t>
      </w:r>
      <w:r w:rsidR="00B22B76">
        <w:t xml:space="preserve">. </w:t>
      </w:r>
      <w:r w:rsidR="009110FC">
        <w:t>B</w:t>
      </w:r>
      <w:r w:rsidR="00D90B90">
        <w:t xml:space="preserve">y June 2016, </w:t>
      </w:r>
      <w:r w:rsidR="009110FC">
        <w:t xml:space="preserve">MDF forged </w:t>
      </w:r>
      <w:r w:rsidR="00D90B90">
        <w:t>32 active partnerships across the horticulture and agro-export, tourism and export processing sectors</w:t>
      </w:r>
      <w:r w:rsidR="00B22B76">
        <w:t xml:space="preserve">. </w:t>
      </w:r>
      <w:r w:rsidR="00D90B90">
        <w:t xml:space="preserve">Through these partnerships, </w:t>
      </w:r>
      <w:r w:rsidR="00774D30">
        <w:t>$</w:t>
      </w:r>
      <w:r w:rsidR="00D90B90">
        <w:t>3.4 million was leveraged in private sector investment and</w:t>
      </w:r>
      <w:r w:rsidR="0030733E">
        <w:t xml:space="preserve"> 191 full-time jobs were created for poor men (83) and women (108)</w:t>
      </w:r>
      <w:r w:rsidR="00B22B76">
        <w:t xml:space="preserve">. </w:t>
      </w:r>
      <w:r w:rsidR="00EB27DE">
        <w:t>A sample of a</w:t>
      </w:r>
      <w:r w:rsidR="00D90B90">
        <w:t>ctivities MDF has undertaken in 2015-16</w:t>
      </w:r>
      <w:r w:rsidR="001B6812">
        <w:t xml:space="preserve"> </w:t>
      </w:r>
      <w:r w:rsidR="00715CC0">
        <w:t>includes</w:t>
      </w:r>
      <w:r w:rsidR="00D90B90">
        <w:t xml:space="preserve">: </w:t>
      </w:r>
    </w:p>
    <w:p w14:paraId="7BFDA7DB" w14:textId="77777777" w:rsidR="00D90B90" w:rsidRDefault="00D90B90" w:rsidP="00391121">
      <w:pPr>
        <w:pStyle w:val="ListParagraph"/>
        <w:numPr>
          <w:ilvl w:val="0"/>
          <w:numId w:val="28"/>
        </w:numPr>
        <w:suppressAutoHyphens w:val="0"/>
        <w:spacing w:after="120" w:line="240" w:lineRule="auto"/>
      </w:pPr>
      <w:r>
        <w:t>partner</w:t>
      </w:r>
      <w:r w:rsidR="001B6812">
        <w:t>ing</w:t>
      </w:r>
      <w:r>
        <w:t xml:space="preserve"> with local business KK’s Hardware to break the monopolistic seed market in Fiji </w:t>
      </w:r>
      <w:r w:rsidR="002746A8">
        <w:t>by</w:t>
      </w:r>
      <w:r>
        <w:t xml:space="preserve"> introducing new seed varieties that are better suited and more profitable for farmers;   </w:t>
      </w:r>
    </w:p>
    <w:p w14:paraId="4D1D878D" w14:textId="77777777" w:rsidR="00D90B90" w:rsidRDefault="00D90B90" w:rsidP="00391121">
      <w:pPr>
        <w:pStyle w:val="ListParagraph"/>
        <w:numPr>
          <w:ilvl w:val="0"/>
          <w:numId w:val="28"/>
        </w:numPr>
        <w:suppressAutoHyphens w:val="0"/>
        <w:spacing w:after="120" w:line="240" w:lineRule="auto"/>
      </w:pPr>
      <w:r>
        <w:t xml:space="preserve">working with 27 tourism businesses in Rakiraki and Kadavu to set up a dedicated destination marketing organisation to promote tourism to less visited destinations;   </w:t>
      </w:r>
    </w:p>
    <w:p w14:paraId="00E603F8" w14:textId="77777777" w:rsidR="00D073AE" w:rsidRDefault="001B6812" w:rsidP="00391121">
      <w:pPr>
        <w:pStyle w:val="ListParagraph"/>
        <w:numPr>
          <w:ilvl w:val="0"/>
          <w:numId w:val="28"/>
        </w:numPr>
        <w:suppressAutoHyphens w:val="0"/>
        <w:spacing w:after="120" w:line="240" w:lineRule="auto"/>
      </w:pPr>
      <w:r>
        <w:t xml:space="preserve">signing </w:t>
      </w:r>
      <w:r w:rsidR="00D90B90">
        <w:t>Memorandums of Understanding with six hotels to develop Fiji</w:t>
      </w:r>
      <w:r>
        <w:t>-</w:t>
      </w:r>
      <w:r w:rsidR="00D90B90">
        <w:t>inspired menus to reduce food imports and generate economic opportunities for local suppliers</w:t>
      </w:r>
      <w:r w:rsidR="00D073AE">
        <w:t>; and</w:t>
      </w:r>
    </w:p>
    <w:p w14:paraId="1332E91C" w14:textId="77777777" w:rsidR="00D073AE" w:rsidRDefault="00D073AE" w:rsidP="00D073AE">
      <w:pPr>
        <w:pStyle w:val="ListParagraph"/>
        <w:numPr>
          <w:ilvl w:val="0"/>
          <w:numId w:val="28"/>
        </w:numPr>
        <w:suppressAutoHyphens w:val="0"/>
        <w:spacing w:after="120" w:line="240" w:lineRule="auto"/>
      </w:pPr>
      <w:r>
        <w:t xml:space="preserve">partnering with the Fiji Export Council to review the outdated Duty Suspension Scheme that was a cost burden to exporters. </w:t>
      </w:r>
      <w:r w:rsidR="009110FC">
        <w:t>T</w:t>
      </w:r>
      <w:r>
        <w:t xml:space="preserve">he Scheme </w:t>
      </w:r>
      <w:r w:rsidR="009110FC">
        <w:t xml:space="preserve">was </w:t>
      </w:r>
      <w:r>
        <w:t xml:space="preserve">repealed in the 2016 National Budget Announcement. </w:t>
      </w:r>
    </w:p>
    <w:p w14:paraId="23258A80" w14:textId="77777777" w:rsidR="00D90B90" w:rsidRDefault="00D90B90" w:rsidP="00D90B90">
      <w:r>
        <w:t xml:space="preserve">Australia’s contribution to improving </w:t>
      </w:r>
      <w:r w:rsidRPr="00160D8C">
        <w:t>Fiji’s trade competitiveness</w:t>
      </w:r>
      <w:r>
        <w:t xml:space="preserve"> currently focuses on the agricultural sector</w:t>
      </w:r>
      <w:r w:rsidR="00B22B76">
        <w:t xml:space="preserve">. </w:t>
      </w:r>
      <w:r w:rsidR="00F27056">
        <w:t>K</w:t>
      </w:r>
      <w:r>
        <w:t>ey priorit</w:t>
      </w:r>
      <w:r w:rsidR="00F27056">
        <w:t>ies in 2015-16 was</w:t>
      </w:r>
      <w:r>
        <w:t xml:space="preserve"> to help farmers and wholesalers meet the phytosanitary, labelling and safety requirements of external trading partners; improve the quality of export products to meet market demand in foreign countries; and identif</w:t>
      </w:r>
      <w:r w:rsidR="001B6812">
        <w:t>y</w:t>
      </w:r>
      <w:r>
        <w:t xml:space="preserve"> new export markets</w:t>
      </w:r>
      <w:r w:rsidR="00B22B76">
        <w:t xml:space="preserve">. </w:t>
      </w:r>
      <w:r>
        <w:t xml:space="preserve">Our support in this area is primarily through the </w:t>
      </w:r>
      <w:r w:rsidRPr="00045DB2">
        <w:t>PHAMA</w:t>
      </w:r>
      <w:r>
        <w:t xml:space="preserve"> program</w:t>
      </w:r>
      <w:r w:rsidR="00D56ED6">
        <w:t xml:space="preserve"> -</w:t>
      </w:r>
      <w:r w:rsidR="003A0361">
        <w:t xml:space="preserve"> a</w:t>
      </w:r>
      <w:r>
        <w:t xml:space="preserve"> nine-year </w:t>
      </w:r>
      <w:r w:rsidR="00DF3196">
        <w:t xml:space="preserve">Pacific </w:t>
      </w:r>
      <w:r>
        <w:t xml:space="preserve">regional program </w:t>
      </w:r>
      <w:r w:rsidR="00DF3196">
        <w:t>that</w:t>
      </w:r>
      <w:r>
        <w:t xml:space="preserve"> provide</w:t>
      </w:r>
      <w:r w:rsidR="00DF3196">
        <w:t>s</w:t>
      </w:r>
      <w:r>
        <w:t xml:space="preserve"> assistance to help meet regulatory requirements associated with exporting primary agricultural products.</w:t>
      </w:r>
      <w:r w:rsidR="008766D7">
        <w:t xml:space="preserve"> </w:t>
      </w:r>
      <w:r w:rsidR="006B40C1">
        <w:t xml:space="preserve">For example, </w:t>
      </w:r>
      <w:r>
        <w:t>Australian supermarkets increasingly requir</w:t>
      </w:r>
      <w:r w:rsidR="006B40C1">
        <w:t>e</w:t>
      </w:r>
      <w:r>
        <w:t xml:space="preserve"> suppliers to achieve </w:t>
      </w:r>
      <w:r w:rsidRPr="00115CBA">
        <w:t>Hazard Analy</w:t>
      </w:r>
      <w:r>
        <w:t>sis and Critical Control Point</w:t>
      </w:r>
      <w:r w:rsidRPr="00115CBA">
        <w:t xml:space="preserve"> standards for food safety</w:t>
      </w:r>
      <w:r w:rsidR="00B22B76">
        <w:t xml:space="preserve">. </w:t>
      </w:r>
      <w:r>
        <w:t>Through PHAMA’s efforts,</w:t>
      </w:r>
      <w:r w:rsidR="00F27056">
        <w:t xml:space="preserve"> these standards were met and </w:t>
      </w:r>
      <w:r w:rsidRPr="00F27056">
        <w:t>accreditation</w:t>
      </w:r>
      <w:r w:rsidR="00F27056" w:rsidRPr="00F27056">
        <w:t xml:space="preserve"> </w:t>
      </w:r>
      <w:r w:rsidRPr="00115CBA">
        <w:t>was granted for another three of Fiji’s largest fresh produce export</w:t>
      </w:r>
      <w:r w:rsidR="008766D7">
        <w:t>er</w:t>
      </w:r>
      <w:r w:rsidRPr="00115CBA">
        <w:t>s, bringing the total of acc</w:t>
      </w:r>
      <w:r>
        <w:t>redited processers and export</w:t>
      </w:r>
      <w:r w:rsidR="00EC4D79">
        <w:t>er</w:t>
      </w:r>
      <w:r>
        <w:t>s to</w:t>
      </w:r>
      <w:r w:rsidRPr="00115CBA">
        <w:t xml:space="preserve"> five</w:t>
      </w:r>
      <w:r w:rsidR="00B22B76">
        <w:t xml:space="preserve">. </w:t>
      </w:r>
      <w:r w:rsidR="00F27056">
        <w:t>T</w:t>
      </w:r>
      <w:r w:rsidR="006B40C1">
        <w:t xml:space="preserve">hrough </w:t>
      </w:r>
      <w:r>
        <w:t xml:space="preserve">a public-private partnership (the Yaqona Task Force), PHAMA assisted </w:t>
      </w:r>
      <w:r w:rsidRPr="00794A96">
        <w:t xml:space="preserve">with </w:t>
      </w:r>
      <w:r>
        <w:t xml:space="preserve">the </w:t>
      </w:r>
      <w:r w:rsidRPr="00794A96">
        <w:t xml:space="preserve">identification of kava varieties grown in Fiji and developed guidelines to improve export quality. </w:t>
      </w:r>
    </w:p>
    <w:p w14:paraId="723F1FBC" w14:textId="77777777" w:rsidR="006B40C1" w:rsidRPr="006B40C1" w:rsidRDefault="006B40C1" w:rsidP="006B40C1">
      <w:r w:rsidRPr="006B40C1">
        <w:t>In 2015</w:t>
      </w:r>
      <w:r w:rsidR="00F27056">
        <w:t>,</w:t>
      </w:r>
      <w:r w:rsidRPr="006B40C1">
        <w:t xml:space="preserve"> </w:t>
      </w:r>
      <w:r w:rsidR="0081100C">
        <w:t>the</w:t>
      </w:r>
      <w:r w:rsidRPr="006B40C1">
        <w:t xml:space="preserve"> Pacific Financial Inclusion Program (PFIP) supported the Fiji Bureau of Statistics and the Reserve Bank of Fiji to conduct a Financial Se</w:t>
      </w:r>
      <w:r w:rsidR="0096459D">
        <w:t>rvices Demand-side Survey.  The survey</w:t>
      </w:r>
      <w:r w:rsidRPr="006B40C1">
        <w:t xml:space="preserve"> found that although Fiji had a high level of formal inclusion compared to other Pacific countries, 27 per cent of survey respondents remained </w:t>
      </w:r>
      <w:r w:rsidRPr="00160D8C">
        <w:t>financially excluded</w:t>
      </w:r>
      <w:r w:rsidR="006F58F0">
        <w:rPr>
          <w:b/>
        </w:rPr>
        <w:t>.</w:t>
      </w:r>
      <w:r w:rsidRPr="006B40C1">
        <w:rPr>
          <w:vertAlign w:val="superscript"/>
        </w:rPr>
        <w:footnoteReference w:id="11"/>
      </w:r>
      <w:r w:rsidRPr="006B40C1">
        <w:t xml:space="preserve"> To address this, </w:t>
      </w:r>
      <w:r w:rsidR="009110FC">
        <w:t>i</w:t>
      </w:r>
      <w:r w:rsidRPr="006B40C1">
        <w:t xml:space="preserve">n 2015-16 Australia focused on </w:t>
      </w:r>
      <w:r w:rsidRPr="006B40C1">
        <w:rPr>
          <w:rFonts w:cstheme="minorHAnsi"/>
        </w:rPr>
        <w:t xml:space="preserve">promoting the use of </w:t>
      </w:r>
      <w:r w:rsidRPr="00A41D2F">
        <w:rPr>
          <w:rFonts w:cstheme="minorHAnsi"/>
        </w:rPr>
        <w:t>innovative technology</w:t>
      </w:r>
      <w:r w:rsidRPr="006B40C1">
        <w:rPr>
          <w:rFonts w:cstheme="minorHAnsi"/>
          <w:b/>
        </w:rPr>
        <w:t xml:space="preserve"> </w:t>
      </w:r>
      <w:r w:rsidRPr="006B40C1">
        <w:rPr>
          <w:rFonts w:cstheme="minorHAnsi"/>
        </w:rPr>
        <w:t>(for instance mobile phone banking) to expand the reach of financial services to rural and remote parts of Fiji</w:t>
      </w:r>
      <w:r w:rsidR="001746D4">
        <w:rPr>
          <w:rFonts w:cstheme="minorHAnsi"/>
        </w:rPr>
        <w:t xml:space="preserve">. By December 2015 </w:t>
      </w:r>
      <w:r w:rsidRPr="006B40C1">
        <w:rPr>
          <w:rFonts w:cstheme="minorHAnsi"/>
        </w:rPr>
        <w:t xml:space="preserve">PFIP had </w:t>
      </w:r>
      <w:r w:rsidRPr="006B40C1">
        <w:t>reached 34,383 new low-income clients through projects with Digicel Fiji and KlickEx.</w:t>
      </w:r>
      <w:r w:rsidR="006F58F0">
        <w:t xml:space="preserve"> The forthcoming secured transaction law will also contribute to improving access to finance. </w:t>
      </w:r>
    </w:p>
    <w:p w14:paraId="7AB15F93" w14:textId="77777777" w:rsidR="003F0EB8" w:rsidRDefault="006B40C1" w:rsidP="00524E2B">
      <w:pPr>
        <w:rPr>
          <w:rFonts w:asciiTheme="majorHAnsi" w:eastAsiaTheme="majorEastAsia" w:hAnsiTheme="majorHAnsi" w:cstheme="majorBidi"/>
          <w:caps/>
          <w:sz w:val="38"/>
          <w:szCs w:val="26"/>
        </w:rPr>
      </w:pPr>
      <w:r w:rsidRPr="006B40C1">
        <w:t xml:space="preserve">PFIP is also improving the </w:t>
      </w:r>
      <w:r w:rsidRPr="00160D8C">
        <w:t>financial literacy</w:t>
      </w:r>
      <w:r w:rsidRPr="006B40C1">
        <w:t xml:space="preserve"> of school students</w:t>
      </w:r>
      <w:r w:rsidR="00F27056">
        <w:t xml:space="preserve"> contributing to their</w:t>
      </w:r>
      <w:r w:rsidR="00F27056" w:rsidRPr="00F27056">
        <w:rPr>
          <w:rFonts w:ascii="Calibri Light" w:eastAsia="Calibri Light" w:hAnsi="Calibri Light"/>
          <w:color w:val="495965"/>
        </w:rPr>
        <w:t xml:space="preserve"> </w:t>
      </w:r>
      <w:r w:rsidR="00F27056">
        <w:rPr>
          <w:rFonts w:ascii="Calibri Light" w:eastAsia="Calibri Light" w:hAnsi="Calibri Light"/>
          <w:color w:val="495965"/>
        </w:rPr>
        <w:t>ability to productively save, invest and participate in markets</w:t>
      </w:r>
      <w:r w:rsidRPr="006B40C1">
        <w:t>. In 2015-</w:t>
      </w:r>
      <w:r w:rsidR="00715CC0" w:rsidRPr="006B40C1">
        <w:t>16</w:t>
      </w:r>
      <w:r w:rsidR="00F27056">
        <w:t>,</w:t>
      </w:r>
      <w:r w:rsidR="00715CC0" w:rsidRPr="006B40C1">
        <w:t xml:space="preserve"> 1,124</w:t>
      </w:r>
      <w:r w:rsidRPr="006B40C1">
        <w:t xml:space="preserve"> teachers across Fiji were trained to deliver </w:t>
      </w:r>
      <w:r w:rsidR="00F27056">
        <w:t>a</w:t>
      </w:r>
      <w:r w:rsidR="00F27056" w:rsidRPr="006B40C1">
        <w:t xml:space="preserve"> </w:t>
      </w:r>
      <w:r w:rsidRPr="006B40C1">
        <w:t>Financial Education Program, and almost 200,000 school students have now participated in the program</w:t>
      </w:r>
      <w:r w:rsidR="00A4052E">
        <w:t>,</w:t>
      </w:r>
      <w:r w:rsidR="003F0EB8">
        <w:t xml:space="preserve"> helping them to gain an early understanding of concepts of budgeting, saving and borrowing</w:t>
      </w:r>
      <w:r w:rsidRPr="006B40C1">
        <w:t>.</w:t>
      </w:r>
      <w:r w:rsidR="00524E2B" w:rsidRPr="00524E2B">
        <w:rPr>
          <w:rFonts w:ascii="Calibri Light" w:eastAsia="Calibri Light" w:hAnsi="Calibri Light"/>
          <w:color w:val="495965"/>
        </w:rPr>
        <w:t xml:space="preserve"> </w:t>
      </w:r>
    </w:p>
    <w:p w14:paraId="01AC7EC5" w14:textId="77777777" w:rsidR="00396E33" w:rsidRDefault="00396E33" w:rsidP="00524E2B">
      <w:pPr>
        <w:rPr>
          <w:rFonts w:asciiTheme="majorHAnsi" w:eastAsiaTheme="majorEastAsia" w:hAnsiTheme="majorHAnsi" w:cstheme="majorBidi"/>
          <w:caps/>
          <w:sz w:val="38"/>
          <w:szCs w:val="26"/>
        </w:rPr>
      </w:pPr>
      <w:r>
        <w:rPr>
          <w:rFonts w:asciiTheme="majorHAnsi" w:eastAsiaTheme="majorEastAsia" w:hAnsiTheme="majorHAnsi" w:cstheme="majorBidi"/>
          <w:caps/>
          <w:sz w:val="38"/>
          <w:szCs w:val="26"/>
        </w:rPr>
        <w:t>Objective</w:t>
      </w:r>
      <w:r w:rsidRPr="002A51CA">
        <w:rPr>
          <w:rFonts w:asciiTheme="majorHAnsi" w:eastAsiaTheme="majorEastAsia" w:hAnsiTheme="majorHAnsi" w:cstheme="majorBidi"/>
          <w:caps/>
          <w:sz w:val="38"/>
          <w:szCs w:val="26"/>
        </w:rPr>
        <w:t xml:space="preserve"> 2</w:t>
      </w:r>
      <w:r>
        <w:rPr>
          <w:rFonts w:asciiTheme="majorHAnsi" w:eastAsiaTheme="majorEastAsia" w:hAnsiTheme="majorHAnsi" w:cstheme="majorBidi"/>
          <w:caps/>
          <w:sz w:val="38"/>
          <w:szCs w:val="26"/>
        </w:rPr>
        <w:t xml:space="preserve"> – improved human development</w:t>
      </w:r>
    </w:p>
    <w:p w14:paraId="5188027D" w14:textId="77777777" w:rsidR="008A3577" w:rsidRDefault="0036434F" w:rsidP="0036434F">
      <w:pPr>
        <w:pStyle w:val="Default"/>
        <w:rPr>
          <w:rFonts w:asciiTheme="minorHAnsi" w:hAnsiTheme="minorHAnsi" w:cstheme="minorBidi"/>
          <w:color w:val="495965" w:themeColor="text2"/>
          <w:sz w:val="22"/>
          <w:szCs w:val="22"/>
          <w:lang w:val="en-GB"/>
        </w:rPr>
      </w:pPr>
      <w:r>
        <w:rPr>
          <w:rFonts w:asciiTheme="minorHAnsi" w:hAnsiTheme="minorHAnsi" w:cstheme="minorBidi"/>
          <w:color w:val="495965" w:themeColor="text2"/>
          <w:sz w:val="22"/>
          <w:szCs w:val="22"/>
          <w:lang w:val="en-GB"/>
        </w:rPr>
        <w:t>Australia is working to</w:t>
      </w:r>
      <w:r w:rsidRPr="00ED0991">
        <w:rPr>
          <w:rFonts w:asciiTheme="minorHAnsi" w:hAnsiTheme="minorHAnsi" w:cstheme="minorBidi"/>
          <w:color w:val="495965" w:themeColor="text2"/>
          <w:sz w:val="22"/>
          <w:szCs w:val="22"/>
          <w:lang w:val="en-GB"/>
        </w:rPr>
        <w:t xml:space="preserve"> ensure the benefits of economic growth are shared by all </w:t>
      </w:r>
      <w:r>
        <w:rPr>
          <w:rFonts w:asciiTheme="minorHAnsi" w:hAnsiTheme="minorHAnsi" w:cstheme="minorBidi"/>
          <w:color w:val="495965" w:themeColor="text2"/>
          <w:sz w:val="22"/>
          <w:szCs w:val="22"/>
          <w:lang w:val="en-GB"/>
        </w:rPr>
        <w:t>in Fiji</w:t>
      </w:r>
      <w:r w:rsidRPr="00ED0991">
        <w:rPr>
          <w:rFonts w:asciiTheme="minorHAnsi" w:hAnsiTheme="minorHAnsi" w:cstheme="minorBidi"/>
          <w:color w:val="495965" w:themeColor="text2"/>
          <w:sz w:val="22"/>
          <w:szCs w:val="22"/>
          <w:lang w:val="en-GB"/>
        </w:rPr>
        <w:t xml:space="preserve"> </w:t>
      </w:r>
      <w:r>
        <w:rPr>
          <w:rFonts w:asciiTheme="minorHAnsi" w:hAnsiTheme="minorHAnsi" w:cstheme="minorBidi"/>
          <w:color w:val="495965" w:themeColor="text2"/>
          <w:sz w:val="22"/>
          <w:szCs w:val="22"/>
          <w:lang w:val="en-GB"/>
        </w:rPr>
        <w:t>through increased</w:t>
      </w:r>
      <w:r w:rsidRPr="00ED0991">
        <w:rPr>
          <w:rFonts w:asciiTheme="minorHAnsi" w:hAnsiTheme="minorHAnsi" w:cstheme="minorBidi"/>
          <w:color w:val="495965" w:themeColor="text2"/>
          <w:sz w:val="22"/>
          <w:szCs w:val="22"/>
          <w:lang w:val="en-GB"/>
        </w:rPr>
        <w:t xml:space="preserve"> </w:t>
      </w:r>
      <w:r w:rsidRPr="00FF6BF0">
        <w:rPr>
          <w:rFonts w:asciiTheme="minorHAnsi" w:hAnsiTheme="minorHAnsi" w:cstheme="minorBidi"/>
          <w:color w:val="495965" w:themeColor="text2"/>
          <w:sz w:val="22"/>
          <w:szCs w:val="22"/>
          <w:lang w:val="en-GB"/>
        </w:rPr>
        <w:t>access to quality health and education services</w:t>
      </w:r>
      <w:r w:rsidR="00B22B76" w:rsidRPr="00FF6BF0">
        <w:rPr>
          <w:rFonts w:asciiTheme="minorHAnsi" w:hAnsiTheme="minorHAnsi" w:cstheme="minorBidi"/>
          <w:color w:val="495965" w:themeColor="text2"/>
          <w:sz w:val="22"/>
          <w:szCs w:val="22"/>
          <w:lang w:val="en-GB"/>
        </w:rPr>
        <w:t xml:space="preserve">. </w:t>
      </w:r>
      <w:r w:rsidR="00F06963" w:rsidRPr="00FF6BF0">
        <w:rPr>
          <w:rFonts w:asciiTheme="minorHAnsi" w:hAnsiTheme="minorHAnsi" w:cstheme="minorBidi"/>
          <w:color w:val="495965" w:themeColor="text2"/>
          <w:sz w:val="22"/>
          <w:szCs w:val="22"/>
          <w:lang w:val="en-GB"/>
        </w:rPr>
        <w:t>Good quality and accessible education and health services</w:t>
      </w:r>
      <w:r w:rsidR="00F06963">
        <w:rPr>
          <w:rFonts w:asciiTheme="minorHAnsi" w:hAnsiTheme="minorHAnsi" w:cstheme="minorBidi"/>
          <w:color w:val="495965" w:themeColor="text2"/>
          <w:sz w:val="22"/>
          <w:szCs w:val="22"/>
          <w:lang w:val="en-GB"/>
        </w:rPr>
        <w:t xml:space="preserve"> are high </w:t>
      </w:r>
      <w:r w:rsidR="00F77BA8">
        <w:rPr>
          <w:rFonts w:asciiTheme="minorHAnsi" w:hAnsiTheme="minorHAnsi" w:cstheme="minorBidi"/>
          <w:color w:val="495965" w:themeColor="text2"/>
          <w:sz w:val="22"/>
          <w:szCs w:val="22"/>
          <w:lang w:val="en-GB"/>
        </w:rPr>
        <w:t>priorities for</w:t>
      </w:r>
      <w:r w:rsidR="00F06963">
        <w:rPr>
          <w:rFonts w:asciiTheme="minorHAnsi" w:hAnsiTheme="minorHAnsi" w:cstheme="minorBidi"/>
          <w:color w:val="495965" w:themeColor="text2"/>
          <w:sz w:val="22"/>
          <w:szCs w:val="22"/>
          <w:lang w:val="en-GB"/>
        </w:rPr>
        <w:t xml:space="preserve"> the Government of Fiji</w:t>
      </w:r>
      <w:r w:rsidR="006F58F0">
        <w:rPr>
          <w:rFonts w:asciiTheme="minorHAnsi" w:hAnsiTheme="minorHAnsi" w:cstheme="minorBidi"/>
          <w:color w:val="495965" w:themeColor="text2"/>
          <w:sz w:val="22"/>
          <w:szCs w:val="22"/>
          <w:lang w:val="en-GB"/>
        </w:rPr>
        <w:t>,</w:t>
      </w:r>
      <w:r w:rsidR="00DA7C80">
        <w:rPr>
          <w:rFonts w:asciiTheme="minorHAnsi" w:hAnsiTheme="minorHAnsi" w:cstheme="minorBidi"/>
          <w:color w:val="495965" w:themeColor="text2"/>
          <w:sz w:val="22"/>
          <w:szCs w:val="22"/>
          <w:lang w:val="en-GB"/>
        </w:rPr>
        <w:t xml:space="preserve"> and Australia has maintained its position as a key donor in these sectors</w:t>
      </w:r>
      <w:r w:rsidR="00B22B76">
        <w:rPr>
          <w:rFonts w:asciiTheme="minorHAnsi" w:hAnsiTheme="minorHAnsi" w:cstheme="minorBidi"/>
          <w:color w:val="495965" w:themeColor="text2"/>
          <w:sz w:val="22"/>
          <w:szCs w:val="22"/>
          <w:lang w:val="en-GB"/>
        </w:rPr>
        <w:t xml:space="preserve">. </w:t>
      </w:r>
      <w:r w:rsidR="00F77BA8">
        <w:rPr>
          <w:rFonts w:asciiTheme="minorHAnsi" w:hAnsiTheme="minorHAnsi" w:cstheme="minorBidi"/>
          <w:color w:val="495965" w:themeColor="text2"/>
          <w:sz w:val="22"/>
          <w:szCs w:val="22"/>
          <w:lang w:val="en-GB"/>
        </w:rPr>
        <w:t>Our f</w:t>
      </w:r>
      <w:r w:rsidR="00F06963" w:rsidRPr="00ED0991">
        <w:rPr>
          <w:rFonts w:asciiTheme="minorHAnsi" w:hAnsiTheme="minorHAnsi" w:cstheme="minorBidi"/>
          <w:color w:val="495965" w:themeColor="text2"/>
          <w:sz w:val="22"/>
          <w:szCs w:val="22"/>
          <w:lang w:val="en-GB"/>
        </w:rPr>
        <w:t>ocus is particularly on disadvantaged segments of the population, including the rural poor, women and people living with disabilities.</w:t>
      </w:r>
    </w:p>
    <w:p w14:paraId="69D454B8" w14:textId="77777777" w:rsidR="008A3577" w:rsidRDefault="008A3577" w:rsidP="0036434F">
      <w:pPr>
        <w:pStyle w:val="Default"/>
        <w:rPr>
          <w:rFonts w:asciiTheme="minorHAnsi" w:hAnsiTheme="minorHAnsi" w:cstheme="minorBidi"/>
          <w:color w:val="495965" w:themeColor="text2"/>
          <w:sz w:val="22"/>
          <w:szCs w:val="22"/>
          <w:lang w:val="en-GB"/>
        </w:rPr>
      </w:pPr>
    </w:p>
    <w:p w14:paraId="11C3097D" w14:textId="77777777" w:rsidR="00BF7FB1" w:rsidRDefault="00BF7FB1" w:rsidP="0036434F">
      <w:pPr>
        <w:pStyle w:val="Default"/>
        <w:rPr>
          <w:rFonts w:asciiTheme="minorHAnsi" w:hAnsiTheme="minorHAnsi" w:cstheme="minorBidi"/>
          <w:color w:val="495965" w:themeColor="text2"/>
          <w:sz w:val="22"/>
          <w:szCs w:val="22"/>
          <w:lang w:val="en-GB"/>
        </w:rPr>
      </w:pPr>
      <w:r>
        <w:rPr>
          <w:rFonts w:asciiTheme="minorHAnsi" w:hAnsiTheme="minorHAnsi" w:cstheme="minorBidi"/>
          <w:color w:val="495965" w:themeColor="text2"/>
          <w:sz w:val="22"/>
          <w:szCs w:val="22"/>
          <w:lang w:val="en-GB"/>
        </w:rPr>
        <w:t xml:space="preserve">Progress against this objective is rated amber. </w:t>
      </w:r>
      <w:r w:rsidR="003A7928">
        <w:rPr>
          <w:rFonts w:asciiTheme="minorHAnsi" w:hAnsiTheme="minorHAnsi" w:cstheme="minorBidi"/>
          <w:color w:val="495965" w:themeColor="text2"/>
          <w:sz w:val="22"/>
          <w:szCs w:val="22"/>
          <w:lang w:val="en-GB"/>
        </w:rPr>
        <w:t xml:space="preserve">In their fifth and sixth years of operation, the education and health sector programs </w:t>
      </w:r>
      <w:r w:rsidR="00524E2B">
        <w:rPr>
          <w:rFonts w:asciiTheme="minorHAnsi" w:hAnsiTheme="minorHAnsi" w:cstheme="minorBidi"/>
          <w:color w:val="495965" w:themeColor="text2"/>
          <w:sz w:val="22"/>
          <w:szCs w:val="22"/>
          <w:lang w:val="en-GB"/>
        </w:rPr>
        <w:t xml:space="preserve">have </w:t>
      </w:r>
      <w:r w:rsidR="003A7928">
        <w:rPr>
          <w:rFonts w:asciiTheme="minorHAnsi" w:hAnsiTheme="minorHAnsi" w:cstheme="minorBidi"/>
          <w:color w:val="495965" w:themeColor="text2"/>
          <w:sz w:val="22"/>
          <w:szCs w:val="22"/>
          <w:lang w:val="en-GB"/>
        </w:rPr>
        <w:t>perform</w:t>
      </w:r>
      <w:r w:rsidR="00A4052E">
        <w:rPr>
          <w:rFonts w:asciiTheme="minorHAnsi" w:hAnsiTheme="minorHAnsi" w:cstheme="minorBidi"/>
          <w:color w:val="495965" w:themeColor="text2"/>
          <w:sz w:val="22"/>
          <w:szCs w:val="22"/>
          <w:lang w:val="en-GB"/>
        </w:rPr>
        <w:t>ed</w:t>
      </w:r>
      <w:r w:rsidR="003A7928">
        <w:rPr>
          <w:rFonts w:asciiTheme="minorHAnsi" w:hAnsiTheme="minorHAnsi" w:cstheme="minorBidi"/>
          <w:color w:val="495965" w:themeColor="text2"/>
          <w:sz w:val="22"/>
          <w:szCs w:val="22"/>
          <w:lang w:val="en-GB"/>
        </w:rPr>
        <w:t xml:space="preserve"> strongly</w:t>
      </w:r>
      <w:r w:rsidR="00524E2B">
        <w:rPr>
          <w:rFonts w:asciiTheme="minorHAnsi" w:hAnsiTheme="minorHAnsi" w:cstheme="minorBidi"/>
          <w:color w:val="495965" w:themeColor="text2"/>
          <w:sz w:val="22"/>
          <w:szCs w:val="22"/>
          <w:lang w:val="en-GB"/>
        </w:rPr>
        <w:t>, although there have been some setbacks as a result of TC Winston.</w:t>
      </w:r>
      <w:r w:rsidR="003A7928">
        <w:rPr>
          <w:rFonts w:asciiTheme="minorHAnsi" w:hAnsiTheme="minorHAnsi" w:cstheme="minorBidi"/>
          <w:color w:val="495965" w:themeColor="text2"/>
          <w:sz w:val="22"/>
          <w:szCs w:val="22"/>
          <w:lang w:val="en-GB"/>
        </w:rPr>
        <w:t xml:space="preserve"> </w:t>
      </w:r>
      <w:r w:rsidR="00524E2B">
        <w:rPr>
          <w:rFonts w:asciiTheme="minorHAnsi" w:hAnsiTheme="minorHAnsi" w:cstheme="minorBidi"/>
          <w:color w:val="495965" w:themeColor="text2"/>
          <w:sz w:val="22"/>
          <w:szCs w:val="22"/>
          <w:lang w:val="en-GB"/>
        </w:rPr>
        <w:t>Some of the outcomes we expected to achieve, particularly in our education program, were</w:t>
      </w:r>
      <w:r w:rsidR="00A4052E">
        <w:rPr>
          <w:rFonts w:asciiTheme="minorHAnsi" w:hAnsiTheme="minorHAnsi" w:cstheme="minorBidi"/>
          <w:color w:val="495965" w:themeColor="text2"/>
          <w:sz w:val="22"/>
          <w:szCs w:val="22"/>
          <w:lang w:val="en-GB"/>
        </w:rPr>
        <w:t xml:space="preserve"> simply not possible in an environment where </w:t>
      </w:r>
      <w:r w:rsidRPr="00524E2B">
        <w:rPr>
          <w:rFonts w:asciiTheme="minorHAnsi" w:hAnsiTheme="minorHAnsi" w:cstheme="minorBidi"/>
          <w:color w:val="495965" w:themeColor="text2"/>
          <w:sz w:val="22"/>
          <w:szCs w:val="22"/>
          <w:lang w:val="en-GB"/>
        </w:rPr>
        <w:t xml:space="preserve">almost one half (or 500) schools </w:t>
      </w:r>
      <w:r w:rsidR="00A4052E">
        <w:rPr>
          <w:rFonts w:asciiTheme="minorHAnsi" w:hAnsiTheme="minorHAnsi" w:cstheme="minorBidi"/>
          <w:color w:val="495965" w:themeColor="text2"/>
          <w:sz w:val="22"/>
          <w:szCs w:val="22"/>
          <w:lang w:val="en-GB"/>
        </w:rPr>
        <w:t xml:space="preserve">were </w:t>
      </w:r>
      <w:r w:rsidRPr="00524E2B">
        <w:rPr>
          <w:rFonts w:asciiTheme="minorHAnsi" w:hAnsiTheme="minorHAnsi" w:cstheme="minorBidi"/>
          <w:color w:val="495965" w:themeColor="text2"/>
          <w:sz w:val="22"/>
          <w:szCs w:val="22"/>
          <w:lang w:val="en-GB"/>
        </w:rPr>
        <w:t>partially or completely destroyed</w:t>
      </w:r>
      <w:r w:rsidR="00A4052E">
        <w:rPr>
          <w:rFonts w:asciiTheme="minorHAnsi" w:hAnsiTheme="minorHAnsi" w:cstheme="minorBidi"/>
          <w:color w:val="495965" w:themeColor="text2"/>
          <w:sz w:val="22"/>
          <w:szCs w:val="22"/>
          <w:lang w:val="en-GB"/>
        </w:rPr>
        <w:t>,</w:t>
      </w:r>
      <w:r w:rsidRPr="00524E2B">
        <w:rPr>
          <w:rFonts w:asciiTheme="minorHAnsi" w:hAnsiTheme="minorHAnsi" w:cstheme="minorBidi"/>
          <w:color w:val="495965" w:themeColor="text2"/>
          <w:sz w:val="22"/>
          <w:szCs w:val="22"/>
          <w:lang w:val="en-GB"/>
        </w:rPr>
        <w:t xml:space="preserve"> and thousands of teachers and students </w:t>
      </w:r>
      <w:r w:rsidR="00A4052E">
        <w:rPr>
          <w:rFonts w:asciiTheme="minorHAnsi" w:hAnsiTheme="minorHAnsi" w:cstheme="minorBidi"/>
          <w:color w:val="495965" w:themeColor="text2"/>
          <w:sz w:val="22"/>
          <w:szCs w:val="22"/>
          <w:lang w:val="en-GB"/>
        </w:rPr>
        <w:t xml:space="preserve">were </w:t>
      </w:r>
      <w:r w:rsidRPr="00524E2B">
        <w:rPr>
          <w:rFonts w:asciiTheme="minorHAnsi" w:hAnsiTheme="minorHAnsi" w:cstheme="minorBidi"/>
          <w:color w:val="495965" w:themeColor="text2"/>
          <w:sz w:val="22"/>
          <w:szCs w:val="22"/>
          <w:lang w:val="en-GB"/>
        </w:rPr>
        <w:t>severely impacted.</w:t>
      </w:r>
    </w:p>
    <w:p w14:paraId="024FB071" w14:textId="77777777" w:rsidR="00BF7FB1" w:rsidRDefault="00BF7FB1" w:rsidP="0036434F">
      <w:pPr>
        <w:pStyle w:val="Default"/>
        <w:rPr>
          <w:rFonts w:asciiTheme="minorHAnsi" w:hAnsiTheme="minorHAnsi" w:cstheme="minorBidi"/>
          <w:color w:val="495965" w:themeColor="text2"/>
          <w:sz w:val="22"/>
          <w:szCs w:val="22"/>
          <w:lang w:val="en-GB"/>
        </w:rPr>
      </w:pPr>
    </w:p>
    <w:p w14:paraId="4630A316" w14:textId="77777777" w:rsidR="00F06963" w:rsidRDefault="00A4052E" w:rsidP="0036434F">
      <w:pPr>
        <w:pStyle w:val="Default"/>
        <w:rPr>
          <w:rFonts w:asciiTheme="minorHAnsi" w:hAnsiTheme="minorHAnsi" w:cstheme="minorBidi"/>
          <w:color w:val="495965" w:themeColor="text2"/>
          <w:sz w:val="22"/>
          <w:szCs w:val="22"/>
          <w:lang w:val="en-GB"/>
        </w:rPr>
      </w:pPr>
      <w:r>
        <w:rPr>
          <w:rFonts w:asciiTheme="minorHAnsi" w:hAnsiTheme="minorHAnsi" w:cstheme="minorBidi"/>
          <w:color w:val="495965" w:themeColor="text2"/>
          <w:sz w:val="22"/>
          <w:szCs w:val="22"/>
          <w:lang w:val="en-GB"/>
        </w:rPr>
        <w:t xml:space="preserve">Nevertheless, </w:t>
      </w:r>
      <w:r w:rsidR="00F27056">
        <w:rPr>
          <w:rFonts w:asciiTheme="minorHAnsi" w:hAnsiTheme="minorHAnsi" w:cstheme="minorBidi"/>
          <w:color w:val="495965" w:themeColor="text2"/>
          <w:sz w:val="22"/>
          <w:szCs w:val="22"/>
          <w:lang w:val="en-GB"/>
        </w:rPr>
        <w:t xml:space="preserve">over time, </w:t>
      </w:r>
      <w:r>
        <w:rPr>
          <w:rFonts w:asciiTheme="minorHAnsi" w:hAnsiTheme="minorHAnsi" w:cstheme="minorBidi"/>
          <w:color w:val="495965" w:themeColor="text2"/>
          <w:sz w:val="22"/>
          <w:szCs w:val="22"/>
          <w:lang w:val="en-GB"/>
        </w:rPr>
        <w:t xml:space="preserve">the </w:t>
      </w:r>
      <w:r w:rsidR="004860F9">
        <w:rPr>
          <w:rFonts w:asciiTheme="minorHAnsi" w:hAnsiTheme="minorHAnsi" w:cstheme="minorBidi"/>
          <w:color w:val="495965" w:themeColor="text2"/>
          <w:sz w:val="22"/>
          <w:szCs w:val="22"/>
          <w:lang w:val="en-GB"/>
        </w:rPr>
        <w:t xml:space="preserve">aid program’s flexibility and strong </w:t>
      </w:r>
      <w:r w:rsidR="00F06963">
        <w:rPr>
          <w:rFonts w:asciiTheme="minorHAnsi" w:hAnsiTheme="minorHAnsi" w:cstheme="minorBidi"/>
          <w:color w:val="495965" w:themeColor="text2"/>
          <w:sz w:val="22"/>
          <w:szCs w:val="22"/>
          <w:lang w:val="en-GB"/>
        </w:rPr>
        <w:t xml:space="preserve">people-to-people links through </w:t>
      </w:r>
      <w:r w:rsidR="00196623">
        <w:rPr>
          <w:rFonts w:asciiTheme="minorHAnsi" w:hAnsiTheme="minorHAnsi" w:cstheme="minorBidi"/>
          <w:color w:val="495965" w:themeColor="text2"/>
          <w:sz w:val="22"/>
          <w:szCs w:val="22"/>
          <w:lang w:val="en-GB"/>
        </w:rPr>
        <w:t>civil society</w:t>
      </w:r>
      <w:r w:rsidR="009200E8">
        <w:rPr>
          <w:rFonts w:asciiTheme="minorHAnsi" w:hAnsiTheme="minorHAnsi" w:cstheme="minorBidi"/>
          <w:color w:val="495965" w:themeColor="text2"/>
          <w:sz w:val="22"/>
          <w:szCs w:val="22"/>
          <w:lang w:val="en-GB"/>
        </w:rPr>
        <w:t xml:space="preserve"> engagement and</w:t>
      </w:r>
      <w:r w:rsidR="00196623">
        <w:rPr>
          <w:rFonts w:asciiTheme="minorHAnsi" w:hAnsiTheme="minorHAnsi" w:cstheme="minorBidi"/>
          <w:color w:val="495965" w:themeColor="text2"/>
          <w:sz w:val="22"/>
          <w:szCs w:val="22"/>
          <w:lang w:val="en-GB"/>
        </w:rPr>
        <w:t xml:space="preserve"> </w:t>
      </w:r>
      <w:r w:rsidR="00F06963">
        <w:rPr>
          <w:rFonts w:asciiTheme="minorHAnsi" w:hAnsiTheme="minorHAnsi" w:cstheme="minorBidi"/>
          <w:color w:val="495965" w:themeColor="text2"/>
          <w:sz w:val="22"/>
          <w:szCs w:val="22"/>
          <w:lang w:val="en-GB"/>
        </w:rPr>
        <w:t>scholarships</w:t>
      </w:r>
      <w:r w:rsidR="00196623">
        <w:rPr>
          <w:rFonts w:asciiTheme="minorHAnsi" w:hAnsiTheme="minorHAnsi" w:cstheme="minorBidi"/>
          <w:color w:val="495965" w:themeColor="text2"/>
          <w:sz w:val="22"/>
          <w:szCs w:val="22"/>
          <w:lang w:val="en-GB"/>
        </w:rPr>
        <w:t>, Australian volunteers</w:t>
      </w:r>
      <w:r w:rsidR="009200E8">
        <w:rPr>
          <w:rFonts w:asciiTheme="minorHAnsi" w:hAnsiTheme="minorHAnsi" w:cstheme="minorBidi"/>
          <w:color w:val="495965" w:themeColor="text2"/>
          <w:sz w:val="22"/>
          <w:szCs w:val="22"/>
          <w:lang w:val="en-GB"/>
        </w:rPr>
        <w:t xml:space="preserve">, </w:t>
      </w:r>
      <w:r w:rsidR="00F77BA8">
        <w:rPr>
          <w:rFonts w:asciiTheme="minorHAnsi" w:hAnsiTheme="minorHAnsi" w:cstheme="minorBidi"/>
          <w:color w:val="495965" w:themeColor="text2"/>
          <w:sz w:val="22"/>
          <w:szCs w:val="22"/>
          <w:lang w:val="en-GB"/>
        </w:rPr>
        <w:t xml:space="preserve">the </w:t>
      </w:r>
      <w:r w:rsidR="009200E8">
        <w:rPr>
          <w:rFonts w:asciiTheme="minorHAnsi" w:hAnsiTheme="minorHAnsi" w:cstheme="minorBidi"/>
          <w:color w:val="495965" w:themeColor="text2"/>
          <w:sz w:val="22"/>
          <w:szCs w:val="22"/>
          <w:lang w:val="en-GB"/>
        </w:rPr>
        <w:t>New Colombo Plan</w:t>
      </w:r>
      <w:r w:rsidR="00F06963">
        <w:rPr>
          <w:rFonts w:asciiTheme="minorHAnsi" w:hAnsiTheme="minorHAnsi" w:cstheme="minorBidi"/>
          <w:color w:val="495965" w:themeColor="text2"/>
          <w:sz w:val="22"/>
          <w:szCs w:val="22"/>
          <w:lang w:val="en-GB"/>
        </w:rPr>
        <w:t xml:space="preserve"> and </w:t>
      </w:r>
      <w:r w:rsidR="00F91F18">
        <w:rPr>
          <w:rFonts w:asciiTheme="minorHAnsi" w:hAnsiTheme="minorHAnsi" w:cstheme="minorBidi"/>
          <w:color w:val="495965" w:themeColor="text2"/>
          <w:sz w:val="22"/>
          <w:szCs w:val="22"/>
          <w:lang w:val="en-GB"/>
        </w:rPr>
        <w:t xml:space="preserve">the </w:t>
      </w:r>
      <w:r w:rsidR="00F06963">
        <w:rPr>
          <w:rFonts w:asciiTheme="minorHAnsi" w:hAnsiTheme="minorHAnsi" w:cstheme="minorBidi"/>
          <w:color w:val="495965" w:themeColor="text2"/>
          <w:sz w:val="22"/>
          <w:szCs w:val="22"/>
          <w:lang w:val="en-GB"/>
        </w:rPr>
        <w:t>seasonal worker program</w:t>
      </w:r>
      <w:r w:rsidR="00524E2B">
        <w:rPr>
          <w:rFonts w:asciiTheme="minorHAnsi" w:hAnsiTheme="minorHAnsi" w:cstheme="minorBidi"/>
          <w:color w:val="495965" w:themeColor="text2"/>
          <w:sz w:val="22"/>
          <w:szCs w:val="22"/>
          <w:lang w:val="en-GB"/>
        </w:rPr>
        <w:t xml:space="preserve"> </w:t>
      </w:r>
      <w:r w:rsidR="004860F9">
        <w:rPr>
          <w:rFonts w:asciiTheme="minorHAnsi" w:hAnsiTheme="minorHAnsi" w:cstheme="minorBidi"/>
          <w:color w:val="495965" w:themeColor="text2"/>
          <w:sz w:val="22"/>
          <w:szCs w:val="22"/>
          <w:lang w:val="en-GB"/>
        </w:rPr>
        <w:t>allowed individual programs to adapt to the post-cyclone environment and minimise the disruption to the achievement of expected outcomes.</w:t>
      </w:r>
    </w:p>
    <w:p w14:paraId="52ED5A23" w14:textId="77777777" w:rsidR="0036434F" w:rsidRDefault="0036434F" w:rsidP="0036434F">
      <w:pPr>
        <w:rPr>
          <w:rFonts w:ascii="Helvetica" w:hAnsi="Helvetica" w:cs="Arial"/>
          <w:color w:val="0C7DAF"/>
          <w:kern w:val="28"/>
          <w:szCs w:val="28"/>
        </w:rPr>
      </w:pPr>
      <w:r>
        <w:rPr>
          <w:rFonts w:ascii="Helvetica" w:hAnsi="Helvetica" w:cs="Arial"/>
          <w:color w:val="0C7DAF"/>
          <w:kern w:val="28"/>
          <w:szCs w:val="28"/>
        </w:rPr>
        <w:t xml:space="preserve">Improved access to quality education </w:t>
      </w:r>
    </w:p>
    <w:p w14:paraId="76A7C4B5" w14:textId="77777777" w:rsidR="00A41D2F" w:rsidRDefault="0036434F" w:rsidP="0036434F">
      <w:pPr>
        <w:pStyle w:val="Default"/>
        <w:rPr>
          <w:rFonts w:asciiTheme="minorHAnsi" w:hAnsiTheme="minorHAnsi" w:cstheme="minorBidi"/>
          <w:color w:val="495965" w:themeColor="text2"/>
          <w:sz w:val="22"/>
          <w:szCs w:val="22"/>
          <w:lang w:val="en-GB"/>
        </w:rPr>
      </w:pPr>
      <w:r>
        <w:rPr>
          <w:rFonts w:asciiTheme="minorHAnsi" w:hAnsiTheme="minorHAnsi" w:cstheme="minorBidi"/>
          <w:color w:val="495965" w:themeColor="text2"/>
          <w:sz w:val="22"/>
          <w:szCs w:val="22"/>
          <w:lang w:val="en-GB"/>
        </w:rPr>
        <w:t>The</w:t>
      </w:r>
      <w:r w:rsidR="00F06963">
        <w:rPr>
          <w:rFonts w:asciiTheme="minorHAnsi" w:hAnsiTheme="minorHAnsi" w:cstheme="minorBidi"/>
          <w:color w:val="495965" w:themeColor="text2"/>
          <w:sz w:val="22"/>
          <w:szCs w:val="22"/>
          <w:lang w:val="en-GB"/>
        </w:rPr>
        <w:t xml:space="preserve"> education</w:t>
      </w:r>
      <w:r>
        <w:rPr>
          <w:rFonts w:asciiTheme="minorHAnsi" w:hAnsiTheme="minorHAnsi" w:cstheme="minorBidi"/>
          <w:color w:val="495965" w:themeColor="text2"/>
          <w:sz w:val="22"/>
          <w:szCs w:val="22"/>
          <w:lang w:val="en-GB"/>
        </w:rPr>
        <w:t xml:space="preserve"> sector continues to undergo significant change, </w:t>
      </w:r>
      <w:r w:rsidRPr="00AC253D">
        <w:rPr>
          <w:rFonts w:asciiTheme="minorHAnsi" w:hAnsiTheme="minorHAnsi" w:cstheme="minorBidi"/>
          <w:color w:val="495965" w:themeColor="text2"/>
          <w:sz w:val="22"/>
          <w:szCs w:val="22"/>
          <w:lang w:val="en-GB"/>
        </w:rPr>
        <w:t>primarily driven by the fast-pac</w:t>
      </w:r>
      <w:r>
        <w:rPr>
          <w:rFonts w:asciiTheme="minorHAnsi" w:hAnsiTheme="minorHAnsi" w:cstheme="minorBidi"/>
          <w:color w:val="495965" w:themeColor="text2"/>
          <w:sz w:val="22"/>
          <w:szCs w:val="22"/>
          <w:lang w:val="en-GB"/>
        </w:rPr>
        <w:t xml:space="preserve">ed reform agenda the </w:t>
      </w:r>
      <w:r w:rsidR="00F27056">
        <w:rPr>
          <w:rFonts w:asciiTheme="minorHAnsi" w:hAnsiTheme="minorHAnsi" w:cstheme="minorBidi"/>
          <w:color w:val="495965" w:themeColor="text2"/>
          <w:sz w:val="22"/>
          <w:szCs w:val="22"/>
          <w:lang w:val="en-GB"/>
        </w:rPr>
        <w:t xml:space="preserve">Fiji </w:t>
      </w:r>
      <w:r>
        <w:rPr>
          <w:rFonts w:asciiTheme="minorHAnsi" w:hAnsiTheme="minorHAnsi" w:cstheme="minorBidi"/>
          <w:color w:val="495965" w:themeColor="text2"/>
          <w:sz w:val="22"/>
          <w:szCs w:val="22"/>
          <w:lang w:val="en-GB"/>
        </w:rPr>
        <w:t>Ministry</w:t>
      </w:r>
      <w:r w:rsidRPr="00AC253D">
        <w:rPr>
          <w:rFonts w:asciiTheme="minorHAnsi" w:hAnsiTheme="minorHAnsi" w:cstheme="minorBidi"/>
          <w:color w:val="495965" w:themeColor="text2"/>
          <w:sz w:val="22"/>
          <w:szCs w:val="22"/>
          <w:lang w:val="en-GB"/>
        </w:rPr>
        <w:t xml:space="preserve"> for Education</w:t>
      </w:r>
      <w:r w:rsidR="00983028">
        <w:rPr>
          <w:rFonts w:asciiTheme="minorHAnsi" w:hAnsiTheme="minorHAnsi" w:cstheme="minorBidi"/>
          <w:color w:val="495965" w:themeColor="text2"/>
          <w:sz w:val="22"/>
          <w:szCs w:val="22"/>
          <w:lang w:val="en-GB"/>
        </w:rPr>
        <w:t xml:space="preserve"> (MoE)</w:t>
      </w:r>
      <w:r w:rsidR="00B90F50">
        <w:rPr>
          <w:rFonts w:asciiTheme="minorHAnsi" w:hAnsiTheme="minorHAnsi" w:cstheme="minorBidi"/>
          <w:color w:val="495965" w:themeColor="text2"/>
          <w:sz w:val="22"/>
          <w:szCs w:val="22"/>
          <w:lang w:val="en-GB"/>
        </w:rPr>
        <w:t xml:space="preserve"> set out in its</w:t>
      </w:r>
      <w:r w:rsidR="001A79EE">
        <w:rPr>
          <w:rFonts w:asciiTheme="minorHAnsi" w:hAnsiTheme="minorHAnsi" w:cstheme="minorBidi"/>
          <w:color w:val="495965" w:themeColor="text2"/>
          <w:sz w:val="22"/>
          <w:szCs w:val="22"/>
          <w:lang w:val="en-GB"/>
        </w:rPr>
        <w:t xml:space="preserve"> 2016-20 Education Sector Strategic Development Plan</w:t>
      </w:r>
      <w:r w:rsidR="00B22B76">
        <w:rPr>
          <w:rFonts w:asciiTheme="minorHAnsi" w:hAnsiTheme="minorHAnsi" w:cstheme="minorBidi"/>
          <w:color w:val="495965" w:themeColor="text2"/>
          <w:sz w:val="22"/>
          <w:szCs w:val="22"/>
          <w:lang w:val="en-GB"/>
        </w:rPr>
        <w:t xml:space="preserve">. </w:t>
      </w:r>
      <w:r>
        <w:rPr>
          <w:rFonts w:asciiTheme="minorHAnsi" w:hAnsiTheme="minorHAnsi" w:cstheme="minorBidi"/>
          <w:color w:val="495965" w:themeColor="text2"/>
          <w:sz w:val="22"/>
          <w:szCs w:val="22"/>
          <w:lang w:val="en-GB"/>
        </w:rPr>
        <w:t>In recent years</w:t>
      </w:r>
      <w:r w:rsidR="00983028">
        <w:rPr>
          <w:rFonts w:asciiTheme="minorHAnsi" w:hAnsiTheme="minorHAnsi" w:cstheme="minorBidi"/>
          <w:color w:val="495965" w:themeColor="text2"/>
          <w:sz w:val="22"/>
          <w:szCs w:val="22"/>
          <w:lang w:val="en-GB"/>
        </w:rPr>
        <w:t>,</w:t>
      </w:r>
      <w:r>
        <w:rPr>
          <w:rFonts w:asciiTheme="minorHAnsi" w:hAnsiTheme="minorHAnsi" w:cstheme="minorBidi"/>
          <w:color w:val="495965" w:themeColor="text2"/>
          <w:sz w:val="22"/>
          <w:szCs w:val="22"/>
          <w:lang w:val="en-GB"/>
        </w:rPr>
        <w:t xml:space="preserve"> </w:t>
      </w:r>
      <w:r w:rsidR="006F58F0">
        <w:rPr>
          <w:rFonts w:asciiTheme="minorHAnsi" w:hAnsiTheme="minorHAnsi" w:cstheme="minorBidi"/>
          <w:color w:val="495965" w:themeColor="text2"/>
          <w:sz w:val="22"/>
          <w:szCs w:val="22"/>
          <w:lang w:val="en-GB"/>
        </w:rPr>
        <w:t xml:space="preserve">the </w:t>
      </w:r>
      <w:r>
        <w:rPr>
          <w:rFonts w:asciiTheme="minorHAnsi" w:hAnsiTheme="minorHAnsi" w:cstheme="minorBidi"/>
          <w:color w:val="495965" w:themeColor="text2"/>
          <w:sz w:val="22"/>
          <w:szCs w:val="22"/>
          <w:lang w:val="en-GB"/>
        </w:rPr>
        <w:t>M</w:t>
      </w:r>
      <w:r w:rsidR="00983028">
        <w:rPr>
          <w:rFonts w:asciiTheme="minorHAnsi" w:hAnsiTheme="minorHAnsi" w:cstheme="minorBidi"/>
          <w:color w:val="495965" w:themeColor="text2"/>
          <w:sz w:val="22"/>
          <w:szCs w:val="22"/>
          <w:lang w:val="en-GB"/>
        </w:rPr>
        <w:t>o</w:t>
      </w:r>
      <w:r>
        <w:rPr>
          <w:rFonts w:asciiTheme="minorHAnsi" w:hAnsiTheme="minorHAnsi" w:cstheme="minorBidi"/>
          <w:color w:val="495965" w:themeColor="text2"/>
          <w:sz w:val="22"/>
          <w:szCs w:val="22"/>
          <w:lang w:val="en-GB"/>
        </w:rPr>
        <w:t xml:space="preserve">E has focused on improving the quality of education through the introduction of a new national curriculum and </w:t>
      </w:r>
      <w:r w:rsidR="003270F8">
        <w:rPr>
          <w:rFonts w:asciiTheme="minorHAnsi" w:hAnsiTheme="minorHAnsi" w:cstheme="minorBidi"/>
          <w:color w:val="495965" w:themeColor="text2"/>
          <w:sz w:val="22"/>
          <w:szCs w:val="22"/>
          <w:lang w:val="en-GB"/>
        </w:rPr>
        <w:t xml:space="preserve">strengthening its </w:t>
      </w:r>
      <w:r>
        <w:rPr>
          <w:rFonts w:asciiTheme="minorHAnsi" w:hAnsiTheme="minorHAnsi" w:cstheme="minorBidi"/>
          <w:color w:val="495965" w:themeColor="text2"/>
          <w:sz w:val="22"/>
          <w:szCs w:val="22"/>
          <w:lang w:val="en-GB"/>
        </w:rPr>
        <w:t>literacy and numeracy capabilities</w:t>
      </w:r>
      <w:r w:rsidR="00A41D2F">
        <w:rPr>
          <w:rFonts w:asciiTheme="minorHAnsi" w:hAnsiTheme="minorHAnsi" w:cstheme="minorBidi"/>
          <w:color w:val="495965" w:themeColor="text2"/>
          <w:sz w:val="22"/>
          <w:szCs w:val="22"/>
          <w:lang w:val="en-GB"/>
        </w:rPr>
        <w:t>.</w:t>
      </w:r>
      <w:r w:rsidR="00524E2B">
        <w:rPr>
          <w:rFonts w:asciiTheme="minorHAnsi" w:hAnsiTheme="minorHAnsi" w:cstheme="minorBidi"/>
          <w:color w:val="495965" w:themeColor="text2"/>
          <w:sz w:val="22"/>
          <w:szCs w:val="22"/>
          <w:lang w:val="en-GB"/>
        </w:rPr>
        <w:t xml:space="preserve"> </w:t>
      </w:r>
    </w:p>
    <w:p w14:paraId="1D324559" w14:textId="77777777" w:rsidR="00A41D2F" w:rsidRDefault="00A41D2F" w:rsidP="0036434F">
      <w:pPr>
        <w:pStyle w:val="Default"/>
        <w:rPr>
          <w:rFonts w:asciiTheme="minorHAnsi" w:hAnsiTheme="minorHAnsi" w:cstheme="minorBidi"/>
          <w:color w:val="495965" w:themeColor="text2"/>
          <w:sz w:val="22"/>
          <w:szCs w:val="22"/>
          <w:lang w:val="en-GB"/>
        </w:rPr>
      </w:pPr>
    </w:p>
    <w:p w14:paraId="2C9B28E5" w14:textId="77777777" w:rsidR="0036434F" w:rsidRPr="008A3577" w:rsidRDefault="0036434F" w:rsidP="0036434F">
      <w:pPr>
        <w:pStyle w:val="Default"/>
        <w:rPr>
          <w:rFonts w:asciiTheme="minorHAnsi" w:hAnsiTheme="minorHAnsi" w:cstheme="minorBidi"/>
          <w:color w:val="495965" w:themeColor="text2"/>
          <w:sz w:val="22"/>
          <w:szCs w:val="22"/>
          <w:lang w:val="en-GB"/>
        </w:rPr>
      </w:pPr>
      <w:r>
        <w:rPr>
          <w:rFonts w:asciiTheme="minorHAnsi" w:hAnsiTheme="minorHAnsi" w:cstheme="minorBidi"/>
          <w:color w:val="495965" w:themeColor="text2"/>
          <w:sz w:val="22"/>
          <w:szCs w:val="22"/>
          <w:lang w:val="en-GB"/>
        </w:rPr>
        <w:t>The focus of Australia’s assistance is work</w:t>
      </w:r>
      <w:r w:rsidR="00F91F18">
        <w:rPr>
          <w:rFonts w:asciiTheme="minorHAnsi" w:hAnsiTheme="minorHAnsi" w:cstheme="minorBidi"/>
          <w:color w:val="495965" w:themeColor="text2"/>
          <w:sz w:val="22"/>
          <w:szCs w:val="22"/>
          <w:lang w:val="en-GB"/>
        </w:rPr>
        <w:t>ing</w:t>
      </w:r>
      <w:r>
        <w:rPr>
          <w:rFonts w:asciiTheme="minorHAnsi" w:hAnsiTheme="minorHAnsi" w:cstheme="minorBidi"/>
          <w:color w:val="495965" w:themeColor="text2"/>
          <w:sz w:val="22"/>
          <w:szCs w:val="22"/>
          <w:lang w:val="en-GB"/>
        </w:rPr>
        <w:t xml:space="preserve"> with the M</w:t>
      </w:r>
      <w:r w:rsidR="00983028">
        <w:rPr>
          <w:rFonts w:asciiTheme="minorHAnsi" w:hAnsiTheme="minorHAnsi" w:cstheme="minorBidi"/>
          <w:color w:val="495965" w:themeColor="text2"/>
          <w:sz w:val="22"/>
          <w:szCs w:val="22"/>
          <w:lang w:val="en-GB"/>
        </w:rPr>
        <w:t>o</w:t>
      </w:r>
      <w:r>
        <w:rPr>
          <w:rFonts w:asciiTheme="minorHAnsi" w:hAnsiTheme="minorHAnsi" w:cstheme="minorBidi"/>
          <w:color w:val="495965" w:themeColor="text2"/>
          <w:sz w:val="22"/>
          <w:szCs w:val="22"/>
          <w:lang w:val="en-GB"/>
        </w:rPr>
        <w:t xml:space="preserve">E </w:t>
      </w:r>
      <w:r w:rsidR="00F77BA8">
        <w:rPr>
          <w:rFonts w:asciiTheme="minorHAnsi" w:hAnsiTheme="minorHAnsi" w:cstheme="minorBidi"/>
          <w:color w:val="495965" w:themeColor="text2"/>
          <w:sz w:val="22"/>
          <w:szCs w:val="22"/>
          <w:lang w:val="en-GB"/>
        </w:rPr>
        <w:t xml:space="preserve">to </w:t>
      </w:r>
      <w:r w:rsidR="007077DE">
        <w:rPr>
          <w:rFonts w:asciiTheme="minorHAnsi" w:hAnsiTheme="minorHAnsi" w:cstheme="minorBidi"/>
          <w:color w:val="495965" w:themeColor="text2"/>
          <w:sz w:val="22"/>
          <w:szCs w:val="22"/>
          <w:lang w:val="en-GB"/>
        </w:rPr>
        <w:t>provid</w:t>
      </w:r>
      <w:r w:rsidR="00F77BA8">
        <w:rPr>
          <w:rFonts w:asciiTheme="minorHAnsi" w:hAnsiTheme="minorHAnsi" w:cstheme="minorBidi"/>
          <w:color w:val="495965" w:themeColor="text2"/>
          <w:sz w:val="22"/>
          <w:szCs w:val="22"/>
          <w:lang w:val="en-GB"/>
        </w:rPr>
        <w:t>e</w:t>
      </w:r>
      <w:r w:rsidR="007077DE">
        <w:rPr>
          <w:rFonts w:asciiTheme="minorHAnsi" w:hAnsiTheme="minorHAnsi" w:cstheme="minorBidi"/>
          <w:color w:val="495965" w:themeColor="text2"/>
          <w:sz w:val="22"/>
          <w:szCs w:val="22"/>
          <w:lang w:val="en-GB"/>
        </w:rPr>
        <w:t xml:space="preserve"> </w:t>
      </w:r>
      <w:r w:rsidR="00196623">
        <w:rPr>
          <w:rFonts w:asciiTheme="minorHAnsi" w:hAnsiTheme="minorHAnsi" w:cstheme="minorBidi"/>
          <w:color w:val="495965" w:themeColor="text2"/>
          <w:sz w:val="22"/>
          <w:szCs w:val="22"/>
          <w:lang w:val="en-GB"/>
        </w:rPr>
        <w:t>target</w:t>
      </w:r>
      <w:r w:rsidR="007077DE">
        <w:rPr>
          <w:rFonts w:asciiTheme="minorHAnsi" w:hAnsiTheme="minorHAnsi" w:cstheme="minorBidi"/>
          <w:color w:val="495965" w:themeColor="text2"/>
          <w:sz w:val="22"/>
          <w:szCs w:val="22"/>
          <w:lang w:val="en-GB"/>
        </w:rPr>
        <w:t>ed support to</w:t>
      </w:r>
      <w:r>
        <w:rPr>
          <w:rFonts w:asciiTheme="minorHAnsi" w:hAnsiTheme="minorHAnsi" w:cstheme="minorBidi"/>
          <w:color w:val="495965" w:themeColor="text2"/>
          <w:sz w:val="22"/>
          <w:szCs w:val="22"/>
          <w:lang w:val="en-GB"/>
        </w:rPr>
        <w:t xml:space="preserve"> 85 schools </w:t>
      </w:r>
      <w:r w:rsidR="00B90F50">
        <w:rPr>
          <w:rFonts w:asciiTheme="minorHAnsi" w:hAnsiTheme="minorHAnsi" w:cstheme="minorBidi"/>
          <w:color w:val="495965" w:themeColor="text2"/>
          <w:sz w:val="22"/>
          <w:szCs w:val="22"/>
          <w:lang w:val="en-GB"/>
        </w:rPr>
        <w:t>(equivalent to 10 per cent</w:t>
      </w:r>
      <w:r w:rsidR="00154A86" w:rsidRPr="00154A86">
        <w:rPr>
          <w:rFonts w:asciiTheme="minorHAnsi" w:hAnsiTheme="minorHAnsi" w:cstheme="minorBidi"/>
          <w:color w:val="495965" w:themeColor="text2"/>
          <w:sz w:val="22"/>
          <w:szCs w:val="22"/>
          <w:lang w:val="en-GB"/>
        </w:rPr>
        <w:t xml:space="preserve"> of all primary and secondary schools in Fiji) </w:t>
      </w:r>
      <w:r>
        <w:rPr>
          <w:rFonts w:asciiTheme="minorHAnsi" w:hAnsiTheme="minorHAnsi" w:cstheme="minorBidi"/>
          <w:color w:val="495965" w:themeColor="text2"/>
          <w:sz w:val="22"/>
          <w:szCs w:val="22"/>
          <w:lang w:val="en-GB"/>
        </w:rPr>
        <w:t xml:space="preserve">operating in remote and/or socially disadvantaged </w:t>
      </w:r>
      <w:r w:rsidR="00154A86">
        <w:rPr>
          <w:rFonts w:asciiTheme="minorHAnsi" w:hAnsiTheme="minorHAnsi" w:cstheme="minorBidi"/>
          <w:color w:val="495965" w:themeColor="text2"/>
          <w:sz w:val="22"/>
          <w:szCs w:val="22"/>
          <w:lang w:val="en-GB"/>
        </w:rPr>
        <w:t>communities</w:t>
      </w:r>
      <w:r w:rsidR="00B22B76">
        <w:rPr>
          <w:rFonts w:asciiTheme="minorHAnsi" w:hAnsiTheme="minorHAnsi" w:cstheme="minorBidi"/>
          <w:color w:val="495965" w:themeColor="text2"/>
          <w:sz w:val="22"/>
          <w:szCs w:val="22"/>
          <w:lang w:val="en-GB"/>
        </w:rPr>
        <w:t xml:space="preserve">. </w:t>
      </w:r>
      <w:r>
        <w:rPr>
          <w:rFonts w:asciiTheme="minorHAnsi" w:hAnsiTheme="minorHAnsi" w:cstheme="minorBidi"/>
          <w:color w:val="495965" w:themeColor="text2"/>
          <w:sz w:val="22"/>
          <w:szCs w:val="22"/>
          <w:lang w:val="en-GB"/>
        </w:rPr>
        <w:t xml:space="preserve">We deliver our assistance through the </w:t>
      </w:r>
      <w:r w:rsidR="006F58F0">
        <w:rPr>
          <w:rFonts w:asciiTheme="minorHAnsi" w:hAnsiTheme="minorHAnsi" w:cstheme="minorBidi"/>
          <w:color w:val="495965" w:themeColor="text2"/>
          <w:sz w:val="22"/>
          <w:szCs w:val="22"/>
          <w:lang w:val="en-GB"/>
        </w:rPr>
        <w:t>$</w:t>
      </w:r>
      <w:r w:rsidR="001A79EE">
        <w:rPr>
          <w:rFonts w:asciiTheme="minorHAnsi" w:hAnsiTheme="minorHAnsi" w:cstheme="minorBidi"/>
          <w:color w:val="495965" w:themeColor="text2"/>
          <w:sz w:val="22"/>
          <w:szCs w:val="22"/>
          <w:lang w:val="en-GB"/>
        </w:rPr>
        <w:t>58</w:t>
      </w:r>
      <w:r w:rsidR="00BA5C7A">
        <w:rPr>
          <w:rFonts w:asciiTheme="minorHAnsi" w:hAnsiTheme="minorHAnsi" w:cstheme="minorBidi"/>
          <w:color w:val="495965" w:themeColor="text2"/>
          <w:sz w:val="22"/>
          <w:szCs w:val="22"/>
          <w:lang w:val="en-GB"/>
        </w:rPr>
        <w:t xml:space="preserve"> million </w:t>
      </w:r>
      <w:r>
        <w:rPr>
          <w:rFonts w:asciiTheme="minorHAnsi" w:hAnsiTheme="minorHAnsi" w:cstheme="minorBidi"/>
          <w:color w:val="495965" w:themeColor="text2"/>
          <w:sz w:val="22"/>
          <w:szCs w:val="22"/>
          <w:lang w:val="en-GB"/>
        </w:rPr>
        <w:t>Access to Quality Education Program (AQEP)</w:t>
      </w:r>
      <w:r w:rsidR="00F27056">
        <w:rPr>
          <w:rFonts w:asciiTheme="minorHAnsi" w:hAnsiTheme="minorHAnsi" w:cstheme="minorBidi"/>
          <w:color w:val="495965" w:themeColor="text2"/>
          <w:sz w:val="22"/>
          <w:szCs w:val="22"/>
          <w:lang w:val="en-GB"/>
        </w:rPr>
        <w:t xml:space="preserve"> which is being implemented from 2011-2018</w:t>
      </w:r>
      <w:r w:rsidR="00B22B76">
        <w:rPr>
          <w:rFonts w:asciiTheme="minorHAnsi" w:hAnsiTheme="minorHAnsi" w:cstheme="minorBidi"/>
          <w:color w:val="495965" w:themeColor="text2"/>
          <w:sz w:val="22"/>
          <w:szCs w:val="22"/>
          <w:lang w:val="en-GB"/>
        </w:rPr>
        <w:t xml:space="preserve">. </w:t>
      </w:r>
      <w:r w:rsidR="004860F9">
        <w:rPr>
          <w:rFonts w:asciiTheme="minorHAnsi" w:hAnsiTheme="minorHAnsi" w:cstheme="minorBidi"/>
          <w:color w:val="495965" w:themeColor="text2"/>
          <w:sz w:val="22"/>
          <w:szCs w:val="22"/>
          <w:lang w:val="en-GB"/>
        </w:rPr>
        <w:t xml:space="preserve">Despite the unexpected disruption caused by TC Winston, </w:t>
      </w:r>
      <w:r w:rsidRPr="00ED0991">
        <w:rPr>
          <w:rFonts w:asciiTheme="minorHAnsi" w:hAnsiTheme="minorHAnsi" w:cstheme="minorBidi"/>
          <w:color w:val="495965" w:themeColor="text2"/>
          <w:sz w:val="22"/>
          <w:szCs w:val="22"/>
          <w:lang w:val="en-GB"/>
        </w:rPr>
        <w:t xml:space="preserve">AQEP </w:t>
      </w:r>
      <w:r w:rsidR="00524E2B">
        <w:rPr>
          <w:rFonts w:asciiTheme="minorHAnsi" w:hAnsiTheme="minorHAnsi" w:cstheme="minorBidi"/>
          <w:color w:val="495965" w:themeColor="text2"/>
          <w:sz w:val="22"/>
          <w:szCs w:val="22"/>
          <w:lang w:val="en-GB"/>
        </w:rPr>
        <w:t xml:space="preserve">is </w:t>
      </w:r>
      <w:r w:rsidR="004860F9">
        <w:rPr>
          <w:rFonts w:asciiTheme="minorHAnsi" w:hAnsiTheme="minorHAnsi" w:cstheme="minorBidi"/>
          <w:color w:val="495965" w:themeColor="text2"/>
          <w:sz w:val="22"/>
          <w:szCs w:val="22"/>
          <w:lang w:val="en-GB"/>
        </w:rPr>
        <w:t xml:space="preserve">still </w:t>
      </w:r>
      <w:r w:rsidRPr="008B6495">
        <w:rPr>
          <w:rFonts w:asciiTheme="minorHAnsi" w:hAnsiTheme="minorHAnsi" w:cstheme="minorBidi"/>
          <w:color w:val="495965" w:themeColor="text2"/>
          <w:sz w:val="22"/>
          <w:szCs w:val="22"/>
          <w:lang w:val="en-GB"/>
        </w:rPr>
        <w:t xml:space="preserve">on track to meet </w:t>
      </w:r>
      <w:r w:rsidR="00524E2B">
        <w:rPr>
          <w:rFonts w:asciiTheme="minorHAnsi" w:hAnsiTheme="minorHAnsi" w:cstheme="minorBidi"/>
          <w:color w:val="495965" w:themeColor="text2"/>
          <w:sz w:val="22"/>
          <w:szCs w:val="22"/>
          <w:lang w:val="en-GB"/>
        </w:rPr>
        <w:t>many</w:t>
      </w:r>
      <w:r w:rsidR="00524E2B" w:rsidRPr="008B6495">
        <w:rPr>
          <w:rFonts w:asciiTheme="minorHAnsi" w:hAnsiTheme="minorHAnsi" w:cstheme="minorBidi"/>
          <w:color w:val="495965" w:themeColor="text2"/>
          <w:sz w:val="22"/>
          <w:szCs w:val="22"/>
          <w:lang w:val="en-GB"/>
        </w:rPr>
        <w:t xml:space="preserve"> </w:t>
      </w:r>
      <w:r w:rsidRPr="008B6495">
        <w:rPr>
          <w:rFonts w:asciiTheme="minorHAnsi" w:hAnsiTheme="minorHAnsi" w:cstheme="minorBidi"/>
          <w:color w:val="495965" w:themeColor="text2"/>
          <w:sz w:val="22"/>
          <w:szCs w:val="22"/>
          <w:lang w:val="en-GB"/>
        </w:rPr>
        <w:t>end of program outcomes</w:t>
      </w:r>
      <w:r w:rsidRPr="008A3577">
        <w:rPr>
          <w:rFonts w:asciiTheme="minorHAnsi" w:hAnsiTheme="minorHAnsi" w:cstheme="minorBidi"/>
          <w:color w:val="495965" w:themeColor="text2"/>
          <w:sz w:val="22"/>
          <w:szCs w:val="22"/>
          <w:lang w:val="en-GB"/>
        </w:rPr>
        <w:t>.</w:t>
      </w:r>
      <w:r w:rsidR="00753F47" w:rsidRPr="008A3577">
        <w:rPr>
          <w:rStyle w:val="FootnoteReference"/>
          <w:rFonts w:asciiTheme="minorHAnsi" w:hAnsiTheme="minorHAnsi" w:cstheme="minorBidi"/>
          <w:color w:val="495965" w:themeColor="text2"/>
          <w:sz w:val="22"/>
          <w:szCs w:val="22"/>
          <w:lang w:val="en-GB"/>
        </w:rPr>
        <w:footnoteReference w:id="12"/>
      </w:r>
      <w:r w:rsidRPr="008A3577">
        <w:rPr>
          <w:rFonts w:asciiTheme="minorHAnsi" w:hAnsiTheme="minorHAnsi" w:cstheme="minorBidi"/>
          <w:color w:val="495965" w:themeColor="text2"/>
          <w:sz w:val="22"/>
          <w:szCs w:val="22"/>
          <w:lang w:val="en-GB"/>
        </w:rPr>
        <w:t xml:space="preserve"> </w:t>
      </w:r>
    </w:p>
    <w:p w14:paraId="577CB08F" w14:textId="77777777" w:rsidR="00524E2B" w:rsidRDefault="0036434F" w:rsidP="008A3577">
      <w:pPr>
        <w:suppressAutoHyphens w:val="0"/>
        <w:spacing w:after="120" w:line="240" w:lineRule="auto"/>
      </w:pPr>
      <w:r w:rsidRPr="008A3577">
        <w:t xml:space="preserve">The program performed </w:t>
      </w:r>
      <w:r w:rsidR="00524E2B">
        <w:t>well</w:t>
      </w:r>
      <w:r w:rsidR="00524E2B" w:rsidRPr="008A3577">
        <w:t xml:space="preserve"> </w:t>
      </w:r>
      <w:r w:rsidRPr="00F27056">
        <w:t xml:space="preserve">in </w:t>
      </w:r>
      <w:r w:rsidRPr="00160D8C">
        <w:t>increasing access to and improving the quality</w:t>
      </w:r>
      <w:r w:rsidRPr="008A3577">
        <w:rPr>
          <w:b/>
        </w:rPr>
        <w:t xml:space="preserve"> </w:t>
      </w:r>
      <w:r w:rsidRPr="008A3577">
        <w:t>of education across the 85 AQEP schools</w:t>
      </w:r>
      <w:r w:rsidR="00B22B76" w:rsidRPr="008A3577">
        <w:rPr>
          <w:b/>
        </w:rPr>
        <w:t>.</w:t>
      </w:r>
      <w:r w:rsidR="00524E2B">
        <w:t xml:space="preserve">  </w:t>
      </w:r>
    </w:p>
    <w:p w14:paraId="658E2FD8" w14:textId="77777777" w:rsidR="00983028" w:rsidRPr="008B6495" w:rsidRDefault="00524E2B" w:rsidP="008A3577">
      <w:pPr>
        <w:suppressAutoHyphens w:val="0"/>
        <w:spacing w:after="120" w:line="240" w:lineRule="auto"/>
      </w:pPr>
      <w:r>
        <w:t>T</w:t>
      </w:r>
      <w:r w:rsidR="00F91F18">
        <w:t xml:space="preserve">he </w:t>
      </w:r>
      <w:r w:rsidR="003729EE">
        <w:t>improvement</w:t>
      </w:r>
      <w:r w:rsidR="00637302" w:rsidRPr="008B6495">
        <w:t xml:space="preserve"> in the quality of education is demonstrated by the </w:t>
      </w:r>
      <w:r w:rsidR="0036434F" w:rsidRPr="008B6495">
        <w:t xml:space="preserve">proportion of AQEP </w:t>
      </w:r>
      <w:r w:rsidR="00203C9F">
        <w:t xml:space="preserve">Year 4 </w:t>
      </w:r>
      <w:r w:rsidR="0036434F" w:rsidRPr="008B6495">
        <w:t xml:space="preserve">students </w:t>
      </w:r>
      <w:r w:rsidR="00637302" w:rsidRPr="008B6495">
        <w:t>from poor communities</w:t>
      </w:r>
      <w:r w:rsidR="00203C9F">
        <w:t xml:space="preserve"> in 2015</w:t>
      </w:r>
      <w:r w:rsidR="00637302" w:rsidRPr="008B6495">
        <w:t xml:space="preserve"> </w:t>
      </w:r>
      <w:r w:rsidR="0036434F" w:rsidRPr="008B6495">
        <w:t>who performed above the national average in numeracy</w:t>
      </w:r>
      <w:r w:rsidR="00D720A1">
        <w:t xml:space="preserve"> (54</w:t>
      </w:r>
      <w:r w:rsidR="00637302" w:rsidRPr="008B6495">
        <w:t xml:space="preserve"> per cent)</w:t>
      </w:r>
      <w:r w:rsidR="0036434F" w:rsidRPr="008B6495">
        <w:t xml:space="preserve"> and literacy</w:t>
      </w:r>
      <w:r w:rsidR="00D720A1">
        <w:t xml:space="preserve"> (50</w:t>
      </w:r>
      <w:r w:rsidR="00637302" w:rsidRPr="008B6495">
        <w:t xml:space="preserve"> per cent)</w:t>
      </w:r>
      <w:r w:rsidR="0036434F" w:rsidRPr="008B6495">
        <w:t xml:space="preserve"> assessments</w:t>
      </w:r>
      <w:r w:rsidR="00203C9F">
        <w:t>; compared with 37 per cent for literacy and 39 per cent for numeracy in 2012</w:t>
      </w:r>
      <w:r w:rsidR="00B22B76">
        <w:t xml:space="preserve">. </w:t>
      </w:r>
      <w:r w:rsidR="0036434F" w:rsidRPr="008B6495">
        <w:t>Across AQEP schools, girls continue to outperform boys</w:t>
      </w:r>
      <w:r w:rsidR="00B22B76">
        <w:t xml:space="preserve">. </w:t>
      </w:r>
      <w:r w:rsidR="00983028" w:rsidRPr="008B6495">
        <w:t>Thirty</w:t>
      </w:r>
      <w:r w:rsidR="00DA7C80" w:rsidRPr="008B6495">
        <w:t xml:space="preserve"> </w:t>
      </w:r>
      <w:r w:rsidR="0036434F" w:rsidRPr="008B6495">
        <w:t xml:space="preserve">per cent of boys in </w:t>
      </w:r>
      <w:r w:rsidR="00CE482A">
        <w:t>Year</w:t>
      </w:r>
      <w:r w:rsidR="0036434F" w:rsidRPr="008B6495">
        <w:t xml:space="preserve"> 4 are in the bottom quartile for literacy compared to 19 per cent of girls</w:t>
      </w:r>
      <w:r w:rsidR="00154A86">
        <w:t>,</w:t>
      </w:r>
      <w:r w:rsidR="0036434F" w:rsidRPr="008B6495">
        <w:t xml:space="preserve"> and </w:t>
      </w:r>
      <w:r w:rsidR="00F77BA8">
        <w:t xml:space="preserve">there </w:t>
      </w:r>
      <w:r w:rsidR="0036434F" w:rsidRPr="008B6495">
        <w:t xml:space="preserve">is a similarly wide gap </w:t>
      </w:r>
      <w:r w:rsidR="00F77BA8">
        <w:t>in</w:t>
      </w:r>
      <w:r w:rsidR="0036434F" w:rsidRPr="008B6495">
        <w:t xml:space="preserve"> numeracy</w:t>
      </w:r>
      <w:r w:rsidR="00DA7C80" w:rsidRPr="008B6495">
        <w:t xml:space="preserve"> (27 per cent of boys and 20 per cent of girls)</w:t>
      </w:r>
      <w:r w:rsidR="00B22B76">
        <w:t xml:space="preserve">. </w:t>
      </w:r>
      <w:r w:rsidR="00B90F50" w:rsidRPr="005973BA">
        <w:t>A</w:t>
      </w:r>
      <w:r w:rsidR="0036434F" w:rsidRPr="005973BA">
        <w:t xml:space="preserve"> study to be conducted </w:t>
      </w:r>
      <w:r w:rsidR="00203C9F">
        <w:t>in</w:t>
      </w:r>
      <w:r w:rsidR="0036434F" w:rsidRPr="005973BA">
        <w:t xml:space="preserve"> 2016</w:t>
      </w:r>
      <w:r w:rsidR="00D17CCA">
        <w:t>-17</w:t>
      </w:r>
      <w:r w:rsidR="0036434F" w:rsidRPr="005973BA">
        <w:t xml:space="preserve"> will </w:t>
      </w:r>
      <w:r w:rsidR="00B90F50" w:rsidRPr="005973BA">
        <w:t>analyse the causes of this disparity in greater detail</w:t>
      </w:r>
      <w:r w:rsidR="00B22B76" w:rsidRPr="005973BA">
        <w:t>.</w:t>
      </w:r>
      <w:r w:rsidR="00B22B76">
        <w:t xml:space="preserve"> </w:t>
      </w:r>
    </w:p>
    <w:p w14:paraId="1ACE5FC4" w14:textId="77777777" w:rsidR="000778F0" w:rsidRPr="008B6495" w:rsidRDefault="00F27056" w:rsidP="008A3577">
      <w:pPr>
        <w:suppressAutoHyphens w:val="0"/>
        <w:spacing w:after="120" w:line="240" w:lineRule="auto"/>
      </w:pPr>
      <w:r>
        <w:t>AQEP is finding</w:t>
      </w:r>
      <w:r w:rsidR="00DA7C80" w:rsidRPr="008B6495">
        <w:t xml:space="preserve"> it challenging to improve the academic performance of </w:t>
      </w:r>
      <w:r>
        <w:t>its</w:t>
      </w:r>
      <w:r w:rsidRPr="008B6495">
        <w:t xml:space="preserve"> </w:t>
      </w:r>
      <w:r w:rsidR="00DA7C80" w:rsidRPr="008B6495">
        <w:t xml:space="preserve">more remote schools where a higher proportion of </w:t>
      </w:r>
      <w:r w:rsidR="00310E0A">
        <w:t>Year</w:t>
      </w:r>
      <w:r w:rsidR="00DA7C80" w:rsidRPr="008B6495">
        <w:t xml:space="preserve"> 4 students (27 per cent) are in the bottom quartile o</w:t>
      </w:r>
      <w:r w:rsidR="00196623" w:rsidRPr="008B6495">
        <w:t>f</w:t>
      </w:r>
      <w:r w:rsidR="00DA7C80" w:rsidRPr="008B6495">
        <w:t xml:space="preserve"> the 2015 literacy </w:t>
      </w:r>
      <w:r w:rsidR="00924938">
        <w:t>a</w:t>
      </w:r>
      <w:r w:rsidR="00DA7C80" w:rsidRPr="008B6495">
        <w:t>ssessment</w:t>
      </w:r>
      <w:r w:rsidR="00B22B76">
        <w:t xml:space="preserve">. </w:t>
      </w:r>
      <w:r w:rsidR="00DA7C80" w:rsidRPr="008B6495">
        <w:t>This compare</w:t>
      </w:r>
      <w:r w:rsidR="00F77BA8">
        <w:t>s</w:t>
      </w:r>
      <w:r w:rsidR="00DA7C80" w:rsidRPr="008B6495">
        <w:t xml:space="preserve"> to 22 per cent in urban schools</w:t>
      </w:r>
      <w:r w:rsidR="00B22B76">
        <w:t xml:space="preserve">. </w:t>
      </w:r>
      <w:r w:rsidR="00DA7C80" w:rsidRPr="008B6495">
        <w:t>The results are similar for the numeracy assessment</w:t>
      </w:r>
      <w:r w:rsidR="0020460D">
        <w:t>. A</w:t>
      </w:r>
      <w:r w:rsidR="00411FD1">
        <w:t>ddress</w:t>
      </w:r>
      <w:r w:rsidR="0020460D">
        <w:t>ing the</w:t>
      </w:r>
      <w:r w:rsidR="00411FD1">
        <w:t xml:space="preserve"> challenges faced i</w:t>
      </w:r>
      <w:r w:rsidR="005973BA">
        <w:t xml:space="preserve">n </w:t>
      </w:r>
      <w:r w:rsidR="00837B56">
        <w:t xml:space="preserve">the very remote school </w:t>
      </w:r>
      <w:r w:rsidR="0020460D">
        <w:t xml:space="preserve">settings will be a priority for the next phase of the education program. </w:t>
      </w:r>
    </w:p>
    <w:p w14:paraId="7A3CA410" w14:textId="77777777" w:rsidR="00A57820" w:rsidRPr="008B6495" w:rsidRDefault="00A57820" w:rsidP="00A57820">
      <w:pPr>
        <w:suppressAutoHyphens w:val="0"/>
        <w:spacing w:after="120" w:line="240" w:lineRule="auto"/>
      </w:pPr>
      <w:r>
        <w:t>Since 2011, 100</w:t>
      </w:r>
      <w:r w:rsidRPr="008B6495">
        <w:t xml:space="preserve"> children with a disability</w:t>
      </w:r>
      <w:r>
        <w:t xml:space="preserve"> (65 boys and 35 girls)</w:t>
      </w:r>
      <w:r w:rsidRPr="008B6495">
        <w:t xml:space="preserve"> were enrolled in the five Inclusive </w:t>
      </w:r>
      <w:r>
        <w:t xml:space="preserve">Education Demonstration Schools, of which </w:t>
      </w:r>
      <w:r w:rsidRPr="008B6495">
        <w:t>74 were supported to sit for national li</w:t>
      </w:r>
      <w:r>
        <w:t>teracy and numeracy assessments.</w:t>
      </w:r>
      <w:r w:rsidRPr="008B6495">
        <w:t xml:space="preserve"> </w:t>
      </w:r>
      <w:r>
        <w:t>Twelve students have since transitioned to secondary, vocational or other schools in 2016.</w:t>
      </w:r>
    </w:p>
    <w:p w14:paraId="036EED0E" w14:textId="77777777" w:rsidR="008E30C9" w:rsidRDefault="00FD2B08" w:rsidP="00524E2B">
      <w:pPr>
        <w:pStyle w:val="Default"/>
        <w:rPr>
          <w:rFonts w:asciiTheme="minorHAnsi" w:hAnsiTheme="minorHAnsi"/>
          <w:color w:val="495965" w:themeColor="text2"/>
          <w:sz w:val="22"/>
          <w:szCs w:val="22"/>
        </w:rPr>
      </w:pPr>
      <w:r w:rsidRPr="008E30C9">
        <w:rPr>
          <w:rFonts w:asciiTheme="minorHAnsi" w:hAnsiTheme="minorHAnsi"/>
          <w:color w:val="495965" w:themeColor="text2"/>
          <w:sz w:val="22"/>
          <w:szCs w:val="22"/>
        </w:rPr>
        <w:t>Early in 201</w:t>
      </w:r>
      <w:r w:rsidR="00F27056">
        <w:rPr>
          <w:rFonts w:asciiTheme="minorHAnsi" w:hAnsiTheme="minorHAnsi"/>
          <w:color w:val="495965" w:themeColor="text2"/>
          <w:sz w:val="22"/>
          <w:szCs w:val="22"/>
        </w:rPr>
        <w:t xml:space="preserve">6, before </w:t>
      </w:r>
      <w:r w:rsidRPr="008E30C9">
        <w:rPr>
          <w:rFonts w:asciiTheme="minorHAnsi" w:hAnsiTheme="minorHAnsi"/>
          <w:color w:val="495965" w:themeColor="text2"/>
          <w:sz w:val="22"/>
          <w:szCs w:val="22"/>
        </w:rPr>
        <w:t>TC Winston</w:t>
      </w:r>
      <w:r w:rsidR="00F27056">
        <w:rPr>
          <w:rFonts w:asciiTheme="minorHAnsi" w:hAnsiTheme="minorHAnsi"/>
          <w:color w:val="495965" w:themeColor="text2"/>
          <w:sz w:val="22"/>
          <w:szCs w:val="22"/>
        </w:rPr>
        <w:t>,</w:t>
      </w:r>
      <w:r w:rsidRPr="008E30C9">
        <w:rPr>
          <w:rFonts w:asciiTheme="minorHAnsi" w:hAnsiTheme="minorHAnsi"/>
          <w:color w:val="495965" w:themeColor="text2"/>
          <w:sz w:val="22"/>
          <w:szCs w:val="22"/>
        </w:rPr>
        <w:t xml:space="preserve"> the attendance rate</w:t>
      </w:r>
      <w:r w:rsidR="00F27056">
        <w:rPr>
          <w:rFonts w:asciiTheme="minorHAnsi" w:hAnsiTheme="minorHAnsi"/>
          <w:color w:val="495965" w:themeColor="text2"/>
          <w:sz w:val="22"/>
          <w:szCs w:val="22"/>
        </w:rPr>
        <w:t xml:space="preserve"> in AQEP schools </w:t>
      </w:r>
      <w:r w:rsidRPr="008E30C9">
        <w:rPr>
          <w:rFonts w:asciiTheme="minorHAnsi" w:hAnsiTheme="minorHAnsi"/>
          <w:color w:val="495965" w:themeColor="text2"/>
          <w:sz w:val="22"/>
          <w:szCs w:val="22"/>
        </w:rPr>
        <w:t xml:space="preserve">was 93 per cent, up from 88 per cent in 2014 due to greater incentives to stay in school through improved teaching methods and better facilities. </w:t>
      </w:r>
      <w:r w:rsidR="00F27056">
        <w:rPr>
          <w:rFonts w:asciiTheme="minorHAnsi" w:hAnsiTheme="minorHAnsi"/>
          <w:color w:val="495965" w:themeColor="text2"/>
          <w:sz w:val="22"/>
          <w:szCs w:val="22"/>
        </w:rPr>
        <w:t>The AQEP</w:t>
      </w:r>
      <w:r w:rsidR="00F27056" w:rsidRPr="008E30C9">
        <w:rPr>
          <w:rFonts w:asciiTheme="minorHAnsi" w:hAnsiTheme="minorHAnsi" w:cstheme="minorBidi"/>
          <w:color w:val="495965" w:themeColor="text2"/>
          <w:sz w:val="22"/>
          <w:szCs w:val="22"/>
          <w:lang w:val="en-GB"/>
        </w:rPr>
        <w:t xml:space="preserve"> responded immediately</w:t>
      </w:r>
      <w:r w:rsidR="00F27056">
        <w:rPr>
          <w:rFonts w:asciiTheme="minorHAnsi" w:hAnsiTheme="minorHAnsi" w:cstheme="minorBidi"/>
          <w:color w:val="495965" w:themeColor="text2"/>
          <w:sz w:val="22"/>
          <w:szCs w:val="22"/>
          <w:lang w:val="en-GB"/>
        </w:rPr>
        <w:t xml:space="preserve"> to TC Winston</w:t>
      </w:r>
      <w:r w:rsidR="00F27056" w:rsidRPr="008E30C9">
        <w:rPr>
          <w:rFonts w:asciiTheme="minorHAnsi" w:hAnsiTheme="minorHAnsi" w:cstheme="minorBidi"/>
          <w:color w:val="495965" w:themeColor="text2"/>
          <w:sz w:val="22"/>
          <w:szCs w:val="22"/>
          <w:lang w:val="en-GB"/>
        </w:rPr>
        <w:t>, visiting AQEP school</w:t>
      </w:r>
      <w:r w:rsidR="00F27056" w:rsidRPr="00524E2B">
        <w:rPr>
          <w:rFonts w:asciiTheme="minorHAnsi" w:hAnsiTheme="minorHAnsi" w:cstheme="minorBidi"/>
          <w:color w:val="495965" w:themeColor="text2"/>
          <w:sz w:val="22"/>
          <w:szCs w:val="22"/>
          <w:lang w:val="en-GB"/>
        </w:rPr>
        <w:t>s and releasing emergency grants so that affected schools could institute school feeding programs to restore attendance quickly.</w:t>
      </w:r>
      <w:r w:rsidR="00F27056">
        <w:rPr>
          <w:rFonts w:asciiTheme="minorHAnsi" w:hAnsiTheme="minorHAnsi" w:cstheme="minorBidi"/>
          <w:color w:val="495965" w:themeColor="text2"/>
          <w:sz w:val="22"/>
          <w:szCs w:val="22"/>
          <w:lang w:val="en-GB"/>
        </w:rPr>
        <w:t xml:space="preserve"> </w:t>
      </w:r>
      <w:r w:rsidRPr="008E30C9">
        <w:rPr>
          <w:rFonts w:asciiTheme="minorHAnsi" w:hAnsiTheme="minorHAnsi"/>
          <w:color w:val="495965" w:themeColor="text2"/>
          <w:sz w:val="22"/>
          <w:szCs w:val="22"/>
        </w:rPr>
        <w:t>While it is still too early to know the impact of TC Winston on learning outcomes, there are reports of flagging attendance rates in affected areas where some classes are still held in tents, in mixed grade grou</w:t>
      </w:r>
      <w:r w:rsidR="008E30C9">
        <w:rPr>
          <w:rFonts w:asciiTheme="minorHAnsi" w:hAnsiTheme="minorHAnsi"/>
          <w:color w:val="495965" w:themeColor="text2"/>
          <w:sz w:val="22"/>
          <w:szCs w:val="22"/>
        </w:rPr>
        <w:t>ps and with limited resources.</w:t>
      </w:r>
      <w:r w:rsidR="001A5562">
        <w:rPr>
          <w:rFonts w:asciiTheme="minorHAnsi" w:hAnsiTheme="minorHAnsi"/>
          <w:color w:val="495965" w:themeColor="text2"/>
          <w:sz w:val="22"/>
          <w:szCs w:val="22"/>
        </w:rPr>
        <w:t xml:space="preserve">  </w:t>
      </w:r>
    </w:p>
    <w:p w14:paraId="5188F3A6" w14:textId="77777777" w:rsidR="008E30C9" w:rsidRPr="00B77643" w:rsidRDefault="008E30C9" w:rsidP="00524E2B">
      <w:pPr>
        <w:pStyle w:val="Default"/>
        <w:rPr>
          <w:rFonts w:asciiTheme="minorHAnsi" w:hAnsiTheme="minorHAnsi"/>
          <w:color w:val="495965" w:themeColor="text2"/>
          <w:sz w:val="16"/>
          <w:szCs w:val="16"/>
        </w:rPr>
      </w:pPr>
    </w:p>
    <w:p w14:paraId="0DF7FEAD" w14:textId="77777777" w:rsidR="00524E2B" w:rsidRPr="008E30C9" w:rsidRDefault="00FD2B08" w:rsidP="00524E2B">
      <w:pPr>
        <w:pStyle w:val="Default"/>
        <w:rPr>
          <w:rFonts w:asciiTheme="minorHAnsi" w:hAnsiTheme="minorHAnsi"/>
          <w:color w:val="495965" w:themeColor="text2"/>
          <w:sz w:val="22"/>
          <w:szCs w:val="22"/>
        </w:rPr>
      </w:pPr>
      <w:r w:rsidRPr="008E30C9">
        <w:rPr>
          <w:rFonts w:asciiTheme="minorHAnsi" w:hAnsiTheme="minorHAnsi"/>
          <w:color w:val="495965" w:themeColor="text2"/>
          <w:sz w:val="22"/>
          <w:szCs w:val="22"/>
        </w:rPr>
        <w:t>T</w:t>
      </w:r>
      <w:r w:rsidR="00524E2B" w:rsidRPr="008E30C9">
        <w:rPr>
          <w:rFonts w:asciiTheme="minorHAnsi" w:hAnsiTheme="minorHAnsi"/>
          <w:color w:val="495965" w:themeColor="text2"/>
          <w:sz w:val="22"/>
          <w:szCs w:val="22"/>
        </w:rPr>
        <w:t xml:space="preserve">he </w:t>
      </w:r>
      <w:r w:rsidR="008A3577" w:rsidRPr="008E30C9">
        <w:rPr>
          <w:rFonts w:asciiTheme="minorHAnsi" w:hAnsiTheme="minorHAnsi"/>
          <w:color w:val="495965" w:themeColor="text2"/>
          <w:sz w:val="22"/>
          <w:szCs w:val="22"/>
        </w:rPr>
        <w:t xml:space="preserve">program also made good progress </w:t>
      </w:r>
      <w:r w:rsidR="008A3577" w:rsidRPr="00F27056">
        <w:rPr>
          <w:rFonts w:asciiTheme="minorHAnsi" w:hAnsiTheme="minorHAnsi"/>
          <w:color w:val="495965" w:themeColor="text2"/>
          <w:sz w:val="22"/>
          <w:szCs w:val="22"/>
        </w:rPr>
        <w:t>in</w:t>
      </w:r>
      <w:r w:rsidR="008A3577" w:rsidRPr="00BD2BC7">
        <w:rPr>
          <w:rFonts w:asciiTheme="minorHAnsi" w:hAnsiTheme="minorHAnsi"/>
          <w:color w:val="495965" w:themeColor="text2"/>
          <w:sz w:val="22"/>
          <w:szCs w:val="22"/>
        </w:rPr>
        <w:t xml:space="preserve"> i</w:t>
      </w:r>
      <w:r w:rsidR="0036434F" w:rsidRPr="00BD2BC7">
        <w:rPr>
          <w:rFonts w:asciiTheme="minorHAnsi" w:hAnsiTheme="minorHAnsi"/>
          <w:color w:val="495965" w:themeColor="text2"/>
          <w:sz w:val="22"/>
          <w:szCs w:val="22"/>
        </w:rPr>
        <w:t>mproving school infrastructure in AQEP schools</w:t>
      </w:r>
      <w:r w:rsidR="00B77643" w:rsidRPr="00F27056">
        <w:rPr>
          <w:rFonts w:asciiTheme="minorHAnsi" w:hAnsiTheme="minorHAnsi"/>
          <w:color w:val="495965" w:themeColor="text2"/>
          <w:sz w:val="22"/>
          <w:szCs w:val="22"/>
        </w:rPr>
        <w:t xml:space="preserve"> </w:t>
      </w:r>
      <w:r w:rsidR="00B77643" w:rsidRPr="00B77643">
        <w:rPr>
          <w:rFonts w:asciiTheme="minorHAnsi" w:hAnsiTheme="minorHAnsi"/>
          <w:color w:val="495965" w:themeColor="text2"/>
          <w:sz w:val="22"/>
          <w:szCs w:val="22"/>
        </w:rPr>
        <w:t>completing rehabilitation work in 13 schools</w:t>
      </w:r>
      <w:r w:rsidRPr="008E30C9">
        <w:rPr>
          <w:rFonts w:asciiTheme="minorHAnsi" w:hAnsiTheme="minorHAnsi"/>
          <w:color w:val="495965" w:themeColor="text2"/>
          <w:sz w:val="22"/>
          <w:szCs w:val="22"/>
        </w:rPr>
        <w:t xml:space="preserve">; </w:t>
      </w:r>
      <w:r w:rsidR="00B77643">
        <w:rPr>
          <w:rFonts w:asciiTheme="minorHAnsi" w:hAnsiTheme="minorHAnsi"/>
          <w:color w:val="495965" w:themeColor="text2"/>
          <w:sz w:val="22"/>
          <w:szCs w:val="22"/>
        </w:rPr>
        <w:t xml:space="preserve">unfortunately, 43 out of </w:t>
      </w:r>
      <w:r w:rsidR="00524E2B" w:rsidRPr="008E30C9">
        <w:rPr>
          <w:rFonts w:asciiTheme="minorHAnsi" w:hAnsiTheme="minorHAnsi" w:cstheme="minorBidi"/>
          <w:color w:val="495965" w:themeColor="text2"/>
          <w:sz w:val="22"/>
          <w:szCs w:val="22"/>
          <w:lang w:val="en-GB"/>
        </w:rPr>
        <w:t xml:space="preserve">85 AQEP schools were </w:t>
      </w:r>
      <w:r w:rsidR="00B77643">
        <w:rPr>
          <w:rFonts w:asciiTheme="minorHAnsi" w:hAnsiTheme="minorHAnsi" w:cstheme="minorBidi"/>
          <w:color w:val="495965" w:themeColor="text2"/>
          <w:sz w:val="22"/>
          <w:szCs w:val="22"/>
          <w:lang w:val="en-GB"/>
        </w:rPr>
        <w:t xml:space="preserve">later </w:t>
      </w:r>
      <w:r w:rsidR="00524E2B" w:rsidRPr="008E30C9">
        <w:rPr>
          <w:rFonts w:asciiTheme="minorHAnsi" w:hAnsiTheme="minorHAnsi" w:cstheme="minorBidi"/>
          <w:color w:val="495965" w:themeColor="text2"/>
          <w:sz w:val="22"/>
          <w:szCs w:val="22"/>
          <w:lang w:val="en-GB"/>
        </w:rPr>
        <w:t>damaged or destroyed by TC Winston</w:t>
      </w:r>
      <w:r w:rsidR="00B77643">
        <w:rPr>
          <w:rFonts w:asciiTheme="minorHAnsi" w:hAnsiTheme="minorHAnsi" w:cstheme="minorBidi"/>
          <w:color w:val="495965" w:themeColor="text2"/>
          <w:sz w:val="22"/>
          <w:szCs w:val="22"/>
          <w:lang w:val="en-GB"/>
        </w:rPr>
        <w:t>.</w:t>
      </w:r>
      <w:r w:rsidR="00B22B76" w:rsidRPr="008E30C9">
        <w:rPr>
          <w:rFonts w:asciiTheme="minorHAnsi" w:hAnsiTheme="minorHAnsi"/>
          <w:b/>
          <w:color w:val="495965" w:themeColor="text2"/>
          <w:sz w:val="22"/>
          <w:szCs w:val="22"/>
        </w:rPr>
        <w:t xml:space="preserve"> </w:t>
      </w:r>
      <w:r w:rsidR="00524E2B" w:rsidRPr="00524E2B">
        <w:rPr>
          <w:rFonts w:asciiTheme="minorHAnsi" w:hAnsiTheme="minorHAnsi" w:cstheme="minorBidi"/>
          <w:color w:val="495965" w:themeColor="text2"/>
          <w:sz w:val="22"/>
          <w:szCs w:val="22"/>
          <w:lang w:val="en-GB"/>
        </w:rPr>
        <w:t>AQEP will be repairing or rebuilding over 30</w:t>
      </w:r>
      <w:r w:rsidR="00524E2B">
        <w:rPr>
          <w:rFonts w:asciiTheme="minorHAnsi" w:hAnsiTheme="minorHAnsi" w:cstheme="minorBidi"/>
          <w:color w:val="495965" w:themeColor="text2"/>
          <w:sz w:val="22"/>
          <w:szCs w:val="22"/>
          <w:lang w:val="en-GB"/>
        </w:rPr>
        <w:t xml:space="preserve"> AQEP schools</w:t>
      </w:r>
      <w:r w:rsidR="00524E2B" w:rsidRPr="00524E2B">
        <w:rPr>
          <w:rFonts w:asciiTheme="minorHAnsi" w:hAnsiTheme="minorHAnsi" w:cstheme="minorBidi"/>
          <w:color w:val="495965" w:themeColor="text2"/>
          <w:sz w:val="22"/>
          <w:szCs w:val="22"/>
          <w:lang w:val="en-GB"/>
        </w:rPr>
        <w:t xml:space="preserve">, with the Government of Fiji rehabilitating the others. </w:t>
      </w:r>
    </w:p>
    <w:p w14:paraId="7DF1DE61" w14:textId="77777777" w:rsidR="0036434F" w:rsidRDefault="0020460D" w:rsidP="008A3577">
      <w:r>
        <w:t xml:space="preserve">All AQEP schools have developed school improvement plans, which will require additional revenue to support these activities after AQEP completes. </w:t>
      </w:r>
      <w:r w:rsidRPr="008B6495">
        <w:t>Income-generating activities</w:t>
      </w:r>
      <w:r>
        <w:t>, such as school gardens, bee-keeping and leasing school halls for community events</w:t>
      </w:r>
      <w:r w:rsidRPr="008B6495">
        <w:t xml:space="preserve"> have commenced in 62 per cent of AQEP schools and support has been provided to review MoE policies on school establishment and infrastructure minimum standards.</w:t>
      </w:r>
    </w:p>
    <w:p w14:paraId="42ED1D88" w14:textId="77777777" w:rsidR="00524E2B" w:rsidRDefault="008A3577" w:rsidP="008A3577">
      <w:pPr>
        <w:suppressAutoHyphens w:val="0"/>
        <w:spacing w:after="120" w:line="240" w:lineRule="auto"/>
      </w:pPr>
      <w:r>
        <w:t xml:space="preserve">The program continued to </w:t>
      </w:r>
      <w:r w:rsidR="0036434F" w:rsidRPr="00160D8C">
        <w:t>support</w:t>
      </w:r>
      <w:r w:rsidRPr="00160D8C">
        <w:t xml:space="preserve"> the </w:t>
      </w:r>
      <w:r w:rsidR="00983028" w:rsidRPr="00160D8C">
        <w:t>MoE</w:t>
      </w:r>
      <w:r w:rsidR="0036434F" w:rsidRPr="00160D8C">
        <w:t xml:space="preserve"> </w:t>
      </w:r>
      <w:r w:rsidR="0036434F" w:rsidRPr="008B6495">
        <w:t>to monitor the performance of all primary and secondary schools in Fiji through the roll out of the Fiji Education Management Information System (FEMIS)</w:t>
      </w:r>
      <w:r w:rsidR="00B22B76">
        <w:t xml:space="preserve">. </w:t>
      </w:r>
      <w:r w:rsidR="00203C9F">
        <w:t xml:space="preserve">Prior to the introduction of FEMIS, the MoE had three separate databases for school/student information, staffing appointments and literacy and numeracy </w:t>
      </w:r>
      <w:r w:rsidR="008A1230">
        <w:t>assessments</w:t>
      </w:r>
      <w:r w:rsidR="00203C9F">
        <w:t xml:space="preserve">. FEMIS unified these three databases into a single web-based data source, which is capable of directly generating reports. </w:t>
      </w:r>
      <w:r w:rsidR="0036434F" w:rsidRPr="008B6495">
        <w:t xml:space="preserve">AQEP worked with </w:t>
      </w:r>
      <w:r w:rsidR="006F58F0">
        <w:t xml:space="preserve">the </w:t>
      </w:r>
      <w:r w:rsidR="0036434F" w:rsidRPr="008B6495">
        <w:t>M</w:t>
      </w:r>
      <w:r w:rsidR="00983028" w:rsidRPr="008B6495">
        <w:t>o</w:t>
      </w:r>
      <w:r w:rsidR="0036434F" w:rsidRPr="008B6495">
        <w:t xml:space="preserve">E to train 1,275 heads of school and administrators </w:t>
      </w:r>
      <w:r w:rsidR="006F58F0">
        <w:t xml:space="preserve">to </w:t>
      </w:r>
      <w:r w:rsidR="0036434F" w:rsidRPr="008B6495">
        <w:t>us</w:t>
      </w:r>
      <w:r w:rsidR="00F97F8B">
        <w:t xml:space="preserve">e </w:t>
      </w:r>
      <w:r w:rsidR="00433DEA" w:rsidRPr="008B6495">
        <w:t>FEMIS</w:t>
      </w:r>
      <w:r w:rsidR="00B22B76">
        <w:t xml:space="preserve">. </w:t>
      </w:r>
      <w:r w:rsidR="006F58F0">
        <w:t xml:space="preserve">In 2015-16 </w:t>
      </w:r>
      <w:r w:rsidR="0036434F" w:rsidRPr="008B6495">
        <w:t xml:space="preserve">FEMIS was also used </w:t>
      </w:r>
      <w:r w:rsidR="006F58F0">
        <w:t xml:space="preserve">for the first time </w:t>
      </w:r>
      <w:r w:rsidR="0036434F" w:rsidRPr="008B6495">
        <w:t>to distribute standard examination papers to schools with internet connectivity, significantly reducing the printing and dispatching workload</w:t>
      </w:r>
      <w:r w:rsidR="00B22B76">
        <w:t xml:space="preserve">. </w:t>
      </w:r>
    </w:p>
    <w:p w14:paraId="1D92D2A2" w14:textId="77777777" w:rsidR="004D27A2" w:rsidRDefault="004D27A2" w:rsidP="00783FAC">
      <w:pPr>
        <w:suppressAutoHyphens w:val="0"/>
        <w:spacing w:after="120" w:line="240" w:lineRule="auto"/>
      </w:pPr>
      <w:r>
        <w:t xml:space="preserve">A significant challenge for AQEP is sustainability and </w:t>
      </w:r>
      <w:r w:rsidR="00783FAC">
        <w:t xml:space="preserve">ensuring that the MoE has the capacity and funding to assume responsibility for delivering these activities to AQEP schools and non-AQEP schools over the long-term. </w:t>
      </w:r>
      <w:r>
        <w:t xml:space="preserve">Sustainability thinking and planning has been a key focus </w:t>
      </w:r>
      <w:r w:rsidR="00783FAC">
        <w:t xml:space="preserve">during 2015-16 and progress was made to set up structures and processes for discussing and addressing this issue (for instance </w:t>
      </w:r>
      <w:r>
        <w:t>AQEP has developed a Sustainability Framework and established a Sustainability Steering Committee which is chaired by the Ministry of Education</w:t>
      </w:r>
      <w:r w:rsidR="00783FAC">
        <w:t xml:space="preserve"> and Ministry of Economy). The priority for 2016-17 and beyond is to </w:t>
      </w:r>
      <w:r w:rsidR="008420E4">
        <w:t xml:space="preserve">articulate the Framework into a concrete plan of activities which sets out which AQEP activities will be phased over to MoE. </w:t>
      </w:r>
    </w:p>
    <w:p w14:paraId="24A75DBB" w14:textId="1561B551" w:rsidR="00F2337A" w:rsidRPr="008A3577" w:rsidRDefault="00F27056" w:rsidP="008A3577">
      <w:pPr>
        <w:suppressAutoHyphens w:val="0"/>
        <w:spacing w:after="120" w:line="240" w:lineRule="auto"/>
        <w:rPr>
          <w:rFonts w:ascii="Franklin Gothic Book" w:eastAsia="Times New Roman" w:hAnsi="Franklin Gothic Book"/>
          <w:sz w:val="21"/>
        </w:rPr>
      </w:pPr>
      <w:r>
        <w:t xml:space="preserve">As </w:t>
      </w:r>
      <w:r w:rsidR="00524E2B" w:rsidRPr="00524E2B">
        <w:t>AQEP is conclud</w:t>
      </w:r>
      <w:r>
        <w:t>ing</w:t>
      </w:r>
      <w:r w:rsidR="00524E2B" w:rsidRPr="00524E2B">
        <w:t xml:space="preserve"> in June 2018</w:t>
      </w:r>
      <w:r>
        <w:t>, a</w:t>
      </w:r>
      <w:r w:rsidR="00524E2B" w:rsidRPr="00524E2B">
        <w:t xml:space="preserve"> new education program will be designed in 2017 with continued support to the MoE</w:t>
      </w:r>
      <w:r w:rsidR="00783FAC">
        <w:t xml:space="preserve">, in line with </w:t>
      </w:r>
      <w:r w:rsidR="008420E4">
        <w:t>priority areas agreed with the Sustainability Committee.</w:t>
      </w:r>
    </w:p>
    <w:p w14:paraId="43C39059" w14:textId="77777777" w:rsidR="00396E33" w:rsidRDefault="00396E33" w:rsidP="00396E33">
      <w:pPr>
        <w:rPr>
          <w:rFonts w:ascii="Helvetica" w:hAnsi="Helvetica" w:cs="Arial"/>
          <w:color w:val="0C7DAF"/>
          <w:kern w:val="28"/>
          <w:szCs w:val="28"/>
        </w:rPr>
      </w:pPr>
      <w:r>
        <w:rPr>
          <w:rFonts w:ascii="Helvetica" w:hAnsi="Helvetica" w:cs="Arial"/>
          <w:color w:val="0C7DAF"/>
          <w:kern w:val="28"/>
          <w:szCs w:val="28"/>
        </w:rPr>
        <w:t>Improved health outcomes</w:t>
      </w:r>
    </w:p>
    <w:p w14:paraId="40856FC3" w14:textId="77777777" w:rsidR="00F27056" w:rsidRPr="00160D8C" w:rsidRDefault="00196BFE" w:rsidP="00F27056">
      <w:pPr>
        <w:pStyle w:val="MottBodyText"/>
        <w:spacing w:before="120" w:line="280" w:lineRule="exact"/>
        <w:rPr>
          <w:rFonts w:asciiTheme="minorHAnsi" w:hAnsiTheme="minorHAnsi" w:cstheme="minorBidi"/>
          <w:color w:val="495965" w:themeColor="text2"/>
          <w:szCs w:val="22"/>
          <w:lang w:eastAsia="en-US"/>
        </w:rPr>
      </w:pPr>
      <w:r w:rsidRPr="00BD2BC7">
        <w:rPr>
          <w:rFonts w:asciiTheme="minorHAnsi" w:hAnsiTheme="minorHAnsi" w:cstheme="minorBidi"/>
          <w:color w:val="495965" w:themeColor="text2"/>
          <w:szCs w:val="22"/>
          <w:lang w:eastAsia="en-US"/>
        </w:rPr>
        <w:t>Australia is the lead donor to the</w:t>
      </w:r>
      <w:r w:rsidR="00F27056" w:rsidRPr="00BD2BC7">
        <w:rPr>
          <w:rFonts w:asciiTheme="minorHAnsi" w:hAnsiTheme="minorHAnsi" w:cstheme="minorBidi"/>
          <w:color w:val="495965" w:themeColor="text2"/>
          <w:szCs w:val="22"/>
          <w:lang w:eastAsia="en-US"/>
        </w:rPr>
        <w:t xml:space="preserve"> Fiji</w:t>
      </w:r>
      <w:r w:rsidRPr="00BD2BC7">
        <w:rPr>
          <w:rFonts w:asciiTheme="minorHAnsi" w:hAnsiTheme="minorHAnsi" w:cstheme="minorBidi"/>
          <w:color w:val="495965" w:themeColor="text2"/>
          <w:szCs w:val="22"/>
          <w:lang w:eastAsia="en-US"/>
        </w:rPr>
        <w:t xml:space="preserve"> health sector, accounting for 65 per cent of total donor funding</w:t>
      </w:r>
      <w:r w:rsidR="00B22B76" w:rsidRPr="00BD2BC7">
        <w:rPr>
          <w:rFonts w:asciiTheme="minorHAnsi" w:hAnsiTheme="minorHAnsi" w:cstheme="minorBidi"/>
          <w:color w:val="495965" w:themeColor="text2"/>
          <w:szCs w:val="22"/>
          <w:lang w:eastAsia="en-US"/>
        </w:rPr>
        <w:t xml:space="preserve">. </w:t>
      </w:r>
      <w:r w:rsidR="00F27056" w:rsidRPr="00BD2BC7">
        <w:rPr>
          <w:rFonts w:asciiTheme="minorHAnsi" w:hAnsiTheme="minorHAnsi" w:cstheme="minorBidi"/>
          <w:color w:val="495965" w:themeColor="text2"/>
          <w:szCs w:val="22"/>
          <w:lang w:eastAsia="en-US"/>
        </w:rPr>
        <w:t xml:space="preserve"> </w:t>
      </w:r>
      <w:r w:rsidR="00F27056" w:rsidRPr="00160D8C">
        <w:rPr>
          <w:rFonts w:asciiTheme="minorHAnsi" w:hAnsiTheme="minorHAnsi" w:cstheme="minorBidi"/>
          <w:color w:val="495965" w:themeColor="text2"/>
          <w:szCs w:val="22"/>
          <w:lang w:eastAsia="en-US"/>
        </w:rPr>
        <w:t>The health budget has increased significantly in recent years from FJD137 million in 2011 to FJD269 million in 2015</w:t>
      </w:r>
      <w:r w:rsidR="00BB7ADB">
        <w:rPr>
          <w:rFonts w:asciiTheme="minorHAnsi" w:hAnsiTheme="minorHAnsi" w:cstheme="minorBidi"/>
          <w:color w:val="495965" w:themeColor="text2"/>
          <w:szCs w:val="22"/>
          <w:lang w:eastAsia="en-US"/>
        </w:rPr>
        <w:t>.</w:t>
      </w:r>
      <w:r w:rsidR="00F27056" w:rsidRPr="00160D8C">
        <w:rPr>
          <w:rStyle w:val="FootnoteReference"/>
          <w:rFonts w:asciiTheme="minorHAnsi" w:hAnsiTheme="minorHAnsi"/>
          <w:color w:val="495965" w:themeColor="text2"/>
        </w:rPr>
        <w:footnoteReference w:id="13"/>
      </w:r>
      <w:r w:rsidR="00F27056" w:rsidRPr="00160D8C">
        <w:rPr>
          <w:rStyle w:val="FootnoteReference"/>
        </w:rPr>
        <w:t xml:space="preserve"> </w:t>
      </w:r>
      <w:r w:rsidR="00F27056" w:rsidRPr="00160D8C">
        <w:rPr>
          <w:rFonts w:asciiTheme="minorHAnsi" w:hAnsiTheme="minorHAnsi" w:cstheme="minorBidi"/>
          <w:color w:val="495965" w:themeColor="text2"/>
          <w:szCs w:val="22"/>
          <w:lang w:eastAsia="en-US"/>
        </w:rPr>
        <w:t xml:space="preserve">Despite this, Fiji allocates only 8 per cent of its national budget to health which is lower than other Pacific countries whose allocations range between 12 and 17 per cent. </w:t>
      </w:r>
    </w:p>
    <w:p w14:paraId="5A1D65FA" w14:textId="77777777" w:rsidR="00196BFE" w:rsidRDefault="00196BFE">
      <w:pPr>
        <w:spacing w:after="120" w:line="280" w:lineRule="exact"/>
        <w:rPr>
          <w:rFonts w:eastAsia="Times New Roman"/>
        </w:rPr>
      </w:pPr>
      <w:r>
        <w:rPr>
          <w:rFonts w:eastAsia="Times New Roman"/>
        </w:rPr>
        <w:t>However</w:t>
      </w:r>
      <w:r w:rsidR="00B77643">
        <w:rPr>
          <w:rFonts w:eastAsia="Times New Roman"/>
        </w:rPr>
        <w:t>,</w:t>
      </w:r>
      <w:r>
        <w:rPr>
          <w:rFonts w:eastAsia="Times New Roman"/>
        </w:rPr>
        <w:t xml:space="preserve"> </w:t>
      </w:r>
      <w:r w:rsidR="00A5733A">
        <w:rPr>
          <w:rFonts w:eastAsia="Times New Roman"/>
        </w:rPr>
        <w:t xml:space="preserve">our </w:t>
      </w:r>
      <w:r w:rsidR="00ED51D5">
        <w:rPr>
          <w:rFonts w:eastAsia="Times New Roman"/>
        </w:rPr>
        <w:t>Fiji Health Sector Strengthening Program (FHSSP)</w:t>
      </w:r>
      <w:r w:rsidR="00A5733A">
        <w:rPr>
          <w:rFonts w:eastAsia="Times New Roman"/>
        </w:rPr>
        <w:t xml:space="preserve"> valued </w:t>
      </w:r>
      <w:r>
        <w:rPr>
          <w:rFonts w:eastAsia="Times New Roman"/>
        </w:rPr>
        <w:t xml:space="preserve">at </w:t>
      </w:r>
      <w:r w:rsidR="00553406">
        <w:rPr>
          <w:rFonts w:eastAsia="Times New Roman"/>
        </w:rPr>
        <w:t>$</w:t>
      </w:r>
      <w:r>
        <w:rPr>
          <w:rFonts w:eastAsia="Times New Roman"/>
        </w:rPr>
        <w:t xml:space="preserve">33 </w:t>
      </w:r>
      <w:r w:rsidRPr="00067DDC">
        <w:rPr>
          <w:rFonts w:eastAsia="Times New Roman"/>
        </w:rPr>
        <w:t>million (20</w:t>
      </w:r>
      <w:r w:rsidR="00067DDC" w:rsidRPr="00067DDC">
        <w:rPr>
          <w:rFonts w:eastAsia="Times New Roman"/>
        </w:rPr>
        <w:t>11-17</w:t>
      </w:r>
      <w:r w:rsidRPr="00067DDC">
        <w:rPr>
          <w:rFonts w:eastAsia="Times New Roman"/>
        </w:rPr>
        <w:t>)</w:t>
      </w:r>
      <w:r w:rsidR="00A5733A">
        <w:rPr>
          <w:rFonts w:eastAsia="Times New Roman"/>
        </w:rPr>
        <w:t xml:space="preserve"> </w:t>
      </w:r>
      <w:r w:rsidR="00F27056">
        <w:rPr>
          <w:rFonts w:eastAsia="Times New Roman"/>
        </w:rPr>
        <w:t>represents</w:t>
      </w:r>
      <w:r w:rsidR="004068DE">
        <w:rPr>
          <w:rFonts w:eastAsia="Times New Roman"/>
        </w:rPr>
        <w:t xml:space="preserve"> just three per cent of the national health budget</w:t>
      </w:r>
      <w:r w:rsidR="00B22B76">
        <w:rPr>
          <w:rFonts w:eastAsia="Times New Roman"/>
        </w:rPr>
        <w:t xml:space="preserve">. </w:t>
      </w:r>
      <w:r w:rsidR="004068DE">
        <w:rPr>
          <w:rFonts w:eastAsia="Times New Roman"/>
        </w:rPr>
        <w:t xml:space="preserve">For this reason, the scope of </w:t>
      </w:r>
      <w:r w:rsidR="00553406">
        <w:rPr>
          <w:rFonts w:eastAsia="Times New Roman"/>
        </w:rPr>
        <w:t xml:space="preserve">the </w:t>
      </w:r>
      <w:r w:rsidR="004068DE">
        <w:rPr>
          <w:rFonts w:eastAsia="Times New Roman"/>
        </w:rPr>
        <w:t xml:space="preserve">FHSSP remains tightly focused on five priority areas which correspond </w:t>
      </w:r>
      <w:r w:rsidR="007D6A30">
        <w:rPr>
          <w:rFonts w:eastAsia="Times New Roman"/>
        </w:rPr>
        <w:t>to</w:t>
      </w:r>
      <w:r w:rsidR="004068DE">
        <w:rPr>
          <w:rFonts w:eastAsia="Times New Roman"/>
        </w:rPr>
        <w:t xml:space="preserve"> the Ministry of Health and Medical Services (MoHMS) Strategic Plan</w:t>
      </w:r>
      <w:r w:rsidR="00F409F4">
        <w:rPr>
          <w:rFonts w:eastAsia="Times New Roman"/>
        </w:rPr>
        <w:t xml:space="preserve"> (see below for details)</w:t>
      </w:r>
      <w:r w:rsidR="004068DE">
        <w:rPr>
          <w:rFonts w:eastAsia="Times New Roman"/>
        </w:rPr>
        <w:t>.</w:t>
      </w:r>
      <w:r w:rsidR="008E74A9">
        <w:rPr>
          <w:rFonts w:eastAsia="Times New Roman"/>
        </w:rPr>
        <w:t xml:space="preserve"> </w:t>
      </w:r>
    </w:p>
    <w:p w14:paraId="34DE155E" w14:textId="77777777" w:rsidR="008E74A9" w:rsidRDefault="0065318C">
      <w:pPr>
        <w:spacing w:after="120" w:line="280" w:lineRule="exact"/>
        <w:rPr>
          <w:rFonts w:eastAsia="Times New Roman"/>
        </w:rPr>
      </w:pPr>
      <w:r>
        <w:rPr>
          <w:rFonts w:eastAsia="Times New Roman"/>
        </w:rPr>
        <w:t>An</w:t>
      </w:r>
      <w:r w:rsidR="008E74A9">
        <w:rPr>
          <w:rFonts w:eastAsia="Times New Roman"/>
        </w:rPr>
        <w:t xml:space="preserve"> End of Program Evaluation (</w:t>
      </w:r>
      <w:r w:rsidR="000F0F63">
        <w:rPr>
          <w:rFonts w:eastAsia="Times New Roman"/>
        </w:rPr>
        <w:t>June</w:t>
      </w:r>
      <w:r w:rsidR="008E74A9">
        <w:rPr>
          <w:rFonts w:eastAsia="Times New Roman"/>
        </w:rPr>
        <w:t xml:space="preserve"> 2016) concluded that the </w:t>
      </w:r>
      <w:r w:rsidR="00553406">
        <w:rPr>
          <w:rFonts w:eastAsia="Times New Roman"/>
        </w:rPr>
        <w:t xml:space="preserve">FHSSP </w:t>
      </w:r>
      <w:r w:rsidR="008E74A9">
        <w:rPr>
          <w:rFonts w:eastAsia="Times New Roman"/>
        </w:rPr>
        <w:t xml:space="preserve">effectively delivered its planned activities, and its early and strategic approach to sustainability will ensure key activities will continue to be implemented beyond the end of the program. </w:t>
      </w:r>
      <w:r w:rsidR="00CD6EA7" w:rsidRPr="00CD6EA7">
        <w:rPr>
          <w:rFonts w:cs="Arial"/>
          <w:lang w:eastAsia="en-GB"/>
        </w:rPr>
        <w:t xml:space="preserve"> </w:t>
      </w:r>
      <w:r w:rsidR="00CD6EA7">
        <w:rPr>
          <w:rFonts w:cs="Arial"/>
          <w:lang w:eastAsia="en-GB"/>
        </w:rPr>
        <w:t xml:space="preserve">However, </w:t>
      </w:r>
      <w:r>
        <w:rPr>
          <w:rFonts w:cs="Arial"/>
          <w:lang w:eastAsia="en-GB"/>
        </w:rPr>
        <w:t xml:space="preserve">the evaluation noted </w:t>
      </w:r>
      <w:r w:rsidR="00CD6EA7">
        <w:rPr>
          <w:rFonts w:cs="Arial"/>
          <w:lang w:eastAsia="en-GB"/>
        </w:rPr>
        <w:t xml:space="preserve">the </w:t>
      </w:r>
      <w:r w:rsidR="00BD183F">
        <w:rPr>
          <w:rFonts w:cs="Arial"/>
          <w:lang w:eastAsia="en-GB"/>
        </w:rPr>
        <w:t xml:space="preserve">FHSSP </w:t>
      </w:r>
      <w:r w:rsidR="00CD6EA7" w:rsidRPr="00503EC2">
        <w:rPr>
          <w:rFonts w:cs="Arial"/>
          <w:lang w:eastAsia="en-GB"/>
        </w:rPr>
        <w:t xml:space="preserve">generally lacks outcome and </w:t>
      </w:r>
      <w:r w:rsidR="00CD6EA7" w:rsidRPr="00CD6EA7">
        <w:rPr>
          <w:rFonts w:cs="Arial"/>
          <w:lang w:eastAsia="en-GB"/>
        </w:rPr>
        <w:t xml:space="preserve">impact </w:t>
      </w:r>
      <w:r w:rsidR="00CD6EA7" w:rsidRPr="00503EC2">
        <w:rPr>
          <w:rFonts w:cs="Arial"/>
          <w:lang w:eastAsia="en-GB"/>
        </w:rPr>
        <w:t>data on most of its interventions</w:t>
      </w:r>
      <w:r w:rsidR="00CD6EA7">
        <w:rPr>
          <w:rFonts w:cs="Arial"/>
          <w:lang w:eastAsia="en-GB"/>
        </w:rPr>
        <w:t xml:space="preserve">, making it </w:t>
      </w:r>
      <w:r>
        <w:rPr>
          <w:rFonts w:cs="Arial"/>
          <w:lang w:eastAsia="en-GB"/>
        </w:rPr>
        <w:t>difficult</w:t>
      </w:r>
      <w:r w:rsidR="00CD6EA7">
        <w:rPr>
          <w:rFonts w:cs="Arial"/>
          <w:lang w:eastAsia="en-GB"/>
        </w:rPr>
        <w:t xml:space="preserve"> to assess program impact</w:t>
      </w:r>
      <w:r w:rsidR="00CD6EA7" w:rsidRPr="00503EC2">
        <w:rPr>
          <w:rFonts w:cs="Arial"/>
          <w:lang w:eastAsia="en-GB"/>
        </w:rPr>
        <w:t>.</w:t>
      </w:r>
      <w:r w:rsidR="00CD6EA7">
        <w:rPr>
          <w:rFonts w:cs="Arial"/>
          <w:lang w:eastAsia="en-GB"/>
        </w:rPr>
        <w:t xml:space="preserve"> </w:t>
      </w:r>
      <w:r w:rsidR="00101DB9">
        <w:rPr>
          <w:rFonts w:cs="Arial"/>
          <w:lang w:eastAsia="en-GB"/>
        </w:rPr>
        <w:t>For example, t</w:t>
      </w:r>
      <w:r w:rsidR="000F0F63">
        <w:rPr>
          <w:rFonts w:cs="Arial"/>
          <w:lang w:eastAsia="en-GB"/>
        </w:rPr>
        <w:t xml:space="preserve">he </w:t>
      </w:r>
      <w:r w:rsidR="00715CC0">
        <w:rPr>
          <w:rFonts w:cs="Arial"/>
          <w:lang w:eastAsia="en-GB"/>
        </w:rPr>
        <w:t>impact of the introduction of new vaccines</w:t>
      </w:r>
      <w:r w:rsidR="00B77643">
        <w:rPr>
          <w:rFonts w:cs="Arial"/>
          <w:lang w:eastAsia="en-GB"/>
        </w:rPr>
        <w:t xml:space="preserve"> </w:t>
      </w:r>
      <w:r w:rsidR="00715CC0">
        <w:rPr>
          <w:rFonts w:cs="Arial"/>
          <w:lang w:eastAsia="en-GB"/>
        </w:rPr>
        <w:t>is</w:t>
      </w:r>
      <w:r>
        <w:rPr>
          <w:rFonts w:cs="Arial"/>
          <w:lang w:eastAsia="en-GB"/>
        </w:rPr>
        <w:t xml:space="preserve"> difficult to measure</w:t>
      </w:r>
      <w:r w:rsidR="00B77643">
        <w:rPr>
          <w:rFonts w:cs="Arial"/>
          <w:lang w:eastAsia="en-GB"/>
        </w:rPr>
        <w:t xml:space="preserve"> within the program period as it will </w:t>
      </w:r>
      <w:r w:rsidR="0002326A">
        <w:rPr>
          <w:rFonts w:cs="Arial"/>
          <w:lang w:eastAsia="en-GB"/>
        </w:rPr>
        <w:t>take more time</w:t>
      </w:r>
      <w:r w:rsidR="00B77643">
        <w:rPr>
          <w:rFonts w:cs="Arial"/>
          <w:lang w:eastAsia="en-GB"/>
        </w:rPr>
        <w:t xml:space="preserve"> to see</w:t>
      </w:r>
      <w:r w:rsidR="0002326A">
        <w:rPr>
          <w:rFonts w:cs="Arial"/>
          <w:lang w:eastAsia="en-GB"/>
        </w:rPr>
        <w:t xml:space="preserve"> these health trends</w:t>
      </w:r>
      <w:r w:rsidR="000F0F63">
        <w:rPr>
          <w:rFonts w:cs="Arial"/>
          <w:lang w:eastAsia="en-GB"/>
        </w:rPr>
        <w:t>.</w:t>
      </w:r>
      <w:r>
        <w:rPr>
          <w:rFonts w:cs="Arial"/>
          <w:lang w:eastAsia="en-GB"/>
        </w:rPr>
        <w:t xml:space="preserve"> </w:t>
      </w:r>
    </w:p>
    <w:p w14:paraId="46E6800E" w14:textId="77777777" w:rsidR="001A5562" w:rsidRDefault="00553406">
      <w:pPr>
        <w:spacing w:after="120" w:line="280" w:lineRule="exact"/>
        <w:rPr>
          <w:rFonts w:eastAsia="Times New Roman"/>
        </w:rPr>
      </w:pPr>
      <w:r>
        <w:rPr>
          <w:rFonts w:eastAsia="Times New Roman"/>
        </w:rPr>
        <w:t xml:space="preserve">The </w:t>
      </w:r>
      <w:r w:rsidR="00577118">
        <w:rPr>
          <w:rFonts w:eastAsia="Times New Roman"/>
        </w:rPr>
        <w:t>FHSSP was</w:t>
      </w:r>
      <w:r w:rsidR="00F27056">
        <w:rPr>
          <w:rFonts w:eastAsia="Times New Roman"/>
        </w:rPr>
        <w:t xml:space="preserve"> initially</w:t>
      </w:r>
      <w:r w:rsidR="00577118">
        <w:rPr>
          <w:rFonts w:eastAsia="Times New Roman"/>
        </w:rPr>
        <w:t xml:space="preserve"> impacted by TC Winston, </w:t>
      </w:r>
      <w:r w:rsidR="00463149">
        <w:rPr>
          <w:rFonts w:eastAsia="Times New Roman"/>
        </w:rPr>
        <w:t>with</w:t>
      </w:r>
      <w:r w:rsidR="00577118">
        <w:rPr>
          <w:rFonts w:eastAsia="Times New Roman"/>
        </w:rPr>
        <w:t xml:space="preserve"> </w:t>
      </w:r>
      <w:r w:rsidR="00463149">
        <w:rPr>
          <w:rFonts w:eastAsia="Times New Roman"/>
        </w:rPr>
        <w:t xml:space="preserve">program and MoHMS </w:t>
      </w:r>
      <w:r w:rsidR="00577118">
        <w:rPr>
          <w:rFonts w:eastAsia="Times New Roman"/>
        </w:rPr>
        <w:t xml:space="preserve">staff </w:t>
      </w:r>
      <w:r w:rsidR="00524E2B">
        <w:rPr>
          <w:rFonts w:eastAsia="Times New Roman"/>
        </w:rPr>
        <w:t xml:space="preserve">temporarily </w:t>
      </w:r>
      <w:r w:rsidR="00577118">
        <w:rPr>
          <w:rFonts w:eastAsia="Times New Roman"/>
        </w:rPr>
        <w:t>diverted from core activities</w:t>
      </w:r>
      <w:r w:rsidR="00463149">
        <w:rPr>
          <w:rFonts w:eastAsia="Times New Roman"/>
        </w:rPr>
        <w:t xml:space="preserve"> to </w:t>
      </w:r>
      <w:r>
        <w:rPr>
          <w:rFonts w:eastAsia="Times New Roman"/>
        </w:rPr>
        <w:t xml:space="preserve">assist with the </w:t>
      </w:r>
      <w:r w:rsidR="00463149">
        <w:rPr>
          <w:rFonts w:eastAsia="Times New Roman"/>
        </w:rPr>
        <w:t>emergency response</w:t>
      </w:r>
      <w:r>
        <w:rPr>
          <w:rFonts w:eastAsia="Times New Roman"/>
        </w:rPr>
        <w:t xml:space="preserve">. </w:t>
      </w:r>
      <w:r w:rsidR="00F27056">
        <w:rPr>
          <w:rFonts w:eastAsia="Times New Roman"/>
        </w:rPr>
        <w:t>Utilising a built-in</w:t>
      </w:r>
      <w:r w:rsidR="00577118">
        <w:rPr>
          <w:rFonts w:eastAsia="Times New Roman"/>
        </w:rPr>
        <w:t xml:space="preserve"> contingency fund, </w:t>
      </w:r>
      <w:r>
        <w:rPr>
          <w:rFonts w:eastAsia="Times New Roman"/>
        </w:rPr>
        <w:t xml:space="preserve">the </w:t>
      </w:r>
      <w:r w:rsidR="003167C9">
        <w:rPr>
          <w:rFonts w:eastAsia="Times New Roman"/>
        </w:rPr>
        <w:t xml:space="preserve">FHSSP </w:t>
      </w:r>
      <w:r>
        <w:rPr>
          <w:rFonts w:eastAsia="Times New Roman"/>
        </w:rPr>
        <w:t xml:space="preserve">was able to </w:t>
      </w:r>
      <w:r w:rsidR="00577118">
        <w:rPr>
          <w:rFonts w:eastAsia="Times New Roman"/>
        </w:rPr>
        <w:t>provid</w:t>
      </w:r>
      <w:r w:rsidR="003167C9">
        <w:rPr>
          <w:rFonts w:eastAsia="Times New Roman"/>
        </w:rPr>
        <w:t>e</w:t>
      </w:r>
      <w:r w:rsidR="00577118">
        <w:rPr>
          <w:rFonts w:eastAsia="Times New Roman"/>
        </w:rPr>
        <w:t xml:space="preserve"> </w:t>
      </w:r>
      <w:r>
        <w:rPr>
          <w:rFonts w:eastAsia="Times New Roman"/>
        </w:rPr>
        <w:t xml:space="preserve">emergency relief </w:t>
      </w:r>
      <w:r w:rsidR="00577118">
        <w:rPr>
          <w:rFonts w:eastAsia="Times New Roman"/>
        </w:rPr>
        <w:t>to help the MOHMS</w:t>
      </w:r>
      <w:r>
        <w:rPr>
          <w:rFonts w:eastAsia="Times New Roman"/>
        </w:rPr>
        <w:t>.</w:t>
      </w:r>
      <w:r w:rsidR="003167C9">
        <w:rPr>
          <w:rFonts w:eastAsia="Times New Roman"/>
        </w:rPr>
        <w:t xml:space="preserve"> </w:t>
      </w:r>
      <w:r>
        <w:rPr>
          <w:rFonts w:eastAsia="Times New Roman"/>
        </w:rPr>
        <w:t>T</w:t>
      </w:r>
      <w:r w:rsidR="003167C9">
        <w:rPr>
          <w:rFonts w:eastAsia="Times New Roman"/>
        </w:rPr>
        <w:t xml:space="preserve">his included </w:t>
      </w:r>
      <w:r w:rsidR="00577118">
        <w:rPr>
          <w:rFonts w:eastAsia="Times New Roman"/>
        </w:rPr>
        <w:t>additional health staff to undertake disease surveillance, transport for additional outreach activities, fuel for generators at hospitals following power outage</w:t>
      </w:r>
      <w:r w:rsidR="003167C9">
        <w:rPr>
          <w:rFonts w:eastAsia="Times New Roman"/>
        </w:rPr>
        <w:t>s,</w:t>
      </w:r>
      <w:r w:rsidR="00577118">
        <w:rPr>
          <w:rFonts w:eastAsia="Times New Roman"/>
        </w:rPr>
        <w:t xml:space="preserve"> </w:t>
      </w:r>
      <w:r w:rsidR="003167C9">
        <w:rPr>
          <w:rFonts w:eastAsia="Times New Roman"/>
        </w:rPr>
        <w:t xml:space="preserve">and </w:t>
      </w:r>
      <w:r w:rsidR="00577118">
        <w:rPr>
          <w:rFonts w:eastAsia="Times New Roman"/>
        </w:rPr>
        <w:t>extra warehousing to safely store medical donations.</w:t>
      </w:r>
      <w:r>
        <w:rPr>
          <w:rFonts w:eastAsia="Times New Roman"/>
        </w:rPr>
        <w:t xml:space="preserve"> The</w:t>
      </w:r>
      <w:r w:rsidR="00577118">
        <w:rPr>
          <w:rFonts w:eastAsia="Times New Roman"/>
        </w:rPr>
        <w:t xml:space="preserve"> FHSSP also </w:t>
      </w:r>
      <w:r w:rsidR="00A904EC">
        <w:rPr>
          <w:rFonts w:eastAsia="Times New Roman"/>
        </w:rPr>
        <w:t>established</w:t>
      </w:r>
      <w:r w:rsidR="00577118">
        <w:rPr>
          <w:rFonts w:eastAsia="Times New Roman"/>
        </w:rPr>
        <w:t xml:space="preserve"> three temporary health facilities at sites where health facilities were completed destroyed. </w:t>
      </w:r>
    </w:p>
    <w:p w14:paraId="13CB68D0" w14:textId="77777777" w:rsidR="00196BFE" w:rsidRDefault="00F27056">
      <w:pPr>
        <w:spacing w:after="120" w:line="280" w:lineRule="exact"/>
        <w:rPr>
          <w:rFonts w:eastAsia="Times New Roman"/>
        </w:rPr>
      </w:pPr>
      <w:r>
        <w:rPr>
          <w:rFonts w:eastAsia="Times New Roman"/>
        </w:rPr>
        <w:t>Despite this, overall t</w:t>
      </w:r>
      <w:r w:rsidR="00524E2B">
        <w:rPr>
          <w:rFonts w:eastAsia="Times New Roman"/>
        </w:rPr>
        <w:t>he impact of TC Winston on the</w:t>
      </w:r>
      <w:r>
        <w:rPr>
          <w:rFonts w:eastAsia="Times New Roman"/>
        </w:rPr>
        <w:t xml:space="preserve"> broader</w:t>
      </w:r>
      <w:r w:rsidR="00524E2B">
        <w:rPr>
          <w:rFonts w:eastAsia="Times New Roman"/>
        </w:rPr>
        <w:t xml:space="preserve"> health program </w:t>
      </w:r>
      <w:r>
        <w:rPr>
          <w:rFonts w:eastAsia="Times New Roman"/>
        </w:rPr>
        <w:t xml:space="preserve">was </w:t>
      </w:r>
      <w:r w:rsidR="00524E2B">
        <w:rPr>
          <w:rFonts w:eastAsia="Times New Roman"/>
        </w:rPr>
        <w:t xml:space="preserve">largely contained; UNICEF helped to maintain the vaccine cold chain, health staff responded quickly to patients presenting at health clinics, and health infrastructure did not suffer nearly the same level of damage as did the schools. Set to wind down in March 2016, the program </w:t>
      </w:r>
      <w:r w:rsidR="001A5562">
        <w:rPr>
          <w:rFonts w:eastAsia="Times New Roman"/>
        </w:rPr>
        <w:t xml:space="preserve">has been </w:t>
      </w:r>
      <w:r w:rsidR="00524E2B">
        <w:rPr>
          <w:rFonts w:eastAsia="Times New Roman"/>
        </w:rPr>
        <w:t>extended until mid-2017 to implement the rebuilding efforts of health facilities damaged by TC Winston</w:t>
      </w:r>
      <w:r w:rsidR="00524E2B" w:rsidRPr="001D73D3">
        <w:rPr>
          <w:rFonts w:eastAsia="Times New Roman"/>
        </w:rPr>
        <w:t xml:space="preserve"> </w:t>
      </w:r>
      <w:r w:rsidR="00524E2B">
        <w:rPr>
          <w:rFonts w:eastAsia="Times New Roman"/>
        </w:rPr>
        <w:t xml:space="preserve">and support </w:t>
      </w:r>
      <w:r w:rsidR="00524E2B" w:rsidRPr="00281141">
        <w:rPr>
          <w:rFonts w:eastAsia="Times New Roman"/>
        </w:rPr>
        <w:t>ongoing health surveillance</w:t>
      </w:r>
      <w:r w:rsidR="00524E2B">
        <w:rPr>
          <w:rFonts w:eastAsia="Times New Roman"/>
        </w:rPr>
        <w:t>.</w:t>
      </w:r>
    </w:p>
    <w:p w14:paraId="7D80B13A" w14:textId="77777777" w:rsidR="00196BFE" w:rsidRPr="00924938" w:rsidRDefault="00F27056" w:rsidP="00924938">
      <w:pPr>
        <w:spacing w:after="120" w:line="280" w:lineRule="exact"/>
        <w:rPr>
          <w:rFonts w:eastAsia="Times New Roman"/>
        </w:rPr>
      </w:pPr>
      <w:r>
        <w:rPr>
          <w:rFonts w:eastAsia="Times New Roman"/>
        </w:rPr>
        <w:t>Elsewhere in the program, t</w:t>
      </w:r>
      <w:r w:rsidR="00196BFE" w:rsidRPr="00066293">
        <w:rPr>
          <w:rFonts w:eastAsia="Times New Roman"/>
        </w:rPr>
        <w:t>he</w:t>
      </w:r>
      <w:r>
        <w:rPr>
          <w:rFonts w:eastAsia="Times New Roman"/>
        </w:rPr>
        <w:t xml:space="preserve"> FHSSP</w:t>
      </w:r>
      <w:r w:rsidR="00196BFE" w:rsidRPr="00066293">
        <w:rPr>
          <w:rFonts w:eastAsia="Times New Roman"/>
        </w:rPr>
        <w:t xml:space="preserve"> Mother Safe Hospital Initiative</w:t>
      </w:r>
      <w:r w:rsidR="00196BFE" w:rsidRPr="00924938">
        <w:rPr>
          <w:rFonts w:eastAsia="Times New Roman"/>
        </w:rPr>
        <w:t xml:space="preserve"> </w:t>
      </w:r>
      <w:r w:rsidR="00BD183F">
        <w:rPr>
          <w:rFonts w:eastAsia="Times New Roman"/>
        </w:rPr>
        <w:t>contributed to</w:t>
      </w:r>
      <w:r w:rsidR="00F90096" w:rsidRPr="00924938">
        <w:rPr>
          <w:rFonts w:eastAsia="Times New Roman"/>
        </w:rPr>
        <w:t xml:space="preserve"> a </w:t>
      </w:r>
      <w:r w:rsidR="00F90096" w:rsidRPr="00160D8C">
        <w:rPr>
          <w:rFonts w:eastAsia="Times New Roman"/>
        </w:rPr>
        <w:t>reduc</w:t>
      </w:r>
      <w:r w:rsidR="00F97F8B" w:rsidRPr="00160D8C">
        <w:rPr>
          <w:rFonts w:eastAsia="Times New Roman"/>
        </w:rPr>
        <w:t>tion in</w:t>
      </w:r>
      <w:r w:rsidR="00F90096" w:rsidRPr="00160D8C">
        <w:rPr>
          <w:rFonts w:eastAsia="Times New Roman"/>
        </w:rPr>
        <w:t xml:space="preserve"> maternal and infant mortality rates</w:t>
      </w:r>
      <w:r w:rsidR="00BD183F" w:rsidRPr="00F27056">
        <w:rPr>
          <w:rFonts w:eastAsia="Times New Roman"/>
        </w:rPr>
        <w:t>.</w:t>
      </w:r>
      <w:r w:rsidR="003167C9" w:rsidRPr="00E97964">
        <w:rPr>
          <w:rFonts w:eastAsia="Times New Roman"/>
        </w:rPr>
        <w:t xml:space="preserve"> </w:t>
      </w:r>
      <w:r>
        <w:rPr>
          <w:rFonts w:eastAsia="Times New Roman"/>
        </w:rPr>
        <w:t>At its commencement,</w:t>
      </w:r>
      <w:r w:rsidR="00BD183F">
        <w:rPr>
          <w:rFonts w:eastAsia="Times New Roman"/>
        </w:rPr>
        <w:t xml:space="preserve"> the </w:t>
      </w:r>
      <w:r w:rsidR="000778F0" w:rsidRPr="00924938">
        <w:rPr>
          <w:rFonts w:eastAsia="Times New Roman"/>
        </w:rPr>
        <w:t xml:space="preserve">FHSSP </w:t>
      </w:r>
      <w:r w:rsidR="00BD183F">
        <w:rPr>
          <w:rFonts w:eastAsia="Times New Roman"/>
        </w:rPr>
        <w:t xml:space="preserve">worked with MoHMS to </w:t>
      </w:r>
      <w:r w:rsidR="000778F0" w:rsidRPr="00924938">
        <w:rPr>
          <w:rFonts w:eastAsia="Times New Roman"/>
        </w:rPr>
        <w:t xml:space="preserve">establish </w:t>
      </w:r>
      <w:r w:rsidR="00196BFE" w:rsidRPr="00924938">
        <w:rPr>
          <w:rFonts w:eastAsia="Times New Roman"/>
        </w:rPr>
        <w:t>a set of Safe Motherhood National Standards which set out staffing, equipment and service standards for all hospitals providing ante-natal and post-natal care</w:t>
      </w:r>
      <w:r w:rsidR="00B22B76" w:rsidRPr="00924938">
        <w:rPr>
          <w:rFonts w:eastAsia="Times New Roman"/>
        </w:rPr>
        <w:t xml:space="preserve">. </w:t>
      </w:r>
      <w:r w:rsidR="00BB7ADB">
        <w:rPr>
          <w:rFonts w:eastAsia="Times New Roman"/>
        </w:rPr>
        <w:t>S</w:t>
      </w:r>
      <w:r w:rsidR="00196BFE" w:rsidRPr="00924938">
        <w:rPr>
          <w:rFonts w:eastAsia="Times New Roman"/>
        </w:rPr>
        <w:t>ix hospitals (which account for 85 per cent of all births in Fiji) were audited against the</w:t>
      </w:r>
      <w:r w:rsidR="00BD183F">
        <w:rPr>
          <w:rFonts w:eastAsia="Times New Roman"/>
        </w:rPr>
        <w:t>se standards</w:t>
      </w:r>
      <w:r w:rsidR="00BB7ADB">
        <w:rPr>
          <w:rFonts w:eastAsia="Times New Roman"/>
        </w:rPr>
        <w:t xml:space="preserve"> which revealed t</w:t>
      </w:r>
      <w:r w:rsidR="00196BFE" w:rsidRPr="00924938">
        <w:rPr>
          <w:rFonts w:eastAsia="Times New Roman"/>
        </w:rPr>
        <w:t xml:space="preserve">hree </w:t>
      </w:r>
      <w:r w:rsidR="00BD183F">
        <w:rPr>
          <w:rFonts w:eastAsia="Times New Roman"/>
        </w:rPr>
        <w:t xml:space="preserve">hospitals </w:t>
      </w:r>
      <w:r w:rsidR="00196BFE" w:rsidRPr="00924938">
        <w:rPr>
          <w:rFonts w:eastAsia="Times New Roman"/>
        </w:rPr>
        <w:t>were performing very well (achieving ratings of 83-92 per cent) and the remaining three require</w:t>
      </w:r>
      <w:r w:rsidR="006450D5" w:rsidRPr="00924938">
        <w:rPr>
          <w:rFonts w:eastAsia="Times New Roman"/>
        </w:rPr>
        <w:t>d</w:t>
      </w:r>
      <w:r w:rsidR="00196BFE" w:rsidRPr="00924938">
        <w:rPr>
          <w:rFonts w:eastAsia="Times New Roman"/>
        </w:rPr>
        <w:t xml:space="preserve"> improvement (50-60 per cent ratings)</w:t>
      </w:r>
      <w:r w:rsidR="00B22B76" w:rsidRPr="00924938">
        <w:rPr>
          <w:rFonts w:eastAsia="Times New Roman"/>
        </w:rPr>
        <w:t xml:space="preserve">. </w:t>
      </w:r>
      <w:r w:rsidR="00D2220E">
        <w:rPr>
          <w:rFonts w:eastAsia="Times New Roman"/>
        </w:rPr>
        <w:t>F</w:t>
      </w:r>
      <w:r w:rsidR="00196BFE" w:rsidRPr="00924938">
        <w:rPr>
          <w:rFonts w:eastAsia="Times New Roman"/>
        </w:rPr>
        <w:t>ocus on improving ante-natal care</w:t>
      </w:r>
      <w:r w:rsidR="00D2220E">
        <w:rPr>
          <w:rFonts w:eastAsia="Times New Roman"/>
        </w:rPr>
        <w:t xml:space="preserve"> </w:t>
      </w:r>
      <w:r w:rsidR="00445E87" w:rsidRPr="00924938">
        <w:rPr>
          <w:rFonts w:eastAsia="Times New Roman"/>
        </w:rPr>
        <w:t>has now become a standard quality assurance activity undertaken by the Maternal Health Clinical Services Network</w:t>
      </w:r>
      <w:r w:rsidR="00B22B76" w:rsidRPr="00924938">
        <w:rPr>
          <w:rFonts w:eastAsia="Times New Roman"/>
        </w:rPr>
        <w:t xml:space="preserve">. </w:t>
      </w:r>
      <w:r w:rsidR="00196BFE" w:rsidRPr="00924938">
        <w:rPr>
          <w:rFonts w:eastAsia="Times New Roman"/>
        </w:rPr>
        <w:t xml:space="preserve">At the start of the program, </w:t>
      </w:r>
      <w:r w:rsidR="00445E87" w:rsidRPr="00924938">
        <w:rPr>
          <w:rFonts w:eastAsia="Times New Roman"/>
        </w:rPr>
        <w:t xml:space="preserve">there was </w:t>
      </w:r>
      <w:r w:rsidR="00F97F8B" w:rsidRPr="00924938">
        <w:rPr>
          <w:rFonts w:eastAsia="Times New Roman"/>
        </w:rPr>
        <w:t>no</w:t>
      </w:r>
      <w:r w:rsidR="00445E87" w:rsidRPr="00924938">
        <w:rPr>
          <w:rFonts w:eastAsia="Times New Roman"/>
        </w:rPr>
        <w:t xml:space="preserve"> reporting on mothers attending </w:t>
      </w:r>
      <w:r w:rsidR="00196BFE" w:rsidRPr="00924938">
        <w:rPr>
          <w:rFonts w:eastAsia="Times New Roman"/>
        </w:rPr>
        <w:t xml:space="preserve">ante-natal counselling in their first trimester, compared to 30 per cent </w:t>
      </w:r>
      <w:r w:rsidR="00AF26FF" w:rsidRPr="00924938">
        <w:rPr>
          <w:rFonts w:eastAsia="Times New Roman"/>
        </w:rPr>
        <w:t xml:space="preserve">attending </w:t>
      </w:r>
      <w:r w:rsidR="00196BFE" w:rsidRPr="00924938">
        <w:rPr>
          <w:rFonts w:eastAsia="Times New Roman"/>
        </w:rPr>
        <w:t>by the end of 2015</w:t>
      </w:r>
      <w:r w:rsidR="00BD183F">
        <w:rPr>
          <w:rFonts w:eastAsia="Times New Roman"/>
        </w:rPr>
        <w:t>.</w:t>
      </w:r>
      <w:r w:rsidR="00445E87">
        <w:rPr>
          <w:rStyle w:val="FootnoteReference"/>
          <w:rFonts w:eastAsia="Times New Roman"/>
        </w:rPr>
        <w:footnoteReference w:id="14"/>
      </w:r>
      <w:r w:rsidR="00196BFE" w:rsidRPr="00924938">
        <w:rPr>
          <w:rFonts w:eastAsia="Times New Roman"/>
        </w:rPr>
        <w:t xml:space="preserve"> </w:t>
      </w:r>
    </w:p>
    <w:p w14:paraId="4D1BEAB7" w14:textId="77777777" w:rsidR="00196BFE" w:rsidRPr="00924938" w:rsidRDefault="00561B13" w:rsidP="00924938">
      <w:pPr>
        <w:spacing w:after="120" w:line="280" w:lineRule="exact"/>
        <w:rPr>
          <w:rFonts w:eastAsia="Times New Roman"/>
        </w:rPr>
      </w:pPr>
      <w:r w:rsidRPr="00BD183F">
        <w:rPr>
          <w:rFonts w:eastAsia="Times New Roman"/>
        </w:rPr>
        <w:t xml:space="preserve">Through </w:t>
      </w:r>
      <w:r w:rsidR="00F27056">
        <w:rPr>
          <w:rFonts w:eastAsia="Times New Roman"/>
        </w:rPr>
        <w:t>the FHSSP</w:t>
      </w:r>
      <w:r w:rsidR="00F27056" w:rsidRPr="00066293">
        <w:rPr>
          <w:rFonts w:eastAsia="Times New Roman"/>
        </w:rPr>
        <w:t xml:space="preserve"> </w:t>
      </w:r>
      <w:r w:rsidR="00196BFE" w:rsidRPr="00066293">
        <w:rPr>
          <w:rFonts w:eastAsia="Times New Roman"/>
        </w:rPr>
        <w:t xml:space="preserve">Healthy </w:t>
      </w:r>
      <w:r w:rsidR="00924938" w:rsidRPr="00066293">
        <w:rPr>
          <w:rFonts w:eastAsia="Times New Roman"/>
        </w:rPr>
        <w:t>C</w:t>
      </w:r>
      <w:r w:rsidR="00196BFE" w:rsidRPr="00066293">
        <w:rPr>
          <w:rFonts w:eastAsia="Times New Roman"/>
        </w:rPr>
        <w:t>hild</w:t>
      </w:r>
      <w:r w:rsidR="00924938" w:rsidRPr="00066293">
        <w:rPr>
          <w:rFonts w:eastAsia="Times New Roman"/>
        </w:rPr>
        <w:t xml:space="preserve"> Initiative</w:t>
      </w:r>
      <w:r w:rsidRPr="00561B13">
        <w:rPr>
          <w:rFonts w:eastAsia="Times New Roman"/>
        </w:rPr>
        <w:t>,</w:t>
      </w:r>
      <w:r w:rsidR="00924938">
        <w:rPr>
          <w:rFonts w:eastAsia="Times New Roman"/>
          <w:b/>
        </w:rPr>
        <w:t xml:space="preserve"> </w:t>
      </w:r>
      <w:r w:rsidR="00924938">
        <w:rPr>
          <w:rFonts w:eastAsia="Times New Roman"/>
        </w:rPr>
        <w:t>t</w:t>
      </w:r>
      <w:r w:rsidR="00196BFE" w:rsidRPr="00924938">
        <w:rPr>
          <w:rFonts w:eastAsia="Times New Roman"/>
        </w:rPr>
        <w:t xml:space="preserve">he provision of </w:t>
      </w:r>
      <w:r w:rsidR="00196BFE" w:rsidRPr="00160D8C">
        <w:rPr>
          <w:rFonts w:eastAsia="Times New Roman"/>
        </w:rPr>
        <w:t>pneumococcal and rotavirus vaccines</w:t>
      </w:r>
      <w:r w:rsidR="00196BFE" w:rsidRPr="00924938">
        <w:rPr>
          <w:rFonts w:eastAsia="Times New Roman"/>
        </w:rPr>
        <w:t xml:space="preserve">, through a cost-sharing arrangement with </w:t>
      </w:r>
      <w:r w:rsidR="00BD183F">
        <w:rPr>
          <w:rFonts w:eastAsia="Times New Roman"/>
        </w:rPr>
        <w:t xml:space="preserve">the </w:t>
      </w:r>
      <w:r w:rsidR="00A649CF" w:rsidRPr="00924938">
        <w:rPr>
          <w:rFonts w:eastAsia="Times New Roman"/>
        </w:rPr>
        <w:t>MoHMS</w:t>
      </w:r>
      <w:r w:rsidR="00196BFE" w:rsidRPr="00924938">
        <w:rPr>
          <w:rFonts w:eastAsia="Times New Roman"/>
        </w:rPr>
        <w:t>, has been very successful</w:t>
      </w:r>
      <w:r w:rsidR="00B22B76" w:rsidRPr="00924938">
        <w:rPr>
          <w:rFonts w:eastAsia="Times New Roman"/>
        </w:rPr>
        <w:t xml:space="preserve">. </w:t>
      </w:r>
      <w:r w:rsidR="00F27056">
        <w:rPr>
          <w:rFonts w:eastAsia="Times New Roman"/>
        </w:rPr>
        <w:t>Under this initiative</w:t>
      </w:r>
      <w:r w:rsidR="00B02E6F" w:rsidRPr="00924938">
        <w:rPr>
          <w:rFonts w:eastAsia="Times New Roman"/>
        </w:rPr>
        <w:t>, Australia provided</w:t>
      </w:r>
      <w:r w:rsidR="00445E87" w:rsidRPr="00924938">
        <w:rPr>
          <w:rFonts w:eastAsia="Times New Roman"/>
        </w:rPr>
        <w:t xml:space="preserve"> financial support of </w:t>
      </w:r>
      <w:r w:rsidR="00F27056">
        <w:rPr>
          <w:rFonts w:eastAsia="Times New Roman"/>
        </w:rPr>
        <w:t xml:space="preserve">over $4 million </w:t>
      </w:r>
      <w:r w:rsidR="00445E87" w:rsidRPr="00924938">
        <w:rPr>
          <w:rFonts w:eastAsia="Times New Roman"/>
        </w:rPr>
        <w:t>progressively expended over three years on a reducing ratio</w:t>
      </w:r>
      <w:r w:rsidR="00B02E6F" w:rsidRPr="00924938">
        <w:rPr>
          <w:rFonts w:eastAsia="Times New Roman"/>
        </w:rPr>
        <w:t>,</w:t>
      </w:r>
      <w:r w:rsidR="00445E87" w:rsidRPr="00924938">
        <w:rPr>
          <w:rFonts w:eastAsia="Times New Roman"/>
        </w:rPr>
        <w:t xml:space="preserve"> and assist</w:t>
      </w:r>
      <w:r w:rsidR="00B02E6F" w:rsidRPr="00924938">
        <w:rPr>
          <w:rFonts w:eastAsia="Times New Roman"/>
        </w:rPr>
        <w:t>ed</w:t>
      </w:r>
      <w:r w:rsidR="00445E87" w:rsidRPr="00924938">
        <w:rPr>
          <w:rFonts w:eastAsia="Times New Roman"/>
        </w:rPr>
        <w:t xml:space="preserve"> with the procurement of the vaccines working closely with the Fiji Pharmaceuticals and Biomedical Services procurement team. This ensured that the vaccines were available and implemented through the </w:t>
      </w:r>
      <w:r w:rsidR="0002326A">
        <w:rPr>
          <w:rFonts w:eastAsia="Times New Roman"/>
        </w:rPr>
        <w:t>MoHMS’</w:t>
      </w:r>
      <w:r w:rsidR="003F0EB8">
        <w:rPr>
          <w:rFonts w:eastAsia="Times New Roman"/>
        </w:rPr>
        <w:t xml:space="preserve"> </w:t>
      </w:r>
      <w:r w:rsidR="003F0EB8" w:rsidRPr="00924938">
        <w:rPr>
          <w:rFonts w:eastAsia="Times New Roman"/>
        </w:rPr>
        <w:t>Expanded</w:t>
      </w:r>
      <w:r w:rsidR="00445E87" w:rsidRPr="00924938">
        <w:rPr>
          <w:rFonts w:eastAsia="Times New Roman"/>
        </w:rPr>
        <w:t xml:space="preserve"> Program for Immunisation and help</w:t>
      </w:r>
      <w:r w:rsidR="00E63C76" w:rsidRPr="00924938">
        <w:rPr>
          <w:rFonts w:eastAsia="Times New Roman"/>
        </w:rPr>
        <w:t>ed</w:t>
      </w:r>
      <w:r w:rsidR="00445E87" w:rsidRPr="00924938">
        <w:rPr>
          <w:rFonts w:eastAsia="Times New Roman"/>
        </w:rPr>
        <w:t xml:space="preserve"> Fiji </w:t>
      </w:r>
      <w:r w:rsidR="00196BFE" w:rsidRPr="00924938">
        <w:rPr>
          <w:rFonts w:eastAsia="Times New Roman"/>
        </w:rPr>
        <w:t>maintain high immunisation rates</w:t>
      </w:r>
      <w:r w:rsidR="000B3561">
        <w:rPr>
          <w:rFonts w:eastAsia="Times New Roman"/>
        </w:rPr>
        <w:t xml:space="preserve"> of over 90 per cent</w:t>
      </w:r>
      <w:r w:rsidR="00B22B76" w:rsidRPr="00924938">
        <w:rPr>
          <w:rFonts w:eastAsia="Times New Roman"/>
        </w:rPr>
        <w:t xml:space="preserve">. </w:t>
      </w:r>
      <w:r w:rsidR="00196BFE" w:rsidRPr="00924938">
        <w:rPr>
          <w:rFonts w:eastAsia="Times New Roman"/>
        </w:rPr>
        <w:t>Although the full impact of the vaccines will manifest over future years, a study by the Murdoch Ch</w:t>
      </w:r>
      <w:r w:rsidR="00A649CF" w:rsidRPr="00924938">
        <w:rPr>
          <w:rFonts w:eastAsia="Times New Roman"/>
        </w:rPr>
        <w:t xml:space="preserve">ildren’s Research Institute </w:t>
      </w:r>
      <w:r w:rsidR="00196BFE" w:rsidRPr="00924938">
        <w:rPr>
          <w:rFonts w:eastAsia="Times New Roman"/>
        </w:rPr>
        <w:t xml:space="preserve">found that the vaccines are </w:t>
      </w:r>
      <w:r w:rsidR="00A649CF" w:rsidRPr="00924938">
        <w:rPr>
          <w:rFonts w:eastAsia="Times New Roman"/>
        </w:rPr>
        <w:t>already</w:t>
      </w:r>
      <w:r w:rsidR="00196BFE" w:rsidRPr="00924938">
        <w:rPr>
          <w:rFonts w:eastAsia="Times New Roman"/>
        </w:rPr>
        <w:t xml:space="preserve"> preventing pneumonia, pneumococcal sepsis and meningitis, along with a reduction in </w:t>
      </w:r>
      <w:r w:rsidR="00A649CF" w:rsidRPr="00924938">
        <w:rPr>
          <w:rFonts w:eastAsia="Times New Roman"/>
        </w:rPr>
        <w:t>diarrhoea admissions to hospitals</w:t>
      </w:r>
      <w:r w:rsidR="00BD183F">
        <w:rPr>
          <w:rFonts w:eastAsia="Times New Roman"/>
        </w:rPr>
        <w:t>.</w:t>
      </w:r>
      <w:r w:rsidR="00E3692A">
        <w:rPr>
          <w:rStyle w:val="FootnoteReference"/>
          <w:rFonts w:eastAsia="Times New Roman"/>
        </w:rPr>
        <w:footnoteReference w:id="15"/>
      </w:r>
      <w:r w:rsidR="00B22B76" w:rsidRPr="00924938">
        <w:rPr>
          <w:rFonts w:eastAsia="Times New Roman"/>
        </w:rPr>
        <w:t xml:space="preserve"> </w:t>
      </w:r>
      <w:r w:rsidR="00C52397" w:rsidRPr="00924938">
        <w:rPr>
          <w:rFonts w:eastAsia="Times New Roman"/>
        </w:rPr>
        <w:t xml:space="preserve">From 2016, the MoHMS has taken on 100 per cent of funding for vaccine procurement. </w:t>
      </w:r>
    </w:p>
    <w:p w14:paraId="43085701" w14:textId="77777777" w:rsidR="00196BFE" w:rsidRPr="00561B13" w:rsidRDefault="00561B13" w:rsidP="00561B13">
      <w:pPr>
        <w:spacing w:after="120" w:line="280" w:lineRule="exact"/>
        <w:rPr>
          <w:rFonts w:eastAsia="Times New Roman"/>
        </w:rPr>
      </w:pPr>
      <w:r w:rsidRPr="003167C9">
        <w:rPr>
          <w:rFonts w:eastAsia="Times New Roman"/>
        </w:rPr>
        <w:t>The p</w:t>
      </w:r>
      <w:r w:rsidR="00196BFE" w:rsidRPr="003167C9">
        <w:rPr>
          <w:rFonts w:eastAsia="Times New Roman"/>
        </w:rPr>
        <w:t>revention and management of</w:t>
      </w:r>
      <w:r w:rsidR="00196BFE" w:rsidRPr="00561B13">
        <w:rPr>
          <w:rFonts w:eastAsia="Times New Roman"/>
          <w:b/>
        </w:rPr>
        <w:t xml:space="preserve"> </w:t>
      </w:r>
      <w:r w:rsidR="00196BFE" w:rsidRPr="00160D8C">
        <w:rPr>
          <w:rFonts w:eastAsia="Times New Roman"/>
        </w:rPr>
        <w:t xml:space="preserve">Non Communicable Diseases </w:t>
      </w:r>
      <w:r w:rsidR="00196BFE" w:rsidRPr="003167C9">
        <w:rPr>
          <w:rFonts w:eastAsia="Times New Roman"/>
        </w:rPr>
        <w:t>(including cervical cancer)</w:t>
      </w:r>
      <w:r w:rsidRPr="003167C9">
        <w:rPr>
          <w:rFonts w:eastAsia="Times New Roman"/>
        </w:rPr>
        <w:t xml:space="preserve"> initiative</w:t>
      </w:r>
      <w:r w:rsidR="00196BFE" w:rsidRPr="00561B13">
        <w:rPr>
          <w:rFonts w:eastAsia="Times New Roman"/>
        </w:rPr>
        <w:t xml:space="preserve"> </w:t>
      </w:r>
      <w:r w:rsidR="00B02E6F" w:rsidRPr="00561B13">
        <w:rPr>
          <w:rFonts w:eastAsia="Times New Roman"/>
        </w:rPr>
        <w:t xml:space="preserve">is </w:t>
      </w:r>
      <w:r w:rsidR="00196BFE" w:rsidRPr="00561B13">
        <w:rPr>
          <w:rFonts w:eastAsia="Times New Roman"/>
        </w:rPr>
        <w:t>help</w:t>
      </w:r>
      <w:r w:rsidR="00B02E6F" w:rsidRPr="00561B13">
        <w:rPr>
          <w:rFonts w:eastAsia="Times New Roman"/>
        </w:rPr>
        <w:t>ing</w:t>
      </w:r>
      <w:r w:rsidR="00196BFE" w:rsidRPr="00561B13">
        <w:rPr>
          <w:rFonts w:eastAsia="Times New Roman"/>
        </w:rPr>
        <w:t xml:space="preserve"> </w:t>
      </w:r>
      <w:r w:rsidR="006450D5" w:rsidRPr="00561B13">
        <w:rPr>
          <w:rFonts w:eastAsia="Times New Roman"/>
        </w:rPr>
        <w:t xml:space="preserve">the </w:t>
      </w:r>
      <w:r w:rsidR="00196BFE" w:rsidRPr="00561B13">
        <w:rPr>
          <w:rFonts w:eastAsia="Times New Roman"/>
        </w:rPr>
        <w:t xml:space="preserve">MoHMS </w:t>
      </w:r>
      <w:r w:rsidR="00B02E6F" w:rsidRPr="00561B13">
        <w:rPr>
          <w:rFonts w:eastAsia="Times New Roman"/>
        </w:rPr>
        <w:t>to reach its national</w:t>
      </w:r>
      <w:r w:rsidR="00196BFE" w:rsidRPr="00561B13">
        <w:rPr>
          <w:rFonts w:eastAsia="Times New Roman"/>
        </w:rPr>
        <w:t xml:space="preserve"> diabetes screening </w:t>
      </w:r>
      <w:r w:rsidR="00B02E6F" w:rsidRPr="00561B13">
        <w:rPr>
          <w:rFonts w:eastAsia="Times New Roman"/>
        </w:rPr>
        <w:t>target of 25 per cent. B</w:t>
      </w:r>
      <w:r w:rsidR="00196BFE" w:rsidRPr="00561B13">
        <w:rPr>
          <w:rFonts w:eastAsia="Times New Roman"/>
        </w:rPr>
        <w:t xml:space="preserve">y the end of 2015, 19 per cent of adults </w:t>
      </w:r>
      <w:r w:rsidR="00D2220E">
        <w:rPr>
          <w:rFonts w:eastAsia="Times New Roman"/>
        </w:rPr>
        <w:t xml:space="preserve">aged </w:t>
      </w:r>
      <w:r w:rsidR="00196BFE" w:rsidRPr="00561B13">
        <w:rPr>
          <w:rFonts w:eastAsia="Times New Roman"/>
        </w:rPr>
        <w:t xml:space="preserve">over 30 had been tested for diabetes and heart </w:t>
      </w:r>
      <w:r w:rsidR="000F0F63" w:rsidRPr="00561B13">
        <w:rPr>
          <w:rFonts w:eastAsia="Times New Roman"/>
        </w:rPr>
        <w:t xml:space="preserve">disease. </w:t>
      </w:r>
      <w:r w:rsidR="00BD183F">
        <w:rPr>
          <w:rFonts w:eastAsia="Times New Roman"/>
        </w:rPr>
        <w:t xml:space="preserve">The </w:t>
      </w:r>
      <w:r w:rsidR="00C75378" w:rsidRPr="00561B13">
        <w:rPr>
          <w:rFonts w:eastAsia="Times New Roman"/>
        </w:rPr>
        <w:t xml:space="preserve">FHSSP supported </w:t>
      </w:r>
      <w:r w:rsidR="00E63C76" w:rsidRPr="00561B13">
        <w:rPr>
          <w:rFonts w:eastAsia="Times New Roman"/>
        </w:rPr>
        <w:t xml:space="preserve">the </w:t>
      </w:r>
      <w:r w:rsidR="00C75378" w:rsidRPr="00561B13">
        <w:rPr>
          <w:rFonts w:eastAsia="Times New Roman"/>
        </w:rPr>
        <w:t>development of the foot</w:t>
      </w:r>
      <w:r w:rsidR="00C53275" w:rsidRPr="00561B13">
        <w:rPr>
          <w:rFonts w:eastAsia="Times New Roman"/>
        </w:rPr>
        <w:t xml:space="preserve"> </w:t>
      </w:r>
      <w:r w:rsidR="00921E6F">
        <w:rPr>
          <w:rFonts w:eastAsia="Times New Roman"/>
        </w:rPr>
        <w:t xml:space="preserve">care manual and the </w:t>
      </w:r>
      <w:r w:rsidR="00C75378" w:rsidRPr="00561B13">
        <w:rPr>
          <w:rFonts w:eastAsia="Times New Roman"/>
        </w:rPr>
        <w:t xml:space="preserve">accompanying training </w:t>
      </w:r>
      <w:r w:rsidR="00196BFE" w:rsidRPr="00561B13">
        <w:rPr>
          <w:rFonts w:eastAsia="Times New Roman"/>
        </w:rPr>
        <w:t>on diabetic foot care is having an impact in preventing amputations</w:t>
      </w:r>
      <w:r w:rsidR="00B22B76" w:rsidRPr="00561B13">
        <w:rPr>
          <w:rFonts w:eastAsia="Times New Roman"/>
        </w:rPr>
        <w:t xml:space="preserve">. </w:t>
      </w:r>
      <w:r w:rsidR="00BD183F">
        <w:rPr>
          <w:rFonts w:eastAsia="Times New Roman"/>
        </w:rPr>
        <w:t xml:space="preserve">In 2015-16 the </w:t>
      </w:r>
      <w:r w:rsidR="00921E6F">
        <w:rPr>
          <w:rFonts w:eastAsia="Times New Roman"/>
        </w:rPr>
        <w:t xml:space="preserve">FHSSP handed over </w:t>
      </w:r>
      <w:r w:rsidR="00196BFE" w:rsidRPr="00561B13">
        <w:rPr>
          <w:rFonts w:eastAsia="Times New Roman"/>
        </w:rPr>
        <w:t>responsibility to</w:t>
      </w:r>
      <w:r w:rsidR="006450D5" w:rsidRPr="00561B13">
        <w:rPr>
          <w:rFonts w:eastAsia="Times New Roman"/>
        </w:rPr>
        <w:t xml:space="preserve"> the</w:t>
      </w:r>
      <w:r w:rsidR="00196BFE" w:rsidRPr="00561B13">
        <w:rPr>
          <w:rFonts w:eastAsia="Times New Roman"/>
        </w:rPr>
        <w:t xml:space="preserve"> MoHMS </w:t>
      </w:r>
      <w:r w:rsidR="00F409F4">
        <w:rPr>
          <w:rFonts w:eastAsia="Times New Roman"/>
        </w:rPr>
        <w:t xml:space="preserve">for </w:t>
      </w:r>
      <w:r w:rsidR="00196BFE" w:rsidRPr="00561B13">
        <w:rPr>
          <w:rFonts w:eastAsia="Times New Roman"/>
        </w:rPr>
        <w:t>deliver</w:t>
      </w:r>
      <w:r w:rsidR="00F409F4">
        <w:rPr>
          <w:rFonts w:eastAsia="Times New Roman"/>
        </w:rPr>
        <w:t>ing</w:t>
      </w:r>
      <w:r w:rsidR="00196BFE" w:rsidRPr="00561B13">
        <w:rPr>
          <w:rFonts w:eastAsia="Times New Roman"/>
        </w:rPr>
        <w:t xml:space="preserve"> the HPV vaccine to prevent cervical cancer, and 95 per cent of </w:t>
      </w:r>
      <w:r w:rsidR="004068DE" w:rsidRPr="00561B13">
        <w:rPr>
          <w:rFonts w:eastAsia="Times New Roman"/>
        </w:rPr>
        <w:t>Class</w:t>
      </w:r>
      <w:r w:rsidR="00196BFE" w:rsidRPr="00561B13">
        <w:rPr>
          <w:rFonts w:eastAsia="Times New Roman"/>
        </w:rPr>
        <w:t xml:space="preserve"> 8 girls received the vaccine in 2015</w:t>
      </w:r>
      <w:r w:rsidR="000778F0" w:rsidRPr="00561B13">
        <w:rPr>
          <w:rFonts w:eastAsia="Times New Roman"/>
        </w:rPr>
        <w:t>,</w:t>
      </w:r>
      <w:r w:rsidR="00196BFE" w:rsidRPr="00561B13">
        <w:rPr>
          <w:rFonts w:eastAsia="Times New Roman"/>
        </w:rPr>
        <w:t xml:space="preserve"> up from 87 per cent in 2013</w:t>
      </w:r>
      <w:r w:rsidR="00B22B76" w:rsidRPr="00561B13">
        <w:rPr>
          <w:rFonts w:eastAsia="Times New Roman"/>
        </w:rPr>
        <w:t xml:space="preserve">. </w:t>
      </w:r>
      <w:r w:rsidR="00196BFE" w:rsidRPr="00561B13">
        <w:rPr>
          <w:rFonts w:eastAsia="Times New Roman"/>
        </w:rPr>
        <w:t xml:space="preserve">    </w:t>
      </w:r>
    </w:p>
    <w:p w14:paraId="31FEAA1D" w14:textId="77777777" w:rsidR="00196BFE" w:rsidRPr="00561B13" w:rsidRDefault="00BD183F" w:rsidP="00561B13">
      <w:pPr>
        <w:spacing w:after="120" w:line="280" w:lineRule="exact"/>
        <w:rPr>
          <w:rFonts w:eastAsia="Times New Roman"/>
        </w:rPr>
      </w:pPr>
      <w:r>
        <w:rPr>
          <w:rFonts w:eastAsia="Times New Roman"/>
        </w:rPr>
        <w:t>In 2015-16</w:t>
      </w:r>
      <w:r w:rsidR="00F27056">
        <w:rPr>
          <w:rFonts w:eastAsia="Times New Roman"/>
        </w:rPr>
        <w:t>,</w:t>
      </w:r>
      <w:r>
        <w:rPr>
          <w:rFonts w:eastAsia="Times New Roman"/>
        </w:rPr>
        <w:t xml:space="preserve"> the FHSSP </w:t>
      </w:r>
      <w:r w:rsidR="00561B13" w:rsidRPr="00561B13">
        <w:rPr>
          <w:rFonts w:eastAsia="Times New Roman"/>
        </w:rPr>
        <w:t xml:space="preserve">made good progress </w:t>
      </w:r>
      <w:r>
        <w:rPr>
          <w:rFonts w:eastAsia="Times New Roman"/>
        </w:rPr>
        <w:t>in</w:t>
      </w:r>
      <w:r>
        <w:rPr>
          <w:rFonts w:eastAsia="Times New Roman"/>
          <w:b/>
        </w:rPr>
        <w:t xml:space="preserve"> </w:t>
      </w:r>
      <w:r w:rsidR="00561B13" w:rsidRPr="00160D8C">
        <w:rPr>
          <w:rFonts w:eastAsia="Times New Roman"/>
        </w:rPr>
        <w:t>r</w:t>
      </w:r>
      <w:r w:rsidR="00196BFE" w:rsidRPr="00160D8C">
        <w:rPr>
          <w:rFonts w:eastAsia="Times New Roman"/>
        </w:rPr>
        <w:t>evitalis</w:t>
      </w:r>
      <w:r w:rsidRPr="00160D8C">
        <w:rPr>
          <w:rFonts w:eastAsia="Times New Roman"/>
        </w:rPr>
        <w:t>ing</w:t>
      </w:r>
      <w:r w:rsidR="00196BFE" w:rsidRPr="00160D8C">
        <w:rPr>
          <w:rFonts w:eastAsia="Times New Roman"/>
        </w:rPr>
        <w:t xml:space="preserve"> </w:t>
      </w:r>
      <w:r w:rsidR="00F27056">
        <w:rPr>
          <w:rFonts w:eastAsia="Times New Roman"/>
        </w:rPr>
        <w:t>Fiji’s</w:t>
      </w:r>
      <w:r w:rsidR="00F27056" w:rsidRPr="00160D8C">
        <w:rPr>
          <w:rFonts w:eastAsia="Times New Roman"/>
        </w:rPr>
        <w:t xml:space="preserve"> </w:t>
      </w:r>
      <w:r w:rsidR="00196BFE" w:rsidRPr="00160D8C">
        <w:rPr>
          <w:rFonts w:eastAsia="Times New Roman"/>
        </w:rPr>
        <w:t>Community Health Workers (CHW) network</w:t>
      </w:r>
      <w:r w:rsidR="00561B13" w:rsidRPr="00561B13">
        <w:rPr>
          <w:rFonts w:eastAsia="Times New Roman"/>
        </w:rPr>
        <w:t>.</w:t>
      </w:r>
      <w:r w:rsidR="00196BFE" w:rsidRPr="00561B13">
        <w:rPr>
          <w:rFonts w:eastAsia="Times New Roman"/>
        </w:rPr>
        <w:t xml:space="preserve"> </w:t>
      </w:r>
      <w:r w:rsidR="00C0611C" w:rsidRPr="00561B13">
        <w:rPr>
          <w:rFonts w:eastAsia="Times New Roman"/>
        </w:rPr>
        <w:t xml:space="preserve">Volunteer </w:t>
      </w:r>
      <w:r w:rsidR="00196BFE" w:rsidRPr="00561B13">
        <w:rPr>
          <w:rFonts w:eastAsia="Times New Roman"/>
        </w:rPr>
        <w:t xml:space="preserve">CHWs have </w:t>
      </w:r>
      <w:r w:rsidR="004068DE" w:rsidRPr="00561B13">
        <w:rPr>
          <w:rFonts w:eastAsia="Times New Roman"/>
        </w:rPr>
        <w:t xml:space="preserve">long </w:t>
      </w:r>
      <w:r w:rsidR="00196BFE" w:rsidRPr="00561B13">
        <w:rPr>
          <w:rFonts w:eastAsia="Times New Roman"/>
        </w:rPr>
        <w:t>been a valuable part of villages</w:t>
      </w:r>
      <w:r w:rsidR="00866069" w:rsidRPr="00561B13">
        <w:rPr>
          <w:rFonts w:eastAsia="Times New Roman"/>
        </w:rPr>
        <w:t xml:space="preserve"> in Fiji</w:t>
      </w:r>
      <w:r w:rsidR="00B22B76" w:rsidRPr="00561B13">
        <w:rPr>
          <w:rFonts w:eastAsia="Times New Roman"/>
        </w:rPr>
        <w:t xml:space="preserve">. </w:t>
      </w:r>
      <w:r w:rsidR="00196BFE" w:rsidRPr="00561B13">
        <w:rPr>
          <w:rFonts w:eastAsia="Times New Roman"/>
        </w:rPr>
        <w:t xml:space="preserve">In recognition of their important role in providing basic health advice and care, </w:t>
      </w:r>
      <w:r w:rsidR="006450D5" w:rsidRPr="00561B13">
        <w:rPr>
          <w:rFonts w:eastAsia="Times New Roman"/>
        </w:rPr>
        <w:t xml:space="preserve">the </w:t>
      </w:r>
      <w:r w:rsidR="00196BFE" w:rsidRPr="00561B13">
        <w:rPr>
          <w:rFonts w:eastAsia="Times New Roman"/>
        </w:rPr>
        <w:t>MoHMS</w:t>
      </w:r>
      <w:r w:rsidR="00866069" w:rsidRPr="00561B13">
        <w:rPr>
          <w:rFonts w:eastAsia="Times New Roman"/>
        </w:rPr>
        <w:t>,</w:t>
      </w:r>
      <w:r w:rsidR="00196BFE" w:rsidRPr="00561B13">
        <w:rPr>
          <w:rFonts w:eastAsia="Times New Roman"/>
        </w:rPr>
        <w:t xml:space="preserve"> with support from FHSSP, made progress in 201</w:t>
      </w:r>
      <w:r w:rsidR="00ED51D5">
        <w:rPr>
          <w:rFonts w:eastAsia="Times New Roman"/>
        </w:rPr>
        <w:t>5</w:t>
      </w:r>
      <w:r w:rsidR="00196BFE" w:rsidRPr="00561B13">
        <w:rPr>
          <w:rFonts w:eastAsia="Times New Roman"/>
        </w:rPr>
        <w:t>-1</w:t>
      </w:r>
      <w:r w:rsidR="00ED51D5">
        <w:rPr>
          <w:rFonts w:eastAsia="Times New Roman"/>
        </w:rPr>
        <w:t>6</w:t>
      </w:r>
      <w:r w:rsidR="00196BFE" w:rsidRPr="00561B13">
        <w:rPr>
          <w:rFonts w:eastAsia="Times New Roman"/>
        </w:rPr>
        <w:t xml:space="preserve"> in establishing a </w:t>
      </w:r>
      <w:r w:rsidR="004068DE" w:rsidRPr="00561B13">
        <w:rPr>
          <w:rFonts w:eastAsia="Times New Roman"/>
        </w:rPr>
        <w:t xml:space="preserve">formal </w:t>
      </w:r>
      <w:r w:rsidR="00196BFE" w:rsidRPr="00561B13">
        <w:rPr>
          <w:rFonts w:eastAsia="Times New Roman"/>
        </w:rPr>
        <w:t xml:space="preserve">CHW network which enables </w:t>
      </w:r>
      <w:r>
        <w:rPr>
          <w:rFonts w:eastAsia="Times New Roman"/>
        </w:rPr>
        <w:t xml:space="preserve">better </w:t>
      </w:r>
      <w:r w:rsidR="00196BFE" w:rsidRPr="00561B13">
        <w:rPr>
          <w:rFonts w:eastAsia="Times New Roman"/>
        </w:rPr>
        <w:t xml:space="preserve">training, equipment and supplies to </w:t>
      </w:r>
      <w:r>
        <w:rPr>
          <w:rFonts w:eastAsia="Times New Roman"/>
        </w:rPr>
        <w:t xml:space="preserve">be provided to </w:t>
      </w:r>
      <w:r w:rsidR="00196BFE" w:rsidRPr="00561B13">
        <w:rPr>
          <w:rFonts w:eastAsia="Times New Roman"/>
        </w:rPr>
        <w:t>the 1,800 registered workers</w:t>
      </w:r>
      <w:r w:rsidR="00B22B76" w:rsidRPr="00561B13">
        <w:rPr>
          <w:rFonts w:eastAsia="Times New Roman"/>
        </w:rPr>
        <w:t xml:space="preserve">. </w:t>
      </w:r>
      <w:r w:rsidR="00F27056">
        <w:rPr>
          <w:rFonts w:eastAsia="Times New Roman"/>
        </w:rPr>
        <w:t>T</w:t>
      </w:r>
      <w:r w:rsidR="00196BFE" w:rsidRPr="00561B13">
        <w:rPr>
          <w:rFonts w:eastAsia="Times New Roman"/>
        </w:rPr>
        <w:t xml:space="preserve">he CHW Policy was released </w:t>
      </w:r>
      <w:r w:rsidR="00E63C76" w:rsidRPr="00561B13">
        <w:rPr>
          <w:rFonts w:eastAsia="Times New Roman"/>
        </w:rPr>
        <w:t xml:space="preserve">in November 2015 </w:t>
      </w:r>
      <w:r w:rsidR="00196BFE" w:rsidRPr="00561B13">
        <w:rPr>
          <w:rFonts w:eastAsia="Times New Roman"/>
        </w:rPr>
        <w:t xml:space="preserve">and throughout </w:t>
      </w:r>
      <w:r w:rsidR="00F27056">
        <w:rPr>
          <w:rFonts w:eastAsia="Times New Roman"/>
        </w:rPr>
        <w:t>2015-16</w:t>
      </w:r>
      <w:r w:rsidR="009D4D69" w:rsidRPr="00561B13">
        <w:rPr>
          <w:rFonts w:eastAsia="Times New Roman"/>
        </w:rPr>
        <w:t>,</w:t>
      </w:r>
      <w:r w:rsidR="00196BFE" w:rsidRPr="00561B13">
        <w:rPr>
          <w:rFonts w:eastAsia="Times New Roman"/>
        </w:rPr>
        <w:t xml:space="preserve"> training was provided to registered workers</w:t>
      </w:r>
      <w:r w:rsidR="00B22B76" w:rsidRPr="00561B13">
        <w:rPr>
          <w:rFonts w:eastAsia="Times New Roman"/>
        </w:rPr>
        <w:t xml:space="preserve">. </w:t>
      </w:r>
      <w:r w:rsidR="00196BFE" w:rsidRPr="00561B13">
        <w:rPr>
          <w:rFonts w:eastAsia="Times New Roman"/>
        </w:rPr>
        <w:t>There are four training modules: Core Competencies; Safe Motherhood; Child Health and Wellness</w:t>
      </w:r>
      <w:r w:rsidR="00B22B76" w:rsidRPr="00561B13">
        <w:rPr>
          <w:rFonts w:eastAsia="Times New Roman"/>
        </w:rPr>
        <w:t xml:space="preserve">. </w:t>
      </w:r>
      <w:r w:rsidR="00196BFE" w:rsidRPr="00561B13">
        <w:rPr>
          <w:rFonts w:eastAsia="Times New Roman"/>
        </w:rPr>
        <w:t>Most workers (92 per cent) have completed the Core Competencies training and 50 per cent have undertaken the other three modules</w:t>
      </w:r>
      <w:r w:rsidR="00B22B76" w:rsidRPr="00561B13">
        <w:rPr>
          <w:rFonts w:eastAsia="Times New Roman"/>
        </w:rPr>
        <w:t xml:space="preserve">. </w:t>
      </w:r>
      <w:r w:rsidR="00196BFE" w:rsidRPr="00561B13">
        <w:rPr>
          <w:rFonts w:eastAsia="Times New Roman"/>
        </w:rPr>
        <w:t xml:space="preserve">CHWs are particularly effective in the rural and peri-urban areas and were relied on to assist in mobilising communities before and after TC Winston. </w:t>
      </w:r>
    </w:p>
    <w:p w14:paraId="11D0F1D4" w14:textId="77777777" w:rsidR="00196BFE" w:rsidRPr="00B86F2D" w:rsidRDefault="00B86F2D" w:rsidP="00B86F2D">
      <w:pPr>
        <w:spacing w:after="120" w:line="280" w:lineRule="exact"/>
        <w:rPr>
          <w:rFonts w:eastAsia="Times New Roman"/>
        </w:rPr>
      </w:pPr>
      <w:r>
        <w:rPr>
          <w:rFonts w:eastAsia="Times New Roman"/>
        </w:rPr>
        <w:t xml:space="preserve">The </w:t>
      </w:r>
      <w:r w:rsidR="00F27056">
        <w:rPr>
          <w:rFonts w:eastAsia="Times New Roman"/>
        </w:rPr>
        <w:t>FHSSP’s</w:t>
      </w:r>
      <w:r w:rsidR="00F27056" w:rsidRPr="00F27056">
        <w:rPr>
          <w:rFonts w:eastAsia="Times New Roman"/>
        </w:rPr>
        <w:t xml:space="preserve"> </w:t>
      </w:r>
      <w:r w:rsidRPr="00160D8C">
        <w:rPr>
          <w:rFonts w:eastAsia="Times New Roman"/>
        </w:rPr>
        <w:t xml:space="preserve">health system strengthening </w:t>
      </w:r>
      <w:r w:rsidRPr="00F93759">
        <w:rPr>
          <w:rFonts w:eastAsia="Times New Roman"/>
        </w:rPr>
        <w:t xml:space="preserve">component </w:t>
      </w:r>
      <w:r w:rsidRPr="00B86F2D">
        <w:rPr>
          <w:rFonts w:eastAsia="Times New Roman"/>
        </w:rPr>
        <w:t xml:space="preserve">has </w:t>
      </w:r>
      <w:r>
        <w:rPr>
          <w:rFonts w:eastAsia="Times New Roman"/>
        </w:rPr>
        <w:t>improved the</w:t>
      </w:r>
      <w:r w:rsidR="00196BFE" w:rsidRPr="00B86F2D">
        <w:rPr>
          <w:rFonts w:eastAsia="Times New Roman"/>
        </w:rPr>
        <w:t xml:space="preserve"> </w:t>
      </w:r>
      <w:r>
        <w:rPr>
          <w:rFonts w:eastAsia="Times New Roman"/>
        </w:rPr>
        <w:t xml:space="preserve">capability of </w:t>
      </w:r>
      <w:r w:rsidR="00196BFE" w:rsidRPr="00B86F2D">
        <w:rPr>
          <w:rFonts w:eastAsia="Times New Roman"/>
        </w:rPr>
        <w:t>Fiji’s Health Information Unit</w:t>
      </w:r>
      <w:r>
        <w:rPr>
          <w:rFonts w:eastAsia="Times New Roman"/>
        </w:rPr>
        <w:t xml:space="preserve"> and increased the</w:t>
      </w:r>
      <w:r w:rsidR="00196BFE" w:rsidRPr="00B86F2D">
        <w:rPr>
          <w:rFonts w:eastAsia="Times New Roman"/>
        </w:rPr>
        <w:t xml:space="preserve"> availability of quality health information</w:t>
      </w:r>
      <w:r w:rsidR="00B22B76" w:rsidRPr="00B86F2D">
        <w:rPr>
          <w:rFonts w:eastAsia="Times New Roman"/>
        </w:rPr>
        <w:t xml:space="preserve">. </w:t>
      </w:r>
      <w:r w:rsidR="00196BFE" w:rsidRPr="00B86F2D">
        <w:rPr>
          <w:rFonts w:eastAsia="Times New Roman"/>
        </w:rPr>
        <w:t>Support to monitoring and evaluation has helped to improve the coherence and quality of indicators used in the corporate planning process</w:t>
      </w:r>
      <w:r w:rsidR="00B22B76" w:rsidRPr="00B86F2D">
        <w:rPr>
          <w:rFonts w:eastAsia="Times New Roman"/>
        </w:rPr>
        <w:t xml:space="preserve">. </w:t>
      </w:r>
      <w:r w:rsidR="00196BFE" w:rsidRPr="00B86F2D">
        <w:rPr>
          <w:rFonts w:eastAsia="Times New Roman"/>
        </w:rPr>
        <w:t>Support to workforce planning and development has also been effective</w:t>
      </w:r>
      <w:r w:rsidR="00E63C76" w:rsidRPr="00B86F2D">
        <w:rPr>
          <w:rFonts w:eastAsia="Times New Roman"/>
        </w:rPr>
        <w:t>,</w:t>
      </w:r>
      <w:r w:rsidR="00196BFE" w:rsidRPr="00B86F2D">
        <w:rPr>
          <w:rFonts w:eastAsia="Times New Roman"/>
        </w:rPr>
        <w:t xml:space="preserve"> resulting in the development of a workforce audit, a workforce plan and a 10-year health workforce projection</w:t>
      </w:r>
      <w:r w:rsidR="00B22B76" w:rsidRPr="00B86F2D">
        <w:rPr>
          <w:rFonts w:eastAsia="Times New Roman"/>
        </w:rPr>
        <w:t xml:space="preserve">. </w:t>
      </w:r>
      <w:r w:rsidR="00196BFE" w:rsidRPr="00B86F2D">
        <w:rPr>
          <w:rFonts w:eastAsia="Times New Roman"/>
        </w:rPr>
        <w:t xml:space="preserve">The 10-year workforce projection received Cabinet </w:t>
      </w:r>
      <w:r w:rsidR="00C52397" w:rsidRPr="00B86F2D">
        <w:rPr>
          <w:rFonts w:eastAsia="Times New Roman"/>
        </w:rPr>
        <w:t xml:space="preserve">endorsement </w:t>
      </w:r>
      <w:r w:rsidR="00ED51D5">
        <w:rPr>
          <w:rFonts w:eastAsia="Times New Roman"/>
        </w:rPr>
        <w:t xml:space="preserve">in </w:t>
      </w:r>
      <w:r w:rsidR="000F0F63">
        <w:rPr>
          <w:rFonts w:eastAsia="Times New Roman"/>
        </w:rPr>
        <w:t>2014</w:t>
      </w:r>
      <w:r w:rsidR="00ED51D5">
        <w:rPr>
          <w:rFonts w:eastAsia="Times New Roman"/>
        </w:rPr>
        <w:t xml:space="preserve"> </w:t>
      </w:r>
      <w:r w:rsidR="00C52397" w:rsidRPr="00B86F2D">
        <w:rPr>
          <w:rFonts w:eastAsia="Times New Roman"/>
        </w:rPr>
        <w:t xml:space="preserve">and contributed to </w:t>
      </w:r>
      <w:r w:rsidR="00196BFE" w:rsidRPr="00B86F2D">
        <w:rPr>
          <w:rFonts w:eastAsia="Times New Roman"/>
        </w:rPr>
        <w:t xml:space="preserve">the Government of Fiji’s commitment to increase the intake of nurses and doctors </w:t>
      </w:r>
      <w:r w:rsidR="00E63C76" w:rsidRPr="00B86F2D">
        <w:rPr>
          <w:rFonts w:eastAsia="Times New Roman"/>
        </w:rPr>
        <w:t xml:space="preserve">in 2016 </w:t>
      </w:r>
      <w:r w:rsidR="00196BFE" w:rsidRPr="00B86F2D">
        <w:rPr>
          <w:rFonts w:eastAsia="Times New Roman"/>
        </w:rPr>
        <w:t>to 200 and 150</w:t>
      </w:r>
      <w:r w:rsidR="00412559" w:rsidRPr="00B86F2D">
        <w:rPr>
          <w:rFonts w:eastAsia="Times New Roman"/>
        </w:rPr>
        <w:t>,</w:t>
      </w:r>
      <w:r w:rsidR="00196BFE" w:rsidRPr="00B86F2D">
        <w:rPr>
          <w:rFonts w:eastAsia="Times New Roman"/>
        </w:rPr>
        <w:t xml:space="preserve"> respectively. </w:t>
      </w:r>
    </w:p>
    <w:p w14:paraId="17DA1CF2" w14:textId="77777777" w:rsidR="00196BFE" w:rsidRPr="00281141" w:rsidRDefault="00F27056" w:rsidP="00196BFE">
      <w:pPr>
        <w:spacing w:after="120" w:line="280" w:lineRule="exact"/>
        <w:rPr>
          <w:rFonts w:eastAsia="Times New Roman"/>
        </w:rPr>
      </w:pPr>
      <w:r>
        <w:rPr>
          <w:rFonts w:eastAsia="Times New Roman"/>
        </w:rPr>
        <w:t>We will start a</w:t>
      </w:r>
      <w:r w:rsidR="004068DE" w:rsidRPr="00281141">
        <w:rPr>
          <w:rFonts w:eastAsia="Times New Roman"/>
        </w:rPr>
        <w:t xml:space="preserve"> new</w:t>
      </w:r>
      <w:r w:rsidR="002E5B40">
        <w:rPr>
          <w:rFonts w:eastAsia="Times New Roman"/>
        </w:rPr>
        <w:t xml:space="preserve"> five-year</w:t>
      </w:r>
      <w:r w:rsidR="004068DE" w:rsidRPr="00281141">
        <w:rPr>
          <w:rFonts w:eastAsia="Times New Roman"/>
        </w:rPr>
        <w:t xml:space="preserve"> health</w:t>
      </w:r>
      <w:r w:rsidR="007D5867">
        <w:rPr>
          <w:rFonts w:eastAsia="Times New Roman"/>
        </w:rPr>
        <w:t xml:space="preserve"> sector support</w:t>
      </w:r>
      <w:r w:rsidR="004068DE" w:rsidRPr="00281141">
        <w:rPr>
          <w:rFonts w:eastAsia="Times New Roman"/>
        </w:rPr>
        <w:t xml:space="preserve"> program </w:t>
      </w:r>
      <w:r w:rsidR="002E5B40">
        <w:rPr>
          <w:rFonts w:eastAsia="Times New Roman"/>
        </w:rPr>
        <w:t>in 20</w:t>
      </w:r>
      <w:r w:rsidR="004068DE" w:rsidRPr="00281141">
        <w:rPr>
          <w:rFonts w:eastAsia="Times New Roman"/>
        </w:rPr>
        <w:t>17</w:t>
      </w:r>
      <w:r w:rsidR="007D5867">
        <w:rPr>
          <w:rFonts w:eastAsia="Times New Roman"/>
        </w:rPr>
        <w:t xml:space="preserve">, which will be </w:t>
      </w:r>
      <w:r w:rsidR="004068DE" w:rsidRPr="00281141">
        <w:rPr>
          <w:rFonts w:eastAsia="Times New Roman"/>
        </w:rPr>
        <w:t>aligned to Fiji’s National Health Strategic Plan</w:t>
      </w:r>
      <w:r w:rsidR="00B22B76">
        <w:rPr>
          <w:rFonts w:eastAsia="Times New Roman"/>
        </w:rPr>
        <w:t xml:space="preserve">. </w:t>
      </w:r>
    </w:p>
    <w:p w14:paraId="25953BF8" w14:textId="77777777" w:rsidR="00396E33" w:rsidRDefault="00DA4757" w:rsidP="00396E33">
      <w:pPr>
        <w:rPr>
          <w:rFonts w:ascii="Franklin Gothic Book" w:eastAsia="Times New Roman" w:hAnsi="Franklin Gothic Book"/>
          <w:sz w:val="21"/>
        </w:rPr>
      </w:pPr>
      <w:r>
        <w:rPr>
          <w:rFonts w:ascii="Helvetica" w:hAnsi="Helvetica" w:cs="Arial"/>
          <w:color w:val="0C7DAF"/>
          <w:kern w:val="28"/>
          <w:szCs w:val="28"/>
        </w:rPr>
        <w:t>Building resilience and economic opportunities in disadvantaged communities</w:t>
      </w:r>
    </w:p>
    <w:p w14:paraId="692A5A94" w14:textId="77777777" w:rsidR="0055340A" w:rsidRDefault="00DA4757" w:rsidP="008054F2">
      <w:pPr>
        <w:spacing w:after="120" w:line="280" w:lineRule="exact"/>
        <w:rPr>
          <w:rFonts w:eastAsia="Times New Roman"/>
        </w:rPr>
      </w:pPr>
      <w:r w:rsidRPr="008054F2">
        <w:rPr>
          <w:rFonts w:eastAsia="Times New Roman"/>
        </w:rPr>
        <w:t xml:space="preserve">The </w:t>
      </w:r>
      <w:r w:rsidRPr="00646C54">
        <w:rPr>
          <w:rFonts w:eastAsia="Times New Roman"/>
        </w:rPr>
        <w:t>Fiji Community Development Program</w:t>
      </w:r>
      <w:r w:rsidRPr="008054F2">
        <w:rPr>
          <w:rFonts w:eastAsia="Times New Roman"/>
        </w:rPr>
        <w:t xml:space="preserve"> </w:t>
      </w:r>
      <w:r w:rsidR="00C1527E">
        <w:rPr>
          <w:rFonts w:eastAsia="Times New Roman"/>
        </w:rPr>
        <w:t xml:space="preserve">(FCDP) </w:t>
      </w:r>
      <w:r w:rsidR="0072776D" w:rsidRPr="008054F2">
        <w:rPr>
          <w:rFonts w:eastAsia="Times New Roman"/>
        </w:rPr>
        <w:t>delivers social and economic benefits to the poor, vulnerable and excluded communities in Fiji</w:t>
      </w:r>
      <w:r w:rsidR="00BD183F">
        <w:rPr>
          <w:rFonts w:eastAsia="Times New Roman"/>
        </w:rPr>
        <w:t xml:space="preserve"> through providing grants and advisory services to civil society organisations (CSOs)</w:t>
      </w:r>
      <w:r w:rsidR="00B22B76">
        <w:rPr>
          <w:rFonts w:eastAsia="Times New Roman"/>
        </w:rPr>
        <w:t>.</w:t>
      </w:r>
      <w:r w:rsidR="0055340A">
        <w:rPr>
          <w:rFonts w:eastAsia="Times New Roman"/>
        </w:rPr>
        <w:t xml:space="preserve"> </w:t>
      </w:r>
      <w:r w:rsidR="00BD183F">
        <w:rPr>
          <w:rFonts w:eastAsia="Times New Roman"/>
        </w:rPr>
        <w:t xml:space="preserve">The </w:t>
      </w:r>
      <w:r w:rsidR="0055340A">
        <w:rPr>
          <w:rFonts w:eastAsia="Times New Roman"/>
        </w:rPr>
        <w:t>FCDP delivered on its planned objectives for 2015-</w:t>
      </w:r>
      <w:r w:rsidR="00715CC0">
        <w:rPr>
          <w:rFonts w:eastAsia="Times New Roman"/>
        </w:rPr>
        <w:t>16 and</w:t>
      </w:r>
      <w:r w:rsidR="0055340A">
        <w:rPr>
          <w:rFonts w:eastAsia="Times New Roman"/>
        </w:rPr>
        <w:t xml:space="preserve"> was also significantly engaged in Australia’s response to TC Winston. </w:t>
      </w:r>
    </w:p>
    <w:p w14:paraId="18E1D688" w14:textId="77777777" w:rsidR="00DA4757" w:rsidRPr="008054F2" w:rsidRDefault="0072776D" w:rsidP="008054F2">
      <w:pPr>
        <w:spacing w:after="120" w:line="280" w:lineRule="exact"/>
        <w:rPr>
          <w:rFonts w:eastAsia="Times New Roman"/>
        </w:rPr>
      </w:pPr>
      <w:r w:rsidRPr="008054F2">
        <w:rPr>
          <w:rFonts w:eastAsia="Times New Roman"/>
        </w:rPr>
        <w:t xml:space="preserve">In </w:t>
      </w:r>
      <w:r w:rsidR="001D73D3">
        <w:rPr>
          <w:rFonts w:eastAsia="Times New Roman"/>
        </w:rPr>
        <w:t>2015-16</w:t>
      </w:r>
      <w:r w:rsidR="00F27056">
        <w:rPr>
          <w:rFonts w:eastAsia="Times New Roman"/>
        </w:rPr>
        <w:t>,</w:t>
      </w:r>
      <w:r w:rsidR="001D73D3">
        <w:rPr>
          <w:rFonts w:eastAsia="Times New Roman"/>
        </w:rPr>
        <w:t xml:space="preserve"> </w:t>
      </w:r>
      <w:r w:rsidRPr="008054F2">
        <w:rPr>
          <w:rFonts w:eastAsia="Times New Roman"/>
        </w:rPr>
        <w:t xml:space="preserve">FCDP managed </w:t>
      </w:r>
      <w:r w:rsidR="007D16F2" w:rsidRPr="008054F2">
        <w:rPr>
          <w:rFonts w:eastAsia="Times New Roman"/>
        </w:rPr>
        <w:t>59</w:t>
      </w:r>
      <w:r w:rsidRPr="008054F2">
        <w:rPr>
          <w:rFonts w:eastAsia="Times New Roman"/>
        </w:rPr>
        <w:t xml:space="preserve"> grants covering community development planning, health, food security, livelihoods and environment, climate change and disaster response</w:t>
      </w:r>
      <w:r w:rsidR="00B22B76">
        <w:rPr>
          <w:rFonts w:eastAsia="Times New Roman"/>
        </w:rPr>
        <w:t xml:space="preserve">. </w:t>
      </w:r>
      <w:r w:rsidR="00C1527E">
        <w:rPr>
          <w:rFonts w:eastAsia="Times New Roman"/>
        </w:rPr>
        <w:t xml:space="preserve">Nine communities and </w:t>
      </w:r>
      <w:r w:rsidRPr="008054F2">
        <w:rPr>
          <w:rFonts w:eastAsia="Times New Roman"/>
        </w:rPr>
        <w:t xml:space="preserve">1,637 people benefitted from 15 new livelihoods activities, such as </w:t>
      </w:r>
      <w:r w:rsidR="00154F12" w:rsidRPr="008054F2">
        <w:rPr>
          <w:rFonts w:eastAsia="Times New Roman"/>
        </w:rPr>
        <w:t xml:space="preserve">a women’s poultry </w:t>
      </w:r>
      <w:r w:rsidRPr="008054F2">
        <w:rPr>
          <w:rFonts w:eastAsia="Times New Roman"/>
        </w:rPr>
        <w:t>farm</w:t>
      </w:r>
      <w:r w:rsidR="00154F12" w:rsidRPr="008054F2">
        <w:rPr>
          <w:rFonts w:eastAsia="Times New Roman"/>
        </w:rPr>
        <w:t xml:space="preserve"> </w:t>
      </w:r>
      <w:r w:rsidRPr="008054F2">
        <w:rPr>
          <w:rFonts w:eastAsia="Times New Roman"/>
        </w:rPr>
        <w:t xml:space="preserve">and </w:t>
      </w:r>
      <w:r w:rsidR="00154F12" w:rsidRPr="008054F2">
        <w:rPr>
          <w:rFonts w:eastAsia="Times New Roman"/>
        </w:rPr>
        <w:t>a</w:t>
      </w:r>
      <w:r w:rsidRPr="008054F2">
        <w:rPr>
          <w:rFonts w:eastAsia="Times New Roman"/>
        </w:rPr>
        <w:t xml:space="preserve"> copra drying initiative which is now an alternative livelihood source for </w:t>
      </w:r>
      <w:r w:rsidR="00154F12" w:rsidRPr="008054F2">
        <w:rPr>
          <w:rFonts w:eastAsia="Times New Roman"/>
        </w:rPr>
        <w:t xml:space="preserve">two </w:t>
      </w:r>
      <w:r w:rsidRPr="008054F2">
        <w:rPr>
          <w:rFonts w:eastAsia="Times New Roman"/>
        </w:rPr>
        <w:t>village</w:t>
      </w:r>
      <w:r w:rsidR="00154F12" w:rsidRPr="008054F2">
        <w:rPr>
          <w:rFonts w:eastAsia="Times New Roman"/>
        </w:rPr>
        <w:t>s</w:t>
      </w:r>
      <w:r w:rsidRPr="008054F2">
        <w:rPr>
          <w:rFonts w:eastAsia="Times New Roman"/>
        </w:rPr>
        <w:t xml:space="preserve"> in</w:t>
      </w:r>
      <w:r w:rsidR="00154F12" w:rsidRPr="008054F2">
        <w:rPr>
          <w:rFonts w:eastAsia="Times New Roman"/>
        </w:rPr>
        <w:t xml:space="preserve"> </w:t>
      </w:r>
      <w:r w:rsidRPr="008054F2">
        <w:rPr>
          <w:rFonts w:eastAsia="Times New Roman"/>
        </w:rPr>
        <w:t>Cakaudrove.</w:t>
      </w:r>
      <w:r w:rsidR="00BE0316" w:rsidRPr="008054F2">
        <w:rPr>
          <w:rFonts w:eastAsia="Times New Roman"/>
        </w:rPr>
        <w:t xml:space="preserve"> </w:t>
      </w:r>
    </w:p>
    <w:p w14:paraId="2AEFCF10" w14:textId="77777777" w:rsidR="00145198" w:rsidRPr="008054F2" w:rsidRDefault="001D73D3" w:rsidP="008054F2">
      <w:pPr>
        <w:spacing w:after="120" w:line="280" w:lineRule="exact"/>
        <w:rPr>
          <w:rFonts w:eastAsia="Times New Roman"/>
        </w:rPr>
      </w:pPr>
      <w:r>
        <w:rPr>
          <w:rFonts w:eastAsia="Times New Roman"/>
        </w:rPr>
        <w:t>T</w:t>
      </w:r>
      <w:r w:rsidR="00694B15">
        <w:rPr>
          <w:rFonts w:eastAsia="Times New Roman"/>
        </w:rPr>
        <w:t xml:space="preserve">he FCDP also provided training and mentoring support to </w:t>
      </w:r>
      <w:r w:rsidR="004217A8" w:rsidRPr="008054F2">
        <w:rPr>
          <w:rFonts w:eastAsia="Times New Roman"/>
        </w:rPr>
        <w:t>70</w:t>
      </w:r>
      <w:r w:rsidR="00175BDF" w:rsidRPr="008054F2">
        <w:rPr>
          <w:rFonts w:eastAsia="Times New Roman"/>
        </w:rPr>
        <w:t xml:space="preserve"> CSOs </w:t>
      </w:r>
      <w:r w:rsidR="00694B15">
        <w:rPr>
          <w:rFonts w:eastAsia="Times New Roman"/>
        </w:rPr>
        <w:t xml:space="preserve">in the areas of </w:t>
      </w:r>
      <w:r w:rsidR="00175BDF" w:rsidRPr="008054F2">
        <w:rPr>
          <w:rFonts w:eastAsia="Times New Roman"/>
        </w:rPr>
        <w:t xml:space="preserve">inclusive community planning and development, gender equity and social inclusion, communications, monitoring and </w:t>
      </w:r>
      <w:r w:rsidR="00145198" w:rsidRPr="008054F2">
        <w:rPr>
          <w:rFonts w:eastAsia="Times New Roman"/>
        </w:rPr>
        <w:t>evaluation</w:t>
      </w:r>
      <w:r w:rsidR="00175BDF" w:rsidRPr="008054F2">
        <w:rPr>
          <w:rFonts w:eastAsia="Times New Roman"/>
        </w:rPr>
        <w:t xml:space="preserve">, </w:t>
      </w:r>
      <w:r w:rsidR="00145198" w:rsidRPr="008054F2">
        <w:rPr>
          <w:rFonts w:eastAsia="Times New Roman"/>
        </w:rPr>
        <w:t xml:space="preserve">financial management </w:t>
      </w:r>
      <w:r w:rsidR="00175BDF" w:rsidRPr="008054F2">
        <w:rPr>
          <w:rFonts w:eastAsia="Times New Roman"/>
        </w:rPr>
        <w:t>and disaster risk management</w:t>
      </w:r>
      <w:r w:rsidR="00B22B76">
        <w:rPr>
          <w:rFonts w:eastAsia="Times New Roman"/>
        </w:rPr>
        <w:t xml:space="preserve">. </w:t>
      </w:r>
      <w:r w:rsidR="008B71A1">
        <w:rPr>
          <w:rFonts w:eastAsia="Times New Roman"/>
        </w:rPr>
        <w:t>Ra Naari Parishad</w:t>
      </w:r>
      <w:r w:rsidR="00145198" w:rsidRPr="008054F2">
        <w:rPr>
          <w:rFonts w:eastAsia="Times New Roman"/>
        </w:rPr>
        <w:t xml:space="preserve">, </w:t>
      </w:r>
      <w:r w:rsidR="00C0611C">
        <w:rPr>
          <w:rFonts w:eastAsia="Times New Roman"/>
        </w:rPr>
        <w:t xml:space="preserve">a </w:t>
      </w:r>
      <w:r w:rsidR="00145198" w:rsidRPr="008054F2">
        <w:rPr>
          <w:rFonts w:eastAsia="Times New Roman"/>
        </w:rPr>
        <w:t>rural women’s organisation</w:t>
      </w:r>
      <w:r w:rsidR="00694B15">
        <w:rPr>
          <w:rFonts w:eastAsia="Times New Roman"/>
        </w:rPr>
        <w:t xml:space="preserve">, successfully secured </w:t>
      </w:r>
      <w:r w:rsidR="00145198" w:rsidRPr="008054F2">
        <w:rPr>
          <w:rFonts w:eastAsia="Times New Roman"/>
        </w:rPr>
        <w:t xml:space="preserve">funding </w:t>
      </w:r>
      <w:r w:rsidR="00967531" w:rsidRPr="00D54CE5">
        <w:rPr>
          <w:rFonts w:eastAsia="Times New Roman"/>
        </w:rPr>
        <w:t>from DFAT’s Pacific Women Shaping Pacific Development Program</w:t>
      </w:r>
      <w:r w:rsidR="00967531" w:rsidRPr="008054F2">
        <w:rPr>
          <w:rFonts w:eastAsia="Times New Roman"/>
        </w:rPr>
        <w:t xml:space="preserve"> </w:t>
      </w:r>
      <w:r w:rsidR="00145198" w:rsidRPr="008054F2">
        <w:rPr>
          <w:rFonts w:eastAsia="Times New Roman"/>
        </w:rPr>
        <w:t xml:space="preserve">as a result of improving </w:t>
      </w:r>
      <w:r w:rsidR="00DA6F0C">
        <w:rPr>
          <w:rFonts w:eastAsia="Times New Roman"/>
        </w:rPr>
        <w:t>its</w:t>
      </w:r>
      <w:r w:rsidR="00145198" w:rsidRPr="008054F2">
        <w:rPr>
          <w:rFonts w:eastAsia="Times New Roman"/>
        </w:rPr>
        <w:t xml:space="preserve"> financial management system and community engagement practices.</w:t>
      </w:r>
    </w:p>
    <w:p w14:paraId="4CE7605E" w14:textId="77777777" w:rsidR="0055340A" w:rsidRPr="008054F2" w:rsidRDefault="00694B15" w:rsidP="0055340A">
      <w:pPr>
        <w:spacing w:after="120" w:line="280" w:lineRule="exact"/>
        <w:rPr>
          <w:rFonts w:eastAsia="Times New Roman"/>
        </w:rPr>
      </w:pPr>
      <w:r>
        <w:rPr>
          <w:rFonts w:eastAsia="Times New Roman"/>
        </w:rPr>
        <w:t xml:space="preserve">The </w:t>
      </w:r>
      <w:r w:rsidR="0055340A" w:rsidRPr="008054F2">
        <w:rPr>
          <w:rFonts w:eastAsia="Times New Roman"/>
        </w:rPr>
        <w:t>FCDP was a</w:t>
      </w:r>
      <w:r>
        <w:rPr>
          <w:rFonts w:eastAsia="Times New Roman"/>
        </w:rPr>
        <w:t xml:space="preserve"> </w:t>
      </w:r>
      <w:r w:rsidR="0055340A" w:rsidRPr="008054F2">
        <w:rPr>
          <w:rFonts w:eastAsia="Times New Roman"/>
        </w:rPr>
        <w:t>valuable partner i</w:t>
      </w:r>
      <w:r w:rsidR="0055340A">
        <w:rPr>
          <w:rFonts w:eastAsia="Times New Roman"/>
        </w:rPr>
        <w:t>n</w:t>
      </w:r>
      <w:r w:rsidR="0055340A" w:rsidRPr="008054F2">
        <w:rPr>
          <w:rFonts w:eastAsia="Times New Roman"/>
        </w:rPr>
        <w:t xml:space="preserve"> Australia’s response to T</w:t>
      </w:r>
      <w:r w:rsidR="0055340A">
        <w:rPr>
          <w:rFonts w:eastAsia="Times New Roman"/>
        </w:rPr>
        <w:t>C</w:t>
      </w:r>
      <w:r w:rsidR="0055340A" w:rsidRPr="008054F2">
        <w:rPr>
          <w:rFonts w:eastAsia="Times New Roman"/>
        </w:rPr>
        <w:t xml:space="preserve"> Winston</w:t>
      </w:r>
      <w:r>
        <w:rPr>
          <w:rFonts w:eastAsia="Times New Roman"/>
        </w:rPr>
        <w:t>, dispersing emergency grants worth FJD2.11 million to 11 CSOs</w:t>
      </w:r>
      <w:r w:rsidR="0055340A">
        <w:rPr>
          <w:rFonts w:eastAsia="Times New Roman"/>
        </w:rPr>
        <w:t xml:space="preserve"> </w:t>
      </w:r>
      <w:r>
        <w:rPr>
          <w:rFonts w:eastAsia="Times New Roman"/>
        </w:rPr>
        <w:t xml:space="preserve">working in affected areas. </w:t>
      </w:r>
      <w:r w:rsidR="0055340A" w:rsidRPr="008054F2">
        <w:rPr>
          <w:rFonts w:eastAsia="Times New Roman"/>
        </w:rPr>
        <w:t>As a result, 92,</w:t>
      </w:r>
      <w:r w:rsidR="003D5EDC">
        <w:rPr>
          <w:rFonts w:eastAsia="Times New Roman"/>
        </w:rPr>
        <w:t>355</w:t>
      </w:r>
      <w:r w:rsidR="003D5EDC" w:rsidRPr="008054F2">
        <w:rPr>
          <w:rFonts w:eastAsia="Times New Roman"/>
        </w:rPr>
        <w:t xml:space="preserve"> </w:t>
      </w:r>
      <w:r w:rsidR="0055340A" w:rsidRPr="008054F2">
        <w:rPr>
          <w:rFonts w:eastAsia="Times New Roman"/>
        </w:rPr>
        <w:t>beneficiaries in 576 hard-hit communities were reached</w:t>
      </w:r>
      <w:r>
        <w:rPr>
          <w:rFonts w:eastAsia="Times New Roman"/>
        </w:rPr>
        <w:t xml:space="preserve">, and </w:t>
      </w:r>
      <w:r w:rsidR="0055340A" w:rsidRPr="008054F2">
        <w:rPr>
          <w:rFonts w:eastAsia="Times New Roman"/>
        </w:rPr>
        <w:t>13</w:t>
      </w:r>
      <w:r w:rsidR="0055340A">
        <w:rPr>
          <w:rFonts w:eastAsia="Times New Roman"/>
        </w:rPr>
        <w:t>,</w:t>
      </w:r>
      <w:r w:rsidR="0055340A" w:rsidRPr="008054F2">
        <w:rPr>
          <w:rFonts w:eastAsia="Times New Roman"/>
        </w:rPr>
        <w:t>120 people benefited from emergency repairs to their water supply systems, 8</w:t>
      </w:r>
      <w:r w:rsidR="0055340A">
        <w:rPr>
          <w:rFonts w:eastAsia="Times New Roman"/>
        </w:rPr>
        <w:t>,</w:t>
      </w:r>
      <w:r w:rsidR="0055340A" w:rsidRPr="008054F2">
        <w:rPr>
          <w:rFonts w:eastAsia="Times New Roman"/>
        </w:rPr>
        <w:t>000 benefited from shelter relief kits and 4</w:t>
      </w:r>
      <w:r w:rsidR="0055340A">
        <w:rPr>
          <w:rFonts w:eastAsia="Times New Roman"/>
        </w:rPr>
        <w:t>,</w:t>
      </w:r>
      <w:r w:rsidR="0055340A" w:rsidRPr="008054F2">
        <w:rPr>
          <w:rFonts w:eastAsia="Times New Roman"/>
        </w:rPr>
        <w:t xml:space="preserve">062 benefited </w:t>
      </w:r>
      <w:r w:rsidR="0055340A">
        <w:rPr>
          <w:rFonts w:eastAsia="Times New Roman"/>
        </w:rPr>
        <w:t xml:space="preserve">from </w:t>
      </w:r>
      <w:r w:rsidR="0055340A" w:rsidRPr="008054F2">
        <w:rPr>
          <w:rFonts w:eastAsia="Times New Roman"/>
        </w:rPr>
        <w:t>clinic outreaches in the Western division</w:t>
      </w:r>
      <w:r w:rsidR="0055340A">
        <w:rPr>
          <w:rFonts w:eastAsia="Times New Roman"/>
        </w:rPr>
        <w:t xml:space="preserve">. Over </w:t>
      </w:r>
      <w:r w:rsidR="0055340A" w:rsidRPr="008054F2">
        <w:rPr>
          <w:rFonts w:eastAsia="Times New Roman"/>
        </w:rPr>
        <w:t>26,8</w:t>
      </w:r>
      <w:r w:rsidR="0055340A">
        <w:rPr>
          <w:rFonts w:eastAsia="Times New Roman"/>
        </w:rPr>
        <w:t>00</w:t>
      </w:r>
      <w:r w:rsidR="00D2220E">
        <w:rPr>
          <w:rFonts w:eastAsia="Times New Roman"/>
        </w:rPr>
        <w:t xml:space="preserve"> people also received </w:t>
      </w:r>
      <w:r w:rsidR="0055340A" w:rsidRPr="008054F2">
        <w:rPr>
          <w:rFonts w:eastAsia="Times New Roman"/>
        </w:rPr>
        <w:t>vegetable seeds to complement their food sources.</w:t>
      </w:r>
    </w:p>
    <w:p w14:paraId="6368E1E5" w14:textId="77777777" w:rsidR="0072776D" w:rsidRDefault="00E63C76" w:rsidP="008054F2">
      <w:pPr>
        <w:spacing w:after="120" w:line="280" w:lineRule="exact"/>
        <w:rPr>
          <w:rFonts w:eastAsia="Times New Roman"/>
        </w:rPr>
      </w:pPr>
      <w:r>
        <w:rPr>
          <w:rFonts w:eastAsia="Times New Roman"/>
        </w:rPr>
        <w:t>O</w:t>
      </w:r>
      <w:r w:rsidR="0072776D" w:rsidRPr="008054F2">
        <w:rPr>
          <w:rFonts w:eastAsia="Times New Roman"/>
        </w:rPr>
        <w:t>pportunit</w:t>
      </w:r>
      <w:r>
        <w:rPr>
          <w:rFonts w:eastAsia="Times New Roman"/>
        </w:rPr>
        <w:t>ies</w:t>
      </w:r>
      <w:r w:rsidR="0072776D" w:rsidRPr="008054F2">
        <w:rPr>
          <w:rFonts w:eastAsia="Times New Roman"/>
        </w:rPr>
        <w:t xml:space="preserve"> remain to strengthen links between </w:t>
      </w:r>
      <w:r w:rsidR="00C1527E">
        <w:rPr>
          <w:rFonts w:eastAsia="Times New Roman"/>
        </w:rPr>
        <w:t>CSOs</w:t>
      </w:r>
      <w:r w:rsidR="0072776D" w:rsidRPr="008054F2">
        <w:rPr>
          <w:rFonts w:eastAsia="Times New Roman"/>
        </w:rPr>
        <w:t xml:space="preserve"> and</w:t>
      </w:r>
      <w:r w:rsidR="0031092C" w:rsidRPr="008054F2">
        <w:rPr>
          <w:rFonts w:eastAsia="Times New Roman"/>
        </w:rPr>
        <w:t xml:space="preserve"> the</w:t>
      </w:r>
      <w:r w:rsidR="0072776D" w:rsidRPr="008054F2">
        <w:rPr>
          <w:rFonts w:eastAsia="Times New Roman"/>
        </w:rPr>
        <w:t xml:space="preserve"> Government</w:t>
      </w:r>
      <w:r w:rsidR="0031092C" w:rsidRPr="008054F2">
        <w:rPr>
          <w:rFonts w:eastAsia="Times New Roman"/>
        </w:rPr>
        <w:t xml:space="preserve"> of Fiji</w:t>
      </w:r>
      <w:r w:rsidR="00B22B76">
        <w:rPr>
          <w:rFonts w:eastAsia="Times New Roman"/>
        </w:rPr>
        <w:t xml:space="preserve">. </w:t>
      </w:r>
      <w:r w:rsidR="0072776D" w:rsidRPr="008054F2">
        <w:rPr>
          <w:rFonts w:eastAsia="Times New Roman"/>
        </w:rPr>
        <w:t>Australia will develop a Civil Society Engagement Strategy to articulate its engagement with CSOs</w:t>
      </w:r>
      <w:r w:rsidR="00A649CF">
        <w:rPr>
          <w:rFonts w:eastAsia="Times New Roman"/>
        </w:rPr>
        <w:t xml:space="preserve"> (refer Management </w:t>
      </w:r>
      <w:r w:rsidR="000778F0">
        <w:rPr>
          <w:rFonts w:eastAsia="Times New Roman"/>
        </w:rPr>
        <w:t>Response</w:t>
      </w:r>
      <w:r w:rsidR="00A649CF">
        <w:rPr>
          <w:rFonts w:eastAsia="Times New Roman"/>
        </w:rPr>
        <w:t>)</w:t>
      </w:r>
      <w:r w:rsidR="0072776D" w:rsidRPr="008054F2">
        <w:rPr>
          <w:rFonts w:eastAsia="Times New Roman"/>
        </w:rPr>
        <w:t>.</w:t>
      </w:r>
    </w:p>
    <w:p w14:paraId="49AEEFAC" w14:textId="77777777" w:rsidR="004F42AB" w:rsidRDefault="004F42AB" w:rsidP="00094340">
      <w:pPr>
        <w:rPr>
          <w:rFonts w:ascii="Helvetica" w:hAnsi="Helvetica" w:cs="Arial"/>
          <w:color w:val="0C7DAF"/>
          <w:kern w:val="28"/>
          <w:szCs w:val="28"/>
        </w:rPr>
      </w:pPr>
      <w:r>
        <w:rPr>
          <w:rFonts w:ascii="Helvetica" w:hAnsi="Helvetica" w:cs="Arial"/>
          <w:color w:val="0C7DAF"/>
          <w:kern w:val="28"/>
          <w:szCs w:val="28"/>
        </w:rPr>
        <w:t>People-to-people links</w:t>
      </w:r>
    </w:p>
    <w:p w14:paraId="572D7F63" w14:textId="77777777" w:rsidR="009668BE" w:rsidRDefault="001D73D3" w:rsidP="009668BE">
      <w:pPr>
        <w:spacing w:after="120" w:line="280" w:lineRule="exact"/>
        <w:rPr>
          <w:rFonts w:eastAsia="Times New Roman"/>
        </w:rPr>
      </w:pPr>
      <w:r>
        <w:rPr>
          <w:rFonts w:eastAsia="Times New Roman"/>
        </w:rPr>
        <w:t>T</w:t>
      </w:r>
      <w:r w:rsidR="009668BE" w:rsidRPr="009668BE">
        <w:rPr>
          <w:rFonts w:eastAsia="Times New Roman"/>
        </w:rPr>
        <w:t xml:space="preserve">he </w:t>
      </w:r>
      <w:r>
        <w:rPr>
          <w:rFonts w:eastAsia="Times New Roman"/>
        </w:rPr>
        <w:t xml:space="preserve">number of Australian </w:t>
      </w:r>
      <w:r w:rsidRPr="009668BE">
        <w:rPr>
          <w:rFonts w:eastAsia="Times New Roman"/>
        </w:rPr>
        <w:t>students</w:t>
      </w:r>
      <w:r>
        <w:rPr>
          <w:rFonts w:eastAsia="Times New Roman"/>
        </w:rPr>
        <w:t xml:space="preserve"> studying and undertaking work placements in Fiji under the </w:t>
      </w:r>
      <w:r w:rsidR="009668BE">
        <w:rPr>
          <w:rFonts w:eastAsia="Times New Roman"/>
        </w:rPr>
        <w:t xml:space="preserve">New Colombo Plan </w:t>
      </w:r>
      <w:r w:rsidR="0055340A">
        <w:rPr>
          <w:rFonts w:eastAsia="Times New Roman"/>
        </w:rPr>
        <w:t xml:space="preserve">increased from 30 in 2015 to </w:t>
      </w:r>
      <w:r w:rsidR="00E63C76">
        <w:rPr>
          <w:rFonts w:eastAsia="Times New Roman"/>
        </w:rPr>
        <w:t>over</w:t>
      </w:r>
      <w:r w:rsidR="003729EE">
        <w:rPr>
          <w:rFonts w:eastAsia="Times New Roman"/>
        </w:rPr>
        <w:t xml:space="preserve"> </w:t>
      </w:r>
      <w:r w:rsidR="009668BE" w:rsidRPr="009668BE">
        <w:rPr>
          <w:rFonts w:eastAsia="Times New Roman"/>
        </w:rPr>
        <w:t>100</w:t>
      </w:r>
      <w:r>
        <w:rPr>
          <w:rFonts w:eastAsia="Times New Roman"/>
        </w:rPr>
        <w:t xml:space="preserve"> in 2016</w:t>
      </w:r>
      <w:r w:rsidR="00B22B76">
        <w:rPr>
          <w:rFonts w:eastAsia="Times New Roman"/>
        </w:rPr>
        <w:t xml:space="preserve">. </w:t>
      </w:r>
      <w:r w:rsidR="0055340A">
        <w:rPr>
          <w:rFonts w:eastAsia="Times New Roman"/>
        </w:rPr>
        <w:t xml:space="preserve">There was also an increase </w:t>
      </w:r>
      <w:r w:rsidR="009668BE" w:rsidRPr="009668BE">
        <w:rPr>
          <w:rFonts w:eastAsia="Times New Roman"/>
        </w:rPr>
        <w:t xml:space="preserve">from three </w:t>
      </w:r>
      <w:r w:rsidR="0055340A">
        <w:rPr>
          <w:rFonts w:eastAsia="Times New Roman"/>
        </w:rPr>
        <w:t xml:space="preserve">mobility </w:t>
      </w:r>
      <w:r w:rsidR="009668BE" w:rsidRPr="009668BE">
        <w:rPr>
          <w:rFonts w:eastAsia="Times New Roman"/>
        </w:rPr>
        <w:t>projects from two Australian universities in 2015 to nine projects</w:t>
      </w:r>
      <w:r w:rsidR="00084264">
        <w:rPr>
          <w:rFonts w:eastAsia="Times New Roman"/>
        </w:rPr>
        <w:t xml:space="preserve"> from</w:t>
      </w:r>
      <w:r w:rsidR="009668BE" w:rsidRPr="009668BE">
        <w:rPr>
          <w:rFonts w:eastAsia="Times New Roman"/>
        </w:rPr>
        <w:t xml:space="preserve"> eight Australian universities in 2016</w:t>
      </w:r>
      <w:r w:rsidR="00B22B76">
        <w:rPr>
          <w:rFonts w:eastAsia="Times New Roman"/>
        </w:rPr>
        <w:t xml:space="preserve">. </w:t>
      </w:r>
      <w:r w:rsidR="009668BE" w:rsidRPr="009668BE">
        <w:rPr>
          <w:rFonts w:eastAsia="Times New Roman"/>
        </w:rPr>
        <w:t>Fields of study</w:t>
      </w:r>
      <w:r w:rsidR="009668BE">
        <w:rPr>
          <w:rFonts w:eastAsia="Times New Roman"/>
        </w:rPr>
        <w:t xml:space="preserve"> include</w:t>
      </w:r>
      <w:r w:rsidR="009668BE" w:rsidRPr="009668BE">
        <w:rPr>
          <w:rFonts w:eastAsia="Times New Roman"/>
        </w:rPr>
        <w:t xml:space="preserve"> pharmacy</w:t>
      </w:r>
      <w:r w:rsidR="009668BE">
        <w:rPr>
          <w:rFonts w:eastAsia="Times New Roman"/>
        </w:rPr>
        <w:t>,</w:t>
      </w:r>
      <w:r w:rsidR="009668BE" w:rsidRPr="009668BE">
        <w:rPr>
          <w:rFonts w:eastAsia="Times New Roman"/>
        </w:rPr>
        <w:t xml:space="preserve"> information technology, nursing</w:t>
      </w:r>
      <w:r w:rsidR="009668BE">
        <w:rPr>
          <w:rFonts w:eastAsia="Times New Roman"/>
        </w:rPr>
        <w:t xml:space="preserve"> and</w:t>
      </w:r>
      <w:r w:rsidR="009668BE" w:rsidRPr="009668BE">
        <w:rPr>
          <w:rFonts w:eastAsia="Times New Roman"/>
        </w:rPr>
        <w:t xml:space="preserve"> entrepreneurship.</w:t>
      </w:r>
    </w:p>
    <w:p w14:paraId="077CD402" w14:textId="77777777" w:rsidR="007D5867" w:rsidRPr="009668BE" w:rsidRDefault="00694B15" w:rsidP="00B71EEE">
      <w:pPr>
        <w:rPr>
          <w:rFonts w:eastAsia="Times New Roman"/>
        </w:rPr>
      </w:pPr>
      <w:r>
        <w:rPr>
          <w:rFonts w:eastAsia="Times New Roman"/>
        </w:rPr>
        <w:t>In 2015-16</w:t>
      </w:r>
      <w:r w:rsidR="00F27056">
        <w:rPr>
          <w:rFonts w:eastAsia="Times New Roman"/>
        </w:rPr>
        <w:t>,</w:t>
      </w:r>
      <w:r>
        <w:rPr>
          <w:rFonts w:eastAsia="Times New Roman"/>
        </w:rPr>
        <w:t xml:space="preserve"> w</w:t>
      </w:r>
      <w:r w:rsidR="00490F18" w:rsidRPr="008B6495">
        <w:rPr>
          <w:rFonts w:eastAsia="Times New Roman"/>
        </w:rPr>
        <w:t xml:space="preserve">e supported 110 Australian Volunteers for International Development who worked with </w:t>
      </w:r>
      <w:r w:rsidR="007A7E38" w:rsidRPr="008B6495">
        <w:rPr>
          <w:rFonts w:eastAsia="Times New Roman"/>
        </w:rPr>
        <w:t>60</w:t>
      </w:r>
      <w:r w:rsidR="00490F18" w:rsidRPr="008B6495">
        <w:rPr>
          <w:rFonts w:eastAsia="Times New Roman"/>
        </w:rPr>
        <w:t xml:space="preserve"> organisations</w:t>
      </w:r>
      <w:r w:rsidR="007A7E38" w:rsidRPr="008B6495">
        <w:rPr>
          <w:rFonts w:eastAsia="Times New Roman"/>
        </w:rPr>
        <w:t xml:space="preserve"> from across the public, private and civil society sectors. Highlights of volunteers</w:t>
      </w:r>
      <w:r w:rsidR="0025378A" w:rsidRPr="008B6495">
        <w:rPr>
          <w:rFonts w:eastAsia="Times New Roman"/>
        </w:rPr>
        <w:t>’</w:t>
      </w:r>
      <w:r w:rsidR="007A7E38" w:rsidRPr="008B6495">
        <w:rPr>
          <w:rFonts w:eastAsia="Times New Roman"/>
        </w:rPr>
        <w:t xml:space="preserve"> achievements include assisting the MoE </w:t>
      </w:r>
      <w:r>
        <w:rPr>
          <w:rFonts w:eastAsia="Times New Roman"/>
        </w:rPr>
        <w:t xml:space="preserve">to </w:t>
      </w:r>
      <w:r w:rsidR="007A7E38" w:rsidRPr="008B6495">
        <w:rPr>
          <w:rFonts w:eastAsia="Times New Roman"/>
        </w:rPr>
        <w:t>introduc</w:t>
      </w:r>
      <w:r w:rsidR="00E63C76">
        <w:rPr>
          <w:rFonts w:eastAsia="Times New Roman"/>
        </w:rPr>
        <w:t>e</w:t>
      </w:r>
      <w:r w:rsidR="007A7E38" w:rsidRPr="008B6495">
        <w:rPr>
          <w:rFonts w:eastAsia="Times New Roman"/>
        </w:rPr>
        <w:t xml:space="preserve"> standardised student profiles and individualised education plans </w:t>
      </w:r>
      <w:r w:rsidR="00E63C76">
        <w:rPr>
          <w:rFonts w:eastAsia="Times New Roman"/>
        </w:rPr>
        <w:t>that</w:t>
      </w:r>
      <w:r w:rsidR="00E63C76" w:rsidRPr="008B6495">
        <w:rPr>
          <w:rFonts w:eastAsia="Times New Roman"/>
        </w:rPr>
        <w:t xml:space="preserve"> </w:t>
      </w:r>
      <w:r w:rsidR="007A7E38" w:rsidRPr="008B6495">
        <w:rPr>
          <w:rFonts w:eastAsia="Times New Roman"/>
        </w:rPr>
        <w:t>will improve learning outcomes for children with disabilities in all 17 special education schools in Fiji</w:t>
      </w:r>
      <w:r w:rsidR="00B22B76">
        <w:rPr>
          <w:rFonts w:eastAsia="Times New Roman"/>
        </w:rPr>
        <w:t xml:space="preserve">. </w:t>
      </w:r>
      <w:r w:rsidR="00605786" w:rsidRPr="008B6495">
        <w:rPr>
          <w:rFonts w:eastAsia="Times New Roman"/>
        </w:rPr>
        <w:t xml:space="preserve">Through </w:t>
      </w:r>
      <w:r w:rsidR="007A7E38" w:rsidRPr="008B6495">
        <w:rPr>
          <w:rFonts w:eastAsia="Times New Roman"/>
        </w:rPr>
        <w:t>support</w:t>
      </w:r>
      <w:r w:rsidR="00605786" w:rsidRPr="008B6495">
        <w:rPr>
          <w:rFonts w:eastAsia="Times New Roman"/>
        </w:rPr>
        <w:t xml:space="preserve"> to</w:t>
      </w:r>
      <w:r w:rsidR="007A7E38" w:rsidRPr="008B6495">
        <w:rPr>
          <w:rFonts w:eastAsia="Times New Roman"/>
        </w:rPr>
        <w:t xml:space="preserve"> the Spinal Injury Association’s </w:t>
      </w:r>
      <w:r w:rsidR="007A7E38" w:rsidRPr="008B6495">
        <w:rPr>
          <w:rFonts w:eastAsia="Times New Roman"/>
          <w:i/>
        </w:rPr>
        <w:t>Include Disability Employ this Ability</w:t>
      </w:r>
      <w:r w:rsidR="007A7E38" w:rsidRPr="008B6495">
        <w:rPr>
          <w:rFonts w:eastAsia="Times New Roman"/>
        </w:rPr>
        <w:t xml:space="preserve"> (IDEA) initiative in Fiji</w:t>
      </w:r>
      <w:r w:rsidR="00764121" w:rsidRPr="008B6495">
        <w:rPr>
          <w:rFonts w:eastAsia="Times New Roman"/>
        </w:rPr>
        <w:t>, five leading disabled people</w:t>
      </w:r>
      <w:r w:rsidR="007A7E38" w:rsidRPr="008B6495">
        <w:rPr>
          <w:rFonts w:eastAsia="Times New Roman"/>
        </w:rPr>
        <w:t>s</w:t>
      </w:r>
      <w:r w:rsidR="00764121" w:rsidRPr="008B6495">
        <w:rPr>
          <w:rFonts w:eastAsia="Times New Roman"/>
        </w:rPr>
        <w:t>’</w:t>
      </w:r>
      <w:r w:rsidR="007A7E38" w:rsidRPr="008B6495">
        <w:rPr>
          <w:rFonts w:eastAsia="Times New Roman"/>
        </w:rPr>
        <w:t xml:space="preserve"> organisations have joined forces with government, educators and employers to promote employment opportunities for people with disabilities</w:t>
      </w:r>
      <w:r w:rsidR="00E63C76">
        <w:rPr>
          <w:rFonts w:eastAsia="Times New Roman"/>
        </w:rPr>
        <w:t>.  This has</w:t>
      </w:r>
      <w:r w:rsidR="007A7E38" w:rsidRPr="008B6495">
        <w:rPr>
          <w:rFonts w:eastAsia="Times New Roman"/>
        </w:rPr>
        <w:t xml:space="preserve"> result</w:t>
      </w:r>
      <w:r w:rsidR="00E63C76">
        <w:rPr>
          <w:rFonts w:eastAsia="Times New Roman"/>
        </w:rPr>
        <w:t>ed</w:t>
      </w:r>
      <w:r w:rsidR="007A7E38" w:rsidRPr="008B6495">
        <w:rPr>
          <w:rFonts w:eastAsia="Times New Roman"/>
        </w:rPr>
        <w:t xml:space="preserve"> in more than </w:t>
      </w:r>
      <w:r w:rsidR="007A7E38" w:rsidRPr="00480A7D">
        <w:rPr>
          <w:rFonts w:eastAsia="Times New Roman"/>
        </w:rPr>
        <w:t>40 people with disabilities</w:t>
      </w:r>
      <w:r w:rsidR="007A7E38" w:rsidRPr="008B6495">
        <w:rPr>
          <w:rFonts w:eastAsia="Times New Roman"/>
        </w:rPr>
        <w:t xml:space="preserve"> finding employment in roles ranging from reception work in the tourism industry to clerical work in the local flour mill. </w:t>
      </w:r>
      <w:r w:rsidR="00605786" w:rsidRPr="008B6495">
        <w:rPr>
          <w:rFonts w:eastAsia="Times New Roman"/>
        </w:rPr>
        <w:t>I</w:t>
      </w:r>
      <w:r w:rsidR="007A7E38" w:rsidRPr="008B6495">
        <w:rPr>
          <w:rFonts w:eastAsia="Times New Roman"/>
        </w:rPr>
        <w:t xml:space="preserve">n the aftermath of </w:t>
      </w:r>
      <w:r>
        <w:rPr>
          <w:rFonts w:eastAsia="Times New Roman"/>
        </w:rPr>
        <w:t xml:space="preserve">TC </w:t>
      </w:r>
      <w:r w:rsidR="007A7E38" w:rsidRPr="008B6495">
        <w:rPr>
          <w:rFonts w:eastAsia="Times New Roman"/>
        </w:rPr>
        <w:t>Winston, volunteers</w:t>
      </w:r>
      <w:r w:rsidR="00F27056">
        <w:rPr>
          <w:rFonts w:eastAsia="Times New Roman"/>
        </w:rPr>
        <w:t>, supported by Australia,</w:t>
      </w:r>
      <w:r w:rsidR="007A7E38" w:rsidRPr="008B6495">
        <w:rPr>
          <w:rFonts w:eastAsia="Times New Roman"/>
        </w:rPr>
        <w:t xml:space="preserve"> in leading humanitarian response organisations</w:t>
      </w:r>
      <w:r w:rsidR="00F27056">
        <w:rPr>
          <w:rFonts w:eastAsia="Times New Roman"/>
        </w:rPr>
        <w:t xml:space="preserve"> </w:t>
      </w:r>
      <w:r w:rsidR="007A7E38" w:rsidRPr="008B6495">
        <w:rPr>
          <w:rFonts w:eastAsia="Times New Roman"/>
        </w:rPr>
        <w:t xml:space="preserve">were </w:t>
      </w:r>
      <w:r w:rsidR="00E63C76">
        <w:rPr>
          <w:rFonts w:eastAsia="Times New Roman"/>
        </w:rPr>
        <w:t xml:space="preserve">also </w:t>
      </w:r>
      <w:r w:rsidR="007A7E38" w:rsidRPr="008B6495">
        <w:rPr>
          <w:rFonts w:eastAsia="Times New Roman"/>
        </w:rPr>
        <w:t>instrumental in providing vital administrative support to their local counterparts in times of stretched human resources</w:t>
      </w:r>
      <w:r w:rsidR="00B22B76">
        <w:rPr>
          <w:rFonts w:eastAsia="Times New Roman"/>
        </w:rPr>
        <w:t xml:space="preserve">. </w:t>
      </w:r>
    </w:p>
    <w:p w14:paraId="5ADDF870" w14:textId="77777777" w:rsidR="00084264" w:rsidRPr="00084264" w:rsidRDefault="00605786" w:rsidP="000E0566">
      <w:pPr>
        <w:spacing w:after="120" w:line="280" w:lineRule="exact"/>
        <w:rPr>
          <w:rFonts w:eastAsia="Times New Roman"/>
        </w:rPr>
      </w:pPr>
      <w:r>
        <w:rPr>
          <w:rFonts w:eastAsia="Times New Roman"/>
        </w:rPr>
        <w:t xml:space="preserve">In 2015-16, 114 </w:t>
      </w:r>
      <w:r w:rsidR="00F27056">
        <w:rPr>
          <w:rFonts w:eastAsia="Times New Roman"/>
        </w:rPr>
        <w:t xml:space="preserve">students are on </w:t>
      </w:r>
      <w:r>
        <w:rPr>
          <w:rFonts w:eastAsia="Times New Roman"/>
        </w:rPr>
        <w:t>scholarships in Australia (81) and the Pacific (33). A</w:t>
      </w:r>
      <w:r w:rsidR="00067EC1">
        <w:rPr>
          <w:rFonts w:eastAsia="Times New Roman"/>
        </w:rPr>
        <w:t xml:space="preserve">n Australia Awards Alumnus with a disability </w:t>
      </w:r>
      <w:r>
        <w:rPr>
          <w:rFonts w:eastAsia="Times New Roman"/>
        </w:rPr>
        <w:t xml:space="preserve">graduated from </w:t>
      </w:r>
      <w:r w:rsidR="00C52397">
        <w:rPr>
          <w:rFonts w:eastAsia="Times New Roman"/>
        </w:rPr>
        <w:t>the University of Wollongong</w:t>
      </w:r>
      <w:r>
        <w:rPr>
          <w:rFonts w:eastAsia="Times New Roman"/>
        </w:rPr>
        <w:t xml:space="preserve"> in </w:t>
      </w:r>
      <w:r w:rsidR="00067EC1">
        <w:rPr>
          <w:rFonts w:eastAsia="Times New Roman"/>
        </w:rPr>
        <w:t xml:space="preserve">2014 with a Masters in Strategic Human Resources Management and now manages the Disability Support Centre at the Fiji National University. </w:t>
      </w:r>
      <w:r w:rsidR="00F17F99">
        <w:t xml:space="preserve">A restructure of the Scholarships program in early 2016 </w:t>
      </w:r>
      <w:r w:rsidR="00026F49">
        <w:t xml:space="preserve">that </w:t>
      </w:r>
      <w:r w:rsidR="00F27056">
        <w:t>resulted in</w:t>
      </w:r>
      <w:r w:rsidR="00F27056">
        <w:rPr>
          <w:rFonts w:cs="Calibri"/>
        </w:rPr>
        <w:t xml:space="preserve"> </w:t>
      </w:r>
      <w:r w:rsidR="00F17F99">
        <w:rPr>
          <w:rFonts w:cs="Calibri"/>
        </w:rPr>
        <w:t xml:space="preserve">regional scholarships </w:t>
      </w:r>
      <w:r w:rsidR="00F27056">
        <w:rPr>
          <w:rFonts w:cs="Calibri"/>
        </w:rPr>
        <w:t xml:space="preserve">being </w:t>
      </w:r>
      <w:r w:rsidR="00F17F99">
        <w:rPr>
          <w:rFonts w:cs="Calibri"/>
        </w:rPr>
        <w:t xml:space="preserve">managed by </w:t>
      </w:r>
      <w:r w:rsidR="009D4D69">
        <w:rPr>
          <w:rFonts w:cs="Calibri"/>
        </w:rPr>
        <w:t xml:space="preserve">the Pacific </w:t>
      </w:r>
      <w:r w:rsidR="00F17F99">
        <w:rPr>
          <w:rFonts w:cs="Calibri"/>
        </w:rPr>
        <w:t xml:space="preserve">Regional Education program and Fiji scholarships </w:t>
      </w:r>
      <w:r w:rsidR="00F27056">
        <w:rPr>
          <w:rFonts w:cs="Calibri"/>
        </w:rPr>
        <w:t xml:space="preserve">being </w:t>
      </w:r>
      <w:r w:rsidR="00F17F99">
        <w:rPr>
          <w:rFonts w:cs="Calibri"/>
        </w:rPr>
        <w:t>managed by the</w:t>
      </w:r>
      <w:r w:rsidR="009D4D69">
        <w:rPr>
          <w:rFonts w:cs="Calibri"/>
        </w:rPr>
        <w:t xml:space="preserve"> Fiji</w:t>
      </w:r>
      <w:r w:rsidR="00F17F99">
        <w:rPr>
          <w:rFonts w:cs="Calibri"/>
        </w:rPr>
        <w:t xml:space="preserve"> Bilateral Education program has improved</w:t>
      </w:r>
      <w:r w:rsidR="007D6A30">
        <w:rPr>
          <w:rFonts w:cs="Calibri"/>
        </w:rPr>
        <w:t xml:space="preserve"> </w:t>
      </w:r>
      <w:r w:rsidR="00D218F4">
        <w:rPr>
          <w:rFonts w:cs="Calibri"/>
        </w:rPr>
        <w:t>services for Fiji scholars</w:t>
      </w:r>
      <w:r w:rsidR="00B22B76">
        <w:rPr>
          <w:rFonts w:cs="Calibri"/>
        </w:rPr>
        <w:t xml:space="preserve">. </w:t>
      </w:r>
      <w:r w:rsidR="000200FD">
        <w:rPr>
          <w:rFonts w:eastAsia="Times New Roman"/>
        </w:rPr>
        <w:t>The administration</w:t>
      </w:r>
      <w:r w:rsidR="00084B07">
        <w:rPr>
          <w:rFonts w:eastAsia="Times New Roman"/>
        </w:rPr>
        <w:t>,</w:t>
      </w:r>
      <w:r w:rsidR="000200FD">
        <w:rPr>
          <w:rFonts w:eastAsia="Times New Roman"/>
        </w:rPr>
        <w:t xml:space="preserve"> however, remains cumbersome and will be further </w:t>
      </w:r>
      <w:r w:rsidR="00D17D16">
        <w:rPr>
          <w:rFonts w:eastAsia="Times New Roman"/>
        </w:rPr>
        <w:t>streamlined</w:t>
      </w:r>
      <w:r w:rsidR="000200FD">
        <w:rPr>
          <w:rFonts w:eastAsia="Times New Roman"/>
        </w:rPr>
        <w:t xml:space="preserve"> next year to allow </w:t>
      </w:r>
      <w:r w:rsidR="004168C7">
        <w:rPr>
          <w:rFonts w:eastAsia="Times New Roman"/>
        </w:rPr>
        <w:t xml:space="preserve">for more strategic programming (refer Management </w:t>
      </w:r>
      <w:r w:rsidR="000778F0">
        <w:rPr>
          <w:rFonts w:eastAsia="Times New Roman"/>
        </w:rPr>
        <w:t>Response</w:t>
      </w:r>
      <w:r w:rsidR="004168C7">
        <w:rPr>
          <w:rFonts w:eastAsia="Times New Roman"/>
        </w:rPr>
        <w:t xml:space="preserve">). </w:t>
      </w:r>
    </w:p>
    <w:p w14:paraId="1090C4DF" w14:textId="77777777" w:rsidR="00982873" w:rsidRPr="000E0566" w:rsidRDefault="00C30172" w:rsidP="000E0566">
      <w:pPr>
        <w:spacing w:after="120" w:line="280" w:lineRule="exact"/>
        <w:rPr>
          <w:rFonts w:eastAsia="Times New Roman"/>
        </w:rPr>
      </w:pPr>
      <w:r w:rsidRPr="000E0566">
        <w:rPr>
          <w:rFonts w:eastAsia="Times New Roman"/>
        </w:rPr>
        <w:t>Fiji joined the Seasonal Worker Program</w:t>
      </w:r>
      <w:r w:rsidR="00866069">
        <w:rPr>
          <w:rFonts w:eastAsia="Times New Roman"/>
        </w:rPr>
        <w:t>me</w:t>
      </w:r>
      <w:r w:rsidR="007E694C" w:rsidRPr="000E0566">
        <w:rPr>
          <w:rFonts w:eastAsia="Times New Roman"/>
        </w:rPr>
        <w:t xml:space="preserve"> (SWP)</w:t>
      </w:r>
      <w:r w:rsidRPr="000E0566">
        <w:rPr>
          <w:rFonts w:eastAsia="Times New Roman"/>
        </w:rPr>
        <w:t xml:space="preserve"> in April 2015</w:t>
      </w:r>
      <w:r w:rsidR="00B22B76">
        <w:rPr>
          <w:rFonts w:eastAsia="Times New Roman"/>
        </w:rPr>
        <w:t xml:space="preserve">. </w:t>
      </w:r>
      <w:r w:rsidR="007D6A30">
        <w:rPr>
          <w:rFonts w:eastAsia="Times New Roman"/>
        </w:rPr>
        <w:t xml:space="preserve">Between </w:t>
      </w:r>
      <w:r w:rsidR="00C213BB" w:rsidRPr="000E0566">
        <w:rPr>
          <w:rFonts w:eastAsia="Times New Roman"/>
        </w:rPr>
        <w:t xml:space="preserve">July 2015 </w:t>
      </w:r>
      <w:r w:rsidR="00715CC0">
        <w:rPr>
          <w:rFonts w:eastAsia="Times New Roman"/>
        </w:rPr>
        <w:t xml:space="preserve">and </w:t>
      </w:r>
      <w:r w:rsidR="00715CC0" w:rsidRPr="000E0566">
        <w:rPr>
          <w:rFonts w:eastAsia="Times New Roman"/>
        </w:rPr>
        <w:t>March</w:t>
      </w:r>
      <w:r w:rsidR="00C213BB" w:rsidRPr="000E0566">
        <w:rPr>
          <w:rFonts w:eastAsia="Times New Roman"/>
        </w:rPr>
        <w:t xml:space="preserve"> 2016, Fiji</w:t>
      </w:r>
      <w:r w:rsidRPr="000E0566">
        <w:rPr>
          <w:rFonts w:eastAsia="Times New Roman"/>
        </w:rPr>
        <w:t xml:space="preserve"> sent </w:t>
      </w:r>
      <w:r w:rsidR="00C213BB" w:rsidRPr="000E0566">
        <w:rPr>
          <w:rFonts w:eastAsia="Times New Roman"/>
        </w:rPr>
        <w:t>154</w:t>
      </w:r>
      <w:r w:rsidRPr="000E0566">
        <w:rPr>
          <w:rFonts w:eastAsia="Times New Roman"/>
        </w:rPr>
        <w:t xml:space="preserve"> workers to Australia</w:t>
      </w:r>
      <w:r w:rsidR="00C213BB" w:rsidRPr="000E0566">
        <w:rPr>
          <w:rFonts w:eastAsia="Times New Roman"/>
        </w:rPr>
        <w:t xml:space="preserve"> which accounted for </w:t>
      </w:r>
      <w:r w:rsidR="00982873" w:rsidRPr="000E0566">
        <w:rPr>
          <w:rFonts w:eastAsia="Times New Roman"/>
        </w:rPr>
        <w:t>five</w:t>
      </w:r>
      <w:r w:rsidR="00C213BB" w:rsidRPr="000E0566">
        <w:rPr>
          <w:rFonts w:eastAsia="Times New Roman"/>
        </w:rPr>
        <w:t xml:space="preserve"> per cent </w:t>
      </w:r>
      <w:r w:rsidRPr="000E0566">
        <w:rPr>
          <w:rFonts w:eastAsia="Times New Roman"/>
        </w:rPr>
        <w:t>of all Pacific seasonal workers in Australia</w:t>
      </w:r>
      <w:r w:rsidR="00B22B76">
        <w:rPr>
          <w:rFonts w:eastAsia="Times New Roman"/>
        </w:rPr>
        <w:t xml:space="preserve">. </w:t>
      </w:r>
      <w:r w:rsidRPr="000E0566">
        <w:rPr>
          <w:rFonts w:eastAsia="Times New Roman"/>
        </w:rPr>
        <w:t xml:space="preserve">The </w:t>
      </w:r>
      <w:r w:rsidR="00CF43D6" w:rsidRPr="000E0566">
        <w:rPr>
          <w:rFonts w:eastAsia="Times New Roman"/>
        </w:rPr>
        <w:t xml:space="preserve">National Employment Center in the </w:t>
      </w:r>
      <w:r w:rsidRPr="000E0566">
        <w:rPr>
          <w:rFonts w:eastAsia="Times New Roman"/>
        </w:rPr>
        <w:t xml:space="preserve">Ministry of Employment, Productivity and Industrial Relations (MEPIR) </w:t>
      </w:r>
      <w:r w:rsidR="00CF43D6" w:rsidRPr="000E0566">
        <w:rPr>
          <w:rFonts w:eastAsia="Times New Roman"/>
        </w:rPr>
        <w:t>manages the program</w:t>
      </w:r>
      <w:r w:rsidR="00B22B76">
        <w:rPr>
          <w:rFonts w:eastAsia="Times New Roman"/>
        </w:rPr>
        <w:t xml:space="preserve">. </w:t>
      </w:r>
      <w:r w:rsidR="00CF43D6" w:rsidRPr="000E0566">
        <w:rPr>
          <w:rFonts w:eastAsia="Times New Roman"/>
        </w:rPr>
        <w:t xml:space="preserve">Its </w:t>
      </w:r>
      <w:r w:rsidRPr="000E0566">
        <w:rPr>
          <w:rFonts w:eastAsia="Times New Roman"/>
        </w:rPr>
        <w:t xml:space="preserve">main priority is to </w:t>
      </w:r>
      <w:r w:rsidR="00026F49">
        <w:rPr>
          <w:rFonts w:eastAsia="Times New Roman"/>
        </w:rPr>
        <w:t>increase</w:t>
      </w:r>
      <w:r w:rsidRPr="000E0566">
        <w:rPr>
          <w:rFonts w:eastAsia="Times New Roman"/>
        </w:rPr>
        <w:t xml:space="preserve"> demand </w:t>
      </w:r>
      <w:r w:rsidR="00026F49">
        <w:rPr>
          <w:rFonts w:eastAsia="Times New Roman"/>
        </w:rPr>
        <w:t>by building a stronger</w:t>
      </w:r>
      <w:r w:rsidRPr="000E0566">
        <w:rPr>
          <w:rFonts w:eastAsia="Times New Roman"/>
        </w:rPr>
        <w:t xml:space="preserve"> reputation and disseminati</w:t>
      </w:r>
      <w:r w:rsidR="00026F49">
        <w:rPr>
          <w:rFonts w:eastAsia="Times New Roman"/>
        </w:rPr>
        <w:t>ng</w:t>
      </w:r>
      <w:r w:rsidRPr="000E0566">
        <w:rPr>
          <w:rFonts w:eastAsia="Times New Roman"/>
        </w:rPr>
        <w:t xml:space="preserve"> of positive stories about the quality of its workers</w:t>
      </w:r>
      <w:r w:rsidR="00B22B76">
        <w:rPr>
          <w:rFonts w:eastAsia="Times New Roman"/>
        </w:rPr>
        <w:t xml:space="preserve">. </w:t>
      </w:r>
      <w:r w:rsidRPr="000E0566">
        <w:rPr>
          <w:rFonts w:eastAsia="Times New Roman"/>
        </w:rPr>
        <w:t xml:space="preserve">The MEPIR is also focused on ensuring </w:t>
      </w:r>
      <w:r w:rsidR="00026F49">
        <w:rPr>
          <w:rFonts w:eastAsia="Times New Roman"/>
        </w:rPr>
        <w:t>appropriate</w:t>
      </w:r>
      <w:r w:rsidRPr="000E0566">
        <w:rPr>
          <w:rFonts w:eastAsia="Times New Roman"/>
        </w:rPr>
        <w:t xml:space="preserve"> workers are selected and </w:t>
      </w:r>
      <w:r w:rsidR="00026F49">
        <w:rPr>
          <w:rFonts w:eastAsia="Times New Roman"/>
        </w:rPr>
        <w:t>Fiji</w:t>
      </w:r>
      <w:r w:rsidRPr="000E0566">
        <w:rPr>
          <w:rFonts w:eastAsia="Times New Roman"/>
        </w:rPr>
        <w:t xml:space="preserve"> benefits from the skills and remittances gained through participation in the program</w:t>
      </w:r>
      <w:r w:rsidR="00B22B76">
        <w:rPr>
          <w:rFonts w:eastAsia="Times New Roman"/>
        </w:rPr>
        <w:t xml:space="preserve">. </w:t>
      </w:r>
      <w:r w:rsidRPr="000E0566">
        <w:rPr>
          <w:rFonts w:eastAsia="Times New Roman"/>
        </w:rPr>
        <w:t xml:space="preserve">The </w:t>
      </w:r>
      <w:r w:rsidR="00694B15">
        <w:rPr>
          <w:rFonts w:eastAsia="Times New Roman"/>
        </w:rPr>
        <w:t xml:space="preserve">Australia </w:t>
      </w:r>
      <w:r w:rsidRPr="000E0566">
        <w:rPr>
          <w:rFonts w:eastAsia="Times New Roman"/>
        </w:rPr>
        <w:t>Labour Mobility Assistance Program (LMAP) completed the Fiji Countr</w:t>
      </w:r>
      <w:r w:rsidR="00B22B76">
        <w:rPr>
          <w:rFonts w:eastAsia="Times New Roman"/>
        </w:rPr>
        <w:t xml:space="preserve">y Plan in March 2016, and this </w:t>
      </w:r>
      <w:r w:rsidRPr="000E0566">
        <w:rPr>
          <w:rFonts w:eastAsia="Times New Roman"/>
        </w:rPr>
        <w:t>identifies the activ</w:t>
      </w:r>
      <w:r w:rsidR="007E694C" w:rsidRPr="000E0566">
        <w:rPr>
          <w:rFonts w:eastAsia="Times New Roman"/>
        </w:rPr>
        <w:t xml:space="preserve">ities to help Fiji increase its participation in the SWP. </w:t>
      </w:r>
    </w:p>
    <w:p w14:paraId="1CDD4CDF" w14:textId="77777777" w:rsidR="00256B53" w:rsidRPr="00094340" w:rsidRDefault="00256B53" w:rsidP="00256B53">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sidRPr="00094340">
        <w:rPr>
          <w:rFonts w:asciiTheme="majorHAnsi" w:eastAsiaTheme="majorEastAsia" w:hAnsiTheme="majorHAnsi" w:cstheme="majorBidi"/>
          <w:caps/>
          <w:color w:val="495965" w:themeColor="text2"/>
          <w:sz w:val="38"/>
          <w:szCs w:val="26"/>
          <w:lang w:val="en-GB" w:eastAsia="en-US"/>
        </w:rPr>
        <w:t xml:space="preserve">Objective 3 – </w:t>
      </w:r>
      <w:r w:rsidR="00C1527E" w:rsidRPr="00094340">
        <w:rPr>
          <w:rFonts w:asciiTheme="majorHAnsi" w:eastAsiaTheme="majorEastAsia" w:hAnsiTheme="majorHAnsi" w:cstheme="majorBidi"/>
          <w:caps/>
          <w:color w:val="495965" w:themeColor="text2"/>
          <w:sz w:val="38"/>
          <w:szCs w:val="26"/>
          <w:lang w:val="en-GB" w:eastAsia="en-US"/>
        </w:rPr>
        <w:t>T</w:t>
      </w:r>
      <w:r w:rsidR="007425C2">
        <w:rPr>
          <w:rFonts w:asciiTheme="majorHAnsi" w:eastAsiaTheme="majorEastAsia" w:hAnsiTheme="majorHAnsi" w:cstheme="majorBidi"/>
          <w:caps/>
          <w:color w:val="495965" w:themeColor="text2"/>
          <w:sz w:val="38"/>
          <w:szCs w:val="26"/>
          <w:lang w:val="en-GB" w:eastAsia="en-US"/>
        </w:rPr>
        <w:t>ROPICAL CYCLONE</w:t>
      </w:r>
      <w:r w:rsidRPr="00094340">
        <w:rPr>
          <w:rFonts w:asciiTheme="majorHAnsi" w:eastAsiaTheme="majorEastAsia" w:hAnsiTheme="majorHAnsi" w:cstheme="majorBidi"/>
          <w:caps/>
          <w:color w:val="495965" w:themeColor="text2"/>
          <w:sz w:val="38"/>
          <w:szCs w:val="26"/>
          <w:lang w:val="en-GB" w:eastAsia="en-US"/>
        </w:rPr>
        <w:t xml:space="preserve"> winston recovery</w:t>
      </w:r>
    </w:p>
    <w:p w14:paraId="70DAC0C7" w14:textId="77777777" w:rsidR="00895492" w:rsidRPr="00413DF2" w:rsidRDefault="00D204CF" w:rsidP="00413DF2">
      <w:pPr>
        <w:spacing w:after="120" w:line="280" w:lineRule="exact"/>
        <w:rPr>
          <w:rFonts w:eastAsia="Times New Roman"/>
        </w:rPr>
      </w:pPr>
      <w:r w:rsidRPr="00413DF2">
        <w:rPr>
          <w:rFonts w:eastAsia="Times New Roman"/>
        </w:rPr>
        <w:t>T</w:t>
      </w:r>
      <w:r w:rsidR="00C1527E">
        <w:rPr>
          <w:rFonts w:eastAsia="Times New Roman"/>
        </w:rPr>
        <w:t>C</w:t>
      </w:r>
      <w:r w:rsidRPr="00413DF2">
        <w:rPr>
          <w:rFonts w:eastAsia="Times New Roman"/>
        </w:rPr>
        <w:t xml:space="preserve"> Winston</w:t>
      </w:r>
      <w:r w:rsidR="009C68B6">
        <w:rPr>
          <w:rFonts w:eastAsia="Times New Roman"/>
        </w:rPr>
        <w:t>, the strongest cyclone to impact Fiji,</w:t>
      </w:r>
      <w:r w:rsidRPr="00413DF2">
        <w:rPr>
          <w:rFonts w:eastAsia="Times New Roman"/>
        </w:rPr>
        <w:t xml:space="preserve"> made landfall </w:t>
      </w:r>
      <w:r w:rsidR="004879A3">
        <w:rPr>
          <w:rFonts w:eastAsia="Times New Roman"/>
        </w:rPr>
        <w:t>on 20-21 February 2016</w:t>
      </w:r>
      <w:r w:rsidR="00C1527E">
        <w:rPr>
          <w:rFonts w:eastAsia="Times New Roman"/>
        </w:rPr>
        <w:t>,</w:t>
      </w:r>
      <w:r w:rsidRPr="00413DF2">
        <w:rPr>
          <w:rFonts w:eastAsia="Times New Roman"/>
        </w:rPr>
        <w:t xml:space="preserve"> causing 44 deaths and a</w:t>
      </w:r>
      <w:r w:rsidR="009C68B6">
        <w:rPr>
          <w:rFonts w:eastAsia="Times New Roman"/>
        </w:rPr>
        <w:t xml:space="preserve">ffecting up to </w:t>
      </w:r>
      <w:r w:rsidR="00694B15">
        <w:rPr>
          <w:rFonts w:eastAsia="Times New Roman"/>
        </w:rPr>
        <w:t>500</w:t>
      </w:r>
      <w:r w:rsidR="009C68B6">
        <w:rPr>
          <w:rFonts w:eastAsia="Times New Roman"/>
        </w:rPr>
        <w:t>,000 people</w:t>
      </w:r>
      <w:r w:rsidR="00B22B76">
        <w:rPr>
          <w:rFonts w:eastAsia="Times New Roman"/>
        </w:rPr>
        <w:t xml:space="preserve">. </w:t>
      </w:r>
      <w:r w:rsidR="00895492" w:rsidRPr="00413DF2">
        <w:rPr>
          <w:rFonts w:eastAsia="Times New Roman"/>
        </w:rPr>
        <w:t>Entire communities were destroyed</w:t>
      </w:r>
      <w:r w:rsidR="00133662">
        <w:rPr>
          <w:rFonts w:eastAsia="Times New Roman"/>
        </w:rPr>
        <w:t xml:space="preserve"> </w:t>
      </w:r>
      <w:r w:rsidR="00605F44">
        <w:rPr>
          <w:rFonts w:eastAsia="Times New Roman"/>
        </w:rPr>
        <w:t xml:space="preserve">by winds, flooding and tidal surges, </w:t>
      </w:r>
      <w:r w:rsidR="00133662">
        <w:rPr>
          <w:rFonts w:eastAsia="Times New Roman"/>
        </w:rPr>
        <w:t xml:space="preserve">and </w:t>
      </w:r>
      <w:r w:rsidR="00895492" w:rsidRPr="00413DF2">
        <w:rPr>
          <w:rFonts w:eastAsia="Times New Roman"/>
        </w:rPr>
        <w:t>power and communications systems were lost</w:t>
      </w:r>
      <w:r w:rsidR="00B22B76">
        <w:rPr>
          <w:rFonts w:eastAsia="Times New Roman"/>
        </w:rPr>
        <w:t xml:space="preserve">. </w:t>
      </w:r>
      <w:r w:rsidR="00895492" w:rsidRPr="00413DF2">
        <w:rPr>
          <w:rFonts w:eastAsia="Times New Roman"/>
        </w:rPr>
        <w:t xml:space="preserve">The cyclone destroyed crops on a large scale and compromised the livelihoods of almost 60 </w:t>
      </w:r>
      <w:r w:rsidR="00293EF2">
        <w:rPr>
          <w:rFonts w:eastAsia="Times New Roman"/>
        </w:rPr>
        <w:t>per cent</w:t>
      </w:r>
      <w:r w:rsidR="00895492" w:rsidRPr="00413DF2">
        <w:rPr>
          <w:rFonts w:eastAsia="Times New Roman"/>
        </w:rPr>
        <w:t xml:space="preserve"> of Fiji’s population</w:t>
      </w:r>
      <w:r w:rsidR="00694B15">
        <w:rPr>
          <w:rFonts w:eastAsia="Times New Roman"/>
        </w:rPr>
        <w:t>.</w:t>
      </w:r>
      <w:r w:rsidR="00133662">
        <w:rPr>
          <w:rStyle w:val="FootnoteReference"/>
          <w:rFonts w:eastAsia="Times New Roman"/>
        </w:rPr>
        <w:footnoteReference w:id="16"/>
      </w:r>
      <w:r w:rsidR="00B22B76">
        <w:rPr>
          <w:rFonts w:eastAsia="Times New Roman"/>
        </w:rPr>
        <w:t xml:space="preserve"> </w:t>
      </w:r>
      <w:r w:rsidR="003C457D">
        <w:t>DFAT led a whole-of-</w:t>
      </w:r>
      <w:r w:rsidR="003C457D" w:rsidRPr="003C457D">
        <w:rPr>
          <w:rFonts w:eastAsia="Times New Roman"/>
        </w:rPr>
        <w:t>government crisis response to T</w:t>
      </w:r>
      <w:r w:rsidR="00694B15">
        <w:rPr>
          <w:rFonts w:eastAsia="Times New Roman"/>
        </w:rPr>
        <w:t>C</w:t>
      </w:r>
      <w:r w:rsidR="004E0D1B">
        <w:rPr>
          <w:rFonts w:eastAsia="Times New Roman"/>
        </w:rPr>
        <w:t xml:space="preserve"> </w:t>
      </w:r>
      <w:r w:rsidR="003C457D" w:rsidRPr="003C457D">
        <w:rPr>
          <w:rFonts w:eastAsia="Times New Roman"/>
        </w:rPr>
        <w:t>Winston</w:t>
      </w:r>
      <w:r w:rsidR="002D2FAD">
        <w:rPr>
          <w:rFonts w:eastAsia="Times New Roman"/>
        </w:rPr>
        <w:t xml:space="preserve">. The </w:t>
      </w:r>
      <w:r w:rsidR="003C457D" w:rsidRPr="003C457D">
        <w:rPr>
          <w:rFonts w:eastAsia="Times New Roman"/>
        </w:rPr>
        <w:t>After Action Review</w:t>
      </w:r>
      <w:r w:rsidR="002D2FAD">
        <w:rPr>
          <w:rFonts w:eastAsia="Times New Roman"/>
        </w:rPr>
        <w:t xml:space="preserve"> of the Australian Government response </w:t>
      </w:r>
      <w:r w:rsidR="003C457D" w:rsidRPr="003C457D">
        <w:rPr>
          <w:rFonts w:eastAsia="Times New Roman"/>
        </w:rPr>
        <w:t xml:space="preserve">found </w:t>
      </w:r>
      <w:r w:rsidR="00500711">
        <w:rPr>
          <w:rFonts w:eastAsia="Times New Roman"/>
        </w:rPr>
        <w:t>the</w:t>
      </w:r>
      <w:r w:rsidR="003C457D" w:rsidRPr="003C457D">
        <w:rPr>
          <w:rFonts w:eastAsia="Times New Roman"/>
        </w:rPr>
        <w:t xml:space="preserve"> systems were timely, effective and efficient</w:t>
      </w:r>
      <w:r w:rsidR="003C457D">
        <w:rPr>
          <w:rFonts w:eastAsia="Times New Roman"/>
        </w:rPr>
        <w:t>, resulting in a green rating for this objective.</w:t>
      </w:r>
    </w:p>
    <w:p w14:paraId="13229439" w14:textId="77777777" w:rsidR="00967531" w:rsidRPr="00080275" w:rsidRDefault="00F05CBC" w:rsidP="00967531">
      <w:pPr>
        <w:spacing w:after="120" w:line="280" w:lineRule="exact"/>
        <w:rPr>
          <w:rFonts w:eastAsia="Times New Roman"/>
        </w:rPr>
      </w:pPr>
      <w:r w:rsidRPr="004879A3">
        <w:rPr>
          <w:rFonts w:eastAsia="Times New Roman"/>
        </w:rPr>
        <w:t xml:space="preserve">Australia </w:t>
      </w:r>
      <w:r w:rsidR="00C51B0D">
        <w:rPr>
          <w:rFonts w:eastAsia="Times New Roman"/>
        </w:rPr>
        <w:t xml:space="preserve">provided </w:t>
      </w:r>
      <w:r w:rsidR="004879A3" w:rsidRPr="004879A3">
        <w:rPr>
          <w:rFonts w:eastAsia="Times New Roman"/>
        </w:rPr>
        <w:t xml:space="preserve">Fiji </w:t>
      </w:r>
      <w:r w:rsidR="00C51B0D">
        <w:rPr>
          <w:rFonts w:eastAsia="Times New Roman"/>
        </w:rPr>
        <w:t>with a</w:t>
      </w:r>
      <w:r w:rsidR="00A06CF2">
        <w:rPr>
          <w:rFonts w:eastAsia="Times New Roman"/>
        </w:rPr>
        <w:t>n immediate</w:t>
      </w:r>
      <w:r w:rsidRPr="004879A3">
        <w:rPr>
          <w:rFonts w:eastAsia="Times New Roman"/>
        </w:rPr>
        <w:t xml:space="preserve"> </w:t>
      </w:r>
      <w:r w:rsidR="00413DF2" w:rsidRPr="004879A3">
        <w:rPr>
          <w:rFonts w:eastAsia="Times New Roman"/>
        </w:rPr>
        <w:t>package</w:t>
      </w:r>
      <w:r w:rsidR="000E0566">
        <w:rPr>
          <w:rFonts w:eastAsia="Times New Roman"/>
        </w:rPr>
        <w:t xml:space="preserve"> of assistance</w:t>
      </w:r>
      <w:r w:rsidR="00413DF2" w:rsidRPr="004879A3">
        <w:rPr>
          <w:rFonts w:eastAsia="Times New Roman"/>
        </w:rPr>
        <w:t xml:space="preserve"> </w:t>
      </w:r>
      <w:r w:rsidR="009F1421">
        <w:rPr>
          <w:rFonts w:eastAsia="Times New Roman"/>
        </w:rPr>
        <w:t xml:space="preserve">that reached </w:t>
      </w:r>
      <w:r w:rsidR="00A47F8E">
        <w:rPr>
          <w:rFonts w:eastAsia="Times New Roman"/>
        </w:rPr>
        <w:t xml:space="preserve">over 200,000 </w:t>
      </w:r>
      <w:r w:rsidR="00866069">
        <w:rPr>
          <w:rFonts w:eastAsia="Times New Roman"/>
        </w:rPr>
        <w:t>people</w:t>
      </w:r>
      <w:r w:rsidR="00694B15">
        <w:rPr>
          <w:rFonts w:eastAsia="Times New Roman"/>
        </w:rPr>
        <w:t xml:space="preserve"> and </w:t>
      </w:r>
      <w:r w:rsidR="00A06CF2">
        <w:rPr>
          <w:rFonts w:eastAsia="Times New Roman"/>
        </w:rPr>
        <w:t>included</w:t>
      </w:r>
      <w:r w:rsidRPr="004879A3">
        <w:rPr>
          <w:rFonts w:eastAsia="Times New Roman"/>
        </w:rPr>
        <w:t xml:space="preserve"> relief </w:t>
      </w:r>
      <w:r w:rsidR="00413DF2" w:rsidRPr="004879A3">
        <w:rPr>
          <w:rFonts w:eastAsia="Times New Roman"/>
        </w:rPr>
        <w:t>supplies</w:t>
      </w:r>
      <w:r w:rsidRPr="004879A3">
        <w:rPr>
          <w:rFonts w:eastAsia="Times New Roman"/>
        </w:rPr>
        <w:t xml:space="preserve"> </w:t>
      </w:r>
      <w:r w:rsidR="00895492" w:rsidRPr="004879A3">
        <w:rPr>
          <w:rFonts w:eastAsia="Times New Roman"/>
        </w:rPr>
        <w:t>such as shelter</w:t>
      </w:r>
      <w:r w:rsidR="00F23D74">
        <w:rPr>
          <w:rFonts w:eastAsia="Times New Roman"/>
        </w:rPr>
        <w:t>,</w:t>
      </w:r>
      <w:r w:rsidR="00895492" w:rsidRPr="004879A3">
        <w:rPr>
          <w:rFonts w:eastAsia="Times New Roman"/>
        </w:rPr>
        <w:t xml:space="preserve"> water</w:t>
      </w:r>
      <w:r w:rsidR="00A47F8E">
        <w:rPr>
          <w:rFonts w:eastAsia="Times New Roman"/>
        </w:rPr>
        <w:t xml:space="preserve">, </w:t>
      </w:r>
      <w:r w:rsidR="00135BCD">
        <w:rPr>
          <w:rFonts w:eastAsia="Times New Roman"/>
        </w:rPr>
        <w:t>food,</w:t>
      </w:r>
      <w:r w:rsidR="00F23D74">
        <w:rPr>
          <w:rFonts w:eastAsia="Times New Roman"/>
        </w:rPr>
        <w:t xml:space="preserve"> hygiene items,</w:t>
      </w:r>
      <w:r w:rsidR="00135BCD">
        <w:rPr>
          <w:rFonts w:eastAsia="Times New Roman"/>
        </w:rPr>
        <w:t xml:space="preserve"> </w:t>
      </w:r>
      <w:r w:rsidR="00A47F8E">
        <w:rPr>
          <w:rFonts w:eastAsia="Times New Roman"/>
        </w:rPr>
        <w:t>emergency health care</w:t>
      </w:r>
      <w:r w:rsidR="00F23D74">
        <w:rPr>
          <w:rFonts w:eastAsia="Times New Roman"/>
        </w:rPr>
        <w:t xml:space="preserve"> and access to education</w:t>
      </w:r>
      <w:r w:rsidR="00B22B76">
        <w:rPr>
          <w:rFonts w:eastAsia="Times New Roman"/>
        </w:rPr>
        <w:t xml:space="preserve">. </w:t>
      </w:r>
      <w:r w:rsidR="00605F44">
        <w:rPr>
          <w:rFonts w:eastAsia="Times New Roman"/>
        </w:rPr>
        <w:t>Working closely with the Government of Fiji</w:t>
      </w:r>
      <w:r w:rsidR="00611323">
        <w:rPr>
          <w:rFonts w:eastAsia="Times New Roman"/>
        </w:rPr>
        <w:t>, Australia</w:t>
      </w:r>
      <w:r w:rsidR="00135BCD">
        <w:rPr>
          <w:rFonts w:eastAsia="Times New Roman"/>
        </w:rPr>
        <w:t xml:space="preserve"> prioritised</w:t>
      </w:r>
      <w:r w:rsidR="00611323">
        <w:rPr>
          <w:rFonts w:eastAsia="Times New Roman"/>
        </w:rPr>
        <w:t xml:space="preserve"> getting children back to school as quickly as possible</w:t>
      </w:r>
      <w:r w:rsidR="00D218F4">
        <w:rPr>
          <w:rFonts w:eastAsia="Times New Roman"/>
        </w:rPr>
        <w:t>.</w:t>
      </w:r>
      <w:r w:rsidR="00B22B76">
        <w:rPr>
          <w:rFonts w:eastAsia="Times New Roman"/>
        </w:rPr>
        <w:t xml:space="preserve"> </w:t>
      </w:r>
      <w:r w:rsidR="004E0D1B">
        <w:rPr>
          <w:rFonts w:eastAsia="Times New Roman"/>
        </w:rPr>
        <w:t xml:space="preserve">In addition to assistance provided through AQEP, </w:t>
      </w:r>
      <w:r w:rsidR="00611323">
        <w:rPr>
          <w:rFonts w:eastAsia="Times New Roman"/>
        </w:rPr>
        <w:t>Australia worked with Fiji’s MoE</w:t>
      </w:r>
      <w:r w:rsidR="00694B15">
        <w:rPr>
          <w:rFonts w:eastAsia="Times New Roman"/>
        </w:rPr>
        <w:t>,</w:t>
      </w:r>
      <w:r w:rsidR="00611323">
        <w:rPr>
          <w:rFonts w:eastAsia="Times New Roman"/>
        </w:rPr>
        <w:t xml:space="preserve"> UNICEF and Save the Children to provide</w:t>
      </w:r>
      <w:r w:rsidR="00135BCD">
        <w:rPr>
          <w:rFonts w:eastAsia="Times New Roman"/>
        </w:rPr>
        <w:t xml:space="preserve"> temporary learning </w:t>
      </w:r>
      <w:r w:rsidR="00611323">
        <w:rPr>
          <w:rFonts w:eastAsia="Times New Roman"/>
        </w:rPr>
        <w:t>spaces</w:t>
      </w:r>
      <w:r w:rsidR="00C51B0D">
        <w:rPr>
          <w:rFonts w:eastAsia="Times New Roman"/>
        </w:rPr>
        <w:t xml:space="preserve"> </w:t>
      </w:r>
      <w:r w:rsidR="009C68B6">
        <w:rPr>
          <w:rFonts w:eastAsia="Times New Roman"/>
        </w:rPr>
        <w:t xml:space="preserve">and </w:t>
      </w:r>
      <w:r w:rsidR="00135BCD">
        <w:rPr>
          <w:rFonts w:eastAsia="Times New Roman"/>
        </w:rPr>
        <w:t>education</w:t>
      </w:r>
      <w:r w:rsidR="00611323">
        <w:rPr>
          <w:rFonts w:eastAsia="Times New Roman"/>
        </w:rPr>
        <w:t>al</w:t>
      </w:r>
      <w:r w:rsidR="00135BCD">
        <w:rPr>
          <w:rFonts w:eastAsia="Times New Roman"/>
        </w:rPr>
        <w:t xml:space="preserve"> materials</w:t>
      </w:r>
      <w:r w:rsidR="00C51B0D">
        <w:rPr>
          <w:rFonts w:eastAsia="Times New Roman"/>
        </w:rPr>
        <w:t xml:space="preserve"> </w:t>
      </w:r>
      <w:r w:rsidR="00CD4761">
        <w:rPr>
          <w:rFonts w:eastAsia="Times New Roman"/>
        </w:rPr>
        <w:t>in affected areas</w:t>
      </w:r>
      <w:r w:rsidR="00B22B76">
        <w:rPr>
          <w:rFonts w:eastAsia="Times New Roman"/>
        </w:rPr>
        <w:t xml:space="preserve">. </w:t>
      </w:r>
      <w:r w:rsidR="009C68B6">
        <w:rPr>
          <w:rFonts w:eastAsia="Times New Roman"/>
        </w:rPr>
        <w:t>We also restored</w:t>
      </w:r>
      <w:r w:rsidR="00611323">
        <w:rPr>
          <w:rFonts w:eastAsia="Times New Roman"/>
        </w:rPr>
        <w:t xml:space="preserve"> water and </w:t>
      </w:r>
      <w:r w:rsidR="009C68B6">
        <w:rPr>
          <w:rFonts w:eastAsia="Times New Roman"/>
        </w:rPr>
        <w:t>sanitation facilities, provided</w:t>
      </w:r>
      <w:r w:rsidR="00611323">
        <w:rPr>
          <w:rFonts w:eastAsia="Times New Roman"/>
        </w:rPr>
        <w:t xml:space="preserve"> psychosocial support to teachers and children</w:t>
      </w:r>
      <w:r w:rsidR="00026F49">
        <w:rPr>
          <w:rFonts w:eastAsia="Times New Roman"/>
        </w:rPr>
        <w:t>,</w:t>
      </w:r>
      <w:r w:rsidR="00135BCD">
        <w:rPr>
          <w:rFonts w:eastAsia="Times New Roman"/>
        </w:rPr>
        <w:t xml:space="preserve"> and </w:t>
      </w:r>
      <w:r w:rsidR="00A06CF2">
        <w:rPr>
          <w:rFonts w:eastAsia="Times New Roman"/>
        </w:rPr>
        <w:t>facilitated</w:t>
      </w:r>
      <w:r w:rsidR="00135BCD">
        <w:rPr>
          <w:rFonts w:eastAsia="Times New Roman"/>
        </w:rPr>
        <w:t xml:space="preserve"> school feeding programs </w:t>
      </w:r>
      <w:r w:rsidR="00E656E7">
        <w:rPr>
          <w:rFonts w:eastAsia="Times New Roman"/>
        </w:rPr>
        <w:t>in</w:t>
      </w:r>
      <w:r w:rsidR="00135BCD">
        <w:rPr>
          <w:rFonts w:eastAsia="Times New Roman"/>
        </w:rPr>
        <w:t xml:space="preserve"> affected communities</w:t>
      </w:r>
      <w:r w:rsidR="00B22B76">
        <w:rPr>
          <w:rFonts w:eastAsia="Times New Roman"/>
        </w:rPr>
        <w:t xml:space="preserve">. </w:t>
      </w:r>
      <w:r w:rsidR="00967531" w:rsidRPr="00D54CE5">
        <w:rPr>
          <w:rFonts w:eastAsia="Times New Roman"/>
        </w:rPr>
        <w:t>Australia also provided Psychological First Aid (PFA) to 6</w:t>
      </w:r>
      <w:r w:rsidR="00022A01">
        <w:rPr>
          <w:rFonts w:eastAsia="Times New Roman"/>
        </w:rPr>
        <w:t>,</w:t>
      </w:r>
      <w:r w:rsidR="00967531" w:rsidRPr="00D54CE5">
        <w:rPr>
          <w:rFonts w:eastAsia="Times New Roman"/>
        </w:rPr>
        <w:t xml:space="preserve">049 children in the Western, Central and Northern Divisions through </w:t>
      </w:r>
      <w:r w:rsidR="00CD4761">
        <w:rPr>
          <w:rFonts w:eastAsia="Times New Roman"/>
        </w:rPr>
        <w:t xml:space="preserve">local NGOs </w:t>
      </w:r>
      <w:r w:rsidR="00967531" w:rsidRPr="00D54CE5">
        <w:rPr>
          <w:rFonts w:eastAsia="Times New Roman"/>
        </w:rPr>
        <w:t>Lifeline, Transcend Oceania and Empower Pacific</w:t>
      </w:r>
      <w:r w:rsidR="00B22B76">
        <w:rPr>
          <w:rFonts w:eastAsia="Times New Roman"/>
        </w:rPr>
        <w:t xml:space="preserve">. </w:t>
      </w:r>
      <w:r w:rsidR="00967531" w:rsidRPr="007C337B">
        <w:rPr>
          <w:rFonts w:eastAsia="Times New Roman"/>
        </w:rPr>
        <w:t xml:space="preserve">  </w:t>
      </w:r>
    </w:p>
    <w:p w14:paraId="309D00FC" w14:textId="77777777" w:rsidR="009C68B6" w:rsidRDefault="00611323" w:rsidP="004879A3">
      <w:pPr>
        <w:spacing w:after="120" w:line="280" w:lineRule="exact"/>
        <w:rPr>
          <w:rFonts w:eastAsia="Times New Roman"/>
        </w:rPr>
      </w:pPr>
      <w:r>
        <w:rPr>
          <w:rFonts w:eastAsia="Times New Roman"/>
        </w:rPr>
        <w:t>Australia</w:t>
      </w:r>
      <w:r w:rsidR="008925D9">
        <w:rPr>
          <w:rFonts w:eastAsia="Times New Roman"/>
        </w:rPr>
        <w:t xml:space="preserve"> worked closely with Fiji’s </w:t>
      </w:r>
      <w:r w:rsidR="009F1421">
        <w:rPr>
          <w:rFonts w:eastAsia="Times New Roman"/>
        </w:rPr>
        <w:t>M</w:t>
      </w:r>
      <w:r w:rsidR="00F27056">
        <w:rPr>
          <w:rFonts w:eastAsia="Times New Roman"/>
        </w:rPr>
        <w:t xml:space="preserve">inistry </w:t>
      </w:r>
      <w:r w:rsidR="009F1421">
        <w:rPr>
          <w:rFonts w:eastAsia="Times New Roman"/>
        </w:rPr>
        <w:t>o</w:t>
      </w:r>
      <w:r w:rsidR="00F27056">
        <w:rPr>
          <w:rFonts w:eastAsia="Times New Roman"/>
        </w:rPr>
        <w:t xml:space="preserve">f </w:t>
      </w:r>
      <w:r w:rsidR="009F1421">
        <w:rPr>
          <w:rFonts w:eastAsia="Times New Roman"/>
        </w:rPr>
        <w:t>H</w:t>
      </w:r>
      <w:r w:rsidR="00F27056">
        <w:rPr>
          <w:rFonts w:eastAsia="Times New Roman"/>
        </w:rPr>
        <w:t xml:space="preserve">ealth and </w:t>
      </w:r>
      <w:r w:rsidR="009F1421">
        <w:rPr>
          <w:rFonts w:eastAsia="Times New Roman"/>
        </w:rPr>
        <w:t>M</w:t>
      </w:r>
      <w:r w:rsidR="00F27056">
        <w:rPr>
          <w:rFonts w:eastAsia="Times New Roman"/>
        </w:rPr>
        <w:t xml:space="preserve">edical </w:t>
      </w:r>
      <w:r w:rsidR="009F1421">
        <w:rPr>
          <w:rFonts w:eastAsia="Times New Roman"/>
        </w:rPr>
        <w:t>S</w:t>
      </w:r>
      <w:r w:rsidR="00F27056">
        <w:rPr>
          <w:rFonts w:eastAsia="Times New Roman"/>
        </w:rPr>
        <w:t>ervices</w:t>
      </w:r>
      <w:r w:rsidR="008925D9">
        <w:rPr>
          <w:rFonts w:eastAsia="Times New Roman"/>
        </w:rPr>
        <w:t xml:space="preserve"> to</w:t>
      </w:r>
      <w:r>
        <w:rPr>
          <w:rFonts w:eastAsia="Times New Roman"/>
        </w:rPr>
        <w:t xml:space="preserve"> ensure that essential health services reached affected communities</w:t>
      </w:r>
      <w:r w:rsidR="00B22B76">
        <w:rPr>
          <w:rFonts w:eastAsia="Times New Roman"/>
        </w:rPr>
        <w:t xml:space="preserve">. </w:t>
      </w:r>
      <w:r w:rsidR="00F16381">
        <w:rPr>
          <w:rFonts w:eastAsia="Times New Roman"/>
        </w:rPr>
        <w:t>Australian personnel were deployed within two days</w:t>
      </w:r>
      <w:r w:rsidR="00B22B76">
        <w:rPr>
          <w:rFonts w:eastAsia="Times New Roman"/>
        </w:rPr>
        <w:t xml:space="preserve">. </w:t>
      </w:r>
      <w:r>
        <w:rPr>
          <w:rFonts w:eastAsia="Times New Roman"/>
        </w:rPr>
        <w:t>A 21-person Australian Medical Assistance Team provided emergency health care to over 1,700 people in rur</w:t>
      </w:r>
      <w:r w:rsidR="00E656E7">
        <w:rPr>
          <w:rFonts w:eastAsia="Times New Roman"/>
        </w:rPr>
        <w:t>al and remote communities</w:t>
      </w:r>
      <w:r w:rsidR="00B22B76">
        <w:rPr>
          <w:rFonts w:eastAsia="Times New Roman"/>
        </w:rPr>
        <w:t xml:space="preserve">. </w:t>
      </w:r>
      <w:r>
        <w:rPr>
          <w:rFonts w:eastAsia="Times New Roman"/>
        </w:rPr>
        <w:t>Australia helped to</w:t>
      </w:r>
      <w:r w:rsidR="008925D9">
        <w:rPr>
          <w:rFonts w:eastAsia="Times New Roman"/>
        </w:rPr>
        <w:t xml:space="preserve"> establish temporary health care facilities in three locations where clinics were destroyed</w:t>
      </w:r>
      <w:r w:rsidR="00C31990">
        <w:rPr>
          <w:rFonts w:eastAsia="Times New Roman"/>
        </w:rPr>
        <w:t>,</w:t>
      </w:r>
      <w:r w:rsidR="008925D9">
        <w:rPr>
          <w:rFonts w:eastAsia="Times New Roman"/>
        </w:rPr>
        <w:t xml:space="preserve"> and provided support to re-establish cold-chain vaccination storage facilities</w:t>
      </w:r>
      <w:r w:rsidR="00C51B0D">
        <w:rPr>
          <w:rFonts w:eastAsia="Times New Roman"/>
        </w:rPr>
        <w:t xml:space="preserve"> </w:t>
      </w:r>
      <w:r>
        <w:rPr>
          <w:rFonts w:eastAsia="Times New Roman"/>
        </w:rPr>
        <w:t>so that life-saving vaccines continued to reach affected communities</w:t>
      </w:r>
      <w:r w:rsidR="00B22B76">
        <w:rPr>
          <w:rFonts w:eastAsia="Times New Roman"/>
        </w:rPr>
        <w:t xml:space="preserve">. </w:t>
      </w:r>
      <w:r w:rsidR="005F3167">
        <w:rPr>
          <w:rFonts w:eastAsia="Times New Roman"/>
        </w:rPr>
        <w:t>Sixty</w:t>
      </w:r>
      <w:r w:rsidR="002C032D">
        <w:rPr>
          <w:rFonts w:eastAsia="Times New Roman"/>
        </w:rPr>
        <w:t xml:space="preserve"> members of </w:t>
      </w:r>
      <w:r w:rsidR="002C032D" w:rsidRPr="00687A79">
        <w:rPr>
          <w:rFonts w:eastAsia="Times New Roman"/>
        </w:rPr>
        <w:t>DFAT’</w:t>
      </w:r>
      <w:r w:rsidR="002C032D" w:rsidRPr="00896351">
        <w:rPr>
          <w:rFonts w:eastAsia="Times New Roman"/>
        </w:rPr>
        <w:t>s</w:t>
      </w:r>
      <w:r w:rsidR="002C032D">
        <w:rPr>
          <w:rFonts w:eastAsia="Times New Roman"/>
        </w:rPr>
        <w:t xml:space="preserve"> Crisis Response Team were </w:t>
      </w:r>
      <w:r w:rsidR="009C68B6">
        <w:rPr>
          <w:rFonts w:eastAsia="Times New Roman"/>
        </w:rPr>
        <w:t>positioned</w:t>
      </w:r>
      <w:r w:rsidR="002C032D">
        <w:rPr>
          <w:rFonts w:eastAsia="Times New Roman"/>
        </w:rPr>
        <w:t xml:space="preserve"> </w:t>
      </w:r>
      <w:r w:rsidR="009C68B6">
        <w:rPr>
          <w:rFonts w:eastAsia="Times New Roman"/>
        </w:rPr>
        <w:t xml:space="preserve">in Fiji to support the response, </w:t>
      </w:r>
      <w:r w:rsidR="002C032D">
        <w:rPr>
          <w:rFonts w:eastAsia="Times New Roman"/>
        </w:rPr>
        <w:t>and DFAT stood up its crisis centre in Canberra</w:t>
      </w:r>
      <w:r w:rsidR="00B22B76">
        <w:rPr>
          <w:rFonts w:eastAsia="Times New Roman"/>
        </w:rPr>
        <w:t xml:space="preserve">. </w:t>
      </w:r>
    </w:p>
    <w:p w14:paraId="123B98D2" w14:textId="77777777" w:rsidR="004879A3" w:rsidRPr="004879A3" w:rsidRDefault="005F3167" w:rsidP="004879A3">
      <w:pPr>
        <w:spacing w:after="120" w:line="280" w:lineRule="exact"/>
        <w:rPr>
          <w:rFonts w:eastAsia="Times New Roman"/>
        </w:rPr>
      </w:pPr>
      <w:r>
        <w:rPr>
          <w:rFonts w:eastAsia="Times New Roman"/>
        </w:rPr>
        <w:t xml:space="preserve">Approximately </w:t>
      </w:r>
      <w:r w:rsidR="002C032D">
        <w:rPr>
          <w:rFonts w:eastAsia="Times New Roman"/>
        </w:rPr>
        <w:t>1</w:t>
      </w:r>
      <w:r w:rsidR="00A06CF2">
        <w:rPr>
          <w:rFonts w:eastAsia="Times New Roman"/>
        </w:rPr>
        <w:t>,</w:t>
      </w:r>
      <w:r w:rsidR="002C032D">
        <w:rPr>
          <w:rFonts w:eastAsia="Times New Roman"/>
        </w:rPr>
        <w:t xml:space="preserve">000 Australian Defence Force </w:t>
      </w:r>
      <w:r>
        <w:rPr>
          <w:rFonts w:eastAsia="Times New Roman"/>
        </w:rPr>
        <w:t xml:space="preserve">(ADF) </w:t>
      </w:r>
      <w:r w:rsidR="002C032D">
        <w:rPr>
          <w:rFonts w:eastAsia="Times New Roman"/>
        </w:rPr>
        <w:t>personnel were deployed to deliver humanitarian assistance and support immediate repair work on critical infrastructure</w:t>
      </w:r>
      <w:r w:rsidR="00B22B76">
        <w:rPr>
          <w:rFonts w:eastAsia="Times New Roman"/>
        </w:rPr>
        <w:t xml:space="preserve">. </w:t>
      </w:r>
      <w:r w:rsidR="009C68B6">
        <w:rPr>
          <w:rFonts w:eastAsia="Times New Roman"/>
        </w:rPr>
        <w:t>S</w:t>
      </w:r>
      <w:r w:rsidR="004879A3" w:rsidRPr="004879A3">
        <w:rPr>
          <w:rFonts w:eastAsia="Times New Roman"/>
        </w:rPr>
        <w:t xml:space="preserve">ignificant ADF assets </w:t>
      </w:r>
      <w:r w:rsidR="009C68B6">
        <w:rPr>
          <w:rFonts w:eastAsia="Times New Roman"/>
        </w:rPr>
        <w:t xml:space="preserve">were used </w:t>
      </w:r>
      <w:r w:rsidR="004879A3" w:rsidRPr="004879A3">
        <w:rPr>
          <w:rFonts w:eastAsia="Times New Roman"/>
        </w:rPr>
        <w:t>under Operation F</w:t>
      </w:r>
      <w:r w:rsidR="004E0D1B">
        <w:rPr>
          <w:rFonts w:eastAsia="Times New Roman"/>
        </w:rPr>
        <w:t>IJI ASSIST</w:t>
      </w:r>
      <w:r w:rsidR="004879A3" w:rsidRPr="004879A3">
        <w:rPr>
          <w:rFonts w:eastAsia="Times New Roman"/>
        </w:rPr>
        <w:t>, including surveillance aircraft</w:t>
      </w:r>
      <w:r w:rsidR="00026F49">
        <w:rPr>
          <w:rFonts w:eastAsia="Times New Roman"/>
        </w:rPr>
        <w:t xml:space="preserve">, </w:t>
      </w:r>
      <w:r w:rsidR="004879A3" w:rsidRPr="004879A3">
        <w:rPr>
          <w:rFonts w:eastAsia="Times New Roman"/>
        </w:rPr>
        <w:t>seven MRH-90 helicopters</w:t>
      </w:r>
      <w:r w:rsidR="009C68B6">
        <w:rPr>
          <w:rFonts w:eastAsia="Times New Roman"/>
        </w:rPr>
        <w:t>, and r</w:t>
      </w:r>
      <w:r w:rsidR="004879A3" w:rsidRPr="004879A3">
        <w:rPr>
          <w:rFonts w:eastAsia="Times New Roman"/>
        </w:rPr>
        <w:t>egular C-17 and C-130 flights</w:t>
      </w:r>
      <w:r w:rsidR="009C68B6">
        <w:rPr>
          <w:rFonts w:eastAsia="Times New Roman"/>
        </w:rPr>
        <w:t xml:space="preserve"> that</w:t>
      </w:r>
      <w:r w:rsidR="004879A3" w:rsidRPr="004879A3">
        <w:rPr>
          <w:rFonts w:eastAsia="Times New Roman"/>
        </w:rPr>
        <w:t xml:space="preserve"> delivered over 520 tonnes of humanitarian supplies and equipment</w:t>
      </w:r>
      <w:r w:rsidR="00B22B76">
        <w:rPr>
          <w:rFonts w:eastAsia="Times New Roman"/>
        </w:rPr>
        <w:t xml:space="preserve">. </w:t>
      </w:r>
      <w:r w:rsidR="004879A3" w:rsidRPr="004879A3">
        <w:rPr>
          <w:rFonts w:eastAsia="Times New Roman"/>
        </w:rPr>
        <w:t xml:space="preserve">HMAS </w:t>
      </w:r>
      <w:r w:rsidR="004879A3" w:rsidRPr="004879A3">
        <w:rPr>
          <w:rFonts w:eastAsia="Times New Roman"/>
          <w:i/>
        </w:rPr>
        <w:t>Canberra</w:t>
      </w:r>
      <w:r w:rsidR="004879A3">
        <w:rPr>
          <w:rFonts w:eastAsia="Times New Roman"/>
        </w:rPr>
        <w:t xml:space="preserve"> was deployed</w:t>
      </w:r>
      <w:r w:rsidR="002C032D">
        <w:rPr>
          <w:rFonts w:eastAsia="Times New Roman"/>
        </w:rPr>
        <w:t xml:space="preserve"> for its first operation</w:t>
      </w:r>
      <w:r w:rsidR="004879A3" w:rsidRPr="004879A3">
        <w:rPr>
          <w:rFonts w:eastAsia="Times New Roman"/>
        </w:rPr>
        <w:t xml:space="preserve"> loaded with engineering assets, helicopters, water purification equipment and humanitarian supplies</w:t>
      </w:r>
      <w:r w:rsidR="00B22B76">
        <w:rPr>
          <w:rFonts w:eastAsia="Times New Roman"/>
        </w:rPr>
        <w:t xml:space="preserve">. </w:t>
      </w:r>
      <w:r w:rsidR="007B1B01">
        <w:rPr>
          <w:rFonts w:eastAsia="Times New Roman"/>
        </w:rPr>
        <w:t>It</w:t>
      </w:r>
      <w:r w:rsidR="009C68B6">
        <w:rPr>
          <w:rFonts w:eastAsia="Times New Roman"/>
        </w:rPr>
        <w:t xml:space="preserve"> was p</w:t>
      </w:r>
      <w:r w:rsidR="004879A3" w:rsidRPr="004879A3">
        <w:rPr>
          <w:rFonts w:eastAsia="Times New Roman"/>
        </w:rPr>
        <w:t xml:space="preserve">ositioned off the island of Koro, </w:t>
      </w:r>
      <w:r w:rsidR="00A06CF2">
        <w:rPr>
          <w:rFonts w:eastAsia="Times New Roman"/>
        </w:rPr>
        <w:t xml:space="preserve">where </w:t>
      </w:r>
      <w:r w:rsidR="004879A3" w:rsidRPr="004879A3">
        <w:rPr>
          <w:rFonts w:eastAsia="Times New Roman"/>
        </w:rPr>
        <w:t xml:space="preserve">ADF engineers helped to repair schools, </w:t>
      </w:r>
      <w:r w:rsidR="002C032D">
        <w:rPr>
          <w:rFonts w:eastAsia="Times New Roman"/>
        </w:rPr>
        <w:t>restore water and sanitation facilities</w:t>
      </w:r>
      <w:r w:rsidR="004879A3">
        <w:rPr>
          <w:rFonts w:eastAsia="Times New Roman"/>
        </w:rPr>
        <w:t xml:space="preserve"> and </w:t>
      </w:r>
      <w:r w:rsidR="004A7AE1">
        <w:rPr>
          <w:rFonts w:eastAsia="Times New Roman"/>
        </w:rPr>
        <w:t>clear debris</w:t>
      </w:r>
      <w:r w:rsidR="00B22B76">
        <w:rPr>
          <w:rFonts w:eastAsia="Times New Roman"/>
        </w:rPr>
        <w:t xml:space="preserve">. </w:t>
      </w:r>
      <w:r w:rsidR="004879A3" w:rsidRPr="004879A3">
        <w:rPr>
          <w:rFonts w:eastAsia="Times New Roman"/>
        </w:rPr>
        <w:t>The ADF deployment formally concluded its mission on 19 April</w:t>
      </w:r>
      <w:r w:rsidR="00F27056">
        <w:rPr>
          <w:rFonts w:eastAsia="Times New Roman"/>
        </w:rPr>
        <w:t xml:space="preserve"> 2016</w:t>
      </w:r>
      <w:r w:rsidR="004879A3" w:rsidRPr="004879A3">
        <w:rPr>
          <w:rFonts w:eastAsia="Times New Roman"/>
        </w:rPr>
        <w:t xml:space="preserve">, coinciding with the end of </w:t>
      </w:r>
      <w:r>
        <w:rPr>
          <w:rFonts w:eastAsia="Times New Roman"/>
        </w:rPr>
        <w:t>Fiji’s</w:t>
      </w:r>
      <w:r w:rsidR="004879A3" w:rsidRPr="004879A3">
        <w:rPr>
          <w:rFonts w:eastAsia="Times New Roman"/>
        </w:rPr>
        <w:t xml:space="preserve"> State of Natural Disaster.</w:t>
      </w:r>
    </w:p>
    <w:p w14:paraId="13625887" w14:textId="77777777" w:rsidR="00F16381" w:rsidRDefault="00F16381" w:rsidP="009C68B6">
      <w:pPr>
        <w:spacing w:after="120" w:line="280" w:lineRule="exact"/>
        <w:rPr>
          <w:rFonts w:eastAsia="Times New Roman"/>
        </w:rPr>
      </w:pPr>
      <w:r>
        <w:rPr>
          <w:rFonts w:eastAsia="Times New Roman"/>
        </w:rPr>
        <w:t xml:space="preserve">Australia’s </w:t>
      </w:r>
      <w:r w:rsidR="009F1421">
        <w:rPr>
          <w:rFonts w:eastAsia="Times New Roman"/>
        </w:rPr>
        <w:t>focus on</w:t>
      </w:r>
      <w:r>
        <w:rPr>
          <w:rFonts w:eastAsia="Times New Roman"/>
        </w:rPr>
        <w:t xml:space="preserve"> gender</w:t>
      </w:r>
      <w:r w:rsidR="009F1421">
        <w:rPr>
          <w:rFonts w:eastAsia="Times New Roman"/>
        </w:rPr>
        <w:t xml:space="preserve"> equality</w:t>
      </w:r>
      <w:r>
        <w:rPr>
          <w:rFonts w:eastAsia="Times New Roman"/>
        </w:rPr>
        <w:t xml:space="preserve"> and disability </w:t>
      </w:r>
      <w:r w:rsidR="009F1421">
        <w:rPr>
          <w:rFonts w:eastAsia="Times New Roman"/>
        </w:rPr>
        <w:t>inclusion</w:t>
      </w:r>
      <w:r>
        <w:rPr>
          <w:rFonts w:eastAsia="Times New Roman"/>
        </w:rPr>
        <w:t xml:space="preserve"> </w:t>
      </w:r>
      <w:r w:rsidR="0055340A">
        <w:rPr>
          <w:rFonts w:eastAsia="Times New Roman"/>
        </w:rPr>
        <w:t xml:space="preserve">featured prominently in </w:t>
      </w:r>
      <w:r>
        <w:rPr>
          <w:rFonts w:eastAsia="Times New Roman"/>
        </w:rPr>
        <w:t>our emergency response, as p</w:t>
      </w:r>
      <w:r w:rsidR="009C68B6">
        <w:rPr>
          <w:rFonts w:eastAsia="Times New Roman"/>
        </w:rPr>
        <w:t>rotection of the most vulnerable was paramount</w:t>
      </w:r>
      <w:r w:rsidR="00B22B76">
        <w:rPr>
          <w:rFonts w:eastAsia="Times New Roman"/>
        </w:rPr>
        <w:t xml:space="preserve">. </w:t>
      </w:r>
      <w:r w:rsidR="009C68B6">
        <w:rPr>
          <w:rFonts w:eastAsia="Times New Roman"/>
        </w:rPr>
        <w:t xml:space="preserve">Australian-funded prepositioned </w:t>
      </w:r>
      <w:r>
        <w:rPr>
          <w:rFonts w:eastAsia="Times New Roman"/>
        </w:rPr>
        <w:t>supplies</w:t>
      </w:r>
      <w:r w:rsidR="009C68B6">
        <w:rPr>
          <w:rFonts w:eastAsia="Times New Roman"/>
        </w:rPr>
        <w:t xml:space="preserve"> were distributed by partners within 48 hours</w:t>
      </w:r>
      <w:r w:rsidR="00B22B76">
        <w:rPr>
          <w:rFonts w:eastAsia="Times New Roman"/>
        </w:rPr>
        <w:t xml:space="preserve">. </w:t>
      </w:r>
      <w:r w:rsidR="00EB7494">
        <w:rPr>
          <w:rFonts w:eastAsia="Times New Roman"/>
        </w:rPr>
        <w:t>Clean delivery</w:t>
      </w:r>
      <w:r w:rsidR="009C68B6">
        <w:rPr>
          <w:rFonts w:eastAsia="Times New Roman"/>
        </w:rPr>
        <w:t xml:space="preserve"> kits provided essential supplies to enable health facilities to safely deliver babies</w:t>
      </w:r>
      <w:r>
        <w:rPr>
          <w:rFonts w:eastAsia="Times New Roman"/>
        </w:rPr>
        <w:t xml:space="preserve"> without</w:t>
      </w:r>
      <w:r w:rsidR="009C68B6">
        <w:rPr>
          <w:rFonts w:eastAsia="Times New Roman"/>
        </w:rPr>
        <w:t xml:space="preserve"> clean running water and electricity</w:t>
      </w:r>
      <w:r w:rsidR="00B22B76">
        <w:rPr>
          <w:rFonts w:eastAsia="Times New Roman"/>
        </w:rPr>
        <w:t xml:space="preserve">. </w:t>
      </w:r>
      <w:r w:rsidR="00EB7494">
        <w:rPr>
          <w:rFonts w:eastAsia="Times New Roman"/>
        </w:rPr>
        <w:t xml:space="preserve">Reproductive health kits were distributed, ensuring that women could maintain access to essential reproductive health supplies. </w:t>
      </w:r>
      <w:r w:rsidR="00866069">
        <w:rPr>
          <w:rFonts w:eastAsia="Times New Roman"/>
        </w:rPr>
        <w:t xml:space="preserve">Four thousand </w:t>
      </w:r>
      <w:r>
        <w:rPr>
          <w:rFonts w:eastAsia="Times New Roman"/>
        </w:rPr>
        <w:t>dignity kits</w:t>
      </w:r>
      <w:r w:rsidR="00026F49">
        <w:rPr>
          <w:rFonts w:eastAsia="Times New Roman"/>
        </w:rPr>
        <w:t>,</w:t>
      </w:r>
      <w:r>
        <w:rPr>
          <w:rFonts w:eastAsia="Times New Roman"/>
        </w:rPr>
        <w:t xml:space="preserve"> including clean clothing, sanitary products and torches</w:t>
      </w:r>
      <w:r w:rsidR="00026F49">
        <w:rPr>
          <w:rFonts w:eastAsia="Times New Roman"/>
        </w:rPr>
        <w:t>,</w:t>
      </w:r>
      <w:r>
        <w:rPr>
          <w:rFonts w:eastAsia="Times New Roman"/>
        </w:rPr>
        <w:t xml:space="preserve"> </w:t>
      </w:r>
      <w:r w:rsidR="00967531" w:rsidRPr="008B6495">
        <w:rPr>
          <w:rFonts w:eastAsia="Times New Roman"/>
        </w:rPr>
        <w:t>and three hundred baby items pack</w:t>
      </w:r>
      <w:r w:rsidR="00067EC1">
        <w:rPr>
          <w:rFonts w:eastAsia="Times New Roman"/>
        </w:rPr>
        <w:t>s</w:t>
      </w:r>
      <w:r w:rsidR="00967531" w:rsidRPr="008B6495">
        <w:rPr>
          <w:rFonts w:eastAsia="Times New Roman"/>
        </w:rPr>
        <w:t xml:space="preserve"> </w:t>
      </w:r>
      <w:r>
        <w:rPr>
          <w:rFonts w:eastAsia="Times New Roman"/>
        </w:rPr>
        <w:t>were distributed to women and children</w:t>
      </w:r>
      <w:r w:rsidR="00B22B76">
        <w:rPr>
          <w:rFonts w:eastAsia="Times New Roman"/>
        </w:rPr>
        <w:t xml:space="preserve">. </w:t>
      </w:r>
      <w:r w:rsidR="009C68B6">
        <w:rPr>
          <w:rFonts w:eastAsia="Times New Roman"/>
        </w:rPr>
        <w:t>Australia, through partners such as</w:t>
      </w:r>
      <w:r w:rsidR="001C7863">
        <w:rPr>
          <w:rFonts w:eastAsia="Times New Roman"/>
        </w:rPr>
        <w:t xml:space="preserve"> the United Nations Population Fund, International Planned Parenthood Foundation</w:t>
      </w:r>
      <w:r w:rsidR="009C68B6">
        <w:rPr>
          <w:rFonts w:eastAsia="Times New Roman"/>
        </w:rPr>
        <w:t xml:space="preserve"> and Medical Services Pacific, supported health outreach teams to provide health services to pregnant and breastfeeding women</w:t>
      </w:r>
      <w:r w:rsidR="00B22B76">
        <w:rPr>
          <w:rFonts w:eastAsia="Times New Roman"/>
        </w:rPr>
        <w:t xml:space="preserve">. </w:t>
      </w:r>
      <w:r w:rsidR="009C68B6">
        <w:rPr>
          <w:rFonts w:eastAsia="Times New Roman"/>
        </w:rPr>
        <w:t>Australia</w:t>
      </w:r>
      <w:r w:rsidR="001C7863">
        <w:rPr>
          <w:rFonts w:eastAsia="Times New Roman"/>
        </w:rPr>
        <w:t xml:space="preserve"> </w:t>
      </w:r>
      <w:r w:rsidR="009C68B6">
        <w:rPr>
          <w:rFonts w:eastAsia="Times New Roman"/>
        </w:rPr>
        <w:t>also supported the establishment of “Women Friendly Spaces”</w:t>
      </w:r>
      <w:r>
        <w:rPr>
          <w:rFonts w:eastAsia="Times New Roman"/>
        </w:rPr>
        <w:t xml:space="preserve">, where </w:t>
      </w:r>
      <w:r w:rsidR="001C7863">
        <w:rPr>
          <w:rFonts w:eastAsia="Times New Roman"/>
        </w:rPr>
        <w:t xml:space="preserve">almost 2,000 women and girls received </w:t>
      </w:r>
      <w:r w:rsidR="009C68B6">
        <w:rPr>
          <w:rFonts w:eastAsia="Times New Roman"/>
        </w:rPr>
        <w:t>information and services related to gender-based violence, health care and psychosocial support</w:t>
      </w:r>
      <w:r w:rsidR="00B22B76">
        <w:rPr>
          <w:rFonts w:eastAsia="Times New Roman"/>
        </w:rPr>
        <w:t xml:space="preserve">. </w:t>
      </w:r>
    </w:p>
    <w:p w14:paraId="3EEAFB46" w14:textId="77777777" w:rsidR="009C68B6" w:rsidRDefault="00F16381" w:rsidP="009C68B6">
      <w:pPr>
        <w:spacing w:after="120" w:line="280" w:lineRule="exact"/>
        <w:rPr>
          <w:rFonts w:eastAsia="Times New Roman"/>
        </w:rPr>
      </w:pPr>
      <w:r>
        <w:rPr>
          <w:rFonts w:eastAsia="Times New Roman"/>
        </w:rPr>
        <w:t>Existing strong relationships with local NGOs and CSOs allowed Australia to rapidly provide grant funding to meet the humanitarian needs of the most vulnerable</w:t>
      </w:r>
      <w:r w:rsidR="00B22B76">
        <w:rPr>
          <w:rFonts w:eastAsia="Times New Roman"/>
        </w:rPr>
        <w:t xml:space="preserve">. </w:t>
      </w:r>
      <w:r w:rsidR="009C68B6">
        <w:rPr>
          <w:rFonts w:eastAsia="Times New Roman"/>
        </w:rPr>
        <w:t xml:space="preserve">To assist people with disabilities affected by TC Winston, Australia supported the Spinal Injuries Association to undertake a needs assessment, replace or repair </w:t>
      </w:r>
      <w:r w:rsidR="00A06CF2">
        <w:rPr>
          <w:rFonts w:eastAsia="Times New Roman"/>
        </w:rPr>
        <w:t xml:space="preserve">damaged </w:t>
      </w:r>
      <w:r w:rsidR="009C68B6">
        <w:rPr>
          <w:rFonts w:eastAsia="Times New Roman"/>
        </w:rPr>
        <w:t>assistive devices and provide much-needed consumables</w:t>
      </w:r>
      <w:r w:rsidR="00B22B76">
        <w:rPr>
          <w:rFonts w:eastAsia="Times New Roman"/>
        </w:rPr>
        <w:t xml:space="preserve">. </w:t>
      </w:r>
      <w:r w:rsidR="009C68B6">
        <w:rPr>
          <w:rFonts w:eastAsia="Times New Roman"/>
        </w:rPr>
        <w:t xml:space="preserve">Australia assisted in topping up the Government of Fiji’s social protection payments to </w:t>
      </w:r>
      <w:r w:rsidR="00A06CF2">
        <w:rPr>
          <w:rFonts w:eastAsia="Times New Roman"/>
        </w:rPr>
        <w:t>support</w:t>
      </w:r>
      <w:r w:rsidR="009C68B6">
        <w:rPr>
          <w:rFonts w:eastAsia="Times New Roman"/>
        </w:rPr>
        <w:t xml:space="preserve"> 72,000 people dependent on social welfare</w:t>
      </w:r>
      <w:r w:rsidR="00EB7494">
        <w:rPr>
          <w:rFonts w:eastAsia="Times New Roman"/>
        </w:rPr>
        <w:t xml:space="preserve"> to receive additional food vouchers</w:t>
      </w:r>
      <w:r w:rsidR="00B22B76">
        <w:rPr>
          <w:rFonts w:eastAsia="Times New Roman"/>
        </w:rPr>
        <w:t xml:space="preserve">. </w:t>
      </w:r>
    </w:p>
    <w:p w14:paraId="57B68A2A" w14:textId="77777777" w:rsidR="00473577" w:rsidRPr="00413DF2" w:rsidRDefault="00767E64" w:rsidP="00473577">
      <w:pPr>
        <w:spacing w:after="120" w:line="280" w:lineRule="exact"/>
        <w:rPr>
          <w:rFonts w:eastAsia="Times New Roman"/>
        </w:rPr>
      </w:pPr>
      <w:r>
        <w:rPr>
          <w:rFonts w:eastAsia="Times New Roman"/>
        </w:rPr>
        <w:t xml:space="preserve">Australia invested in initiatives to promote </w:t>
      </w:r>
      <w:r w:rsidR="00825895">
        <w:rPr>
          <w:rFonts w:eastAsia="Times New Roman"/>
        </w:rPr>
        <w:t>early recovery, including</w:t>
      </w:r>
      <w:r w:rsidR="00026F49">
        <w:rPr>
          <w:rFonts w:eastAsia="Times New Roman"/>
        </w:rPr>
        <w:t>:</w:t>
      </w:r>
      <w:r w:rsidR="00825895">
        <w:rPr>
          <w:rFonts w:eastAsia="Times New Roman"/>
        </w:rPr>
        <w:t xml:space="preserve"> </w:t>
      </w:r>
      <w:r>
        <w:rPr>
          <w:rFonts w:eastAsia="Times New Roman"/>
        </w:rPr>
        <w:t xml:space="preserve">rehabilitation of </w:t>
      </w:r>
      <w:r w:rsidR="00825895">
        <w:rPr>
          <w:rFonts w:eastAsia="Times New Roman"/>
        </w:rPr>
        <w:t>water and sanitation systems</w:t>
      </w:r>
      <w:r>
        <w:rPr>
          <w:rFonts w:eastAsia="Times New Roman"/>
        </w:rPr>
        <w:t xml:space="preserve"> in schools and communities</w:t>
      </w:r>
      <w:r w:rsidR="00026F49">
        <w:rPr>
          <w:rFonts w:eastAsia="Times New Roman"/>
        </w:rPr>
        <w:t>;</w:t>
      </w:r>
      <w:r w:rsidR="00825895">
        <w:rPr>
          <w:rFonts w:eastAsia="Times New Roman"/>
        </w:rPr>
        <w:t xml:space="preserve"> providing training to help communities build back homes that are safer and more resilient to disasters</w:t>
      </w:r>
      <w:r w:rsidR="00026F49">
        <w:rPr>
          <w:rFonts w:eastAsia="Times New Roman"/>
        </w:rPr>
        <w:t>;</w:t>
      </w:r>
      <w:r w:rsidR="00825895">
        <w:rPr>
          <w:rFonts w:eastAsia="Times New Roman"/>
        </w:rPr>
        <w:t xml:space="preserve"> and </w:t>
      </w:r>
      <w:r>
        <w:rPr>
          <w:rFonts w:eastAsia="Times New Roman"/>
        </w:rPr>
        <w:t xml:space="preserve">support for livelihoods </w:t>
      </w:r>
      <w:r w:rsidR="00026F49">
        <w:rPr>
          <w:rFonts w:eastAsia="Times New Roman"/>
        </w:rPr>
        <w:t>such as</w:t>
      </w:r>
      <w:r>
        <w:rPr>
          <w:rFonts w:eastAsia="Times New Roman"/>
        </w:rPr>
        <w:t xml:space="preserve"> cash-for-work programs and </w:t>
      </w:r>
      <w:r w:rsidR="00026F49">
        <w:rPr>
          <w:rFonts w:eastAsia="Times New Roman"/>
        </w:rPr>
        <w:t xml:space="preserve">the </w:t>
      </w:r>
      <w:r>
        <w:rPr>
          <w:rFonts w:eastAsia="Times New Roman"/>
        </w:rPr>
        <w:t>distribution of seeds and farming equipment</w:t>
      </w:r>
      <w:r w:rsidR="00B22B76">
        <w:rPr>
          <w:rFonts w:eastAsia="Times New Roman"/>
        </w:rPr>
        <w:t xml:space="preserve">. </w:t>
      </w:r>
      <w:r w:rsidR="00473577" w:rsidRPr="00413DF2">
        <w:rPr>
          <w:rFonts w:eastAsia="Times New Roman"/>
        </w:rPr>
        <w:t xml:space="preserve">At the request of Fiji, Australia’s energy sector, through the peak body Energy Networks Association, gifted equipment (including seven trucks) </w:t>
      </w:r>
      <w:r w:rsidR="00473577">
        <w:rPr>
          <w:rFonts w:eastAsia="Times New Roman"/>
        </w:rPr>
        <w:t xml:space="preserve">and provided </w:t>
      </w:r>
      <w:r w:rsidR="00473577" w:rsidRPr="00413DF2">
        <w:rPr>
          <w:rFonts w:eastAsia="Times New Roman"/>
        </w:rPr>
        <w:t>technical assistance to the Fiji Electricity Authority</w:t>
      </w:r>
      <w:r w:rsidR="00B22B76">
        <w:rPr>
          <w:rFonts w:eastAsia="Times New Roman"/>
        </w:rPr>
        <w:t xml:space="preserve">. </w:t>
      </w:r>
      <w:r w:rsidR="005E23EA">
        <w:rPr>
          <w:rFonts w:eastAsia="Times New Roman"/>
        </w:rPr>
        <w:t>T</w:t>
      </w:r>
      <w:r w:rsidR="00473577" w:rsidRPr="00413DF2">
        <w:rPr>
          <w:rFonts w:eastAsia="Times New Roman"/>
        </w:rPr>
        <w:t>his public</w:t>
      </w:r>
      <w:r w:rsidR="004E0D1B">
        <w:rPr>
          <w:rFonts w:eastAsia="Times New Roman"/>
        </w:rPr>
        <w:t>-</w:t>
      </w:r>
      <w:r w:rsidR="00473577" w:rsidRPr="00413DF2">
        <w:rPr>
          <w:rFonts w:eastAsia="Times New Roman"/>
        </w:rPr>
        <w:t xml:space="preserve">private partnership </w:t>
      </w:r>
      <w:r w:rsidR="004E0D1B">
        <w:rPr>
          <w:rFonts w:eastAsia="Times New Roman"/>
        </w:rPr>
        <w:t>is supporting</w:t>
      </w:r>
      <w:r w:rsidR="00473577" w:rsidRPr="00413DF2">
        <w:rPr>
          <w:rFonts w:eastAsia="Times New Roman"/>
        </w:rPr>
        <w:t xml:space="preserve"> the restoration of critical electrical infrastructure to facilitate the broader recovery.</w:t>
      </w:r>
      <w:r w:rsidR="00EB7494" w:rsidRPr="00EB7494">
        <w:rPr>
          <w:rFonts w:eastAsia="Times New Roman"/>
        </w:rPr>
        <w:t xml:space="preserve"> </w:t>
      </w:r>
      <w:r w:rsidR="005E23EA">
        <w:rPr>
          <w:rFonts w:eastAsia="Times New Roman"/>
        </w:rPr>
        <w:t xml:space="preserve">A rapid assessment of </w:t>
      </w:r>
      <w:r w:rsidR="00EB7494">
        <w:rPr>
          <w:rFonts w:eastAsia="Times New Roman"/>
        </w:rPr>
        <w:t>early recovery initiatives supported by Australia following TC Winston found that the investments made were impressive and mature compared to other Australian disaster responses of similar magnitude.</w:t>
      </w:r>
    </w:p>
    <w:p w14:paraId="10DF5004" w14:textId="77777777" w:rsidR="00E656E7" w:rsidRDefault="00473577" w:rsidP="00413DF2">
      <w:pPr>
        <w:spacing w:after="120" w:line="280" w:lineRule="exact"/>
        <w:rPr>
          <w:rFonts w:eastAsia="Times New Roman"/>
        </w:rPr>
      </w:pPr>
      <w:r>
        <w:rPr>
          <w:rFonts w:eastAsia="Times New Roman"/>
        </w:rPr>
        <w:t>The Government of Fiji</w:t>
      </w:r>
      <w:r w:rsidR="00EB7494">
        <w:rPr>
          <w:rFonts w:eastAsia="Times New Roman"/>
        </w:rPr>
        <w:t>’s</w:t>
      </w:r>
      <w:r>
        <w:rPr>
          <w:rFonts w:eastAsia="Times New Roman"/>
        </w:rPr>
        <w:t xml:space="preserve"> Post Disaster Needs Assessment (PDNA) </w:t>
      </w:r>
      <w:r w:rsidR="00EB7494">
        <w:rPr>
          <w:rFonts w:eastAsia="Times New Roman"/>
        </w:rPr>
        <w:t>calculates</w:t>
      </w:r>
      <w:r>
        <w:rPr>
          <w:rFonts w:eastAsia="Times New Roman"/>
        </w:rPr>
        <w:t xml:space="preserve"> total damage and loss as a result of </w:t>
      </w:r>
      <w:r w:rsidR="00C1527E">
        <w:rPr>
          <w:rFonts w:eastAsia="Times New Roman"/>
        </w:rPr>
        <w:t>TC</w:t>
      </w:r>
      <w:r>
        <w:rPr>
          <w:rFonts w:eastAsia="Times New Roman"/>
        </w:rPr>
        <w:t xml:space="preserve"> Winston </w:t>
      </w:r>
      <w:r w:rsidR="00084B07">
        <w:rPr>
          <w:rFonts w:eastAsia="Times New Roman"/>
        </w:rPr>
        <w:t>at</w:t>
      </w:r>
      <w:r w:rsidR="00EB7494">
        <w:rPr>
          <w:rFonts w:eastAsia="Times New Roman"/>
        </w:rPr>
        <w:t xml:space="preserve"> </w:t>
      </w:r>
      <w:r w:rsidR="00323490">
        <w:rPr>
          <w:rFonts w:eastAsia="Times New Roman"/>
        </w:rPr>
        <w:t>$</w:t>
      </w:r>
      <w:r w:rsidR="00524E2B">
        <w:rPr>
          <w:rFonts w:eastAsia="Times New Roman"/>
        </w:rPr>
        <w:t xml:space="preserve">1.3 </w:t>
      </w:r>
      <w:r>
        <w:rPr>
          <w:rFonts w:eastAsia="Times New Roman"/>
        </w:rPr>
        <w:t>billion (excluding environmental costs)</w:t>
      </w:r>
      <w:r w:rsidR="00B22B76">
        <w:rPr>
          <w:rFonts w:eastAsia="Times New Roman"/>
        </w:rPr>
        <w:t xml:space="preserve">. </w:t>
      </w:r>
      <w:r w:rsidRPr="00AE75A2">
        <w:rPr>
          <w:rFonts w:eastAsia="Times New Roman"/>
        </w:rPr>
        <w:t>The hardest hit sectors were housing, agriculture and fisheries</w:t>
      </w:r>
      <w:r w:rsidR="00C31990">
        <w:rPr>
          <w:rFonts w:eastAsia="Times New Roman"/>
        </w:rPr>
        <w:t>,</w:t>
      </w:r>
      <w:r w:rsidRPr="00AE75A2">
        <w:rPr>
          <w:rFonts w:eastAsia="Times New Roman"/>
        </w:rPr>
        <w:t xml:space="preserve"> w</w:t>
      </w:r>
      <w:r w:rsidR="003270F8">
        <w:rPr>
          <w:rFonts w:eastAsia="Times New Roman"/>
        </w:rPr>
        <w:t>hich together w</w:t>
      </w:r>
      <w:r w:rsidRPr="00AE75A2">
        <w:rPr>
          <w:rFonts w:eastAsia="Times New Roman"/>
        </w:rPr>
        <w:t>ith transport, manufacturing (sugar) and education</w:t>
      </w:r>
      <w:r w:rsidR="003270F8">
        <w:rPr>
          <w:rFonts w:eastAsia="Times New Roman"/>
        </w:rPr>
        <w:t>,</w:t>
      </w:r>
      <w:r w:rsidRPr="00AE75A2">
        <w:rPr>
          <w:rFonts w:eastAsia="Times New Roman"/>
        </w:rPr>
        <w:t xml:space="preserve"> ma</w:t>
      </w:r>
      <w:r w:rsidR="003270F8">
        <w:rPr>
          <w:rFonts w:eastAsia="Times New Roman"/>
        </w:rPr>
        <w:t>de</w:t>
      </w:r>
      <w:r w:rsidRPr="00AE75A2">
        <w:rPr>
          <w:rFonts w:eastAsia="Times New Roman"/>
        </w:rPr>
        <w:t xml:space="preserve"> up two thirds of overall damage and loss</w:t>
      </w:r>
      <w:r w:rsidR="00B22B76">
        <w:rPr>
          <w:rFonts w:eastAsia="Times New Roman"/>
        </w:rPr>
        <w:t xml:space="preserve">. </w:t>
      </w:r>
      <w:r>
        <w:rPr>
          <w:rFonts w:eastAsia="Times New Roman"/>
        </w:rPr>
        <w:t xml:space="preserve">The </w:t>
      </w:r>
      <w:r w:rsidR="00C31990">
        <w:rPr>
          <w:rFonts w:eastAsia="Times New Roman"/>
        </w:rPr>
        <w:t>PDNA</w:t>
      </w:r>
      <w:r>
        <w:rPr>
          <w:rFonts w:eastAsia="Times New Roman"/>
        </w:rPr>
        <w:t xml:space="preserve"> was led by the Fiji Department of Strategic Planning and supported by a range</w:t>
      </w:r>
      <w:r w:rsidR="00C31990">
        <w:rPr>
          <w:rFonts w:eastAsia="Times New Roman"/>
        </w:rPr>
        <w:t xml:space="preserve"> of donors including Australia (</w:t>
      </w:r>
      <w:r>
        <w:rPr>
          <w:rFonts w:eastAsia="Times New Roman"/>
        </w:rPr>
        <w:t>we provided three specialists in health and education</w:t>
      </w:r>
      <w:r w:rsidR="00026F49">
        <w:rPr>
          <w:rFonts w:eastAsia="Times New Roman"/>
        </w:rPr>
        <w:t>,</w:t>
      </w:r>
      <w:r w:rsidR="00FE1721">
        <w:rPr>
          <w:rFonts w:eastAsia="Times New Roman"/>
        </w:rPr>
        <w:t xml:space="preserve"> including two from the Australian Civilian Corps</w:t>
      </w:r>
      <w:r>
        <w:rPr>
          <w:rFonts w:eastAsia="Times New Roman"/>
        </w:rPr>
        <w:t>)</w:t>
      </w:r>
      <w:r w:rsidR="00B22B76">
        <w:rPr>
          <w:rFonts w:eastAsia="Times New Roman"/>
        </w:rPr>
        <w:t xml:space="preserve">. </w:t>
      </w:r>
      <w:r w:rsidRPr="00AE75A2">
        <w:rPr>
          <w:rFonts w:eastAsia="Times New Roman"/>
        </w:rPr>
        <w:t>Fiji is</w:t>
      </w:r>
      <w:r w:rsidR="00E656E7">
        <w:rPr>
          <w:rFonts w:eastAsia="Times New Roman"/>
        </w:rPr>
        <w:t xml:space="preserve"> also</w:t>
      </w:r>
      <w:r w:rsidRPr="00AE75A2">
        <w:rPr>
          <w:rFonts w:eastAsia="Times New Roman"/>
        </w:rPr>
        <w:t xml:space="preserve"> finalisin</w:t>
      </w:r>
      <w:r>
        <w:rPr>
          <w:rFonts w:eastAsia="Times New Roman"/>
        </w:rPr>
        <w:t>g a Disaster Recovery Framework which will help to guide Australia’s assistance in rebuilding Fiji</w:t>
      </w:r>
      <w:r w:rsidR="00B22B76">
        <w:rPr>
          <w:rFonts w:eastAsia="Times New Roman"/>
        </w:rPr>
        <w:t xml:space="preserve">. </w:t>
      </w:r>
    </w:p>
    <w:p w14:paraId="620D6C5D" w14:textId="77777777" w:rsidR="009F1421" w:rsidRDefault="00C15B77" w:rsidP="00413DF2">
      <w:pPr>
        <w:spacing w:after="120" w:line="280" w:lineRule="exact"/>
        <w:rPr>
          <w:rFonts w:eastAsia="Times New Roman"/>
        </w:rPr>
      </w:pPr>
      <w:r>
        <w:rPr>
          <w:rFonts w:eastAsia="Times New Roman"/>
        </w:rPr>
        <w:t xml:space="preserve">With </w:t>
      </w:r>
      <w:r w:rsidR="00323490">
        <w:rPr>
          <w:rFonts w:eastAsia="Times New Roman"/>
        </w:rPr>
        <w:t xml:space="preserve">$15 </w:t>
      </w:r>
      <w:r>
        <w:rPr>
          <w:rFonts w:eastAsia="Times New Roman"/>
        </w:rPr>
        <w:t>million already provided in emergency relief</w:t>
      </w:r>
      <w:r w:rsidR="00C62F06">
        <w:rPr>
          <w:rFonts w:eastAsia="Times New Roman"/>
        </w:rPr>
        <w:t xml:space="preserve"> and </w:t>
      </w:r>
      <w:r w:rsidR="00323490">
        <w:rPr>
          <w:rFonts w:eastAsia="Times New Roman"/>
        </w:rPr>
        <w:t xml:space="preserve">$4 </w:t>
      </w:r>
      <w:r w:rsidR="00C62F06">
        <w:rPr>
          <w:rFonts w:eastAsia="Times New Roman"/>
        </w:rPr>
        <w:t>million dispersed for longer-term recovery</w:t>
      </w:r>
      <w:r>
        <w:rPr>
          <w:rFonts w:eastAsia="Times New Roman"/>
        </w:rPr>
        <w:t xml:space="preserve">, </w:t>
      </w:r>
      <w:r w:rsidR="00C62F06">
        <w:rPr>
          <w:rFonts w:eastAsia="Times New Roman"/>
        </w:rPr>
        <w:t>our focus for 2016-17 and beyond is on supporting</w:t>
      </w:r>
      <w:r w:rsidR="00FE1721">
        <w:rPr>
          <w:rFonts w:eastAsia="Times New Roman"/>
        </w:rPr>
        <w:t xml:space="preserve"> Fiji’s rec</w:t>
      </w:r>
      <w:r w:rsidR="004A7A2F">
        <w:rPr>
          <w:rFonts w:eastAsia="Times New Roman"/>
        </w:rPr>
        <w:t>overy and reconstruction effort</w:t>
      </w:r>
      <w:r w:rsidR="00C62F06">
        <w:rPr>
          <w:rFonts w:eastAsia="Times New Roman"/>
        </w:rPr>
        <w:t xml:space="preserve"> (</w:t>
      </w:r>
      <w:r w:rsidR="007B1B01">
        <w:rPr>
          <w:rFonts w:eastAsia="Times New Roman"/>
        </w:rPr>
        <w:t xml:space="preserve">with </w:t>
      </w:r>
      <w:r w:rsidR="00C62F06">
        <w:rPr>
          <w:rFonts w:eastAsia="Times New Roman"/>
        </w:rPr>
        <w:t xml:space="preserve">a further </w:t>
      </w:r>
      <w:r w:rsidR="00323490">
        <w:rPr>
          <w:rFonts w:eastAsia="Times New Roman"/>
        </w:rPr>
        <w:t xml:space="preserve">$16 </w:t>
      </w:r>
      <w:r w:rsidR="00C62F06">
        <w:rPr>
          <w:rFonts w:eastAsia="Times New Roman"/>
        </w:rPr>
        <w:t>million</w:t>
      </w:r>
      <w:r w:rsidR="007B1B01">
        <w:rPr>
          <w:rFonts w:eastAsia="Times New Roman"/>
        </w:rPr>
        <w:t xml:space="preserve"> committed by the Australian Government for this</w:t>
      </w:r>
      <w:r w:rsidR="00C62F06">
        <w:rPr>
          <w:rFonts w:eastAsia="Times New Roman"/>
        </w:rPr>
        <w:t>)</w:t>
      </w:r>
      <w:r w:rsidR="00B22B76">
        <w:rPr>
          <w:rFonts w:eastAsia="Times New Roman"/>
        </w:rPr>
        <w:t xml:space="preserve">. </w:t>
      </w:r>
      <w:r w:rsidR="00D151ED">
        <w:rPr>
          <w:rFonts w:eastAsia="Times New Roman"/>
        </w:rPr>
        <w:t xml:space="preserve">Our focus </w:t>
      </w:r>
      <w:r w:rsidR="004A7A2F">
        <w:rPr>
          <w:rFonts w:eastAsia="Times New Roman"/>
        </w:rPr>
        <w:t xml:space="preserve">will be to </w:t>
      </w:r>
      <w:r w:rsidR="00413DF2" w:rsidRPr="00413DF2">
        <w:rPr>
          <w:rFonts w:eastAsia="Times New Roman"/>
        </w:rPr>
        <w:t>rebuild schools and health facilities, replac</w:t>
      </w:r>
      <w:r w:rsidR="004A7A2F">
        <w:rPr>
          <w:rFonts w:eastAsia="Times New Roman"/>
        </w:rPr>
        <w:t>e</w:t>
      </w:r>
      <w:r w:rsidR="00413DF2" w:rsidRPr="00413DF2">
        <w:rPr>
          <w:rFonts w:eastAsia="Times New Roman"/>
        </w:rPr>
        <w:t xml:space="preserve"> damaged medical equipment and restore water and sanitation services</w:t>
      </w:r>
      <w:r w:rsidR="00B22B76">
        <w:rPr>
          <w:rFonts w:eastAsia="Times New Roman"/>
        </w:rPr>
        <w:t xml:space="preserve">. </w:t>
      </w:r>
      <w:r w:rsidR="00473577">
        <w:rPr>
          <w:rFonts w:eastAsia="Times New Roman"/>
        </w:rPr>
        <w:t>We</w:t>
      </w:r>
      <w:r w:rsidR="00473577" w:rsidRPr="00413DF2">
        <w:rPr>
          <w:rFonts w:eastAsia="Times New Roman"/>
        </w:rPr>
        <w:t xml:space="preserve"> </w:t>
      </w:r>
      <w:r w:rsidR="00413DF2" w:rsidRPr="00413DF2">
        <w:rPr>
          <w:rFonts w:eastAsia="Times New Roman"/>
        </w:rPr>
        <w:t xml:space="preserve">will </w:t>
      </w:r>
      <w:r w:rsidR="00473577">
        <w:rPr>
          <w:rFonts w:eastAsia="Times New Roman"/>
        </w:rPr>
        <w:t>also</w:t>
      </w:r>
      <w:r w:rsidR="00413DF2" w:rsidRPr="00413DF2">
        <w:rPr>
          <w:rFonts w:eastAsia="Times New Roman"/>
        </w:rPr>
        <w:t xml:space="preserve"> repair damaged markets</w:t>
      </w:r>
      <w:r w:rsidR="00E2470E">
        <w:rPr>
          <w:rFonts w:eastAsia="Times New Roman"/>
        </w:rPr>
        <w:t xml:space="preserve"> and</w:t>
      </w:r>
      <w:r w:rsidR="00413DF2" w:rsidRPr="00413DF2">
        <w:rPr>
          <w:rFonts w:eastAsia="Times New Roman"/>
        </w:rPr>
        <w:t xml:space="preserve"> accommodation facilities for women vendors, which will enable farmers and market vendors to return to work</w:t>
      </w:r>
      <w:r w:rsidR="00B22B76">
        <w:rPr>
          <w:rFonts w:eastAsia="Times New Roman"/>
        </w:rPr>
        <w:t xml:space="preserve">. </w:t>
      </w:r>
      <w:r w:rsidR="00413DF2" w:rsidRPr="00413DF2">
        <w:rPr>
          <w:rFonts w:eastAsia="Times New Roman"/>
        </w:rPr>
        <w:t xml:space="preserve">The principle of 'build back better' will underpin our efforts and </w:t>
      </w:r>
      <w:r w:rsidR="004A7AE1">
        <w:rPr>
          <w:rFonts w:eastAsia="Times New Roman"/>
        </w:rPr>
        <w:t xml:space="preserve">assist </w:t>
      </w:r>
      <w:r w:rsidR="00413DF2" w:rsidRPr="00413DF2">
        <w:rPr>
          <w:rFonts w:eastAsia="Times New Roman"/>
        </w:rPr>
        <w:t xml:space="preserve">communities to be more resilient to </w:t>
      </w:r>
      <w:r w:rsidR="00E2470E">
        <w:rPr>
          <w:rFonts w:eastAsia="Times New Roman"/>
        </w:rPr>
        <w:t xml:space="preserve">future </w:t>
      </w:r>
      <w:r w:rsidR="00413DF2" w:rsidRPr="00413DF2">
        <w:rPr>
          <w:rFonts w:eastAsia="Times New Roman"/>
        </w:rPr>
        <w:t>natural disasters</w:t>
      </w:r>
      <w:r w:rsidR="00B22B76">
        <w:rPr>
          <w:rFonts w:eastAsia="Times New Roman"/>
        </w:rPr>
        <w:t xml:space="preserve">. </w:t>
      </w:r>
      <w:r w:rsidR="00EB7494">
        <w:rPr>
          <w:rFonts w:eastAsia="Times New Roman"/>
        </w:rPr>
        <w:t>All facilities that we rebuild under the recovery and reconstruction package will also be inclusive for people with disabilities.</w:t>
      </w:r>
    </w:p>
    <w:p w14:paraId="38030D7E" w14:textId="77777777" w:rsidR="004E3BE6" w:rsidRDefault="004A7A2F" w:rsidP="00413DF2">
      <w:pPr>
        <w:spacing w:after="120" w:line="280" w:lineRule="exact"/>
        <w:rPr>
          <w:rFonts w:eastAsia="Times New Roman"/>
        </w:rPr>
      </w:pPr>
      <w:r>
        <w:rPr>
          <w:rFonts w:eastAsia="Times New Roman"/>
        </w:rPr>
        <w:t xml:space="preserve">Australia took a lead role in coordinating </w:t>
      </w:r>
      <w:r w:rsidR="009B44B8">
        <w:rPr>
          <w:rFonts w:eastAsia="Times New Roman"/>
        </w:rPr>
        <w:t xml:space="preserve">activities </w:t>
      </w:r>
      <w:r>
        <w:rPr>
          <w:rFonts w:eastAsia="Times New Roman"/>
        </w:rPr>
        <w:t>with the Government of Fiji, National Disaster Management Office</w:t>
      </w:r>
      <w:r w:rsidR="004E0D1B">
        <w:rPr>
          <w:rFonts w:eastAsia="Times New Roman"/>
        </w:rPr>
        <w:t xml:space="preserve"> (NDMO)</w:t>
      </w:r>
      <w:r>
        <w:rPr>
          <w:rFonts w:eastAsia="Times New Roman"/>
        </w:rPr>
        <w:t>, relevant ministries as well as other donors and partners in the immediate response</w:t>
      </w:r>
      <w:r w:rsidR="00B22B76">
        <w:rPr>
          <w:rFonts w:eastAsia="Times New Roman"/>
        </w:rPr>
        <w:t xml:space="preserve">. </w:t>
      </w:r>
      <w:r w:rsidR="004E3BE6">
        <w:rPr>
          <w:rFonts w:eastAsia="Times New Roman"/>
        </w:rPr>
        <w:t>The leadership and coordination of the Government</w:t>
      </w:r>
      <w:r w:rsidR="00866069">
        <w:rPr>
          <w:rFonts w:eastAsia="Times New Roman"/>
        </w:rPr>
        <w:t xml:space="preserve"> of Fiji</w:t>
      </w:r>
      <w:r w:rsidR="004E3BE6">
        <w:rPr>
          <w:rFonts w:eastAsia="Times New Roman"/>
        </w:rPr>
        <w:t xml:space="preserve"> will be essential to ensuring longer term recovery efforts are implemented effectively by all donors</w:t>
      </w:r>
      <w:r w:rsidR="00B22B76">
        <w:rPr>
          <w:rFonts w:eastAsia="Times New Roman"/>
        </w:rPr>
        <w:t xml:space="preserve">. </w:t>
      </w:r>
      <w:r w:rsidR="000E0566" w:rsidRPr="000E0566">
        <w:rPr>
          <w:rFonts w:eastAsia="Times New Roman"/>
        </w:rPr>
        <w:t xml:space="preserve"> </w:t>
      </w:r>
      <w:r w:rsidR="000E0566">
        <w:rPr>
          <w:rFonts w:eastAsia="Times New Roman"/>
        </w:rPr>
        <w:t>Australia will continue to encourage Fiji to strengthen coordination and communication channels to manage such a large disaster recovery process.</w:t>
      </w:r>
    </w:p>
    <w:p w14:paraId="68296F37" w14:textId="77777777" w:rsidR="00160D8C" w:rsidRDefault="00160D8C" w:rsidP="00396E33">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p>
    <w:p w14:paraId="189C8605" w14:textId="77777777" w:rsidR="00396E33" w:rsidRPr="00396E33" w:rsidRDefault="00396E33" w:rsidP="00396E33">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sidRPr="00396E33">
        <w:rPr>
          <w:rFonts w:asciiTheme="majorHAnsi" w:eastAsiaTheme="majorEastAsia" w:hAnsiTheme="majorHAnsi" w:cstheme="majorBidi"/>
          <w:caps/>
          <w:color w:val="495965" w:themeColor="text2"/>
          <w:sz w:val="38"/>
          <w:szCs w:val="26"/>
          <w:lang w:val="en-GB" w:eastAsia="en-US"/>
        </w:rPr>
        <w:t>Cross cutting issues</w:t>
      </w:r>
    </w:p>
    <w:p w14:paraId="47CE3D04" w14:textId="77777777" w:rsidR="00391DDD" w:rsidRDefault="009B0FEB" w:rsidP="00EB7494">
      <w:pPr>
        <w:spacing w:after="120" w:line="280" w:lineRule="exact"/>
        <w:rPr>
          <w:rFonts w:eastAsia="Times New Roman"/>
        </w:rPr>
      </w:pPr>
      <w:r>
        <w:rPr>
          <w:rFonts w:eastAsia="Times New Roman"/>
        </w:rPr>
        <w:t xml:space="preserve">Australia’s aid program to Fiji targets three-cross cutting issues: gender, disability inclusion and disaster risk management.  2015-16 saw good progress in ensuring </w:t>
      </w:r>
      <w:r w:rsidR="00A93A99">
        <w:rPr>
          <w:rFonts w:eastAsia="Times New Roman"/>
        </w:rPr>
        <w:t xml:space="preserve">relevant aid investments were effectively </w:t>
      </w:r>
      <w:r>
        <w:rPr>
          <w:rFonts w:eastAsia="Times New Roman"/>
        </w:rPr>
        <w:t xml:space="preserve">targeting </w:t>
      </w:r>
      <w:r w:rsidR="00A93A99">
        <w:rPr>
          <w:rFonts w:eastAsia="Times New Roman"/>
        </w:rPr>
        <w:t xml:space="preserve">and benefitting women and people with a disability. </w:t>
      </w:r>
    </w:p>
    <w:p w14:paraId="4E079C11" w14:textId="77777777" w:rsidR="00EB7494" w:rsidRDefault="00A93A99" w:rsidP="00EB7494">
      <w:pPr>
        <w:spacing w:after="120" w:line="280" w:lineRule="exact"/>
        <w:rPr>
          <w:rFonts w:eastAsia="Times New Roman"/>
        </w:rPr>
      </w:pPr>
      <w:r w:rsidRPr="00F27056">
        <w:rPr>
          <w:rFonts w:eastAsia="Times New Roman"/>
        </w:rPr>
        <w:t xml:space="preserve">Our </w:t>
      </w:r>
      <w:r w:rsidRPr="00160D8C">
        <w:rPr>
          <w:rFonts w:eastAsia="Times New Roman"/>
        </w:rPr>
        <w:t>disaster risk management</w:t>
      </w:r>
      <w:r>
        <w:rPr>
          <w:rFonts w:eastAsia="Times New Roman"/>
        </w:rPr>
        <w:t xml:space="preserve"> efforts were put to the test during TC Winston, and </w:t>
      </w:r>
      <w:r w:rsidR="00EB7494">
        <w:rPr>
          <w:rFonts w:eastAsia="Times New Roman"/>
        </w:rPr>
        <w:t xml:space="preserve">many of these proved fruitful in enabling an effective response, increasing resilience and supporting early recovery. </w:t>
      </w:r>
      <w:r w:rsidR="00391DDD">
        <w:rPr>
          <w:rFonts w:eastAsia="Times New Roman"/>
        </w:rPr>
        <w:t>Through the Australian Civilian Corps, two p</w:t>
      </w:r>
      <w:r w:rsidR="00EB7494">
        <w:rPr>
          <w:rFonts w:eastAsia="Times New Roman"/>
        </w:rPr>
        <w:t>ersonnel placed in the NDMO to boost its capacity proved essential in supporting the Government</w:t>
      </w:r>
      <w:r w:rsidR="004E0D1B">
        <w:rPr>
          <w:rFonts w:eastAsia="Times New Roman"/>
        </w:rPr>
        <w:t xml:space="preserve"> of Fiji’s</w:t>
      </w:r>
      <w:r w:rsidR="00EB7494">
        <w:rPr>
          <w:rFonts w:eastAsia="Times New Roman"/>
        </w:rPr>
        <w:t xml:space="preserve"> response to TC Winston. The contingency funds built into our three largest programs (AQEP, FHSSP and FCDP) enabled us to provide rapid assistance for health and education services and </w:t>
      </w:r>
      <w:r w:rsidR="004E0D1B">
        <w:rPr>
          <w:rFonts w:eastAsia="Times New Roman"/>
        </w:rPr>
        <w:t>to</w:t>
      </w:r>
      <w:r w:rsidR="00EB7494">
        <w:rPr>
          <w:rFonts w:eastAsia="Times New Roman"/>
        </w:rPr>
        <w:t xml:space="preserve"> local NGOs, whose capacity to respond to disasters has been strengthened through FCDP. </w:t>
      </w:r>
    </w:p>
    <w:p w14:paraId="14FB1B4F" w14:textId="77777777" w:rsidR="00EB7494" w:rsidRDefault="00EB7494" w:rsidP="00EB7494">
      <w:pPr>
        <w:spacing w:after="120" w:line="280" w:lineRule="exact"/>
        <w:rPr>
          <w:rFonts w:eastAsia="Times New Roman"/>
        </w:rPr>
      </w:pPr>
      <w:r>
        <w:rPr>
          <w:rFonts w:eastAsia="Times New Roman"/>
        </w:rPr>
        <w:t>The investments made by our</w:t>
      </w:r>
      <w:r w:rsidR="00F27056">
        <w:rPr>
          <w:rFonts w:eastAsia="Times New Roman"/>
        </w:rPr>
        <w:t xml:space="preserve"> regional</w:t>
      </w:r>
      <w:r>
        <w:rPr>
          <w:rFonts w:eastAsia="Times New Roman"/>
        </w:rPr>
        <w:t xml:space="preserve"> Pacific Risk Resilience Program </w:t>
      </w:r>
      <w:r w:rsidR="00391DDD">
        <w:rPr>
          <w:rFonts w:eastAsia="Times New Roman"/>
        </w:rPr>
        <w:t xml:space="preserve">(PRRP) </w:t>
      </w:r>
      <w:r>
        <w:rPr>
          <w:rFonts w:eastAsia="Times New Roman"/>
        </w:rPr>
        <w:t>proved effective, such as the Food Bank established by communities in the Yasawa Islands which helped maintain food security following the cyclone.  T</w:t>
      </w:r>
      <w:r w:rsidRPr="00A82407">
        <w:rPr>
          <w:rFonts w:eastAsia="Times New Roman"/>
        </w:rPr>
        <w:t xml:space="preserve">hrough PRRP we </w:t>
      </w:r>
      <w:r w:rsidR="00391DDD">
        <w:rPr>
          <w:rFonts w:eastAsia="Times New Roman"/>
        </w:rPr>
        <w:t xml:space="preserve">also </w:t>
      </w:r>
      <w:r w:rsidRPr="00A82407">
        <w:rPr>
          <w:rFonts w:eastAsia="Times New Roman"/>
        </w:rPr>
        <w:t xml:space="preserve">contributed </w:t>
      </w:r>
      <w:r w:rsidR="00E40AB9" w:rsidRPr="00A82407">
        <w:rPr>
          <w:rFonts w:eastAsia="Times New Roman"/>
        </w:rPr>
        <w:t>FJ</w:t>
      </w:r>
      <w:r w:rsidR="00E40AB9">
        <w:rPr>
          <w:rFonts w:eastAsia="Times New Roman"/>
        </w:rPr>
        <w:t>D 45</w:t>
      </w:r>
      <w:r>
        <w:rPr>
          <w:rFonts w:eastAsia="Times New Roman"/>
        </w:rPr>
        <w:t>,000</w:t>
      </w:r>
      <w:r w:rsidRPr="00A82407">
        <w:rPr>
          <w:rFonts w:eastAsia="Times New Roman"/>
        </w:rPr>
        <w:t xml:space="preserve"> </w:t>
      </w:r>
      <w:r>
        <w:rPr>
          <w:rFonts w:eastAsia="Times New Roman"/>
        </w:rPr>
        <w:t>to</w:t>
      </w:r>
      <w:r w:rsidRPr="00A82407">
        <w:rPr>
          <w:rFonts w:eastAsia="Times New Roman"/>
        </w:rPr>
        <w:t xml:space="preserve"> help restore food and agriculture offices and services in Fiji.</w:t>
      </w:r>
      <w:r w:rsidRPr="00EB7494">
        <w:rPr>
          <w:rFonts w:eastAsia="Times New Roman"/>
        </w:rPr>
        <w:t xml:space="preserve"> </w:t>
      </w:r>
      <w:r>
        <w:rPr>
          <w:rFonts w:eastAsia="Times New Roman"/>
        </w:rPr>
        <w:t>PRRP’s investments are embryonic in Fiji</w:t>
      </w:r>
      <w:r w:rsidR="00F27056">
        <w:rPr>
          <w:rFonts w:eastAsia="Times New Roman"/>
        </w:rPr>
        <w:t>,</w:t>
      </w:r>
      <w:r>
        <w:rPr>
          <w:rFonts w:eastAsia="Times New Roman"/>
        </w:rPr>
        <w:t xml:space="preserve"> but TC Winston </w:t>
      </w:r>
      <w:r w:rsidR="00391DDD">
        <w:rPr>
          <w:rFonts w:eastAsia="Times New Roman"/>
        </w:rPr>
        <w:t xml:space="preserve">has created </w:t>
      </w:r>
      <w:r>
        <w:rPr>
          <w:rFonts w:eastAsia="Times New Roman"/>
        </w:rPr>
        <w:t xml:space="preserve">more opportunities to strengthen risk governance in Fiji in the coming years. Similarly, we will need to enhance </w:t>
      </w:r>
      <w:r w:rsidR="007D295F">
        <w:rPr>
          <w:rFonts w:eastAsia="Times New Roman"/>
        </w:rPr>
        <w:t>how</w:t>
      </w:r>
      <w:r>
        <w:rPr>
          <w:rFonts w:eastAsia="Times New Roman"/>
        </w:rPr>
        <w:t xml:space="preserve"> </w:t>
      </w:r>
      <w:r w:rsidR="00F435FE">
        <w:rPr>
          <w:rFonts w:eastAsia="Times New Roman"/>
        </w:rPr>
        <w:t>disaster risk</w:t>
      </w:r>
      <w:r w:rsidR="007D295F">
        <w:rPr>
          <w:rFonts w:eastAsia="Times New Roman"/>
        </w:rPr>
        <w:t xml:space="preserve"> reduction (DRR)</w:t>
      </w:r>
      <w:r>
        <w:rPr>
          <w:rFonts w:eastAsia="Times New Roman"/>
        </w:rPr>
        <w:t xml:space="preserve"> is mainstreamed across all of our programs, </w:t>
      </w:r>
      <w:r w:rsidR="007D295F">
        <w:rPr>
          <w:rFonts w:eastAsia="Times New Roman"/>
        </w:rPr>
        <w:t>and</w:t>
      </w:r>
      <w:r>
        <w:rPr>
          <w:rFonts w:eastAsia="Times New Roman"/>
        </w:rPr>
        <w:t xml:space="preserve"> support partner government Ministries to integrate DRR into their systems and processes.</w:t>
      </w:r>
    </w:p>
    <w:p w14:paraId="00536518" w14:textId="77777777" w:rsidR="001B7486" w:rsidRDefault="002D2FAD" w:rsidP="001B7486">
      <w:pPr>
        <w:spacing w:after="120" w:line="280" w:lineRule="exact"/>
        <w:rPr>
          <w:rFonts w:eastAsia="Times New Roman"/>
        </w:rPr>
      </w:pPr>
      <w:r w:rsidRPr="00015340">
        <w:rPr>
          <w:color w:val="36424B" w:themeColor="text2" w:themeShade="BF"/>
        </w:rPr>
        <w:t>After identifying the need last year for great</w:t>
      </w:r>
      <w:r>
        <w:rPr>
          <w:color w:val="36424B" w:themeColor="text2" w:themeShade="BF"/>
        </w:rPr>
        <w:t>er</w:t>
      </w:r>
      <w:r w:rsidRPr="00015340">
        <w:rPr>
          <w:color w:val="36424B" w:themeColor="text2" w:themeShade="BF"/>
        </w:rPr>
        <w:t xml:space="preserve"> </w:t>
      </w:r>
      <w:r w:rsidRPr="00160D8C">
        <w:rPr>
          <w:color w:val="36424B" w:themeColor="text2" w:themeShade="BF"/>
        </w:rPr>
        <w:t>gender equality</w:t>
      </w:r>
      <w:r w:rsidRPr="00015340">
        <w:rPr>
          <w:color w:val="36424B" w:themeColor="text2" w:themeShade="BF"/>
        </w:rPr>
        <w:t xml:space="preserve"> and focus on empowering women and girls across investments, improvements were </w:t>
      </w:r>
      <w:r w:rsidR="00E91B0E">
        <w:rPr>
          <w:color w:val="36424B" w:themeColor="text2" w:themeShade="BF"/>
        </w:rPr>
        <w:t xml:space="preserve">made </w:t>
      </w:r>
      <w:r w:rsidR="001B7486">
        <w:rPr>
          <w:color w:val="36424B" w:themeColor="text2" w:themeShade="BF"/>
        </w:rPr>
        <w:t xml:space="preserve">across all </w:t>
      </w:r>
      <w:r w:rsidR="009B44B8">
        <w:rPr>
          <w:color w:val="36424B" w:themeColor="text2" w:themeShade="BF"/>
        </w:rPr>
        <w:t xml:space="preserve">of </w:t>
      </w:r>
      <w:r w:rsidR="001B7486">
        <w:rPr>
          <w:color w:val="36424B" w:themeColor="text2" w:themeShade="BF"/>
        </w:rPr>
        <w:t>ou</w:t>
      </w:r>
      <w:r w:rsidR="00CA6783">
        <w:rPr>
          <w:color w:val="36424B" w:themeColor="text2" w:themeShade="BF"/>
        </w:rPr>
        <w:t>r</w:t>
      </w:r>
      <w:r w:rsidR="001B7486">
        <w:rPr>
          <w:color w:val="36424B" w:themeColor="text2" w:themeShade="BF"/>
        </w:rPr>
        <w:t xml:space="preserve"> bilateral investments. </w:t>
      </w:r>
      <w:r w:rsidR="00CA6783">
        <w:rPr>
          <w:rFonts w:eastAsia="Times New Roman"/>
        </w:rPr>
        <w:t>In education, AQEP is actively promoting greater participation of women in decision making and school management</w:t>
      </w:r>
      <w:r w:rsidR="009B44B8">
        <w:rPr>
          <w:rFonts w:eastAsia="Times New Roman"/>
        </w:rPr>
        <w:t xml:space="preserve">.  A </w:t>
      </w:r>
      <w:r w:rsidR="00CA6783">
        <w:rPr>
          <w:rFonts w:eastAsia="Times New Roman"/>
        </w:rPr>
        <w:t xml:space="preserve">Women in Leadership conference </w:t>
      </w:r>
      <w:r w:rsidR="009B44B8">
        <w:rPr>
          <w:rFonts w:eastAsia="Times New Roman"/>
        </w:rPr>
        <w:t xml:space="preserve">was held </w:t>
      </w:r>
      <w:r w:rsidR="00CA6783">
        <w:rPr>
          <w:rFonts w:eastAsia="Times New Roman"/>
        </w:rPr>
        <w:t xml:space="preserve">for female head teachers and school managers, who still remain underrepresented in leadership roles. In health, FHSSP is supporting the </w:t>
      </w:r>
      <w:r w:rsidR="004E0D1B">
        <w:rPr>
          <w:rFonts w:eastAsia="Times New Roman"/>
        </w:rPr>
        <w:t xml:space="preserve">MoHMS </w:t>
      </w:r>
      <w:r w:rsidR="00CA6783">
        <w:rPr>
          <w:rFonts w:eastAsia="Times New Roman"/>
        </w:rPr>
        <w:t xml:space="preserve">to develop a health gender policy. </w:t>
      </w:r>
      <w:r w:rsidR="001B7486">
        <w:rPr>
          <w:rFonts w:eastAsia="Times New Roman"/>
        </w:rPr>
        <w:t xml:space="preserve">In the private sector development program, Australia (through </w:t>
      </w:r>
      <w:r w:rsidR="00F27056">
        <w:rPr>
          <w:rFonts w:eastAsia="Times New Roman"/>
        </w:rPr>
        <w:t xml:space="preserve">the </w:t>
      </w:r>
      <w:r w:rsidR="001B7486">
        <w:rPr>
          <w:rFonts w:eastAsia="Times New Roman"/>
        </w:rPr>
        <w:t>M</w:t>
      </w:r>
      <w:r w:rsidR="00F27056">
        <w:rPr>
          <w:rFonts w:eastAsia="Times New Roman"/>
        </w:rPr>
        <w:t xml:space="preserve">arket </w:t>
      </w:r>
      <w:r w:rsidR="001B7486">
        <w:rPr>
          <w:rFonts w:eastAsia="Times New Roman"/>
        </w:rPr>
        <w:t>D</w:t>
      </w:r>
      <w:r w:rsidR="00F27056">
        <w:rPr>
          <w:rFonts w:eastAsia="Times New Roman"/>
        </w:rPr>
        <w:t xml:space="preserve">evelopment </w:t>
      </w:r>
      <w:r w:rsidR="001B7486">
        <w:rPr>
          <w:rFonts w:eastAsia="Times New Roman"/>
        </w:rPr>
        <w:t>F</w:t>
      </w:r>
      <w:r w:rsidR="00F27056">
        <w:rPr>
          <w:rFonts w:eastAsia="Times New Roman"/>
        </w:rPr>
        <w:t>acility</w:t>
      </w:r>
      <w:r w:rsidR="001B7486">
        <w:rPr>
          <w:rFonts w:eastAsia="Times New Roman"/>
        </w:rPr>
        <w:t xml:space="preserve">) continued its support </w:t>
      </w:r>
      <w:r w:rsidR="009B44B8">
        <w:rPr>
          <w:rFonts w:eastAsia="Times New Roman"/>
        </w:rPr>
        <w:t xml:space="preserve">for </w:t>
      </w:r>
      <w:r w:rsidR="001B7486">
        <w:rPr>
          <w:rFonts w:eastAsia="Times New Roman"/>
        </w:rPr>
        <w:t xml:space="preserve">the garment industry’s predominantly female workforce to stay in work by introducing affordable childcare. </w:t>
      </w:r>
      <w:r w:rsidR="00CF550B">
        <w:rPr>
          <w:rFonts w:eastAsia="Times New Roman"/>
        </w:rPr>
        <w:t xml:space="preserve"> In 2015-16, PSDI undertook foundational work to </w:t>
      </w:r>
      <w:r w:rsidR="00CF550B">
        <w:t>identify</w:t>
      </w:r>
      <w:r w:rsidR="00CA718C" w:rsidRPr="00B93FB3">
        <w:t xml:space="preserve"> </w:t>
      </w:r>
      <w:r w:rsidR="00CF550B">
        <w:t xml:space="preserve">the </w:t>
      </w:r>
      <w:r w:rsidR="00CA718C" w:rsidRPr="00B93FB3">
        <w:t>barriers to women’s economic empowerment</w:t>
      </w:r>
      <w:r w:rsidR="007D295F">
        <w:t xml:space="preserve">, launching </w:t>
      </w:r>
      <w:r w:rsidR="00CA718C" w:rsidRPr="00B93FB3">
        <w:t>the Women’s Leadership Program</w:t>
      </w:r>
      <w:r w:rsidR="00CA718C">
        <w:t xml:space="preserve"> </w:t>
      </w:r>
      <w:r w:rsidR="007D295F">
        <w:t>in April</w:t>
      </w:r>
      <w:r w:rsidR="00061163">
        <w:t>.</w:t>
      </w:r>
      <w:r w:rsidR="00CF550B">
        <w:t xml:space="preserve"> </w:t>
      </w:r>
    </w:p>
    <w:p w14:paraId="1A59F076" w14:textId="4CF979B5" w:rsidR="00D154D9" w:rsidRDefault="0031563B" w:rsidP="0025754A">
      <w:pPr>
        <w:spacing w:after="120" w:line="280" w:lineRule="exact"/>
        <w:rPr>
          <w:rFonts w:eastAsia="Times New Roman"/>
        </w:rPr>
      </w:pPr>
      <w:r w:rsidRPr="0025754A">
        <w:rPr>
          <w:rFonts w:eastAsia="Times New Roman"/>
        </w:rPr>
        <w:t xml:space="preserve">Through the Pacific Women Shaping Pacific Development </w:t>
      </w:r>
      <w:r w:rsidR="005F3167">
        <w:rPr>
          <w:rFonts w:eastAsia="Times New Roman"/>
        </w:rPr>
        <w:t xml:space="preserve">(Pacific Women) </w:t>
      </w:r>
      <w:r w:rsidRPr="0025754A">
        <w:rPr>
          <w:rFonts w:eastAsia="Times New Roman"/>
        </w:rPr>
        <w:t xml:space="preserve">program in Fiji, Australia </w:t>
      </w:r>
      <w:r w:rsidR="00CF793D" w:rsidRPr="0025754A">
        <w:rPr>
          <w:rFonts w:eastAsia="Times New Roman"/>
        </w:rPr>
        <w:t>has</w:t>
      </w:r>
      <w:r w:rsidRPr="0025754A">
        <w:rPr>
          <w:rFonts w:eastAsia="Times New Roman"/>
        </w:rPr>
        <w:t xml:space="preserve"> support</w:t>
      </w:r>
      <w:r w:rsidR="00CF793D" w:rsidRPr="0025754A">
        <w:rPr>
          <w:rFonts w:eastAsia="Times New Roman"/>
        </w:rPr>
        <w:t>ed</w:t>
      </w:r>
      <w:r w:rsidRPr="0025754A">
        <w:rPr>
          <w:rFonts w:eastAsia="Times New Roman"/>
        </w:rPr>
        <w:t xml:space="preserve"> initiatives that increase women’s economic empowerment, strengthen women’s roles in leadership and decision-making, and address gender-based violence</w:t>
      </w:r>
      <w:r w:rsidR="00B22B76">
        <w:rPr>
          <w:rFonts w:eastAsia="Times New Roman"/>
        </w:rPr>
        <w:t>.</w:t>
      </w:r>
      <w:r w:rsidR="00F67B64">
        <w:rPr>
          <w:rFonts w:eastAsia="Times New Roman"/>
        </w:rPr>
        <w:t xml:space="preserve"> </w:t>
      </w:r>
      <w:r w:rsidR="00803521">
        <w:rPr>
          <w:rFonts w:eastAsia="Times New Roman"/>
        </w:rPr>
        <w:t xml:space="preserve">In general, the program demonstrated improved progress </w:t>
      </w:r>
      <w:r w:rsidR="00F67B64">
        <w:rPr>
          <w:rFonts w:eastAsia="Times New Roman"/>
        </w:rPr>
        <w:t>in 20</w:t>
      </w:r>
      <w:r w:rsidR="00803521">
        <w:rPr>
          <w:rFonts w:eastAsia="Times New Roman"/>
        </w:rPr>
        <w:t>15-16 compared to 2014-15, particularly in terms of addressing gender-based violence and supporting women’s leadership.  For instance, i</w:t>
      </w:r>
      <w:r w:rsidR="001C7863">
        <w:rPr>
          <w:rFonts w:eastAsia="Times New Roman"/>
        </w:rPr>
        <w:t>n 2015 n</w:t>
      </w:r>
      <w:r w:rsidR="00CA6783">
        <w:rPr>
          <w:rFonts w:eastAsia="Times New Roman"/>
        </w:rPr>
        <w:t xml:space="preserve">ew partnerships </w:t>
      </w:r>
      <w:r w:rsidR="001C7863">
        <w:rPr>
          <w:rFonts w:eastAsia="Times New Roman"/>
        </w:rPr>
        <w:t xml:space="preserve">were </w:t>
      </w:r>
      <w:r w:rsidR="00CA6783">
        <w:rPr>
          <w:rFonts w:eastAsia="Times New Roman"/>
        </w:rPr>
        <w:t>signed with faith based organisations, House of Sarah and Pacific Conference of Churches</w:t>
      </w:r>
      <w:r w:rsidR="004E0D1B">
        <w:rPr>
          <w:rFonts w:eastAsia="Times New Roman"/>
        </w:rPr>
        <w:t>,</w:t>
      </w:r>
      <w:r w:rsidR="00CA6783">
        <w:rPr>
          <w:rFonts w:eastAsia="Times New Roman"/>
        </w:rPr>
        <w:t xml:space="preserve"> </w:t>
      </w:r>
      <w:r w:rsidR="001C7863">
        <w:rPr>
          <w:rFonts w:eastAsia="Times New Roman"/>
        </w:rPr>
        <w:t>which</w:t>
      </w:r>
      <w:r w:rsidR="00CA6783">
        <w:rPr>
          <w:rFonts w:eastAsia="Times New Roman"/>
        </w:rPr>
        <w:t xml:space="preserve"> involve trialling innovative approaches aimed at increasing women’s leadership in the Anglican clergy and addressing gender based violence within the church community. </w:t>
      </w:r>
      <w:r w:rsidR="007C0C1B">
        <w:rPr>
          <w:rFonts w:eastAsia="Times New Roman"/>
        </w:rPr>
        <w:t>Th</w:t>
      </w:r>
      <w:r w:rsidR="00ED0EFA">
        <w:rPr>
          <w:rFonts w:eastAsia="Times New Roman"/>
        </w:rPr>
        <w:t>rough Pacific Women, the</w:t>
      </w:r>
      <w:r w:rsidR="007C0C1B">
        <w:rPr>
          <w:rFonts w:eastAsia="Times New Roman"/>
        </w:rPr>
        <w:t xml:space="preserve"> Fiji Ministry of Women, Children and Poverty Alleviation </w:t>
      </w:r>
      <w:r w:rsidR="00ED0EFA">
        <w:rPr>
          <w:rFonts w:eastAsia="Times New Roman"/>
        </w:rPr>
        <w:t xml:space="preserve">has </w:t>
      </w:r>
      <w:r w:rsidR="00E7735D">
        <w:rPr>
          <w:rFonts w:eastAsia="Times New Roman"/>
        </w:rPr>
        <w:t xml:space="preserve">received </w:t>
      </w:r>
      <w:r w:rsidR="00ED0EFA">
        <w:rPr>
          <w:rFonts w:eastAsia="Times New Roman"/>
        </w:rPr>
        <w:t xml:space="preserve">support to </w:t>
      </w:r>
      <w:r w:rsidR="007C0C1B">
        <w:rPr>
          <w:rFonts w:eastAsia="Times New Roman"/>
        </w:rPr>
        <w:t>implement the new National Gender Policy</w:t>
      </w:r>
      <w:r w:rsidR="009B44B8">
        <w:rPr>
          <w:rFonts w:eastAsia="Times New Roman"/>
        </w:rPr>
        <w:t xml:space="preserve">.  This will </w:t>
      </w:r>
      <w:r w:rsidR="00CA6783" w:rsidRPr="00042538">
        <w:rPr>
          <w:rFonts w:eastAsia="Times New Roman"/>
        </w:rPr>
        <w:t>improve the environment for gender equality while ensuring the immediate needs of women at the community level are met.</w:t>
      </w:r>
      <w:r w:rsidR="00803521">
        <w:rPr>
          <w:rFonts w:eastAsia="Times New Roman"/>
        </w:rPr>
        <w:t xml:space="preserve"> Mixed progress was made in supporting women’s economic empowerment</w:t>
      </w:r>
      <w:r w:rsidR="004D27A2">
        <w:rPr>
          <w:rFonts w:eastAsia="Times New Roman"/>
        </w:rPr>
        <w:t>, and we recognise the need to do more in 2016-17 to support women in business</w:t>
      </w:r>
      <w:r w:rsidR="00803521">
        <w:rPr>
          <w:rFonts w:eastAsia="Times New Roman"/>
        </w:rPr>
        <w:t xml:space="preserve">. </w:t>
      </w:r>
      <w:r w:rsidR="004D27A2">
        <w:rPr>
          <w:rFonts w:eastAsia="Times New Roman"/>
        </w:rPr>
        <w:t>However, t</w:t>
      </w:r>
      <w:r w:rsidR="00803521">
        <w:rPr>
          <w:rFonts w:eastAsia="Times New Roman"/>
        </w:rPr>
        <w:t xml:space="preserve">here was isolated success in establishing </w:t>
      </w:r>
      <w:r w:rsidR="00803521" w:rsidRPr="00042538">
        <w:rPr>
          <w:rFonts w:eastAsia="Times New Roman"/>
        </w:rPr>
        <w:t xml:space="preserve">a new partnership with </w:t>
      </w:r>
      <w:r w:rsidR="00803521">
        <w:rPr>
          <w:rFonts w:eastAsia="Times New Roman"/>
        </w:rPr>
        <w:t xml:space="preserve">the </w:t>
      </w:r>
      <w:r w:rsidR="00803521" w:rsidRPr="00042538">
        <w:rPr>
          <w:rFonts w:eastAsia="Times New Roman"/>
        </w:rPr>
        <w:t>South Pacific Academy of Beauty Therapy</w:t>
      </w:r>
      <w:r w:rsidR="00803521">
        <w:rPr>
          <w:rFonts w:eastAsia="Times New Roman"/>
        </w:rPr>
        <w:t xml:space="preserve"> which resulted in </w:t>
      </w:r>
      <w:r w:rsidR="00803521" w:rsidRPr="00042538">
        <w:rPr>
          <w:rFonts w:eastAsia="Times New Roman"/>
        </w:rPr>
        <w:t>2</w:t>
      </w:r>
      <w:r w:rsidR="00803521">
        <w:rPr>
          <w:rFonts w:eastAsia="Times New Roman"/>
        </w:rPr>
        <w:t>4</w:t>
      </w:r>
      <w:r w:rsidR="00803521" w:rsidRPr="00042538">
        <w:rPr>
          <w:rFonts w:eastAsia="Times New Roman"/>
        </w:rPr>
        <w:t xml:space="preserve"> women from low socio</w:t>
      </w:r>
      <w:r w:rsidR="00803521">
        <w:rPr>
          <w:rFonts w:eastAsia="Times New Roman"/>
        </w:rPr>
        <w:t>-</w:t>
      </w:r>
      <w:r w:rsidR="00803521" w:rsidRPr="00042538">
        <w:rPr>
          <w:rFonts w:eastAsia="Times New Roman"/>
        </w:rPr>
        <w:t xml:space="preserve">economic backgrounds </w:t>
      </w:r>
      <w:r w:rsidR="00803521">
        <w:rPr>
          <w:rFonts w:eastAsia="Times New Roman"/>
        </w:rPr>
        <w:t>receiving a qualification in spa and</w:t>
      </w:r>
      <w:r w:rsidR="00803521" w:rsidRPr="00042538">
        <w:rPr>
          <w:rFonts w:eastAsia="Times New Roman"/>
        </w:rPr>
        <w:t xml:space="preserve"> beauty therapy. The Academy ensur</w:t>
      </w:r>
      <w:r w:rsidR="00803521">
        <w:rPr>
          <w:rFonts w:eastAsia="Times New Roman"/>
        </w:rPr>
        <w:t>ed</w:t>
      </w:r>
      <w:r w:rsidR="00803521" w:rsidRPr="00042538">
        <w:rPr>
          <w:rFonts w:eastAsia="Times New Roman"/>
        </w:rPr>
        <w:t xml:space="preserve"> employment placements for women before graduation.</w:t>
      </w:r>
      <w:r w:rsidR="004D27A2">
        <w:rPr>
          <w:rFonts w:eastAsia="Times New Roman"/>
        </w:rPr>
        <w:t xml:space="preserve"> </w:t>
      </w:r>
    </w:p>
    <w:p w14:paraId="076A8ED4" w14:textId="77777777" w:rsidR="000252F0" w:rsidRPr="0025754A" w:rsidRDefault="00477597" w:rsidP="001E54D1">
      <w:pPr>
        <w:spacing w:after="120" w:line="280" w:lineRule="exact"/>
        <w:rPr>
          <w:rFonts w:eastAsia="Times New Roman"/>
        </w:rPr>
      </w:pPr>
      <w:r>
        <w:rPr>
          <w:rFonts w:eastAsia="Times New Roman"/>
        </w:rPr>
        <w:t xml:space="preserve">In 2015-16 </w:t>
      </w:r>
      <w:r w:rsidR="0031563B" w:rsidRPr="0025754A">
        <w:rPr>
          <w:rFonts w:eastAsia="Times New Roman"/>
        </w:rPr>
        <w:t xml:space="preserve">Australia </w:t>
      </w:r>
      <w:r w:rsidR="00CF793D" w:rsidRPr="0025754A">
        <w:rPr>
          <w:rFonts w:eastAsia="Times New Roman"/>
        </w:rPr>
        <w:t xml:space="preserve">increased </w:t>
      </w:r>
      <w:r w:rsidR="00E7735D">
        <w:rPr>
          <w:rFonts w:eastAsia="Times New Roman"/>
        </w:rPr>
        <w:t xml:space="preserve">its </w:t>
      </w:r>
      <w:r w:rsidR="00CF793D" w:rsidRPr="0025754A">
        <w:rPr>
          <w:rFonts w:eastAsia="Times New Roman"/>
        </w:rPr>
        <w:t>engagement with</w:t>
      </w:r>
      <w:r w:rsidR="0031563B" w:rsidRPr="0025754A">
        <w:rPr>
          <w:rFonts w:eastAsia="Times New Roman"/>
        </w:rPr>
        <w:t xml:space="preserve"> </w:t>
      </w:r>
      <w:r w:rsidR="0031563B" w:rsidRPr="000B2A9F">
        <w:rPr>
          <w:rFonts w:eastAsia="Times New Roman"/>
        </w:rPr>
        <w:t>Fiji’s Disabled People’s Organisations</w:t>
      </w:r>
      <w:r w:rsidR="0031563B" w:rsidRPr="0025754A">
        <w:rPr>
          <w:rFonts w:eastAsia="Times New Roman"/>
        </w:rPr>
        <w:t xml:space="preserve"> to ensure </w:t>
      </w:r>
      <w:r w:rsidR="0031563B" w:rsidRPr="00160D8C">
        <w:rPr>
          <w:rFonts w:eastAsia="Times New Roman"/>
        </w:rPr>
        <w:t>people living with disabilities</w:t>
      </w:r>
      <w:r w:rsidR="0031563B" w:rsidRPr="00F27056">
        <w:rPr>
          <w:rFonts w:eastAsia="Times New Roman"/>
        </w:rPr>
        <w:t xml:space="preserve"> c</w:t>
      </w:r>
      <w:r w:rsidR="0031563B" w:rsidRPr="0025754A">
        <w:rPr>
          <w:rFonts w:eastAsia="Times New Roman"/>
        </w:rPr>
        <w:t>an benefit from development initiatives</w:t>
      </w:r>
      <w:r w:rsidR="00B22B76">
        <w:rPr>
          <w:rFonts w:eastAsia="Times New Roman"/>
        </w:rPr>
        <w:t xml:space="preserve">. </w:t>
      </w:r>
      <w:r w:rsidR="00967531" w:rsidRPr="008B6495">
        <w:rPr>
          <w:rFonts w:eastAsia="Times New Roman"/>
        </w:rPr>
        <w:t xml:space="preserve">For the first time, the Disability Empowerment Skills Exchange Program enabled five </w:t>
      </w:r>
      <w:r w:rsidR="009F1421">
        <w:rPr>
          <w:rFonts w:eastAsia="Times New Roman"/>
        </w:rPr>
        <w:t>Australian</w:t>
      </w:r>
      <w:r w:rsidR="009F1421" w:rsidRPr="008B6495">
        <w:rPr>
          <w:rFonts w:eastAsia="Times New Roman"/>
        </w:rPr>
        <w:t xml:space="preserve"> </w:t>
      </w:r>
      <w:r w:rsidR="00967531" w:rsidRPr="008B6495">
        <w:rPr>
          <w:rFonts w:eastAsia="Times New Roman"/>
        </w:rPr>
        <w:t>volunteers with disabilit</w:t>
      </w:r>
      <w:r w:rsidR="00E7735D">
        <w:rPr>
          <w:rFonts w:eastAsia="Times New Roman"/>
        </w:rPr>
        <w:t>ies</w:t>
      </w:r>
      <w:r w:rsidR="00967531" w:rsidRPr="008B6495">
        <w:rPr>
          <w:rFonts w:eastAsia="Times New Roman"/>
        </w:rPr>
        <w:t xml:space="preserve"> to provide capacity development support to </w:t>
      </w:r>
      <w:r w:rsidR="009B0FEB">
        <w:rPr>
          <w:rFonts w:eastAsia="Times New Roman"/>
        </w:rPr>
        <w:t>a number of</w:t>
      </w:r>
      <w:r w:rsidR="00967531" w:rsidRPr="008B6495">
        <w:rPr>
          <w:rFonts w:eastAsia="Times New Roman"/>
        </w:rPr>
        <w:t xml:space="preserve"> disabled people’s organisations in Fiji</w:t>
      </w:r>
      <w:r w:rsidR="001C7863">
        <w:rPr>
          <w:rFonts w:eastAsia="Times New Roman"/>
        </w:rPr>
        <w:t>.</w:t>
      </w:r>
      <w:r w:rsidR="00967531" w:rsidRPr="008B6495">
        <w:rPr>
          <w:rStyle w:val="FootnoteReference"/>
          <w:rFonts w:eastAsia="Times New Roman"/>
        </w:rPr>
        <w:footnoteReference w:id="17"/>
      </w:r>
      <w:r w:rsidR="00967531" w:rsidRPr="008B6495">
        <w:rPr>
          <w:rFonts w:eastAsia="Times New Roman"/>
        </w:rPr>
        <w:t xml:space="preserve"> Australia’s </w:t>
      </w:r>
      <w:r w:rsidR="00967531" w:rsidRPr="009F1421">
        <w:rPr>
          <w:rFonts w:eastAsia="Times New Roman"/>
        </w:rPr>
        <w:t xml:space="preserve">FCDP </w:t>
      </w:r>
      <w:r w:rsidR="00967531" w:rsidRPr="008B6495">
        <w:rPr>
          <w:rFonts w:eastAsia="Times New Roman"/>
        </w:rPr>
        <w:t xml:space="preserve">also </w:t>
      </w:r>
      <w:r w:rsidR="00967531" w:rsidRPr="009F1421">
        <w:rPr>
          <w:rFonts w:eastAsia="Times New Roman"/>
        </w:rPr>
        <w:t>displays a strong gender and disability inclusion focus in all activities and reporting</w:t>
      </w:r>
      <w:r w:rsidR="00B22B76" w:rsidRPr="009F1421">
        <w:rPr>
          <w:rFonts w:eastAsia="Times New Roman"/>
        </w:rPr>
        <w:t>.</w:t>
      </w:r>
      <w:r w:rsidR="00B22B76">
        <w:rPr>
          <w:rFonts w:ascii="Arial" w:eastAsia="Times New Roman" w:hAnsi="Arial"/>
          <w:sz w:val="20"/>
          <w:szCs w:val="20"/>
        </w:rPr>
        <w:t xml:space="preserve"> </w:t>
      </w:r>
      <w:r w:rsidR="00967531" w:rsidRPr="008B6495">
        <w:t xml:space="preserve">This enables us to track </w:t>
      </w:r>
      <w:r w:rsidR="00967531" w:rsidRPr="008B6495">
        <w:rPr>
          <w:spacing w:val="-2"/>
        </w:rPr>
        <w:t>women and men’s participation and access to training, income generating activities, and health</w:t>
      </w:r>
      <w:r w:rsidR="007460FD">
        <w:rPr>
          <w:spacing w:val="-2"/>
        </w:rPr>
        <w:t xml:space="preserve"> and </w:t>
      </w:r>
      <w:r w:rsidR="00967531" w:rsidRPr="008B6495">
        <w:rPr>
          <w:spacing w:val="-2"/>
        </w:rPr>
        <w:t>education services</w:t>
      </w:r>
      <w:r w:rsidR="00B22B76">
        <w:rPr>
          <w:spacing w:val="-2"/>
        </w:rPr>
        <w:t xml:space="preserve">. </w:t>
      </w:r>
      <w:r w:rsidR="008B71A1">
        <w:rPr>
          <w:rFonts w:eastAsia="Times New Roman"/>
        </w:rPr>
        <w:t xml:space="preserve"> </w:t>
      </w:r>
      <w:r w:rsidR="000252F0" w:rsidRPr="0025754A">
        <w:rPr>
          <w:rFonts w:eastAsia="Times New Roman"/>
        </w:rPr>
        <w:t xml:space="preserve">Through FCDP grant funding to </w:t>
      </w:r>
      <w:r w:rsidR="00E7735D">
        <w:rPr>
          <w:rFonts w:eastAsia="Times New Roman"/>
        </w:rPr>
        <w:t xml:space="preserve">the </w:t>
      </w:r>
      <w:r w:rsidR="000252F0" w:rsidRPr="0025754A">
        <w:rPr>
          <w:rFonts w:eastAsia="Times New Roman"/>
        </w:rPr>
        <w:t xml:space="preserve">Fiji Society for the Blind, 14,720 people (7,493 males and 7,227 females) </w:t>
      </w:r>
      <w:r w:rsidR="00E7735D">
        <w:rPr>
          <w:rFonts w:eastAsia="Times New Roman"/>
        </w:rPr>
        <w:t>undertook</w:t>
      </w:r>
      <w:r w:rsidR="000252F0" w:rsidRPr="0025754A">
        <w:rPr>
          <w:rFonts w:eastAsia="Times New Roman"/>
        </w:rPr>
        <w:t xml:space="preserve"> eye screening, leading to 2,713 referrals to the eye </w:t>
      </w:r>
      <w:r w:rsidR="000252F0" w:rsidRPr="00A82407">
        <w:rPr>
          <w:rFonts w:eastAsia="Times New Roman"/>
        </w:rPr>
        <w:t>department</w:t>
      </w:r>
      <w:r w:rsidR="000252F0" w:rsidRPr="0025754A">
        <w:rPr>
          <w:rFonts w:eastAsia="Times New Roman"/>
        </w:rPr>
        <w:t xml:space="preserve"> and </w:t>
      </w:r>
      <w:r w:rsidR="00E7735D">
        <w:rPr>
          <w:rFonts w:eastAsia="Times New Roman"/>
        </w:rPr>
        <w:t xml:space="preserve">the </w:t>
      </w:r>
      <w:r w:rsidR="00C15B77">
        <w:rPr>
          <w:rFonts w:eastAsia="Times New Roman"/>
        </w:rPr>
        <w:t xml:space="preserve">distribution of </w:t>
      </w:r>
      <w:r w:rsidR="000252F0" w:rsidRPr="0025754A">
        <w:rPr>
          <w:rFonts w:eastAsia="Times New Roman"/>
        </w:rPr>
        <w:t>350 low vision devices/aids</w:t>
      </w:r>
      <w:r w:rsidR="00B22B76">
        <w:rPr>
          <w:rFonts w:eastAsia="Times New Roman"/>
        </w:rPr>
        <w:t xml:space="preserve">. </w:t>
      </w:r>
      <w:r w:rsidR="000252F0" w:rsidRPr="0025754A">
        <w:rPr>
          <w:rFonts w:eastAsia="Times New Roman"/>
        </w:rPr>
        <w:t xml:space="preserve">Grants to the Medical Services Pacific outreach team </w:t>
      </w:r>
      <w:r w:rsidR="000252F0" w:rsidRPr="00A82407">
        <w:rPr>
          <w:rFonts w:eastAsia="Times New Roman"/>
        </w:rPr>
        <w:t xml:space="preserve">allowed </w:t>
      </w:r>
      <w:r w:rsidR="00412C95">
        <w:rPr>
          <w:rFonts w:eastAsia="Times New Roman"/>
        </w:rPr>
        <w:t xml:space="preserve">for provision of home-based </w:t>
      </w:r>
      <w:r w:rsidR="000252F0" w:rsidRPr="00A82407">
        <w:rPr>
          <w:rFonts w:eastAsia="Times New Roman"/>
        </w:rPr>
        <w:t xml:space="preserve">services </w:t>
      </w:r>
      <w:r w:rsidR="00412C95">
        <w:rPr>
          <w:rFonts w:eastAsia="Times New Roman"/>
        </w:rPr>
        <w:t>to</w:t>
      </w:r>
      <w:r w:rsidR="000252F0" w:rsidRPr="00A82407">
        <w:rPr>
          <w:rFonts w:eastAsia="Times New Roman"/>
        </w:rPr>
        <w:t xml:space="preserve"> people living with disabilities</w:t>
      </w:r>
      <w:r w:rsidR="00B22B76">
        <w:rPr>
          <w:rFonts w:eastAsia="Times New Roman"/>
        </w:rPr>
        <w:t xml:space="preserve">. </w:t>
      </w:r>
      <w:r w:rsidR="000F0F73" w:rsidRPr="00A82407">
        <w:rPr>
          <w:rFonts w:eastAsia="Times New Roman"/>
        </w:rPr>
        <w:t>W</w:t>
      </w:r>
      <w:r w:rsidR="005F3167" w:rsidRPr="00A82407">
        <w:rPr>
          <w:rFonts w:eastAsia="Times New Roman"/>
        </w:rPr>
        <w:t>ater, sanitation and hygiene</w:t>
      </w:r>
      <w:r w:rsidR="000252F0" w:rsidRPr="00A82407">
        <w:rPr>
          <w:rFonts w:eastAsia="Times New Roman"/>
        </w:rPr>
        <w:t xml:space="preserve"> projects implemented</w:t>
      </w:r>
      <w:r w:rsidR="000252F0" w:rsidRPr="0025754A">
        <w:rPr>
          <w:rFonts w:eastAsia="Times New Roman"/>
        </w:rPr>
        <w:t xml:space="preserve"> by Habitat for Humanity ensured that appropriate water taps were installed at ac</w:t>
      </w:r>
      <w:r w:rsidR="000252F0" w:rsidRPr="00A82407">
        <w:rPr>
          <w:rFonts w:eastAsia="Times New Roman"/>
        </w:rPr>
        <w:t>cessible</w:t>
      </w:r>
      <w:r w:rsidR="000252F0" w:rsidRPr="0025754A">
        <w:rPr>
          <w:rFonts w:eastAsia="Times New Roman"/>
        </w:rPr>
        <w:t xml:space="preserve"> places for people living with a disability</w:t>
      </w:r>
      <w:r w:rsidR="00B22B76">
        <w:rPr>
          <w:rFonts w:eastAsia="Times New Roman"/>
        </w:rPr>
        <w:t xml:space="preserve">. </w:t>
      </w:r>
      <w:r w:rsidR="000252F0" w:rsidRPr="0025754A">
        <w:rPr>
          <w:rFonts w:eastAsia="Times New Roman"/>
        </w:rPr>
        <w:t xml:space="preserve">This work </w:t>
      </w:r>
      <w:r w:rsidR="00E7735D">
        <w:rPr>
          <w:rFonts w:eastAsia="Times New Roman"/>
        </w:rPr>
        <w:t xml:space="preserve">helps </w:t>
      </w:r>
      <w:r w:rsidR="000252F0" w:rsidRPr="0025754A">
        <w:rPr>
          <w:rFonts w:eastAsia="Times New Roman"/>
        </w:rPr>
        <w:t>those with a disability liv</w:t>
      </w:r>
      <w:r w:rsidR="00E7735D">
        <w:rPr>
          <w:rFonts w:eastAsia="Times New Roman"/>
        </w:rPr>
        <w:t>e</w:t>
      </w:r>
      <w:r w:rsidR="000252F0" w:rsidRPr="0025754A">
        <w:rPr>
          <w:rFonts w:eastAsia="Times New Roman"/>
        </w:rPr>
        <w:t xml:space="preserve"> more independent and meaningful lives.</w:t>
      </w:r>
      <w:r w:rsidR="003D5EDC" w:rsidRPr="003D5EDC">
        <w:rPr>
          <w:rFonts w:eastAsia="Times New Roman"/>
        </w:rPr>
        <w:t xml:space="preserve"> </w:t>
      </w:r>
    </w:p>
    <w:p w14:paraId="1DF60017" w14:textId="77777777" w:rsidR="002A51CA" w:rsidRPr="002A51CA" w:rsidRDefault="002A51CA" w:rsidP="002A51CA">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sidRPr="002A51CA">
        <w:rPr>
          <w:rFonts w:asciiTheme="majorHAnsi" w:eastAsiaTheme="majorEastAsia" w:hAnsiTheme="majorHAnsi" w:cstheme="majorBidi"/>
          <w:caps/>
          <w:color w:val="495965" w:themeColor="text2"/>
          <w:sz w:val="38"/>
          <w:szCs w:val="26"/>
          <w:lang w:val="en-GB" w:eastAsia="en-US"/>
        </w:rPr>
        <w:t>Performance Benchmarks</w:t>
      </w:r>
      <w:r w:rsidRPr="002A51CA">
        <w:rPr>
          <w:rFonts w:asciiTheme="majorHAnsi" w:eastAsiaTheme="majorEastAsia" w:hAnsiTheme="majorHAnsi" w:cstheme="majorBidi"/>
          <w:caps/>
          <w:color w:val="495965" w:themeColor="text2"/>
          <w:sz w:val="38"/>
          <w:szCs w:val="26"/>
          <w:lang w:val="en-GB" w:eastAsia="en-US"/>
        </w:rPr>
        <w:tab/>
      </w:r>
    </w:p>
    <w:p w14:paraId="016E2A50" w14:textId="77777777" w:rsidR="002A51CA" w:rsidRPr="004752FD" w:rsidRDefault="003F0EB8" w:rsidP="002A51CA">
      <w:pPr>
        <w:pStyle w:val="Caption"/>
        <w:rPr>
          <w:i/>
          <w:sz w:val="24"/>
        </w:rPr>
      </w:pPr>
      <w:r>
        <w:rPr>
          <w:sz w:val="24"/>
        </w:rPr>
        <w:t>Table:</w:t>
      </w:r>
      <w:r w:rsidR="001C7863">
        <w:rPr>
          <w:sz w:val="24"/>
        </w:rPr>
        <w:t xml:space="preserve"> </w:t>
      </w:r>
      <w:r w:rsidR="002A51CA" w:rsidRPr="008C2F58">
        <w:rPr>
          <w:sz w:val="24"/>
        </w:rPr>
        <w:t xml:space="preserve">Performance Benchmarks 2016-17 to 2018-19 </w:t>
      </w:r>
      <w:r w:rsidR="004752FD">
        <w:rPr>
          <w:sz w:val="24"/>
        </w:rPr>
        <w:t xml:space="preserve"> </w:t>
      </w:r>
    </w:p>
    <w:tbl>
      <w:tblPr>
        <w:tblStyle w:val="DFATTable"/>
        <w:tblpPr w:leftFromText="180" w:rightFromText="180" w:vertAnchor="text" w:tblpY="1"/>
        <w:tblOverlap w:val="never"/>
        <w:tblW w:w="5258" w:type="pct"/>
        <w:tblLook w:val="04A0" w:firstRow="1" w:lastRow="0" w:firstColumn="1" w:lastColumn="0" w:noHBand="0" w:noVBand="1"/>
      </w:tblPr>
      <w:tblGrid>
        <w:gridCol w:w="4127"/>
        <w:gridCol w:w="1802"/>
        <w:gridCol w:w="1972"/>
        <w:gridCol w:w="1660"/>
        <w:gridCol w:w="574"/>
      </w:tblGrid>
      <w:tr w:rsidR="00CD0D20" w14:paraId="1DC56DDD" w14:textId="77777777" w:rsidTr="007425C2">
        <w:trPr>
          <w:trHeight w:val="331"/>
        </w:trPr>
        <w:tc>
          <w:tcPr>
            <w:tcW w:w="2036" w:type="pct"/>
            <w:tcBorders>
              <w:top w:val="single" w:sz="12" w:space="0" w:color="auto"/>
              <w:left w:val="nil"/>
              <w:bottom w:val="nil"/>
              <w:right w:val="nil"/>
            </w:tcBorders>
          </w:tcPr>
          <w:p w14:paraId="7A59EE57" w14:textId="77777777" w:rsidR="00CD0D20" w:rsidRPr="003B0793" w:rsidRDefault="00CD0D20" w:rsidP="006076B8">
            <w:pPr>
              <w:pStyle w:val="TableHeading1"/>
              <w:rPr>
                <w:rFonts w:asciiTheme="minorHAnsi" w:hAnsiTheme="minorHAnsi"/>
              </w:rPr>
            </w:pPr>
          </w:p>
        </w:tc>
        <w:tc>
          <w:tcPr>
            <w:tcW w:w="889" w:type="pct"/>
            <w:tcBorders>
              <w:top w:val="single" w:sz="12" w:space="0" w:color="auto"/>
              <w:left w:val="nil"/>
              <w:bottom w:val="nil"/>
              <w:right w:val="nil"/>
            </w:tcBorders>
          </w:tcPr>
          <w:p w14:paraId="6719710C" w14:textId="77777777" w:rsidR="00CD0D20" w:rsidRPr="003B0793" w:rsidRDefault="00CD0D20" w:rsidP="00CD0D20">
            <w:pPr>
              <w:pStyle w:val="TableHeading1"/>
              <w:rPr>
                <w:rFonts w:asciiTheme="minorHAnsi" w:hAnsiTheme="minorHAnsi"/>
              </w:rPr>
            </w:pPr>
            <w:r w:rsidRPr="003B0793">
              <w:rPr>
                <w:rFonts w:asciiTheme="minorHAnsi" w:hAnsiTheme="minorHAnsi"/>
              </w:rPr>
              <w:t>2016-17</w:t>
            </w:r>
          </w:p>
        </w:tc>
        <w:tc>
          <w:tcPr>
            <w:tcW w:w="973" w:type="pct"/>
            <w:tcBorders>
              <w:top w:val="single" w:sz="12" w:space="0" w:color="auto"/>
              <w:left w:val="nil"/>
              <w:bottom w:val="nil"/>
              <w:right w:val="nil"/>
            </w:tcBorders>
            <w:hideMark/>
          </w:tcPr>
          <w:p w14:paraId="5612BEE3" w14:textId="77777777" w:rsidR="00CD0D20" w:rsidRPr="003B0793" w:rsidRDefault="00CD0D20" w:rsidP="00CD0D20">
            <w:pPr>
              <w:pStyle w:val="TableHeading1"/>
              <w:ind w:left="-110" w:firstLine="32"/>
              <w:rPr>
                <w:rFonts w:asciiTheme="minorHAnsi" w:hAnsiTheme="minorHAnsi"/>
              </w:rPr>
            </w:pPr>
            <w:r w:rsidRPr="003B0793">
              <w:rPr>
                <w:rFonts w:asciiTheme="minorHAnsi" w:hAnsiTheme="minorHAnsi"/>
              </w:rPr>
              <w:t>2017-18</w:t>
            </w:r>
          </w:p>
        </w:tc>
        <w:tc>
          <w:tcPr>
            <w:tcW w:w="1102" w:type="pct"/>
            <w:gridSpan w:val="2"/>
            <w:tcBorders>
              <w:top w:val="single" w:sz="12" w:space="0" w:color="auto"/>
              <w:left w:val="nil"/>
              <w:bottom w:val="nil"/>
              <w:right w:val="nil"/>
            </w:tcBorders>
            <w:hideMark/>
          </w:tcPr>
          <w:p w14:paraId="2831E907" w14:textId="77777777" w:rsidR="00CD0D20" w:rsidRPr="003B0793" w:rsidRDefault="00CD0D20" w:rsidP="00CD0D20">
            <w:pPr>
              <w:pStyle w:val="TableHeading1"/>
              <w:ind w:left="-109"/>
              <w:rPr>
                <w:rFonts w:asciiTheme="minorHAnsi" w:hAnsiTheme="minorHAnsi"/>
              </w:rPr>
            </w:pPr>
            <w:r w:rsidRPr="003B0793">
              <w:rPr>
                <w:rFonts w:asciiTheme="minorHAnsi" w:hAnsiTheme="minorHAnsi"/>
              </w:rPr>
              <w:t>2018-19</w:t>
            </w:r>
          </w:p>
        </w:tc>
      </w:tr>
      <w:tr w:rsidR="003B0793" w14:paraId="264014A0" w14:textId="77777777" w:rsidTr="007425C2">
        <w:trPr>
          <w:gridAfter w:val="1"/>
          <w:wAfter w:w="283" w:type="pct"/>
          <w:trHeight w:val="425"/>
        </w:trPr>
        <w:tc>
          <w:tcPr>
            <w:tcW w:w="2036" w:type="pct"/>
            <w:tcBorders>
              <w:top w:val="nil"/>
              <w:left w:val="nil"/>
              <w:bottom w:val="nil"/>
              <w:right w:val="nil"/>
            </w:tcBorders>
            <w:hideMark/>
          </w:tcPr>
          <w:p w14:paraId="3A14733A" w14:textId="77777777" w:rsidR="003B0793" w:rsidRPr="00832278" w:rsidRDefault="00CD0D20" w:rsidP="006076B8">
            <w:pPr>
              <w:pStyle w:val="TableHeading1"/>
              <w:rPr>
                <w:rFonts w:asciiTheme="minorHAnsi" w:hAnsiTheme="minorHAnsi"/>
                <w:i/>
                <w:color w:val="808080" w:themeColor="background1" w:themeShade="80"/>
              </w:rPr>
            </w:pPr>
            <w:r w:rsidRPr="00832278">
              <w:rPr>
                <w:rFonts w:asciiTheme="minorHAnsi" w:hAnsiTheme="minorHAnsi"/>
                <w:color w:val="808080" w:themeColor="background1" w:themeShade="80"/>
              </w:rPr>
              <w:t>Increased private sector development</w:t>
            </w:r>
          </w:p>
        </w:tc>
        <w:tc>
          <w:tcPr>
            <w:tcW w:w="2681" w:type="pct"/>
            <w:gridSpan w:val="3"/>
            <w:tcBorders>
              <w:top w:val="nil"/>
              <w:left w:val="nil"/>
              <w:bottom w:val="nil"/>
            </w:tcBorders>
            <w:hideMark/>
          </w:tcPr>
          <w:p w14:paraId="3D955DE6" w14:textId="77777777" w:rsidR="003B0793" w:rsidRPr="00396E33" w:rsidRDefault="003B0793" w:rsidP="006076B8">
            <w:pPr>
              <w:pStyle w:val="TableTextEntries"/>
              <w:ind w:left="-107" w:firstLine="32"/>
              <w:rPr>
                <w:rFonts w:asciiTheme="minorHAnsi" w:hAnsiTheme="minorHAnsi"/>
                <w:b/>
                <w:i/>
                <w:color w:val="808080" w:themeColor="background1" w:themeShade="80"/>
              </w:rPr>
            </w:pPr>
          </w:p>
        </w:tc>
      </w:tr>
      <w:tr w:rsidR="00CD0D20" w14:paraId="28FA70B7" w14:textId="77777777" w:rsidTr="007425C2">
        <w:trPr>
          <w:trHeight w:val="466"/>
        </w:trPr>
        <w:tc>
          <w:tcPr>
            <w:tcW w:w="2036" w:type="pct"/>
            <w:tcBorders>
              <w:top w:val="nil"/>
              <w:left w:val="nil"/>
              <w:bottom w:val="nil"/>
              <w:right w:val="nil"/>
            </w:tcBorders>
          </w:tcPr>
          <w:p w14:paraId="03641053" w14:textId="77777777" w:rsidR="00CD0D20" w:rsidRPr="00832278" w:rsidRDefault="00CD0D20" w:rsidP="006076B8">
            <w:pPr>
              <w:pStyle w:val="TableTextEntries"/>
              <w:keepNext/>
              <w:rPr>
                <w:rFonts w:asciiTheme="minorHAnsi" w:hAnsiTheme="minorHAnsi"/>
                <w:color w:val="808080" w:themeColor="background1" w:themeShade="80"/>
              </w:rPr>
            </w:pPr>
            <w:r w:rsidRPr="00832278">
              <w:rPr>
                <w:rFonts w:asciiTheme="minorHAnsi" w:hAnsiTheme="minorHAnsi"/>
                <w:color w:val="808080" w:themeColor="background1" w:themeShade="80"/>
              </w:rPr>
              <w:t>New formal sector jobs created for the poor</w:t>
            </w:r>
          </w:p>
        </w:tc>
        <w:tc>
          <w:tcPr>
            <w:tcW w:w="889" w:type="pct"/>
            <w:tcBorders>
              <w:top w:val="nil"/>
              <w:left w:val="nil"/>
              <w:bottom w:val="nil"/>
              <w:right w:val="nil"/>
            </w:tcBorders>
          </w:tcPr>
          <w:p w14:paraId="30D2FD98" w14:textId="77777777" w:rsidR="00CD0D20" w:rsidRPr="00832278" w:rsidRDefault="00CD0D20" w:rsidP="00832278">
            <w:pPr>
              <w:pStyle w:val="TableTextEntries"/>
              <w:keepNext/>
              <w:rPr>
                <w:rFonts w:asciiTheme="minorHAnsi" w:hAnsiTheme="minorHAnsi"/>
                <w:color w:val="808080" w:themeColor="background1" w:themeShade="80"/>
              </w:rPr>
            </w:pPr>
            <w:r w:rsidRPr="00832278">
              <w:rPr>
                <w:rFonts w:asciiTheme="minorHAnsi" w:hAnsiTheme="minorHAnsi"/>
                <w:color w:val="808080" w:themeColor="background1" w:themeShade="80"/>
              </w:rPr>
              <w:t>260</w:t>
            </w:r>
          </w:p>
        </w:tc>
        <w:tc>
          <w:tcPr>
            <w:tcW w:w="973" w:type="pct"/>
            <w:tcBorders>
              <w:top w:val="nil"/>
              <w:left w:val="nil"/>
              <w:bottom w:val="nil"/>
              <w:right w:val="nil"/>
            </w:tcBorders>
          </w:tcPr>
          <w:p w14:paraId="295787F6" w14:textId="77777777" w:rsidR="00CD0D20" w:rsidRPr="008B6495" w:rsidRDefault="00FE56E4" w:rsidP="00FE56E4">
            <w:pPr>
              <w:rPr>
                <w:rFonts w:asciiTheme="minorHAnsi" w:hAnsiTheme="minorHAnsi"/>
                <w:i/>
                <w:color w:val="7F7F7F" w:themeColor="text1" w:themeTint="80"/>
                <w:szCs w:val="20"/>
                <w:lang w:eastAsia="en-US"/>
              </w:rPr>
            </w:pPr>
            <w:r w:rsidRPr="008B6495">
              <w:rPr>
                <w:rFonts w:asciiTheme="minorHAnsi" w:hAnsiTheme="minorHAnsi"/>
                <w:i/>
                <w:color w:val="7F7F7F" w:themeColor="text1" w:themeTint="80"/>
                <w:szCs w:val="20"/>
                <w:lang w:eastAsia="en-US"/>
              </w:rPr>
              <w:t>to be determined</w:t>
            </w:r>
          </w:p>
        </w:tc>
        <w:tc>
          <w:tcPr>
            <w:tcW w:w="1102" w:type="pct"/>
            <w:gridSpan w:val="2"/>
            <w:tcBorders>
              <w:top w:val="nil"/>
              <w:left w:val="nil"/>
              <w:bottom w:val="nil"/>
              <w:right w:val="nil"/>
            </w:tcBorders>
          </w:tcPr>
          <w:p w14:paraId="1E07B6BF" w14:textId="77777777" w:rsidR="00CD0D20" w:rsidRPr="008B6495" w:rsidRDefault="00F17F99" w:rsidP="006076B8">
            <w:pPr>
              <w:rPr>
                <w:rFonts w:asciiTheme="minorHAnsi" w:hAnsiTheme="minorHAnsi"/>
                <w:i/>
                <w:color w:val="7F7F7F" w:themeColor="text1" w:themeTint="80"/>
                <w:szCs w:val="20"/>
                <w:lang w:eastAsia="en-US"/>
              </w:rPr>
            </w:pPr>
            <w:r w:rsidRPr="008B6495">
              <w:rPr>
                <w:rFonts w:asciiTheme="minorHAnsi" w:hAnsiTheme="minorHAnsi"/>
                <w:i/>
                <w:color w:val="7F7F7F" w:themeColor="text1" w:themeTint="80"/>
                <w:szCs w:val="20"/>
                <w:lang w:eastAsia="en-US"/>
              </w:rPr>
              <w:t>to be determined</w:t>
            </w:r>
          </w:p>
        </w:tc>
      </w:tr>
      <w:tr w:rsidR="00CD0D20" w14:paraId="7A8237C9" w14:textId="77777777" w:rsidTr="007425C2">
        <w:trPr>
          <w:trHeight w:val="700"/>
        </w:trPr>
        <w:tc>
          <w:tcPr>
            <w:tcW w:w="2036" w:type="pct"/>
            <w:tcBorders>
              <w:top w:val="nil"/>
              <w:left w:val="nil"/>
              <w:bottom w:val="nil"/>
              <w:right w:val="nil"/>
            </w:tcBorders>
          </w:tcPr>
          <w:p w14:paraId="2AC2E038" w14:textId="77777777" w:rsidR="00CD0D20" w:rsidRPr="00832278" w:rsidRDefault="00E97964" w:rsidP="00E97964">
            <w:pPr>
              <w:pStyle w:val="TableTextEntries"/>
              <w:keepNext/>
              <w:rPr>
                <w:rFonts w:asciiTheme="minorHAnsi" w:hAnsiTheme="minorHAnsi"/>
                <w:color w:val="808080" w:themeColor="background1" w:themeShade="80"/>
              </w:rPr>
            </w:pPr>
            <w:r>
              <w:rPr>
                <w:rFonts w:asciiTheme="minorHAnsi" w:hAnsiTheme="minorHAnsi"/>
                <w:color w:val="808080" w:themeColor="background1" w:themeShade="80"/>
              </w:rPr>
              <w:t>Aid budget</w:t>
            </w:r>
            <w:r w:rsidR="00CD0D20" w:rsidRPr="00832278">
              <w:rPr>
                <w:rFonts w:asciiTheme="minorHAnsi" w:hAnsiTheme="minorHAnsi"/>
                <w:color w:val="808080" w:themeColor="background1" w:themeShade="80"/>
              </w:rPr>
              <w:t xml:space="preserve"> allocated to aid-for-trade initiatives.</w:t>
            </w:r>
          </w:p>
        </w:tc>
        <w:tc>
          <w:tcPr>
            <w:tcW w:w="889" w:type="pct"/>
            <w:tcBorders>
              <w:top w:val="nil"/>
              <w:left w:val="nil"/>
              <w:bottom w:val="nil"/>
              <w:right w:val="nil"/>
            </w:tcBorders>
          </w:tcPr>
          <w:p w14:paraId="11207F9D" w14:textId="77777777" w:rsidR="00CD0D20" w:rsidRPr="008F1159" w:rsidRDefault="00910BAC" w:rsidP="00910BAC">
            <w:pPr>
              <w:rPr>
                <w:rFonts w:asciiTheme="minorHAnsi" w:eastAsia="Times New Roman" w:hAnsiTheme="minorHAnsi" w:cs="Times New Roman"/>
                <w:iCs/>
                <w:color w:val="808080" w:themeColor="background1" w:themeShade="80"/>
                <w:szCs w:val="17"/>
                <w:highlight w:val="yellow"/>
                <w:lang w:val="en-AU"/>
              </w:rPr>
            </w:pPr>
            <w:r w:rsidRPr="005C1F04">
              <w:rPr>
                <w:rFonts w:asciiTheme="minorHAnsi" w:eastAsia="Times New Roman" w:hAnsiTheme="minorHAnsi" w:cs="Times New Roman"/>
                <w:iCs/>
                <w:color w:val="808080" w:themeColor="background1" w:themeShade="80"/>
                <w:szCs w:val="17"/>
                <w:lang w:val="en-AU"/>
              </w:rPr>
              <w:t>1</w:t>
            </w:r>
            <w:r>
              <w:rPr>
                <w:rFonts w:asciiTheme="minorHAnsi" w:eastAsia="Times New Roman" w:hAnsiTheme="minorHAnsi" w:cs="Times New Roman"/>
                <w:iCs/>
                <w:color w:val="808080" w:themeColor="background1" w:themeShade="80"/>
                <w:szCs w:val="17"/>
                <w:lang w:val="en-AU"/>
              </w:rPr>
              <w:t>5</w:t>
            </w:r>
            <w:r w:rsidRPr="005C1F04">
              <w:rPr>
                <w:rFonts w:asciiTheme="minorHAnsi" w:eastAsia="Times New Roman" w:hAnsiTheme="minorHAnsi" w:cs="Times New Roman"/>
                <w:iCs/>
                <w:color w:val="808080" w:themeColor="background1" w:themeShade="80"/>
                <w:szCs w:val="17"/>
                <w:lang w:val="en-AU"/>
              </w:rPr>
              <w:t xml:space="preserve"> </w:t>
            </w:r>
            <w:r w:rsidR="00CD0D20" w:rsidRPr="005C1F04">
              <w:rPr>
                <w:rFonts w:asciiTheme="minorHAnsi" w:eastAsia="Times New Roman" w:hAnsiTheme="minorHAnsi" w:cs="Times New Roman"/>
                <w:iCs/>
                <w:color w:val="808080" w:themeColor="background1" w:themeShade="80"/>
                <w:szCs w:val="17"/>
                <w:lang w:val="en-AU"/>
              </w:rPr>
              <w:t>per cent</w:t>
            </w:r>
          </w:p>
        </w:tc>
        <w:tc>
          <w:tcPr>
            <w:tcW w:w="973" w:type="pct"/>
            <w:tcBorders>
              <w:top w:val="nil"/>
              <w:left w:val="nil"/>
              <w:bottom w:val="nil"/>
              <w:right w:val="nil"/>
            </w:tcBorders>
          </w:tcPr>
          <w:p w14:paraId="26CC7783" w14:textId="77777777" w:rsidR="00CD0D20" w:rsidRPr="005C1F04" w:rsidRDefault="00FF6BF0" w:rsidP="00E97964">
            <w:pPr>
              <w:rPr>
                <w:rFonts w:asciiTheme="minorHAnsi" w:eastAsia="Times New Roman" w:hAnsiTheme="minorHAnsi" w:cs="Times New Roman"/>
                <w:i/>
                <w:iCs/>
                <w:color w:val="7F7F7F" w:themeColor="text1" w:themeTint="80"/>
                <w:szCs w:val="17"/>
                <w:highlight w:val="yellow"/>
                <w:lang w:val="en-AU"/>
              </w:rPr>
            </w:pPr>
            <w:r>
              <w:rPr>
                <w:rFonts w:asciiTheme="minorHAnsi" w:eastAsia="Times New Roman" w:hAnsiTheme="minorHAnsi" w:cs="Times New Roman"/>
                <w:i/>
                <w:iCs/>
                <w:color w:val="7F7F7F" w:themeColor="text1" w:themeTint="80"/>
                <w:szCs w:val="17"/>
                <w:lang w:val="en-AU"/>
              </w:rPr>
              <w:t>1</w:t>
            </w:r>
            <w:r w:rsidR="00E97964">
              <w:rPr>
                <w:rFonts w:asciiTheme="minorHAnsi" w:eastAsia="Times New Roman" w:hAnsiTheme="minorHAnsi" w:cs="Times New Roman"/>
                <w:i/>
                <w:iCs/>
                <w:color w:val="7F7F7F" w:themeColor="text1" w:themeTint="80"/>
                <w:szCs w:val="17"/>
                <w:lang w:val="en-AU"/>
              </w:rPr>
              <w:t>6</w:t>
            </w:r>
            <w:r>
              <w:rPr>
                <w:rFonts w:asciiTheme="minorHAnsi" w:eastAsia="Times New Roman" w:hAnsiTheme="minorHAnsi" w:cs="Times New Roman"/>
                <w:i/>
                <w:iCs/>
                <w:color w:val="7F7F7F" w:themeColor="text1" w:themeTint="80"/>
                <w:szCs w:val="17"/>
                <w:lang w:val="en-AU"/>
              </w:rPr>
              <w:t xml:space="preserve"> per cent</w:t>
            </w:r>
          </w:p>
        </w:tc>
        <w:tc>
          <w:tcPr>
            <w:tcW w:w="1102" w:type="pct"/>
            <w:gridSpan w:val="2"/>
            <w:tcBorders>
              <w:top w:val="nil"/>
              <w:left w:val="nil"/>
              <w:bottom w:val="nil"/>
              <w:right w:val="nil"/>
            </w:tcBorders>
          </w:tcPr>
          <w:p w14:paraId="0D11AF64" w14:textId="77777777" w:rsidR="00CD0D20" w:rsidRPr="008F1159" w:rsidRDefault="00FF6BF0" w:rsidP="00E97964">
            <w:pPr>
              <w:rPr>
                <w:rFonts w:asciiTheme="minorHAnsi" w:hAnsiTheme="minorHAnsi"/>
                <w:i/>
                <w:color w:val="7F7F7F" w:themeColor="text1" w:themeTint="80"/>
                <w:szCs w:val="20"/>
                <w:lang w:eastAsia="en-US"/>
              </w:rPr>
            </w:pPr>
            <w:r>
              <w:rPr>
                <w:rFonts w:asciiTheme="minorHAnsi" w:hAnsiTheme="minorHAnsi"/>
                <w:i/>
                <w:color w:val="7F7F7F" w:themeColor="text1" w:themeTint="80"/>
                <w:szCs w:val="20"/>
                <w:lang w:eastAsia="en-US"/>
              </w:rPr>
              <w:t>1</w:t>
            </w:r>
            <w:r w:rsidR="00E97964">
              <w:rPr>
                <w:rFonts w:asciiTheme="minorHAnsi" w:hAnsiTheme="minorHAnsi"/>
                <w:i/>
                <w:color w:val="7F7F7F" w:themeColor="text1" w:themeTint="80"/>
                <w:szCs w:val="20"/>
                <w:lang w:eastAsia="en-US"/>
              </w:rPr>
              <w:t>7</w:t>
            </w:r>
            <w:r>
              <w:rPr>
                <w:rFonts w:asciiTheme="minorHAnsi" w:hAnsiTheme="minorHAnsi"/>
                <w:i/>
                <w:color w:val="7F7F7F" w:themeColor="text1" w:themeTint="80"/>
                <w:szCs w:val="20"/>
                <w:lang w:eastAsia="en-US"/>
              </w:rPr>
              <w:t xml:space="preserve"> per cent</w:t>
            </w:r>
          </w:p>
        </w:tc>
      </w:tr>
      <w:tr w:rsidR="00832278" w:rsidRPr="008B6495" w14:paraId="51E44BC3" w14:textId="77777777" w:rsidTr="007425C2">
        <w:trPr>
          <w:gridAfter w:val="1"/>
          <w:wAfter w:w="283" w:type="pct"/>
          <w:trHeight w:val="425"/>
        </w:trPr>
        <w:tc>
          <w:tcPr>
            <w:tcW w:w="2036" w:type="pct"/>
            <w:tcBorders>
              <w:top w:val="nil"/>
              <w:left w:val="nil"/>
              <w:bottom w:val="nil"/>
              <w:right w:val="nil"/>
            </w:tcBorders>
            <w:hideMark/>
          </w:tcPr>
          <w:p w14:paraId="70A31D84" w14:textId="77777777" w:rsidR="007F27F8" w:rsidRPr="00832278" w:rsidRDefault="00CD0D20" w:rsidP="006076B8">
            <w:pPr>
              <w:pStyle w:val="TableHeading1"/>
              <w:rPr>
                <w:rFonts w:asciiTheme="minorHAnsi" w:hAnsiTheme="minorHAnsi"/>
                <w:i/>
                <w:color w:val="808080" w:themeColor="background1" w:themeShade="80"/>
              </w:rPr>
            </w:pPr>
            <w:r w:rsidRPr="00832278">
              <w:rPr>
                <w:rFonts w:asciiTheme="minorHAnsi" w:hAnsiTheme="minorHAnsi"/>
                <w:color w:val="808080" w:themeColor="background1" w:themeShade="80"/>
              </w:rPr>
              <w:t>Improved human development</w:t>
            </w:r>
          </w:p>
        </w:tc>
        <w:tc>
          <w:tcPr>
            <w:tcW w:w="2681" w:type="pct"/>
            <w:gridSpan w:val="3"/>
            <w:tcBorders>
              <w:top w:val="nil"/>
              <w:left w:val="nil"/>
              <w:bottom w:val="nil"/>
            </w:tcBorders>
          </w:tcPr>
          <w:p w14:paraId="3CB048C4" w14:textId="77777777" w:rsidR="007F27F8" w:rsidRPr="008B6495" w:rsidRDefault="007F27F8" w:rsidP="006076B8">
            <w:pPr>
              <w:pStyle w:val="TableTextEntries"/>
              <w:ind w:left="-107" w:firstLine="32"/>
              <w:rPr>
                <w:rFonts w:asciiTheme="minorHAnsi" w:hAnsiTheme="minorHAnsi"/>
                <w:b/>
                <w:i/>
                <w:color w:val="7F7F7F" w:themeColor="text1" w:themeTint="80"/>
              </w:rPr>
            </w:pPr>
          </w:p>
        </w:tc>
      </w:tr>
      <w:tr w:rsidR="00CD0D20" w14:paraId="5415A6C2" w14:textId="77777777" w:rsidTr="007425C2">
        <w:trPr>
          <w:trHeight w:val="984"/>
        </w:trPr>
        <w:tc>
          <w:tcPr>
            <w:tcW w:w="2036" w:type="pct"/>
            <w:tcBorders>
              <w:top w:val="nil"/>
              <w:left w:val="nil"/>
              <w:bottom w:val="nil"/>
              <w:right w:val="nil"/>
            </w:tcBorders>
          </w:tcPr>
          <w:p w14:paraId="3E3B5966" w14:textId="77777777" w:rsidR="00CD0D20" w:rsidRPr="00832278" w:rsidRDefault="00CD0D20" w:rsidP="006076B8">
            <w:pPr>
              <w:pStyle w:val="TableTextEntries"/>
              <w:keepNext/>
              <w:rPr>
                <w:rFonts w:asciiTheme="minorHAnsi" w:hAnsiTheme="minorHAnsi"/>
                <w:color w:val="808080" w:themeColor="background1" w:themeShade="80"/>
              </w:rPr>
            </w:pPr>
            <w:r w:rsidRPr="00832278">
              <w:rPr>
                <w:rFonts w:asciiTheme="minorHAnsi" w:hAnsiTheme="minorHAnsi"/>
                <w:color w:val="808080" w:themeColor="background1" w:themeShade="80"/>
              </w:rPr>
              <w:t>Reduction in the percentage of students in the Access to Quality Education program targeted school</w:t>
            </w:r>
            <w:r w:rsidR="00C2416A">
              <w:rPr>
                <w:rFonts w:asciiTheme="minorHAnsi" w:hAnsiTheme="minorHAnsi"/>
                <w:color w:val="808080" w:themeColor="background1" w:themeShade="80"/>
              </w:rPr>
              <w:t>s</w:t>
            </w:r>
            <w:r w:rsidRPr="00832278">
              <w:rPr>
                <w:rFonts w:asciiTheme="minorHAnsi" w:hAnsiTheme="minorHAnsi"/>
                <w:color w:val="808080" w:themeColor="background1" w:themeShade="80"/>
              </w:rPr>
              <w:t xml:space="preserve"> achieving in the national bottom quartiles in Class 4 lit</w:t>
            </w:r>
            <w:r w:rsidR="00832278" w:rsidRPr="00832278">
              <w:rPr>
                <w:rFonts w:asciiTheme="minorHAnsi" w:hAnsiTheme="minorHAnsi"/>
                <w:color w:val="808080" w:themeColor="background1" w:themeShade="80"/>
              </w:rPr>
              <w:t>eracy and numeracy assessments.</w:t>
            </w:r>
          </w:p>
        </w:tc>
        <w:tc>
          <w:tcPr>
            <w:tcW w:w="889" w:type="pct"/>
            <w:tcBorders>
              <w:top w:val="nil"/>
              <w:left w:val="nil"/>
              <w:bottom w:val="nil"/>
              <w:right w:val="nil"/>
            </w:tcBorders>
          </w:tcPr>
          <w:p w14:paraId="05E16491" w14:textId="77777777" w:rsidR="00CD0D20" w:rsidRPr="00832278" w:rsidRDefault="00CD0D20" w:rsidP="006E736C">
            <w:pPr>
              <w:rPr>
                <w:rFonts w:asciiTheme="minorHAnsi" w:eastAsia="Times New Roman" w:hAnsiTheme="minorHAnsi" w:cs="Times New Roman"/>
                <w:iCs/>
                <w:color w:val="808080" w:themeColor="background1" w:themeShade="80"/>
                <w:szCs w:val="17"/>
                <w:lang w:val="en-AU"/>
              </w:rPr>
            </w:pPr>
            <w:r w:rsidRPr="00832278">
              <w:rPr>
                <w:rFonts w:asciiTheme="minorHAnsi" w:eastAsia="Times New Roman" w:hAnsiTheme="minorHAnsi" w:cs="Times New Roman"/>
                <w:iCs/>
                <w:color w:val="808080" w:themeColor="background1" w:themeShade="80"/>
                <w:szCs w:val="17"/>
                <w:lang w:val="en-AU"/>
              </w:rPr>
              <w:t xml:space="preserve">Reduction to </w:t>
            </w:r>
            <w:r w:rsidR="006E736C">
              <w:rPr>
                <w:rFonts w:asciiTheme="minorHAnsi" w:eastAsia="Times New Roman" w:hAnsiTheme="minorHAnsi" w:cs="Times New Roman"/>
                <w:iCs/>
                <w:color w:val="808080" w:themeColor="background1" w:themeShade="80"/>
                <w:szCs w:val="17"/>
                <w:lang w:val="en-AU"/>
              </w:rPr>
              <w:t xml:space="preserve">below </w:t>
            </w:r>
            <w:r w:rsidR="00DE6530">
              <w:rPr>
                <w:rFonts w:asciiTheme="minorHAnsi" w:eastAsia="Times New Roman" w:hAnsiTheme="minorHAnsi" w:cs="Times New Roman"/>
                <w:iCs/>
                <w:color w:val="808080" w:themeColor="background1" w:themeShade="80"/>
                <w:szCs w:val="17"/>
                <w:lang w:val="en-AU"/>
              </w:rPr>
              <w:t>25</w:t>
            </w:r>
            <w:r w:rsidR="00DE6530" w:rsidRPr="00832278">
              <w:rPr>
                <w:rFonts w:asciiTheme="minorHAnsi" w:eastAsia="Times New Roman" w:hAnsiTheme="minorHAnsi" w:cs="Times New Roman"/>
                <w:iCs/>
                <w:color w:val="808080" w:themeColor="background1" w:themeShade="80"/>
                <w:szCs w:val="17"/>
                <w:lang w:val="en-AU"/>
              </w:rPr>
              <w:t xml:space="preserve"> </w:t>
            </w:r>
            <w:r w:rsidRPr="00832278">
              <w:rPr>
                <w:rFonts w:asciiTheme="minorHAnsi" w:eastAsia="Times New Roman" w:hAnsiTheme="minorHAnsi" w:cs="Times New Roman"/>
                <w:iCs/>
                <w:color w:val="808080" w:themeColor="background1" w:themeShade="80"/>
                <w:szCs w:val="17"/>
                <w:lang w:val="en-AU"/>
              </w:rPr>
              <w:t xml:space="preserve">per cent (from </w:t>
            </w:r>
            <w:r w:rsidR="006E736C">
              <w:rPr>
                <w:rFonts w:asciiTheme="minorHAnsi" w:eastAsia="Times New Roman" w:hAnsiTheme="minorHAnsi" w:cs="Times New Roman"/>
                <w:iCs/>
                <w:color w:val="808080" w:themeColor="background1" w:themeShade="80"/>
                <w:szCs w:val="17"/>
                <w:lang w:val="en-AU"/>
              </w:rPr>
              <w:t>around 30</w:t>
            </w:r>
            <w:r w:rsidRPr="00832278">
              <w:rPr>
                <w:rFonts w:asciiTheme="minorHAnsi" w:eastAsia="Times New Roman" w:hAnsiTheme="minorHAnsi" w:cs="Times New Roman"/>
                <w:iCs/>
                <w:color w:val="808080" w:themeColor="background1" w:themeShade="80"/>
                <w:szCs w:val="17"/>
                <w:lang w:val="en-AU"/>
              </w:rPr>
              <w:t xml:space="preserve"> per cent</w:t>
            </w:r>
            <w:r w:rsidR="006E736C">
              <w:rPr>
                <w:rFonts w:asciiTheme="minorHAnsi" w:eastAsia="Times New Roman" w:hAnsiTheme="minorHAnsi" w:cs="Times New Roman"/>
                <w:iCs/>
                <w:color w:val="808080" w:themeColor="background1" w:themeShade="80"/>
                <w:szCs w:val="17"/>
                <w:lang w:val="en-AU"/>
              </w:rPr>
              <w:t xml:space="preserve"> in 2012</w:t>
            </w:r>
            <w:r w:rsidRPr="00832278">
              <w:rPr>
                <w:rFonts w:asciiTheme="minorHAnsi" w:eastAsia="Times New Roman" w:hAnsiTheme="minorHAnsi" w:cs="Times New Roman"/>
                <w:iCs/>
                <w:color w:val="808080" w:themeColor="background1" w:themeShade="80"/>
                <w:szCs w:val="17"/>
                <w:lang w:val="en-AU"/>
              </w:rPr>
              <w:t>)</w:t>
            </w:r>
          </w:p>
        </w:tc>
        <w:tc>
          <w:tcPr>
            <w:tcW w:w="973" w:type="pct"/>
            <w:tcBorders>
              <w:top w:val="nil"/>
              <w:left w:val="nil"/>
              <w:bottom w:val="nil"/>
              <w:right w:val="nil"/>
            </w:tcBorders>
          </w:tcPr>
          <w:p w14:paraId="32DBBF3B" w14:textId="77777777" w:rsidR="00CD0D20" w:rsidRPr="008B6495" w:rsidRDefault="00FE56E4" w:rsidP="00FE56E4">
            <w:pPr>
              <w:rPr>
                <w:rFonts w:asciiTheme="minorHAnsi" w:eastAsia="Times New Roman" w:hAnsiTheme="minorHAnsi" w:cs="Times New Roman"/>
                <w:i/>
                <w:iCs/>
                <w:color w:val="808080" w:themeColor="background1" w:themeShade="80"/>
                <w:szCs w:val="17"/>
                <w:lang w:val="en-AU"/>
              </w:rPr>
            </w:pPr>
            <w:r w:rsidRPr="008B6495">
              <w:rPr>
                <w:rFonts w:asciiTheme="minorHAnsi" w:eastAsia="Times New Roman" w:hAnsiTheme="minorHAnsi" w:cs="Times New Roman"/>
                <w:i/>
                <w:iCs/>
                <w:color w:val="808080" w:themeColor="background1" w:themeShade="80"/>
                <w:szCs w:val="17"/>
                <w:lang w:val="en-AU"/>
              </w:rPr>
              <w:t>to be determined in new education program design</w:t>
            </w:r>
          </w:p>
        </w:tc>
        <w:tc>
          <w:tcPr>
            <w:tcW w:w="1102" w:type="pct"/>
            <w:gridSpan w:val="2"/>
            <w:tcBorders>
              <w:top w:val="nil"/>
              <w:left w:val="nil"/>
              <w:bottom w:val="nil"/>
              <w:right w:val="nil"/>
            </w:tcBorders>
          </w:tcPr>
          <w:p w14:paraId="334408E2" w14:textId="77777777" w:rsidR="00CD0D20" w:rsidRPr="008B6495" w:rsidRDefault="00F17F99" w:rsidP="00F17F99">
            <w:pPr>
              <w:rPr>
                <w:rFonts w:asciiTheme="minorHAnsi" w:eastAsia="Times New Roman" w:hAnsiTheme="minorHAnsi" w:cs="Times New Roman"/>
                <w:i/>
                <w:iCs/>
                <w:color w:val="808080" w:themeColor="background1" w:themeShade="80"/>
                <w:szCs w:val="17"/>
                <w:lang w:val="en-AU"/>
              </w:rPr>
            </w:pPr>
            <w:r w:rsidRPr="008B6495">
              <w:rPr>
                <w:rFonts w:asciiTheme="minorHAnsi" w:eastAsia="Times New Roman" w:hAnsiTheme="minorHAnsi" w:cs="Times New Roman"/>
                <w:i/>
                <w:iCs/>
                <w:color w:val="808080" w:themeColor="background1" w:themeShade="80"/>
                <w:szCs w:val="17"/>
                <w:lang w:val="en-AU"/>
              </w:rPr>
              <w:t>to be determined in new education program design</w:t>
            </w:r>
          </w:p>
        </w:tc>
      </w:tr>
      <w:tr w:rsidR="00CD0D20" w14:paraId="39FDCB9B" w14:textId="77777777" w:rsidTr="007425C2">
        <w:trPr>
          <w:trHeight w:val="853"/>
        </w:trPr>
        <w:tc>
          <w:tcPr>
            <w:tcW w:w="2036" w:type="pct"/>
            <w:tcBorders>
              <w:top w:val="nil"/>
              <w:left w:val="nil"/>
              <w:bottom w:val="nil"/>
              <w:right w:val="nil"/>
            </w:tcBorders>
          </w:tcPr>
          <w:p w14:paraId="5DAB4674" w14:textId="77777777" w:rsidR="00CD0D20" w:rsidRPr="00832278" w:rsidRDefault="00CD0D20" w:rsidP="006B24B0">
            <w:pPr>
              <w:pStyle w:val="TableTextEntries"/>
              <w:keepNext/>
              <w:rPr>
                <w:rFonts w:asciiTheme="minorHAnsi" w:hAnsiTheme="minorHAnsi"/>
                <w:color w:val="808080" w:themeColor="background1" w:themeShade="80"/>
              </w:rPr>
            </w:pPr>
            <w:r w:rsidRPr="00832278">
              <w:rPr>
                <w:rFonts w:asciiTheme="minorHAnsi" w:hAnsiTheme="minorHAnsi"/>
                <w:color w:val="808080" w:themeColor="background1" w:themeShade="80"/>
              </w:rPr>
              <w:t>Reduction in common childhood illnesses resulting from introduction of rotavirus and pneum</w:t>
            </w:r>
            <w:r w:rsidR="00832278" w:rsidRPr="00832278">
              <w:rPr>
                <w:rFonts w:asciiTheme="minorHAnsi" w:hAnsiTheme="minorHAnsi"/>
                <w:color w:val="808080" w:themeColor="background1" w:themeShade="80"/>
              </w:rPr>
              <w:t>ococcal vaccines</w:t>
            </w:r>
          </w:p>
        </w:tc>
        <w:tc>
          <w:tcPr>
            <w:tcW w:w="889" w:type="pct"/>
            <w:tcBorders>
              <w:top w:val="nil"/>
              <w:left w:val="nil"/>
              <w:bottom w:val="nil"/>
              <w:right w:val="nil"/>
            </w:tcBorders>
          </w:tcPr>
          <w:p w14:paraId="0EBAB226" w14:textId="77777777" w:rsidR="00CD0D20" w:rsidRPr="00832278" w:rsidRDefault="00CD0D20" w:rsidP="006076B8">
            <w:pPr>
              <w:rPr>
                <w:rFonts w:asciiTheme="minorHAnsi" w:eastAsia="Times New Roman" w:hAnsiTheme="minorHAnsi" w:cs="Times New Roman"/>
                <w:iCs/>
                <w:color w:val="808080" w:themeColor="background1" w:themeShade="80"/>
                <w:szCs w:val="17"/>
                <w:lang w:val="en-AU"/>
              </w:rPr>
            </w:pPr>
            <w:r w:rsidRPr="00832278">
              <w:rPr>
                <w:rFonts w:asciiTheme="minorHAnsi" w:eastAsia="Times New Roman" w:hAnsiTheme="minorHAnsi" w:cs="Times New Roman"/>
                <w:iCs/>
                <w:color w:val="808080" w:themeColor="background1" w:themeShade="80"/>
                <w:szCs w:val="17"/>
                <w:lang w:val="en-AU"/>
              </w:rPr>
              <w:t>Reduction from 2011 levels</w:t>
            </w:r>
          </w:p>
        </w:tc>
        <w:tc>
          <w:tcPr>
            <w:tcW w:w="973" w:type="pct"/>
            <w:tcBorders>
              <w:top w:val="nil"/>
              <w:left w:val="nil"/>
              <w:bottom w:val="nil"/>
              <w:right w:val="nil"/>
            </w:tcBorders>
          </w:tcPr>
          <w:p w14:paraId="2B5125C3" w14:textId="77777777" w:rsidR="00CD0D20" w:rsidRPr="008B6495" w:rsidRDefault="007B0C29" w:rsidP="006B24B0">
            <w:pPr>
              <w:rPr>
                <w:rFonts w:asciiTheme="minorHAnsi" w:eastAsia="Times New Roman" w:hAnsiTheme="minorHAnsi" w:cs="Times New Roman"/>
                <w:i/>
                <w:iCs/>
                <w:color w:val="808080" w:themeColor="background1" w:themeShade="80"/>
                <w:szCs w:val="17"/>
                <w:lang w:val="en-AU"/>
              </w:rPr>
            </w:pPr>
            <w:r>
              <w:rPr>
                <w:rFonts w:asciiTheme="minorHAnsi" w:eastAsia="Times New Roman" w:hAnsiTheme="minorHAnsi" w:cs="Times New Roman"/>
                <w:i/>
                <w:iCs/>
                <w:color w:val="808080" w:themeColor="background1" w:themeShade="80"/>
                <w:szCs w:val="17"/>
                <w:lang w:val="en-AU"/>
              </w:rPr>
              <w:t>t</w:t>
            </w:r>
            <w:r w:rsidR="002245B2" w:rsidRPr="008B6495">
              <w:rPr>
                <w:rFonts w:asciiTheme="minorHAnsi" w:eastAsia="Times New Roman" w:hAnsiTheme="minorHAnsi" w:cs="Times New Roman"/>
                <w:i/>
                <w:iCs/>
                <w:color w:val="808080" w:themeColor="background1" w:themeShade="80"/>
                <w:szCs w:val="17"/>
                <w:lang w:val="en-AU"/>
              </w:rPr>
              <w:t xml:space="preserve">o be determined based on ongoing analysis of hospital data </w:t>
            </w:r>
          </w:p>
        </w:tc>
        <w:tc>
          <w:tcPr>
            <w:tcW w:w="1102" w:type="pct"/>
            <w:gridSpan w:val="2"/>
            <w:tcBorders>
              <w:top w:val="nil"/>
              <w:left w:val="nil"/>
              <w:bottom w:val="nil"/>
              <w:right w:val="nil"/>
            </w:tcBorders>
          </w:tcPr>
          <w:p w14:paraId="63226807" w14:textId="77777777" w:rsidR="00CD0D20" w:rsidRPr="008B6495" w:rsidRDefault="007B0C29" w:rsidP="006B24B0">
            <w:pPr>
              <w:rPr>
                <w:rFonts w:asciiTheme="minorHAnsi" w:eastAsia="Times New Roman" w:hAnsiTheme="minorHAnsi" w:cs="Times New Roman"/>
                <w:i/>
                <w:iCs/>
                <w:color w:val="808080" w:themeColor="background1" w:themeShade="80"/>
                <w:szCs w:val="17"/>
                <w:lang w:val="en-AU"/>
              </w:rPr>
            </w:pPr>
            <w:r>
              <w:rPr>
                <w:rFonts w:asciiTheme="minorHAnsi" w:eastAsia="Times New Roman" w:hAnsiTheme="minorHAnsi" w:cs="Times New Roman"/>
                <w:i/>
                <w:iCs/>
                <w:color w:val="808080" w:themeColor="background1" w:themeShade="80"/>
                <w:szCs w:val="17"/>
                <w:lang w:val="en-AU"/>
              </w:rPr>
              <w:t>t</w:t>
            </w:r>
            <w:r w:rsidR="002245B2" w:rsidRPr="008B6495">
              <w:rPr>
                <w:rFonts w:asciiTheme="minorHAnsi" w:eastAsia="Times New Roman" w:hAnsiTheme="minorHAnsi" w:cs="Times New Roman"/>
                <w:i/>
                <w:iCs/>
                <w:color w:val="808080" w:themeColor="background1" w:themeShade="80"/>
                <w:szCs w:val="17"/>
                <w:lang w:val="en-AU"/>
              </w:rPr>
              <w:t xml:space="preserve">o be determined based on ongoing analysis of hospital data </w:t>
            </w:r>
          </w:p>
        </w:tc>
      </w:tr>
      <w:tr w:rsidR="00CD0D20" w14:paraId="0DAC4B3F" w14:textId="77777777" w:rsidTr="007425C2">
        <w:trPr>
          <w:trHeight w:val="614"/>
        </w:trPr>
        <w:tc>
          <w:tcPr>
            <w:tcW w:w="2036" w:type="pct"/>
            <w:tcBorders>
              <w:top w:val="nil"/>
              <w:left w:val="nil"/>
              <w:bottom w:val="single" w:sz="12" w:space="0" w:color="auto"/>
              <w:right w:val="nil"/>
            </w:tcBorders>
          </w:tcPr>
          <w:p w14:paraId="5878C4D6" w14:textId="77777777" w:rsidR="00CD0D20" w:rsidRPr="00480A7D" w:rsidRDefault="00CD0D20" w:rsidP="006076B8">
            <w:pPr>
              <w:pStyle w:val="TableTextEntries"/>
              <w:keepNext/>
              <w:rPr>
                <w:rFonts w:asciiTheme="minorHAnsi" w:hAnsiTheme="minorHAnsi"/>
                <w:color w:val="808080" w:themeColor="background1" w:themeShade="80"/>
              </w:rPr>
            </w:pPr>
            <w:r w:rsidRPr="00480A7D">
              <w:rPr>
                <w:rFonts w:asciiTheme="minorHAnsi" w:hAnsiTheme="minorHAnsi"/>
                <w:color w:val="808080" w:themeColor="background1" w:themeShade="80"/>
              </w:rPr>
              <w:t>10</w:t>
            </w:r>
            <w:r w:rsidR="00412C95" w:rsidRPr="00480A7D">
              <w:rPr>
                <w:rFonts w:asciiTheme="minorHAnsi" w:hAnsiTheme="minorHAnsi"/>
                <w:color w:val="808080" w:themeColor="background1" w:themeShade="80"/>
              </w:rPr>
              <w:t xml:space="preserve"> </w:t>
            </w:r>
            <w:r w:rsidR="00293EF2" w:rsidRPr="00480A7D">
              <w:rPr>
                <w:rFonts w:asciiTheme="minorHAnsi" w:hAnsiTheme="minorHAnsi"/>
                <w:color w:val="808080" w:themeColor="background1" w:themeShade="80"/>
              </w:rPr>
              <w:t>per cent</w:t>
            </w:r>
            <w:r w:rsidRPr="00480A7D">
              <w:rPr>
                <w:rFonts w:asciiTheme="minorHAnsi" w:hAnsiTheme="minorHAnsi"/>
                <w:color w:val="808080" w:themeColor="background1" w:themeShade="80"/>
              </w:rPr>
              <w:t xml:space="preserve"> or more of the Fiji Bilateral Program allocated to gender equality or disability inclusion initiatives</w:t>
            </w:r>
          </w:p>
        </w:tc>
        <w:tc>
          <w:tcPr>
            <w:tcW w:w="889" w:type="pct"/>
            <w:tcBorders>
              <w:top w:val="nil"/>
              <w:left w:val="nil"/>
              <w:bottom w:val="single" w:sz="12" w:space="0" w:color="auto"/>
              <w:right w:val="nil"/>
            </w:tcBorders>
          </w:tcPr>
          <w:p w14:paraId="2C24232E" w14:textId="77777777" w:rsidR="00CD0D20" w:rsidRPr="00480A7D" w:rsidRDefault="00CD0D20" w:rsidP="006076B8">
            <w:pPr>
              <w:rPr>
                <w:rFonts w:asciiTheme="minorHAnsi" w:eastAsia="Times New Roman" w:hAnsiTheme="minorHAnsi" w:cs="Times New Roman"/>
                <w:iCs/>
                <w:color w:val="808080" w:themeColor="background1" w:themeShade="80"/>
                <w:szCs w:val="17"/>
                <w:lang w:val="en-AU"/>
              </w:rPr>
            </w:pPr>
            <w:r w:rsidRPr="00480A7D">
              <w:rPr>
                <w:rFonts w:asciiTheme="minorHAnsi" w:eastAsia="Times New Roman" w:hAnsiTheme="minorHAnsi" w:cs="Times New Roman"/>
                <w:iCs/>
                <w:color w:val="808080" w:themeColor="background1" w:themeShade="80"/>
                <w:szCs w:val="17"/>
                <w:lang w:val="en-AU"/>
              </w:rPr>
              <w:t>10 per cent</w:t>
            </w:r>
          </w:p>
        </w:tc>
        <w:tc>
          <w:tcPr>
            <w:tcW w:w="973" w:type="pct"/>
            <w:tcBorders>
              <w:top w:val="nil"/>
              <w:left w:val="nil"/>
              <w:bottom w:val="single" w:sz="12" w:space="0" w:color="auto"/>
              <w:right w:val="nil"/>
            </w:tcBorders>
          </w:tcPr>
          <w:p w14:paraId="01666299" w14:textId="77777777" w:rsidR="00CD0D20" w:rsidRPr="00480A7D" w:rsidRDefault="005D392E" w:rsidP="005D392E">
            <w:pPr>
              <w:rPr>
                <w:rFonts w:asciiTheme="minorHAnsi" w:hAnsiTheme="minorHAnsi"/>
                <w:i/>
                <w:color w:val="7F7F7F" w:themeColor="text1" w:themeTint="80"/>
                <w:szCs w:val="20"/>
                <w:lang w:eastAsia="en-US"/>
              </w:rPr>
            </w:pPr>
            <w:r w:rsidRPr="00480A7D">
              <w:rPr>
                <w:rFonts w:asciiTheme="minorHAnsi" w:eastAsia="Times New Roman" w:hAnsiTheme="minorHAnsi" w:cs="Times New Roman"/>
                <w:iCs/>
                <w:color w:val="7F7F7F" w:themeColor="text1" w:themeTint="80"/>
                <w:szCs w:val="17"/>
                <w:lang w:val="en-AU"/>
              </w:rPr>
              <w:t>10 per cent</w:t>
            </w:r>
          </w:p>
        </w:tc>
        <w:tc>
          <w:tcPr>
            <w:tcW w:w="1102" w:type="pct"/>
            <w:gridSpan w:val="2"/>
            <w:tcBorders>
              <w:top w:val="nil"/>
              <w:left w:val="nil"/>
              <w:bottom w:val="single" w:sz="12" w:space="0" w:color="auto"/>
              <w:right w:val="nil"/>
            </w:tcBorders>
          </w:tcPr>
          <w:p w14:paraId="4FE1349D" w14:textId="77777777" w:rsidR="00CD0D20" w:rsidRPr="00480A7D" w:rsidRDefault="005D392E" w:rsidP="005D392E">
            <w:pPr>
              <w:rPr>
                <w:rFonts w:asciiTheme="minorHAnsi" w:hAnsiTheme="minorHAnsi"/>
                <w:i/>
                <w:color w:val="7F7F7F" w:themeColor="text1" w:themeTint="80"/>
                <w:szCs w:val="20"/>
                <w:lang w:eastAsia="en-US"/>
              </w:rPr>
            </w:pPr>
            <w:r w:rsidRPr="00480A7D">
              <w:rPr>
                <w:rFonts w:asciiTheme="minorHAnsi" w:eastAsia="Times New Roman" w:hAnsiTheme="minorHAnsi" w:cs="Times New Roman"/>
                <w:iCs/>
                <w:color w:val="7F7F7F" w:themeColor="text1" w:themeTint="80"/>
                <w:szCs w:val="17"/>
                <w:lang w:val="en-AU"/>
              </w:rPr>
              <w:t>10 per cent</w:t>
            </w:r>
          </w:p>
        </w:tc>
      </w:tr>
    </w:tbl>
    <w:p w14:paraId="25CF7785" w14:textId="77777777" w:rsidR="002A51CA" w:rsidRDefault="002A51CA" w:rsidP="002A51CA">
      <w:pPr>
        <w:pStyle w:val="Heading2"/>
      </w:pPr>
      <w:r>
        <w:t>Mutual obligations</w:t>
      </w:r>
    </w:p>
    <w:p w14:paraId="2328F5AC" w14:textId="77777777" w:rsidR="00CE76A7" w:rsidRDefault="004F741F" w:rsidP="009C111A">
      <w:r>
        <w:t xml:space="preserve">In 2015-16, the Australian aid program continued to operate in Fiji in the absence of a formal </w:t>
      </w:r>
      <w:r w:rsidR="009B44B8">
        <w:t xml:space="preserve">aid </w:t>
      </w:r>
      <w:r>
        <w:t xml:space="preserve">partnership agreement with the </w:t>
      </w:r>
      <w:r w:rsidR="00C1527E">
        <w:t>Government of Fiji</w:t>
      </w:r>
      <w:r w:rsidR="00B22B76">
        <w:t xml:space="preserve">. </w:t>
      </w:r>
      <w:r>
        <w:t>As such there were no mutual obligations</w:t>
      </w:r>
      <w:r w:rsidR="008A39AF">
        <w:t xml:space="preserve"> to report on</w:t>
      </w:r>
      <w:r w:rsidR="00B22B76">
        <w:t xml:space="preserve">. </w:t>
      </w:r>
      <w:r w:rsidR="009C111A">
        <w:t>Australian assistance is</w:t>
      </w:r>
      <w:r w:rsidR="00AC5E89">
        <w:t>,</w:t>
      </w:r>
      <w:r w:rsidR="009C111A">
        <w:t xml:space="preserve"> </w:t>
      </w:r>
      <w:r w:rsidR="00CE76A7">
        <w:t xml:space="preserve">however, </w:t>
      </w:r>
      <w:r w:rsidR="009C111A">
        <w:t>responsive</w:t>
      </w:r>
      <w:r w:rsidR="00CE76A7">
        <w:t xml:space="preserve"> and aligned to Fiji’s own national priorities</w:t>
      </w:r>
      <w:r w:rsidR="00B22B76">
        <w:t xml:space="preserve">. </w:t>
      </w:r>
    </w:p>
    <w:p w14:paraId="75657E7B" w14:textId="77777777" w:rsidR="009C111A" w:rsidRDefault="00CE76A7" w:rsidP="009C111A">
      <w:r>
        <w:t xml:space="preserve">Australian assistance continued in areas </w:t>
      </w:r>
      <w:r w:rsidR="00342F14">
        <w:t>consist</w:t>
      </w:r>
      <w:r w:rsidR="00E7735D">
        <w:t>e</w:t>
      </w:r>
      <w:r w:rsidR="00342F14">
        <w:t xml:space="preserve">nt </w:t>
      </w:r>
      <w:r>
        <w:t>with Fiji’s development priorities including health, education and disability</w:t>
      </w:r>
      <w:r w:rsidR="008A39AF">
        <w:t>,</w:t>
      </w:r>
      <w:r>
        <w:t xml:space="preserve"> all of which received significant boosts in Fiji’s latest national budget</w:t>
      </w:r>
      <w:r w:rsidR="00B22B76">
        <w:t xml:space="preserve">. </w:t>
      </w:r>
      <w:r>
        <w:t>These are areas where Australia continues to be a long</w:t>
      </w:r>
      <w:r w:rsidR="00E7735D">
        <w:t>-</w:t>
      </w:r>
      <w:r>
        <w:t>standing partner, and where annual work plans and budgets were developed with, and approved by, the relevant Fiji Ministries</w:t>
      </w:r>
      <w:r w:rsidR="00B22B76">
        <w:t xml:space="preserve">. </w:t>
      </w:r>
    </w:p>
    <w:p w14:paraId="51B21AF6" w14:textId="77777777" w:rsidR="000A6502" w:rsidRDefault="000A6502" w:rsidP="009C111A">
      <w:r>
        <w:t xml:space="preserve">Australia’s support also continued to align with Fiji’s National Gender Policy launched in 2014. It focuses on the promotion of women’s human rights and gender mainstreaming across development planning and decision making processes within government as well as addressing structural and social barriers. </w:t>
      </w:r>
    </w:p>
    <w:p w14:paraId="38C126F6" w14:textId="77777777" w:rsidR="004F741F" w:rsidRDefault="00AF2574" w:rsidP="004F741F">
      <w:r>
        <w:t>In 2015-1</w:t>
      </w:r>
      <w:r w:rsidR="00203220">
        <w:t>6</w:t>
      </w:r>
      <w:r w:rsidR="005F3167">
        <w:t>,</w:t>
      </w:r>
      <w:r>
        <w:t xml:space="preserve"> Fiji commenced developing its </w:t>
      </w:r>
      <w:r w:rsidR="004F741F">
        <w:t xml:space="preserve">own </w:t>
      </w:r>
      <w:r w:rsidR="005F3167">
        <w:t>five</w:t>
      </w:r>
      <w:r>
        <w:t>-year and 20-year National Development Plan</w:t>
      </w:r>
      <w:r w:rsidR="005F3167">
        <w:t>s</w:t>
      </w:r>
      <w:r w:rsidR="00B22B76">
        <w:t xml:space="preserve">. </w:t>
      </w:r>
      <w:r>
        <w:t>We welcomed this development as it should</w:t>
      </w:r>
      <w:r w:rsidR="00917114">
        <w:t xml:space="preserve"> build common understanding of </w:t>
      </w:r>
      <w:r w:rsidR="00E7735D">
        <w:t xml:space="preserve">the </w:t>
      </w:r>
      <w:r w:rsidR="00917114">
        <w:t>government</w:t>
      </w:r>
      <w:r w:rsidR="00E7735D">
        <w:t>’s priorities</w:t>
      </w:r>
      <w:r w:rsidR="00917114">
        <w:t xml:space="preserve"> and </w:t>
      </w:r>
      <w:r w:rsidR="00E7735D">
        <w:t xml:space="preserve">the </w:t>
      </w:r>
      <w:r w:rsidR="00917114">
        <w:t xml:space="preserve">contributions </w:t>
      </w:r>
      <w:r w:rsidR="00E7735D">
        <w:t xml:space="preserve">expected </w:t>
      </w:r>
      <w:r w:rsidR="00917114">
        <w:t>from donors, the private sector and CSOs</w:t>
      </w:r>
      <w:r w:rsidR="00B22B76">
        <w:t xml:space="preserve">. </w:t>
      </w:r>
      <w:r w:rsidR="008A39AF">
        <w:t xml:space="preserve">Australia has provided technical assistance, through the Asian </w:t>
      </w:r>
      <w:r>
        <w:t>Development Bank, to support this process</w:t>
      </w:r>
      <w:r w:rsidR="00B22B76">
        <w:t xml:space="preserve">. </w:t>
      </w:r>
      <w:r w:rsidR="008A39AF">
        <w:t xml:space="preserve"> </w:t>
      </w:r>
      <w:r>
        <w:t>The release of these plans is now scheduled for the second half of 2016</w:t>
      </w:r>
      <w:r w:rsidR="00B22B76">
        <w:t xml:space="preserve">. </w:t>
      </w:r>
      <w:r w:rsidR="00917114">
        <w:t>Once the p</w:t>
      </w:r>
      <w:r w:rsidR="009C111A">
        <w:t>lans are released, discussions will</w:t>
      </w:r>
      <w:r w:rsidR="00611537">
        <w:t xml:space="preserve"> begin with </w:t>
      </w:r>
      <w:r w:rsidR="00E7735D">
        <w:t>a</w:t>
      </w:r>
      <w:r w:rsidR="00611537">
        <w:t xml:space="preserve"> view to </w:t>
      </w:r>
      <w:r w:rsidR="00E7735D">
        <w:t xml:space="preserve">concluding </w:t>
      </w:r>
      <w:r w:rsidR="00611537">
        <w:t>a</w:t>
      </w:r>
      <w:r w:rsidR="00E7735D">
        <w:t>n</w:t>
      </w:r>
      <w:r w:rsidR="00611537">
        <w:t xml:space="preserve"> </w:t>
      </w:r>
      <w:r w:rsidR="00917114">
        <w:t xml:space="preserve">Aid Partnership </w:t>
      </w:r>
      <w:r w:rsidR="00E7735D">
        <w:t>that</w:t>
      </w:r>
      <w:r w:rsidR="00917114">
        <w:t xml:space="preserve"> include</w:t>
      </w:r>
      <w:r w:rsidR="00E7735D">
        <w:t>s</w:t>
      </w:r>
      <w:r w:rsidR="00917114">
        <w:t xml:space="preserve"> a set of obligations for Australia and Fiji</w:t>
      </w:r>
      <w:r w:rsidR="00B22B76">
        <w:t xml:space="preserve">. </w:t>
      </w:r>
      <w:r w:rsidR="009C111A">
        <w:t xml:space="preserve"> </w:t>
      </w:r>
    </w:p>
    <w:p w14:paraId="65006BCE" w14:textId="77777777" w:rsidR="002A51CA" w:rsidRPr="002A51CA" w:rsidRDefault="002A51CA" w:rsidP="002A51CA">
      <w:pPr>
        <w:pStyle w:val="Heading2"/>
      </w:pPr>
      <w:r w:rsidRPr="002A51CA">
        <w:t xml:space="preserve">Program Quality and Partner Performance </w:t>
      </w:r>
    </w:p>
    <w:p w14:paraId="5C349FC4" w14:textId="77777777" w:rsidR="005C0E44" w:rsidRDefault="004752FD" w:rsidP="001F2F00">
      <w:pPr>
        <w:pStyle w:val="BodyText"/>
        <w:rPr>
          <w:rFonts w:asciiTheme="minorHAnsi" w:hAnsiTheme="minorHAnsi" w:cstheme="minorBidi"/>
          <w:color w:val="495965" w:themeColor="text2"/>
          <w:sz w:val="22"/>
          <w:szCs w:val="22"/>
          <w:lang w:val="en-GB" w:eastAsia="en-US"/>
        </w:rPr>
      </w:pPr>
      <w:r w:rsidRPr="004752FD">
        <w:rPr>
          <w:rFonts w:asciiTheme="minorHAnsi" w:hAnsiTheme="minorHAnsi" w:cstheme="minorBidi"/>
          <w:color w:val="495965" w:themeColor="text2"/>
          <w:sz w:val="22"/>
          <w:szCs w:val="22"/>
          <w:lang w:val="en-GB" w:eastAsia="en-US"/>
        </w:rPr>
        <w:t>The Fiji program is not monitored at a country program level through an overarching program assessment framework</w:t>
      </w:r>
      <w:r w:rsidR="00B22B76">
        <w:rPr>
          <w:rFonts w:asciiTheme="minorHAnsi" w:hAnsiTheme="minorHAnsi" w:cstheme="minorBidi"/>
          <w:color w:val="495965" w:themeColor="text2"/>
          <w:sz w:val="22"/>
          <w:szCs w:val="22"/>
          <w:lang w:val="en-GB" w:eastAsia="en-US"/>
        </w:rPr>
        <w:t xml:space="preserve">. </w:t>
      </w:r>
      <w:r w:rsidRPr="004752FD">
        <w:rPr>
          <w:rFonts w:asciiTheme="minorHAnsi" w:hAnsiTheme="minorHAnsi" w:cstheme="minorBidi"/>
          <w:color w:val="495965" w:themeColor="text2"/>
          <w:sz w:val="22"/>
          <w:szCs w:val="22"/>
          <w:lang w:val="en-GB" w:eastAsia="en-US"/>
        </w:rPr>
        <w:t xml:space="preserve">Each initiative in the Fiji program has a monitoring and evaluation framework and is monitored at </w:t>
      </w:r>
      <w:r w:rsidR="00F27056">
        <w:rPr>
          <w:rFonts w:asciiTheme="minorHAnsi" w:hAnsiTheme="minorHAnsi" w:cstheme="minorBidi"/>
          <w:color w:val="495965" w:themeColor="text2"/>
          <w:sz w:val="22"/>
          <w:szCs w:val="22"/>
          <w:lang w:val="en-GB" w:eastAsia="en-US"/>
        </w:rPr>
        <w:t>that</w:t>
      </w:r>
      <w:r w:rsidR="00F27056" w:rsidRPr="004752FD">
        <w:rPr>
          <w:rFonts w:asciiTheme="minorHAnsi" w:hAnsiTheme="minorHAnsi" w:cstheme="minorBidi"/>
          <w:color w:val="495965" w:themeColor="text2"/>
          <w:sz w:val="22"/>
          <w:szCs w:val="22"/>
          <w:lang w:val="en-GB" w:eastAsia="en-US"/>
        </w:rPr>
        <w:t xml:space="preserve"> </w:t>
      </w:r>
      <w:r w:rsidRPr="004752FD">
        <w:rPr>
          <w:rFonts w:asciiTheme="minorHAnsi" w:hAnsiTheme="minorHAnsi" w:cstheme="minorBidi"/>
          <w:color w:val="495965" w:themeColor="text2"/>
          <w:sz w:val="22"/>
          <w:szCs w:val="22"/>
          <w:lang w:val="en-GB" w:eastAsia="en-US"/>
        </w:rPr>
        <w:t>level</w:t>
      </w:r>
      <w:r w:rsidR="00B22B76">
        <w:rPr>
          <w:rFonts w:asciiTheme="minorHAnsi" w:hAnsiTheme="minorHAnsi" w:cstheme="minorBidi"/>
          <w:color w:val="495965" w:themeColor="text2"/>
          <w:sz w:val="22"/>
          <w:szCs w:val="22"/>
          <w:lang w:val="en-GB" w:eastAsia="en-US"/>
        </w:rPr>
        <w:t xml:space="preserve">. </w:t>
      </w:r>
      <w:r w:rsidRPr="004752FD">
        <w:rPr>
          <w:rFonts w:asciiTheme="minorHAnsi" w:hAnsiTheme="minorHAnsi" w:cstheme="minorBidi"/>
          <w:color w:val="495965" w:themeColor="text2"/>
          <w:sz w:val="22"/>
          <w:szCs w:val="22"/>
          <w:lang w:val="en-GB" w:eastAsia="en-US"/>
        </w:rPr>
        <w:t xml:space="preserve">Following the agreement of an Aid Partnership with Fiji, a program assessment framework will be developed to monitor outcomes, mutual obligations and benchmarks against whole-of-program </w:t>
      </w:r>
      <w:r w:rsidR="00342F14">
        <w:rPr>
          <w:rFonts w:asciiTheme="minorHAnsi" w:hAnsiTheme="minorHAnsi" w:cstheme="minorBidi"/>
          <w:color w:val="495965" w:themeColor="text2"/>
          <w:sz w:val="22"/>
          <w:szCs w:val="22"/>
          <w:lang w:val="en-GB" w:eastAsia="en-US"/>
        </w:rPr>
        <w:t>objectives</w:t>
      </w:r>
      <w:r w:rsidR="00A82407">
        <w:rPr>
          <w:rFonts w:asciiTheme="minorHAnsi" w:hAnsiTheme="minorHAnsi" w:cstheme="minorBidi"/>
          <w:color w:val="495965" w:themeColor="text2"/>
          <w:sz w:val="22"/>
          <w:szCs w:val="22"/>
          <w:lang w:val="en-GB" w:eastAsia="en-US"/>
        </w:rPr>
        <w:t xml:space="preserve"> (refer Management Response)</w:t>
      </w:r>
      <w:r w:rsidR="00B22B76">
        <w:rPr>
          <w:rFonts w:asciiTheme="minorHAnsi" w:hAnsiTheme="minorHAnsi" w:cstheme="minorBidi"/>
          <w:color w:val="495965" w:themeColor="text2"/>
          <w:sz w:val="22"/>
          <w:szCs w:val="22"/>
          <w:lang w:val="en-GB" w:eastAsia="en-US"/>
        </w:rPr>
        <w:t>.</w:t>
      </w:r>
      <w:r w:rsidR="00A01BC3">
        <w:rPr>
          <w:rFonts w:asciiTheme="minorHAnsi" w:hAnsiTheme="minorHAnsi" w:cstheme="minorBidi"/>
          <w:color w:val="495965" w:themeColor="text2"/>
          <w:sz w:val="22"/>
          <w:szCs w:val="22"/>
          <w:lang w:val="en-GB" w:eastAsia="en-US"/>
        </w:rPr>
        <w:t xml:space="preserve"> </w:t>
      </w:r>
      <w:r w:rsidR="00A01BC3" w:rsidRPr="001F2F00">
        <w:rPr>
          <w:rFonts w:asciiTheme="minorHAnsi" w:hAnsiTheme="minorHAnsi" w:cstheme="minorBidi"/>
          <w:color w:val="495965" w:themeColor="text2"/>
          <w:sz w:val="22"/>
          <w:szCs w:val="22"/>
          <w:lang w:val="en-GB" w:eastAsia="en-US"/>
        </w:rPr>
        <w:t xml:space="preserve">Completed and planned evaluations are listed at </w:t>
      </w:r>
      <w:r w:rsidR="00A01BC3" w:rsidRPr="001F2F00">
        <w:rPr>
          <w:rFonts w:asciiTheme="minorHAnsi" w:hAnsiTheme="minorHAnsi" w:cstheme="minorBidi"/>
          <w:b/>
          <w:color w:val="495965" w:themeColor="text2"/>
          <w:sz w:val="22"/>
          <w:szCs w:val="22"/>
          <w:lang w:val="en-GB" w:eastAsia="en-US"/>
        </w:rPr>
        <w:t>Annex C</w:t>
      </w:r>
      <w:r w:rsidR="00A01BC3">
        <w:rPr>
          <w:rFonts w:asciiTheme="minorHAnsi" w:hAnsiTheme="minorHAnsi" w:cstheme="minorBidi"/>
          <w:color w:val="495965" w:themeColor="text2"/>
          <w:sz w:val="22"/>
          <w:szCs w:val="22"/>
          <w:lang w:val="en-GB" w:eastAsia="en-US"/>
        </w:rPr>
        <w:t xml:space="preserve">. </w:t>
      </w:r>
      <w:r w:rsidR="00A01BC3" w:rsidRPr="00340ED1">
        <w:t xml:space="preserve"> </w:t>
      </w:r>
    </w:p>
    <w:p w14:paraId="69E20B8D" w14:textId="77777777" w:rsidR="00340ED1" w:rsidRPr="001F2F00" w:rsidRDefault="00705390" w:rsidP="001F2F00">
      <w:pPr>
        <w:pStyle w:val="BodyText"/>
        <w:rPr>
          <w:rFonts w:asciiTheme="minorHAnsi" w:hAnsiTheme="minorHAnsi" w:cstheme="minorBidi"/>
          <w:color w:val="495965" w:themeColor="text2"/>
          <w:sz w:val="22"/>
          <w:szCs w:val="22"/>
          <w:lang w:val="en-GB" w:eastAsia="en-US"/>
        </w:rPr>
      </w:pPr>
      <w:r>
        <w:rPr>
          <w:rFonts w:asciiTheme="minorHAnsi" w:hAnsiTheme="minorHAnsi" w:cstheme="minorBidi"/>
          <w:color w:val="495965" w:themeColor="text2"/>
          <w:sz w:val="22"/>
          <w:szCs w:val="22"/>
          <w:lang w:val="en-GB" w:eastAsia="en-US"/>
        </w:rPr>
        <w:t>A priority for the aid program is t</w:t>
      </w:r>
      <w:r w:rsidR="005C0E44">
        <w:rPr>
          <w:rFonts w:asciiTheme="minorHAnsi" w:hAnsiTheme="minorHAnsi" w:cstheme="minorBidi"/>
          <w:color w:val="495965" w:themeColor="text2"/>
          <w:sz w:val="22"/>
          <w:szCs w:val="22"/>
          <w:lang w:val="en-GB" w:eastAsia="en-US"/>
        </w:rPr>
        <w:t>he establishment of the Fiji Program Support Facility (the Facility)</w:t>
      </w:r>
      <w:r>
        <w:rPr>
          <w:rFonts w:asciiTheme="minorHAnsi" w:hAnsiTheme="minorHAnsi" w:cstheme="minorBidi"/>
          <w:color w:val="495965" w:themeColor="text2"/>
          <w:sz w:val="22"/>
          <w:szCs w:val="22"/>
          <w:lang w:val="en-GB" w:eastAsia="en-US"/>
        </w:rPr>
        <w:t>,</w:t>
      </w:r>
      <w:r w:rsidR="005C0E44">
        <w:rPr>
          <w:rFonts w:asciiTheme="minorHAnsi" w:hAnsiTheme="minorHAnsi" w:cstheme="minorBidi"/>
          <w:color w:val="495965" w:themeColor="text2"/>
          <w:sz w:val="22"/>
          <w:szCs w:val="22"/>
          <w:lang w:val="en-GB" w:eastAsia="en-US"/>
        </w:rPr>
        <w:t xml:space="preserve"> expected to be in place </w:t>
      </w:r>
      <w:r w:rsidR="00150BE1">
        <w:rPr>
          <w:rFonts w:asciiTheme="minorHAnsi" w:hAnsiTheme="minorHAnsi" w:cstheme="minorBidi"/>
          <w:color w:val="495965" w:themeColor="text2"/>
          <w:sz w:val="22"/>
          <w:szCs w:val="22"/>
          <w:lang w:val="en-GB" w:eastAsia="en-US"/>
        </w:rPr>
        <w:t>late 2016</w:t>
      </w:r>
      <w:r w:rsidR="005C0E44">
        <w:rPr>
          <w:rFonts w:asciiTheme="minorHAnsi" w:hAnsiTheme="minorHAnsi" w:cstheme="minorBidi"/>
          <w:color w:val="495965" w:themeColor="text2"/>
          <w:sz w:val="22"/>
          <w:szCs w:val="22"/>
          <w:lang w:val="en-GB" w:eastAsia="en-US"/>
        </w:rPr>
        <w:t>.  T</w:t>
      </w:r>
      <w:r w:rsidR="00C56F3D">
        <w:rPr>
          <w:rFonts w:asciiTheme="minorHAnsi" w:hAnsiTheme="minorHAnsi" w:cstheme="minorBidi"/>
          <w:color w:val="495965" w:themeColor="text2"/>
          <w:sz w:val="22"/>
          <w:szCs w:val="22"/>
          <w:lang w:val="en-GB" w:eastAsia="en-US"/>
        </w:rPr>
        <w:t xml:space="preserve">he Facility </w:t>
      </w:r>
      <w:r w:rsidR="005C0E44">
        <w:rPr>
          <w:rFonts w:asciiTheme="minorHAnsi" w:hAnsiTheme="minorHAnsi" w:cstheme="minorBidi"/>
          <w:color w:val="495965" w:themeColor="text2"/>
          <w:sz w:val="22"/>
          <w:szCs w:val="22"/>
          <w:lang w:val="en-GB" w:eastAsia="en-US"/>
        </w:rPr>
        <w:t xml:space="preserve">will manage </w:t>
      </w:r>
      <w:r w:rsidR="007A7B53">
        <w:rPr>
          <w:rFonts w:asciiTheme="minorHAnsi" w:hAnsiTheme="minorHAnsi" w:cstheme="minorBidi"/>
          <w:color w:val="495965" w:themeColor="text2"/>
          <w:sz w:val="22"/>
          <w:szCs w:val="22"/>
          <w:lang w:val="en-GB" w:eastAsia="en-US"/>
        </w:rPr>
        <w:t xml:space="preserve">a number of bilateral </w:t>
      </w:r>
      <w:r w:rsidR="005C0E44">
        <w:rPr>
          <w:rFonts w:asciiTheme="minorHAnsi" w:hAnsiTheme="minorHAnsi" w:cstheme="minorBidi"/>
          <w:color w:val="495965" w:themeColor="text2"/>
          <w:sz w:val="22"/>
          <w:szCs w:val="22"/>
          <w:lang w:val="en-GB" w:eastAsia="en-US"/>
        </w:rPr>
        <w:t xml:space="preserve">programs </w:t>
      </w:r>
      <w:r w:rsidR="00150BE1">
        <w:rPr>
          <w:rFonts w:asciiTheme="minorHAnsi" w:hAnsiTheme="minorHAnsi" w:cstheme="minorBidi"/>
          <w:color w:val="495965" w:themeColor="text2"/>
          <w:sz w:val="22"/>
          <w:szCs w:val="22"/>
          <w:lang w:val="en-GB" w:eastAsia="en-US"/>
        </w:rPr>
        <w:t>to</w:t>
      </w:r>
      <w:r w:rsidR="005C0E44">
        <w:rPr>
          <w:rFonts w:asciiTheme="minorHAnsi" w:hAnsiTheme="minorHAnsi" w:cstheme="minorBidi"/>
          <w:color w:val="495965" w:themeColor="text2"/>
          <w:sz w:val="22"/>
          <w:szCs w:val="22"/>
          <w:lang w:val="en-GB" w:eastAsia="en-US"/>
        </w:rPr>
        <w:t xml:space="preserve"> </w:t>
      </w:r>
      <w:r w:rsidR="007A7B53">
        <w:rPr>
          <w:rFonts w:asciiTheme="minorHAnsi" w:hAnsiTheme="minorHAnsi" w:cstheme="minorBidi"/>
          <w:color w:val="495965" w:themeColor="text2"/>
          <w:sz w:val="22"/>
          <w:szCs w:val="22"/>
          <w:lang w:val="en-GB" w:eastAsia="en-US"/>
        </w:rPr>
        <w:t>achiev</w:t>
      </w:r>
      <w:r w:rsidR="00150BE1">
        <w:rPr>
          <w:rFonts w:asciiTheme="minorHAnsi" w:hAnsiTheme="minorHAnsi" w:cstheme="minorBidi"/>
          <w:color w:val="495965" w:themeColor="text2"/>
          <w:sz w:val="22"/>
          <w:szCs w:val="22"/>
          <w:lang w:val="en-GB" w:eastAsia="en-US"/>
        </w:rPr>
        <w:t>e</w:t>
      </w:r>
      <w:r w:rsidR="007A7B53">
        <w:rPr>
          <w:rFonts w:asciiTheme="minorHAnsi" w:hAnsiTheme="minorHAnsi" w:cstheme="minorBidi"/>
          <w:color w:val="495965" w:themeColor="text2"/>
          <w:sz w:val="22"/>
          <w:szCs w:val="22"/>
          <w:lang w:val="en-GB" w:eastAsia="en-US"/>
        </w:rPr>
        <w:t xml:space="preserve"> greater coherence across programs, </w:t>
      </w:r>
      <w:r w:rsidR="005C0E44">
        <w:rPr>
          <w:rFonts w:asciiTheme="minorHAnsi" w:hAnsiTheme="minorHAnsi" w:cstheme="minorBidi"/>
          <w:color w:val="495965" w:themeColor="text2"/>
          <w:sz w:val="22"/>
          <w:szCs w:val="22"/>
          <w:lang w:val="en-GB" w:eastAsia="en-US"/>
        </w:rPr>
        <w:t xml:space="preserve">as well as more effective engagement with </w:t>
      </w:r>
      <w:r w:rsidR="007A7B53">
        <w:rPr>
          <w:rFonts w:asciiTheme="minorHAnsi" w:hAnsiTheme="minorHAnsi" w:cstheme="minorBidi"/>
          <w:color w:val="495965" w:themeColor="text2"/>
          <w:sz w:val="22"/>
          <w:szCs w:val="22"/>
          <w:lang w:val="en-GB" w:eastAsia="en-US"/>
        </w:rPr>
        <w:t>civil society</w:t>
      </w:r>
      <w:r w:rsidR="005C0E44">
        <w:rPr>
          <w:rFonts w:asciiTheme="minorHAnsi" w:hAnsiTheme="minorHAnsi" w:cstheme="minorBidi"/>
          <w:color w:val="495965" w:themeColor="text2"/>
          <w:sz w:val="22"/>
          <w:szCs w:val="22"/>
          <w:lang w:val="en-GB" w:eastAsia="en-US"/>
        </w:rPr>
        <w:t xml:space="preserve"> and treatment of </w:t>
      </w:r>
      <w:r w:rsidR="007A7B53">
        <w:rPr>
          <w:rFonts w:asciiTheme="minorHAnsi" w:hAnsiTheme="minorHAnsi" w:cstheme="minorBidi"/>
          <w:color w:val="495965" w:themeColor="text2"/>
          <w:sz w:val="22"/>
          <w:szCs w:val="22"/>
          <w:lang w:val="en-GB" w:eastAsia="en-US"/>
        </w:rPr>
        <w:t>gender and disability inclusiveness</w:t>
      </w:r>
      <w:r w:rsidR="005C0E44">
        <w:rPr>
          <w:rFonts w:asciiTheme="minorHAnsi" w:hAnsiTheme="minorHAnsi" w:cstheme="minorBidi"/>
          <w:color w:val="495965" w:themeColor="text2"/>
          <w:sz w:val="22"/>
          <w:szCs w:val="22"/>
          <w:lang w:val="en-GB" w:eastAsia="en-US"/>
        </w:rPr>
        <w:t xml:space="preserve">. The Facility will also </w:t>
      </w:r>
      <w:r w:rsidR="007A7B53">
        <w:rPr>
          <w:rFonts w:asciiTheme="minorHAnsi" w:hAnsiTheme="minorHAnsi" w:cstheme="minorBidi"/>
          <w:color w:val="495965" w:themeColor="text2"/>
          <w:sz w:val="22"/>
          <w:szCs w:val="22"/>
          <w:lang w:val="en-GB" w:eastAsia="en-US"/>
        </w:rPr>
        <w:t>institute more efficient administrative, contracting and management processes</w:t>
      </w:r>
      <w:r w:rsidR="005C0E44">
        <w:rPr>
          <w:rFonts w:asciiTheme="minorHAnsi" w:hAnsiTheme="minorHAnsi" w:cstheme="minorBidi"/>
          <w:color w:val="495965" w:themeColor="text2"/>
          <w:sz w:val="22"/>
          <w:szCs w:val="22"/>
          <w:lang w:val="en-GB" w:eastAsia="en-US"/>
        </w:rPr>
        <w:t xml:space="preserve"> </w:t>
      </w:r>
      <w:r w:rsidR="00150BE1">
        <w:rPr>
          <w:rFonts w:asciiTheme="minorHAnsi" w:hAnsiTheme="minorHAnsi" w:cstheme="minorBidi"/>
          <w:color w:val="495965" w:themeColor="text2"/>
          <w:sz w:val="22"/>
          <w:szCs w:val="22"/>
          <w:lang w:val="en-GB" w:eastAsia="en-US"/>
        </w:rPr>
        <w:t>to</w:t>
      </w:r>
      <w:r w:rsidR="005C0E44">
        <w:rPr>
          <w:rFonts w:asciiTheme="minorHAnsi" w:hAnsiTheme="minorHAnsi" w:cstheme="minorBidi"/>
          <w:color w:val="495965" w:themeColor="text2"/>
          <w:sz w:val="22"/>
          <w:szCs w:val="22"/>
          <w:lang w:val="en-GB" w:eastAsia="en-US"/>
        </w:rPr>
        <w:t xml:space="preserve"> afford DFAT aid staff more time to focus on relationship management, strategic policy issues</w:t>
      </w:r>
      <w:r w:rsidR="00150BE1">
        <w:rPr>
          <w:rFonts w:asciiTheme="minorHAnsi" w:hAnsiTheme="minorHAnsi" w:cstheme="minorBidi"/>
          <w:color w:val="495965" w:themeColor="text2"/>
          <w:sz w:val="22"/>
          <w:szCs w:val="22"/>
          <w:lang w:val="en-GB" w:eastAsia="en-US"/>
        </w:rPr>
        <w:t>, monitoring and evaluation</w:t>
      </w:r>
      <w:r w:rsidR="007A7B53">
        <w:rPr>
          <w:rFonts w:asciiTheme="minorHAnsi" w:hAnsiTheme="minorHAnsi" w:cstheme="minorBidi"/>
          <w:color w:val="495965" w:themeColor="text2"/>
          <w:sz w:val="22"/>
          <w:szCs w:val="22"/>
          <w:lang w:val="en-GB" w:eastAsia="en-US"/>
        </w:rPr>
        <w:t>, and improve knowledge sharing and actions on lessons learned.</w:t>
      </w:r>
      <w:r w:rsidR="00B22B76">
        <w:rPr>
          <w:rFonts w:asciiTheme="minorHAnsi" w:hAnsiTheme="minorHAnsi" w:cstheme="minorBidi"/>
          <w:color w:val="495965" w:themeColor="text2"/>
          <w:sz w:val="22"/>
          <w:szCs w:val="22"/>
          <w:lang w:val="en-GB" w:eastAsia="en-US"/>
        </w:rPr>
        <w:t xml:space="preserve"> </w:t>
      </w:r>
    </w:p>
    <w:p w14:paraId="1FE208E6" w14:textId="77777777" w:rsidR="002A51CA" w:rsidRPr="00160D8C" w:rsidRDefault="002A51CA" w:rsidP="001A4C4E">
      <w:pPr>
        <w:rPr>
          <w:rFonts w:ascii="Helvetica" w:hAnsi="Helvetica" w:cs="Arial"/>
          <w:color w:val="0C7DAF"/>
          <w:kern w:val="28"/>
          <w:szCs w:val="28"/>
        </w:rPr>
      </w:pPr>
      <w:r w:rsidRPr="00160D8C">
        <w:rPr>
          <w:rFonts w:ascii="Helvetica" w:hAnsi="Helvetica" w:cs="Arial"/>
          <w:color w:val="0C7DAF"/>
          <w:kern w:val="28"/>
          <w:szCs w:val="28"/>
        </w:rPr>
        <w:t>Analysis of Aid Quality Checks</w:t>
      </w:r>
    </w:p>
    <w:p w14:paraId="3D7C2FE1" w14:textId="1C1FFBB2" w:rsidR="00C80CD1" w:rsidRPr="001C7863" w:rsidRDefault="005B3AAF" w:rsidP="00933C74">
      <w:r w:rsidRPr="001C7863">
        <w:t>Six</w:t>
      </w:r>
      <w:r w:rsidR="001A7E87" w:rsidRPr="001C7863">
        <w:t xml:space="preserve"> </w:t>
      </w:r>
      <w:r w:rsidR="00917114" w:rsidRPr="001C7863">
        <w:t xml:space="preserve">aid </w:t>
      </w:r>
      <w:r w:rsidR="00AF2574" w:rsidRPr="001C7863">
        <w:t xml:space="preserve">programs completed </w:t>
      </w:r>
      <w:r w:rsidR="001A7E87" w:rsidRPr="001C7863">
        <w:t xml:space="preserve">Aid Quality Checks </w:t>
      </w:r>
      <w:r w:rsidR="005F3167" w:rsidRPr="001C7863">
        <w:t xml:space="preserve">(AQCs) </w:t>
      </w:r>
      <w:r w:rsidR="001A7E87" w:rsidRPr="001C7863">
        <w:t xml:space="preserve">for 2015 (a summary is at </w:t>
      </w:r>
      <w:r w:rsidR="001A7E87" w:rsidRPr="001C7863">
        <w:rPr>
          <w:b/>
        </w:rPr>
        <w:t>Annex D</w:t>
      </w:r>
      <w:r w:rsidR="001A7E87" w:rsidRPr="001C7863">
        <w:t>)</w:t>
      </w:r>
      <w:r w:rsidR="00B22B76" w:rsidRPr="001C7863">
        <w:t xml:space="preserve">. </w:t>
      </w:r>
      <w:r w:rsidR="00C80CD1" w:rsidRPr="001C7863">
        <w:t xml:space="preserve"> </w:t>
      </w:r>
      <w:r w:rsidR="00F613EA" w:rsidRPr="001C7863">
        <w:t xml:space="preserve">All AQCs were completed by </w:t>
      </w:r>
      <w:r w:rsidR="005F3167" w:rsidRPr="001C7863">
        <w:t>s</w:t>
      </w:r>
      <w:r w:rsidR="00F613EA" w:rsidRPr="001C7863">
        <w:t xml:space="preserve">enior </w:t>
      </w:r>
      <w:r w:rsidR="005F3167" w:rsidRPr="001C7863">
        <w:t>p</w:t>
      </w:r>
      <w:r w:rsidR="00F613EA" w:rsidRPr="001C7863">
        <w:t xml:space="preserve">rogram </w:t>
      </w:r>
      <w:r w:rsidR="005F3167" w:rsidRPr="001C7863">
        <w:t>m</w:t>
      </w:r>
      <w:r w:rsidR="00F613EA" w:rsidRPr="001C7863">
        <w:t xml:space="preserve">anagers and </w:t>
      </w:r>
      <w:r w:rsidR="00412C95" w:rsidRPr="001C7863">
        <w:t xml:space="preserve">ratings </w:t>
      </w:r>
      <w:r w:rsidR="00F613EA" w:rsidRPr="001C7863">
        <w:t>agreed through an independently moderated detailed discussion with the bilateral development team</w:t>
      </w:r>
      <w:r w:rsidR="00B22B76" w:rsidRPr="00066293">
        <w:rPr>
          <w:i/>
        </w:rPr>
        <w:t>.</w:t>
      </w:r>
      <w:r w:rsidR="00661821" w:rsidRPr="00066293">
        <w:rPr>
          <w:i/>
        </w:rPr>
        <w:t xml:space="preserve"> </w:t>
      </w:r>
      <w:r w:rsidR="00C80CD1" w:rsidRPr="001C7863">
        <w:t xml:space="preserve">All </w:t>
      </w:r>
      <w:r w:rsidRPr="001C7863">
        <w:t>six</w:t>
      </w:r>
      <w:r w:rsidR="00C80CD1" w:rsidRPr="001C7863">
        <w:t xml:space="preserve"> programs </w:t>
      </w:r>
      <w:r w:rsidR="00AF2574" w:rsidRPr="001C7863">
        <w:t xml:space="preserve">were rated </w:t>
      </w:r>
      <w:r w:rsidR="00C80CD1" w:rsidRPr="001C7863">
        <w:t>as highly relevant with risks being managed effectively</w:t>
      </w:r>
      <w:r w:rsidR="00B22B76" w:rsidRPr="001C7863">
        <w:t xml:space="preserve">. </w:t>
      </w:r>
      <w:r w:rsidR="00C80CD1" w:rsidRPr="001C7863">
        <w:t>Overall, the sustainability of programs was</w:t>
      </w:r>
      <w:r w:rsidR="009B452C" w:rsidRPr="001C7863">
        <w:t xml:space="preserve"> high, aside from AQEP and FCDP which</w:t>
      </w:r>
      <w:r w:rsidR="00C80CD1" w:rsidRPr="001C7863">
        <w:t xml:space="preserve"> rated as adequate</w:t>
      </w:r>
      <w:r w:rsidR="00B22B76" w:rsidRPr="001C7863">
        <w:t xml:space="preserve">. </w:t>
      </w:r>
      <w:r w:rsidR="006E736C" w:rsidRPr="001C7863">
        <w:t xml:space="preserve">A significant challenge for AQEP regarding sustainability will be translating program successes into broader </w:t>
      </w:r>
      <w:r w:rsidR="00F27056">
        <w:t>lessons to inform the</w:t>
      </w:r>
      <w:r w:rsidR="006E736C" w:rsidRPr="001C7863">
        <w:t xml:space="preserve"> approach</w:t>
      </w:r>
      <w:r w:rsidR="00F27056">
        <w:t xml:space="preserve"> of</w:t>
      </w:r>
      <w:r w:rsidR="00256C4F" w:rsidRPr="001C7863">
        <w:t xml:space="preserve"> </w:t>
      </w:r>
      <w:r w:rsidR="006E736C" w:rsidRPr="001C7863">
        <w:t>non-AQEP supported schools</w:t>
      </w:r>
      <w:r w:rsidR="00B22B76" w:rsidRPr="001C7863">
        <w:t>.</w:t>
      </w:r>
      <w:r w:rsidR="008420E4">
        <w:t xml:space="preserve"> </w:t>
      </w:r>
      <w:r w:rsidR="006E736C" w:rsidRPr="001C7863">
        <w:t>Complicating this is the current pace of education reform in Fiji which is putting pressure on schools to cope with a multitude of changes</w:t>
      </w:r>
      <w:r w:rsidR="00256C4F" w:rsidRPr="001C7863">
        <w:t>, such as the introduction of new textbooks and curricula and the requirement to cover new material in a shortened timeframe</w:t>
      </w:r>
      <w:r w:rsidR="00B22B76" w:rsidRPr="001C7863">
        <w:t xml:space="preserve">. </w:t>
      </w:r>
    </w:p>
    <w:p w14:paraId="604599C9" w14:textId="14F100D3" w:rsidR="007D3E98" w:rsidRPr="001C7863" w:rsidRDefault="009B452C" w:rsidP="002D2FAD">
      <w:pPr>
        <w:spacing w:after="120" w:line="280" w:lineRule="exact"/>
        <w:rPr>
          <w:i/>
        </w:rPr>
      </w:pPr>
      <w:r w:rsidRPr="00066293">
        <w:t>After identifying the need</w:t>
      </w:r>
      <w:r w:rsidR="002D7321" w:rsidRPr="00066293">
        <w:t xml:space="preserve"> last year</w:t>
      </w:r>
      <w:r w:rsidRPr="00066293">
        <w:t xml:space="preserve"> for great</w:t>
      </w:r>
      <w:r w:rsidR="00E90BAD" w:rsidRPr="00066293">
        <w:t>er</w:t>
      </w:r>
      <w:r w:rsidRPr="00066293">
        <w:t xml:space="preserve"> </w:t>
      </w:r>
      <w:r w:rsidR="007D3E98" w:rsidRPr="00066293">
        <w:t xml:space="preserve">gender equality and </w:t>
      </w:r>
      <w:r w:rsidRPr="00066293">
        <w:t xml:space="preserve">focus on </w:t>
      </w:r>
      <w:r w:rsidR="007D3E98" w:rsidRPr="00066293">
        <w:t>empowering women and girls</w:t>
      </w:r>
      <w:r w:rsidRPr="00066293">
        <w:t xml:space="preserve"> across investments, improvements were shown across the program</w:t>
      </w:r>
      <w:r w:rsidR="002D2FAD" w:rsidRPr="00066293">
        <w:t xml:space="preserve"> (refer Cross Cutting section</w:t>
      </w:r>
      <w:r w:rsidR="003F0EB8" w:rsidRPr="00066293">
        <w:t xml:space="preserve">). </w:t>
      </w:r>
      <w:r w:rsidR="000A6502" w:rsidRPr="00066293">
        <w:t>However, more effort is still need</w:t>
      </w:r>
      <w:r w:rsidR="00B57138" w:rsidRPr="00066293">
        <w:t>ed</w:t>
      </w:r>
      <w:r w:rsidR="000A6502" w:rsidRPr="00066293">
        <w:t xml:space="preserve"> to obtain sex disaggregated data consistently across all programs. </w:t>
      </w:r>
    </w:p>
    <w:p w14:paraId="6929A60F" w14:textId="1773EFFA" w:rsidR="004C169A" w:rsidRPr="001C7863" w:rsidRDefault="00917114" w:rsidP="002A51CA">
      <w:pPr>
        <w:spacing w:after="120" w:line="280" w:lineRule="exact"/>
      </w:pPr>
      <w:r w:rsidRPr="001C7863">
        <w:t xml:space="preserve">The AQC for the </w:t>
      </w:r>
      <w:r w:rsidR="004C169A" w:rsidRPr="001C7863">
        <w:t xml:space="preserve">Fiji Scholarships </w:t>
      </w:r>
      <w:r w:rsidR="005F3167" w:rsidRPr="001C7863">
        <w:t>P</w:t>
      </w:r>
      <w:r w:rsidR="004C169A" w:rsidRPr="001C7863">
        <w:t xml:space="preserve">rogram </w:t>
      </w:r>
      <w:r w:rsidR="002B3DA3" w:rsidRPr="001C7863">
        <w:t>identified that the management arrangements remain overly resource intensive</w:t>
      </w:r>
      <w:r w:rsidR="00B22B76" w:rsidRPr="001C7863">
        <w:t xml:space="preserve">. </w:t>
      </w:r>
      <w:r w:rsidR="002B3DA3" w:rsidRPr="001C7863">
        <w:t>In response</w:t>
      </w:r>
      <w:r w:rsidR="00E90BAD" w:rsidRPr="001C7863">
        <w:t>,</w:t>
      </w:r>
      <w:r w:rsidR="002B3DA3" w:rsidRPr="001C7863">
        <w:t xml:space="preserve"> the </w:t>
      </w:r>
      <w:r w:rsidR="004C169A" w:rsidRPr="001C7863">
        <w:t xml:space="preserve">scholarships management team </w:t>
      </w:r>
      <w:r w:rsidR="002B3DA3" w:rsidRPr="001C7863">
        <w:t>was restructured</w:t>
      </w:r>
      <w:r w:rsidR="0069321C">
        <w:t>, but we are yet to see if these changes will lead to efficiency gains so hence this program was still rated as requiring improvement in 2015-16</w:t>
      </w:r>
      <w:r w:rsidR="00F67B64">
        <w:t xml:space="preserve"> in terms of efficiency</w:t>
      </w:r>
      <w:r w:rsidR="0069321C">
        <w:t>.</w:t>
      </w:r>
      <w:r w:rsidR="00B22B76" w:rsidRPr="001C7863">
        <w:t xml:space="preserve"> </w:t>
      </w:r>
    </w:p>
    <w:p w14:paraId="7DD478D1" w14:textId="77777777" w:rsidR="002A51CA" w:rsidRPr="00160D8C" w:rsidRDefault="002A51CA" w:rsidP="001A4C4E">
      <w:pPr>
        <w:rPr>
          <w:rFonts w:ascii="Helvetica" w:hAnsi="Helvetica" w:cs="Arial"/>
          <w:color w:val="0C7DAF"/>
          <w:kern w:val="28"/>
          <w:szCs w:val="28"/>
        </w:rPr>
      </w:pPr>
      <w:r w:rsidRPr="00160D8C">
        <w:rPr>
          <w:rFonts w:ascii="Helvetica" w:hAnsi="Helvetica" w:cs="Arial"/>
          <w:color w:val="0C7DAF"/>
          <w:kern w:val="28"/>
          <w:szCs w:val="28"/>
        </w:rPr>
        <w:t>Performance of key delivery partners</w:t>
      </w:r>
    </w:p>
    <w:p w14:paraId="5B2BF54B" w14:textId="77777777" w:rsidR="004D7638" w:rsidRDefault="004D7638" w:rsidP="002A51CA">
      <w:r>
        <w:t xml:space="preserve">The majority of bilateral development assistance in Fiji is delivered by </w:t>
      </w:r>
      <w:r w:rsidR="00C7325A">
        <w:t>six implementing partners</w:t>
      </w:r>
      <w:r w:rsidR="00995FCC">
        <w:t xml:space="preserve"> who work in close coordination with relevant government ministries</w:t>
      </w:r>
      <w:r w:rsidR="00B22B76">
        <w:t xml:space="preserve">. </w:t>
      </w:r>
      <w:r>
        <w:t xml:space="preserve">Implementing project partners </w:t>
      </w:r>
      <w:r w:rsidR="004B44F6">
        <w:t xml:space="preserve">this reporting period </w:t>
      </w:r>
      <w:r>
        <w:t>include Palladium (</w:t>
      </w:r>
      <w:r w:rsidR="00473634">
        <w:t>AQEP</w:t>
      </w:r>
      <w:r>
        <w:t>), Abt JTA (</w:t>
      </w:r>
      <w:r w:rsidR="00473634">
        <w:t>FHSSP</w:t>
      </w:r>
      <w:r>
        <w:t xml:space="preserve">), </w:t>
      </w:r>
      <w:r w:rsidR="003C0922">
        <w:t>Cardno Emerging Markets (</w:t>
      </w:r>
      <w:r w:rsidR="00473634">
        <w:t>MDF</w:t>
      </w:r>
      <w:r w:rsidR="003C0922">
        <w:t xml:space="preserve">), </w:t>
      </w:r>
      <w:r>
        <w:t>Coffey International (</w:t>
      </w:r>
      <w:r w:rsidR="00473634">
        <w:t>FCDP</w:t>
      </w:r>
      <w:r>
        <w:t xml:space="preserve">) and </w:t>
      </w:r>
      <w:r w:rsidR="004B44F6">
        <w:t>Conciliation Resources</w:t>
      </w:r>
      <w:r>
        <w:t xml:space="preserve"> (</w:t>
      </w:r>
      <w:r w:rsidR="004B44F6">
        <w:t>Governance</w:t>
      </w:r>
      <w:r>
        <w:t>)</w:t>
      </w:r>
      <w:r w:rsidR="00310D1D">
        <w:t xml:space="preserve"> a</w:t>
      </w:r>
      <w:r w:rsidR="00E90BAD">
        <w:t>s well as</w:t>
      </w:r>
      <w:r w:rsidR="00310D1D">
        <w:t xml:space="preserve"> </w:t>
      </w:r>
      <w:r w:rsidR="00ED0EFA">
        <w:t xml:space="preserve">NGOs such as </w:t>
      </w:r>
      <w:r w:rsidR="00E90BAD">
        <w:t xml:space="preserve">the </w:t>
      </w:r>
      <w:r w:rsidR="00310D1D">
        <w:t>F</w:t>
      </w:r>
      <w:r w:rsidR="00342F14">
        <w:t xml:space="preserve">iji </w:t>
      </w:r>
      <w:r w:rsidR="00310D1D">
        <w:t>W</w:t>
      </w:r>
      <w:r w:rsidR="00342F14">
        <w:t xml:space="preserve">omen’s </w:t>
      </w:r>
      <w:r w:rsidR="00310D1D">
        <w:t>C</w:t>
      </w:r>
      <w:r w:rsidR="00342F14">
        <w:t xml:space="preserve">risis </w:t>
      </w:r>
      <w:r w:rsidR="00310D1D">
        <w:t>C</w:t>
      </w:r>
      <w:r w:rsidR="00342F14">
        <w:t>entre</w:t>
      </w:r>
      <w:r w:rsidR="00ED0EFA">
        <w:t>, Medical Services Pacific and Empower Pacific</w:t>
      </w:r>
      <w:r w:rsidR="00B22B76">
        <w:t xml:space="preserve">. </w:t>
      </w:r>
      <w:r>
        <w:t>These partners are annually evaluated through the Partner Performance Assessment tool</w:t>
      </w:r>
      <w:r w:rsidR="00B22B76">
        <w:t xml:space="preserve">. </w:t>
      </w:r>
      <w:r>
        <w:t xml:space="preserve">These assessments detail how </w:t>
      </w:r>
      <w:r w:rsidR="00192A00">
        <w:t>program</w:t>
      </w:r>
      <w:r w:rsidR="005519B6">
        <w:t>s</w:t>
      </w:r>
      <w:r w:rsidR="00192A00">
        <w:t xml:space="preserve"> delivers lasting results, value for money, collaboration, communication and responsiveness, policy alignment, risk management and innovation, and effective partner personnel</w:t>
      </w:r>
      <w:r w:rsidR="00B22B76">
        <w:t xml:space="preserve">. </w:t>
      </w:r>
    </w:p>
    <w:p w14:paraId="406E1264" w14:textId="77777777" w:rsidR="004D7638" w:rsidRPr="001F2F00" w:rsidRDefault="00C7325A" w:rsidP="002A51CA">
      <w:pPr>
        <w:rPr>
          <w:i/>
          <w:color w:val="0070C0"/>
        </w:rPr>
      </w:pPr>
      <w:r>
        <w:t>Most</w:t>
      </w:r>
      <w:r w:rsidR="004D7638">
        <w:t xml:space="preserve"> </w:t>
      </w:r>
      <w:r>
        <w:t>implementing partners</w:t>
      </w:r>
      <w:r w:rsidR="004D7638">
        <w:t xml:space="preserve"> scored </w:t>
      </w:r>
      <w:r w:rsidR="00192A00">
        <w:t>‘very good’ or ‘ex</w:t>
      </w:r>
      <w:r w:rsidR="00340ED1">
        <w:t>c</w:t>
      </w:r>
      <w:r w:rsidR="00192A00">
        <w:t>ellent’</w:t>
      </w:r>
      <w:r w:rsidR="004B44F6">
        <w:t xml:space="preserve"> for all categories</w:t>
      </w:r>
      <w:r w:rsidR="00BB7ADB">
        <w:t xml:space="preserve"> (fifth and sixth on a six point scale)</w:t>
      </w:r>
      <w:r>
        <w:t>, while a few rated</w:t>
      </w:r>
      <w:r w:rsidR="004B44F6" w:rsidRPr="00045DB2">
        <w:t xml:space="preserve"> </w:t>
      </w:r>
      <w:r w:rsidR="00F27056">
        <w:t>‘</w:t>
      </w:r>
      <w:r w:rsidR="004B44F6" w:rsidRPr="00045DB2">
        <w:t>adequate</w:t>
      </w:r>
      <w:r w:rsidR="00F27056">
        <w:t>’</w:t>
      </w:r>
      <w:r w:rsidR="004B44F6" w:rsidRPr="00045DB2">
        <w:t xml:space="preserve"> </w:t>
      </w:r>
      <w:r w:rsidR="00BB7ADB">
        <w:t xml:space="preserve">(fourth) </w:t>
      </w:r>
      <w:r w:rsidR="004B44F6" w:rsidRPr="00045DB2">
        <w:t>on value for money, collaboration and communication and effective personnel</w:t>
      </w:r>
      <w:r w:rsidR="00B22B76">
        <w:t xml:space="preserve">. </w:t>
      </w:r>
      <w:r w:rsidR="004B44F6" w:rsidRPr="00045DB2">
        <w:t xml:space="preserve">This </w:t>
      </w:r>
      <w:r w:rsidR="003729EE">
        <w:t>is</w:t>
      </w:r>
      <w:r w:rsidR="004B44F6" w:rsidRPr="00045DB2">
        <w:t xml:space="preserve"> due</w:t>
      </w:r>
      <w:r w:rsidR="003729EE">
        <w:t xml:space="preserve"> in part</w:t>
      </w:r>
      <w:r w:rsidR="004B44F6" w:rsidRPr="00045DB2">
        <w:t xml:space="preserve"> to the new and diverse nature of </w:t>
      </w:r>
      <w:r w:rsidR="00310D1D">
        <w:t>specific</w:t>
      </w:r>
      <w:r w:rsidR="00310D1D" w:rsidRPr="00045DB2">
        <w:t xml:space="preserve"> </w:t>
      </w:r>
      <w:r w:rsidR="004B44F6" w:rsidRPr="00045DB2">
        <w:t>program</w:t>
      </w:r>
      <w:r w:rsidR="00310D1D">
        <w:t>s</w:t>
      </w:r>
      <w:r>
        <w:t xml:space="preserve"> and</w:t>
      </w:r>
      <w:r w:rsidR="00310D1D">
        <w:t xml:space="preserve"> shifts in organisational capacity</w:t>
      </w:r>
      <w:r w:rsidR="00F27056">
        <w:t xml:space="preserve"> of our partners</w:t>
      </w:r>
      <w:r w:rsidR="004B44F6" w:rsidRPr="00045DB2">
        <w:t>.</w:t>
      </w:r>
      <w:r w:rsidR="002B3DA3" w:rsidRPr="00045DB2">
        <w:t xml:space="preserve"> </w:t>
      </w:r>
      <w:r w:rsidR="00310D1D">
        <w:t>Efforts are underway to work with particular partners to improve performance in these areas.</w:t>
      </w:r>
    </w:p>
    <w:p w14:paraId="59C45F7E" w14:textId="77777777" w:rsidR="00515C17" w:rsidRDefault="003C0922" w:rsidP="003C0922">
      <w:r>
        <w:t xml:space="preserve">The current bilateral program works in close coordination with Fiji </w:t>
      </w:r>
      <w:r w:rsidR="00473634">
        <w:t>m</w:t>
      </w:r>
      <w:r>
        <w:t>inistries</w:t>
      </w:r>
      <w:r w:rsidR="00515C17">
        <w:t>, agencies and multilateral organisations</w:t>
      </w:r>
      <w:r w:rsidR="00B22B76">
        <w:t xml:space="preserve">. </w:t>
      </w:r>
      <w:r w:rsidR="00515C17">
        <w:t xml:space="preserve">The most significant of these multilateral partners are the </w:t>
      </w:r>
      <w:r w:rsidR="00515C17" w:rsidRPr="001C18EB">
        <w:t>World Bank and ADB</w:t>
      </w:r>
      <w:r w:rsidR="00B22B76" w:rsidRPr="001C18EB">
        <w:t>.</w:t>
      </w:r>
      <w:r w:rsidR="00B22B76">
        <w:t xml:space="preserve"> </w:t>
      </w:r>
      <w:r w:rsidR="00515C17">
        <w:t xml:space="preserve">DFAT also worked through other organisations with expertise in specific sectors such as UNICEF and </w:t>
      </w:r>
      <w:r w:rsidR="0044265B">
        <w:t xml:space="preserve">the </w:t>
      </w:r>
      <w:r w:rsidR="00515C17">
        <w:t xml:space="preserve">World Food Program following TC Winston. Established networks and regular dialogue with these partners ensured </w:t>
      </w:r>
      <w:r w:rsidR="008B60F4">
        <w:t>effective</w:t>
      </w:r>
      <w:r w:rsidR="00515C17">
        <w:t xml:space="preserve"> communication</w:t>
      </w:r>
      <w:r w:rsidR="00310D1D">
        <w:t>,</w:t>
      </w:r>
      <w:r w:rsidR="00515C17">
        <w:t xml:space="preserve"> shared objectives and positive results across the bilateral program.</w:t>
      </w:r>
    </w:p>
    <w:p w14:paraId="5D904475" w14:textId="77777777" w:rsidR="003C0922" w:rsidRDefault="003C0922" w:rsidP="003C0922">
      <w:r>
        <w:t xml:space="preserve">As program contracts come to their natural conclusion, and to increase efficiencies, new programs may be implemented by </w:t>
      </w:r>
      <w:r w:rsidR="00F27056">
        <w:t xml:space="preserve">a Fiji Program Support </w:t>
      </w:r>
      <w:r>
        <w:t>Facility</w:t>
      </w:r>
      <w:r w:rsidR="00B22B76">
        <w:t xml:space="preserve">. </w:t>
      </w:r>
      <w:r w:rsidR="00B20F4D">
        <w:t>This Facility will consolidate the administration and delivery of some of our aid investments under a single service provider</w:t>
      </w:r>
      <w:r w:rsidR="00F27056">
        <w:t xml:space="preserve">. </w:t>
      </w:r>
      <w:r>
        <w:t>Future engagement with Fiji may also include using partner government systems where development priorities align</w:t>
      </w:r>
      <w:r w:rsidR="00A01BC3">
        <w:t>, capacity is sufficient</w:t>
      </w:r>
      <w:r>
        <w:t xml:space="preserve"> and risks are manageable.</w:t>
      </w:r>
      <w:r w:rsidR="00A01BC3">
        <w:t xml:space="preserve"> In 2016-17</w:t>
      </w:r>
      <w:r w:rsidR="00B57138">
        <w:t>,</w:t>
      </w:r>
      <w:r w:rsidR="00A01BC3">
        <w:t xml:space="preserve"> we will commence discussions with the Government of Fiji regarding conducting an Assessment of National Systems which would provide the basis for an increasing share of aid managed by the Government of Fiji (refer Management consequences). </w:t>
      </w:r>
    </w:p>
    <w:p w14:paraId="029F14A0" w14:textId="77777777" w:rsidR="002A51CA" w:rsidRPr="002A51CA" w:rsidRDefault="002A51CA" w:rsidP="002A51CA">
      <w:pPr>
        <w:pStyle w:val="Heading2"/>
      </w:pPr>
      <w:r w:rsidRPr="002A51CA">
        <w:t>Risks</w:t>
      </w:r>
    </w:p>
    <w:p w14:paraId="2BE6E29E" w14:textId="77777777" w:rsidR="002A51CA" w:rsidRPr="008C2F58" w:rsidRDefault="002A51CA" w:rsidP="002A51CA">
      <w:pPr>
        <w:rPr>
          <w:b/>
          <w:sz w:val="24"/>
        </w:rPr>
      </w:pPr>
      <w:r w:rsidRPr="008C2F58">
        <w:rPr>
          <w:b/>
          <w:sz w:val="24"/>
        </w:rPr>
        <w:t xml:space="preserve">Table </w:t>
      </w:r>
      <w:r w:rsidR="001C7863">
        <w:rPr>
          <w:b/>
          <w:sz w:val="24"/>
        </w:rPr>
        <w:t>4:</w:t>
      </w:r>
      <w:r w:rsidRPr="008C2F58">
        <w:rPr>
          <w:b/>
          <w:sz w:val="24"/>
        </w:rPr>
        <w:t xml:space="preserve"> Management of Key Risks to Achieving Objectives</w:t>
      </w:r>
    </w:p>
    <w:tbl>
      <w:tblPr>
        <w:tblStyle w:val="APPR"/>
        <w:tblW w:w="5000" w:type="pct"/>
        <w:tblLook w:val="0600" w:firstRow="0" w:lastRow="0" w:firstColumn="0" w:lastColumn="0" w:noHBand="1" w:noVBand="1"/>
      </w:tblPr>
      <w:tblGrid>
        <w:gridCol w:w="2251"/>
        <w:gridCol w:w="2495"/>
        <w:gridCol w:w="2551"/>
        <w:gridCol w:w="2341"/>
      </w:tblGrid>
      <w:tr w:rsidR="002A51CA" w:rsidRPr="00C61187" w14:paraId="50E58168" w14:textId="77777777" w:rsidTr="002A51CA">
        <w:tc>
          <w:tcPr>
            <w:tcW w:w="2270" w:type="dxa"/>
            <w:hideMark/>
          </w:tcPr>
          <w:p w14:paraId="53908C7C"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Key risks</w:t>
            </w:r>
          </w:p>
        </w:tc>
        <w:tc>
          <w:tcPr>
            <w:tcW w:w="2544" w:type="dxa"/>
          </w:tcPr>
          <w:p w14:paraId="6B6A4DA8"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What actions were taken to manage the risks over the past year?</w:t>
            </w:r>
          </w:p>
        </w:tc>
        <w:tc>
          <w:tcPr>
            <w:tcW w:w="2604" w:type="dxa"/>
          </w:tcPr>
          <w:p w14:paraId="68321359"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What further actions will be taken to manage the risks in the coming year?</w:t>
            </w:r>
          </w:p>
        </w:tc>
        <w:tc>
          <w:tcPr>
            <w:tcW w:w="2352" w:type="dxa"/>
          </w:tcPr>
          <w:p w14:paraId="641D3E22"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For emerging/ongoing risks provide a Risk Rating (low, medium, high, very high)</w:t>
            </w:r>
          </w:p>
        </w:tc>
      </w:tr>
      <w:tr w:rsidR="004D7638" w:rsidRPr="00C61187" w14:paraId="31805BDD" w14:textId="77777777" w:rsidTr="002A51CA">
        <w:tc>
          <w:tcPr>
            <w:tcW w:w="2270" w:type="dxa"/>
          </w:tcPr>
          <w:p w14:paraId="0FA25192" w14:textId="77777777" w:rsidR="004D7638" w:rsidRPr="00340ED1" w:rsidRDefault="004D7638" w:rsidP="005F3167">
            <w:pPr>
              <w:keepLines/>
              <w:spacing w:before="40" w:after="40" w:line="200" w:lineRule="atLeast"/>
              <w:rPr>
                <w:rFonts w:eastAsia="Times New Roman"/>
                <w:sz w:val="16"/>
                <w:szCs w:val="16"/>
              </w:rPr>
            </w:pPr>
            <w:r>
              <w:rPr>
                <w:rFonts w:eastAsia="Times New Roman"/>
                <w:sz w:val="16"/>
                <w:szCs w:val="16"/>
              </w:rPr>
              <w:t>Australian aid is not aligned to Fiji Government development priorities</w:t>
            </w:r>
            <w:r w:rsidR="00007B43">
              <w:rPr>
                <w:rFonts w:eastAsia="Times New Roman"/>
                <w:sz w:val="16"/>
                <w:szCs w:val="16"/>
              </w:rPr>
              <w:t>.</w:t>
            </w:r>
          </w:p>
        </w:tc>
        <w:tc>
          <w:tcPr>
            <w:tcW w:w="2544" w:type="dxa"/>
          </w:tcPr>
          <w:p w14:paraId="611FF8E5" w14:textId="77777777" w:rsidR="004D7638" w:rsidRPr="00340ED1" w:rsidRDefault="004D7638" w:rsidP="005F3167">
            <w:pPr>
              <w:keepLines/>
              <w:spacing w:before="40" w:after="40" w:line="200" w:lineRule="atLeast"/>
              <w:rPr>
                <w:rFonts w:eastAsia="Times New Roman"/>
                <w:sz w:val="16"/>
                <w:szCs w:val="16"/>
              </w:rPr>
            </w:pPr>
            <w:r w:rsidRPr="00340ED1">
              <w:rPr>
                <w:rFonts w:eastAsia="Times New Roman"/>
                <w:sz w:val="16"/>
                <w:szCs w:val="16"/>
              </w:rPr>
              <w:t>Active and ongoing engagement with the Fiji Government on key sectors</w:t>
            </w:r>
          </w:p>
        </w:tc>
        <w:tc>
          <w:tcPr>
            <w:tcW w:w="2604" w:type="dxa"/>
          </w:tcPr>
          <w:p w14:paraId="229C6580" w14:textId="77777777" w:rsidR="004D7638" w:rsidRPr="00340ED1" w:rsidRDefault="004D7638" w:rsidP="005F3167">
            <w:pPr>
              <w:keepLines/>
              <w:spacing w:before="40" w:after="40" w:line="200" w:lineRule="atLeast"/>
              <w:rPr>
                <w:rFonts w:eastAsia="Times New Roman"/>
                <w:sz w:val="16"/>
                <w:szCs w:val="16"/>
              </w:rPr>
            </w:pPr>
            <w:r w:rsidRPr="00340ED1">
              <w:rPr>
                <w:rFonts w:eastAsia="Times New Roman"/>
                <w:sz w:val="16"/>
                <w:szCs w:val="16"/>
              </w:rPr>
              <w:t>An Aid Partnership will be developed and agreed in consultation with the Fiji Government</w:t>
            </w:r>
          </w:p>
        </w:tc>
        <w:tc>
          <w:tcPr>
            <w:tcW w:w="2352" w:type="dxa"/>
          </w:tcPr>
          <w:p w14:paraId="64EEA016" w14:textId="77777777" w:rsidR="004D7638" w:rsidRPr="00340ED1" w:rsidRDefault="003729EE" w:rsidP="00D15A00">
            <w:pPr>
              <w:keepLines/>
              <w:spacing w:before="40" w:after="40" w:line="200" w:lineRule="atLeast"/>
              <w:rPr>
                <w:rFonts w:eastAsia="Times New Roman"/>
                <w:sz w:val="16"/>
                <w:szCs w:val="16"/>
              </w:rPr>
            </w:pPr>
            <w:r w:rsidRPr="00340ED1">
              <w:rPr>
                <w:rFonts w:eastAsia="Times New Roman"/>
                <w:sz w:val="16"/>
                <w:szCs w:val="16"/>
              </w:rPr>
              <w:t>M</w:t>
            </w:r>
            <w:r w:rsidR="004D7638" w:rsidRPr="00340ED1">
              <w:rPr>
                <w:rFonts w:eastAsia="Times New Roman"/>
                <w:sz w:val="16"/>
                <w:szCs w:val="16"/>
              </w:rPr>
              <w:t>edium</w:t>
            </w:r>
          </w:p>
        </w:tc>
      </w:tr>
      <w:tr w:rsidR="00340ED1" w:rsidRPr="00C61187" w14:paraId="159BDDB1" w14:textId="77777777" w:rsidTr="00340ED1">
        <w:trPr>
          <w:trHeight w:val="60"/>
        </w:trPr>
        <w:tc>
          <w:tcPr>
            <w:tcW w:w="2270" w:type="dxa"/>
          </w:tcPr>
          <w:p w14:paraId="2450E808" w14:textId="77777777" w:rsidR="00340ED1" w:rsidRDefault="00E2470E" w:rsidP="00D15A00">
            <w:pPr>
              <w:keepLines/>
              <w:spacing w:before="40" w:after="40" w:line="200" w:lineRule="atLeast"/>
              <w:rPr>
                <w:rFonts w:eastAsia="Times New Roman"/>
                <w:sz w:val="16"/>
                <w:szCs w:val="16"/>
              </w:rPr>
            </w:pPr>
            <w:r>
              <w:rPr>
                <w:rFonts w:eastAsia="Times New Roman"/>
                <w:sz w:val="16"/>
                <w:szCs w:val="16"/>
              </w:rPr>
              <w:t xml:space="preserve">Delays in </w:t>
            </w:r>
            <w:r w:rsidR="00C1527E">
              <w:rPr>
                <w:rFonts w:eastAsia="Times New Roman"/>
                <w:sz w:val="16"/>
                <w:szCs w:val="16"/>
              </w:rPr>
              <w:t>TC</w:t>
            </w:r>
            <w:r w:rsidR="00203220">
              <w:rPr>
                <w:rFonts w:eastAsia="Times New Roman"/>
                <w:sz w:val="16"/>
                <w:szCs w:val="16"/>
              </w:rPr>
              <w:t xml:space="preserve"> Winston rebuilding and su</w:t>
            </w:r>
            <w:r w:rsidR="00007B43">
              <w:rPr>
                <w:rFonts w:eastAsia="Times New Roman"/>
                <w:sz w:val="16"/>
                <w:szCs w:val="16"/>
              </w:rPr>
              <w:t>b-standard rebuilding practices.</w:t>
            </w:r>
          </w:p>
        </w:tc>
        <w:tc>
          <w:tcPr>
            <w:tcW w:w="2544" w:type="dxa"/>
          </w:tcPr>
          <w:p w14:paraId="4EE23DF7" w14:textId="77777777" w:rsidR="00340ED1" w:rsidRPr="00340ED1" w:rsidRDefault="00203220" w:rsidP="00340ED1">
            <w:pPr>
              <w:keepLines/>
              <w:spacing w:before="40" w:after="40" w:line="200" w:lineRule="atLeast"/>
              <w:rPr>
                <w:rFonts w:eastAsia="Times New Roman"/>
                <w:sz w:val="16"/>
                <w:szCs w:val="16"/>
              </w:rPr>
            </w:pPr>
            <w:r>
              <w:rPr>
                <w:rFonts w:eastAsia="Times New Roman"/>
                <w:sz w:val="16"/>
                <w:szCs w:val="16"/>
              </w:rPr>
              <w:t>A</w:t>
            </w:r>
            <w:r w:rsidR="004E592F">
              <w:rPr>
                <w:rFonts w:eastAsia="Times New Roman"/>
                <w:sz w:val="16"/>
                <w:szCs w:val="16"/>
              </w:rPr>
              <w:t xml:space="preserve">ctive dialogue with the </w:t>
            </w:r>
            <w:r w:rsidR="00C1527E">
              <w:rPr>
                <w:rFonts w:eastAsia="Times New Roman"/>
                <w:sz w:val="16"/>
                <w:szCs w:val="16"/>
              </w:rPr>
              <w:t>Government of Fiji</w:t>
            </w:r>
            <w:r w:rsidR="004E592F">
              <w:rPr>
                <w:rFonts w:eastAsia="Times New Roman"/>
                <w:sz w:val="16"/>
                <w:szCs w:val="16"/>
              </w:rPr>
              <w:t xml:space="preserve"> and other </w:t>
            </w:r>
            <w:r>
              <w:rPr>
                <w:rFonts w:eastAsia="Times New Roman"/>
                <w:sz w:val="16"/>
                <w:szCs w:val="16"/>
              </w:rPr>
              <w:t>p</w:t>
            </w:r>
            <w:r w:rsidR="004E592F">
              <w:rPr>
                <w:rFonts w:eastAsia="Times New Roman"/>
                <w:sz w:val="16"/>
                <w:szCs w:val="16"/>
              </w:rPr>
              <w:t>artners</w:t>
            </w:r>
            <w:r>
              <w:rPr>
                <w:rFonts w:eastAsia="Times New Roman"/>
                <w:sz w:val="16"/>
                <w:szCs w:val="16"/>
              </w:rPr>
              <w:t xml:space="preserve">, technical assistance </w:t>
            </w:r>
            <w:r w:rsidR="00AE7000">
              <w:rPr>
                <w:rFonts w:eastAsia="Times New Roman"/>
                <w:sz w:val="16"/>
                <w:szCs w:val="16"/>
              </w:rPr>
              <w:t>provided</w:t>
            </w:r>
            <w:r>
              <w:rPr>
                <w:rFonts w:eastAsia="Times New Roman"/>
                <w:sz w:val="16"/>
                <w:szCs w:val="16"/>
              </w:rPr>
              <w:t>.</w:t>
            </w:r>
          </w:p>
        </w:tc>
        <w:tc>
          <w:tcPr>
            <w:tcW w:w="2604" w:type="dxa"/>
          </w:tcPr>
          <w:p w14:paraId="58701C5F" w14:textId="77777777" w:rsidR="00340ED1" w:rsidRPr="00340ED1" w:rsidRDefault="00203220" w:rsidP="004E592F">
            <w:pPr>
              <w:keepLines/>
              <w:spacing w:before="40" w:after="40" w:line="200" w:lineRule="atLeast"/>
              <w:rPr>
                <w:rFonts w:eastAsia="Times New Roman"/>
                <w:sz w:val="16"/>
                <w:szCs w:val="16"/>
              </w:rPr>
            </w:pPr>
            <w:r>
              <w:rPr>
                <w:rFonts w:eastAsia="Times New Roman"/>
                <w:sz w:val="16"/>
                <w:szCs w:val="16"/>
              </w:rPr>
              <w:t>A</w:t>
            </w:r>
            <w:r w:rsidR="004E592F">
              <w:rPr>
                <w:rFonts w:eastAsia="Times New Roman"/>
                <w:sz w:val="16"/>
                <w:szCs w:val="16"/>
              </w:rPr>
              <w:t xml:space="preserve">ctive </w:t>
            </w:r>
            <w:r>
              <w:rPr>
                <w:rFonts w:eastAsia="Times New Roman"/>
                <w:sz w:val="16"/>
                <w:szCs w:val="16"/>
              </w:rPr>
              <w:t xml:space="preserve">engagement with </w:t>
            </w:r>
            <w:r w:rsidR="00C1527E">
              <w:rPr>
                <w:rFonts w:eastAsia="Times New Roman"/>
                <w:sz w:val="16"/>
                <w:szCs w:val="16"/>
              </w:rPr>
              <w:t>Government of Fiji</w:t>
            </w:r>
            <w:r>
              <w:rPr>
                <w:rFonts w:eastAsia="Times New Roman"/>
                <w:sz w:val="16"/>
                <w:szCs w:val="16"/>
              </w:rPr>
              <w:t xml:space="preserve"> and other partners to develop shared agreement on standards and timeframes.</w:t>
            </w:r>
          </w:p>
        </w:tc>
        <w:tc>
          <w:tcPr>
            <w:tcW w:w="2352" w:type="dxa"/>
          </w:tcPr>
          <w:p w14:paraId="5FFD5B13" w14:textId="77777777" w:rsidR="00340ED1" w:rsidRPr="00340ED1" w:rsidRDefault="00203220" w:rsidP="00D15A00">
            <w:pPr>
              <w:keepLines/>
              <w:spacing w:before="40" w:after="40" w:line="200" w:lineRule="atLeast"/>
              <w:rPr>
                <w:rFonts w:eastAsia="Times New Roman"/>
                <w:sz w:val="16"/>
                <w:szCs w:val="16"/>
              </w:rPr>
            </w:pPr>
            <w:r>
              <w:rPr>
                <w:rFonts w:eastAsia="Times New Roman"/>
                <w:sz w:val="16"/>
                <w:szCs w:val="16"/>
              </w:rPr>
              <w:t>High</w:t>
            </w:r>
          </w:p>
        </w:tc>
      </w:tr>
      <w:tr w:rsidR="004D4292" w:rsidRPr="004D4292" w14:paraId="2AF95602" w14:textId="77777777" w:rsidTr="00340ED1">
        <w:trPr>
          <w:trHeight w:val="60"/>
        </w:trPr>
        <w:tc>
          <w:tcPr>
            <w:tcW w:w="2270" w:type="dxa"/>
          </w:tcPr>
          <w:p w14:paraId="17949776" w14:textId="77777777" w:rsidR="004D4292" w:rsidRDefault="004D4292" w:rsidP="00D15A00">
            <w:pPr>
              <w:keepLines/>
              <w:spacing w:before="40" w:after="40" w:line="200" w:lineRule="atLeast"/>
              <w:rPr>
                <w:rFonts w:eastAsia="Times New Roman"/>
                <w:sz w:val="16"/>
                <w:szCs w:val="16"/>
              </w:rPr>
            </w:pPr>
            <w:r>
              <w:rPr>
                <w:rFonts w:eastAsia="Times New Roman"/>
                <w:sz w:val="16"/>
                <w:szCs w:val="16"/>
              </w:rPr>
              <w:t>Future national disasters</w:t>
            </w:r>
            <w:r w:rsidR="00203220">
              <w:rPr>
                <w:rFonts w:eastAsia="Times New Roman"/>
                <w:sz w:val="16"/>
                <w:szCs w:val="16"/>
              </w:rPr>
              <w:t xml:space="preserve"> hamper recovery efforts.</w:t>
            </w:r>
          </w:p>
        </w:tc>
        <w:tc>
          <w:tcPr>
            <w:tcW w:w="2544" w:type="dxa"/>
          </w:tcPr>
          <w:p w14:paraId="3A833A46" w14:textId="77777777" w:rsidR="004D4292" w:rsidRDefault="004D4292" w:rsidP="0046602A">
            <w:pPr>
              <w:keepLines/>
              <w:spacing w:before="40" w:after="40" w:line="200" w:lineRule="atLeast"/>
              <w:rPr>
                <w:rFonts w:eastAsia="Times New Roman"/>
                <w:sz w:val="16"/>
                <w:szCs w:val="16"/>
              </w:rPr>
            </w:pPr>
            <w:r>
              <w:rPr>
                <w:rFonts w:eastAsia="Times New Roman"/>
                <w:sz w:val="16"/>
                <w:szCs w:val="16"/>
              </w:rPr>
              <w:t xml:space="preserve">Fiji </w:t>
            </w:r>
            <w:r w:rsidR="0046602A">
              <w:rPr>
                <w:rFonts w:eastAsia="Times New Roman"/>
                <w:sz w:val="16"/>
                <w:szCs w:val="16"/>
              </w:rPr>
              <w:t>involvement in</w:t>
            </w:r>
            <w:r>
              <w:rPr>
                <w:rFonts w:eastAsia="Times New Roman"/>
                <w:sz w:val="16"/>
                <w:szCs w:val="16"/>
              </w:rPr>
              <w:t xml:space="preserve"> DFAT</w:t>
            </w:r>
            <w:r w:rsidR="0044265B">
              <w:rPr>
                <w:rFonts w:eastAsia="Times New Roman"/>
                <w:sz w:val="16"/>
                <w:szCs w:val="16"/>
              </w:rPr>
              <w:t>’</w:t>
            </w:r>
            <w:r>
              <w:rPr>
                <w:rFonts w:eastAsia="Times New Roman"/>
                <w:sz w:val="16"/>
                <w:szCs w:val="16"/>
              </w:rPr>
              <w:t>s Disaster Risk Resilience Program</w:t>
            </w:r>
            <w:r w:rsidR="00203220">
              <w:rPr>
                <w:rFonts w:eastAsia="Times New Roman"/>
                <w:sz w:val="16"/>
                <w:szCs w:val="16"/>
              </w:rPr>
              <w:t>.</w:t>
            </w:r>
          </w:p>
        </w:tc>
        <w:tc>
          <w:tcPr>
            <w:tcW w:w="2604" w:type="dxa"/>
          </w:tcPr>
          <w:p w14:paraId="575F4FF1" w14:textId="77777777" w:rsidR="004D4292" w:rsidRPr="00340ED1" w:rsidRDefault="00CC625E" w:rsidP="005519B6">
            <w:pPr>
              <w:keepLines/>
              <w:spacing w:before="40" w:after="40" w:line="200" w:lineRule="atLeast"/>
              <w:rPr>
                <w:rFonts w:eastAsia="Times New Roman"/>
                <w:sz w:val="16"/>
                <w:szCs w:val="16"/>
              </w:rPr>
            </w:pPr>
            <w:r>
              <w:rPr>
                <w:rFonts w:eastAsia="Times New Roman"/>
                <w:sz w:val="16"/>
                <w:szCs w:val="16"/>
              </w:rPr>
              <w:t xml:space="preserve">Australian investments </w:t>
            </w:r>
            <w:r w:rsidR="005519B6">
              <w:rPr>
                <w:rFonts w:eastAsia="Times New Roman"/>
                <w:sz w:val="16"/>
                <w:szCs w:val="16"/>
              </w:rPr>
              <w:t xml:space="preserve">will </w:t>
            </w:r>
            <w:r>
              <w:rPr>
                <w:rFonts w:eastAsia="Times New Roman"/>
                <w:sz w:val="16"/>
                <w:szCs w:val="16"/>
              </w:rPr>
              <w:t xml:space="preserve">focus on building back better following </w:t>
            </w:r>
            <w:r w:rsidR="00C1527E">
              <w:rPr>
                <w:rFonts w:eastAsia="Times New Roman"/>
                <w:sz w:val="16"/>
                <w:szCs w:val="16"/>
              </w:rPr>
              <w:t>TC</w:t>
            </w:r>
            <w:r>
              <w:rPr>
                <w:rFonts w:eastAsia="Times New Roman"/>
                <w:sz w:val="16"/>
                <w:szCs w:val="16"/>
              </w:rPr>
              <w:t xml:space="preserve"> Winston.</w:t>
            </w:r>
          </w:p>
        </w:tc>
        <w:tc>
          <w:tcPr>
            <w:tcW w:w="2352" w:type="dxa"/>
          </w:tcPr>
          <w:p w14:paraId="7E8AB972" w14:textId="77777777" w:rsidR="004D4292" w:rsidRPr="00340ED1" w:rsidRDefault="00CC625E" w:rsidP="00D15A00">
            <w:pPr>
              <w:keepLines/>
              <w:spacing w:before="40" w:after="40" w:line="200" w:lineRule="atLeast"/>
              <w:rPr>
                <w:rFonts w:eastAsia="Times New Roman"/>
                <w:sz w:val="16"/>
                <w:szCs w:val="16"/>
              </w:rPr>
            </w:pPr>
            <w:r>
              <w:rPr>
                <w:rFonts w:eastAsia="Times New Roman"/>
                <w:sz w:val="16"/>
                <w:szCs w:val="16"/>
              </w:rPr>
              <w:t>Medium</w:t>
            </w:r>
          </w:p>
        </w:tc>
      </w:tr>
      <w:tr w:rsidR="004D4292" w:rsidRPr="004D4292" w14:paraId="11AEA26E" w14:textId="77777777" w:rsidTr="00340ED1">
        <w:trPr>
          <w:trHeight w:val="60"/>
        </w:trPr>
        <w:tc>
          <w:tcPr>
            <w:tcW w:w="2270" w:type="dxa"/>
          </w:tcPr>
          <w:p w14:paraId="3A654D7D" w14:textId="77777777" w:rsidR="004D4292" w:rsidRDefault="004D4292" w:rsidP="00D15A00">
            <w:pPr>
              <w:keepLines/>
              <w:spacing w:before="40" w:after="40" w:line="200" w:lineRule="atLeast"/>
              <w:rPr>
                <w:rFonts w:eastAsia="Times New Roman"/>
                <w:sz w:val="16"/>
                <w:szCs w:val="16"/>
              </w:rPr>
            </w:pPr>
            <w:r>
              <w:rPr>
                <w:rFonts w:eastAsia="Times New Roman"/>
                <w:sz w:val="16"/>
                <w:szCs w:val="16"/>
              </w:rPr>
              <w:t>Fiji Program Support Facility implementation delays</w:t>
            </w:r>
          </w:p>
        </w:tc>
        <w:tc>
          <w:tcPr>
            <w:tcW w:w="2544" w:type="dxa"/>
          </w:tcPr>
          <w:p w14:paraId="5B5A882E" w14:textId="77777777" w:rsidR="004D4292" w:rsidRDefault="004D4292" w:rsidP="004D4292">
            <w:pPr>
              <w:keepLines/>
              <w:spacing w:before="40" w:after="40" w:line="200" w:lineRule="atLeast"/>
              <w:rPr>
                <w:rFonts w:eastAsia="Times New Roman"/>
                <w:sz w:val="16"/>
                <w:szCs w:val="16"/>
              </w:rPr>
            </w:pPr>
            <w:r>
              <w:rPr>
                <w:rFonts w:eastAsia="Times New Roman"/>
                <w:sz w:val="16"/>
                <w:szCs w:val="16"/>
              </w:rPr>
              <w:t>Careful planning and contingency options assessed to respond to delays in design, contracting and implementation</w:t>
            </w:r>
          </w:p>
        </w:tc>
        <w:tc>
          <w:tcPr>
            <w:tcW w:w="2604" w:type="dxa"/>
          </w:tcPr>
          <w:p w14:paraId="3B272966" w14:textId="77777777" w:rsidR="004D4292" w:rsidRPr="00340ED1" w:rsidRDefault="0046602A" w:rsidP="004D7638">
            <w:pPr>
              <w:keepLines/>
              <w:spacing w:before="40" w:after="40" w:line="200" w:lineRule="atLeast"/>
              <w:rPr>
                <w:rFonts w:eastAsia="Times New Roman"/>
                <w:sz w:val="16"/>
                <w:szCs w:val="16"/>
              </w:rPr>
            </w:pPr>
            <w:r>
              <w:rPr>
                <w:rFonts w:eastAsia="Times New Roman"/>
                <w:sz w:val="16"/>
                <w:szCs w:val="16"/>
              </w:rPr>
              <w:t>Contingency plans for individual programs are in place should the implementation of the Facility be delayed.</w:t>
            </w:r>
          </w:p>
        </w:tc>
        <w:tc>
          <w:tcPr>
            <w:tcW w:w="2352" w:type="dxa"/>
          </w:tcPr>
          <w:p w14:paraId="686BFBFA" w14:textId="77777777" w:rsidR="004D4292" w:rsidRPr="00340ED1" w:rsidRDefault="003729EE" w:rsidP="00D15A00">
            <w:pPr>
              <w:keepLines/>
              <w:spacing w:before="40" w:after="40" w:line="200" w:lineRule="atLeast"/>
              <w:rPr>
                <w:rFonts w:eastAsia="Times New Roman"/>
                <w:sz w:val="16"/>
                <w:szCs w:val="16"/>
              </w:rPr>
            </w:pPr>
            <w:r>
              <w:rPr>
                <w:rFonts w:eastAsia="Times New Roman"/>
                <w:sz w:val="16"/>
                <w:szCs w:val="16"/>
              </w:rPr>
              <w:t>L</w:t>
            </w:r>
            <w:r w:rsidR="0046602A">
              <w:rPr>
                <w:rFonts w:eastAsia="Times New Roman"/>
                <w:sz w:val="16"/>
                <w:szCs w:val="16"/>
              </w:rPr>
              <w:t>ow</w:t>
            </w:r>
          </w:p>
        </w:tc>
      </w:tr>
    </w:tbl>
    <w:p w14:paraId="739A0C0E" w14:textId="77777777" w:rsidR="002A51CA" w:rsidRPr="002A51CA" w:rsidRDefault="002A51CA" w:rsidP="002A51CA">
      <w:pPr>
        <w:pStyle w:val="Heading2"/>
      </w:pPr>
      <w:r w:rsidRPr="002A51CA">
        <w:t>Management Responses</w:t>
      </w:r>
      <w:r w:rsidRPr="002A51CA">
        <w:tab/>
      </w:r>
      <w:r w:rsidRPr="002A51CA">
        <w:tab/>
      </w:r>
    </w:p>
    <w:p w14:paraId="77CD7AD4" w14:textId="77777777" w:rsidR="00837B56" w:rsidRDefault="002C1564" w:rsidP="002C1564">
      <w:r>
        <w:t>Progress on management responses identified in</w:t>
      </w:r>
      <w:r w:rsidR="001C7863">
        <w:t xml:space="preserve"> the 2014-15</w:t>
      </w:r>
      <w:r>
        <w:t xml:space="preserve"> APPR has been mixed (refer Annex A for detail)</w:t>
      </w:r>
      <w:r w:rsidR="00B22B76">
        <w:t xml:space="preserve">. </w:t>
      </w:r>
      <w:r>
        <w:t>We made good progress in implementing the recommendations to better address gender equality and disability inclusion across the aid program in 2015-16</w:t>
      </w:r>
      <w:r w:rsidR="00B22B76">
        <w:t xml:space="preserve">. </w:t>
      </w:r>
    </w:p>
    <w:p w14:paraId="20EE2010" w14:textId="77777777" w:rsidR="002C1564" w:rsidRDefault="005519B6" w:rsidP="002C1564">
      <w:r>
        <w:t>However, o</w:t>
      </w:r>
      <w:r w:rsidR="002C1564">
        <w:t xml:space="preserve">ur swift and </w:t>
      </w:r>
      <w:r w:rsidR="003F0EB8">
        <w:t>comprehensive</w:t>
      </w:r>
      <w:r w:rsidR="002C1564">
        <w:t xml:space="preserve"> response to TC Winston was resource intensive across </w:t>
      </w:r>
      <w:r w:rsidR="001C7863">
        <w:t xml:space="preserve">DFAT </w:t>
      </w:r>
      <w:r w:rsidR="002C1564">
        <w:t>and particularly the Australia</w:t>
      </w:r>
      <w:r w:rsidR="00007B43">
        <w:t>n</w:t>
      </w:r>
      <w:r w:rsidR="002C1564">
        <w:t xml:space="preserve"> High Commission in Suva. The Government of Fiji also redirected resources to </w:t>
      </w:r>
      <w:r w:rsidR="0044265B">
        <w:t xml:space="preserve">coordinate </w:t>
      </w:r>
      <w:r w:rsidR="002C1564">
        <w:t xml:space="preserve">the humanitarian response. Accordingly, </w:t>
      </w:r>
      <w:r w:rsidR="00E90BAD">
        <w:t>some</w:t>
      </w:r>
      <w:r w:rsidR="0044265B">
        <w:t xml:space="preserve"> </w:t>
      </w:r>
      <w:r w:rsidR="002C1564">
        <w:t>activities were delayed</w:t>
      </w:r>
      <w:r w:rsidR="00837B56">
        <w:t>, such as the development of the Aid Partnership and Performance Assessment Framework</w:t>
      </w:r>
      <w:r>
        <w:t>.</w:t>
      </w:r>
    </w:p>
    <w:p w14:paraId="6A50C1D4" w14:textId="77777777" w:rsidR="002C1564" w:rsidRPr="00995FCC" w:rsidRDefault="002C1564" w:rsidP="002C1564">
      <w:pPr>
        <w:pStyle w:val="BodyText"/>
        <w:rPr>
          <w:rFonts w:asciiTheme="minorHAnsi" w:eastAsiaTheme="minorHAnsi" w:hAnsiTheme="minorHAnsi" w:cstheme="minorBidi"/>
          <w:color w:val="495965" w:themeColor="text2"/>
          <w:sz w:val="22"/>
          <w:szCs w:val="22"/>
          <w:lang w:val="en-GB" w:eastAsia="en-US"/>
        </w:rPr>
      </w:pPr>
      <w:r w:rsidRPr="00995FCC">
        <w:rPr>
          <w:rFonts w:asciiTheme="minorHAnsi" w:eastAsiaTheme="minorHAnsi" w:hAnsiTheme="minorHAnsi" w:cstheme="minorBidi"/>
          <w:color w:val="495965" w:themeColor="text2"/>
          <w:sz w:val="22"/>
          <w:szCs w:val="22"/>
          <w:lang w:val="en-GB" w:eastAsia="en-US"/>
        </w:rPr>
        <w:t>The following management responses are for the forthcoming 12 months</w:t>
      </w:r>
      <w:r w:rsidR="001C7863">
        <w:rPr>
          <w:rFonts w:asciiTheme="minorHAnsi" w:eastAsiaTheme="minorHAnsi" w:hAnsiTheme="minorHAnsi" w:cstheme="minorBidi"/>
          <w:color w:val="495965" w:themeColor="text2"/>
          <w:sz w:val="22"/>
          <w:szCs w:val="22"/>
          <w:lang w:val="en-GB" w:eastAsia="en-US"/>
        </w:rPr>
        <w:t>:</w:t>
      </w:r>
    </w:p>
    <w:p w14:paraId="3728CED0" w14:textId="77777777" w:rsidR="002C1564" w:rsidRDefault="002C1564" w:rsidP="001A4C4E">
      <w:pPr>
        <w:pStyle w:val="ListParagraph"/>
        <w:numPr>
          <w:ilvl w:val="0"/>
          <w:numId w:val="14"/>
        </w:numPr>
        <w:spacing w:line="240" w:lineRule="auto"/>
      </w:pPr>
      <w:r>
        <w:t xml:space="preserve">Effective and timely delivery of Australia’s additional aid to the long term reconstruction of </w:t>
      </w:r>
      <w:r w:rsidRPr="00C12AF0">
        <w:rPr>
          <w:b/>
        </w:rPr>
        <w:t>TC Winston</w:t>
      </w:r>
      <w:r>
        <w:t xml:space="preserve">: </w:t>
      </w:r>
      <w:r w:rsidR="001C7863">
        <w:t>$</w:t>
      </w:r>
      <w:r w:rsidR="00A82407" w:rsidRPr="00A82407">
        <w:t>16</w:t>
      </w:r>
      <w:r w:rsidRPr="00A82407">
        <w:t xml:space="preserve"> million</w:t>
      </w:r>
      <w:r w:rsidR="00A82407" w:rsidRPr="00A82407">
        <w:t xml:space="preserve"> over</w:t>
      </w:r>
      <w:r w:rsidRPr="00A82407">
        <w:t xml:space="preserve"> 2016-17 and 2017-18</w:t>
      </w:r>
      <w:r>
        <w:t xml:space="preserve">. </w:t>
      </w:r>
    </w:p>
    <w:p w14:paraId="3392D183" w14:textId="77777777" w:rsidR="002C1564" w:rsidRDefault="002C1564" w:rsidP="001A4C4E">
      <w:pPr>
        <w:pStyle w:val="ListParagraph"/>
        <w:spacing w:line="240" w:lineRule="auto"/>
      </w:pPr>
    </w:p>
    <w:p w14:paraId="227C612A" w14:textId="77777777" w:rsidR="002C1564" w:rsidRDefault="002C1564" w:rsidP="001A4C4E">
      <w:pPr>
        <w:pStyle w:val="ListParagraph"/>
        <w:numPr>
          <w:ilvl w:val="0"/>
          <w:numId w:val="14"/>
        </w:numPr>
        <w:spacing w:line="240" w:lineRule="auto"/>
      </w:pPr>
      <w:r>
        <w:t xml:space="preserve">Develop an </w:t>
      </w:r>
      <w:r w:rsidRPr="0031092C">
        <w:rPr>
          <w:b/>
        </w:rPr>
        <w:t>Aid Partnership</w:t>
      </w:r>
      <w:r>
        <w:t xml:space="preserve"> with the Government of Fiji after the forthcoming National Development Plan</w:t>
      </w:r>
      <w:r w:rsidR="001C7863">
        <w:t>s are</w:t>
      </w:r>
      <w:r>
        <w:t xml:space="preserve"> released. </w:t>
      </w:r>
    </w:p>
    <w:p w14:paraId="18A8422E" w14:textId="77777777" w:rsidR="002C1564" w:rsidRDefault="002C1564" w:rsidP="001A4C4E">
      <w:pPr>
        <w:pStyle w:val="ListParagraph"/>
        <w:spacing w:line="240" w:lineRule="auto"/>
      </w:pPr>
    </w:p>
    <w:p w14:paraId="09FFA1DA" w14:textId="77777777" w:rsidR="002C1564" w:rsidRDefault="002C1564" w:rsidP="001A4C4E">
      <w:pPr>
        <w:pStyle w:val="ListParagraph"/>
        <w:numPr>
          <w:ilvl w:val="0"/>
          <w:numId w:val="14"/>
        </w:numPr>
        <w:spacing w:line="240" w:lineRule="auto"/>
      </w:pPr>
      <w:r>
        <w:t xml:space="preserve">Using the Aid Partnership as a basis, develop a whole-of-program </w:t>
      </w:r>
      <w:r w:rsidRPr="00E4205D">
        <w:rPr>
          <w:b/>
        </w:rPr>
        <w:t>Performance Assessment Framework</w:t>
      </w:r>
      <w:r>
        <w:t xml:space="preserve"> to monitor the bilateral aid program as well as selected key regional programs.</w:t>
      </w:r>
    </w:p>
    <w:p w14:paraId="2EF0D215" w14:textId="77777777" w:rsidR="002C1564" w:rsidRDefault="002C1564" w:rsidP="001A4C4E">
      <w:pPr>
        <w:pStyle w:val="ListParagraph"/>
        <w:spacing w:line="240" w:lineRule="auto"/>
      </w:pPr>
    </w:p>
    <w:p w14:paraId="67B837B5" w14:textId="77777777" w:rsidR="002C1564" w:rsidRDefault="002C1564" w:rsidP="001A4C4E">
      <w:pPr>
        <w:pStyle w:val="ListParagraph"/>
        <w:numPr>
          <w:ilvl w:val="0"/>
          <w:numId w:val="14"/>
        </w:numPr>
        <w:spacing w:line="240" w:lineRule="auto"/>
      </w:pPr>
      <w:r>
        <w:t xml:space="preserve">Timely establishment of the </w:t>
      </w:r>
      <w:r w:rsidRPr="00E4205D">
        <w:rPr>
          <w:b/>
        </w:rPr>
        <w:t>Fiji Program Support Facility</w:t>
      </w:r>
      <w:r>
        <w:rPr>
          <w:b/>
        </w:rPr>
        <w:t xml:space="preserve"> </w:t>
      </w:r>
      <w:r>
        <w:t>and clarity of new ro</w:t>
      </w:r>
      <w:r w:rsidR="00007B43">
        <w:t>les and responsibilities among</w:t>
      </w:r>
      <w:r>
        <w:t xml:space="preserve"> A</w:t>
      </w:r>
      <w:r w:rsidR="00007B43">
        <w:t xml:space="preserve">ustralian </w:t>
      </w:r>
      <w:r>
        <w:t>H</w:t>
      </w:r>
      <w:r w:rsidR="00007B43">
        <w:t xml:space="preserve">igh </w:t>
      </w:r>
      <w:r>
        <w:t>C</w:t>
      </w:r>
      <w:r w:rsidR="00007B43">
        <w:t>ommission</w:t>
      </w:r>
      <w:r>
        <w:t xml:space="preserve"> staff, the Facility, the Government </w:t>
      </w:r>
      <w:r w:rsidR="007E694C">
        <w:t>of Fiji and other stakeholders</w:t>
      </w:r>
      <w:r w:rsidR="005C1CFC">
        <w:t>.</w:t>
      </w:r>
    </w:p>
    <w:p w14:paraId="213E10EB" w14:textId="77777777" w:rsidR="002C1564" w:rsidRDefault="002C1564" w:rsidP="001A4C4E">
      <w:pPr>
        <w:pStyle w:val="ListParagraph"/>
        <w:spacing w:line="240" w:lineRule="auto"/>
      </w:pPr>
    </w:p>
    <w:p w14:paraId="651BCC01" w14:textId="77777777" w:rsidR="002C1564" w:rsidRDefault="002C1564" w:rsidP="001A4C4E">
      <w:pPr>
        <w:pStyle w:val="ListParagraph"/>
        <w:numPr>
          <w:ilvl w:val="0"/>
          <w:numId w:val="14"/>
        </w:numPr>
        <w:spacing w:line="240" w:lineRule="auto"/>
      </w:pPr>
      <w:r>
        <w:t xml:space="preserve">Transfer the </w:t>
      </w:r>
      <w:r w:rsidRPr="002D7321">
        <w:rPr>
          <w:b/>
        </w:rPr>
        <w:t>scholarships</w:t>
      </w:r>
      <w:r>
        <w:t xml:space="preserve"> administration to the Fiji Program Support Facility</w:t>
      </w:r>
      <w:r w:rsidR="00310D1D">
        <w:t xml:space="preserve"> to enable DFAT to manage strategic directions for the program</w:t>
      </w:r>
      <w:r w:rsidR="00B22B76">
        <w:t xml:space="preserve">. </w:t>
      </w:r>
    </w:p>
    <w:p w14:paraId="766E2AE3" w14:textId="77777777" w:rsidR="002C1564" w:rsidRDefault="002C1564" w:rsidP="001A4C4E">
      <w:pPr>
        <w:pStyle w:val="ListParagraph"/>
        <w:spacing w:line="240" w:lineRule="auto"/>
      </w:pPr>
    </w:p>
    <w:p w14:paraId="7B702F36" w14:textId="77777777" w:rsidR="007E694C" w:rsidRDefault="007E694C" w:rsidP="001A4C4E">
      <w:pPr>
        <w:pStyle w:val="ListParagraph"/>
        <w:numPr>
          <w:ilvl w:val="0"/>
          <w:numId w:val="14"/>
        </w:numPr>
        <w:spacing w:line="240" w:lineRule="auto"/>
      </w:pPr>
      <w:r>
        <w:t xml:space="preserve">Improve </w:t>
      </w:r>
      <w:r w:rsidRPr="00007B43">
        <w:rPr>
          <w:b/>
        </w:rPr>
        <w:t>coordination</w:t>
      </w:r>
      <w:r>
        <w:t xml:space="preserve"> among development partners in the private sector development sector to ensure complementarity of assistance</w:t>
      </w:r>
      <w:r w:rsidR="005C1CFC">
        <w:t>.</w:t>
      </w:r>
      <w:r>
        <w:t xml:space="preserve"> </w:t>
      </w:r>
    </w:p>
    <w:p w14:paraId="19D0286D" w14:textId="77777777" w:rsidR="007E694C" w:rsidRDefault="007E694C" w:rsidP="001A4C4E">
      <w:pPr>
        <w:pStyle w:val="ListParagraph"/>
        <w:spacing w:line="240" w:lineRule="auto"/>
      </w:pPr>
    </w:p>
    <w:p w14:paraId="61AB902C" w14:textId="77777777" w:rsidR="002C1564" w:rsidRPr="008B6495" w:rsidRDefault="002C1564" w:rsidP="001A4C4E">
      <w:pPr>
        <w:pStyle w:val="ListParagraph"/>
        <w:numPr>
          <w:ilvl w:val="0"/>
          <w:numId w:val="14"/>
        </w:numPr>
        <w:spacing w:line="240" w:lineRule="auto"/>
      </w:pPr>
      <w:r>
        <w:t xml:space="preserve">Pending </w:t>
      </w:r>
      <w:r w:rsidRPr="00C12AF0">
        <w:rPr>
          <w:b/>
        </w:rPr>
        <w:t>PACER Plus</w:t>
      </w:r>
      <w:r>
        <w:t xml:space="preserve"> negotiating outcomes, ensure our private sector development programs support </w:t>
      </w:r>
      <w:r w:rsidRPr="008B6495">
        <w:t>Fiji to meet PACER Plus requirements and benefit from the opportunities it presents</w:t>
      </w:r>
      <w:r w:rsidR="005C1CFC">
        <w:t>.</w:t>
      </w:r>
    </w:p>
    <w:p w14:paraId="0DC6D921" w14:textId="77777777" w:rsidR="002C1564" w:rsidRPr="008B6495" w:rsidRDefault="002C1564" w:rsidP="001A4C4E">
      <w:pPr>
        <w:pStyle w:val="ListParagraph"/>
        <w:spacing w:line="240" w:lineRule="auto"/>
      </w:pPr>
    </w:p>
    <w:p w14:paraId="2084851B" w14:textId="77777777" w:rsidR="002C1564" w:rsidRPr="008B6495" w:rsidRDefault="002C1564" w:rsidP="001A4C4E">
      <w:pPr>
        <w:pStyle w:val="ListParagraph"/>
        <w:numPr>
          <w:ilvl w:val="0"/>
          <w:numId w:val="14"/>
        </w:numPr>
        <w:spacing w:line="240" w:lineRule="auto"/>
      </w:pPr>
      <w:r w:rsidRPr="008B6495">
        <w:t xml:space="preserve">Commence discussions with the Government of Fiji regarding conducting an </w:t>
      </w:r>
      <w:r w:rsidRPr="008B6495">
        <w:rPr>
          <w:b/>
        </w:rPr>
        <w:t>Assessment of National Systems</w:t>
      </w:r>
      <w:r w:rsidR="001C18EB">
        <w:rPr>
          <w:b/>
        </w:rPr>
        <w:t xml:space="preserve">, </w:t>
      </w:r>
      <w:r w:rsidR="001C18EB">
        <w:t>a due diligence process to examine p</w:t>
      </w:r>
      <w:r w:rsidRPr="008B6495">
        <w:t>ublic financial management systems</w:t>
      </w:r>
      <w:r w:rsidR="001C18EB">
        <w:t xml:space="preserve"> </w:t>
      </w:r>
      <w:r w:rsidR="00D12866">
        <w:t>that</w:t>
      </w:r>
      <w:r w:rsidR="00837B56">
        <w:t xml:space="preserve"> will enable the aid program to increasingly use government systems. </w:t>
      </w:r>
    </w:p>
    <w:p w14:paraId="16F3268A" w14:textId="77777777" w:rsidR="002C1564" w:rsidRPr="008B6495" w:rsidRDefault="002C1564" w:rsidP="001A4C4E">
      <w:pPr>
        <w:pStyle w:val="ListParagraph"/>
        <w:spacing w:line="240" w:lineRule="auto"/>
        <w:rPr>
          <w:b/>
        </w:rPr>
      </w:pPr>
    </w:p>
    <w:p w14:paraId="091A4BC9" w14:textId="77777777" w:rsidR="002C1564" w:rsidRPr="008B6495" w:rsidRDefault="002C1564" w:rsidP="001A4C4E">
      <w:pPr>
        <w:pStyle w:val="ListParagraph"/>
        <w:numPr>
          <w:ilvl w:val="0"/>
          <w:numId w:val="14"/>
        </w:numPr>
        <w:spacing w:line="240" w:lineRule="auto"/>
      </w:pPr>
      <w:r w:rsidRPr="008B6495">
        <w:t xml:space="preserve">Develop a </w:t>
      </w:r>
      <w:r w:rsidRPr="008B6495">
        <w:rPr>
          <w:b/>
        </w:rPr>
        <w:t>Civil Society Engagement Strategy</w:t>
      </w:r>
      <w:r w:rsidRPr="008B6495">
        <w:t xml:space="preserve"> to further articulate </w:t>
      </w:r>
      <w:r w:rsidR="003F779D" w:rsidRPr="008B6495">
        <w:t>Australia’s</w:t>
      </w:r>
      <w:r w:rsidRPr="008B6495">
        <w:t xml:space="preserve"> engagement with CSOs.</w:t>
      </w:r>
    </w:p>
    <w:p w14:paraId="50DA14B7" w14:textId="77777777" w:rsidR="002C1564" w:rsidRPr="008B6495" w:rsidRDefault="002C1564" w:rsidP="001A4C4E">
      <w:pPr>
        <w:pStyle w:val="ListParagraph"/>
        <w:spacing w:line="240" w:lineRule="auto"/>
      </w:pPr>
    </w:p>
    <w:p w14:paraId="5959A13F" w14:textId="77777777" w:rsidR="00EB6463" w:rsidRPr="008B6495" w:rsidRDefault="008C49FA" w:rsidP="002C1564">
      <w:pPr>
        <w:pStyle w:val="ListParagraph"/>
        <w:numPr>
          <w:ilvl w:val="0"/>
          <w:numId w:val="14"/>
        </w:numPr>
        <w:spacing w:line="240" w:lineRule="auto"/>
      </w:pPr>
      <w:r w:rsidRPr="008B6495">
        <w:t xml:space="preserve">Identify possible </w:t>
      </w:r>
      <w:r w:rsidRPr="008B6495">
        <w:rPr>
          <w:b/>
        </w:rPr>
        <w:t>climate change and resilience activities</w:t>
      </w:r>
      <w:r w:rsidRPr="008B6495">
        <w:t xml:space="preserve"> for future funding and begin mainstreaming climate change </w:t>
      </w:r>
      <w:r w:rsidR="00EB7494">
        <w:t xml:space="preserve">and disaster risk resilience </w:t>
      </w:r>
      <w:r w:rsidRPr="008B6495">
        <w:t xml:space="preserve">into development activities with assistance from the </w:t>
      </w:r>
      <w:r w:rsidRPr="00B20583">
        <w:t>new Support Unit</w:t>
      </w:r>
      <w:r w:rsidRPr="008B6495">
        <w:t xml:space="preserve"> once it has been initiated.</w:t>
      </w:r>
      <w:r w:rsidR="002C1564" w:rsidRPr="008B6495">
        <w:t xml:space="preserve"> </w:t>
      </w:r>
    </w:p>
    <w:p w14:paraId="5E8BD5E3" w14:textId="77777777" w:rsidR="00EB6463" w:rsidRPr="00F7441F" w:rsidRDefault="00EB6463" w:rsidP="004D4292">
      <w:pPr>
        <w:pStyle w:val="ListParagraph"/>
        <w:numPr>
          <w:ilvl w:val="0"/>
          <w:numId w:val="14"/>
        </w:numPr>
        <w:sectPr w:rsidR="00EB6463" w:rsidRPr="00F7441F" w:rsidSect="00C6626C">
          <w:headerReference w:type="default" r:id="rId16"/>
          <w:pgSz w:w="11906" w:h="16838" w:code="9"/>
          <w:pgMar w:top="1527" w:right="1134" w:bottom="851" w:left="1134" w:header="1418" w:footer="567" w:gutter="0"/>
          <w:cols w:space="397"/>
          <w:docGrid w:linePitch="360"/>
        </w:sectPr>
      </w:pPr>
    </w:p>
    <w:p w14:paraId="359943CD" w14:textId="77777777" w:rsidR="00400B0F" w:rsidRPr="00400B0F" w:rsidRDefault="00400B0F" w:rsidP="00400B0F">
      <w:pPr>
        <w:pStyle w:val="Subtitle"/>
        <w:numPr>
          <w:ilvl w:val="0"/>
          <w:numId w:val="0"/>
        </w:numPr>
      </w:pPr>
      <w:r w:rsidRPr="00400B0F">
        <w:t>Annex A - Progress in Addressing Management Responses</w:t>
      </w:r>
    </w:p>
    <w:p w14:paraId="53CADD3F" w14:textId="77777777" w:rsidR="00400B0F" w:rsidRPr="00C61187" w:rsidRDefault="00400B0F" w:rsidP="008C2F58">
      <w:r w:rsidRPr="00C61187">
        <w:t>Describe progress made against management responses in 2014-15 report</w:t>
      </w:r>
    </w:p>
    <w:tbl>
      <w:tblPr>
        <w:tblStyle w:val="APPR"/>
        <w:tblpPr w:leftFromText="180" w:rightFromText="180" w:vertAnchor="text" w:tblpY="1"/>
        <w:tblW w:w="5000" w:type="pct"/>
        <w:tblLayout w:type="fixed"/>
        <w:tblLook w:val="0000" w:firstRow="0" w:lastRow="0" w:firstColumn="0" w:lastColumn="0" w:noHBand="0" w:noVBand="0"/>
      </w:tblPr>
      <w:tblGrid>
        <w:gridCol w:w="6390"/>
        <w:gridCol w:w="1256"/>
        <w:gridCol w:w="6527"/>
      </w:tblGrid>
      <w:tr w:rsidR="00400B0F" w:rsidRPr="00A427C6" w14:paraId="53B4869A" w14:textId="77777777" w:rsidTr="00A427C6">
        <w:trPr>
          <w:cnfStyle w:val="000000010000" w:firstRow="0" w:lastRow="0" w:firstColumn="0" w:lastColumn="0" w:oddVBand="0" w:evenVBand="0" w:oddHBand="0" w:evenHBand="1" w:firstRowFirstColumn="0" w:firstRowLastColumn="0" w:lastRowFirstColumn="0" w:lastRowLastColumn="0"/>
        </w:trPr>
        <w:tc>
          <w:tcPr>
            <w:tcW w:w="6473" w:type="dxa"/>
          </w:tcPr>
          <w:p w14:paraId="2896A88F"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Management responses identified in 2014-15 APPR</w:t>
            </w:r>
            <w:r w:rsidRPr="00A427C6">
              <w:rPr>
                <w:rFonts w:asciiTheme="minorHAnsi" w:eastAsia="Times New Roman" w:hAnsiTheme="minorHAnsi"/>
                <w:b/>
                <w:iCs/>
                <w:szCs w:val="17"/>
                <w:lang w:eastAsia="en-US"/>
              </w:rPr>
              <w:tab/>
            </w:r>
          </w:p>
        </w:tc>
        <w:tc>
          <w:tcPr>
            <w:tcW w:w="1248" w:type="dxa"/>
          </w:tcPr>
          <w:p w14:paraId="36CD344A" w14:textId="77777777" w:rsidR="00400B0F" w:rsidRPr="00A427C6" w:rsidRDefault="00400B0F" w:rsidP="00A427C6">
            <w:pPr>
              <w:keepLines/>
              <w:spacing w:before="80" w:after="80" w:line="200" w:lineRule="atLeast"/>
              <w:jc w:val="center"/>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Rating</w:t>
            </w:r>
          </w:p>
        </w:tc>
        <w:tc>
          <w:tcPr>
            <w:tcW w:w="6612" w:type="dxa"/>
          </w:tcPr>
          <w:p w14:paraId="795BD984" w14:textId="77777777" w:rsidR="00400B0F" w:rsidRPr="00A427C6" w:rsidRDefault="00400B0F" w:rsidP="00066CEF">
            <w:pPr>
              <w:keepLines/>
              <w:spacing w:before="80" w:after="80" w:line="200" w:lineRule="atLeast"/>
              <w:jc w:val="center"/>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Progress made in 2015-16</w:t>
            </w:r>
          </w:p>
        </w:tc>
      </w:tr>
      <w:tr w:rsidR="004F741F" w:rsidRPr="00A427C6" w14:paraId="567F1AB1" w14:textId="77777777" w:rsidTr="00502D22">
        <w:trPr>
          <w:cnfStyle w:val="000000010000" w:firstRow="0" w:lastRow="0" w:firstColumn="0" w:lastColumn="0" w:oddVBand="0" w:evenVBand="0" w:oddHBand="0" w:evenHBand="1" w:firstRowFirstColumn="0" w:firstRowLastColumn="0" w:lastRowFirstColumn="0" w:lastRowLastColumn="0"/>
        </w:trPr>
        <w:tc>
          <w:tcPr>
            <w:tcW w:w="6473" w:type="dxa"/>
          </w:tcPr>
          <w:p w14:paraId="4F9CA048" w14:textId="77777777" w:rsidR="004F741F" w:rsidRPr="003B0793" w:rsidRDefault="004F741F" w:rsidP="004F741F">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Australia will work closely with the Government of Fiji to develop an Aid Partnership outlining timeframes, targets and mutual obligations.</w:t>
            </w:r>
          </w:p>
        </w:tc>
        <w:tc>
          <w:tcPr>
            <w:tcW w:w="1248" w:type="dxa"/>
            <w:shd w:val="clear" w:color="auto" w:fill="FF0000"/>
          </w:tcPr>
          <w:p w14:paraId="46BDB7EF" w14:textId="77777777" w:rsidR="004F741F" w:rsidRPr="003B0793" w:rsidRDefault="004F741F" w:rsidP="004F741F">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 xml:space="preserve">Not </w:t>
            </w:r>
            <w:r w:rsidRPr="003B0793">
              <w:rPr>
                <w:rFonts w:asciiTheme="minorHAnsi" w:eastAsia="Times New Roman" w:hAnsiTheme="minorHAnsi"/>
                <w:iCs/>
                <w:color w:val="FFFFFF" w:themeColor="background1"/>
                <w:szCs w:val="17"/>
                <w:lang w:eastAsia="en-US"/>
              </w:rPr>
              <w:t>Achieved</w:t>
            </w:r>
          </w:p>
        </w:tc>
        <w:tc>
          <w:tcPr>
            <w:tcW w:w="6612" w:type="dxa"/>
          </w:tcPr>
          <w:p w14:paraId="77461421" w14:textId="77777777" w:rsidR="004F741F" w:rsidRPr="003B0793" w:rsidRDefault="002774A2" w:rsidP="001A3DAB">
            <w:pPr>
              <w:keepLines/>
              <w:spacing w:before="40" w:after="40" w:line="200" w:lineRule="atLeast"/>
              <w:rPr>
                <w:rFonts w:asciiTheme="minorHAnsi" w:eastAsia="Times New Roman" w:hAnsiTheme="minorHAnsi"/>
                <w:iCs/>
                <w:color w:val="92D050"/>
                <w:szCs w:val="17"/>
                <w:lang w:eastAsia="en-US"/>
              </w:rPr>
            </w:pPr>
            <w:r w:rsidRPr="002774A2">
              <w:rPr>
                <w:rFonts w:asciiTheme="minorHAnsi" w:eastAsia="Times New Roman" w:hAnsiTheme="minorHAnsi"/>
                <w:iCs/>
                <w:szCs w:val="17"/>
                <w:lang w:eastAsia="en-US"/>
              </w:rPr>
              <w:t xml:space="preserve">The </w:t>
            </w:r>
            <w:r w:rsidR="001A3DAB">
              <w:rPr>
                <w:rFonts w:asciiTheme="minorHAnsi" w:eastAsia="Times New Roman" w:hAnsiTheme="minorHAnsi"/>
                <w:iCs/>
                <w:szCs w:val="17"/>
                <w:lang w:eastAsia="en-US"/>
              </w:rPr>
              <w:t xml:space="preserve">Government </w:t>
            </w:r>
            <w:r w:rsidR="001C7863">
              <w:rPr>
                <w:rFonts w:asciiTheme="minorHAnsi" w:eastAsia="Times New Roman" w:hAnsiTheme="minorHAnsi"/>
                <w:iCs/>
                <w:szCs w:val="17"/>
                <w:lang w:eastAsia="en-US"/>
              </w:rPr>
              <w:t xml:space="preserve">of Fiji </w:t>
            </w:r>
            <w:r w:rsidRPr="002774A2">
              <w:rPr>
                <w:rFonts w:asciiTheme="minorHAnsi" w:eastAsia="Times New Roman" w:hAnsiTheme="minorHAnsi"/>
                <w:iCs/>
                <w:szCs w:val="17"/>
                <w:lang w:eastAsia="en-US"/>
              </w:rPr>
              <w:t>has</w:t>
            </w:r>
            <w:r w:rsidR="00E27BEC">
              <w:rPr>
                <w:rFonts w:asciiTheme="minorHAnsi" w:eastAsia="Times New Roman" w:hAnsiTheme="minorHAnsi"/>
                <w:iCs/>
                <w:szCs w:val="17"/>
                <w:lang w:eastAsia="en-US"/>
              </w:rPr>
              <w:t xml:space="preserve"> </w:t>
            </w:r>
            <w:r w:rsidRPr="002774A2">
              <w:rPr>
                <w:rFonts w:asciiTheme="minorHAnsi" w:eastAsia="Times New Roman" w:hAnsiTheme="minorHAnsi"/>
                <w:iCs/>
                <w:szCs w:val="17"/>
                <w:lang w:eastAsia="en-US"/>
              </w:rPr>
              <w:t xml:space="preserve">delayed the release of </w:t>
            </w:r>
            <w:r w:rsidR="003729EE">
              <w:rPr>
                <w:rFonts w:asciiTheme="minorHAnsi" w:eastAsia="Times New Roman" w:hAnsiTheme="minorHAnsi"/>
                <w:iCs/>
                <w:szCs w:val="17"/>
                <w:lang w:eastAsia="en-US"/>
              </w:rPr>
              <w:t>it</w:t>
            </w:r>
            <w:r w:rsidR="001A3DAB">
              <w:rPr>
                <w:rFonts w:asciiTheme="minorHAnsi" w:eastAsia="Times New Roman" w:hAnsiTheme="minorHAnsi"/>
                <w:iCs/>
                <w:szCs w:val="17"/>
                <w:lang w:eastAsia="en-US"/>
              </w:rPr>
              <w:t>s</w:t>
            </w:r>
            <w:r w:rsidR="001A3DAB" w:rsidRPr="002774A2">
              <w:rPr>
                <w:rFonts w:asciiTheme="minorHAnsi" w:eastAsia="Times New Roman" w:hAnsiTheme="minorHAnsi"/>
                <w:iCs/>
                <w:szCs w:val="17"/>
                <w:lang w:eastAsia="en-US"/>
              </w:rPr>
              <w:t xml:space="preserve"> </w:t>
            </w:r>
            <w:r w:rsidRPr="002774A2">
              <w:rPr>
                <w:rFonts w:asciiTheme="minorHAnsi" w:eastAsia="Times New Roman" w:hAnsiTheme="minorHAnsi"/>
                <w:iCs/>
                <w:szCs w:val="17"/>
                <w:lang w:eastAsia="en-US"/>
              </w:rPr>
              <w:t>National Development Plan</w:t>
            </w:r>
            <w:r w:rsidR="00B22B76">
              <w:rPr>
                <w:rFonts w:asciiTheme="minorHAnsi" w:eastAsia="Times New Roman" w:hAnsiTheme="minorHAnsi"/>
                <w:iCs/>
                <w:szCs w:val="17"/>
                <w:lang w:eastAsia="en-US"/>
              </w:rPr>
              <w:t xml:space="preserve">. </w:t>
            </w:r>
            <w:r w:rsidRPr="002774A2">
              <w:rPr>
                <w:rFonts w:asciiTheme="minorHAnsi" w:eastAsia="Times New Roman" w:hAnsiTheme="minorHAnsi"/>
                <w:iCs/>
                <w:szCs w:val="17"/>
                <w:lang w:eastAsia="en-US"/>
              </w:rPr>
              <w:t xml:space="preserve">Discussions on an Aid Partnership will begin </w:t>
            </w:r>
            <w:r w:rsidR="001A3DAB">
              <w:rPr>
                <w:rFonts w:asciiTheme="minorHAnsi" w:eastAsia="Times New Roman" w:hAnsiTheme="minorHAnsi"/>
                <w:iCs/>
                <w:szCs w:val="17"/>
                <w:lang w:eastAsia="en-US"/>
              </w:rPr>
              <w:t xml:space="preserve">when the National Development Plan is </w:t>
            </w:r>
            <w:r w:rsidRPr="002774A2">
              <w:rPr>
                <w:rFonts w:asciiTheme="minorHAnsi" w:eastAsia="Times New Roman" w:hAnsiTheme="minorHAnsi"/>
                <w:iCs/>
                <w:szCs w:val="17"/>
                <w:lang w:eastAsia="en-US"/>
              </w:rPr>
              <w:t>released.</w:t>
            </w:r>
          </w:p>
        </w:tc>
      </w:tr>
      <w:tr w:rsidR="004F741F" w:rsidRPr="00A427C6" w14:paraId="6308835A" w14:textId="77777777" w:rsidTr="00502D22">
        <w:trPr>
          <w:cnfStyle w:val="000000010000" w:firstRow="0" w:lastRow="0" w:firstColumn="0" w:lastColumn="0" w:oddVBand="0" w:evenVBand="0" w:oddHBand="0" w:evenHBand="1" w:firstRowFirstColumn="0" w:firstRowLastColumn="0" w:lastRowFirstColumn="0" w:lastRowLastColumn="0"/>
        </w:trPr>
        <w:tc>
          <w:tcPr>
            <w:tcW w:w="6473" w:type="dxa"/>
          </w:tcPr>
          <w:p w14:paraId="652FD6EF" w14:textId="77777777" w:rsidR="004F741F" w:rsidRPr="003B0793" w:rsidRDefault="004F741F" w:rsidP="004F741F">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To ensure efficiency in implementation, Australia will develop a program support facility that can support multiple programs, use existing facilities and mechanisms where possible and explore using partner country systems where feasible.</w:t>
            </w:r>
          </w:p>
        </w:tc>
        <w:tc>
          <w:tcPr>
            <w:tcW w:w="1248" w:type="dxa"/>
            <w:shd w:val="clear" w:color="auto" w:fill="FFC000"/>
          </w:tcPr>
          <w:p w14:paraId="77557878" w14:textId="77777777" w:rsidR="004F741F" w:rsidRPr="003B0793" w:rsidRDefault="004F741F" w:rsidP="004F741F">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 xml:space="preserve">Partly </w:t>
            </w:r>
            <w:r w:rsidRPr="003B0793">
              <w:rPr>
                <w:rFonts w:asciiTheme="minorHAnsi" w:eastAsia="Times New Roman" w:hAnsiTheme="minorHAnsi"/>
                <w:iCs/>
                <w:color w:val="FFFFFF" w:themeColor="background1"/>
                <w:szCs w:val="17"/>
                <w:lang w:eastAsia="en-US"/>
              </w:rPr>
              <w:t>Achieved</w:t>
            </w:r>
            <w:r w:rsidRPr="003B0793">
              <w:rPr>
                <w:rFonts w:eastAsia="Times New Roman"/>
                <w:iCs/>
                <w:color w:val="FFFFFF" w:themeColor="background1"/>
                <w:szCs w:val="17"/>
              </w:rPr>
              <w:fldChar w:fldCharType="begin"/>
            </w:r>
            <w:r w:rsidRPr="003B0793">
              <w:rPr>
                <w:rFonts w:asciiTheme="minorHAnsi" w:eastAsia="Times New Roman" w:hAnsiTheme="minorHAnsi"/>
                <w:iCs/>
                <w:color w:val="FFFFFF" w:themeColor="background1"/>
                <w:szCs w:val="17"/>
                <w:lang w:eastAsia="en-US"/>
              </w:rPr>
              <w:instrText xml:space="preserve"> AUTOTEXTLIST  \s "Rating bullet"\t "Right click to choose a rating" \* MERGEFORMAT </w:instrText>
            </w:r>
            <w:r w:rsidRPr="003B0793">
              <w:rPr>
                <w:rFonts w:eastAsia="Times New Roman"/>
                <w:iCs/>
                <w:color w:val="FFFFFF" w:themeColor="background1"/>
                <w:szCs w:val="17"/>
              </w:rPr>
              <w:fldChar w:fldCharType="end"/>
            </w:r>
          </w:p>
        </w:tc>
        <w:tc>
          <w:tcPr>
            <w:tcW w:w="6612" w:type="dxa"/>
          </w:tcPr>
          <w:p w14:paraId="24FB9825" w14:textId="77777777" w:rsidR="004F741F" w:rsidRPr="00A5706B" w:rsidRDefault="004F741F" w:rsidP="001A3DAB">
            <w:pPr>
              <w:keepLines/>
              <w:spacing w:before="40" w:after="40" w:line="200" w:lineRule="atLeast"/>
              <w:rPr>
                <w:rFonts w:asciiTheme="minorHAnsi" w:eastAsia="Times New Roman" w:hAnsiTheme="minorHAnsi"/>
                <w:iCs/>
                <w:szCs w:val="17"/>
                <w:lang w:eastAsia="en-US"/>
              </w:rPr>
            </w:pPr>
            <w:r w:rsidRPr="00A5706B">
              <w:rPr>
                <w:rFonts w:asciiTheme="minorHAnsi" w:eastAsia="Times New Roman" w:hAnsiTheme="minorHAnsi"/>
                <w:iCs/>
                <w:szCs w:val="17"/>
                <w:lang w:eastAsia="en-US"/>
              </w:rPr>
              <w:t xml:space="preserve">The Fiji Program Support Facility </w:t>
            </w:r>
            <w:r w:rsidR="001A3DAB">
              <w:rPr>
                <w:rFonts w:asciiTheme="minorHAnsi" w:eastAsia="Times New Roman" w:hAnsiTheme="minorHAnsi"/>
                <w:iCs/>
                <w:szCs w:val="17"/>
                <w:lang w:eastAsia="en-US"/>
              </w:rPr>
              <w:t xml:space="preserve">has been </w:t>
            </w:r>
            <w:r w:rsidRPr="00A5706B">
              <w:rPr>
                <w:rFonts w:asciiTheme="minorHAnsi" w:eastAsia="Times New Roman" w:hAnsiTheme="minorHAnsi"/>
                <w:iCs/>
                <w:szCs w:val="17"/>
                <w:lang w:eastAsia="en-US"/>
              </w:rPr>
              <w:t>design</w:t>
            </w:r>
            <w:r w:rsidR="001A3DAB">
              <w:rPr>
                <w:rFonts w:asciiTheme="minorHAnsi" w:eastAsia="Times New Roman" w:hAnsiTheme="minorHAnsi"/>
                <w:iCs/>
                <w:szCs w:val="17"/>
                <w:lang w:eastAsia="en-US"/>
              </w:rPr>
              <w:t>ed and is out to</w:t>
            </w:r>
            <w:r w:rsidRPr="00A5706B">
              <w:rPr>
                <w:rFonts w:asciiTheme="minorHAnsi" w:eastAsia="Times New Roman" w:hAnsiTheme="minorHAnsi"/>
                <w:iCs/>
                <w:szCs w:val="17"/>
                <w:lang w:eastAsia="en-US"/>
              </w:rPr>
              <w:t xml:space="preserve"> tender</w:t>
            </w:r>
            <w:r w:rsidR="001A3DAB">
              <w:rPr>
                <w:rFonts w:asciiTheme="minorHAnsi" w:eastAsia="Times New Roman" w:hAnsiTheme="minorHAnsi"/>
                <w:iCs/>
                <w:szCs w:val="17"/>
                <w:lang w:eastAsia="en-US"/>
              </w:rPr>
              <w:t>,</w:t>
            </w:r>
            <w:r w:rsidRPr="00A5706B">
              <w:rPr>
                <w:rFonts w:asciiTheme="minorHAnsi" w:eastAsia="Times New Roman" w:hAnsiTheme="minorHAnsi"/>
                <w:iCs/>
                <w:szCs w:val="17"/>
                <w:lang w:eastAsia="en-US"/>
              </w:rPr>
              <w:t xml:space="preserve"> </w:t>
            </w:r>
            <w:r w:rsidR="001A3DAB">
              <w:rPr>
                <w:rFonts w:asciiTheme="minorHAnsi" w:eastAsia="Times New Roman" w:hAnsiTheme="minorHAnsi"/>
                <w:iCs/>
                <w:szCs w:val="17"/>
                <w:lang w:eastAsia="en-US"/>
              </w:rPr>
              <w:t xml:space="preserve">but this process was </w:t>
            </w:r>
            <w:r w:rsidRPr="00A5706B">
              <w:rPr>
                <w:rFonts w:asciiTheme="minorHAnsi" w:eastAsia="Times New Roman" w:hAnsiTheme="minorHAnsi"/>
                <w:iCs/>
                <w:szCs w:val="17"/>
                <w:lang w:eastAsia="en-US"/>
              </w:rPr>
              <w:t xml:space="preserve">delayed due to </w:t>
            </w:r>
            <w:r w:rsidR="00E90BAD">
              <w:rPr>
                <w:rFonts w:asciiTheme="minorHAnsi" w:eastAsia="Times New Roman" w:hAnsiTheme="minorHAnsi"/>
                <w:iCs/>
                <w:szCs w:val="17"/>
                <w:lang w:eastAsia="en-US"/>
              </w:rPr>
              <w:t xml:space="preserve">the </w:t>
            </w:r>
            <w:r w:rsidR="00C1527E">
              <w:rPr>
                <w:rFonts w:asciiTheme="minorHAnsi" w:eastAsia="Times New Roman" w:hAnsiTheme="minorHAnsi"/>
                <w:iCs/>
                <w:szCs w:val="17"/>
                <w:lang w:eastAsia="en-US"/>
              </w:rPr>
              <w:t>TC</w:t>
            </w:r>
            <w:r w:rsidRPr="00A5706B">
              <w:rPr>
                <w:rFonts w:asciiTheme="minorHAnsi" w:eastAsia="Times New Roman" w:hAnsiTheme="minorHAnsi"/>
                <w:iCs/>
                <w:szCs w:val="17"/>
                <w:lang w:eastAsia="en-US"/>
              </w:rPr>
              <w:t xml:space="preserve"> Winston</w:t>
            </w:r>
            <w:r w:rsidR="00BC3A39">
              <w:rPr>
                <w:rFonts w:asciiTheme="minorHAnsi" w:eastAsia="Times New Roman" w:hAnsiTheme="minorHAnsi"/>
                <w:iCs/>
                <w:szCs w:val="17"/>
                <w:lang w:eastAsia="en-US"/>
              </w:rPr>
              <w:t xml:space="preserve"> response</w:t>
            </w:r>
            <w:r w:rsidR="00B22B76">
              <w:rPr>
                <w:rFonts w:asciiTheme="minorHAnsi" w:eastAsia="Times New Roman" w:hAnsiTheme="minorHAnsi"/>
                <w:iCs/>
                <w:szCs w:val="17"/>
                <w:lang w:eastAsia="en-US"/>
              </w:rPr>
              <w:t xml:space="preserve">. </w:t>
            </w:r>
            <w:r w:rsidRPr="00A5706B">
              <w:rPr>
                <w:rFonts w:asciiTheme="minorHAnsi" w:eastAsia="Times New Roman" w:hAnsiTheme="minorHAnsi"/>
                <w:iCs/>
                <w:szCs w:val="17"/>
                <w:lang w:eastAsia="en-US"/>
              </w:rPr>
              <w:t xml:space="preserve">The Facility will be </w:t>
            </w:r>
            <w:r w:rsidR="00BC3A39">
              <w:rPr>
                <w:rFonts w:asciiTheme="minorHAnsi" w:eastAsia="Times New Roman" w:hAnsiTheme="minorHAnsi"/>
                <w:iCs/>
                <w:szCs w:val="17"/>
                <w:lang w:eastAsia="en-US"/>
              </w:rPr>
              <w:t>established</w:t>
            </w:r>
            <w:r w:rsidRPr="00A5706B">
              <w:rPr>
                <w:rFonts w:asciiTheme="minorHAnsi" w:eastAsia="Times New Roman" w:hAnsiTheme="minorHAnsi"/>
                <w:iCs/>
                <w:szCs w:val="17"/>
                <w:lang w:eastAsia="en-US"/>
              </w:rPr>
              <w:t xml:space="preserve"> in 2016-17.</w:t>
            </w:r>
          </w:p>
        </w:tc>
      </w:tr>
      <w:tr w:rsidR="004F741F" w:rsidRPr="00A427C6" w14:paraId="094198CF" w14:textId="77777777" w:rsidTr="006F7035">
        <w:trPr>
          <w:cnfStyle w:val="000000010000" w:firstRow="0" w:lastRow="0" w:firstColumn="0" w:lastColumn="0" w:oddVBand="0" w:evenVBand="0" w:oddHBand="0" w:evenHBand="1" w:firstRowFirstColumn="0" w:firstRowLastColumn="0" w:lastRowFirstColumn="0" w:lastRowLastColumn="0"/>
        </w:trPr>
        <w:tc>
          <w:tcPr>
            <w:tcW w:w="6473" w:type="dxa"/>
          </w:tcPr>
          <w:p w14:paraId="58A41193" w14:textId="77777777" w:rsidR="004F741F" w:rsidRPr="003B0793" w:rsidRDefault="004F741F" w:rsidP="005F3167">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Australia will continue to encourage greater development partner coordination by the Fiji Government and ensure that collaboration with other development partners is a key feature of all programs</w:t>
            </w:r>
            <w:r w:rsidR="00B22B76">
              <w:rPr>
                <w:rFonts w:asciiTheme="minorHAnsi" w:eastAsia="Times New Roman" w:hAnsiTheme="minorHAnsi"/>
                <w:iCs/>
                <w:szCs w:val="17"/>
                <w:lang w:eastAsia="en-US"/>
              </w:rPr>
              <w:t xml:space="preserve">. </w:t>
            </w:r>
            <w:r>
              <w:rPr>
                <w:rFonts w:asciiTheme="minorHAnsi" w:eastAsia="Times New Roman" w:hAnsiTheme="minorHAnsi"/>
                <w:iCs/>
                <w:szCs w:val="17"/>
                <w:lang w:eastAsia="en-US"/>
              </w:rPr>
              <w:t>Australia will play a leading role in ensuring strong donor coordination and cooperation where appropriate.</w:t>
            </w:r>
          </w:p>
        </w:tc>
        <w:tc>
          <w:tcPr>
            <w:tcW w:w="1248" w:type="dxa"/>
            <w:shd w:val="clear" w:color="auto" w:fill="FFC000"/>
          </w:tcPr>
          <w:p w14:paraId="2943143D" w14:textId="77777777" w:rsidR="004F741F" w:rsidRPr="003B0793" w:rsidRDefault="006F7035" w:rsidP="004F741F">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Partly A</w:t>
            </w:r>
            <w:r w:rsidRPr="00502D22">
              <w:rPr>
                <w:rFonts w:asciiTheme="minorHAnsi" w:eastAsia="Times New Roman" w:hAnsiTheme="minorHAnsi"/>
                <w:iCs/>
                <w:color w:val="FFFFFF" w:themeColor="background1"/>
                <w:szCs w:val="17"/>
                <w:shd w:val="clear" w:color="auto" w:fill="FFC000"/>
                <w:lang w:eastAsia="en-US"/>
              </w:rPr>
              <w:t>chieve</w:t>
            </w:r>
            <w:r w:rsidRPr="003B0793">
              <w:rPr>
                <w:rFonts w:asciiTheme="minorHAnsi" w:eastAsia="Times New Roman" w:hAnsiTheme="minorHAnsi"/>
                <w:iCs/>
                <w:color w:val="FFFFFF" w:themeColor="background1"/>
                <w:szCs w:val="17"/>
                <w:lang w:eastAsia="en-US"/>
              </w:rPr>
              <w:t>d</w:t>
            </w:r>
          </w:p>
        </w:tc>
        <w:tc>
          <w:tcPr>
            <w:tcW w:w="6612" w:type="dxa"/>
          </w:tcPr>
          <w:p w14:paraId="0D6C27DA" w14:textId="77777777" w:rsidR="004F741F" w:rsidRPr="00A5706B" w:rsidRDefault="001A3DAB" w:rsidP="004F741F">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Australia and other donors continue to encourage greater development partner coordination by the Government</w:t>
            </w:r>
            <w:r w:rsidR="001C7863">
              <w:rPr>
                <w:rFonts w:asciiTheme="minorHAnsi" w:eastAsia="Times New Roman" w:hAnsiTheme="minorHAnsi"/>
                <w:iCs/>
                <w:szCs w:val="17"/>
                <w:lang w:eastAsia="en-US"/>
              </w:rPr>
              <w:t xml:space="preserve"> of Fiji</w:t>
            </w:r>
            <w:r>
              <w:rPr>
                <w:rFonts w:asciiTheme="minorHAnsi" w:eastAsia="Times New Roman" w:hAnsiTheme="minorHAnsi"/>
                <w:iCs/>
                <w:szCs w:val="17"/>
                <w:lang w:eastAsia="en-US"/>
              </w:rPr>
              <w:t>. Australia participates in all donor coordination fora run at sectoral levels. Australia also leads in facilitating informal donor partner information-sharing.</w:t>
            </w:r>
          </w:p>
        </w:tc>
      </w:tr>
      <w:tr w:rsidR="004F741F" w:rsidRPr="00A427C6" w14:paraId="73A3D8A7" w14:textId="77777777" w:rsidTr="008A1230">
        <w:trPr>
          <w:cnfStyle w:val="000000010000" w:firstRow="0" w:lastRow="0" w:firstColumn="0" w:lastColumn="0" w:oddVBand="0" w:evenVBand="0" w:oddHBand="0" w:evenHBand="1" w:firstRowFirstColumn="0" w:firstRowLastColumn="0" w:lastRowFirstColumn="0" w:lastRowLastColumn="0"/>
        </w:trPr>
        <w:tc>
          <w:tcPr>
            <w:tcW w:w="6473" w:type="dxa"/>
          </w:tcPr>
          <w:p w14:paraId="34900309" w14:textId="77777777" w:rsidR="004F741F" w:rsidRPr="003B0793" w:rsidRDefault="004F741F" w:rsidP="004F741F">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Australia will continue to work closely with the education sector and support the Ministry of Education through this period of major shifts in policy and personnel</w:t>
            </w:r>
            <w:r w:rsidR="00B22B76">
              <w:rPr>
                <w:rFonts w:asciiTheme="minorHAnsi" w:eastAsia="Times New Roman" w:hAnsiTheme="minorHAnsi"/>
                <w:iCs/>
                <w:szCs w:val="17"/>
                <w:lang w:eastAsia="en-US"/>
              </w:rPr>
              <w:t xml:space="preserve">. </w:t>
            </w:r>
            <w:r>
              <w:rPr>
                <w:rFonts w:asciiTheme="minorHAnsi" w:eastAsia="Times New Roman" w:hAnsiTheme="minorHAnsi"/>
                <w:iCs/>
                <w:szCs w:val="17"/>
                <w:lang w:eastAsia="en-US"/>
              </w:rPr>
              <w:t>AQEP will develop a sustainability strategy to ensure that it</w:t>
            </w:r>
            <w:r w:rsidR="002F1B5A">
              <w:rPr>
                <w:rFonts w:asciiTheme="minorHAnsi" w:eastAsia="Times New Roman" w:hAnsiTheme="minorHAnsi"/>
                <w:iCs/>
                <w:szCs w:val="17"/>
                <w:lang w:eastAsia="en-US"/>
              </w:rPr>
              <w:t>s</w:t>
            </w:r>
            <w:r>
              <w:rPr>
                <w:rFonts w:asciiTheme="minorHAnsi" w:eastAsia="Times New Roman" w:hAnsiTheme="minorHAnsi"/>
                <w:iCs/>
                <w:szCs w:val="17"/>
                <w:lang w:eastAsia="en-US"/>
              </w:rPr>
              <w:t xml:space="preserve"> investments are designed to have lasting impacts.</w:t>
            </w:r>
          </w:p>
        </w:tc>
        <w:tc>
          <w:tcPr>
            <w:tcW w:w="1248" w:type="dxa"/>
            <w:shd w:val="clear" w:color="auto" w:fill="92D050"/>
          </w:tcPr>
          <w:p w14:paraId="13D12ED6" w14:textId="77777777" w:rsidR="004F741F" w:rsidRPr="003B0793" w:rsidRDefault="004071DA" w:rsidP="004F741F">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Achieved</w:t>
            </w:r>
          </w:p>
        </w:tc>
        <w:tc>
          <w:tcPr>
            <w:tcW w:w="6612" w:type="dxa"/>
          </w:tcPr>
          <w:p w14:paraId="5AFE94EB" w14:textId="77777777" w:rsidR="004F741F" w:rsidRPr="00A5706B" w:rsidRDefault="00502D22" w:rsidP="00066293">
            <w:pPr>
              <w:spacing w:line="240" w:lineRule="auto"/>
              <w:rPr>
                <w:rFonts w:asciiTheme="minorHAnsi" w:eastAsia="Times New Roman" w:hAnsiTheme="minorHAnsi"/>
                <w:iCs/>
                <w:szCs w:val="17"/>
                <w:lang w:eastAsia="en-US"/>
              </w:rPr>
            </w:pPr>
            <w:r w:rsidRPr="00502D22">
              <w:rPr>
                <w:rFonts w:asciiTheme="minorHAnsi" w:eastAsia="Times New Roman" w:hAnsiTheme="minorHAnsi"/>
                <w:iCs/>
                <w:szCs w:val="17"/>
                <w:lang w:eastAsia="en-US"/>
              </w:rPr>
              <w:t xml:space="preserve">Sustainability planning has been a priority of AQEP, with recent income-generating activities </w:t>
            </w:r>
            <w:r w:rsidR="002F1B5A" w:rsidRPr="00502D22">
              <w:rPr>
                <w:rFonts w:asciiTheme="minorHAnsi" w:eastAsia="Times New Roman" w:hAnsiTheme="minorHAnsi"/>
                <w:iCs/>
                <w:szCs w:val="17"/>
                <w:lang w:eastAsia="en-US"/>
              </w:rPr>
              <w:t>commence</w:t>
            </w:r>
            <w:r w:rsidR="002F1B5A">
              <w:rPr>
                <w:rFonts w:asciiTheme="minorHAnsi" w:eastAsia="Times New Roman" w:hAnsiTheme="minorHAnsi"/>
                <w:iCs/>
                <w:szCs w:val="17"/>
                <w:lang w:eastAsia="en-US"/>
              </w:rPr>
              <w:t>d</w:t>
            </w:r>
            <w:r w:rsidR="002F1B5A" w:rsidRPr="00502D22">
              <w:rPr>
                <w:rFonts w:asciiTheme="minorHAnsi" w:eastAsia="Times New Roman" w:hAnsiTheme="minorHAnsi"/>
                <w:iCs/>
                <w:szCs w:val="17"/>
                <w:lang w:eastAsia="en-US"/>
              </w:rPr>
              <w:t xml:space="preserve"> </w:t>
            </w:r>
            <w:r w:rsidRPr="00502D22">
              <w:rPr>
                <w:rFonts w:asciiTheme="minorHAnsi" w:eastAsia="Times New Roman" w:hAnsiTheme="minorHAnsi"/>
                <w:iCs/>
                <w:szCs w:val="17"/>
                <w:lang w:eastAsia="en-US"/>
              </w:rPr>
              <w:t>in 62</w:t>
            </w:r>
            <w:r w:rsidR="00045DB2">
              <w:rPr>
                <w:rFonts w:asciiTheme="minorHAnsi" w:eastAsia="Times New Roman" w:hAnsiTheme="minorHAnsi"/>
                <w:iCs/>
                <w:szCs w:val="17"/>
                <w:lang w:eastAsia="en-US"/>
              </w:rPr>
              <w:t xml:space="preserve"> </w:t>
            </w:r>
            <w:r w:rsidR="00293EF2">
              <w:rPr>
                <w:rFonts w:asciiTheme="minorHAnsi" w:eastAsia="Times New Roman" w:hAnsiTheme="minorHAnsi"/>
                <w:iCs/>
                <w:szCs w:val="17"/>
                <w:lang w:eastAsia="en-US"/>
              </w:rPr>
              <w:t>per cent</w:t>
            </w:r>
            <w:r w:rsidRPr="00502D22">
              <w:rPr>
                <w:rFonts w:asciiTheme="minorHAnsi" w:eastAsia="Times New Roman" w:hAnsiTheme="minorHAnsi"/>
                <w:iCs/>
                <w:szCs w:val="17"/>
                <w:lang w:eastAsia="en-US"/>
              </w:rPr>
              <w:t xml:space="preserve"> of AQEP schools, strengthening awareness of M</w:t>
            </w:r>
            <w:r w:rsidR="001C7863">
              <w:rPr>
                <w:rFonts w:asciiTheme="minorHAnsi" w:eastAsia="Times New Roman" w:hAnsiTheme="minorHAnsi"/>
                <w:iCs/>
                <w:szCs w:val="17"/>
                <w:lang w:eastAsia="en-US"/>
              </w:rPr>
              <w:t>oE</w:t>
            </w:r>
            <w:r w:rsidRPr="00502D22">
              <w:rPr>
                <w:rFonts w:asciiTheme="minorHAnsi" w:eastAsia="Times New Roman" w:hAnsiTheme="minorHAnsi"/>
                <w:iCs/>
                <w:szCs w:val="17"/>
                <w:lang w:eastAsia="en-US"/>
              </w:rPr>
              <w:t xml:space="preserve"> policy and practices</w:t>
            </w:r>
            <w:r w:rsidR="00015340">
              <w:rPr>
                <w:rFonts w:asciiTheme="minorHAnsi" w:eastAsia="Times New Roman" w:hAnsiTheme="minorHAnsi"/>
                <w:iCs/>
                <w:szCs w:val="17"/>
                <w:lang w:eastAsia="en-US"/>
              </w:rPr>
              <w:t>.</w:t>
            </w:r>
            <w:r w:rsidR="00CF68F2">
              <w:rPr>
                <w:rFonts w:asciiTheme="minorHAnsi" w:eastAsia="Times New Roman" w:hAnsiTheme="minorHAnsi"/>
                <w:iCs/>
                <w:szCs w:val="17"/>
                <w:lang w:eastAsia="en-US"/>
              </w:rPr>
              <w:t xml:space="preserve"> A </w:t>
            </w:r>
            <w:r w:rsidR="00CF68F2" w:rsidRPr="00D720A1">
              <w:rPr>
                <w:rFonts w:asciiTheme="minorHAnsi" w:eastAsia="Times New Roman" w:hAnsiTheme="minorHAnsi"/>
                <w:iCs/>
                <w:szCs w:val="17"/>
                <w:lang w:eastAsia="en-US"/>
              </w:rPr>
              <w:t xml:space="preserve">Sustainability </w:t>
            </w:r>
            <w:r w:rsidR="00D720A1" w:rsidRPr="00D720A1">
              <w:rPr>
                <w:rFonts w:asciiTheme="minorHAnsi" w:eastAsia="Times New Roman" w:hAnsiTheme="minorHAnsi"/>
                <w:iCs/>
                <w:szCs w:val="17"/>
                <w:lang w:eastAsia="en-US"/>
              </w:rPr>
              <w:t>Steering</w:t>
            </w:r>
            <w:r w:rsidR="00CF68F2" w:rsidRPr="00D720A1">
              <w:rPr>
                <w:rFonts w:asciiTheme="minorHAnsi" w:eastAsia="Times New Roman" w:hAnsiTheme="minorHAnsi"/>
                <w:iCs/>
                <w:szCs w:val="17"/>
                <w:lang w:eastAsia="en-US"/>
              </w:rPr>
              <w:t xml:space="preserve"> Committee</w:t>
            </w:r>
            <w:r w:rsidR="00CF68F2">
              <w:rPr>
                <w:rFonts w:asciiTheme="minorHAnsi" w:eastAsia="Times New Roman" w:hAnsiTheme="minorHAnsi"/>
                <w:iCs/>
                <w:szCs w:val="17"/>
                <w:lang w:eastAsia="en-US"/>
              </w:rPr>
              <w:t xml:space="preserve"> has also been established with the MoE</w:t>
            </w:r>
            <w:r w:rsidR="0007589C">
              <w:rPr>
                <w:rFonts w:asciiTheme="minorHAnsi" w:eastAsia="Times New Roman" w:hAnsiTheme="minorHAnsi"/>
                <w:iCs/>
                <w:szCs w:val="17"/>
                <w:lang w:eastAsia="en-US"/>
              </w:rPr>
              <w:t xml:space="preserve"> to </w:t>
            </w:r>
            <w:r w:rsidR="0072037E">
              <w:rPr>
                <w:rFonts w:asciiTheme="minorHAnsi" w:eastAsia="Times New Roman" w:hAnsiTheme="minorHAnsi"/>
                <w:iCs/>
                <w:szCs w:val="17"/>
                <w:lang w:eastAsia="en-US"/>
              </w:rPr>
              <w:t>phase-over responsibilities and ownership of AQEP best practices and extend to non-AQEP schools</w:t>
            </w:r>
            <w:r w:rsidR="00CF68F2">
              <w:rPr>
                <w:rFonts w:asciiTheme="minorHAnsi" w:eastAsia="Times New Roman" w:hAnsiTheme="minorHAnsi"/>
                <w:iCs/>
                <w:szCs w:val="17"/>
                <w:lang w:eastAsia="en-US"/>
              </w:rPr>
              <w:t>.</w:t>
            </w:r>
            <w:r w:rsidR="008A1230">
              <w:rPr>
                <w:rFonts w:asciiTheme="minorHAnsi" w:eastAsia="Times New Roman" w:hAnsiTheme="minorHAnsi"/>
                <w:iCs/>
                <w:szCs w:val="17"/>
                <w:lang w:eastAsia="en-US"/>
              </w:rPr>
              <w:t xml:space="preserve">  </w:t>
            </w:r>
          </w:p>
        </w:tc>
      </w:tr>
      <w:tr w:rsidR="004F741F" w:rsidRPr="00A427C6" w14:paraId="7687ACA0" w14:textId="77777777" w:rsidTr="00015340">
        <w:trPr>
          <w:cnfStyle w:val="000000010000" w:firstRow="0" w:lastRow="0" w:firstColumn="0" w:lastColumn="0" w:oddVBand="0" w:evenVBand="0" w:oddHBand="0" w:evenHBand="1" w:firstRowFirstColumn="0" w:firstRowLastColumn="0" w:lastRowFirstColumn="0" w:lastRowLastColumn="0"/>
        </w:trPr>
        <w:tc>
          <w:tcPr>
            <w:tcW w:w="6473" w:type="dxa"/>
          </w:tcPr>
          <w:p w14:paraId="6FBB8456" w14:textId="77777777" w:rsidR="004F741F" w:rsidRPr="003B0793" w:rsidRDefault="004F741F" w:rsidP="00822E23">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Australia will improve the efficiency of the Australia Awards Scholarships in Fiji and the Australia Awards Pacific Scholarships by outsourcing scholarships administration to a contractor and focusing staff resources on strategic aid management.</w:t>
            </w:r>
          </w:p>
        </w:tc>
        <w:tc>
          <w:tcPr>
            <w:tcW w:w="1248" w:type="dxa"/>
            <w:shd w:val="clear" w:color="auto" w:fill="FFC000"/>
          </w:tcPr>
          <w:p w14:paraId="07D0D93F" w14:textId="77777777" w:rsidR="004F741F" w:rsidRPr="003B0793" w:rsidRDefault="00822E23" w:rsidP="004F741F">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Partly A</w:t>
            </w:r>
            <w:r w:rsidRPr="00502D22">
              <w:rPr>
                <w:rFonts w:asciiTheme="minorHAnsi" w:eastAsia="Times New Roman" w:hAnsiTheme="minorHAnsi"/>
                <w:iCs/>
                <w:color w:val="FFFFFF" w:themeColor="background1"/>
                <w:szCs w:val="17"/>
                <w:shd w:val="clear" w:color="auto" w:fill="FFC000"/>
                <w:lang w:eastAsia="en-US"/>
              </w:rPr>
              <w:t>chieve</w:t>
            </w:r>
            <w:r w:rsidRPr="003B0793">
              <w:rPr>
                <w:rFonts w:asciiTheme="minorHAnsi" w:eastAsia="Times New Roman" w:hAnsiTheme="minorHAnsi"/>
                <w:iCs/>
                <w:color w:val="FFFFFF" w:themeColor="background1"/>
                <w:szCs w:val="17"/>
                <w:lang w:eastAsia="en-US"/>
              </w:rPr>
              <w:t>d</w:t>
            </w:r>
          </w:p>
        </w:tc>
        <w:tc>
          <w:tcPr>
            <w:tcW w:w="6612" w:type="dxa"/>
          </w:tcPr>
          <w:p w14:paraId="722AFF0E" w14:textId="77777777" w:rsidR="004F741F" w:rsidRPr="00A5706B" w:rsidRDefault="00822E23" w:rsidP="006B24B0">
            <w:pPr>
              <w:keepLines/>
              <w:spacing w:before="40" w:after="40" w:line="200" w:lineRule="atLeast"/>
              <w:rPr>
                <w:rFonts w:asciiTheme="minorHAnsi" w:eastAsia="Times New Roman" w:hAnsiTheme="minorHAnsi"/>
                <w:iCs/>
                <w:szCs w:val="17"/>
                <w:lang w:eastAsia="en-US"/>
              </w:rPr>
            </w:pPr>
            <w:r w:rsidRPr="006B24B0">
              <w:rPr>
                <w:rFonts w:asciiTheme="minorHAnsi" w:eastAsia="Times New Roman" w:hAnsiTheme="minorHAnsi"/>
                <w:iCs/>
                <w:szCs w:val="17"/>
                <w:lang w:eastAsia="en-US"/>
              </w:rPr>
              <w:t xml:space="preserve">A restructure of the Scholarships Program in early 2016 to separate management of scholarships to bilateral and regional teams resulted in </w:t>
            </w:r>
            <w:r w:rsidR="0072037E" w:rsidRPr="006B24B0">
              <w:rPr>
                <w:rFonts w:asciiTheme="minorHAnsi" w:eastAsia="Times New Roman" w:hAnsiTheme="minorHAnsi"/>
                <w:iCs/>
                <w:szCs w:val="17"/>
                <w:lang w:eastAsia="en-US"/>
              </w:rPr>
              <w:t>improved</w:t>
            </w:r>
            <w:r w:rsidR="00007B43" w:rsidRPr="006B24B0">
              <w:rPr>
                <w:rFonts w:asciiTheme="minorHAnsi" w:eastAsia="Times New Roman" w:hAnsiTheme="minorHAnsi"/>
                <w:iCs/>
                <w:szCs w:val="17"/>
                <w:lang w:eastAsia="en-US"/>
              </w:rPr>
              <w:t xml:space="preserve"> </w:t>
            </w:r>
            <w:r w:rsidR="0072037E" w:rsidRPr="006B24B0">
              <w:rPr>
                <w:rFonts w:asciiTheme="minorHAnsi" w:eastAsia="Times New Roman" w:hAnsiTheme="minorHAnsi"/>
                <w:iCs/>
                <w:szCs w:val="17"/>
                <w:lang w:eastAsia="en-US"/>
              </w:rPr>
              <w:t xml:space="preserve">support </w:t>
            </w:r>
            <w:r w:rsidR="00007B43" w:rsidRPr="006B24B0">
              <w:rPr>
                <w:rFonts w:asciiTheme="minorHAnsi" w:eastAsia="Times New Roman" w:hAnsiTheme="minorHAnsi"/>
                <w:iCs/>
                <w:szCs w:val="17"/>
                <w:lang w:eastAsia="en-US"/>
              </w:rPr>
              <w:t>services for</w:t>
            </w:r>
            <w:r w:rsidRPr="006B24B0">
              <w:rPr>
                <w:rFonts w:asciiTheme="minorHAnsi" w:eastAsia="Times New Roman" w:hAnsiTheme="minorHAnsi"/>
                <w:iCs/>
                <w:szCs w:val="17"/>
                <w:lang w:eastAsia="en-US"/>
              </w:rPr>
              <w:t xml:space="preserve"> Fiji</w:t>
            </w:r>
            <w:r w:rsidR="00007B43" w:rsidRPr="006B24B0">
              <w:rPr>
                <w:rFonts w:asciiTheme="minorHAnsi" w:eastAsia="Times New Roman" w:hAnsiTheme="minorHAnsi"/>
                <w:iCs/>
                <w:szCs w:val="17"/>
                <w:lang w:eastAsia="en-US"/>
              </w:rPr>
              <w:t xml:space="preserve"> scholars</w:t>
            </w:r>
            <w:r w:rsidR="0072037E" w:rsidRPr="006B24B0">
              <w:rPr>
                <w:rFonts w:asciiTheme="minorHAnsi" w:eastAsia="Times New Roman" w:hAnsiTheme="minorHAnsi"/>
                <w:iCs/>
                <w:szCs w:val="17"/>
                <w:lang w:eastAsia="en-US"/>
              </w:rPr>
              <w:t xml:space="preserve"> </w:t>
            </w:r>
            <w:r w:rsidR="006B24B0" w:rsidRPr="006B24B0">
              <w:rPr>
                <w:rFonts w:asciiTheme="minorHAnsi" w:eastAsia="Times New Roman" w:hAnsiTheme="minorHAnsi"/>
                <w:iCs/>
                <w:szCs w:val="17"/>
                <w:lang w:eastAsia="en-US"/>
              </w:rPr>
              <w:t>and alumni</w:t>
            </w:r>
            <w:r w:rsidR="00B22B76" w:rsidRPr="006B24B0">
              <w:rPr>
                <w:rFonts w:asciiTheme="minorHAnsi" w:eastAsia="Times New Roman" w:hAnsiTheme="minorHAnsi"/>
                <w:iCs/>
                <w:szCs w:val="17"/>
                <w:lang w:eastAsia="en-US"/>
              </w:rPr>
              <w:t>.</w:t>
            </w:r>
            <w:r w:rsidRPr="006B24B0">
              <w:rPr>
                <w:rFonts w:asciiTheme="minorHAnsi" w:eastAsia="Times New Roman" w:hAnsiTheme="minorHAnsi"/>
                <w:iCs/>
                <w:szCs w:val="17"/>
                <w:lang w:eastAsia="en-US"/>
              </w:rPr>
              <w:t xml:space="preserve"> The administration of the AAS and AAPS will move to the Fiji Program Support Facility</w:t>
            </w:r>
            <w:r w:rsidR="00007B43" w:rsidRPr="006B24B0">
              <w:rPr>
                <w:rFonts w:asciiTheme="minorHAnsi" w:eastAsia="Times New Roman" w:hAnsiTheme="minorHAnsi"/>
                <w:iCs/>
                <w:szCs w:val="17"/>
                <w:lang w:eastAsia="en-US"/>
              </w:rPr>
              <w:t xml:space="preserve"> in</w:t>
            </w:r>
            <w:r w:rsidRPr="006B24B0">
              <w:rPr>
                <w:rFonts w:asciiTheme="minorHAnsi" w:eastAsia="Times New Roman" w:hAnsiTheme="minorHAnsi"/>
                <w:iCs/>
                <w:szCs w:val="17"/>
                <w:lang w:eastAsia="en-US"/>
              </w:rPr>
              <w:t xml:space="preserve"> 2016-17</w:t>
            </w:r>
            <w:r w:rsidR="00B22B76" w:rsidRPr="006B24B0">
              <w:rPr>
                <w:rFonts w:asciiTheme="minorHAnsi" w:eastAsia="Times New Roman" w:hAnsiTheme="minorHAnsi"/>
                <w:iCs/>
                <w:szCs w:val="17"/>
                <w:lang w:eastAsia="en-US"/>
              </w:rPr>
              <w:t>.</w:t>
            </w:r>
            <w:r w:rsidR="00B22B76">
              <w:rPr>
                <w:rFonts w:asciiTheme="minorHAnsi" w:eastAsia="Times New Roman" w:hAnsiTheme="minorHAnsi"/>
                <w:iCs/>
                <w:szCs w:val="17"/>
                <w:lang w:eastAsia="en-US"/>
              </w:rPr>
              <w:t xml:space="preserve"> </w:t>
            </w:r>
          </w:p>
        </w:tc>
      </w:tr>
      <w:tr w:rsidR="004F741F" w:rsidRPr="00A427C6" w14:paraId="2BB6034B" w14:textId="77777777" w:rsidTr="00502D22">
        <w:trPr>
          <w:cnfStyle w:val="000000010000" w:firstRow="0" w:lastRow="0" w:firstColumn="0" w:lastColumn="0" w:oddVBand="0" w:evenVBand="0" w:oddHBand="0" w:evenHBand="1" w:firstRowFirstColumn="0" w:firstRowLastColumn="0" w:lastRowFirstColumn="0" w:lastRowLastColumn="0"/>
        </w:trPr>
        <w:tc>
          <w:tcPr>
            <w:tcW w:w="6473" w:type="dxa"/>
          </w:tcPr>
          <w:p w14:paraId="4DF66FBC" w14:textId="77777777" w:rsidR="004F741F" w:rsidRPr="00A439CB" w:rsidRDefault="004F741F" w:rsidP="004F741F">
            <w:pPr>
              <w:keepLines/>
              <w:spacing w:before="40" w:after="40" w:line="200" w:lineRule="atLeast"/>
              <w:rPr>
                <w:rFonts w:asciiTheme="minorHAnsi" w:eastAsia="Times New Roman" w:hAnsiTheme="minorHAnsi"/>
                <w:iCs/>
                <w:szCs w:val="17"/>
                <w:lang w:eastAsia="en-US"/>
              </w:rPr>
            </w:pPr>
            <w:r w:rsidRPr="00A439CB">
              <w:rPr>
                <w:rFonts w:asciiTheme="minorHAnsi" w:eastAsia="Times New Roman" w:hAnsiTheme="minorHAnsi"/>
                <w:iCs/>
                <w:szCs w:val="17"/>
                <w:lang w:eastAsia="en-US"/>
              </w:rPr>
              <w:t>Australia will improve its engagements with Disabled Peoples Organisations to ensure more effective disability inclusion across all programs in Fiji.</w:t>
            </w:r>
          </w:p>
        </w:tc>
        <w:tc>
          <w:tcPr>
            <w:tcW w:w="1248" w:type="dxa"/>
            <w:shd w:val="clear" w:color="auto" w:fill="92D050"/>
          </w:tcPr>
          <w:p w14:paraId="022951A6" w14:textId="77777777" w:rsidR="004F741F" w:rsidRPr="003B0793" w:rsidRDefault="004F741F" w:rsidP="004F741F">
            <w:pPr>
              <w:keepLines/>
              <w:spacing w:before="40" w:after="40" w:line="200" w:lineRule="atLeast"/>
              <w:jc w:val="center"/>
              <w:rPr>
                <w:rFonts w:eastAsia="Times New Roman"/>
                <w:iCs/>
                <w:color w:val="FFFFFF" w:themeColor="background1"/>
                <w:szCs w:val="17"/>
              </w:rPr>
            </w:pPr>
            <w:r>
              <w:rPr>
                <w:rFonts w:eastAsia="Times New Roman"/>
                <w:iCs/>
                <w:color w:val="FFFFFF" w:themeColor="background1"/>
                <w:szCs w:val="17"/>
              </w:rPr>
              <w:t>Achieved</w:t>
            </w:r>
          </w:p>
        </w:tc>
        <w:tc>
          <w:tcPr>
            <w:tcW w:w="6612" w:type="dxa"/>
          </w:tcPr>
          <w:p w14:paraId="062DF253" w14:textId="77777777" w:rsidR="004F741F" w:rsidRPr="00A5706B" w:rsidRDefault="00B65524" w:rsidP="00B65524">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 xml:space="preserve">Through FCDP multiple grants have been issued to Disabled Peoples Organisations and local </w:t>
            </w:r>
            <w:r w:rsidR="00896D7E">
              <w:rPr>
                <w:rFonts w:asciiTheme="minorHAnsi" w:eastAsia="Times New Roman" w:hAnsiTheme="minorHAnsi"/>
                <w:iCs/>
                <w:szCs w:val="17"/>
                <w:lang w:eastAsia="en-US"/>
              </w:rPr>
              <w:t>C</w:t>
            </w:r>
            <w:r w:rsidR="0049626D">
              <w:rPr>
                <w:rFonts w:asciiTheme="minorHAnsi" w:eastAsia="Times New Roman" w:hAnsiTheme="minorHAnsi"/>
                <w:iCs/>
                <w:szCs w:val="17"/>
                <w:lang w:eastAsia="en-US"/>
              </w:rPr>
              <w:t>SO</w:t>
            </w:r>
            <w:r>
              <w:rPr>
                <w:rFonts w:asciiTheme="minorHAnsi" w:eastAsia="Times New Roman" w:hAnsiTheme="minorHAnsi"/>
                <w:iCs/>
                <w:szCs w:val="17"/>
                <w:lang w:eastAsia="en-US"/>
              </w:rPr>
              <w:t>s to contribute to people living with disabilities leading more independent and meaningful lives.</w:t>
            </w:r>
            <w:r w:rsidR="00896D7E">
              <w:rPr>
                <w:rFonts w:asciiTheme="minorHAnsi" w:eastAsia="Times New Roman" w:hAnsiTheme="minorHAnsi"/>
                <w:iCs/>
                <w:szCs w:val="17"/>
                <w:lang w:eastAsia="en-US"/>
              </w:rPr>
              <w:t xml:space="preserve"> </w:t>
            </w:r>
            <w:r w:rsidR="00EA6A53">
              <w:rPr>
                <w:rFonts w:asciiTheme="minorHAnsi" w:eastAsia="Times New Roman" w:hAnsiTheme="minorHAnsi"/>
                <w:iCs/>
                <w:szCs w:val="17"/>
                <w:lang w:eastAsia="en-US"/>
              </w:rPr>
              <w:t>Twenty-three</w:t>
            </w:r>
            <w:r w:rsidR="0049626D">
              <w:rPr>
                <w:rFonts w:asciiTheme="minorHAnsi" w:eastAsia="Times New Roman" w:hAnsiTheme="minorHAnsi"/>
                <w:iCs/>
                <w:szCs w:val="17"/>
                <w:lang w:eastAsia="en-US"/>
              </w:rPr>
              <w:t xml:space="preserve"> </w:t>
            </w:r>
            <w:r w:rsidR="00896D7E">
              <w:rPr>
                <w:rFonts w:asciiTheme="minorHAnsi" w:eastAsia="Times New Roman" w:hAnsiTheme="minorHAnsi"/>
                <w:iCs/>
                <w:szCs w:val="17"/>
                <w:lang w:eastAsia="en-US"/>
              </w:rPr>
              <w:t xml:space="preserve">CSOs have also received training and mentoring to strengthen organisational practices and deliver disability inclusive development and reporting. </w:t>
            </w:r>
          </w:p>
        </w:tc>
      </w:tr>
      <w:tr w:rsidR="004F741F" w:rsidRPr="00A427C6" w14:paraId="4B409A41" w14:textId="77777777" w:rsidTr="00502D22">
        <w:trPr>
          <w:cnfStyle w:val="000000010000" w:firstRow="0" w:lastRow="0" w:firstColumn="0" w:lastColumn="0" w:oddVBand="0" w:evenVBand="0" w:oddHBand="0" w:evenHBand="1" w:firstRowFirstColumn="0" w:firstRowLastColumn="0" w:lastRowFirstColumn="0" w:lastRowLastColumn="0"/>
        </w:trPr>
        <w:tc>
          <w:tcPr>
            <w:tcW w:w="6473" w:type="dxa"/>
          </w:tcPr>
          <w:p w14:paraId="00A91401" w14:textId="77777777" w:rsidR="004F741F" w:rsidRPr="00A439CB" w:rsidRDefault="004F741F" w:rsidP="004F741F">
            <w:pPr>
              <w:keepLines/>
              <w:spacing w:before="40" w:after="40" w:line="200" w:lineRule="atLeast"/>
              <w:rPr>
                <w:rFonts w:asciiTheme="minorHAnsi" w:eastAsia="Times New Roman" w:hAnsiTheme="minorHAnsi"/>
                <w:iCs/>
                <w:szCs w:val="17"/>
                <w:lang w:eastAsia="en-US"/>
              </w:rPr>
            </w:pPr>
            <w:r w:rsidRPr="00A439CB">
              <w:rPr>
                <w:rFonts w:asciiTheme="minorHAnsi" w:eastAsia="Times New Roman" w:hAnsiTheme="minorHAnsi"/>
                <w:iCs/>
                <w:szCs w:val="17"/>
                <w:lang w:eastAsia="en-US"/>
              </w:rPr>
              <w:t>Australia will ensure that the Pacific Women Fiji program is effective by updating the Fiji Country Plan, designing a robust monitoring and evaluation framework and drawing on the services provided by the Pacific Women Support Unit to enable timely implementation and achievement of results.</w:t>
            </w:r>
          </w:p>
        </w:tc>
        <w:tc>
          <w:tcPr>
            <w:tcW w:w="1248" w:type="dxa"/>
            <w:shd w:val="clear" w:color="auto" w:fill="92D050"/>
          </w:tcPr>
          <w:p w14:paraId="717124B1" w14:textId="77777777" w:rsidR="004F741F" w:rsidRPr="003B0793" w:rsidRDefault="004F741F" w:rsidP="004F741F">
            <w:pPr>
              <w:keepLines/>
              <w:spacing w:before="40" w:after="40" w:line="200" w:lineRule="atLeast"/>
              <w:jc w:val="center"/>
              <w:rPr>
                <w:rFonts w:eastAsia="Times New Roman"/>
                <w:iCs/>
                <w:color w:val="FFFFFF" w:themeColor="background1"/>
                <w:szCs w:val="17"/>
              </w:rPr>
            </w:pPr>
            <w:r>
              <w:rPr>
                <w:rFonts w:eastAsia="Times New Roman"/>
                <w:iCs/>
                <w:color w:val="FFFFFF" w:themeColor="background1"/>
                <w:szCs w:val="17"/>
              </w:rPr>
              <w:t>Achieved</w:t>
            </w:r>
          </w:p>
        </w:tc>
        <w:tc>
          <w:tcPr>
            <w:tcW w:w="6612" w:type="dxa"/>
          </w:tcPr>
          <w:p w14:paraId="1C9996F3" w14:textId="77777777" w:rsidR="004F741F" w:rsidRPr="00A5706B" w:rsidRDefault="00ED0EFA" w:rsidP="00007B43">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 xml:space="preserve">Utilising the services of the Pacific Women Support Unit, a monitoring and evaluation framework was developed in 2015. The Fiji </w:t>
            </w:r>
            <w:r w:rsidR="00007B43">
              <w:rPr>
                <w:rFonts w:asciiTheme="minorHAnsi" w:eastAsia="Times New Roman" w:hAnsiTheme="minorHAnsi"/>
                <w:iCs/>
                <w:szCs w:val="17"/>
                <w:lang w:eastAsia="en-US"/>
              </w:rPr>
              <w:t>C</w:t>
            </w:r>
            <w:r>
              <w:rPr>
                <w:rFonts w:asciiTheme="minorHAnsi" w:eastAsia="Times New Roman" w:hAnsiTheme="minorHAnsi"/>
                <w:iCs/>
                <w:szCs w:val="17"/>
                <w:lang w:eastAsia="en-US"/>
              </w:rPr>
              <w:t xml:space="preserve">ountry </w:t>
            </w:r>
            <w:r w:rsidR="00007B43">
              <w:rPr>
                <w:rFonts w:asciiTheme="minorHAnsi" w:eastAsia="Times New Roman" w:hAnsiTheme="minorHAnsi"/>
                <w:iCs/>
                <w:szCs w:val="17"/>
                <w:lang w:eastAsia="en-US"/>
              </w:rPr>
              <w:t>p</w:t>
            </w:r>
            <w:r>
              <w:rPr>
                <w:rFonts w:asciiTheme="minorHAnsi" w:eastAsia="Times New Roman" w:hAnsiTheme="minorHAnsi"/>
                <w:iCs/>
                <w:szCs w:val="17"/>
                <w:lang w:eastAsia="en-US"/>
              </w:rPr>
              <w:t xml:space="preserve">lan was updated in 2016 to reflect engagement with the Fiji Ministry of Women, Children and Poverty Alleviation and support the implementation of the Fiji National Gender Policy. The Fiji </w:t>
            </w:r>
            <w:r w:rsidR="00007B43">
              <w:rPr>
                <w:rFonts w:asciiTheme="minorHAnsi" w:eastAsia="Times New Roman" w:hAnsiTheme="minorHAnsi"/>
                <w:iCs/>
                <w:szCs w:val="17"/>
                <w:lang w:eastAsia="en-US"/>
              </w:rPr>
              <w:t>C</w:t>
            </w:r>
            <w:r>
              <w:rPr>
                <w:rFonts w:asciiTheme="minorHAnsi" w:eastAsia="Times New Roman" w:hAnsiTheme="minorHAnsi"/>
                <w:iCs/>
                <w:szCs w:val="17"/>
                <w:lang w:eastAsia="en-US"/>
              </w:rPr>
              <w:t xml:space="preserve">ountry </w:t>
            </w:r>
            <w:r w:rsidR="00007B43">
              <w:rPr>
                <w:rFonts w:asciiTheme="minorHAnsi" w:eastAsia="Times New Roman" w:hAnsiTheme="minorHAnsi"/>
                <w:iCs/>
                <w:szCs w:val="17"/>
                <w:lang w:eastAsia="en-US"/>
              </w:rPr>
              <w:t>p</w:t>
            </w:r>
            <w:r>
              <w:rPr>
                <w:rFonts w:asciiTheme="minorHAnsi" w:eastAsia="Times New Roman" w:hAnsiTheme="minorHAnsi"/>
                <w:iCs/>
                <w:szCs w:val="17"/>
                <w:lang w:eastAsia="en-US"/>
              </w:rPr>
              <w:t xml:space="preserve">lan and monitoring and evaluation framework articulate the strategic direction of Pacific Women and how performance will be measured. </w:t>
            </w:r>
          </w:p>
        </w:tc>
      </w:tr>
    </w:tbl>
    <w:p w14:paraId="086A8F60"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sz w:val="16"/>
          <w:szCs w:val="14"/>
        </w:rPr>
        <w:t xml:space="preserve">Note: </w:t>
      </w:r>
    </w:p>
    <w:p w14:paraId="7B0B0E98"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72AF2F"/>
          <w:sz w:val="16"/>
          <w:szCs w:val="14"/>
        </w:rPr>
        <w:sym w:font="Webdings" w:char="F067"/>
      </w:r>
      <w:r w:rsidRPr="00A427C6">
        <w:rPr>
          <w:rFonts w:eastAsia="Times New Roman"/>
          <w:b/>
          <w:sz w:val="16"/>
          <w:szCs w:val="14"/>
        </w:rPr>
        <w:t> </w:t>
      </w:r>
      <w:r w:rsidRPr="00A427C6">
        <w:rPr>
          <w:rFonts w:eastAsia="Times New Roman"/>
          <w:b/>
          <w:sz w:val="16"/>
          <w:szCs w:val="14"/>
        </w:rPr>
        <w:t xml:space="preserve"> Achieved</w:t>
      </w:r>
      <w:r w:rsidR="00B22B76">
        <w:rPr>
          <w:rFonts w:eastAsia="Times New Roman"/>
          <w:b/>
          <w:sz w:val="16"/>
          <w:szCs w:val="14"/>
        </w:rPr>
        <w:t xml:space="preserve">. </w:t>
      </w:r>
      <w:r w:rsidRPr="00A427C6">
        <w:rPr>
          <w:rFonts w:eastAsia="Times New Roman"/>
          <w:b/>
          <w:sz w:val="16"/>
          <w:szCs w:val="14"/>
        </w:rPr>
        <w:t xml:space="preserve">Significant progress has been made in addressing the issue </w:t>
      </w:r>
    </w:p>
    <w:p w14:paraId="723BCA50"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E36C0A"/>
          <w:sz w:val="16"/>
          <w:szCs w:val="14"/>
        </w:rPr>
        <w:sym w:font="Webdings" w:char="F067"/>
      </w:r>
      <w:r w:rsidRPr="00A427C6">
        <w:rPr>
          <w:rFonts w:eastAsia="Times New Roman"/>
          <w:b/>
          <w:sz w:val="16"/>
          <w:szCs w:val="14"/>
        </w:rPr>
        <w:t> </w:t>
      </w:r>
      <w:r w:rsidRPr="00A427C6">
        <w:rPr>
          <w:rFonts w:eastAsia="Times New Roman"/>
          <w:b/>
          <w:sz w:val="16"/>
          <w:szCs w:val="14"/>
        </w:rPr>
        <w:t xml:space="preserve"> Partly achieved</w:t>
      </w:r>
      <w:r w:rsidR="00B22B76">
        <w:rPr>
          <w:rFonts w:eastAsia="Times New Roman"/>
          <w:b/>
          <w:sz w:val="16"/>
          <w:szCs w:val="14"/>
        </w:rPr>
        <w:t xml:space="preserve">. </w:t>
      </w:r>
      <w:r w:rsidRPr="00A427C6">
        <w:rPr>
          <w:rFonts w:eastAsia="Times New Roman"/>
          <w:b/>
          <w:sz w:val="16"/>
          <w:szCs w:val="14"/>
        </w:rPr>
        <w:t xml:space="preserve">Some progress has been made in addressing the issue, but the issue has not been resolved </w:t>
      </w:r>
    </w:p>
    <w:p w14:paraId="7ACD4AE2"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FF0000"/>
          <w:sz w:val="16"/>
          <w:szCs w:val="14"/>
        </w:rPr>
        <w:sym w:font="Webdings" w:char="F067"/>
      </w:r>
      <w:r w:rsidRPr="00A427C6">
        <w:rPr>
          <w:rFonts w:eastAsia="Times New Roman"/>
          <w:b/>
          <w:sz w:val="16"/>
          <w:szCs w:val="14"/>
        </w:rPr>
        <w:t> </w:t>
      </w:r>
      <w:r w:rsidRPr="00A427C6">
        <w:rPr>
          <w:rFonts w:eastAsia="Times New Roman"/>
          <w:b/>
          <w:sz w:val="16"/>
          <w:szCs w:val="14"/>
        </w:rPr>
        <w:t xml:space="preserve"> Not achieved. Progress in addressing the issue has been significantly below expectations</w:t>
      </w:r>
    </w:p>
    <w:p w14:paraId="30BEA8A1" w14:textId="77777777" w:rsidR="00400B0F" w:rsidRPr="00A427C6" w:rsidRDefault="00400B0F" w:rsidP="00400B0F">
      <w:pPr>
        <w:spacing w:after="160" w:line="280" w:lineRule="exact"/>
        <w:rPr>
          <w:rFonts w:eastAsia="Times New Roman"/>
          <w:sz w:val="21"/>
        </w:rPr>
      </w:pPr>
    </w:p>
    <w:p w14:paraId="1D57EAF4" w14:textId="77777777" w:rsidR="00400B0F" w:rsidRPr="00C61187" w:rsidRDefault="00400B0F" w:rsidP="00400B0F">
      <w:pPr>
        <w:spacing w:after="200" w:line="276" w:lineRule="auto"/>
        <w:rPr>
          <w:rFonts w:ascii="Franklin Gothic Book" w:hAnsi="Franklin Gothic Book"/>
          <w:sz w:val="21"/>
        </w:rPr>
      </w:pPr>
    </w:p>
    <w:p w14:paraId="00F127FB" w14:textId="77777777" w:rsidR="00400B0F" w:rsidRPr="00400B0F" w:rsidRDefault="002A51CA" w:rsidP="00400B0F">
      <w:pPr>
        <w:pStyle w:val="Subtitle"/>
        <w:numPr>
          <w:ilvl w:val="0"/>
          <w:numId w:val="0"/>
        </w:numPr>
      </w:pPr>
      <w:bookmarkStart w:id="0" w:name="_GoBack"/>
      <w:bookmarkEnd w:id="0"/>
      <w:r w:rsidRPr="00C61187">
        <w:rPr>
          <w:rFonts w:ascii="Franklin Gothic Book" w:eastAsia="Times New Roman" w:hAnsi="Franklin Gothic Book"/>
          <w:sz w:val="21"/>
        </w:rPr>
        <w:t xml:space="preserve"> </w:t>
      </w:r>
      <w:r w:rsidR="00400B0F" w:rsidRPr="00400B0F">
        <w:t>Annex B - Progress towards Performance Benchmarks in 2015-16</w:t>
      </w:r>
    </w:p>
    <w:tbl>
      <w:tblPr>
        <w:tblStyle w:val="DFATTable"/>
        <w:tblW w:w="5000" w:type="pct"/>
        <w:tblLook w:val="04A0" w:firstRow="1" w:lastRow="0" w:firstColumn="1" w:lastColumn="0" w:noHBand="0" w:noVBand="1"/>
      </w:tblPr>
      <w:tblGrid>
        <w:gridCol w:w="1783"/>
        <w:gridCol w:w="2514"/>
        <w:gridCol w:w="967"/>
        <w:gridCol w:w="1219"/>
        <w:gridCol w:w="7690"/>
      </w:tblGrid>
      <w:tr w:rsidR="00DA28C5" w:rsidRPr="00A427C6" w14:paraId="14D01264" w14:textId="77777777" w:rsidTr="00FD16CA">
        <w:trPr>
          <w:tblHeader/>
        </w:trPr>
        <w:tc>
          <w:tcPr>
            <w:tcW w:w="629" w:type="pct"/>
            <w:tcMar>
              <w:top w:w="57" w:type="dxa"/>
              <w:bottom w:w="57" w:type="dxa"/>
            </w:tcMar>
          </w:tcPr>
          <w:p w14:paraId="3E978626" w14:textId="77777777" w:rsidR="00DA28C5" w:rsidRPr="00A427C6" w:rsidRDefault="00DA28C5"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Aid objective</w:t>
            </w:r>
          </w:p>
        </w:tc>
        <w:tc>
          <w:tcPr>
            <w:tcW w:w="887" w:type="pct"/>
          </w:tcPr>
          <w:p w14:paraId="560241F6" w14:textId="77777777" w:rsidR="00DA28C5" w:rsidRPr="00A427C6" w:rsidRDefault="00DA28C5"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 xml:space="preserve">2014-15 benchmark </w:t>
            </w:r>
          </w:p>
        </w:tc>
        <w:tc>
          <w:tcPr>
            <w:tcW w:w="341" w:type="pct"/>
            <w:shd w:val="clear" w:color="auto" w:fill="auto"/>
          </w:tcPr>
          <w:p w14:paraId="2FA95DB9" w14:textId="77777777" w:rsidR="00DA28C5" w:rsidRPr="00A427C6" w:rsidRDefault="00DA28C5" w:rsidP="006F27B1">
            <w:pPr>
              <w:keepLines/>
              <w:spacing w:before="80" w:after="80" w:line="200" w:lineRule="atLeast"/>
              <w:rPr>
                <w:rFonts w:eastAsia="Times New Roman"/>
                <w:b/>
                <w:iCs/>
                <w:szCs w:val="17"/>
              </w:rPr>
            </w:pPr>
          </w:p>
        </w:tc>
        <w:tc>
          <w:tcPr>
            <w:tcW w:w="430" w:type="pct"/>
          </w:tcPr>
          <w:p w14:paraId="0F7D5681" w14:textId="77777777" w:rsidR="00DA28C5" w:rsidRPr="00A427C6" w:rsidRDefault="00DA28C5"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Rating</w:t>
            </w:r>
          </w:p>
        </w:tc>
        <w:tc>
          <w:tcPr>
            <w:tcW w:w="2714" w:type="pct"/>
          </w:tcPr>
          <w:p w14:paraId="566C539A" w14:textId="77777777" w:rsidR="00DA28C5" w:rsidRPr="00A427C6" w:rsidRDefault="00DA28C5"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Progress in 2015-16</w:t>
            </w:r>
          </w:p>
        </w:tc>
      </w:tr>
      <w:tr w:rsidR="00DA28C5" w:rsidRPr="00A427C6" w14:paraId="5AE03ACD" w14:textId="77777777" w:rsidTr="00FD16CA">
        <w:tc>
          <w:tcPr>
            <w:tcW w:w="629" w:type="pct"/>
            <w:tcMar>
              <w:top w:w="57" w:type="dxa"/>
              <w:bottom w:w="57" w:type="dxa"/>
            </w:tcMar>
          </w:tcPr>
          <w:p w14:paraId="0D5E38D5"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Improved access to quality education</w:t>
            </w:r>
          </w:p>
        </w:tc>
        <w:tc>
          <w:tcPr>
            <w:tcW w:w="887" w:type="pct"/>
          </w:tcPr>
          <w:p w14:paraId="72B70730" w14:textId="77777777" w:rsidR="00DA28C5" w:rsidRPr="00DA28C5" w:rsidRDefault="00DA28C5" w:rsidP="00EA6A53">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 xml:space="preserve">Reduction in the percentage of students in the Access to Quality Education Program </w:t>
            </w:r>
            <w:r w:rsidR="00EA6A53">
              <w:rPr>
                <w:rFonts w:asciiTheme="minorHAnsi" w:eastAsia="Times New Roman" w:hAnsiTheme="minorHAnsi"/>
                <w:iCs/>
                <w:szCs w:val="17"/>
                <w:lang w:eastAsia="en-US"/>
              </w:rPr>
              <w:t xml:space="preserve">(AQEP) </w:t>
            </w:r>
            <w:r w:rsidRPr="00DA28C5">
              <w:rPr>
                <w:rFonts w:asciiTheme="minorHAnsi" w:eastAsia="Times New Roman" w:hAnsiTheme="minorHAnsi"/>
                <w:iCs/>
                <w:szCs w:val="17"/>
                <w:lang w:eastAsia="en-US"/>
              </w:rPr>
              <w:t>targeted schools achieving in the national bottom quartile in Class 4 literacy and numeracy assessments.</w:t>
            </w:r>
          </w:p>
        </w:tc>
        <w:tc>
          <w:tcPr>
            <w:tcW w:w="341" w:type="pct"/>
            <w:shd w:val="clear" w:color="auto" w:fill="auto"/>
          </w:tcPr>
          <w:p w14:paraId="729BA509" w14:textId="77777777" w:rsidR="00DA28C5" w:rsidRPr="00DA28C5" w:rsidRDefault="00DA28C5" w:rsidP="00EA6A53">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Reduction to 50 per cent (from approx. 66 per cent)</w:t>
            </w:r>
          </w:p>
        </w:tc>
        <w:tc>
          <w:tcPr>
            <w:tcW w:w="430" w:type="pct"/>
            <w:shd w:val="clear" w:color="auto" w:fill="92D050"/>
          </w:tcPr>
          <w:p w14:paraId="581739FD" w14:textId="77777777" w:rsidR="00DA28C5" w:rsidRPr="00A427C6" w:rsidRDefault="0031563B" w:rsidP="006F27B1">
            <w:pPr>
              <w:keepLines/>
              <w:spacing w:before="40" w:after="40" w:line="200" w:lineRule="atLeast"/>
              <w:rPr>
                <w:rFonts w:eastAsia="Times New Roman"/>
                <w:iCs/>
                <w:color w:val="FFFFFF" w:themeColor="background1"/>
                <w:szCs w:val="17"/>
              </w:rPr>
            </w:pPr>
            <w:r>
              <w:rPr>
                <w:rFonts w:eastAsia="Times New Roman"/>
                <w:iCs/>
                <w:color w:val="FFFFFF" w:themeColor="background1"/>
                <w:szCs w:val="17"/>
              </w:rPr>
              <w:t>Achieved</w:t>
            </w:r>
          </w:p>
        </w:tc>
        <w:tc>
          <w:tcPr>
            <w:tcW w:w="2714" w:type="pct"/>
          </w:tcPr>
          <w:p w14:paraId="0E187229" w14:textId="77777777" w:rsidR="00DA28C5" w:rsidRPr="00133662" w:rsidRDefault="006E736C" w:rsidP="000A40E3">
            <w:pPr>
              <w:pStyle w:val="TableTextEntries"/>
              <w:keepNext/>
              <w:rPr>
                <w:rFonts w:asciiTheme="minorHAnsi" w:hAnsiTheme="minorHAnsi" w:cstheme="minorBidi"/>
                <w:color w:val="495965" w:themeColor="text2"/>
                <w:lang w:val="en-GB" w:eastAsia="en-US"/>
              </w:rPr>
            </w:pPr>
            <w:r w:rsidRPr="00133662">
              <w:rPr>
                <w:rFonts w:asciiTheme="minorHAnsi" w:hAnsiTheme="minorHAnsi" w:cstheme="minorBidi"/>
                <w:color w:val="495965" w:themeColor="text2"/>
                <w:lang w:val="en-GB" w:eastAsia="en-US"/>
              </w:rPr>
              <w:t xml:space="preserve">The proportion of students in Class 4 in AQEP supported schools in the bottom quartile for </w:t>
            </w:r>
            <w:r w:rsidR="000A40E3" w:rsidRPr="00133662">
              <w:rPr>
                <w:rFonts w:asciiTheme="minorHAnsi" w:hAnsiTheme="minorHAnsi" w:cstheme="minorBidi"/>
                <w:color w:val="495965" w:themeColor="text2"/>
                <w:lang w:val="en-GB" w:eastAsia="en-US"/>
              </w:rPr>
              <w:t>the national Literacy and Numeracy Assessment (LANA) literacy achievement has decreased to 21.4</w:t>
            </w:r>
            <w:r w:rsidR="009B5731">
              <w:rPr>
                <w:rFonts w:asciiTheme="minorHAnsi" w:hAnsiTheme="minorHAnsi" w:cstheme="minorBidi"/>
                <w:color w:val="495965" w:themeColor="text2"/>
                <w:lang w:val="en-GB" w:eastAsia="en-US"/>
              </w:rPr>
              <w:t xml:space="preserve"> </w:t>
            </w:r>
            <w:r w:rsidR="00293EF2">
              <w:rPr>
                <w:rFonts w:asciiTheme="minorHAnsi" w:hAnsiTheme="minorHAnsi" w:cstheme="minorBidi"/>
                <w:color w:val="495965" w:themeColor="text2"/>
                <w:lang w:val="en-GB" w:eastAsia="en-US"/>
              </w:rPr>
              <w:t>per cent</w:t>
            </w:r>
            <w:r w:rsidR="000A40E3" w:rsidRPr="00133662">
              <w:rPr>
                <w:rFonts w:asciiTheme="minorHAnsi" w:hAnsiTheme="minorHAnsi" w:cstheme="minorBidi"/>
                <w:color w:val="495965" w:themeColor="text2"/>
                <w:lang w:val="en-GB" w:eastAsia="en-US"/>
              </w:rPr>
              <w:t xml:space="preserve"> in 2015 (from 32.2</w:t>
            </w:r>
            <w:r w:rsidR="00E90BAD">
              <w:rPr>
                <w:rFonts w:asciiTheme="minorHAnsi" w:hAnsiTheme="minorHAnsi" w:cstheme="minorBidi"/>
                <w:color w:val="495965" w:themeColor="text2"/>
                <w:lang w:val="en-GB" w:eastAsia="en-US"/>
              </w:rPr>
              <w:t xml:space="preserve"> </w:t>
            </w:r>
            <w:r w:rsidR="00293EF2">
              <w:rPr>
                <w:rFonts w:asciiTheme="minorHAnsi" w:hAnsiTheme="minorHAnsi" w:cstheme="minorBidi"/>
                <w:color w:val="495965" w:themeColor="text2"/>
                <w:lang w:val="en-GB" w:eastAsia="en-US"/>
              </w:rPr>
              <w:t>per cent</w:t>
            </w:r>
            <w:r w:rsidR="000A40E3" w:rsidRPr="00133662">
              <w:rPr>
                <w:rFonts w:asciiTheme="minorHAnsi" w:hAnsiTheme="minorHAnsi" w:cstheme="minorBidi"/>
                <w:color w:val="495965" w:themeColor="text2"/>
                <w:lang w:val="en-GB" w:eastAsia="en-US"/>
              </w:rPr>
              <w:t xml:space="preserve"> in 2012); and to 20.9</w:t>
            </w:r>
            <w:r w:rsidR="00E90BAD">
              <w:rPr>
                <w:rFonts w:asciiTheme="minorHAnsi" w:hAnsiTheme="minorHAnsi" w:cstheme="minorBidi"/>
                <w:color w:val="495965" w:themeColor="text2"/>
                <w:lang w:val="en-GB" w:eastAsia="en-US"/>
              </w:rPr>
              <w:t xml:space="preserve"> </w:t>
            </w:r>
            <w:r w:rsidR="00293EF2">
              <w:rPr>
                <w:rFonts w:asciiTheme="minorHAnsi" w:hAnsiTheme="minorHAnsi" w:cstheme="minorBidi"/>
                <w:color w:val="495965" w:themeColor="text2"/>
                <w:lang w:val="en-GB" w:eastAsia="en-US"/>
              </w:rPr>
              <w:t>per cent</w:t>
            </w:r>
            <w:r w:rsidR="000A40E3" w:rsidRPr="00133662">
              <w:rPr>
                <w:rFonts w:asciiTheme="minorHAnsi" w:hAnsiTheme="minorHAnsi" w:cstheme="minorBidi"/>
                <w:color w:val="495965" w:themeColor="text2"/>
                <w:lang w:val="en-GB" w:eastAsia="en-US"/>
              </w:rPr>
              <w:t xml:space="preserve"> in 2015 (from 28.9</w:t>
            </w:r>
            <w:r w:rsidR="002F4D91">
              <w:rPr>
                <w:rFonts w:asciiTheme="minorHAnsi" w:hAnsiTheme="minorHAnsi" w:cstheme="minorBidi"/>
                <w:color w:val="495965" w:themeColor="text2"/>
                <w:lang w:val="en-GB" w:eastAsia="en-US"/>
              </w:rPr>
              <w:t xml:space="preserve"> </w:t>
            </w:r>
            <w:r w:rsidR="00293EF2">
              <w:rPr>
                <w:rFonts w:asciiTheme="minorHAnsi" w:hAnsiTheme="minorHAnsi" w:cstheme="minorBidi"/>
                <w:color w:val="495965" w:themeColor="text2"/>
                <w:lang w:val="en-GB" w:eastAsia="en-US"/>
              </w:rPr>
              <w:t>per cent</w:t>
            </w:r>
            <w:r w:rsidR="000A40E3" w:rsidRPr="00133662">
              <w:rPr>
                <w:rFonts w:asciiTheme="minorHAnsi" w:hAnsiTheme="minorHAnsi" w:cstheme="minorBidi"/>
                <w:color w:val="495965" w:themeColor="text2"/>
                <w:lang w:val="en-GB" w:eastAsia="en-US"/>
              </w:rPr>
              <w:t xml:space="preserve"> in 2012) for numeracy achievement.</w:t>
            </w:r>
          </w:p>
        </w:tc>
      </w:tr>
      <w:tr w:rsidR="00DA28C5" w:rsidRPr="00A427C6" w14:paraId="61D1E3EC" w14:textId="77777777" w:rsidTr="00FD16CA">
        <w:tc>
          <w:tcPr>
            <w:tcW w:w="629" w:type="pct"/>
            <w:tcMar>
              <w:top w:w="57" w:type="dxa"/>
              <w:bottom w:w="57" w:type="dxa"/>
            </w:tcMar>
          </w:tcPr>
          <w:p w14:paraId="673CB53E"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Improved health outcomes</w:t>
            </w:r>
          </w:p>
        </w:tc>
        <w:tc>
          <w:tcPr>
            <w:tcW w:w="887" w:type="pct"/>
          </w:tcPr>
          <w:p w14:paraId="1F020582"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Reduction in common childhood illnesses resulting from introduction of rotavirus and pneumococcal vaccines</w:t>
            </w:r>
          </w:p>
        </w:tc>
        <w:tc>
          <w:tcPr>
            <w:tcW w:w="341" w:type="pct"/>
            <w:shd w:val="clear" w:color="auto" w:fill="auto"/>
          </w:tcPr>
          <w:p w14:paraId="2B9A1AFA"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Reduction from 2011 levels</w:t>
            </w:r>
          </w:p>
        </w:tc>
        <w:tc>
          <w:tcPr>
            <w:tcW w:w="430" w:type="pct"/>
            <w:shd w:val="clear" w:color="auto" w:fill="FFC000"/>
          </w:tcPr>
          <w:p w14:paraId="5209BEFD" w14:textId="77777777" w:rsidR="00DA28C5" w:rsidRPr="00A427C6" w:rsidRDefault="006F5A0F" w:rsidP="006F27B1">
            <w:pPr>
              <w:keepLines/>
              <w:spacing w:before="40" w:after="40" w:line="200" w:lineRule="atLeast"/>
              <w:rPr>
                <w:rFonts w:eastAsia="Times New Roman"/>
                <w:iCs/>
                <w:color w:val="FFFFFF" w:themeColor="background1"/>
                <w:szCs w:val="17"/>
              </w:rPr>
            </w:pPr>
            <w:r>
              <w:rPr>
                <w:rFonts w:eastAsia="Times New Roman"/>
                <w:iCs/>
                <w:color w:val="FFFFFF" w:themeColor="background1"/>
                <w:szCs w:val="17"/>
              </w:rPr>
              <w:t>Partly ac</w:t>
            </w:r>
            <w:r w:rsidRPr="00133662">
              <w:rPr>
                <w:rFonts w:eastAsia="Times New Roman"/>
                <w:iCs/>
                <w:color w:val="FFFFFF" w:themeColor="background1"/>
                <w:szCs w:val="17"/>
                <w:shd w:val="clear" w:color="auto" w:fill="FFC000"/>
              </w:rPr>
              <w:t>h</w:t>
            </w:r>
            <w:r>
              <w:rPr>
                <w:rFonts w:eastAsia="Times New Roman"/>
                <w:iCs/>
                <w:color w:val="FFFFFF" w:themeColor="background1"/>
                <w:szCs w:val="17"/>
              </w:rPr>
              <w:t>ieved</w:t>
            </w:r>
          </w:p>
        </w:tc>
        <w:tc>
          <w:tcPr>
            <w:tcW w:w="2714" w:type="pct"/>
          </w:tcPr>
          <w:p w14:paraId="5AF0C567" w14:textId="77777777" w:rsidR="00DA28C5" w:rsidRPr="00133662" w:rsidRDefault="006F5A0F" w:rsidP="002F1B5A">
            <w:pPr>
              <w:pStyle w:val="TableTextEntries"/>
              <w:keepNext/>
              <w:rPr>
                <w:rFonts w:asciiTheme="minorHAnsi" w:hAnsiTheme="minorHAnsi" w:cstheme="minorBidi"/>
                <w:color w:val="495965" w:themeColor="text2"/>
                <w:lang w:val="en-GB" w:eastAsia="en-US"/>
              </w:rPr>
            </w:pPr>
            <w:r w:rsidRPr="00133662">
              <w:rPr>
                <w:rFonts w:asciiTheme="minorHAnsi" w:hAnsiTheme="minorHAnsi" w:cstheme="minorBidi"/>
                <w:color w:val="495965" w:themeColor="text2"/>
                <w:lang w:val="en-GB" w:eastAsia="en-US"/>
              </w:rPr>
              <w:t xml:space="preserve">Although full impact of the vaccines will manifest over future years, a study by the Murdoch Children’s Research Institute has found that the vaccines are showing early signs of preventing pneumonia, pneumococcal sepsis and meningitis, along with a reduction in </w:t>
            </w:r>
            <w:r w:rsidR="002F1B5A">
              <w:rPr>
                <w:rFonts w:asciiTheme="minorHAnsi" w:hAnsiTheme="minorHAnsi" w:cstheme="minorBidi"/>
                <w:color w:val="495965" w:themeColor="text2"/>
                <w:lang w:val="en-GB" w:eastAsia="en-US"/>
              </w:rPr>
              <w:t>hospital</w:t>
            </w:r>
            <w:r w:rsidR="002F1B5A" w:rsidRPr="00133662">
              <w:rPr>
                <w:rFonts w:asciiTheme="minorHAnsi" w:hAnsiTheme="minorHAnsi" w:cstheme="minorBidi"/>
                <w:color w:val="495965" w:themeColor="text2"/>
                <w:lang w:val="en-GB" w:eastAsia="en-US"/>
              </w:rPr>
              <w:t xml:space="preserve"> </w:t>
            </w:r>
            <w:r w:rsidRPr="00133662">
              <w:rPr>
                <w:rFonts w:asciiTheme="minorHAnsi" w:hAnsiTheme="minorHAnsi" w:cstheme="minorBidi"/>
                <w:color w:val="495965" w:themeColor="text2"/>
                <w:lang w:val="en-GB" w:eastAsia="en-US"/>
              </w:rPr>
              <w:t>admissions</w:t>
            </w:r>
            <w:r w:rsidR="002F1B5A">
              <w:rPr>
                <w:rFonts w:asciiTheme="minorHAnsi" w:hAnsiTheme="minorHAnsi" w:cstheme="minorBidi"/>
                <w:color w:val="495965" w:themeColor="text2"/>
                <w:lang w:val="en-GB" w:eastAsia="en-US"/>
              </w:rPr>
              <w:t xml:space="preserve"> for diarrhoea</w:t>
            </w:r>
            <w:r w:rsidRPr="00133662">
              <w:rPr>
                <w:rFonts w:asciiTheme="minorHAnsi" w:hAnsiTheme="minorHAnsi" w:cstheme="minorBidi"/>
                <w:color w:val="495965" w:themeColor="text2"/>
                <w:lang w:val="en-GB" w:eastAsia="en-US"/>
              </w:rPr>
              <w:t xml:space="preserve"> in children.</w:t>
            </w:r>
          </w:p>
        </w:tc>
      </w:tr>
      <w:tr w:rsidR="00DA28C5" w:rsidRPr="00A427C6" w14:paraId="286795E7" w14:textId="77777777" w:rsidTr="00FD16CA">
        <w:tc>
          <w:tcPr>
            <w:tcW w:w="629" w:type="pct"/>
            <w:tcMar>
              <w:top w:w="57" w:type="dxa"/>
              <w:bottom w:w="57" w:type="dxa"/>
            </w:tcMar>
          </w:tcPr>
          <w:p w14:paraId="4C21B6F7"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Increased incomes for poor households</w:t>
            </w:r>
          </w:p>
        </w:tc>
        <w:tc>
          <w:tcPr>
            <w:tcW w:w="887" w:type="pct"/>
          </w:tcPr>
          <w:p w14:paraId="44750097"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New formal sector jobs created for the poor</w:t>
            </w:r>
          </w:p>
        </w:tc>
        <w:tc>
          <w:tcPr>
            <w:tcW w:w="341" w:type="pct"/>
            <w:shd w:val="clear" w:color="auto" w:fill="auto"/>
          </w:tcPr>
          <w:p w14:paraId="57A4790C"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260</w:t>
            </w:r>
          </w:p>
        </w:tc>
        <w:tc>
          <w:tcPr>
            <w:tcW w:w="430" w:type="pct"/>
            <w:shd w:val="clear" w:color="auto" w:fill="FFC000"/>
          </w:tcPr>
          <w:p w14:paraId="5BC4932E" w14:textId="77777777" w:rsidR="00DA28C5" w:rsidRPr="00A427C6" w:rsidRDefault="001B3370" w:rsidP="006F27B1">
            <w:pPr>
              <w:keepLines/>
              <w:spacing w:before="40" w:after="40" w:line="200" w:lineRule="atLeast"/>
              <w:rPr>
                <w:rFonts w:eastAsia="Times New Roman"/>
                <w:iCs/>
                <w:color w:val="FFFFFF" w:themeColor="background1"/>
                <w:szCs w:val="17"/>
              </w:rPr>
            </w:pPr>
            <w:r>
              <w:rPr>
                <w:rFonts w:eastAsia="Times New Roman"/>
                <w:iCs/>
                <w:color w:val="FFFFFF" w:themeColor="background1"/>
                <w:szCs w:val="17"/>
              </w:rPr>
              <w:t>Partly achieved</w:t>
            </w:r>
          </w:p>
        </w:tc>
        <w:tc>
          <w:tcPr>
            <w:tcW w:w="2714" w:type="pct"/>
          </w:tcPr>
          <w:p w14:paraId="1F4F330A" w14:textId="77777777" w:rsidR="00030556" w:rsidRPr="00133662" w:rsidRDefault="00030556" w:rsidP="00030556">
            <w:pPr>
              <w:rPr>
                <w:rFonts w:asciiTheme="minorHAnsi" w:eastAsia="Times New Roman" w:hAnsiTheme="minorHAnsi"/>
                <w:iCs/>
                <w:szCs w:val="17"/>
                <w:lang w:eastAsia="en-US"/>
              </w:rPr>
            </w:pPr>
            <w:r w:rsidRPr="00133662">
              <w:rPr>
                <w:rFonts w:asciiTheme="minorHAnsi" w:eastAsia="Times New Roman" w:hAnsiTheme="minorHAnsi"/>
                <w:iCs/>
                <w:szCs w:val="17"/>
                <w:lang w:eastAsia="en-US"/>
              </w:rPr>
              <w:t xml:space="preserve">191 additional jobs (83 male and 108 female) as at 31 December 2015. </w:t>
            </w:r>
          </w:p>
          <w:p w14:paraId="3C65CC9E" w14:textId="77777777" w:rsidR="00DA28C5" w:rsidRPr="00413DF2" w:rsidRDefault="00DA28C5" w:rsidP="00645F23">
            <w:pPr>
              <w:pStyle w:val="TableTextEntries"/>
              <w:keepNext/>
              <w:rPr>
                <w:rFonts w:asciiTheme="minorHAnsi" w:hAnsiTheme="minorHAnsi" w:cstheme="minorBidi"/>
                <w:color w:val="495965" w:themeColor="text2"/>
                <w:lang w:val="en-GB" w:eastAsia="en-US"/>
              </w:rPr>
            </w:pPr>
          </w:p>
        </w:tc>
      </w:tr>
      <w:tr w:rsidR="00DA28C5" w:rsidRPr="00A427C6" w14:paraId="28D6EDB6" w14:textId="77777777" w:rsidTr="00FD16CA">
        <w:tc>
          <w:tcPr>
            <w:tcW w:w="629" w:type="pct"/>
            <w:tcMar>
              <w:top w:w="57" w:type="dxa"/>
              <w:bottom w:w="57" w:type="dxa"/>
            </w:tcMar>
          </w:tcPr>
          <w:p w14:paraId="28EE83DB"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Consistent and long term funding for gender equality and disability inclusion initiatives</w:t>
            </w:r>
          </w:p>
        </w:tc>
        <w:tc>
          <w:tcPr>
            <w:tcW w:w="887" w:type="pct"/>
          </w:tcPr>
          <w:p w14:paraId="6145203B"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10 per cent or more of the Fiji bilateral program allocated to gender equality or disability inclusion initiatives</w:t>
            </w:r>
          </w:p>
        </w:tc>
        <w:tc>
          <w:tcPr>
            <w:tcW w:w="341" w:type="pct"/>
            <w:shd w:val="clear" w:color="auto" w:fill="auto"/>
          </w:tcPr>
          <w:p w14:paraId="33F24FB3"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10 per cent</w:t>
            </w:r>
          </w:p>
        </w:tc>
        <w:tc>
          <w:tcPr>
            <w:tcW w:w="430" w:type="pct"/>
            <w:shd w:val="clear" w:color="auto" w:fill="92D050"/>
          </w:tcPr>
          <w:p w14:paraId="71E85ED1" w14:textId="77777777" w:rsidR="00DA28C5" w:rsidRPr="00066CEF" w:rsidRDefault="00DA28C5" w:rsidP="006F27B1">
            <w:pPr>
              <w:keepLines/>
              <w:spacing w:before="40" w:after="40" w:line="200" w:lineRule="atLeast"/>
              <w:rPr>
                <w:rFonts w:eastAsia="Times New Roman"/>
                <w:iCs/>
                <w:color w:val="FFFFFF" w:themeColor="background1"/>
                <w:szCs w:val="17"/>
              </w:rPr>
            </w:pPr>
            <w:r w:rsidRPr="00066CEF">
              <w:rPr>
                <w:rFonts w:eastAsia="Times New Roman"/>
                <w:iCs/>
                <w:color w:val="FFFFFF" w:themeColor="background1"/>
                <w:szCs w:val="17"/>
                <w:lang w:eastAsia="en-US"/>
              </w:rPr>
              <w:t>Achieved</w:t>
            </w:r>
          </w:p>
        </w:tc>
        <w:tc>
          <w:tcPr>
            <w:tcW w:w="2714" w:type="pct"/>
          </w:tcPr>
          <w:p w14:paraId="7A8A5B21" w14:textId="77777777" w:rsidR="00DA28C5" w:rsidRPr="00270000" w:rsidRDefault="00413DF2" w:rsidP="001B132E">
            <w:pPr>
              <w:pStyle w:val="TableTextEntries"/>
              <w:keepNext/>
              <w:rPr>
                <w:rFonts w:asciiTheme="minorHAnsi" w:hAnsiTheme="minorHAnsi" w:cstheme="minorBidi"/>
                <w:color w:val="495965" w:themeColor="text2"/>
                <w:lang w:val="en-GB" w:eastAsia="en-US"/>
              </w:rPr>
            </w:pPr>
            <w:r w:rsidRPr="00270000">
              <w:rPr>
                <w:rFonts w:asciiTheme="minorHAnsi" w:hAnsiTheme="minorHAnsi" w:cstheme="minorBidi"/>
                <w:color w:val="495965" w:themeColor="text2"/>
                <w:lang w:val="en-GB" w:eastAsia="en-US"/>
              </w:rPr>
              <w:t xml:space="preserve">Australia </w:t>
            </w:r>
            <w:r w:rsidR="0072037E" w:rsidRPr="00270000">
              <w:rPr>
                <w:rFonts w:asciiTheme="minorHAnsi" w:hAnsiTheme="minorHAnsi" w:cstheme="minorBidi"/>
                <w:color w:val="495965" w:themeColor="text2"/>
                <w:lang w:val="en-GB" w:eastAsia="en-US"/>
              </w:rPr>
              <w:t xml:space="preserve">updated its Fiji Country Plan with a commitment of up to </w:t>
            </w:r>
            <w:r w:rsidR="009B5731">
              <w:rPr>
                <w:rFonts w:asciiTheme="minorHAnsi" w:hAnsiTheme="minorHAnsi" w:cstheme="minorBidi"/>
                <w:color w:val="495965" w:themeColor="text2"/>
                <w:lang w:val="en-GB" w:eastAsia="en-US"/>
              </w:rPr>
              <w:t>$</w:t>
            </w:r>
            <w:r w:rsidR="0072037E" w:rsidRPr="00270000">
              <w:rPr>
                <w:rFonts w:asciiTheme="minorHAnsi" w:hAnsiTheme="minorHAnsi" w:cstheme="minorBidi"/>
                <w:color w:val="495965" w:themeColor="text2"/>
                <w:lang w:val="en-GB" w:eastAsia="en-US"/>
              </w:rPr>
              <w:t>26 million over ten years</w:t>
            </w:r>
            <w:r w:rsidR="00066CEF" w:rsidRPr="00270000">
              <w:rPr>
                <w:rFonts w:asciiTheme="minorHAnsi" w:hAnsiTheme="minorHAnsi" w:cstheme="minorBidi"/>
                <w:color w:val="495965" w:themeColor="text2"/>
                <w:lang w:val="en-GB" w:eastAsia="en-US"/>
              </w:rPr>
              <w:t xml:space="preserve"> and includes e</w:t>
            </w:r>
            <w:r w:rsidR="009E60A0" w:rsidRPr="00270000">
              <w:rPr>
                <w:rFonts w:asciiTheme="minorHAnsi" w:hAnsiTheme="minorHAnsi" w:cstheme="minorBidi"/>
                <w:color w:val="495965" w:themeColor="text2"/>
                <w:lang w:val="en-GB" w:eastAsia="en-US"/>
              </w:rPr>
              <w:t xml:space="preserve">stablishing </w:t>
            </w:r>
            <w:r w:rsidR="0072037E" w:rsidRPr="00270000">
              <w:rPr>
                <w:rFonts w:asciiTheme="minorHAnsi" w:hAnsiTheme="minorHAnsi" w:cstheme="minorBidi"/>
                <w:color w:val="495965" w:themeColor="text2"/>
                <w:lang w:val="en-GB" w:eastAsia="en-US"/>
              </w:rPr>
              <w:t xml:space="preserve">a </w:t>
            </w:r>
            <w:r w:rsidRPr="00270000">
              <w:rPr>
                <w:rFonts w:asciiTheme="minorHAnsi" w:hAnsiTheme="minorHAnsi" w:cstheme="minorBidi"/>
                <w:color w:val="495965" w:themeColor="text2"/>
                <w:lang w:val="en-GB" w:eastAsia="en-US"/>
              </w:rPr>
              <w:t xml:space="preserve">Fiji </w:t>
            </w:r>
            <w:r w:rsidR="0072037E" w:rsidRPr="00270000">
              <w:rPr>
                <w:rFonts w:asciiTheme="minorHAnsi" w:hAnsiTheme="minorHAnsi" w:cstheme="minorBidi"/>
                <w:color w:val="495965" w:themeColor="text2"/>
                <w:lang w:val="en-GB" w:eastAsia="en-US"/>
              </w:rPr>
              <w:t>Women’s Fund</w:t>
            </w:r>
            <w:r w:rsidR="00066CEF" w:rsidRPr="00270000">
              <w:rPr>
                <w:rFonts w:asciiTheme="minorHAnsi" w:hAnsiTheme="minorHAnsi" w:cstheme="minorBidi"/>
                <w:color w:val="495965" w:themeColor="text2"/>
                <w:lang w:val="en-GB" w:eastAsia="en-US"/>
              </w:rPr>
              <w:t xml:space="preserve"> to provide tailored support for women’s groups and women-led civil society organisations to expand and enhance their work on women’s empowerment and gender equality</w:t>
            </w:r>
            <w:r w:rsidRPr="00270000">
              <w:rPr>
                <w:rFonts w:asciiTheme="minorHAnsi" w:hAnsiTheme="minorHAnsi" w:cstheme="minorBidi"/>
                <w:color w:val="495965" w:themeColor="text2"/>
                <w:lang w:val="en-GB" w:eastAsia="en-US"/>
              </w:rPr>
              <w:t>.</w:t>
            </w:r>
            <w:r w:rsidR="002F1B5A" w:rsidRPr="00270000">
              <w:rPr>
                <w:rFonts w:asciiTheme="minorHAnsi" w:hAnsiTheme="minorHAnsi" w:cstheme="minorBidi"/>
                <w:color w:val="495965" w:themeColor="text2"/>
                <w:lang w:val="en-GB" w:eastAsia="en-US"/>
              </w:rPr>
              <w:t xml:space="preserve"> </w:t>
            </w:r>
            <w:r w:rsidR="00066CEF" w:rsidRPr="00270000">
              <w:rPr>
                <w:rFonts w:asciiTheme="minorHAnsi" w:hAnsiTheme="minorHAnsi" w:cstheme="minorBidi"/>
                <w:color w:val="495965" w:themeColor="text2"/>
                <w:lang w:val="en-GB" w:eastAsia="en-US"/>
              </w:rPr>
              <w:t>Support through FCDP</w:t>
            </w:r>
            <w:r w:rsidR="00270000" w:rsidRPr="00270000">
              <w:rPr>
                <w:rFonts w:asciiTheme="minorHAnsi" w:hAnsiTheme="minorHAnsi" w:cstheme="minorBidi"/>
                <w:color w:val="495965" w:themeColor="text2"/>
                <w:lang w:val="en-GB" w:eastAsia="en-US"/>
              </w:rPr>
              <w:t>,</w:t>
            </w:r>
            <w:r w:rsidR="00066CEF" w:rsidRPr="00270000">
              <w:rPr>
                <w:rFonts w:asciiTheme="minorHAnsi" w:hAnsiTheme="minorHAnsi" w:cstheme="minorBidi"/>
                <w:color w:val="495965" w:themeColor="text2"/>
                <w:lang w:val="en-GB" w:eastAsia="en-US"/>
              </w:rPr>
              <w:t xml:space="preserve"> AVID</w:t>
            </w:r>
            <w:r w:rsidR="001B132E">
              <w:rPr>
                <w:rFonts w:asciiTheme="minorHAnsi" w:hAnsiTheme="minorHAnsi" w:cstheme="minorBidi"/>
                <w:color w:val="495965" w:themeColor="text2"/>
                <w:lang w:val="en-GB" w:eastAsia="en-US"/>
              </w:rPr>
              <w:t>, AQEP,</w:t>
            </w:r>
            <w:r w:rsidR="00270000" w:rsidRPr="00270000">
              <w:rPr>
                <w:rFonts w:asciiTheme="minorHAnsi" w:hAnsiTheme="minorHAnsi" w:cstheme="minorBidi"/>
                <w:color w:val="495965" w:themeColor="text2"/>
                <w:lang w:val="en-GB" w:eastAsia="en-US"/>
              </w:rPr>
              <w:t xml:space="preserve"> </w:t>
            </w:r>
            <w:r w:rsidR="001B132E">
              <w:rPr>
                <w:rFonts w:asciiTheme="minorHAnsi" w:hAnsiTheme="minorHAnsi" w:cstheme="minorBidi"/>
                <w:color w:val="495965" w:themeColor="text2"/>
                <w:lang w:val="en-GB" w:eastAsia="en-US"/>
              </w:rPr>
              <w:t xml:space="preserve">and </w:t>
            </w:r>
            <w:r w:rsidR="00270000" w:rsidRPr="00270000">
              <w:rPr>
                <w:rFonts w:asciiTheme="minorHAnsi" w:hAnsiTheme="minorHAnsi" w:cstheme="minorBidi"/>
                <w:color w:val="495965" w:themeColor="text2"/>
                <w:lang w:val="en-GB" w:eastAsia="en-US"/>
              </w:rPr>
              <w:t>FHSSP</w:t>
            </w:r>
            <w:r w:rsidR="001B132E">
              <w:rPr>
                <w:rFonts w:asciiTheme="minorHAnsi" w:hAnsiTheme="minorHAnsi" w:cstheme="minorBidi"/>
                <w:color w:val="495965" w:themeColor="text2"/>
                <w:lang w:val="en-GB" w:eastAsia="en-US"/>
              </w:rPr>
              <w:t xml:space="preserve"> and </w:t>
            </w:r>
            <w:r w:rsidR="00270000" w:rsidRPr="00270000">
              <w:rPr>
                <w:rFonts w:asciiTheme="minorHAnsi" w:hAnsiTheme="minorHAnsi" w:cstheme="minorBidi"/>
                <w:color w:val="495965" w:themeColor="text2"/>
                <w:lang w:val="en-GB" w:eastAsia="en-US"/>
              </w:rPr>
              <w:t xml:space="preserve">continue to assist people with disabilities, including better outreach services, improved disaggregated data collection, </w:t>
            </w:r>
            <w:r w:rsidR="001B132E">
              <w:rPr>
                <w:rFonts w:asciiTheme="minorHAnsi" w:hAnsiTheme="minorHAnsi" w:cstheme="minorBidi"/>
                <w:color w:val="495965" w:themeColor="text2"/>
                <w:lang w:val="en-GB" w:eastAsia="en-US"/>
              </w:rPr>
              <w:t xml:space="preserve">and </w:t>
            </w:r>
            <w:r w:rsidR="00270000" w:rsidRPr="00270000">
              <w:rPr>
                <w:rFonts w:asciiTheme="minorHAnsi" w:hAnsiTheme="minorHAnsi" w:cstheme="minorBidi"/>
                <w:color w:val="495965" w:themeColor="text2"/>
                <w:lang w:val="en-GB" w:eastAsia="en-US"/>
              </w:rPr>
              <w:t>increased institutional support for Disabled People’s Organisations.</w:t>
            </w:r>
          </w:p>
        </w:tc>
      </w:tr>
      <w:tr w:rsidR="00DA28C5" w:rsidRPr="00A427C6" w14:paraId="2F2D3FAB" w14:textId="77777777" w:rsidTr="00FD16CA">
        <w:tc>
          <w:tcPr>
            <w:tcW w:w="629" w:type="pct"/>
            <w:tcMar>
              <w:top w:w="57" w:type="dxa"/>
              <w:bottom w:w="57" w:type="dxa"/>
            </w:tcMar>
          </w:tcPr>
          <w:p w14:paraId="586A282C"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Improved trade capacity in Fiji</w:t>
            </w:r>
          </w:p>
        </w:tc>
        <w:tc>
          <w:tcPr>
            <w:tcW w:w="887" w:type="pct"/>
          </w:tcPr>
          <w:p w14:paraId="7B93FDA4" w14:textId="77777777" w:rsidR="00DA28C5" w:rsidRPr="00DA28C5" w:rsidRDefault="00DA28C5" w:rsidP="00EA6A53">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20 per cent of the Fiji program allocated to aid-for-trade initiatives by 2</w:t>
            </w:r>
            <w:r w:rsidR="00EA6A53">
              <w:rPr>
                <w:rFonts w:asciiTheme="minorHAnsi" w:eastAsia="Times New Roman" w:hAnsiTheme="minorHAnsi"/>
                <w:iCs/>
                <w:szCs w:val="17"/>
                <w:lang w:eastAsia="en-US"/>
              </w:rPr>
              <w:t>0</w:t>
            </w:r>
            <w:r w:rsidRPr="00DA28C5">
              <w:rPr>
                <w:rFonts w:asciiTheme="minorHAnsi" w:eastAsia="Times New Roman" w:hAnsiTheme="minorHAnsi"/>
                <w:iCs/>
                <w:szCs w:val="17"/>
                <w:lang w:eastAsia="en-US"/>
              </w:rPr>
              <w:t>17-18</w:t>
            </w:r>
          </w:p>
        </w:tc>
        <w:tc>
          <w:tcPr>
            <w:tcW w:w="341" w:type="pct"/>
            <w:shd w:val="clear" w:color="auto" w:fill="auto"/>
          </w:tcPr>
          <w:p w14:paraId="77767EBA" w14:textId="77777777" w:rsidR="00DA28C5" w:rsidRPr="00DA28C5" w:rsidRDefault="00DA28C5" w:rsidP="006F27B1">
            <w:pPr>
              <w:keepLines/>
              <w:spacing w:before="40" w:after="40" w:line="200" w:lineRule="atLeast"/>
              <w:rPr>
                <w:rFonts w:asciiTheme="minorHAnsi" w:eastAsia="Times New Roman" w:hAnsiTheme="minorHAnsi"/>
                <w:iCs/>
                <w:szCs w:val="17"/>
                <w:lang w:eastAsia="en-US"/>
              </w:rPr>
            </w:pPr>
            <w:r w:rsidRPr="00DA28C5">
              <w:rPr>
                <w:rFonts w:asciiTheme="minorHAnsi" w:eastAsia="Times New Roman" w:hAnsiTheme="minorHAnsi"/>
                <w:iCs/>
                <w:szCs w:val="17"/>
                <w:lang w:eastAsia="en-US"/>
              </w:rPr>
              <w:t>8 per cent</w:t>
            </w:r>
          </w:p>
        </w:tc>
        <w:tc>
          <w:tcPr>
            <w:tcW w:w="430" w:type="pct"/>
            <w:shd w:val="clear" w:color="auto" w:fill="92D050"/>
          </w:tcPr>
          <w:p w14:paraId="17E8930B" w14:textId="77777777" w:rsidR="00DA28C5" w:rsidRPr="00A427C6" w:rsidRDefault="001B3370" w:rsidP="006F27B1">
            <w:pPr>
              <w:keepLines/>
              <w:spacing w:before="40" w:after="40" w:line="200" w:lineRule="atLeast"/>
              <w:rPr>
                <w:rFonts w:eastAsia="Times New Roman"/>
                <w:iCs/>
                <w:color w:val="FFFFFF" w:themeColor="background1"/>
                <w:szCs w:val="17"/>
              </w:rPr>
            </w:pPr>
            <w:r>
              <w:rPr>
                <w:rFonts w:eastAsia="Times New Roman"/>
                <w:iCs/>
                <w:color w:val="FFFFFF" w:themeColor="background1"/>
                <w:szCs w:val="17"/>
              </w:rPr>
              <w:t>Achieved</w:t>
            </w:r>
          </w:p>
        </w:tc>
        <w:tc>
          <w:tcPr>
            <w:tcW w:w="2714" w:type="pct"/>
          </w:tcPr>
          <w:p w14:paraId="505DCF02" w14:textId="77777777" w:rsidR="001B3370" w:rsidRPr="001B3370" w:rsidRDefault="001B3370" w:rsidP="001B3370">
            <w:pPr>
              <w:rPr>
                <w:rFonts w:asciiTheme="minorHAnsi" w:eastAsia="Times New Roman" w:hAnsiTheme="minorHAnsi"/>
                <w:iCs/>
                <w:szCs w:val="17"/>
                <w:lang w:eastAsia="en-US"/>
              </w:rPr>
            </w:pPr>
            <w:r w:rsidRPr="001B3370">
              <w:rPr>
                <w:rFonts w:asciiTheme="minorHAnsi" w:eastAsia="Times New Roman" w:hAnsiTheme="minorHAnsi"/>
                <w:iCs/>
                <w:szCs w:val="17"/>
                <w:lang w:eastAsia="en-US"/>
              </w:rPr>
              <w:t xml:space="preserve">Two </w:t>
            </w:r>
            <w:r w:rsidR="00413DF2">
              <w:rPr>
                <w:rFonts w:asciiTheme="minorHAnsi" w:eastAsia="Times New Roman" w:hAnsiTheme="minorHAnsi"/>
                <w:iCs/>
                <w:szCs w:val="17"/>
                <w:lang w:eastAsia="en-US"/>
              </w:rPr>
              <w:t xml:space="preserve">aid-for-trade </w:t>
            </w:r>
            <w:r w:rsidRPr="001B3370">
              <w:rPr>
                <w:rFonts w:asciiTheme="minorHAnsi" w:eastAsia="Times New Roman" w:hAnsiTheme="minorHAnsi"/>
                <w:iCs/>
                <w:szCs w:val="17"/>
                <w:lang w:eastAsia="en-US"/>
              </w:rPr>
              <w:t>investments</w:t>
            </w:r>
            <w:r w:rsidR="00413DF2">
              <w:rPr>
                <w:rFonts w:asciiTheme="minorHAnsi" w:eastAsia="Times New Roman" w:hAnsiTheme="minorHAnsi"/>
                <w:iCs/>
                <w:szCs w:val="17"/>
                <w:lang w:eastAsia="en-US"/>
              </w:rPr>
              <w:t xml:space="preserve">, Inclusive Economic Growth </w:t>
            </w:r>
            <w:r w:rsidR="002F1B5A">
              <w:rPr>
                <w:rFonts w:asciiTheme="minorHAnsi" w:eastAsia="Times New Roman" w:hAnsiTheme="minorHAnsi"/>
                <w:iCs/>
                <w:szCs w:val="17"/>
                <w:lang w:eastAsia="en-US"/>
              </w:rPr>
              <w:t>(</w:t>
            </w:r>
            <w:r w:rsidR="009B5731">
              <w:rPr>
                <w:rFonts w:asciiTheme="minorHAnsi" w:eastAsia="Times New Roman" w:hAnsiTheme="minorHAnsi"/>
                <w:iCs/>
                <w:szCs w:val="17"/>
                <w:lang w:eastAsia="en-US"/>
              </w:rPr>
              <w:t>$</w:t>
            </w:r>
            <w:r w:rsidR="00030556">
              <w:rPr>
                <w:rFonts w:asciiTheme="minorHAnsi" w:eastAsia="Times New Roman" w:hAnsiTheme="minorHAnsi"/>
                <w:iCs/>
                <w:szCs w:val="17"/>
                <w:lang w:eastAsia="en-US"/>
              </w:rPr>
              <w:t xml:space="preserve">2.86m) </w:t>
            </w:r>
            <w:r w:rsidR="00413DF2">
              <w:rPr>
                <w:rFonts w:asciiTheme="minorHAnsi" w:eastAsia="Times New Roman" w:hAnsiTheme="minorHAnsi"/>
                <w:iCs/>
                <w:szCs w:val="17"/>
                <w:lang w:eastAsia="en-US"/>
              </w:rPr>
              <w:t>and the Pacific Financial Inclusion Programme</w:t>
            </w:r>
            <w:r w:rsidR="00030556">
              <w:rPr>
                <w:rFonts w:asciiTheme="minorHAnsi" w:eastAsia="Times New Roman" w:hAnsiTheme="minorHAnsi"/>
                <w:iCs/>
                <w:szCs w:val="17"/>
                <w:lang w:eastAsia="en-US"/>
              </w:rPr>
              <w:t xml:space="preserve"> </w:t>
            </w:r>
            <w:r w:rsidR="002F1B5A">
              <w:rPr>
                <w:rFonts w:asciiTheme="minorHAnsi" w:eastAsia="Times New Roman" w:hAnsiTheme="minorHAnsi"/>
                <w:iCs/>
                <w:szCs w:val="17"/>
                <w:lang w:eastAsia="en-US"/>
              </w:rPr>
              <w:t>(</w:t>
            </w:r>
            <w:r w:rsidR="009B5731">
              <w:rPr>
                <w:rFonts w:asciiTheme="minorHAnsi" w:eastAsia="Times New Roman" w:hAnsiTheme="minorHAnsi"/>
                <w:iCs/>
                <w:szCs w:val="17"/>
                <w:lang w:eastAsia="en-US"/>
              </w:rPr>
              <w:t>$</w:t>
            </w:r>
            <w:r w:rsidR="00030556">
              <w:rPr>
                <w:rFonts w:asciiTheme="minorHAnsi" w:eastAsia="Times New Roman" w:hAnsiTheme="minorHAnsi"/>
                <w:iCs/>
                <w:szCs w:val="17"/>
                <w:lang w:eastAsia="en-US"/>
              </w:rPr>
              <w:t>2.25m)</w:t>
            </w:r>
            <w:r w:rsidR="00413DF2">
              <w:rPr>
                <w:rFonts w:asciiTheme="minorHAnsi" w:eastAsia="Times New Roman" w:hAnsiTheme="minorHAnsi"/>
                <w:iCs/>
                <w:szCs w:val="17"/>
                <w:lang w:eastAsia="en-US"/>
              </w:rPr>
              <w:t>,</w:t>
            </w:r>
            <w:r w:rsidRPr="001B3370">
              <w:rPr>
                <w:rFonts w:asciiTheme="minorHAnsi" w:eastAsia="Times New Roman" w:hAnsiTheme="minorHAnsi"/>
                <w:iCs/>
                <w:szCs w:val="17"/>
                <w:lang w:eastAsia="en-US"/>
              </w:rPr>
              <w:t xml:space="preserve"> from the Fiji bilateral program </w:t>
            </w:r>
            <w:r w:rsidR="00030556" w:rsidRPr="00FD16CA">
              <w:rPr>
                <w:rFonts w:asciiTheme="minorHAnsi" w:eastAsia="Times New Roman" w:hAnsiTheme="minorHAnsi"/>
                <w:iCs/>
                <w:szCs w:val="17"/>
                <w:lang w:eastAsia="en-US"/>
              </w:rPr>
              <w:t>totalled</w:t>
            </w:r>
            <w:r w:rsidRPr="00FD16CA">
              <w:rPr>
                <w:rFonts w:asciiTheme="minorHAnsi" w:eastAsia="Times New Roman" w:hAnsiTheme="minorHAnsi"/>
                <w:iCs/>
                <w:szCs w:val="17"/>
                <w:lang w:eastAsia="en-US"/>
              </w:rPr>
              <w:t xml:space="preserve"> 1</w:t>
            </w:r>
            <w:r w:rsidR="00015340" w:rsidRPr="00FD16CA">
              <w:rPr>
                <w:rFonts w:asciiTheme="minorHAnsi" w:eastAsia="Times New Roman" w:hAnsiTheme="minorHAnsi"/>
                <w:iCs/>
                <w:szCs w:val="17"/>
                <w:lang w:eastAsia="en-US"/>
              </w:rPr>
              <w:t>0</w:t>
            </w:r>
            <w:r w:rsidRPr="00FD16CA">
              <w:rPr>
                <w:rFonts w:asciiTheme="minorHAnsi" w:eastAsia="Times New Roman" w:hAnsiTheme="minorHAnsi"/>
                <w:iCs/>
                <w:szCs w:val="17"/>
                <w:lang w:eastAsia="en-US"/>
              </w:rPr>
              <w:t>.5</w:t>
            </w:r>
            <w:r w:rsidR="00B8083D" w:rsidRPr="00FD16CA">
              <w:rPr>
                <w:rFonts w:asciiTheme="minorHAnsi" w:eastAsia="Times New Roman" w:hAnsiTheme="minorHAnsi"/>
                <w:iCs/>
                <w:szCs w:val="17"/>
                <w:lang w:eastAsia="en-US"/>
              </w:rPr>
              <w:t xml:space="preserve"> </w:t>
            </w:r>
            <w:r w:rsidR="00293EF2" w:rsidRPr="00FD16CA">
              <w:rPr>
                <w:rFonts w:asciiTheme="minorHAnsi" w:eastAsia="Times New Roman" w:hAnsiTheme="minorHAnsi"/>
                <w:iCs/>
                <w:szCs w:val="17"/>
                <w:lang w:eastAsia="en-US"/>
              </w:rPr>
              <w:t>per cent</w:t>
            </w:r>
            <w:r w:rsidRPr="001B3370">
              <w:rPr>
                <w:rFonts w:asciiTheme="minorHAnsi" w:eastAsia="Times New Roman" w:hAnsiTheme="minorHAnsi"/>
                <w:iCs/>
                <w:szCs w:val="17"/>
                <w:lang w:eastAsia="en-US"/>
              </w:rPr>
              <w:t xml:space="preserve"> of</w:t>
            </w:r>
            <w:r w:rsidR="00413DF2">
              <w:rPr>
                <w:rFonts w:asciiTheme="minorHAnsi" w:eastAsia="Times New Roman" w:hAnsiTheme="minorHAnsi"/>
                <w:iCs/>
                <w:szCs w:val="17"/>
                <w:lang w:eastAsia="en-US"/>
              </w:rPr>
              <w:t xml:space="preserve"> the Fiji </w:t>
            </w:r>
            <w:r w:rsidR="00FD4C40">
              <w:rPr>
                <w:rFonts w:asciiTheme="minorHAnsi" w:eastAsia="Times New Roman" w:hAnsiTheme="minorHAnsi"/>
                <w:iCs/>
                <w:szCs w:val="17"/>
                <w:lang w:eastAsia="en-US"/>
              </w:rPr>
              <w:t xml:space="preserve">budget </w:t>
            </w:r>
            <w:r w:rsidR="00FD4C40" w:rsidRPr="001B3370">
              <w:rPr>
                <w:rFonts w:asciiTheme="minorHAnsi" w:eastAsia="Times New Roman" w:hAnsiTheme="minorHAnsi"/>
                <w:iCs/>
                <w:szCs w:val="17"/>
                <w:lang w:eastAsia="en-US"/>
              </w:rPr>
              <w:t>allocation</w:t>
            </w:r>
            <w:r w:rsidRPr="001B3370">
              <w:rPr>
                <w:rFonts w:asciiTheme="minorHAnsi" w:eastAsia="Times New Roman" w:hAnsiTheme="minorHAnsi"/>
                <w:iCs/>
                <w:szCs w:val="17"/>
                <w:lang w:eastAsia="en-US"/>
              </w:rPr>
              <w:t xml:space="preserve"> (at June 2016)</w:t>
            </w:r>
            <w:r w:rsidR="00413DF2">
              <w:rPr>
                <w:rFonts w:asciiTheme="minorHAnsi" w:eastAsia="Times New Roman" w:hAnsiTheme="minorHAnsi"/>
                <w:iCs/>
                <w:szCs w:val="17"/>
                <w:lang w:eastAsia="en-US"/>
              </w:rPr>
              <w:t>.</w:t>
            </w:r>
            <w:r w:rsidR="00FD16CA">
              <w:rPr>
                <w:rFonts w:asciiTheme="minorHAnsi" w:eastAsia="Times New Roman" w:hAnsiTheme="minorHAnsi"/>
                <w:iCs/>
                <w:szCs w:val="17"/>
                <w:lang w:eastAsia="en-US"/>
              </w:rPr>
              <w:t xml:space="preserve">  This figure is closer to 14 per cent when removing Tropical Cyclone Winston recovery funds from the bilateral program.</w:t>
            </w:r>
          </w:p>
          <w:p w14:paraId="39DB5A8A" w14:textId="77777777" w:rsidR="00DA28C5" w:rsidRPr="00133662" w:rsidRDefault="00DA28C5" w:rsidP="00AA7BE3">
            <w:pPr>
              <w:pStyle w:val="TableTextEntries"/>
              <w:keepNext/>
              <w:rPr>
                <w:rFonts w:asciiTheme="minorHAnsi" w:hAnsiTheme="minorHAnsi" w:cstheme="minorBidi"/>
                <w:color w:val="495965" w:themeColor="text2"/>
                <w:lang w:val="en-GB" w:eastAsia="en-US"/>
              </w:rPr>
            </w:pPr>
          </w:p>
        </w:tc>
      </w:tr>
    </w:tbl>
    <w:p w14:paraId="75F04D4C"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sz w:val="16"/>
          <w:szCs w:val="14"/>
        </w:rPr>
        <w:t xml:space="preserve">Note: </w:t>
      </w:r>
    </w:p>
    <w:p w14:paraId="1ED25612"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72AF2F"/>
          <w:sz w:val="16"/>
          <w:szCs w:val="14"/>
        </w:rPr>
        <w:sym w:font="Webdings" w:char="F067"/>
      </w:r>
      <w:r w:rsidRPr="00A427C6">
        <w:rPr>
          <w:rFonts w:eastAsia="Times New Roman"/>
          <w:b/>
          <w:sz w:val="16"/>
          <w:szCs w:val="14"/>
        </w:rPr>
        <w:t> </w:t>
      </w:r>
      <w:r w:rsidRPr="00A427C6">
        <w:rPr>
          <w:rFonts w:eastAsia="Times New Roman"/>
          <w:b/>
          <w:sz w:val="16"/>
          <w:szCs w:val="14"/>
        </w:rPr>
        <w:t xml:space="preserve"> Achieved</w:t>
      </w:r>
      <w:r w:rsidR="00B22B76">
        <w:rPr>
          <w:rFonts w:eastAsia="Times New Roman"/>
          <w:b/>
          <w:sz w:val="16"/>
          <w:szCs w:val="14"/>
        </w:rPr>
        <w:t xml:space="preserve">. </w:t>
      </w:r>
      <w:r w:rsidRPr="00A427C6">
        <w:rPr>
          <w:rFonts w:eastAsia="Times New Roman"/>
          <w:b/>
          <w:sz w:val="16"/>
          <w:szCs w:val="14"/>
        </w:rPr>
        <w:t xml:space="preserve">Significant progress has been made and the performance benchmark was achieved </w:t>
      </w:r>
    </w:p>
    <w:p w14:paraId="063CB4F4"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E36C0A"/>
          <w:sz w:val="16"/>
          <w:szCs w:val="14"/>
        </w:rPr>
        <w:sym w:font="Webdings" w:char="F067"/>
      </w:r>
      <w:r w:rsidRPr="00A427C6">
        <w:rPr>
          <w:rFonts w:eastAsia="Times New Roman"/>
          <w:b/>
          <w:sz w:val="16"/>
          <w:szCs w:val="14"/>
        </w:rPr>
        <w:t> </w:t>
      </w:r>
      <w:r w:rsidRPr="00A427C6">
        <w:rPr>
          <w:rFonts w:eastAsia="Times New Roman"/>
          <w:b/>
          <w:sz w:val="16"/>
          <w:szCs w:val="14"/>
        </w:rPr>
        <w:t xml:space="preserve"> Partly achieved</w:t>
      </w:r>
      <w:r w:rsidR="00B22B76">
        <w:rPr>
          <w:rFonts w:eastAsia="Times New Roman"/>
          <w:b/>
          <w:sz w:val="16"/>
          <w:szCs w:val="14"/>
        </w:rPr>
        <w:t xml:space="preserve">. </w:t>
      </w:r>
      <w:r w:rsidRPr="00A427C6">
        <w:rPr>
          <w:rFonts w:eastAsia="Times New Roman"/>
          <w:b/>
          <w:sz w:val="16"/>
          <w:szCs w:val="14"/>
        </w:rPr>
        <w:t xml:space="preserve">Some progress has been made towards achieving the performance benchmark, but progress was less than anticipated. </w:t>
      </w:r>
    </w:p>
    <w:p w14:paraId="61F6A1E5"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FF0000"/>
          <w:sz w:val="16"/>
          <w:szCs w:val="14"/>
        </w:rPr>
        <w:sym w:font="Webdings" w:char="F067"/>
      </w:r>
      <w:r w:rsidRPr="00A427C6">
        <w:rPr>
          <w:rFonts w:eastAsia="Times New Roman"/>
          <w:b/>
          <w:sz w:val="16"/>
          <w:szCs w:val="14"/>
        </w:rPr>
        <w:t> </w:t>
      </w:r>
      <w:r w:rsidRPr="00A427C6">
        <w:rPr>
          <w:rFonts w:eastAsia="Times New Roman"/>
          <w:b/>
          <w:sz w:val="16"/>
          <w:szCs w:val="14"/>
        </w:rPr>
        <w:t xml:space="preserve"> Not achieved. Progress towards the performance benchmark has been significantly below expectations</w:t>
      </w:r>
    </w:p>
    <w:p w14:paraId="4DADC34E" w14:textId="77777777" w:rsidR="00400B0F" w:rsidRPr="00A427C6" w:rsidRDefault="00400B0F" w:rsidP="00400B0F">
      <w:pPr>
        <w:spacing w:after="160" w:line="280" w:lineRule="exact"/>
        <w:rPr>
          <w:rFonts w:eastAsia="Times New Roman"/>
          <w:sz w:val="21"/>
        </w:rPr>
      </w:pPr>
    </w:p>
    <w:p w14:paraId="1E2A5D82" w14:textId="77777777" w:rsidR="00400B0F" w:rsidRPr="00784031" w:rsidRDefault="00400B0F" w:rsidP="00784031">
      <w:pPr>
        <w:pStyle w:val="Subtitle"/>
        <w:numPr>
          <w:ilvl w:val="0"/>
          <w:numId w:val="0"/>
        </w:numPr>
      </w:pPr>
      <w:r w:rsidRPr="00784031">
        <w:t>Annex C - Evaluation Planning</w:t>
      </w:r>
    </w:p>
    <w:p w14:paraId="5A51F35B" w14:textId="77777777" w:rsidR="00400B0F" w:rsidRPr="008C2F58" w:rsidRDefault="00400B0F" w:rsidP="008C2F58">
      <w:pPr>
        <w:rPr>
          <w:b/>
          <w:sz w:val="24"/>
        </w:rPr>
      </w:pPr>
      <w:r w:rsidRPr="008C2F58">
        <w:rPr>
          <w:b/>
          <w:sz w:val="24"/>
        </w:rPr>
        <w:t xml:space="preserve">List of evaluations completed in the reporting period </w:t>
      </w:r>
    </w:p>
    <w:tbl>
      <w:tblPr>
        <w:tblStyle w:val="APPR"/>
        <w:tblW w:w="14460" w:type="dxa"/>
        <w:tblLayout w:type="fixed"/>
        <w:tblLook w:val="04A0" w:firstRow="1" w:lastRow="0" w:firstColumn="1" w:lastColumn="0" w:noHBand="0" w:noVBand="1"/>
      </w:tblPr>
      <w:tblGrid>
        <w:gridCol w:w="3098"/>
        <w:gridCol w:w="3541"/>
        <w:gridCol w:w="1697"/>
        <w:gridCol w:w="2831"/>
        <w:gridCol w:w="1694"/>
        <w:gridCol w:w="28"/>
        <w:gridCol w:w="1524"/>
        <w:gridCol w:w="47"/>
      </w:tblGrid>
      <w:tr w:rsidR="00400B0F" w:rsidRPr="00C61187" w14:paraId="4C6BAC8E" w14:textId="77777777" w:rsidTr="009C7391">
        <w:trPr>
          <w:gridAfter w:val="1"/>
          <w:cnfStyle w:val="100000000000" w:firstRow="1" w:lastRow="0" w:firstColumn="0" w:lastColumn="0" w:oddVBand="0" w:evenVBand="0" w:oddHBand="0" w:evenHBand="0" w:firstRowFirstColumn="0" w:firstRowLastColumn="0" w:lastRowFirstColumn="0" w:lastRowLastColumn="0"/>
          <w:wAfter w:w="5" w:type="dxa"/>
          <w:trHeight w:val="884"/>
        </w:trPr>
        <w:tc>
          <w:tcPr>
            <w:tcW w:w="3056" w:type="dxa"/>
          </w:tcPr>
          <w:p w14:paraId="14F1CD91"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 xml:space="preserve">Investment number and name </w:t>
            </w:r>
          </w:p>
          <w:p w14:paraId="1B67EF8C" w14:textId="77777777" w:rsidR="00400B0F" w:rsidRPr="00A427C6" w:rsidRDefault="00400B0F" w:rsidP="006F27B1">
            <w:pPr>
              <w:keepLines/>
              <w:spacing w:line="200" w:lineRule="atLeast"/>
              <w:rPr>
                <w:rFonts w:asciiTheme="minorHAnsi" w:eastAsia="Times New Roman" w:hAnsiTheme="minorHAnsi"/>
                <w:b w:val="0"/>
                <w:iCs/>
                <w:szCs w:val="17"/>
                <w:lang w:eastAsia="en-US"/>
              </w:rPr>
            </w:pPr>
            <w:r w:rsidRPr="00A427C6">
              <w:rPr>
                <w:rFonts w:asciiTheme="minorHAnsi" w:eastAsia="Times New Roman" w:hAnsiTheme="minorHAnsi"/>
                <w:iCs/>
                <w:szCs w:val="17"/>
                <w:lang w:eastAsia="en-US"/>
              </w:rPr>
              <w:t xml:space="preserve">(if applicable) </w:t>
            </w:r>
          </w:p>
        </w:tc>
        <w:tc>
          <w:tcPr>
            <w:tcW w:w="3513" w:type="dxa"/>
          </w:tcPr>
          <w:p w14:paraId="7D5D865A"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Name of evaluation</w:t>
            </w:r>
          </w:p>
        </w:tc>
        <w:tc>
          <w:tcPr>
            <w:tcW w:w="1669" w:type="dxa"/>
          </w:tcPr>
          <w:p w14:paraId="07F82941"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Date completed</w:t>
            </w:r>
          </w:p>
        </w:tc>
        <w:tc>
          <w:tcPr>
            <w:tcW w:w="2803" w:type="dxa"/>
          </w:tcPr>
          <w:p w14:paraId="56534E25"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Date Evaluation report Uploaded into AidWorks</w:t>
            </w:r>
          </w:p>
        </w:tc>
        <w:tc>
          <w:tcPr>
            <w:tcW w:w="1666" w:type="dxa"/>
          </w:tcPr>
          <w:p w14:paraId="54E9CFBC"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Date Management response uploaded into AidWorks</w:t>
            </w:r>
          </w:p>
        </w:tc>
        <w:tc>
          <w:tcPr>
            <w:tcW w:w="1524" w:type="dxa"/>
            <w:gridSpan w:val="2"/>
          </w:tcPr>
          <w:p w14:paraId="28D34786" w14:textId="77777777" w:rsidR="00400B0F" w:rsidRPr="00A427C6" w:rsidRDefault="0031092C" w:rsidP="006F27B1">
            <w:pPr>
              <w:keepLines/>
              <w:spacing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 xml:space="preserve">Date </w:t>
            </w:r>
            <w:r w:rsidR="00400B0F" w:rsidRPr="00A427C6">
              <w:rPr>
                <w:rFonts w:asciiTheme="minorHAnsi" w:eastAsia="Times New Roman" w:hAnsiTheme="minorHAnsi"/>
                <w:iCs/>
                <w:szCs w:val="17"/>
                <w:lang w:eastAsia="en-US"/>
              </w:rPr>
              <w:t>Published on website</w:t>
            </w:r>
          </w:p>
        </w:tc>
      </w:tr>
      <w:tr w:rsidR="002D1680" w:rsidRPr="009C7391" w14:paraId="32EE949F" w14:textId="77777777" w:rsidTr="00015340">
        <w:trPr>
          <w:gridAfter w:val="1"/>
          <w:cnfStyle w:val="100000000000" w:firstRow="1" w:lastRow="0" w:firstColumn="0" w:lastColumn="0" w:oddVBand="0" w:evenVBand="0" w:oddHBand="0" w:evenHBand="0" w:firstRowFirstColumn="0" w:firstRowLastColumn="0" w:lastRowFirstColumn="0" w:lastRowLastColumn="0"/>
          <w:wAfter w:w="5" w:type="dxa"/>
        </w:trPr>
        <w:tc>
          <w:tcPr>
            <w:tcW w:w="3056" w:type="dxa"/>
          </w:tcPr>
          <w:p w14:paraId="59C7AB5C" w14:textId="77777777" w:rsidR="002D1680" w:rsidRPr="002D1680" w:rsidRDefault="002D1680" w:rsidP="002D1680">
            <w:pPr>
              <w:keepLines/>
              <w:spacing w:before="40" w:after="40" w:line="200" w:lineRule="atLeast"/>
              <w:rPr>
                <w:rFonts w:asciiTheme="minorHAnsi" w:eastAsia="Times New Roman" w:hAnsiTheme="minorHAnsi"/>
                <w:b w:val="0"/>
                <w:iCs/>
                <w:szCs w:val="17"/>
                <w:lang w:eastAsia="en-US"/>
              </w:rPr>
            </w:pPr>
            <w:r w:rsidRPr="002D1680">
              <w:rPr>
                <w:rFonts w:asciiTheme="minorHAnsi" w:eastAsia="Times New Roman" w:hAnsiTheme="minorHAnsi"/>
                <w:b w:val="0"/>
                <w:iCs/>
                <w:szCs w:val="17"/>
                <w:lang w:eastAsia="en-US"/>
              </w:rPr>
              <w:t xml:space="preserve">INJ640 Fiji Health Sector Support Program </w:t>
            </w:r>
          </w:p>
        </w:tc>
        <w:tc>
          <w:tcPr>
            <w:tcW w:w="3513" w:type="dxa"/>
          </w:tcPr>
          <w:p w14:paraId="5C05D837" w14:textId="77777777" w:rsidR="002D1680" w:rsidRPr="002D1680" w:rsidRDefault="002D1680" w:rsidP="006F27B1">
            <w:pPr>
              <w:keepLines/>
              <w:spacing w:before="40" w:after="40" w:line="200" w:lineRule="atLeast"/>
              <w:rPr>
                <w:rFonts w:asciiTheme="minorHAnsi" w:eastAsia="Times New Roman" w:hAnsiTheme="minorHAnsi"/>
                <w:b w:val="0"/>
                <w:iCs/>
                <w:szCs w:val="17"/>
                <w:lang w:eastAsia="en-US"/>
              </w:rPr>
            </w:pPr>
            <w:r w:rsidRPr="002D1680">
              <w:rPr>
                <w:rFonts w:asciiTheme="minorHAnsi" w:eastAsia="Times New Roman" w:hAnsiTheme="minorHAnsi"/>
                <w:b w:val="0"/>
                <w:iCs/>
                <w:szCs w:val="17"/>
                <w:lang w:eastAsia="en-US"/>
              </w:rPr>
              <w:t>End of Program Evaluation</w:t>
            </w:r>
          </w:p>
        </w:tc>
        <w:tc>
          <w:tcPr>
            <w:tcW w:w="1669" w:type="dxa"/>
          </w:tcPr>
          <w:p w14:paraId="6744901E" w14:textId="77777777" w:rsidR="002D1680" w:rsidRPr="002D1680" w:rsidRDefault="000F0F63" w:rsidP="006F27B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June</w:t>
            </w:r>
            <w:r w:rsidR="002D1680" w:rsidRPr="002D1680">
              <w:rPr>
                <w:rFonts w:asciiTheme="minorHAnsi" w:eastAsia="Times New Roman" w:hAnsiTheme="minorHAnsi"/>
                <w:b w:val="0"/>
                <w:iCs/>
                <w:szCs w:val="17"/>
                <w:lang w:eastAsia="en-US"/>
              </w:rPr>
              <w:t xml:space="preserve"> 2016</w:t>
            </w:r>
          </w:p>
        </w:tc>
        <w:tc>
          <w:tcPr>
            <w:tcW w:w="2803" w:type="dxa"/>
          </w:tcPr>
          <w:p w14:paraId="4C59BC71" w14:textId="77777777" w:rsidR="002D1680" w:rsidRPr="009C7391" w:rsidRDefault="000F0F63" w:rsidP="006F27B1">
            <w:pPr>
              <w:keepLines/>
              <w:spacing w:before="40" w:after="40" w:line="200" w:lineRule="atLeast"/>
              <w:rPr>
                <w:rFonts w:asciiTheme="minorHAnsi" w:eastAsia="Times New Roman" w:hAnsiTheme="minorHAnsi"/>
                <w:b w:val="0"/>
                <w:iCs/>
                <w:szCs w:val="17"/>
                <w:lang w:eastAsia="en-US"/>
              </w:rPr>
            </w:pPr>
            <w:r w:rsidRPr="009C7391">
              <w:rPr>
                <w:rFonts w:asciiTheme="minorHAnsi" w:eastAsia="Times New Roman" w:hAnsiTheme="minorHAnsi"/>
                <w:b w:val="0"/>
                <w:iCs/>
                <w:szCs w:val="17"/>
                <w:lang w:eastAsia="en-US"/>
              </w:rPr>
              <w:t>August 2016</w:t>
            </w:r>
          </w:p>
        </w:tc>
        <w:tc>
          <w:tcPr>
            <w:tcW w:w="1666" w:type="dxa"/>
          </w:tcPr>
          <w:p w14:paraId="299F2A52" w14:textId="77777777" w:rsidR="002D1680" w:rsidRPr="009C7391" w:rsidRDefault="000F0F63" w:rsidP="006F27B1">
            <w:pPr>
              <w:keepLines/>
              <w:spacing w:before="40" w:after="40" w:line="200" w:lineRule="atLeast"/>
              <w:rPr>
                <w:rFonts w:asciiTheme="minorHAnsi" w:eastAsia="Times New Roman" w:hAnsiTheme="minorHAnsi"/>
                <w:b w:val="0"/>
                <w:iCs/>
                <w:szCs w:val="17"/>
                <w:lang w:eastAsia="en-US"/>
              </w:rPr>
            </w:pPr>
            <w:r w:rsidRPr="009C7391">
              <w:rPr>
                <w:rFonts w:asciiTheme="minorHAnsi" w:eastAsia="Times New Roman" w:hAnsiTheme="minorHAnsi"/>
                <w:b w:val="0"/>
                <w:iCs/>
                <w:szCs w:val="17"/>
                <w:lang w:eastAsia="en-US"/>
              </w:rPr>
              <w:t>August 2016</w:t>
            </w:r>
          </w:p>
        </w:tc>
        <w:tc>
          <w:tcPr>
            <w:tcW w:w="1524" w:type="dxa"/>
            <w:gridSpan w:val="2"/>
          </w:tcPr>
          <w:p w14:paraId="5A275B83" w14:textId="77777777" w:rsidR="002D1680" w:rsidRPr="009C7391" w:rsidRDefault="00341B25" w:rsidP="006F27B1">
            <w:pPr>
              <w:keepLines/>
              <w:spacing w:before="40" w:after="40" w:line="200" w:lineRule="atLeast"/>
              <w:rPr>
                <w:rFonts w:asciiTheme="minorHAnsi" w:eastAsia="Times New Roman" w:hAnsiTheme="minorHAnsi"/>
                <w:b w:val="0"/>
                <w:iCs/>
                <w:szCs w:val="17"/>
                <w:lang w:eastAsia="en-US"/>
              </w:rPr>
            </w:pPr>
            <w:r w:rsidRPr="009C7391">
              <w:rPr>
                <w:rFonts w:asciiTheme="minorHAnsi" w:eastAsia="Times New Roman" w:hAnsiTheme="minorHAnsi"/>
                <w:b w:val="0"/>
                <w:iCs/>
                <w:szCs w:val="17"/>
                <w:lang w:eastAsia="en-US"/>
              </w:rPr>
              <w:t>To be published</w:t>
            </w:r>
          </w:p>
        </w:tc>
      </w:tr>
      <w:tr w:rsidR="008054F2" w:rsidRPr="003B5EE5" w14:paraId="598D57F8" w14:textId="77777777" w:rsidTr="00015340">
        <w:trPr>
          <w:gridAfter w:val="1"/>
          <w:cnfStyle w:val="100000000000" w:firstRow="1" w:lastRow="0" w:firstColumn="0" w:lastColumn="0" w:oddVBand="0" w:evenVBand="0" w:oddHBand="0" w:evenHBand="0" w:firstRowFirstColumn="0" w:firstRowLastColumn="0" w:lastRowFirstColumn="0" w:lastRowLastColumn="0"/>
          <w:wAfter w:w="5" w:type="dxa"/>
        </w:trPr>
        <w:tc>
          <w:tcPr>
            <w:tcW w:w="3056" w:type="dxa"/>
          </w:tcPr>
          <w:p w14:paraId="05C85E0C" w14:textId="77777777" w:rsidR="008054F2" w:rsidRPr="002D1680" w:rsidRDefault="008054F2" w:rsidP="0070569A">
            <w:pPr>
              <w:keepLines/>
              <w:spacing w:before="40" w:after="40" w:line="200" w:lineRule="atLeast"/>
              <w:rPr>
                <w:rFonts w:eastAsia="Times New Roman"/>
                <w:iCs/>
                <w:szCs w:val="17"/>
              </w:rPr>
            </w:pPr>
          </w:p>
        </w:tc>
        <w:tc>
          <w:tcPr>
            <w:tcW w:w="3513" w:type="dxa"/>
          </w:tcPr>
          <w:p w14:paraId="72CCB45E" w14:textId="77777777" w:rsidR="008054F2" w:rsidRPr="002D1680" w:rsidRDefault="008054F2" w:rsidP="006F27B1">
            <w:pPr>
              <w:keepLines/>
              <w:spacing w:before="40" w:after="40" w:line="200" w:lineRule="atLeast"/>
              <w:rPr>
                <w:rFonts w:eastAsia="Times New Roman"/>
                <w:iCs/>
                <w:szCs w:val="17"/>
              </w:rPr>
            </w:pPr>
          </w:p>
        </w:tc>
        <w:tc>
          <w:tcPr>
            <w:tcW w:w="1669" w:type="dxa"/>
          </w:tcPr>
          <w:p w14:paraId="32307B53" w14:textId="77777777" w:rsidR="008054F2" w:rsidRPr="002D1680" w:rsidRDefault="008054F2" w:rsidP="006F27B1">
            <w:pPr>
              <w:keepLines/>
              <w:spacing w:before="40" w:after="40" w:line="200" w:lineRule="atLeast"/>
              <w:rPr>
                <w:rFonts w:eastAsia="Times New Roman"/>
                <w:b w:val="0"/>
                <w:iCs/>
                <w:szCs w:val="17"/>
              </w:rPr>
            </w:pPr>
          </w:p>
        </w:tc>
        <w:tc>
          <w:tcPr>
            <w:tcW w:w="2803" w:type="dxa"/>
          </w:tcPr>
          <w:p w14:paraId="08F7FEB1" w14:textId="77777777" w:rsidR="008054F2" w:rsidRPr="002D1680" w:rsidRDefault="008054F2" w:rsidP="006F27B1">
            <w:pPr>
              <w:keepLines/>
              <w:spacing w:before="40" w:after="40" w:line="200" w:lineRule="atLeast"/>
              <w:rPr>
                <w:rFonts w:eastAsia="Times New Roman"/>
                <w:b w:val="0"/>
                <w:iCs/>
                <w:szCs w:val="17"/>
              </w:rPr>
            </w:pPr>
          </w:p>
        </w:tc>
        <w:tc>
          <w:tcPr>
            <w:tcW w:w="1666" w:type="dxa"/>
          </w:tcPr>
          <w:p w14:paraId="2CF2701E" w14:textId="77777777" w:rsidR="008054F2" w:rsidRPr="002D1680" w:rsidRDefault="008054F2" w:rsidP="006F27B1">
            <w:pPr>
              <w:keepLines/>
              <w:spacing w:before="40" w:after="40" w:line="200" w:lineRule="atLeast"/>
              <w:rPr>
                <w:rFonts w:eastAsia="Times New Roman"/>
                <w:b w:val="0"/>
                <w:iCs/>
                <w:szCs w:val="17"/>
              </w:rPr>
            </w:pPr>
          </w:p>
        </w:tc>
        <w:tc>
          <w:tcPr>
            <w:tcW w:w="1524" w:type="dxa"/>
            <w:gridSpan w:val="2"/>
          </w:tcPr>
          <w:p w14:paraId="6BC401FE" w14:textId="77777777" w:rsidR="008054F2" w:rsidRPr="002D1680" w:rsidRDefault="008054F2" w:rsidP="006F27B1">
            <w:pPr>
              <w:keepLines/>
              <w:spacing w:before="40" w:after="40" w:line="200" w:lineRule="atLeast"/>
              <w:rPr>
                <w:rFonts w:eastAsia="Times New Roman"/>
                <w:b w:val="0"/>
                <w:iCs/>
                <w:szCs w:val="17"/>
              </w:rPr>
            </w:pPr>
          </w:p>
        </w:tc>
      </w:tr>
      <w:tr w:rsidR="008054F2" w:rsidRPr="008054F2" w14:paraId="7B0C41AF" w14:textId="77777777" w:rsidTr="00015340">
        <w:trPr>
          <w:cnfStyle w:val="100000000000" w:firstRow="1" w:lastRow="0" w:firstColumn="0" w:lastColumn="0" w:oddVBand="0" w:evenVBand="0" w:oddHBand="0" w:evenHBand="0" w:firstRowFirstColumn="0" w:firstRowLastColumn="0" w:lastRowFirstColumn="0" w:lastRowLastColumn="0"/>
        </w:trPr>
        <w:tc>
          <w:tcPr>
            <w:tcW w:w="3056" w:type="dxa"/>
            <w:tcBorders>
              <w:left w:val="nil"/>
              <w:right w:val="nil"/>
            </w:tcBorders>
            <w:hideMark/>
          </w:tcPr>
          <w:p w14:paraId="1E74B81C" w14:textId="77777777" w:rsidR="008054F2" w:rsidRPr="008054F2" w:rsidRDefault="008054F2">
            <w:pPr>
              <w:keepLines/>
              <w:spacing w:before="40" w:after="40" w:line="200" w:lineRule="atLeast"/>
              <w:rPr>
                <w:rFonts w:asciiTheme="minorHAnsi" w:eastAsia="Times New Roman" w:hAnsiTheme="minorHAnsi"/>
                <w:b w:val="0"/>
                <w:iCs/>
                <w:szCs w:val="17"/>
                <w:lang w:eastAsia="en-US"/>
              </w:rPr>
            </w:pPr>
            <w:r w:rsidRPr="008054F2">
              <w:rPr>
                <w:rFonts w:asciiTheme="minorHAnsi" w:eastAsia="Times New Roman" w:hAnsiTheme="minorHAnsi"/>
                <w:b w:val="0"/>
                <w:iCs/>
                <w:szCs w:val="17"/>
                <w:lang w:eastAsia="en-US"/>
              </w:rPr>
              <w:t xml:space="preserve">INI 851 Pacific Horticulture and Agricultural Market Access </w:t>
            </w:r>
          </w:p>
        </w:tc>
        <w:tc>
          <w:tcPr>
            <w:tcW w:w="3513" w:type="dxa"/>
            <w:tcBorders>
              <w:left w:val="nil"/>
              <w:right w:val="nil"/>
            </w:tcBorders>
            <w:hideMark/>
          </w:tcPr>
          <w:p w14:paraId="7EC7DD0A" w14:textId="77777777" w:rsidR="008054F2" w:rsidRPr="008054F2" w:rsidRDefault="008054F2">
            <w:pPr>
              <w:keepLines/>
              <w:spacing w:before="40" w:after="40" w:line="200" w:lineRule="atLeast"/>
              <w:rPr>
                <w:rFonts w:asciiTheme="minorHAnsi" w:eastAsia="Times New Roman" w:hAnsiTheme="minorHAnsi"/>
                <w:b w:val="0"/>
                <w:iCs/>
                <w:szCs w:val="17"/>
                <w:lang w:eastAsia="en-US"/>
              </w:rPr>
            </w:pPr>
            <w:r w:rsidRPr="008054F2">
              <w:rPr>
                <w:rFonts w:asciiTheme="minorHAnsi" w:eastAsia="Times New Roman" w:hAnsiTheme="minorHAnsi"/>
                <w:b w:val="0"/>
                <w:iCs/>
                <w:szCs w:val="17"/>
                <w:lang w:eastAsia="en-US"/>
              </w:rPr>
              <w:t xml:space="preserve">Independent Evaluation </w:t>
            </w:r>
          </w:p>
        </w:tc>
        <w:tc>
          <w:tcPr>
            <w:tcW w:w="1669" w:type="dxa"/>
            <w:tcBorders>
              <w:left w:val="nil"/>
              <w:right w:val="nil"/>
            </w:tcBorders>
            <w:hideMark/>
          </w:tcPr>
          <w:p w14:paraId="5477C4CA" w14:textId="77777777" w:rsidR="008054F2" w:rsidRPr="008054F2" w:rsidRDefault="008054F2">
            <w:pPr>
              <w:keepLines/>
              <w:spacing w:before="40" w:after="40" w:line="200" w:lineRule="atLeast"/>
              <w:rPr>
                <w:rFonts w:asciiTheme="minorHAnsi" w:eastAsia="Times New Roman" w:hAnsiTheme="minorHAnsi"/>
                <w:b w:val="0"/>
                <w:iCs/>
                <w:szCs w:val="17"/>
                <w:lang w:eastAsia="en-US"/>
              </w:rPr>
            </w:pPr>
            <w:r w:rsidRPr="008054F2">
              <w:rPr>
                <w:rFonts w:asciiTheme="minorHAnsi" w:eastAsia="Times New Roman" w:hAnsiTheme="minorHAnsi"/>
                <w:b w:val="0"/>
                <w:iCs/>
                <w:szCs w:val="17"/>
                <w:lang w:eastAsia="en-US"/>
              </w:rPr>
              <w:t>June 2016</w:t>
            </w:r>
          </w:p>
        </w:tc>
        <w:tc>
          <w:tcPr>
            <w:tcW w:w="2803" w:type="dxa"/>
            <w:tcBorders>
              <w:left w:val="nil"/>
              <w:right w:val="nil"/>
            </w:tcBorders>
            <w:hideMark/>
          </w:tcPr>
          <w:p w14:paraId="11C5527A" w14:textId="77777777" w:rsidR="008054F2" w:rsidRPr="008054F2" w:rsidRDefault="008054F2">
            <w:pPr>
              <w:keepLines/>
              <w:spacing w:before="40" w:after="40" w:line="200" w:lineRule="atLeast"/>
              <w:rPr>
                <w:rFonts w:asciiTheme="minorHAnsi" w:eastAsia="Times New Roman" w:hAnsiTheme="minorHAnsi"/>
                <w:b w:val="0"/>
                <w:iCs/>
                <w:szCs w:val="17"/>
                <w:lang w:eastAsia="en-US"/>
              </w:rPr>
            </w:pPr>
            <w:r w:rsidRPr="008054F2">
              <w:rPr>
                <w:rFonts w:asciiTheme="minorHAnsi" w:eastAsia="Times New Roman" w:hAnsiTheme="minorHAnsi"/>
                <w:b w:val="0"/>
                <w:iCs/>
                <w:szCs w:val="17"/>
                <w:lang w:eastAsia="en-US"/>
              </w:rPr>
              <w:t xml:space="preserve">In progress </w:t>
            </w:r>
          </w:p>
        </w:tc>
        <w:tc>
          <w:tcPr>
            <w:tcW w:w="1694" w:type="dxa"/>
            <w:gridSpan w:val="2"/>
            <w:tcBorders>
              <w:left w:val="nil"/>
              <w:right w:val="nil"/>
            </w:tcBorders>
            <w:hideMark/>
          </w:tcPr>
          <w:p w14:paraId="59F9C4AC" w14:textId="77777777" w:rsidR="008054F2" w:rsidRPr="008054F2" w:rsidRDefault="008054F2">
            <w:pPr>
              <w:keepLines/>
              <w:spacing w:before="40" w:after="40" w:line="200" w:lineRule="atLeast"/>
              <w:rPr>
                <w:rFonts w:asciiTheme="minorHAnsi" w:eastAsia="Times New Roman" w:hAnsiTheme="minorHAnsi"/>
                <w:b w:val="0"/>
                <w:iCs/>
                <w:szCs w:val="17"/>
                <w:lang w:eastAsia="en-US"/>
              </w:rPr>
            </w:pPr>
            <w:r w:rsidRPr="008054F2">
              <w:rPr>
                <w:rFonts w:asciiTheme="minorHAnsi" w:eastAsia="Times New Roman" w:hAnsiTheme="minorHAnsi"/>
                <w:b w:val="0"/>
                <w:iCs/>
                <w:szCs w:val="17"/>
                <w:lang w:eastAsia="en-US"/>
              </w:rPr>
              <w:t>Comments in progress</w:t>
            </w:r>
          </w:p>
        </w:tc>
        <w:tc>
          <w:tcPr>
            <w:tcW w:w="1529" w:type="dxa"/>
            <w:gridSpan w:val="2"/>
            <w:tcBorders>
              <w:left w:val="nil"/>
              <w:right w:val="nil"/>
            </w:tcBorders>
            <w:hideMark/>
          </w:tcPr>
          <w:p w14:paraId="5DFAD6B8" w14:textId="77777777" w:rsidR="008054F2" w:rsidRPr="008054F2" w:rsidRDefault="008054F2">
            <w:pPr>
              <w:keepLines/>
              <w:spacing w:before="40" w:after="40" w:line="200" w:lineRule="atLeast"/>
              <w:rPr>
                <w:rFonts w:asciiTheme="minorHAnsi" w:eastAsia="Times New Roman" w:hAnsiTheme="minorHAnsi"/>
                <w:b w:val="0"/>
                <w:iCs/>
                <w:szCs w:val="17"/>
                <w:lang w:eastAsia="en-US"/>
              </w:rPr>
            </w:pPr>
            <w:r w:rsidRPr="008054F2">
              <w:rPr>
                <w:rFonts w:asciiTheme="minorHAnsi" w:eastAsia="Times New Roman" w:hAnsiTheme="minorHAnsi"/>
                <w:b w:val="0"/>
                <w:iCs/>
                <w:szCs w:val="17"/>
                <w:lang w:eastAsia="en-US"/>
              </w:rPr>
              <w:t>In progress</w:t>
            </w:r>
          </w:p>
        </w:tc>
      </w:tr>
      <w:tr w:rsidR="0031092C" w:rsidRPr="003B5EE5" w14:paraId="5DD410E0" w14:textId="77777777" w:rsidTr="00015340">
        <w:trPr>
          <w:gridAfter w:val="1"/>
          <w:cnfStyle w:val="100000000000" w:firstRow="1" w:lastRow="0" w:firstColumn="0" w:lastColumn="0" w:oddVBand="0" w:evenVBand="0" w:oddHBand="0" w:evenHBand="0" w:firstRowFirstColumn="0" w:firstRowLastColumn="0" w:lastRowFirstColumn="0" w:lastRowLastColumn="0"/>
          <w:wAfter w:w="5" w:type="dxa"/>
        </w:trPr>
        <w:tc>
          <w:tcPr>
            <w:tcW w:w="3056" w:type="dxa"/>
          </w:tcPr>
          <w:p w14:paraId="2040C58C" w14:textId="77777777" w:rsidR="0031092C" w:rsidRPr="002D1680" w:rsidRDefault="0031092C" w:rsidP="0070569A">
            <w:pPr>
              <w:keepLines/>
              <w:spacing w:before="40" w:after="40" w:line="200" w:lineRule="atLeast"/>
              <w:rPr>
                <w:rFonts w:eastAsia="Times New Roman"/>
                <w:b w:val="0"/>
                <w:iCs/>
                <w:szCs w:val="17"/>
              </w:rPr>
            </w:pPr>
          </w:p>
        </w:tc>
        <w:tc>
          <w:tcPr>
            <w:tcW w:w="3513" w:type="dxa"/>
          </w:tcPr>
          <w:p w14:paraId="6FE73FC8" w14:textId="77777777" w:rsidR="0031092C" w:rsidRPr="002D1680" w:rsidRDefault="0031092C" w:rsidP="006F27B1">
            <w:pPr>
              <w:keepLines/>
              <w:spacing w:before="40" w:after="40" w:line="200" w:lineRule="atLeast"/>
              <w:rPr>
                <w:rFonts w:eastAsia="Times New Roman"/>
                <w:b w:val="0"/>
                <w:iCs/>
                <w:szCs w:val="17"/>
              </w:rPr>
            </w:pPr>
          </w:p>
        </w:tc>
        <w:tc>
          <w:tcPr>
            <w:tcW w:w="1669" w:type="dxa"/>
          </w:tcPr>
          <w:p w14:paraId="1586D724" w14:textId="77777777" w:rsidR="0031092C" w:rsidRPr="002D1680" w:rsidRDefault="0031092C" w:rsidP="006F27B1">
            <w:pPr>
              <w:keepLines/>
              <w:spacing w:before="40" w:after="40" w:line="200" w:lineRule="atLeast"/>
              <w:rPr>
                <w:rFonts w:eastAsia="Times New Roman"/>
                <w:b w:val="0"/>
                <w:iCs/>
                <w:szCs w:val="17"/>
              </w:rPr>
            </w:pPr>
          </w:p>
        </w:tc>
        <w:tc>
          <w:tcPr>
            <w:tcW w:w="2803" w:type="dxa"/>
          </w:tcPr>
          <w:p w14:paraId="70F840BD" w14:textId="77777777" w:rsidR="0031092C" w:rsidRPr="002D1680" w:rsidRDefault="0031092C" w:rsidP="006F27B1">
            <w:pPr>
              <w:keepLines/>
              <w:spacing w:before="40" w:after="40" w:line="200" w:lineRule="atLeast"/>
              <w:rPr>
                <w:rFonts w:eastAsia="Times New Roman"/>
                <w:b w:val="0"/>
                <w:iCs/>
                <w:szCs w:val="17"/>
              </w:rPr>
            </w:pPr>
          </w:p>
        </w:tc>
        <w:tc>
          <w:tcPr>
            <w:tcW w:w="1666" w:type="dxa"/>
          </w:tcPr>
          <w:p w14:paraId="7ED8897E" w14:textId="77777777" w:rsidR="0031092C" w:rsidRPr="002D1680" w:rsidRDefault="0031092C" w:rsidP="006F27B1">
            <w:pPr>
              <w:keepLines/>
              <w:spacing w:before="40" w:after="40" w:line="200" w:lineRule="atLeast"/>
              <w:rPr>
                <w:rFonts w:eastAsia="Times New Roman"/>
                <w:b w:val="0"/>
                <w:iCs/>
                <w:szCs w:val="17"/>
              </w:rPr>
            </w:pPr>
          </w:p>
        </w:tc>
        <w:tc>
          <w:tcPr>
            <w:tcW w:w="1524" w:type="dxa"/>
            <w:gridSpan w:val="2"/>
          </w:tcPr>
          <w:p w14:paraId="541FAA46" w14:textId="77777777" w:rsidR="0031092C" w:rsidRPr="002D1680" w:rsidRDefault="0031092C" w:rsidP="006F27B1">
            <w:pPr>
              <w:keepLines/>
              <w:spacing w:before="40" w:after="40" w:line="200" w:lineRule="atLeast"/>
              <w:rPr>
                <w:rFonts w:eastAsia="Times New Roman"/>
                <w:b w:val="0"/>
                <w:iCs/>
                <w:szCs w:val="17"/>
              </w:rPr>
            </w:pPr>
          </w:p>
        </w:tc>
      </w:tr>
    </w:tbl>
    <w:p w14:paraId="2B984C39" w14:textId="77777777" w:rsidR="00400B0F" w:rsidRPr="008C2F58" w:rsidRDefault="00400B0F" w:rsidP="008C2F58">
      <w:pPr>
        <w:rPr>
          <w:b/>
          <w:sz w:val="24"/>
        </w:rPr>
      </w:pPr>
      <w:r w:rsidRPr="008C2F58">
        <w:rPr>
          <w:b/>
          <w:sz w:val="24"/>
        </w:rPr>
        <w:t xml:space="preserve">List of program prioritised evaluations planned for the next 12 months </w:t>
      </w:r>
    </w:p>
    <w:tbl>
      <w:tblPr>
        <w:tblStyle w:val="APPR"/>
        <w:tblW w:w="0" w:type="auto"/>
        <w:tblLook w:val="0600" w:firstRow="0" w:lastRow="0" w:firstColumn="0" w:lastColumn="0" w:noHBand="1" w:noVBand="1"/>
      </w:tblPr>
      <w:tblGrid>
        <w:gridCol w:w="2463"/>
        <w:gridCol w:w="2361"/>
        <w:gridCol w:w="2444"/>
        <w:gridCol w:w="2047"/>
        <w:gridCol w:w="3329"/>
        <w:gridCol w:w="1529"/>
      </w:tblGrid>
      <w:tr w:rsidR="00400B0F" w:rsidRPr="00C61187" w14:paraId="52AC28A2" w14:textId="77777777" w:rsidTr="008054F2">
        <w:tc>
          <w:tcPr>
            <w:tcW w:w="2472" w:type="dxa"/>
          </w:tcPr>
          <w:p w14:paraId="0CB1014C"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Evaluation title</w:t>
            </w:r>
          </w:p>
        </w:tc>
        <w:tc>
          <w:tcPr>
            <w:tcW w:w="2381" w:type="dxa"/>
          </w:tcPr>
          <w:p w14:paraId="7D8B8B3C"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 xml:space="preserve">Investment number and name (if applicable) </w:t>
            </w:r>
          </w:p>
        </w:tc>
        <w:tc>
          <w:tcPr>
            <w:tcW w:w="2459" w:type="dxa"/>
          </w:tcPr>
          <w:p w14:paraId="6D6979B3"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Date – planned commencement (month/year)</w:t>
            </w:r>
          </w:p>
        </w:tc>
        <w:tc>
          <w:tcPr>
            <w:tcW w:w="2054" w:type="dxa"/>
          </w:tcPr>
          <w:p w14:paraId="026EC071"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Date – planned completion (month/year)</w:t>
            </w:r>
          </w:p>
        </w:tc>
        <w:tc>
          <w:tcPr>
            <w:tcW w:w="3374" w:type="dxa"/>
          </w:tcPr>
          <w:p w14:paraId="6DD95EA1"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Purpose of evaluation</w:t>
            </w:r>
          </w:p>
        </w:tc>
        <w:tc>
          <w:tcPr>
            <w:tcW w:w="1509" w:type="dxa"/>
          </w:tcPr>
          <w:p w14:paraId="47102D71"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Evaluation type</w:t>
            </w:r>
          </w:p>
        </w:tc>
      </w:tr>
      <w:tr w:rsidR="00513B7C" w:rsidRPr="00C61187" w14:paraId="1DD13E9F" w14:textId="77777777" w:rsidTr="008054F2">
        <w:tc>
          <w:tcPr>
            <w:tcW w:w="2472" w:type="dxa"/>
          </w:tcPr>
          <w:p w14:paraId="319FADDD" w14:textId="77777777" w:rsidR="00513B7C" w:rsidRPr="006F7035" w:rsidRDefault="00EE6245" w:rsidP="006F27B1">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Fiji Community Development Program </w:t>
            </w:r>
            <w:r w:rsidR="009B5731">
              <w:rPr>
                <w:rFonts w:asciiTheme="minorHAnsi" w:eastAsia="Times New Roman" w:hAnsiTheme="minorHAnsi"/>
                <w:iCs/>
                <w:szCs w:val="17"/>
                <w:lang w:eastAsia="en-US"/>
              </w:rPr>
              <w:t>(FCDP)</w:t>
            </w:r>
          </w:p>
          <w:p w14:paraId="55DDB70C" w14:textId="77777777" w:rsidR="000A40E3" w:rsidRPr="006F7035" w:rsidRDefault="000A40E3" w:rsidP="006F27B1">
            <w:pPr>
              <w:keepLines/>
              <w:spacing w:before="40" w:after="40" w:line="200" w:lineRule="atLeast"/>
              <w:rPr>
                <w:rFonts w:asciiTheme="minorHAnsi" w:eastAsia="Times New Roman" w:hAnsiTheme="minorHAnsi"/>
                <w:iCs/>
                <w:szCs w:val="17"/>
                <w:lang w:eastAsia="en-US"/>
              </w:rPr>
            </w:pPr>
          </w:p>
        </w:tc>
        <w:tc>
          <w:tcPr>
            <w:tcW w:w="2381" w:type="dxa"/>
          </w:tcPr>
          <w:p w14:paraId="35C4374E" w14:textId="77777777" w:rsidR="00513B7C" w:rsidRPr="006F7035" w:rsidRDefault="00EE6245" w:rsidP="0013366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INK130 Fiji Community Development</w:t>
            </w:r>
          </w:p>
        </w:tc>
        <w:tc>
          <w:tcPr>
            <w:tcW w:w="2459" w:type="dxa"/>
          </w:tcPr>
          <w:p w14:paraId="438A6D0C" w14:textId="77777777" w:rsidR="000A40E3" w:rsidRPr="006F7035" w:rsidRDefault="0049790A" w:rsidP="0013366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February 2017</w:t>
            </w:r>
            <w:r w:rsidR="00133662" w:rsidRPr="006F7035">
              <w:rPr>
                <w:rFonts w:asciiTheme="minorHAnsi" w:eastAsia="Times New Roman" w:hAnsiTheme="minorHAnsi"/>
                <w:iCs/>
                <w:szCs w:val="17"/>
                <w:lang w:eastAsia="en-US"/>
              </w:rPr>
              <w:t xml:space="preserve"> </w:t>
            </w:r>
          </w:p>
        </w:tc>
        <w:tc>
          <w:tcPr>
            <w:tcW w:w="2054" w:type="dxa"/>
          </w:tcPr>
          <w:p w14:paraId="30864AAA" w14:textId="77777777" w:rsidR="00513B7C" w:rsidRPr="006F7035" w:rsidRDefault="0049790A" w:rsidP="0013366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April 2017</w:t>
            </w:r>
            <w:r w:rsidR="00133662" w:rsidRPr="006F7035">
              <w:rPr>
                <w:rFonts w:asciiTheme="minorHAnsi" w:eastAsia="Times New Roman" w:hAnsiTheme="minorHAnsi"/>
                <w:iCs/>
                <w:szCs w:val="17"/>
                <w:lang w:eastAsia="en-US"/>
              </w:rPr>
              <w:t xml:space="preserve"> </w:t>
            </w:r>
          </w:p>
        </w:tc>
        <w:tc>
          <w:tcPr>
            <w:tcW w:w="3374" w:type="dxa"/>
          </w:tcPr>
          <w:p w14:paraId="2AEB256A" w14:textId="77777777" w:rsidR="00513B7C" w:rsidRPr="006F7035" w:rsidRDefault="0049790A">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To evaluate the </w:t>
            </w:r>
            <w:r w:rsidR="009B5731">
              <w:rPr>
                <w:rFonts w:asciiTheme="minorHAnsi" w:eastAsia="Times New Roman" w:hAnsiTheme="minorHAnsi"/>
                <w:iCs/>
                <w:szCs w:val="17"/>
                <w:lang w:eastAsia="en-US"/>
              </w:rPr>
              <w:t xml:space="preserve">FCDP </w:t>
            </w:r>
            <w:r w:rsidR="008054F2" w:rsidRPr="006F7035">
              <w:rPr>
                <w:rFonts w:asciiTheme="minorHAnsi" w:eastAsia="Times New Roman" w:hAnsiTheme="minorHAnsi"/>
                <w:iCs/>
                <w:szCs w:val="17"/>
                <w:lang w:eastAsia="en-US"/>
              </w:rPr>
              <w:t xml:space="preserve">against </w:t>
            </w:r>
            <w:r w:rsidRPr="006F7035">
              <w:rPr>
                <w:rFonts w:asciiTheme="minorHAnsi" w:eastAsia="Times New Roman" w:hAnsiTheme="minorHAnsi"/>
                <w:iCs/>
                <w:szCs w:val="17"/>
                <w:lang w:eastAsia="en-US"/>
              </w:rPr>
              <w:t>its objectives, assess its implementation approach, compile lessons lear</w:t>
            </w:r>
            <w:r w:rsidR="008054F2" w:rsidRPr="006F7035">
              <w:rPr>
                <w:rFonts w:asciiTheme="minorHAnsi" w:eastAsia="Times New Roman" w:hAnsiTheme="minorHAnsi"/>
                <w:iCs/>
                <w:szCs w:val="17"/>
                <w:lang w:eastAsia="en-US"/>
              </w:rPr>
              <w:t>nt, and provide recommendations to</w:t>
            </w:r>
            <w:r w:rsidRPr="006F7035">
              <w:rPr>
                <w:rFonts w:asciiTheme="minorHAnsi" w:eastAsia="Times New Roman" w:hAnsiTheme="minorHAnsi"/>
                <w:iCs/>
                <w:szCs w:val="17"/>
                <w:lang w:eastAsia="en-US"/>
              </w:rPr>
              <w:t xml:space="preserve"> inform DFAT’s future engagement with the civil society sector in Fiji</w:t>
            </w:r>
          </w:p>
        </w:tc>
        <w:tc>
          <w:tcPr>
            <w:tcW w:w="1509" w:type="dxa"/>
          </w:tcPr>
          <w:p w14:paraId="1A071C31" w14:textId="77777777" w:rsidR="00513B7C" w:rsidRPr="006F7035" w:rsidRDefault="00207B5F" w:rsidP="006F27B1">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DFAT-led</w:t>
            </w:r>
          </w:p>
        </w:tc>
      </w:tr>
      <w:tr w:rsidR="00400B0F" w:rsidRPr="00F613EA" w14:paraId="2149A911" w14:textId="77777777" w:rsidTr="008054F2">
        <w:tc>
          <w:tcPr>
            <w:tcW w:w="2472" w:type="dxa"/>
          </w:tcPr>
          <w:p w14:paraId="7F5C23CA" w14:textId="77777777" w:rsidR="00400B0F" w:rsidRPr="006F7035" w:rsidRDefault="00133662" w:rsidP="006F27B1">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End of Program Evaluation</w:t>
            </w:r>
          </w:p>
        </w:tc>
        <w:tc>
          <w:tcPr>
            <w:tcW w:w="2381" w:type="dxa"/>
          </w:tcPr>
          <w:p w14:paraId="0CD5E7E9" w14:textId="77777777" w:rsidR="00400B0F" w:rsidRPr="006F7035" w:rsidRDefault="00133662" w:rsidP="006F27B1">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INJ515 Access to Quality Education Program</w:t>
            </w:r>
          </w:p>
        </w:tc>
        <w:tc>
          <w:tcPr>
            <w:tcW w:w="2459" w:type="dxa"/>
          </w:tcPr>
          <w:p w14:paraId="052E7BF0" w14:textId="77777777" w:rsidR="00400B0F" w:rsidRPr="006F7035" w:rsidRDefault="00133662" w:rsidP="00207B5F">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Sept</w:t>
            </w:r>
            <w:r w:rsidR="00207B5F" w:rsidRPr="006F7035">
              <w:rPr>
                <w:rFonts w:asciiTheme="minorHAnsi" w:eastAsia="Times New Roman" w:hAnsiTheme="minorHAnsi"/>
                <w:iCs/>
                <w:szCs w:val="17"/>
                <w:lang w:eastAsia="en-US"/>
              </w:rPr>
              <w:t>ember</w:t>
            </w:r>
            <w:r w:rsidRPr="006F7035">
              <w:rPr>
                <w:rFonts w:asciiTheme="minorHAnsi" w:eastAsia="Times New Roman" w:hAnsiTheme="minorHAnsi"/>
                <w:iCs/>
                <w:szCs w:val="17"/>
                <w:lang w:eastAsia="en-US"/>
              </w:rPr>
              <w:t xml:space="preserve"> 2016</w:t>
            </w:r>
          </w:p>
        </w:tc>
        <w:tc>
          <w:tcPr>
            <w:tcW w:w="2054" w:type="dxa"/>
          </w:tcPr>
          <w:p w14:paraId="635552B1" w14:textId="77777777" w:rsidR="00400B0F" w:rsidRPr="006F7035" w:rsidRDefault="00133662" w:rsidP="006F27B1">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Dec</w:t>
            </w:r>
            <w:r w:rsidR="00207B5F" w:rsidRPr="006F7035">
              <w:rPr>
                <w:rFonts w:asciiTheme="minorHAnsi" w:eastAsia="Times New Roman" w:hAnsiTheme="minorHAnsi"/>
                <w:iCs/>
                <w:szCs w:val="17"/>
                <w:lang w:eastAsia="en-US"/>
              </w:rPr>
              <w:t>ember</w:t>
            </w:r>
            <w:r w:rsidRPr="006F7035">
              <w:rPr>
                <w:rFonts w:asciiTheme="minorHAnsi" w:eastAsia="Times New Roman" w:hAnsiTheme="minorHAnsi"/>
                <w:iCs/>
                <w:szCs w:val="17"/>
                <w:lang w:eastAsia="en-US"/>
              </w:rPr>
              <w:t xml:space="preserve"> 2016</w:t>
            </w:r>
          </w:p>
        </w:tc>
        <w:tc>
          <w:tcPr>
            <w:tcW w:w="3374" w:type="dxa"/>
          </w:tcPr>
          <w:p w14:paraId="5B524C75" w14:textId="77777777" w:rsidR="00400B0F" w:rsidRPr="006F7035" w:rsidRDefault="008054F2" w:rsidP="00207B5F">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To demonstrate results</w:t>
            </w:r>
            <w:r w:rsidR="00207B5F" w:rsidRPr="006F7035">
              <w:rPr>
                <w:rFonts w:asciiTheme="minorHAnsi" w:eastAsia="Times New Roman" w:hAnsiTheme="minorHAnsi"/>
                <w:iCs/>
                <w:szCs w:val="17"/>
                <w:lang w:eastAsia="en-US"/>
              </w:rPr>
              <w:t xml:space="preserve"> and </w:t>
            </w:r>
            <w:r w:rsidRPr="006F7035">
              <w:rPr>
                <w:rFonts w:asciiTheme="minorHAnsi" w:eastAsia="Times New Roman" w:hAnsiTheme="minorHAnsi"/>
                <w:iCs/>
                <w:szCs w:val="17"/>
                <w:lang w:eastAsia="en-US"/>
              </w:rPr>
              <w:t xml:space="preserve">verify performance </w:t>
            </w:r>
            <w:r w:rsidR="00207B5F" w:rsidRPr="006F7035">
              <w:rPr>
                <w:rFonts w:asciiTheme="minorHAnsi" w:eastAsia="Times New Roman" w:hAnsiTheme="minorHAnsi"/>
                <w:iCs/>
                <w:szCs w:val="17"/>
                <w:lang w:eastAsia="en-US"/>
              </w:rPr>
              <w:t xml:space="preserve">of Access to Quality Education Program </w:t>
            </w:r>
            <w:r w:rsidRPr="006F7035">
              <w:rPr>
                <w:rFonts w:asciiTheme="minorHAnsi" w:eastAsia="Times New Roman" w:hAnsiTheme="minorHAnsi"/>
                <w:iCs/>
                <w:szCs w:val="17"/>
                <w:lang w:eastAsia="en-US"/>
              </w:rPr>
              <w:t xml:space="preserve">and </w:t>
            </w:r>
            <w:r w:rsidR="00133662" w:rsidRPr="006F7035">
              <w:rPr>
                <w:rFonts w:asciiTheme="minorHAnsi" w:eastAsia="Times New Roman" w:hAnsiTheme="minorHAnsi"/>
                <w:iCs/>
                <w:szCs w:val="17"/>
                <w:lang w:eastAsia="en-US"/>
              </w:rPr>
              <w:t>inform new design</w:t>
            </w:r>
          </w:p>
        </w:tc>
        <w:tc>
          <w:tcPr>
            <w:tcW w:w="1509" w:type="dxa"/>
          </w:tcPr>
          <w:p w14:paraId="7F4BFD84" w14:textId="77777777" w:rsidR="00400B0F" w:rsidRPr="006F7035" w:rsidRDefault="00133662" w:rsidP="008054F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DFAT</w:t>
            </w:r>
            <w:r w:rsidR="00207B5F" w:rsidRPr="006F7035">
              <w:rPr>
                <w:rFonts w:asciiTheme="minorHAnsi" w:eastAsia="Times New Roman" w:hAnsiTheme="minorHAnsi"/>
                <w:iCs/>
                <w:szCs w:val="17"/>
                <w:lang w:eastAsia="en-US"/>
              </w:rPr>
              <w:t>-</w:t>
            </w:r>
            <w:r w:rsidRPr="006F7035">
              <w:rPr>
                <w:rFonts w:asciiTheme="minorHAnsi" w:eastAsia="Times New Roman" w:hAnsiTheme="minorHAnsi"/>
                <w:iCs/>
                <w:szCs w:val="17"/>
                <w:lang w:eastAsia="en-US"/>
              </w:rPr>
              <w:t>led</w:t>
            </w:r>
          </w:p>
        </w:tc>
      </w:tr>
      <w:tr w:rsidR="008054F2" w:rsidRPr="00F613EA" w14:paraId="1F1EDA26" w14:textId="77777777" w:rsidTr="008054F2">
        <w:tc>
          <w:tcPr>
            <w:tcW w:w="2472" w:type="dxa"/>
          </w:tcPr>
          <w:p w14:paraId="21E7AB3F" w14:textId="77777777" w:rsidR="008054F2" w:rsidRPr="006F7035" w:rsidRDefault="008054F2" w:rsidP="008054F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Mid-Term Review  </w:t>
            </w:r>
          </w:p>
        </w:tc>
        <w:tc>
          <w:tcPr>
            <w:tcW w:w="2381" w:type="dxa"/>
          </w:tcPr>
          <w:p w14:paraId="4FA160F5" w14:textId="77777777" w:rsidR="008054F2" w:rsidRPr="006F7035" w:rsidRDefault="008054F2" w:rsidP="008054F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INI898 Pacific Financial Inclusion Program </w:t>
            </w:r>
          </w:p>
        </w:tc>
        <w:tc>
          <w:tcPr>
            <w:tcW w:w="2459" w:type="dxa"/>
          </w:tcPr>
          <w:p w14:paraId="7D11855F" w14:textId="77777777" w:rsidR="008054F2" w:rsidRPr="006F7035" w:rsidRDefault="008054F2" w:rsidP="00207B5F">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September </w:t>
            </w:r>
            <w:r w:rsidR="00207B5F" w:rsidRPr="006F7035">
              <w:rPr>
                <w:rFonts w:asciiTheme="minorHAnsi" w:eastAsia="Times New Roman" w:hAnsiTheme="minorHAnsi"/>
                <w:iCs/>
                <w:szCs w:val="17"/>
                <w:lang w:eastAsia="en-US"/>
              </w:rPr>
              <w:t>2016</w:t>
            </w:r>
          </w:p>
        </w:tc>
        <w:tc>
          <w:tcPr>
            <w:tcW w:w="2054" w:type="dxa"/>
          </w:tcPr>
          <w:p w14:paraId="24367CB5" w14:textId="77777777" w:rsidR="008054F2" w:rsidRPr="006F7035" w:rsidRDefault="008054F2" w:rsidP="00207B5F">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December </w:t>
            </w:r>
            <w:r w:rsidR="00207B5F" w:rsidRPr="006F7035">
              <w:rPr>
                <w:rFonts w:asciiTheme="minorHAnsi" w:eastAsia="Times New Roman" w:hAnsiTheme="minorHAnsi"/>
                <w:iCs/>
                <w:szCs w:val="17"/>
                <w:lang w:eastAsia="en-US"/>
              </w:rPr>
              <w:t xml:space="preserve">2016 </w:t>
            </w:r>
          </w:p>
        </w:tc>
        <w:tc>
          <w:tcPr>
            <w:tcW w:w="3374" w:type="dxa"/>
          </w:tcPr>
          <w:p w14:paraId="595AF482" w14:textId="77777777" w:rsidR="008054F2" w:rsidRPr="006F7035" w:rsidRDefault="008054F2" w:rsidP="008054F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The mid-term review aims to verify program performance and examine value for money. The recommendations will inform DFAT’s continuity with the program beyond 2017. </w:t>
            </w:r>
          </w:p>
        </w:tc>
        <w:tc>
          <w:tcPr>
            <w:tcW w:w="1509" w:type="dxa"/>
          </w:tcPr>
          <w:p w14:paraId="11630761" w14:textId="77777777" w:rsidR="008054F2" w:rsidRPr="006F7035" w:rsidRDefault="008054F2" w:rsidP="008054F2">
            <w:pPr>
              <w:keepLines/>
              <w:spacing w:before="40" w:after="40" w:line="200" w:lineRule="atLeast"/>
              <w:rPr>
                <w:rFonts w:asciiTheme="minorHAnsi" w:eastAsia="Times New Roman" w:hAnsiTheme="minorHAnsi"/>
                <w:iCs/>
                <w:szCs w:val="17"/>
                <w:lang w:eastAsia="en-US"/>
              </w:rPr>
            </w:pPr>
            <w:r w:rsidRPr="006F7035">
              <w:rPr>
                <w:rFonts w:asciiTheme="minorHAnsi" w:eastAsia="Times New Roman" w:hAnsiTheme="minorHAnsi"/>
                <w:iCs/>
                <w:szCs w:val="17"/>
                <w:lang w:eastAsia="en-US"/>
              </w:rPr>
              <w:t xml:space="preserve"> Partner-led  </w:t>
            </w:r>
          </w:p>
        </w:tc>
      </w:tr>
    </w:tbl>
    <w:p w14:paraId="7DA3A956" w14:textId="77777777" w:rsidR="00400B0F" w:rsidRPr="00C61187" w:rsidRDefault="00400B0F" w:rsidP="00400B0F">
      <w:pPr>
        <w:rPr>
          <w:b/>
        </w:rPr>
        <w:sectPr w:rsidR="00400B0F" w:rsidRPr="00C61187" w:rsidSect="008C2F58">
          <w:headerReference w:type="even" r:id="rId17"/>
          <w:headerReference w:type="default" r:id="rId18"/>
          <w:headerReference w:type="first" r:id="rId19"/>
          <w:footerReference w:type="first" r:id="rId20"/>
          <w:footnotePr>
            <w:numRestart w:val="eachPage"/>
          </w:footnotePr>
          <w:type w:val="continuous"/>
          <w:pgSz w:w="16838" w:h="11906" w:orient="landscape" w:code="9"/>
          <w:pgMar w:top="1272" w:right="1814" w:bottom="851" w:left="851" w:header="709" w:footer="230" w:gutter="0"/>
          <w:cols w:space="708"/>
          <w:titlePg/>
          <w:docGrid w:linePitch="360"/>
        </w:sectPr>
      </w:pPr>
    </w:p>
    <w:p w14:paraId="0AA437AA" w14:textId="77777777" w:rsidR="00400B0F" w:rsidRPr="00784031" w:rsidRDefault="00400B0F" w:rsidP="00400B0F">
      <w:pPr>
        <w:keepNext/>
        <w:tabs>
          <w:tab w:val="left" w:pos="1560"/>
        </w:tabs>
        <w:spacing w:before="360" w:after="120"/>
        <w:outlineLvl w:val="1"/>
        <w:rPr>
          <w:rFonts w:eastAsiaTheme="majorEastAsia" w:cstheme="majorBidi"/>
          <w:bCs/>
          <w:iCs/>
          <w:caps/>
          <w:spacing w:val="-10"/>
          <w:kern w:val="28"/>
          <w:sz w:val="38"/>
          <w:szCs w:val="24"/>
        </w:rPr>
      </w:pPr>
      <w:r w:rsidRPr="00784031">
        <w:rPr>
          <w:rFonts w:eastAsiaTheme="majorEastAsia" w:cstheme="majorBidi"/>
          <w:bCs/>
          <w:iCs/>
          <w:caps/>
          <w:spacing w:val="-10"/>
          <w:kern w:val="28"/>
          <w:sz w:val="38"/>
          <w:szCs w:val="24"/>
        </w:rPr>
        <w:t>Annex D - Aid Quality Check ratings</w:t>
      </w:r>
    </w:p>
    <w:p w14:paraId="58F82C21" w14:textId="77777777" w:rsidR="00400B0F" w:rsidRPr="00784031" w:rsidRDefault="00400B0F" w:rsidP="00400B0F">
      <w:pPr>
        <w:keepNext/>
        <w:numPr>
          <w:ilvl w:val="2"/>
          <w:numId w:val="0"/>
        </w:numPr>
        <w:spacing w:before="240" w:after="120"/>
        <w:outlineLvl w:val="2"/>
        <w:rPr>
          <w:rFonts w:asciiTheme="majorHAnsi" w:eastAsiaTheme="majorEastAsia" w:hAnsiTheme="majorHAnsi" w:cstheme="majorBidi"/>
          <w:caps/>
          <w:sz w:val="38"/>
          <w:szCs w:val="26"/>
        </w:rPr>
      </w:pPr>
      <w:r w:rsidRPr="00784031">
        <w:rPr>
          <w:rFonts w:asciiTheme="majorHAnsi" w:eastAsiaTheme="majorEastAsia" w:hAnsiTheme="majorHAnsi" w:cstheme="majorBidi"/>
          <w:caps/>
          <w:sz w:val="38"/>
          <w:szCs w:val="26"/>
        </w:rPr>
        <w:t>AQC ratings</w:t>
      </w:r>
    </w:p>
    <w:p w14:paraId="43C1D0BE" w14:textId="77777777" w:rsidR="00400B0F" w:rsidRPr="00C61187" w:rsidRDefault="00400B0F" w:rsidP="004E0264">
      <w:r w:rsidRPr="00C61187">
        <w:t>AQC investment performance over the previous 12 months and where available last year’s AQC ratings are included.</w:t>
      </w:r>
    </w:p>
    <w:tbl>
      <w:tblPr>
        <w:tblStyle w:val="APPR"/>
        <w:tblW w:w="5153" w:type="pct"/>
        <w:tblLook w:val="0000" w:firstRow="0" w:lastRow="0" w:firstColumn="0" w:lastColumn="0" w:noHBand="0" w:noVBand="0"/>
      </w:tblPr>
      <w:tblGrid>
        <w:gridCol w:w="3613"/>
        <w:gridCol w:w="1512"/>
        <w:gridCol w:w="1217"/>
        <w:gridCol w:w="1226"/>
        <w:gridCol w:w="1220"/>
        <w:gridCol w:w="1226"/>
        <w:gridCol w:w="1220"/>
        <w:gridCol w:w="1225"/>
        <w:gridCol w:w="1219"/>
        <w:gridCol w:w="1224"/>
      </w:tblGrid>
      <w:tr w:rsidR="00686821" w:rsidRPr="00C61187" w14:paraId="00C79188" w14:textId="77777777" w:rsidTr="00686821">
        <w:trPr>
          <w:cnfStyle w:val="000000010000" w:firstRow="0" w:lastRow="0" w:firstColumn="0" w:lastColumn="0" w:oddVBand="0" w:evenVBand="0" w:oddHBand="0" w:evenHBand="1" w:firstRowFirstColumn="0" w:firstRowLastColumn="0" w:lastRowFirstColumn="0" w:lastRowLastColumn="0"/>
          <w:trHeight w:val="1413"/>
        </w:trPr>
        <w:tc>
          <w:tcPr>
            <w:tcW w:w="1198" w:type="pct"/>
          </w:tcPr>
          <w:p w14:paraId="7D71F24B"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eastAsia="Times New Roman"/>
                <w:b/>
                <w:iCs/>
                <w:noProof/>
                <w:szCs w:val="17"/>
                <w:lang w:val="en-AU"/>
              </w:rPr>
              <w:drawing>
                <wp:anchor distT="0" distB="0" distL="114300" distR="114300" simplePos="0" relativeHeight="251676672" behindDoc="0" locked="0" layoutInCell="1" allowOverlap="1" wp14:anchorId="65FB640B" wp14:editId="7839DD59">
                  <wp:simplePos x="0" y="0"/>
                  <wp:positionH relativeFrom="column">
                    <wp:posOffset>0</wp:posOffset>
                  </wp:positionH>
                  <wp:positionV relativeFrom="paragraph">
                    <wp:posOffset>0</wp:posOffset>
                  </wp:positionV>
                  <wp:extent cx="1857375" cy="228600"/>
                  <wp:effectExtent l="0" t="0" r="9525" b="0"/>
                  <wp:wrapNone/>
                  <wp:docPr id="14" name="Picture 1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7C6">
              <w:rPr>
                <w:rFonts w:asciiTheme="minorHAnsi" w:eastAsia="Times New Roman" w:hAnsiTheme="minorHAnsi"/>
                <w:b/>
                <w:iCs/>
                <w:szCs w:val="17"/>
                <w:lang w:eastAsia="en-US"/>
              </w:rPr>
              <w:t>Investment name</w:t>
            </w:r>
          </w:p>
        </w:tc>
        <w:tc>
          <w:tcPr>
            <w:tcW w:w="498" w:type="pct"/>
            <w:textDirection w:val="btLr"/>
          </w:tcPr>
          <w:p w14:paraId="17692F52"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Approved budget and duration</w:t>
            </w:r>
          </w:p>
        </w:tc>
        <w:tc>
          <w:tcPr>
            <w:tcW w:w="399" w:type="pct"/>
            <w:textDirection w:val="btLr"/>
          </w:tcPr>
          <w:p w14:paraId="39490ADF"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year on year</w:t>
            </w:r>
          </w:p>
        </w:tc>
        <w:tc>
          <w:tcPr>
            <w:tcW w:w="402" w:type="pct"/>
            <w:textDirection w:val="btLr"/>
          </w:tcPr>
          <w:p w14:paraId="4232DBB0"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Relevance</w:t>
            </w:r>
          </w:p>
        </w:tc>
        <w:tc>
          <w:tcPr>
            <w:tcW w:w="400" w:type="pct"/>
            <w:textDirection w:val="btLr"/>
          </w:tcPr>
          <w:p w14:paraId="3422BE23"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Effectiveness</w:t>
            </w:r>
          </w:p>
        </w:tc>
        <w:tc>
          <w:tcPr>
            <w:tcW w:w="402" w:type="pct"/>
            <w:textDirection w:val="btLr"/>
          </w:tcPr>
          <w:p w14:paraId="33E51E55"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Efficiency</w:t>
            </w:r>
          </w:p>
        </w:tc>
        <w:tc>
          <w:tcPr>
            <w:tcW w:w="400" w:type="pct"/>
            <w:textDirection w:val="btLr"/>
          </w:tcPr>
          <w:p w14:paraId="77C95FA5"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Monitoring and Evaluation</w:t>
            </w:r>
          </w:p>
        </w:tc>
        <w:tc>
          <w:tcPr>
            <w:tcW w:w="402" w:type="pct"/>
            <w:textDirection w:val="btLr"/>
          </w:tcPr>
          <w:p w14:paraId="036722B3"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Sustainability</w:t>
            </w:r>
          </w:p>
        </w:tc>
        <w:tc>
          <w:tcPr>
            <w:tcW w:w="400" w:type="pct"/>
            <w:textDirection w:val="btLr"/>
          </w:tcPr>
          <w:p w14:paraId="26AAD3EB"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Gender equality</w:t>
            </w:r>
          </w:p>
        </w:tc>
        <w:tc>
          <w:tcPr>
            <w:tcW w:w="397" w:type="pct"/>
            <w:textDirection w:val="btLr"/>
          </w:tcPr>
          <w:p w14:paraId="02909C44"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Risks  and Safeguards</w:t>
            </w:r>
          </w:p>
        </w:tc>
      </w:tr>
      <w:tr w:rsidR="00686821" w:rsidRPr="00C61187" w14:paraId="03EF326A" w14:textId="77777777" w:rsidTr="00EA7269">
        <w:trPr>
          <w:cnfStyle w:val="000000010000" w:firstRow="0" w:lastRow="0" w:firstColumn="0" w:lastColumn="0" w:oddVBand="0" w:evenVBand="0" w:oddHBand="0" w:evenHBand="1" w:firstRowFirstColumn="0" w:firstRowLastColumn="0" w:lastRowFirstColumn="0" w:lastRowLastColumn="0"/>
          <w:trHeight w:val="284"/>
        </w:trPr>
        <w:tc>
          <w:tcPr>
            <w:tcW w:w="1198" w:type="pct"/>
            <w:vMerge w:val="restart"/>
          </w:tcPr>
          <w:p w14:paraId="0326C410" w14:textId="77777777" w:rsidR="00400B0F" w:rsidRPr="00A427C6" w:rsidRDefault="00396E33"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Community Development Program (Fiji)</w:t>
            </w:r>
          </w:p>
        </w:tc>
        <w:tc>
          <w:tcPr>
            <w:tcW w:w="498" w:type="pct"/>
            <w:vMerge w:val="restart"/>
          </w:tcPr>
          <w:p w14:paraId="013C4006" w14:textId="77777777" w:rsidR="00400B0F" w:rsidRPr="00396E33" w:rsidRDefault="00400B0F" w:rsidP="006F27B1">
            <w:pPr>
              <w:autoSpaceDE w:val="0"/>
              <w:autoSpaceDN w:val="0"/>
              <w:adjustRightInd w:val="0"/>
              <w:rPr>
                <w:rFonts w:asciiTheme="minorHAnsi" w:hAnsiTheme="minorHAnsi" w:cs="Franklin Gothic Book"/>
                <w:color w:val="auto"/>
                <w:szCs w:val="17"/>
              </w:rPr>
            </w:pPr>
            <w:r w:rsidRPr="00396E33">
              <w:rPr>
                <w:rFonts w:asciiTheme="minorHAnsi" w:hAnsiTheme="minorHAnsi" w:cs="Franklin Gothic Book"/>
                <w:color w:val="auto"/>
                <w:szCs w:val="17"/>
              </w:rPr>
              <w:t xml:space="preserve">$21m </w:t>
            </w:r>
          </w:p>
          <w:p w14:paraId="7F70DEF5" w14:textId="77777777" w:rsidR="00400B0F" w:rsidRPr="00396E33" w:rsidRDefault="00400B0F" w:rsidP="00396E33">
            <w:pPr>
              <w:keepLines/>
              <w:spacing w:before="40" w:after="40" w:line="200" w:lineRule="atLeast"/>
              <w:rPr>
                <w:rFonts w:asciiTheme="minorHAnsi" w:eastAsia="Times New Roman" w:hAnsiTheme="minorHAnsi"/>
                <w:iCs/>
                <w:color w:val="auto"/>
                <w:szCs w:val="17"/>
                <w:lang w:eastAsia="en-US"/>
              </w:rPr>
            </w:pPr>
            <w:r w:rsidRPr="00396E33">
              <w:rPr>
                <w:rFonts w:asciiTheme="minorHAnsi" w:eastAsia="Times New Roman" w:hAnsiTheme="minorHAnsi"/>
                <w:iCs/>
                <w:color w:val="auto"/>
                <w:szCs w:val="17"/>
                <w:lang w:eastAsia="en-US"/>
              </w:rPr>
              <w:t>201</w:t>
            </w:r>
            <w:r w:rsidR="00396E33" w:rsidRPr="00396E33">
              <w:rPr>
                <w:rFonts w:asciiTheme="minorHAnsi" w:eastAsia="Times New Roman" w:hAnsiTheme="minorHAnsi"/>
                <w:iCs/>
                <w:color w:val="auto"/>
                <w:szCs w:val="17"/>
                <w:lang w:eastAsia="en-US"/>
              </w:rPr>
              <w:t>1</w:t>
            </w:r>
            <w:r w:rsidRPr="00396E33">
              <w:rPr>
                <w:rFonts w:asciiTheme="minorHAnsi" w:eastAsia="Times New Roman" w:hAnsiTheme="minorHAnsi"/>
                <w:iCs/>
                <w:color w:val="auto"/>
                <w:szCs w:val="17"/>
                <w:lang w:eastAsia="en-US"/>
              </w:rPr>
              <w:t xml:space="preserve">-17 </w:t>
            </w:r>
          </w:p>
        </w:tc>
        <w:tc>
          <w:tcPr>
            <w:tcW w:w="399" w:type="pct"/>
          </w:tcPr>
          <w:p w14:paraId="2826498D"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2016 AQC</w:t>
            </w:r>
          </w:p>
        </w:tc>
        <w:tc>
          <w:tcPr>
            <w:tcW w:w="402" w:type="pct"/>
            <w:shd w:val="clear" w:color="auto" w:fill="92D050"/>
            <w:noWrap/>
          </w:tcPr>
          <w:p w14:paraId="5FE07C77"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92D050"/>
            <w:noWrap/>
          </w:tcPr>
          <w:p w14:paraId="4213BDB1"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shd w:val="clear" w:color="auto" w:fill="FFFF00"/>
            <w:noWrap/>
          </w:tcPr>
          <w:p w14:paraId="0A610EB0" w14:textId="75C10D21" w:rsidR="00400B0F" w:rsidRPr="00A427C6" w:rsidRDefault="00311EA6"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shd w:val="clear" w:color="auto" w:fill="92D050"/>
            <w:noWrap/>
          </w:tcPr>
          <w:p w14:paraId="487D322E"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shd w:val="clear" w:color="auto" w:fill="FFFF00"/>
            <w:noWrap/>
          </w:tcPr>
          <w:p w14:paraId="05FAEA0D"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shd w:val="clear" w:color="auto" w:fill="92D050"/>
            <w:noWrap/>
          </w:tcPr>
          <w:p w14:paraId="05F1B850"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397" w:type="pct"/>
            <w:shd w:val="clear" w:color="auto" w:fill="92D050"/>
          </w:tcPr>
          <w:p w14:paraId="25388265"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4E0D578A" w14:textId="77777777" w:rsidTr="00686821">
        <w:trPr>
          <w:cnfStyle w:val="000000010000" w:firstRow="0" w:lastRow="0" w:firstColumn="0" w:lastColumn="0" w:oddVBand="0" w:evenVBand="0" w:oddHBand="0" w:evenHBand="1" w:firstRowFirstColumn="0" w:firstRowLastColumn="0" w:lastRowFirstColumn="0" w:lastRowLastColumn="0"/>
          <w:trHeight w:val="284"/>
        </w:trPr>
        <w:tc>
          <w:tcPr>
            <w:tcW w:w="1198" w:type="pct"/>
            <w:vMerge/>
            <w:tcBorders>
              <w:bottom w:val="single" w:sz="4" w:space="0" w:color="auto"/>
            </w:tcBorders>
          </w:tcPr>
          <w:p w14:paraId="0A6DB832"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p>
        </w:tc>
        <w:tc>
          <w:tcPr>
            <w:tcW w:w="498" w:type="pct"/>
            <w:vMerge/>
            <w:tcBorders>
              <w:bottom w:val="single" w:sz="4" w:space="0" w:color="auto"/>
            </w:tcBorders>
          </w:tcPr>
          <w:p w14:paraId="2E4005AC" w14:textId="77777777" w:rsidR="00400B0F" w:rsidRPr="00396E33" w:rsidRDefault="00400B0F" w:rsidP="006F27B1">
            <w:pPr>
              <w:keepLines/>
              <w:spacing w:before="40" w:after="40" w:line="200" w:lineRule="atLeast"/>
              <w:rPr>
                <w:rFonts w:asciiTheme="minorHAnsi" w:eastAsia="Times New Roman" w:hAnsiTheme="minorHAnsi"/>
                <w:iCs/>
                <w:color w:val="auto"/>
                <w:szCs w:val="17"/>
                <w:lang w:eastAsia="en-US"/>
              </w:rPr>
            </w:pPr>
          </w:p>
        </w:tc>
        <w:tc>
          <w:tcPr>
            <w:tcW w:w="399" w:type="pct"/>
            <w:tcBorders>
              <w:bottom w:val="single" w:sz="4" w:space="0" w:color="auto"/>
            </w:tcBorders>
          </w:tcPr>
          <w:p w14:paraId="6926511A"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2015 AQC</w:t>
            </w:r>
          </w:p>
        </w:tc>
        <w:tc>
          <w:tcPr>
            <w:tcW w:w="402" w:type="pct"/>
            <w:tcBorders>
              <w:bottom w:val="single" w:sz="4" w:space="0" w:color="auto"/>
            </w:tcBorders>
            <w:shd w:val="clear" w:color="auto" w:fill="92D050"/>
            <w:noWrap/>
          </w:tcPr>
          <w:p w14:paraId="7E02466E"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c>
          <w:tcPr>
            <w:tcW w:w="400" w:type="pct"/>
            <w:tcBorders>
              <w:bottom w:val="single" w:sz="4" w:space="0" w:color="auto"/>
            </w:tcBorders>
            <w:shd w:val="clear" w:color="auto" w:fill="92D050"/>
            <w:noWrap/>
          </w:tcPr>
          <w:p w14:paraId="3854F10F"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c>
          <w:tcPr>
            <w:tcW w:w="402" w:type="pct"/>
            <w:tcBorders>
              <w:bottom w:val="single" w:sz="4" w:space="0" w:color="auto"/>
            </w:tcBorders>
            <w:shd w:val="clear" w:color="auto" w:fill="92D050"/>
            <w:noWrap/>
          </w:tcPr>
          <w:p w14:paraId="2DB0931C"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bottom w:val="single" w:sz="4" w:space="0" w:color="auto"/>
            </w:tcBorders>
            <w:shd w:val="clear" w:color="auto" w:fill="92D050"/>
            <w:noWrap/>
          </w:tcPr>
          <w:p w14:paraId="6A0857A9"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tcBorders>
              <w:bottom w:val="single" w:sz="4" w:space="0" w:color="auto"/>
            </w:tcBorders>
            <w:shd w:val="clear" w:color="auto" w:fill="FFFF00"/>
            <w:noWrap/>
          </w:tcPr>
          <w:p w14:paraId="5D17DAF7"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tcBorders>
              <w:bottom w:val="single" w:sz="4" w:space="0" w:color="auto"/>
            </w:tcBorders>
            <w:shd w:val="clear" w:color="auto" w:fill="FFFF00"/>
            <w:noWrap/>
          </w:tcPr>
          <w:p w14:paraId="77381722"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397" w:type="pct"/>
            <w:tcBorders>
              <w:bottom w:val="single" w:sz="4" w:space="0" w:color="auto"/>
            </w:tcBorders>
            <w:shd w:val="clear" w:color="auto" w:fill="92D050"/>
          </w:tcPr>
          <w:p w14:paraId="3DDC78A6"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3F569310" w14:textId="77777777" w:rsidTr="00EA7269">
        <w:trPr>
          <w:cnfStyle w:val="000000010000" w:firstRow="0" w:lastRow="0" w:firstColumn="0" w:lastColumn="0" w:oddVBand="0" w:evenVBand="0" w:oddHBand="0" w:evenHBand="1" w:firstRowFirstColumn="0" w:firstRowLastColumn="0" w:lastRowFirstColumn="0" w:lastRowLastColumn="0"/>
          <w:trHeight w:val="284"/>
        </w:trPr>
        <w:tc>
          <w:tcPr>
            <w:tcW w:w="1198" w:type="pct"/>
            <w:vMerge w:val="restart"/>
          </w:tcPr>
          <w:p w14:paraId="70E41DCD" w14:textId="77777777" w:rsidR="00400B0F" w:rsidRPr="00A427C6" w:rsidRDefault="00396E33"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Access to Quality Education Program</w:t>
            </w:r>
          </w:p>
        </w:tc>
        <w:tc>
          <w:tcPr>
            <w:tcW w:w="498" w:type="pct"/>
            <w:vMerge w:val="restart"/>
          </w:tcPr>
          <w:p w14:paraId="7A58250D" w14:textId="77777777" w:rsidR="00400B0F" w:rsidRPr="00396E33" w:rsidRDefault="00396E33" w:rsidP="006F27B1">
            <w:pPr>
              <w:autoSpaceDE w:val="0"/>
              <w:autoSpaceDN w:val="0"/>
              <w:adjustRightInd w:val="0"/>
              <w:rPr>
                <w:rFonts w:asciiTheme="minorHAnsi" w:hAnsiTheme="minorHAnsi" w:cs="Franklin Gothic Book"/>
                <w:color w:val="auto"/>
                <w:szCs w:val="17"/>
              </w:rPr>
            </w:pPr>
            <w:r w:rsidRPr="00396E33">
              <w:rPr>
                <w:rFonts w:asciiTheme="minorHAnsi" w:hAnsiTheme="minorHAnsi" w:cs="Franklin Gothic Book"/>
                <w:color w:val="auto"/>
                <w:szCs w:val="17"/>
              </w:rPr>
              <w:t>$50.5</w:t>
            </w:r>
            <w:r w:rsidR="00400B0F" w:rsidRPr="00396E33">
              <w:rPr>
                <w:rFonts w:asciiTheme="minorHAnsi" w:hAnsiTheme="minorHAnsi" w:cs="Franklin Gothic Book"/>
                <w:color w:val="auto"/>
                <w:szCs w:val="17"/>
              </w:rPr>
              <w:t xml:space="preserve">m </w:t>
            </w:r>
          </w:p>
          <w:p w14:paraId="22924D00" w14:textId="77777777" w:rsidR="00400B0F" w:rsidRPr="00396E33" w:rsidRDefault="00396E33" w:rsidP="006F27B1">
            <w:pPr>
              <w:keepLines/>
              <w:spacing w:before="40" w:after="40" w:line="200" w:lineRule="atLeast"/>
              <w:rPr>
                <w:rFonts w:asciiTheme="minorHAnsi" w:eastAsia="Times New Roman" w:hAnsiTheme="minorHAnsi"/>
                <w:iCs/>
                <w:color w:val="auto"/>
                <w:szCs w:val="17"/>
                <w:lang w:eastAsia="en-US"/>
              </w:rPr>
            </w:pPr>
            <w:r w:rsidRPr="00396E33">
              <w:rPr>
                <w:rFonts w:asciiTheme="minorHAnsi" w:eastAsia="Times New Roman" w:hAnsiTheme="minorHAnsi"/>
                <w:iCs/>
                <w:color w:val="auto"/>
                <w:szCs w:val="17"/>
                <w:lang w:eastAsia="en-US"/>
              </w:rPr>
              <w:t>2010-17</w:t>
            </w:r>
            <w:r w:rsidR="00400B0F" w:rsidRPr="00396E33">
              <w:rPr>
                <w:rFonts w:asciiTheme="minorHAnsi" w:eastAsia="Times New Roman" w:hAnsiTheme="minorHAnsi"/>
                <w:iCs/>
                <w:color w:val="auto"/>
                <w:szCs w:val="17"/>
                <w:lang w:eastAsia="en-US"/>
              </w:rPr>
              <w:t xml:space="preserve"> </w:t>
            </w:r>
          </w:p>
        </w:tc>
        <w:tc>
          <w:tcPr>
            <w:tcW w:w="399" w:type="pct"/>
          </w:tcPr>
          <w:p w14:paraId="61A0B46B"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2016 AQC</w:t>
            </w:r>
          </w:p>
        </w:tc>
        <w:tc>
          <w:tcPr>
            <w:tcW w:w="402" w:type="pct"/>
            <w:shd w:val="clear" w:color="auto" w:fill="92D050"/>
            <w:noWrap/>
          </w:tcPr>
          <w:p w14:paraId="6D364848"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c>
          <w:tcPr>
            <w:tcW w:w="400" w:type="pct"/>
            <w:shd w:val="clear" w:color="auto" w:fill="92D050"/>
            <w:noWrap/>
          </w:tcPr>
          <w:p w14:paraId="567FE312"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shd w:val="clear" w:color="auto" w:fill="92D050"/>
            <w:noWrap/>
          </w:tcPr>
          <w:p w14:paraId="03371F8E"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92D050"/>
            <w:noWrap/>
          </w:tcPr>
          <w:p w14:paraId="74C24148"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shd w:val="clear" w:color="auto" w:fill="FFC000"/>
            <w:noWrap/>
          </w:tcPr>
          <w:p w14:paraId="5B4F57ED" w14:textId="7FF44614" w:rsidR="00400B0F" w:rsidRPr="00A427C6" w:rsidRDefault="00311EA6"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0" w:type="pct"/>
            <w:shd w:val="clear" w:color="auto" w:fill="92D050"/>
            <w:noWrap/>
          </w:tcPr>
          <w:p w14:paraId="0DECF7BE"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397" w:type="pct"/>
            <w:shd w:val="clear" w:color="auto" w:fill="92D050"/>
          </w:tcPr>
          <w:p w14:paraId="56E8E2ED" w14:textId="77777777" w:rsidR="00400B0F" w:rsidRPr="00A427C6" w:rsidRDefault="00396E33" w:rsidP="006F27B1">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32D0CB1B" w14:textId="77777777" w:rsidTr="00686821">
        <w:trPr>
          <w:cnfStyle w:val="000000010000" w:firstRow="0" w:lastRow="0" w:firstColumn="0" w:lastColumn="0" w:oddVBand="0" w:evenVBand="0" w:oddHBand="0" w:evenHBand="1" w:firstRowFirstColumn="0" w:firstRowLastColumn="0" w:lastRowFirstColumn="0" w:lastRowLastColumn="0"/>
          <w:trHeight w:val="284"/>
        </w:trPr>
        <w:tc>
          <w:tcPr>
            <w:tcW w:w="1198" w:type="pct"/>
            <w:vMerge/>
            <w:tcBorders>
              <w:bottom w:val="single" w:sz="4" w:space="0" w:color="auto"/>
            </w:tcBorders>
          </w:tcPr>
          <w:p w14:paraId="7754950A" w14:textId="77777777" w:rsidR="00396E33" w:rsidRPr="00A427C6" w:rsidRDefault="00396E33" w:rsidP="006F27B1">
            <w:pPr>
              <w:keepLines/>
              <w:spacing w:before="40" w:after="40" w:line="200" w:lineRule="atLeast"/>
              <w:rPr>
                <w:rFonts w:asciiTheme="minorHAnsi" w:eastAsia="Times New Roman" w:hAnsiTheme="minorHAnsi"/>
                <w:iCs/>
                <w:szCs w:val="17"/>
                <w:lang w:eastAsia="en-US"/>
              </w:rPr>
            </w:pPr>
          </w:p>
        </w:tc>
        <w:tc>
          <w:tcPr>
            <w:tcW w:w="498" w:type="pct"/>
            <w:vMerge/>
            <w:tcBorders>
              <w:bottom w:val="single" w:sz="4" w:space="0" w:color="auto"/>
            </w:tcBorders>
          </w:tcPr>
          <w:p w14:paraId="02E6A4BC" w14:textId="77777777" w:rsidR="00396E33" w:rsidRPr="00396E33" w:rsidRDefault="00396E33" w:rsidP="006F27B1">
            <w:pPr>
              <w:keepLines/>
              <w:spacing w:before="40" w:after="40" w:line="200" w:lineRule="atLeast"/>
              <w:rPr>
                <w:rFonts w:asciiTheme="minorHAnsi" w:eastAsia="Times New Roman" w:hAnsiTheme="minorHAnsi"/>
                <w:iCs/>
                <w:color w:val="auto"/>
                <w:szCs w:val="17"/>
                <w:lang w:eastAsia="en-US"/>
              </w:rPr>
            </w:pPr>
          </w:p>
        </w:tc>
        <w:tc>
          <w:tcPr>
            <w:tcW w:w="399" w:type="pct"/>
            <w:tcBorders>
              <w:bottom w:val="single" w:sz="4" w:space="0" w:color="auto"/>
            </w:tcBorders>
          </w:tcPr>
          <w:p w14:paraId="654A7CC3" w14:textId="77777777" w:rsidR="00396E33" w:rsidRPr="00A427C6" w:rsidRDefault="00396E33" w:rsidP="006F27B1">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2015 AQC</w:t>
            </w:r>
          </w:p>
        </w:tc>
        <w:tc>
          <w:tcPr>
            <w:tcW w:w="402" w:type="pct"/>
            <w:tcBorders>
              <w:bottom w:val="single" w:sz="4" w:space="0" w:color="auto"/>
            </w:tcBorders>
            <w:shd w:val="clear" w:color="auto" w:fill="92D050"/>
            <w:noWrap/>
          </w:tcPr>
          <w:p w14:paraId="75A13515"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c>
          <w:tcPr>
            <w:tcW w:w="400" w:type="pct"/>
            <w:tcBorders>
              <w:bottom w:val="single" w:sz="4" w:space="0" w:color="auto"/>
            </w:tcBorders>
            <w:shd w:val="clear" w:color="auto" w:fill="92D050"/>
            <w:noWrap/>
          </w:tcPr>
          <w:p w14:paraId="447E5B38"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tcBorders>
              <w:bottom w:val="single" w:sz="4" w:space="0" w:color="auto"/>
            </w:tcBorders>
            <w:shd w:val="clear" w:color="auto" w:fill="92D050"/>
            <w:noWrap/>
          </w:tcPr>
          <w:p w14:paraId="3E7E3F19"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bottom w:val="single" w:sz="4" w:space="0" w:color="auto"/>
            </w:tcBorders>
            <w:shd w:val="clear" w:color="auto" w:fill="FFFF00"/>
            <w:noWrap/>
          </w:tcPr>
          <w:p w14:paraId="0C476E10"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2" w:type="pct"/>
            <w:tcBorders>
              <w:bottom w:val="single" w:sz="4" w:space="0" w:color="auto"/>
            </w:tcBorders>
            <w:shd w:val="clear" w:color="auto" w:fill="FFFF00"/>
            <w:noWrap/>
          </w:tcPr>
          <w:p w14:paraId="2B561655"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tcBorders>
              <w:bottom w:val="single" w:sz="4" w:space="0" w:color="auto"/>
            </w:tcBorders>
            <w:shd w:val="clear" w:color="auto" w:fill="FFFF00"/>
            <w:noWrap/>
          </w:tcPr>
          <w:p w14:paraId="20A38F66"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397" w:type="pct"/>
            <w:tcBorders>
              <w:bottom w:val="single" w:sz="4" w:space="0" w:color="auto"/>
            </w:tcBorders>
            <w:shd w:val="clear" w:color="auto" w:fill="92D050"/>
          </w:tcPr>
          <w:p w14:paraId="3DC111B3"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0ED046B4" w14:textId="77777777" w:rsidTr="00EA7269">
        <w:trPr>
          <w:cnfStyle w:val="000000010000" w:firstRow="0" w:lastRow="0" w:firstColumn="0" w:lastColumn="0" w:oddVBand="0" w:evenVBand="0" w:oddHBand="0" w:evenHBand="1" w:firstRowFirstColumn="0" w:firstRowLastColumn="0" w:lastRowFirstColumn="0" w:lastRowLastColumn="0"/>
          <w:trHeight w:val="284"/>
        </w:trPr>
        <w:tc>
          <w:tcPr>
            <w:tcW w:w="1198" w:type="pct"/>
            <w:vMerge w:val="restart"/>
          </w:tcPr>
          <w:p w14:paraId="0F0CA4CD" w14:textId="77777777" w:rsidR="00396E33" w:rsidRPr="00396E33" w:rsidRDefault="00396E33" w:rsidP="00236D75">
            <w:pPr>
              <w:keepLines/>
              <w:spacing w:before="40" w:after="40" w:line="200" w:lineRule="atLeast"/>
              <w:rPr>
                <w:rFonts w:asciiTheme="minorHAnsi" w:eastAsia="Times New Roman" w:hAnsiTheme="minorHAnsi"/>
                <w:iCs/>
                <w:color w:val="auto"/>
                <w:szCs w:val="17"/>
                <w:lang w:eastAsia="en-US"/>
              </w:rPr>
            </w:pPr>
            <w:r w:rsidRPr="00396E33">
              <w:rPr>
                <w:rFonts w:asciiTheme="minorHAnsi" w:eastAsia="Times New Roman" w:hAnsiTheme="minorHAnsi"/>
                <w:iCs/>
                <w:color w:val="auto"/>
                <w:szCs w:val="17"/>
                <w:lang w:eastAsia="en-US"/>
              </w:rPr>
              <w:t>Fiji Health Sector Support Program</w:t>
            </w:r>
          </w:p>
        </w:tc>
        <w:tc>
          <w:tcPr>
            <w:tcW w:w="498" w:type="pct"/>
            <w:vMerge w:val="restart"/>
          </w:tcPr>
          <w:p w14:paraId="731B05B7" w14:textId="77777777" w:rsidR="00396E33" w:rsidRPr="00396E33" w:rsidRDefault="00396E33" w:rsidP="00236D75">
            <w:pPr>
              <w:autoSpaceDE w:val="0"/>
              <w:autoSpaceDN w:val="0"/>
              <w:adjustRightInd w:val="0"/>
              <w:rPr>
                <w:rFonts w:asciiTheme="minorHAnsi" w:hAnsiTheme="minorHAnsi" w:cs="Franklin Gothic Book"/>
                <w:color w:val="auto"/>
                <w:szCs w:val="17"/>
              </w:rPr>
            </w:pPr>
            <w:r w:rsidRPr="00396E33">
              <w:rPr>
                <w:rFonts w:asciiTheme="minorHAnsi" w:hAnsiTheme="minorHAnsi" w:cs="Franklin Gothic Book"/>
                <w:color w:val="auto"/>
                <w:szCs w:val="17"/>
              </w:rPr>
              <w:t xml:space="preserve">$34m </w:t>
            </w:r>
          </w:p>
          <w:p w14:paraId="6EB734FD" w14:textId="77777777" w:rsidR="00396E33" w:rsidRPr="00396E33" w:rsidRDefault="00396E33" w:rsidP="00067DDC">
            <w:pPr>
              <w:keepLines/>
              <w:spacing w:before="40" w:after="40" w:line="200" w:lineRule="atLeast"/>
              <w:rPr>
                <w:rFonts w:asciiTheme="minorHAnsi" w:eastAsia="Times New Roman" w:hAnsiTheme="minorHAnsi"/>
                <w:iCs/>
                <w:color w:val="auto"/>
                <w:szCs w:val="17"/>
                <w:lang w:eastAsia="en-US"/>
              </w:rPr>
            </w:pPr>
            <w:r w:rsidRPr="00396E33">
              <w:rPr>
                <w:rFonts w:asciiTheme="minorHAnsi" w:eastAsia="Times New Roman" w:hAnsiTheme="minorHAnsi"/>
                <w:iCs/>
                <w:color w:val="auto"/>
                <w:szCs w:val="17"/>
                <w:lang w:eastAsia="en-US"/>
              </w:rPr>
              <w:t>2011-1</w:t>
            </w:r>
            <w:r w:rsidR="00067DDC">
              <w:rPr>
                <w:rFonts w:asciiTheme="minorHAnsi" w:eastAsia="Times New Roman" w:hAnsiTheme="minorHAnsi"/>
                <w:iCs/>
                <w:color w:val="auto"/>
                <w:szCs w:val="17"/>
                <w:lang w:eastAsia="en-US"/>
              </w:rPr>
              <w:t>7</w:t>
            </w:r>
            <w:r w:rsidRPr="00396E33">
              <w:rPr>
                <w:rFonts w:asciiTheme="minorHAnsi" w:eastAsia="Times New Roman" w:hAnsiTheme="minorHAnsi"/>
                <w:iCs/>
                <w:color w:val="auto"/>
                <w:szCs w:val="17"/>
                <w:lang w:eastAsia="en-US"/>
              </w:rPr>
              <w:t xml:space="preserve"> </w:t>
            </w:r>
          </w:p>
        </w:tc>
        <w:tc>
          <w:tcPr>
            <w:tcW w:w="399" w:type="pct"/>
          </w:tcPr>
          <w:p w14:paraId="0578C354"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2016 AQC</w:t>
            </w:r>
          </w:p>
        </w:tc>
        <w:tc>
          <w:tcPr>
            <w:tcW w:w="402" w:type="pct"/>
            <w:shd w:val="clear" w:color="auto" w:fill="92D050"/>
            <w:noWrap/>
          </w:tcPr>
          <w:p w14:paraId="04EA12E9"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FFFF00"/>
            <w:noWrap/>
          </w:tcPr>
          <w:p w14:paraId="22E41A43" w14:textId="287856EF" w:rsidR="00396E33" w:rsidRPr="00A427C6" w:rsidRDefault="00311EA6"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2" w:type="pct"/>
            <w:shd w:val="clear" w:color="auto" w:fill="92D050"/>
            <w:noWrap/>
          </w:tcPr>
          <w:p w14:paraId="23D036DC"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92D050"/>
            <w:noWrap/>
          </w:tcPr>
          <w:p w14:paraId="05D56A72"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shd w:val="clear" w:color="auto" w:fill="92D050"/>
            <w:noWrap/>
          </w:tcPr>
          <w:p w14:paraId="676146B1"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FFC000"/>
            <w:noWrap/>
          </w:tcPr>
          <w:p w14:paraId="19E1E5BF"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397" w:type="pct"/>
            <w:shd w:val="clear" w:color="auto" w:fill="92D050"/>
          </w:tcPr>
          <w:p w14:paraId="0A378404"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1F28F60A" w14:textId="77777777" w:rsidTr="00686821">
        <w:trPr>
          <w:cnfStyle w:val="000000010000" w:firstRow="0" w:lastRow="0" w:firstColumn="0" w:lastColumn="0" w:oddVBand="0" w:evenVBand="0" w:oddHBand="0" w:evenHBand="1" w:firstRowFirstColumn="0" w:firstRowLastColumn="0" w:lastRowFirstColumn="0" w:lastRowLastColumn="0"/>
          <w:trHeight w:val="284"/>
        </w:trPr>
        <w:tc>
          <w:tcPr>
            <w:tcW w:w="1198" w:type="pct"/>
            <w:vMerge/>
            <w:tcBorders>
              <w:bottom w:val="single" w:sz="4" w:space="0" w:color="auto"/>
            </w:tcBorders>
          </w:tcPr>
          <w:p w14:paraId="6735122C"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p>
        </w:tc>
        <w:tc>
          <w:tcPr>
            <w:tcW w:w="498" w:type="pct"/>
            <w:vMerge/>
            <w:tcBorders>
              <w:bottom w:val="single" w:sz="4" w:space="0" w:color="auto"/>
            </w:tcBorders>
          </w:tcPr>
          <w:p w14:paraId="7A071752" w14:textId="77777777" w:rsidR="00396E33" w:rsidRPr="00396E33" w:rsidRDefault="00396E33" w:rsidP="00236D75">
            <w:pPr>
              <w:keepLines/>
              <w:spacing w:before="40" w:after="40" w:line="200" w:lineRule="atLeast"/>
              <w:rPr>
                <w:rFonts w:asciiTheme="minorHAnsi" w:eastAsia="Times New Roman" w:hAnsiTheme="minorHAnsi"/>
                <w:iCs/>
                <w:color w:val="auto"/>
                <w:szCs w:val="17"/>
                <w:lang w:eastAsia="en-US"/>
              </w:rPr>
            </w:pPr>
          </w:p>
        </w:tc>
        <w:tc>
          <w:tcPr>
            <w:tcW w:w="399" w:type="pct"/>
            <w:tcBorders>
              <w:bottom w:val="single" w:sz="4" w:space="0" w:color="auto"/>
            </w:tcBorders>
          </w:tcPr>
          <w:p w14:paraId="7D168FDC"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2015 AQC</w:t>
            </w:r>
          </w:p>
        </w:tc>
        <w:tc>
          <w:tcPr>
            <w:tcW w:w="402" w:type="pct"/>
            <w:tcBorders>
              <w:bottom w:val="single" w:sz="4" w:space="0" w:color="auto"/>
            </w:tcBorders>
            <w:shd w:val="clear" w:color="auto" w:fill="92D050"/>
            <w:noWrap/>
          </w:tcPr>
          <w:p w14:paraId="6599DA7D"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bottom w:val="single" w:sz="4" w:space="0" w:color="auto"/>
            </w:tcBorders>
            <w:shd w:val="clear" w:color="auto" w:fill="92D050"/>
            <w:noWrap/>
          </w:tcPr>
          <w:p w14:paraId="5A5FD915"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tcBorders>
              <w:bottom w:val="single" w:sz="4" w:space="0" w:color="auto"/>
            </w:tcBorders>
            <w:shd w:val="clear" w:color="auto" w:fill="92D050"/>
            <w:noWrap/>
          </w:tcPr>
          <w:p w14:paraId="2A17D525"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bottom w:val="single" w:sz="4" w:space="0" w:color="auto"/>
            </w:tcBorders>
            <w:shd w:val="clear" w:color="auto" w:fill="92D050"/>
            <w:noWrap/>
          </w:tcPr>
          <w:p w14:paraId="6F58B019"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c>
          <w:tcPr>
            <w:tcW w:w="402" w:type="pct"/>
            <w:tcBorders>
              <w:bottom w:val="single" w:sz="4" w:space="0" w:color="auto"/>
            </w:tcBorders>
            <w:shd w:val="clear" w:color="auto" w:fill="92D050"/>
            <w:noWrap/>
          </w:tcPr>
          <w:p w14:paraId="3868B01C"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c>
          <w:tcPr>
            <w:tcW w:w="400" w:type="pct"/>
            <w:tcBorders>
              <w:bottom w:val="single" w:sz="4" w:space="0" w:color="auto"/>
            </w:tcBorders>
            <w:shd w:val="clear" w:color="auto" w:fill="FFFF00"/>
            <w:noWrap/>
          </w:tcPr>
          <w:p w14:paraId="2338F3EC"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397" w:type="pct"/>
            <w:tcBorders>
              <w:bottom w:val="single" w:sz="4" w:space="0" w:color="auto"/>
            </w:tcBorders>
            <w:shd w:val="clear" w:color="auto" w:fill="92D050"/>
          </w:tcPr>
          <w:p w14:paraId="5AF25EBA"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r>
      <w:tr w:rsidR="00686821" w:rsidRPr="00C61187" w14:paraId="059F38ED" w14:textId="77777777" w:rsidTr="00EA7269">
        <w:trPr>
          <w:cnfStyle w:val="000000010000" w:firstRow="0" w:lastRow="0" w:firstColumn="0" w:lastColumn="0" w:oddVBand="0" w:evenVBand="0" w:oddHBand="0" w:evenHBand="1" w:firstRowFirstColumn="0" w:firstRowLastColumn="0" w:lastRowFirstColumn="0" w:lastRowLastColumn="0"/>
          <w:trHeight w:val="284"/>
        </w:trPr>
        <w:tc>
          <w:tcPr>
            <w:tcW w:w="1198" w:type="pct"/>
            <w:vMerge w:val="restart"/>
          </w:tcPr>
          <w:p w14:paraId="0173A9C4"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Scholarships</w:t>
            </w:r>
          </w:p>
        </w:tc>
        <w:tc>
          <w:tcPr>
            <w:tcW w:w="498" w:type="pct"/>
            <w:vMerge w:val="restart"/>
          </w:tcPr>
          <w:p w14:paraId="4D44664C" w14:textId="77777777" w:rsidR="00EE0A65" w:rsidRPr="006F7035" w:rsidRDefault="00EE0A65" w:rsidP="00EE0A65">
            <w:pPr>
              <w:autoSpaceDE w:val="0"/>
              <w:autoSpaceDN w:val="0"/>
              <w:adjustRightInd w:val="0"/>
              <w:rPr>
                <w:rFonts w:asciiTheme="minorHAnsi" w:hAnsiTheme="minorHAnsi" w:cs="Franklin Gothic Book"/>
                <w:color w:val="auto"/>
                <w:szCs w:val="17"/>
              </w:rPr>
            </w:pPr>
            <w:r w:rsidRPr="006F7035">
              <w:rPr>
                <w:rFonts w:asciiTheme="minorHAnsi" w:hAnsiTheme="minorHAnsi" w:cs="Franklin Gothic Book"/>
                <w:color w:val="auto"/>
                <w:szCs w:val="17"/>
              </w:rPr>
              <w:t xml:space="preserve">$58m </w:t>
            </w:r>
          </w:p>
          <w:p w14:paraId="54153DE3" w14:textId="77777777" w:rsidR="00396E33" w:rsidRPr="00396E33" w:rsidRDefault="00EE0A65" w:rsidP="00396E33">
            <w:pPr>
              <w:keepLines/>
              <w:spacing w:before="40" w:after="40" w:line="200" w:lineRule="atLeast"/>
              <w:rPr>
                <w:rFonts w:asciiTheme="minorHAnsi" w:eastAsia="Times New Roman" w:hAnsiTheme="minorHAnsi"/>
                <w:iCs/>
                <w:color w:val="auto"/>
                <w:szCs w:val="17"/>
                <w:lang w:eastAsia="en-US"/>
              </w:rPr>
            </w:pPr>
            <w:r w:rsidRPr="006F7035">
              <w:rPr>
                <w:rFonts w:asciiTheme="minorHAnsi" w:eastAsia="Times New Roman" w:hAnsiTheme="minorHAnsi"/>
                <w:iCs/>
                <w:color w:val="auto"/>
                <w:szCs w:val="17"/>
                <w:lang w:eastAsia="en-US"/>
              </w:rPr>
              <w:t xml:space="preserve">2010-21 </w:t>
            </w:r>
          </w:p>
        </w:tc>
        <w:tc>
          <w:tcPr>
            <w:tcW w:w="399" w:type="pct"/>
          </w:tcPr>
          <w:p w14:paraId="4DF40F52"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2016 AQC</w:t>
            </w:r>
          </w:p>
        </w:tc>
        <w:tc>
          <w:tcPr>
            <w:tcW w:w="402" w:type="pct"/>
            <w:shd w:val="clear" w:color="auto" w:fill="92D050"/>
            <w:noWrap/>
          </w:tcPr>
          <w:p w14:paraId="26FC9F2C"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FFFF00"/>
            <w:noWrap/>
          </w:tcPr>
          <w:p w14:paraId="4473216B"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2" w:type="pct"/>
            <w:shd w:val="clear" w:color="auto" w:fill="FFC000"/>
            <w:noWrap/>
          </w:tcPr>
          <w:p w14:paraId="0FD5D5D3" w14:textId="564A75E7" w:rsidR="00396E33" w:rsidRPr="00A427C6" w:rsidRDefault="00311EA6"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0" w:type="pct"/>
            <w:shd w:val="clear" w:color="auto" w:fill="FFC000"/>
            <w:noWrap/>
          </w:tcPr>
          <w:p w14:paraId="1978ABDD"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2" w:type="pct"/>
            <w:shd w:val="clear" w:color="auto" w:fill="92D050"/>
            <w:noWrap/>
          </w:tcPr>
          <w:p w14:paraId="4565F734"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FFFF00"/>
            <w:noWrap/>
          </w:tcPr>
          <w:p w14:paraId="73C96F63"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397" w:type="pct"/>
            <w:shd w:val="clear" w:color="auto" w:fill="92D050"/>
          </w:tcPr>
          <w:p w14:paraId="11C31F94"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32E475E1" w14:textId="77777777" w:rsidTr="00686821">
        <w:trPr>
          <w:cnfStyle w:val="000000010000" w:firstRow="0" w:lastRow="0" w:firstColumn="0" w:lastColumn="0" w:oddVBand="0" w:evenVBand="0" w:oddHBand="0" w:evenHBand="1" w:firstRowFirstColumn="0" w:firstRowLastColumn="0" w:lastRowFirstColumn="0" w:lastRowLastColumn="0"/>
          <w:trHeight w:val="284"/>
        </w:trPr>
        <w:tc>
          <w:tcPr>
            <w:tcW w:w="1198" w:type="pct"/>
            <w:vMerge/>
            <w:tcBorders>
              <w:bottom w:val="single" w:sz="4" w:space="0" w:color="auto"/>
            </w:tcBorders>
          </w:tcPr>
          <w:p w14:paraId="48578C80"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p>
        </w:tc>
        <w:tc>
          <w:tcPr>
            <w:tcW w:w="498" w:type="pct"/>
            <w:vMerge/>
            <w:tcBorders>
              <w:bottom w:val="single" w:sz="4" w:space="0" w:color="auto"/>
            </w:tcBorders>
          </w:tcPr>
          <w:p w14:paraId="61B5F160" w14:textId="77777777" w:rsidR="00396E33" w:rsidRPr="00396E33" w:rsidRDefault="00396E33" w:rsidP="00236D75">
            <w:pPr>
              <w:keepLines/>
              <w:spacing w:before="40" w:after="40" w:line="200" w:lineRule="atLeast"/>
              <w:rPr>
                <w:rFonts w:asciiTheme="minorHAnsi" w:eastAsia="Times New Roman" w:hAnsiTheme="minorHAnsi"/>
                <w:iCs/>
                <w:color w:val="auto"/>
                <w:szCs w:val="17"/>
                <w:lang w:eastAsia="en-US"/>
              </w:rPr>
            </w:pPr>
          </w:p>
        </w:tc>
        <w:tc>
          <w:tcPr>
            <w:tcW w:w="399" w:type="pct"/>
            <w:tcBorders>
              <w:bottom w:val="single" w:sz="4" w:space="0" w:color="auto"/>
            </w:tcBorders>
          </w:tcPr>
          <w:p w14:paraId="1BF9D8C7"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2015 AQC</w:t>
            </w:r>
          </w:p>
        </w:tc>
        <w:tc>
          <w:tcPr>
            <w:tcW w:w="402" w:type="pct"/>
            <w:tcBorders>
              <w:bottom w:val="single" w:sz="4" w:space="0" w:color="auto"/>
            </w:tcBorders>
            <w:shd w:val="clear" w:color="auto" w:fill="92D050"/>
            <w:noWrap/>
          </w:tcPr>
          <w:p w14:paraId="5AFE0928"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bottom w:val="single" w:sz="4" w:space="0" w:color="auto"/>
            </w:tcBorders>
            <w:shd w:val="clear" w:color="auto" w:fill="92D050"/>
            <w:noWrap/>
          </w:tcPr>
          <w:p w14:paraId="5EB22C94"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tcBorders>
              <w:bottom w:val="single" w:sz="4" w:space="0" w:color="auto"/>
            </w:tcBorders>
            <w:shd w:val="clear" w:color="auto" w:fill="FFC000"/>
            <w:noWrap/>
          </w:tcPr>
          <w:p w14:paraId="74651CED"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0" w:type="pct"/>
            <w:tcBorders>
              <w:bottom w:val="single" w:sz="4" w:space="0" w:color="auto"/>
            </w:tcBorders>
            <w:shd w:val="clear" w:color="auto" w:fill="FFC000"/>
            <w:noWrap/>
          </w:tcPr>
          <w:p w14:paraId="6613B744"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2" w:type="pct"/>
            <w:tcBorders>
              <w:bottom w:val="single" w:sz="4" w:space="0" w:color="auto"/>
            </w:tcBorders>
            <w:shd w:val="clear" w:color="auto" w:fill="92D050"/>
            <w:noWrap/>
          </w:tcPr>
          <w:p w14:paraId="1D6A9F9F"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bottom w:val="single" w:sz="4" w:space="0" w:color="auto"/>
            </w:tcBorders>
            <w:shd w:val="clear" w:color="auto" w:fill="92D050"/>
            <w:noWrap/>
          </w:tcPr>
          <w:p w14:paraId="1E7A4A2A"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397" w:type="pct"/>
            <w:tcBorders>
              <w:bottom w:val="single" w:sz="4" w:space="0" w:color="auto"/>
            </w:tcBorders>
            <w:shd w:val="clear" w:color="auto" w:fill="92D050"/>
          </w:tcPr>
          <w:p w14:paraId="547BF7F6"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33517D24" w14:textId="77777777" w:rsidTr="00EA7269">
        <w:trPr>
          <w:cnfStyle w:val="000000010000" w:firstRow="0" w:lastRow="0" w:firstColumn="0" w:lastColumn="0" w:oddVBand="0" w:evenVBand="0" w:oddHBand="0" w:evenHBand="1" w:firstRowFirstColumn="0" w:firstRowLastColumn="0" w:lastRowFirstColumn="0" w:lastRowLastColumn="0"/>
          <w:trHeight w:val="284"/>
        </w:trPr>
        <w:tc>
          <w:tcPr>
            <w:tcW w:w="1198" w:type="pct"/>
            <w:vMerge w:val="restart"/>
          </w:tcPr>
          <w:p w14:paraId="018B0698"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Pacific Women in Fiji</w:t>
            </w:r>
          </w:p>
        </w:tc>
        <w:tc>
          <w:tcPr>
            <w:tcW w:w="498" w:type="pct"/>
            <w:vMerge w:val="restart"/>
          </w:tcPr>
          <w:p w14:paraId="4D889E21" w14:textId="77777777" w:rsidR="00396E33" w:rsidRPr="00396E33" w:rsidRDefault="00396E33" w:rsidP="00236D75">
            <w:pPr>
              <w:autoSpaceDE w:val="0"/>
              <w:autoSpaceDN w:val="0"/>
              <w:adjustRightInd w:val="0"/>
              <w:rPr>
                <w:rFonts w:asciiTheme="minorHAnsi" w:hAnsiTheme="minorHAnsi" w:cs="Franklin Gothic Book"/>
                <w:color w:val="auto"/>
                <w:szCs w:val="17"/>
              </w:rPr>
            </w:pPr>
            <w:r w:rsidRPr="00396E33">
              <w:rPr>
                <w:rFonts w:asciiTheme="minorHAnsi" w:hAnsiTheme="minorHAnsi" w:cs="Franklin Gothic Book"/>
                <w:color w:val="auto"/>
                <w:szCs w:val="17"/>
              </w:rPr>
              <w:t xml:space="preserve">$26.3m </w:t>
            </w:r>
          </w:p>
          <w:p w14:paraId="0D273893" w14:textId="77777777" w:rsidR="00396E33" w:rsidRPr="00396E33" w:rsidRDefault="00396E33" w:rsidP="00236D75">
            <w:pPr>
              <w:keepLines/>
              <w:spacing w:before="40" w:after="40" w:line="200" w:lineRule="atLeast"/>
              <w:rPr>
                <w:rFonts w:asciiTheme="minorHAnsi" w:eastAsia="Times New Roman" w:hAnsiTheme="minorHAnsi"/>
                <w:iCs/>
                <w:color w:val="auto"/>
                <w:szCs w:val="17"/>
                <w:lang w:eastAsia="en-US"/>
              </w:rPr>
            </w:pPr>
            <w:r w:rsidRPr="00396E33">
              <w:rPr>
                <w:rFonts w:asciiTheme="minorHAnsi" w:eastAsia="Times New Roman" w:hAnsiTheme="minorHAnsi"/>
                <w:iCs/>
                <w:color w:val="auto"/>
                <w:szCs w:val="17"/>
                <w:lang w:eastAsia="en-US"/>
              </w:rPr>
              <w:t>2014-22</w:t>
            </w:r>
          </w:p>
        </w:tc>
        <w:tc>
          <w:tcPr>
            <w:tcW w:w="399" w:type="pct"/>
          </w:tcPr>
          <w:p w14:paraId="34B22383"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2016 AQC</w:t>
            </w:r>
          </w:p>
        </w:tc>
        <w:tc>
          <w:tcPr>
            <w:tcW w:w="402" w:type="pct"/>
            <w:shd w:val="clear" w:color="auto" w:fill="92D050"/>
            <w:noWrap/>
          </w:tcPr>
          <w:p w14:paraId="310936B3"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shd w:val="clear" w:color="auto" w:fill="FFC000"/>
            <w:noWrap/>
          </w:tcPr>
          <w:p w14:paraId="49845043" w14:textId="42176ED5" w:rsidR="00396E33" w:rsidRPr="00A427C6" w:rsidRDefault="00311EA6"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2" w:type="pct"/>
            <w:shd w:val="clear" w:color="auto" w:fill="FFFF00"/>
            <w:noWrap/>
          </w:tcPr>
          <w:p w14:paraId="7407EF02"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shd w:val="clear" w:color="auto" w:fill="FFFF00"/>
            <w:noWrap/>
          </w:tcPr>
          <w:p w14:paraId="6F69034E"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2" w:type="pct"/>
            <w:shd w:val="clear" w:color="auto" w:fill="FFFF00"/>
            <w:noWrap/>
          </w:tcPr>
          <w:p w14:paraId="2AB0B09D"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shd w:val="clear" w:color="auto" w:fill="92D050"/>
            <w:noWrap/>
          </w:tcPr>
          <w:p w14:paraId="57743274"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397" w:type="pct"/>
            <w:shd w:val="clear" w:color="auto" w:fill="92D050"/>
          </w:tcPr>
          <w:p w14:paraId="1FC0678E"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70239961" w14:textId="77777777" w:rsidTr="00686821">
        <w:trPr>
          <w:cnfStyle w:val="000000010000" w:firstRow="0" w:lastRow="0" w:firstColumn="0" w:lastColumn="0" w:oddVBand="0" w:evenVBand="0" w:oddHBand="0" w:evenHBand="1" w:firstRowFirstColumn="0" w:firstRowLastColumn="0" w:lastRowFirstColumn="0" w:lastRowLastColumn="0"/>
          <w:trHeight w:val="284"/>
        </w:trPr>
        <w:tc>
          <w:tcPr>
            <w:tcW w:w="1198" w:type="pct"/>
            <w:vMerge/>
          </w:tcPr>
          <w:p w14:paraId="583A9DA7"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p>
        </w:tc>
        <w:tc>
          <w:tcPr>
            <w:tcW w:w="498" w:type="pct"/>
            <w:vMerge/>
          </w:tcPr>
          <w:p w14:paraId="5BBEE5C2"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p>
        </w:tc>
        <w:tc>
          <w:tcPr>
            <w:tcW w:w="399" w:type="pct"/>
          </w:tcPr>
          <w:p w14:paraId="4581385D" w14:textId="77777777" w:rsidR="00396E33" w:rsidRPr="00A427C6" w:rsidRDefault="00396E33" w:rsidP="00236D75">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2015 AQC</w:t>
            </w:r>
          </w:p>
        </w:tc>
        <w:tc>
          <w:tcPr>
            <w:tcW w:w="402" w:type="pct"/>
            <w:shd w:val="clear" w:color="auto" w:fill="FFFF00"/>
            <w:noWrap/>
          </w:tcPr>
          <w:p w14:paraId="095C2F6A"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shd w:val="clear" w:color="auto" w:fill="FFC000"/>
            <w:noWrap/>
          </w:tcPr>
          <w:p w14:paraId="3093B101"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2" w:type="pct"/>
            <w:shd w:val="clear" w:color="auto" w:fill="FFC000"/>
            <w:noWrap/>
          </w:tcPr>
          <w:p w14:paraId="2CFA2F62"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0" w:type="pct"/>
            <w:shd w:val="clear" w:color="auto" w:fill="FFC000"/>
            <w:noWrap/>
          </w:tcPr>
          <w:p w14:paraId="14F8890A"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02" w:type="pct"/>
            <w:shd w:val="clear" w:color="auto" w:fill="FFFF00"/>
            <w:noWrap/>
          </w:tcPr>
          <w:p w14:paraId="1DADEE38"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0" w:type="pct"/>
            <w:shd w:val="clear" w:color="auto" w:fill="FFFF00"/>
            <w:noWrap/>
          </w:tcPr>
          <w:p w14:paraId="3498ACEA"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397" w:type="pct"/>
            <w:shd w:val="clear" w:color="auto" w:fill="FFFF00"/>
          </w:tcPr>
          <w:p w14:paraId="602E6D4A" w14:textId="77777777" w:rsidR="00396E33" w:rsidRPr="00A427C6" w:rsidRDefault="00396E33" w:rsidP="00236D75">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r>
      <w:tr w:rsidR="00686821" w:rsidRPr="00C61187" w14:paraId="16897D86" w14:textId="77777777" w:rsidTr="00686821">
        <w:trPr>
          <w:cnfStyle w:val="000000010000" w:firstRow="0" w:lastRow="0" w:firstColumn="0" w:lastColumn="0" w:oddVBand="0" w:evenVBand="0" w:oddHBand="0" w:evenHBand="1" w:firstRowFirstColumn="0" w:firstRowLastColumn="0" w:lastRowFirstColumn="0" w:lastRowLastColumn="0"/>
          <w:trHeight w:val="284"/>
        </w:trPr>
        <w:tc>
          <w:tcPr>
            <w:tcW w:w="1198" w:type="pct"/>
            <w:tcBorders>
              <w:top w:val="single" w:sz="4" w:space="0" w:color="auto"/>
            </w:tcBorders>
          </w:tcPr>
          <w:p w14:paraId="20C014DA" w14:textId="77777777" w:rsidR="00B035E7" w:rsidRPr="00A427C6" w:rsidRDefault="00686821" w:rsidP="0030399D">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Governance (Fiji Transition to Democracy including Institutional Partnerships Program)</w:t>
            </w:r>
          </w:p>
        </w:tc>
        <w:tc>
          <w:tcPr>
            <w:tcW w:w="498" w:type="pct"/>
            <w:tcBorders>
              <w:top w:val="single" w:sz="4" w:space="0" w:color="auto"/>
            </w:tcBorders>
          </w:tcPr>
          <w:p w14:paraId="03ECB75B" w14:textId="77777777" w:rsidR="00B035E7" w:rsidRPr="00396E33" w:rsidRDefault="00B035E7" w:rsidP="0030399D">
            <w:pPr>
              <w:keepLines/>
              <w:spacing w:before="40" w:after="40" w:line="200" w:lineRule="atLeast"/>
              <w:rPr>
                <w:rFonts w:asciiTheme="minorHAnsi" w:eastAsia="Times New Roman" w:hAnsiTheme="minorHAnsi"/>
                <w:iCs/>
                <w:color w:val="auto"/>
                <w:szCs w:val="17"/>
                <w:lang w:eastAsia="en-US"/>
              </w:rPr>
            </w:pPr>
            <w:r w:rsidRPr="00686821">
              <w:rPr>
                <w:rFonts w:asciiTheme="minorHAnsi" w:eastAsia="Times New Roman" w:hAnsiTheme="minorHAnsi"/>
                <w:iCs/>
                <w:color w:val="auto"/>
                <w:szCs w:val="17"/>
                <w:lang w:eastAsia="en-US"/>
              </w:rPr>
              <w:t xml:space="preserve"> $5.6m</w:t>
            </w:r>
          </w:p>
        </w:tc>
        <w:tc>
          <w:tcPr>
            <w:tcW w:w="399" w:type="pct"/>
            <w:tcBorders>
              <w:top w:val="single" w:sz="4" w:space="0" w:color="auto"/>
            </w:tcBorders>
          </w:tcPr>
          <w:p w14:paraId="2B42CE77" w14:textId="77777777" w:rsidR="00B035E7" w:rsidRPr="00A427C6" w:rsidRDefault="00B035E7" w:rsidP="0030399D">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2016 AQC</w:t>
            </w:r>
          </w:p>
        </w:tc>
        <w:tc>
          <w:tcPr>
            <w:tcW w:w="402" w:type="pct"/>
            <w:tcBorders>
              <w:top w:val="single" w:sz="4" w:space="0" w:color="auto"/>
            </w:tcBorders>
            <w:shd w:val="clear" w:color="auto" w:fill="92D050"/>
            <w:noWrap/>
          </w:tcPr>
          <w:p w14:paraId="3CF76BBF" w14:textId="77777777" w:rsidR="00B035E7" w:rsidRPr="00A427C6" w:rsidRDefault="00B035E7" w:rsidP="0030399D">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6</w:t>
            </w:r>
          </w:p>
        </w:tc>
        <w:tc>
          <w:tcPr>
            <w:tcW w:w="400" w:type="pct"/>
            <w:tcBorders>
              <w:top w:val="single" w:sz="4" w:space="0" w:color="auto"/>
            </w:tcBorders>
            <w:shd w:val="clear" w:color="auto" w:fill="92D050"/>
            <w:noWrap/>
          </w:tcPr>
          <w:p w14:paraId="7AED40EB" w14:textId="05543790" w:rsidR="00B035E7" w:rsidRPr="00A427C6" w:rsidRDefault="00311EA6" w:rsidP="0030399D">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2" w:type="pct"/>
            <w:tcBorders>
              <w:top w:val="single" w:sz="4" w:space="0" w:color="auto"/>
            </w:tcBorders>
            <w:shd w:val="clear" w:color="auto" w:fill="92D050"/>
            <w:noWrap/>
          </w:tcPr>
          <w:p w14:paraId="7AE082F6" w14:textId="7D8FA784" w:rsidR="00B035E7" w:rsidRPr="00A427C6" w:rsidRDefault="00311EA6" w:rsidP="0030399D">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top w:val="single" w:sz="4" w:space="0" w:color="auto"/>
            </w:tcBorders>
            <w:shd w:val="clear" w:color="auto" w:fill="FFFF00"/>
            <w:noWrap/>
          </w:tcPr>
          <w:p w14:paraId="120D007F" w14:textId="77777777" w:rsidR="00B035E7" w:rsidRPr="00A427C6" w:rsidRDefault="00B035E7" w:rsidP="0030399D">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2" w:type="pct"/>
            <w:tcBorders>
              <w:top w:val="single" w:sz="4" w:space="0" w:color="auto"/>
            </w:tcBorders>
            <w:shd w:val="clear" w:color="auto" w:fill="92D050"/>
            <w:noWrap/>
          </w:tcPr>
          <w:p w14:paraId="17D8B59F" w14:textId="77777777" w:rsidR="00B035E7" w:rsidRPr="00A427C6" w:rsidRDefault="00B035E7" w:rsidP="0030399D">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0" w:type="pct"/>
            <w:tcBorders>
              <w:top w:val="single" w:sz="4" w:space="0" w:color="auto"/>
            </w:tcBorders>
            <w:shd w:val="clear" w:color="auto" w:fill="FFFF00"/>
            <w:noWrap/>
          </w:tcPr>
          <w:p w14:paraId="6FBC520D" w14:textId="77777777" w:rsidR="00B035E7" w:rsidRPr="00A427C6" w:rsidRDefault="00B035E7" w:rsidP="0030399D">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397" w:type="pct"/>
            <w:tcBorders>
              <w:top w:val="single" w:sz="4" w:space="0" w:color="auto"/>
            </w:tcBorders>
            <w:shd w:val="clear" w:color="auto" w:fill="92D050"/>
          </w:tcPr>
          <w:p w14:paraId="26A4ACE4" w14:textId="52B9E9FC" w:rsidR="00B035E7" w:rsidRPr="00A427C6" w:rsidRDefault="00311EA6" w:rsidP="0030399D">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r>
      <w:tr w:rsidR="00686821" w:rsidRPr="00C61187" w14:paraId="6B1120EB" w14:textId="77777777" w:rsidTr="00686821">
        <w:trPr>
          <w:cnfStyle w:val="000000010000" w:firstRow="0" w:lastRow="0" w:firstColumn="0" w:lastColumn="0" w:oddVBand="0" w:evenVBand="0" w:oddHBand="0" w:evenHBand="1" w:firstRowFirstColumn="0" w:firstRowLastColumn="0" w:lastRowFirstColumn="0" w:lastRowLastColumn="0"/>
          <w:trHeight w:val="284"/>
        </w:trPr>
        <w:tc>
          <w:tcPr>
            <w:tcW w:w="1198" w:type="pct"/>
            <w:tcBorders>
              <w:bottom w:val="single" w:sz="12" w:space="0" w:color="000000" w:themeColor="text1"/>
            </w:tcBorders>
          </w:tcPr>
          <w:p w14:paraId="33A1373A" w14:textId="77777777" w:rsidR="00B035E7" w:rsidRDefault="00B035E7" w:rsidP="0030399D">
            <w:pPr>
              <w:keepLines/>
              <w:spacing w:before="40" w:after="40" w:line="200" w:lineRule="atLeast"/>
              <w:rPr>
                <w:rFonts w:eastAsia="Times New Roman"/>
                <w:iCs/>
                <w:szCs w:val="17"/>
              </w:rPr>
            </w:pPr>
          </w:p>
        </w:tc>
        <w:tc>
          <w:tcPr>
            <w:tcW w:w="498" w:type="pct"/>
            <w:tcBorders>
              <w:bottom w:val="single" w:sz="12" w:space="0" w:color="000000" w:themeColor="text1"/>
            </w:tcBorders>
          </w:tcPr>
          <w:p w14:paraId="4AD072BA" w14:textId="77777777" w:rsidR="00B035E7" w:rsidRPr="00686821" w:rsidRDefault="00B035E7" w:rsidP="0030399D">
            <w:pPr>
              <w:keepLines/>
              <w:spacing w:before="40" w:after="40" w:line="200" w:lineRule="atLeast"/>
              <w:rPr>
                <w:rFonts w:asciiTheme="minorHAnsi" w:eastAsia="Times New Roman" w:hAnsiTheme="minorHAnsi"/>
                <w:iCs/>
                <w:color w:val="auto"/>
                <w:szCs w:val="17"/>
                <w:lang w:eastAsia="en-US"/>
              </w:rPr>
            </w:pPr>
            <w:r w:rsidRPr="00686821">
              <w:rPr>
                <w:rFonts w:asciiTheme="minorHAnsi" w:eastAsia="Times New Roman" w:hAnsiTheme="minorHAnsi"/>
                <w:iCs/>
                <w:color w:val="auto"/>
                <w:szCs w:val="17"/>
                <w:lang w:eastAsia="en-US"/>
              </w:rPr>
              <w:t>2012-16</w:t>
            </w:r>
          </w:p>
        </w:tc>
        <w:tc>
          <w:tcPr>
            <w:tcW w:w="399" w:type="pct"/>
            <w:tcBorders>
              <w:bottom w:val="single" w:sz="12" w:space="0" w:color="000000" w:themeColor="text1"/>
            </w:tcBorders>
          </w:tcPr>
          <w:p w14:paraId="39CE2E6D" w14:textId="77777777" w:rsidR="00B035E7" w:rsidRPr="00A427C6" w:rsidRDefault="00B035E7" w:rsidP="0030399D">
            <w:pPr>
              <w:keepLines/>
              <w:spacing w:before="40" w:after="40" w:line="200" w:lineRule="atLeast"/>
              <w:rPr>
                <w:rFonts w:eastAsia="Times New Roman"/>
                <w:iCs/>
                <w:szCs w:val="17"/>
              </w:rPr>
            </w:pPr>
            <w:r w:rsidRPr="00B035E7">
              <w:rPr>
                <w:rFonts w:asciiTheme="minorHAnsi" w:eastAsia="Times New Roman" w:hAnsiTheme="minorHAnsi"/>
                <w:iCs/>
                <w:szCs w:val="17"/>
                <w:lang w:eastAsia="en-US"/>
              </w:rPr>
              <w:t>2015 AQC</w:t>
            </w:r>
          </w:p>
        </w:tc>
        <w:tc>
          <w:tcPr>
            <w:tcW w:w="402" w:type="pct"/>
            <w:tcBorders>
              <w:bottom w:val="single" w:sz="12" w:space="0" w:color="000000" w:themeColor="text1"/>
            </w:tcBorders>
            <w:shd w:val="clear" w:color="auto" w:fill="92D050"/>
            <w:noWrap/>
          </w:tcPr>
          <w:p w14:paraId="35D7D1CE" w14:textId="77777777" w:rsidR="00B035E7" w:rsidRDefault="00B035E7" w:rsidP="0030399D">
            <w:pPr>
              <w:keepLines/>
              <w:spacing w:before="40" w:after="40" w:line="200" w:lineRule="atLeast"/>
              <w:jc w:val="center"/>
              <w:rPr>
                <w:rFonts w:eastAsia="Times New Roman"/>
                <w:iCs/>
                <w:szCs w:val="17"/>
              </w:rPr>
            </w:pPr>
            <w:r>
              <w:rPr>
                <w:rFonts w:eastAsia="Times New Roman"/>
                <w:iCs/>
                <w:szCs w:val="17"/>
              </w:rPr>
              <w:t>5</w:t>
            </w:r>
          </w:p>
        </w:tc>
        <w:tc>
          <w:tcPr>
            <w:tcW w:w="400" w:type="pct"/>
            <w:tcBorders>
              <w:bottom w:val="single" w:sz="12" w:space="0" w:color="000000" w:themeColor="text1"/>
            </w:tcBorders>
            <w:shd w:val="clear" w:color="auto" w:fill="92D050"/>
            <w:noWrap/>
          </w:tcPr>
          <w:p w14:paraId="3398AD3E" w14:textId="77777777" w:rsidR="00B035E7" w:rsidRDefault="00B035E7" w:rsidP="0030399D">
            <w:pPr>
              <w:keepLines/>
              <w:spacing w:before="40" w:after="40" w:line="200" w:lineRule="atLeast"/>
              <w:jc w:val="center"/>
              <w:rPr>
                <w:rFonts w:eastAsia="Times New Roman"/>
                <w:iCs/>
                <w:szCs w:val="17"/>
              </w:rPr>
            </w:pPr>
            <w:r>
              <w:rPr>
                <w:rFonts w:eastAsia="Times New Roman"/>
                <w:iCs/>
                <w:szCs w:val="17"/>
              </w:rPr>
              <w:t>5</w:t>
            </w:r>
          </w:p>
        </w:tc>
        <w:tc>
          <w:tcPr>
            <w:tcW w:w="402" w:type="pct"/>
            <w:tcBorders>
              <w:bottom w:val="single" w:sz="12" w:space="0" w:color="000000" w:themeColor="text1"/>
            </w:tcBorders>
            <w:shd w:val="clear" w:color="auto" w:fill="92D050"/>
            <w:noWrap/>
          </w:tcPr>
          <w:p w14:paraId="033B0276" w14:textId="77777777" w:rsidR="00B035E7" w:rsidRDefault="00B035E7" w:rsidP="0030399D">
            <w:pPr>
              <w:keepLines/>
              <w:spacing w:before="40" w:after="40" w:line="200" w:lineRule="atLeast"/>
              <w:jc w:val="center"/>
              <w:rPr>
                <w:rFonts w:eastAsia="Times New Roman"/>
                <w:iCs/>
                <w:szCs w:val="17"/>
              </w:rPr>
            </w:pPr>
            <w:r>
              <w:rPr>
                <w:rFonts w:eastAsia="Times New Roman"/>
                <w:iCs/>
                <w:szCs w:val="17"/>
              </w:rPr>
              <w:t>5</w:t>
            </w:r>
          </w:p>
        </w:tc>
        <w:tc>
          <w:tcPr>
            <w:tcW w:w="400" w:type="pct"/>
            <w:tcBorders>
              <w:bottom w:val="single" w:sz="12" w:space="0" w:color="000000" w:themeColor="text1"/>
            </w:tcBorders>
            <w:shd w:val="clear" w:color="auto" w:fill="92D050"/>
            <w:noWrap/>
          </w:tcPr>
          <w:p w14:paraId="09DA21AB" w14:textId="77777777" w:rsidR="00B035E7" w:rsidRDefault="00B035E7" w:rsidP="0030399D">
            <w:pPr>
              <w:keepLines/>
              <w:spacing w:before="40" w:after="40" w:line="200" w:lineRule="atLeast"/>
              <w:jc w:val="center"/>
              <w:rPr>
                <w:rFonts w:eastAsia="Times New Roman"/>
                <w:iCs/>
                <w:szCs w:val="17"/>
              </w:rPr>
            </w:pPr>
            <w:r>
              <w:rPr>
                <w:rFonts w:eastAsia="Times New Roman"/>
                <w:iCs/>
                <w:szCs w:val="17"/>
              </w:rPr>
              <w:t>5</w:t>
            </w:r>
          </w:p>
        </w:tc>
        <w:tc>
          <w:tcPr>
            <w:tcW w:w="402" w:type="pct"/>
            <w:tcBorders>
              <w:bottom w:val="single" w:sz="12" w:space="0" w:color="000000" w:themeColor="text1"/>
            </w:tcBorders>
            <w:shd w:val="clear" w:color="auto" w:fill="92D050"/>
            <w:noWrap/>
          </w:tcPr>
          <w:p w14:paraId="104A4477" w14:textId="77777777" w:rsidR="00B035E7" w:rsidRDefault="00690E54" w:rsidP="0030399D">
            <w:pPr>
              <w:keepLines/>
              <w:spacing w:before="40" w:after="40" w:line="200" w:lineRule="atLeast"/>
              <w:jc w:val="center"/>
              <w:rPr>
                <w:rFonts w:eastAsia="Times New Roman"/>
                <w:iCs/>
                <w:szCs w:val="17"/>
              </w:rPr>
            </w:pPr>
            <w:r>
              <w:rPr>
                <w:rFonts w:eastAsia="Times New Roman"/>
                <w:iCs/>
                <w:szCs w:val="17"/>
              </w:rPr>
              <w:t>5</w:t>
            </w:r>
          </w:p>
        </w:tc>
        <w:tc>
          <w:tcPr>
            <w:tcW w:w="400" w:type="pct"/>
            <w:tcBorders>
              <w:bottom w:val="single" w:sz="12" w:space="0" w:color="000000" w:themeColor="text1"/>
            </w:tcBorders>
            <w:shd w:val="clear" w:color="auto" w:fill="92D050"/>
            <w:noWrap/>
          </w:tcPr>
          <w:p w14:paraId="0C313B34" w14:textId="77777777" w:rsidR="00B035E7" w:rsidRDefault="00690E54" w:rsidP="0030399D">
            <w:pPr>
              <w:keepLines/>
              <w:spacing w:before="40" w:after="40" w:line="200" w:lineRule="atLeast"/>
              <w:jc w:val="center"/>
              <w:rPr>
                <w:rFonts w:eastAsia="Times New Roman"/>
                <w:iCs/>
                <w:szCs w:val="17"/>
              </w:rPr>
            </w:pPr>
            <w:r>
              <w:rPr>
                <w:rFonts w:eastAsia="Times New Roman"/>
                <w:iCs/>
                <w:szCs w:val="17"/>
              </w:rPr>
              <w:t>5</w:t>
            </w:r>
          </w:p>
        </w:tc>
        <w:tc>
          <w:tcPr>
            <w:tcW w:w="397" w:type="pct"/>
            <w:tcBorders>
              <w:bottom w:val="single" w:sz="12" w:space="0" w:color="000000" w:themeColor="text1"/>
            </w:tcBorders>
            <w:shd w:val="clear" w:color="auto" w:fill="92D050"/>
          </w:tcPr>
          <w:p w14:paraId="57B8E409" w14:textId="77777777" w:rsidR="00B035E7" w:rsidRDefault="00690E54" w:rsidP="0030399D">
            <w:pPr>
              <w:keepLines/>
              <w:spacing w:before="40" w:after="40" w:line="200" w:lineRule="atLeast"/>
              <w:jc w:val="center"/>
              <w:rPr>
                <w:rFonts w:eastAsia="Times New Roman"/>
                <w:iCs/>
                <w:szCs w:val="17"/>
              </w:rPr>
            </w:pPr>
            <w:r>
              <w:rPr>
                <w:rFonts w:eastAsia="Times New Roman"/>
                <w:iCs/>
                <w:szCs w:val="17"/>
              </w:rPr>
              <w:t>5</w:t>
            </w:r>
          </w:p>
        </w:tc>
      </w:tr>
    </w:tbl>
    <w:p w14:paraId="0B28D242" w14:textId="77777777" w:rsidR="00A82407" w:rsidRDefault="00A82407" w:rsidP="00DB74DF">
      <w:pPr>
        <w:keepNext/>
        <w:numPr>
          <w:ilvl w:val="2"/>
          <w:numId w:val="0"/>
        </w:numPr>
        <w:spacing w:before="240" w:after="120"/>
        <w:outlineLvl w:val="2"/>
        <w:rPr>
          <w:rFonts w:asciiTheme="majorHAnsi" w:eastAsiaTheme="majorEastAsia" w:hAnsiTheme="majorHAnsi" w:cstheme="majorBidi"/>
          <w:caps/>
          <w:sz w:val="38"/>
          <w:szCs w:val="26"/>
        </w:rPr>
      </w:pPr>
    </w:p>
    <w:p w14:paraId="3816DD42" w14:textId="77777777" w:rsidR="00400B0F" w:rsidRPr="00AA655A" w:rsidRDefault="00400B0F" w:rsidP="00AA655A">
      <w:pPr>
        <w:suppressAutoHyphens w:val="0"/>
        <w:spacing w:before="0" w:after="120" w:line="440" w:lineRule="atLeast"/>
        <w:rPr>
          <w:rFonts w:asciiTheme="majorHAnsi" w:eastAsiaTheme="majorEastAsia" w:hAnsiTheme="majorHAnsi" w:cstheme="majorBidi"/>
          <w:caps/>
          <w:sz w:val="38"/>
          <w:szCs w:val="26"/>
        </w:rPr>
      </w:pPr>
    </w:p>
    <w:sectPr w:rsidR="00400B0F" w:rsidRPr="00AA655A" w:rsidSect="00784031">
      <w:headerReference w:type="default" r:id="rId21"/>
      <w:pgSz w:w="16838" w:h="11906" w:orient="landscape" w:code="9"/>
      <w:pgMar w:top="1134" w:right="1527" w:bottom="1134" w:left="851" w:header="1418" w:footer="2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78E2A" w14:textId="77777777" w:rsidR="00EF7052" w:rsidRDefault="00EF7052" w:rsidP="00EF4574">
      <w:pPr>
        <w:spacing w:before="0" w:after="0" w:line="240" w:lineRule="auto"/>
      </w:pPr>
      <w:r>
        <w:separator/>
      </w:r>
    </w:p>
  </w:endnote>
  <w:endnote w:type="continuationSeparator" w:id="0">
    <w:p w14:paraId="4F9E69EA" w14:textId="77777777" w:rsidR="00EF7052" w:rsidRDefault="00EF7052" w:rsidP="00EF4574">
      <w:pPr>
        <w:spacing w:before="0" w:after="0" w:line="240" w:lineRule="auto"/>
      </w:pPr>
      <w:r>
        <w:continuationSeparator/>
      </w:r>
    </w:p>
  </w:endnote>
  <w:endnote w:type="continuationNotice" w:id="1">
    <w:p w14:paraId="664248FC" w14:textId="77777777" w:rsidR="00EF7052" w:rsidRDefault="00EF70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Ubuntu Light">
    <w:altName w:val="Ubuntu 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948749"/>
      <w:docPartObj>
        <w:docPartGallery w:val="Page Numbers (Bottom of Page)"/>
        <w:docPartUnique/>
      </w:docPartObj>
    </w:sdtPr>
    <w:sdtEndPr>
      <w:rPr>
        <w:noProof/>
      </w:rPr>
    </w:sdtEndPr>
    <w:sdtContent>
      <w:p w14:paraId="7681F66E" w14:textId="5E2D4162" w:rsidR="00783FAC" w:rsidRDefault="00783FAC">
        <w:pPr>
          <w:pStyle w:val="Footer"/>
        </w:pPr>
        <w:r>
          <w:fldChar w:fldCharType="begin"/>
        </w:r>
        <w:r>
          <w:instrText xml:space="preserve"> PAGE   \* MERGEFORMAT </w:instrText>
        </w:r>
        <w:r>
          <w:fldChar w:fldCharType="separate"/>
        </w:r>
        <w:r w:rsidR="00332F13">
          <w:rPr>
            <w:noProof/>
          </w:rPr>
          <w:t>14</w:t>
        </w:r>
        <w:r>
          <w:rPr>
            <w:noProof/>
          </w:rPr>
          <w:fldChar w:fldCharType="end"/>
        </w:r>
      </w:p>
    </w:sdtContent>
  </w:sdt>
  <w:p w14:paraId="72D7CED9" w14:textId="77777777" w:rsidR="00783FAC" w:rsidRDefault="00783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A9652" w14:textId="77777777" w:rsidR="00783FAC" w:rsidRPr="00CD0E4B" w:rsidRDefault="00783FAC" w:rsidP="00784031">
    <w:pPr>
      <w:pStyle w:val="Footer"/>
    </w:pPr>
    <w:r w:rsidRPr="00CD0E4B">
      <w:rPr>
        <w:noProof/>
        <w:lang w:val="en-AU" w:eastAsia="en-AU"/>
      </w:rPr>
      <w:drawing>
        <wp:inline distT="0" distB="0" distL="0" distR="0" wp14:anchorId="6D912F91" wp14:editId="75DACB7A">
          <wp:extent cx="90000" cy="74520"/>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icon.png"/>
                  <pic:cNvPicPr/>
                </pic:nvPicPr>
                <pic:blipFill>
                  <a:blip r:embed="rId1">
                    <a:extLst>
                      <a:ext uri="{28A0092B-C50C-407E-A947-70E740481C1C}">
                        <a14:useLocalDpi xmlns:a14="http://schemas.microsoft.com/office/drawing/2010/main" val="0"/>
                      </a:ext>
                    </a:extLst>
                  </a:blip>
                  <a:stretch>
                    <a:fillRect/>
                  </a:stretch>
                </pic:blipFill>
                <pic:spPr>
                  <a:xfrm>
                    <a:off x="0" y="0"/>
                    <a:ext cx="90000" cy="74520"/>
                  </a:xfrm>
                  <a:prstGeom prst="rect">
                    <a:avLst/>
                  </a:prstGeom>
                </pic:spPr>
              </pic:pic>
            </a:graphicData>
          </a:graphic>
        </wp:inline>
      </w:drawing>
    </w:r>
    <w:r w:rsidRPr="00CD0E4B">
      <w:t>@DFAT</w:t>
    </w:r>
  </w:p>
  <w:p w14:paraId="1075B483" w14:textId="77777777" w:rsidR="00783FAC" w:rsidRPr="00CD0E4B" w:rsidRDefault="00783FAC" w:rsidP="00784031">
    <w:pPr>
      <w:pStyle w:val="Footer"/>
      <w:rPr>
        <w:color w:val="ACD08C" w:themeColor="accent3"/>
      </w:rPr>
    </w:pPr>
    <w:r w:rsidRPr="00CD0E4B">
      <w:rPr>
        <w:color w:val="ACD08C" w:themeColor="accent3"/>
      </w:rPr>
      <w:t>DFAT.GOV.AU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D39DC" w14:textId="77777777" w:rsidR="00EF7052" w:rsidRPr="008C5A0E" w:rsidRDefault="00EF7052" w:rsidP="001D663E">
      <w:pPr>
        <w:pStyle w:val="Footer"/>
        <w:pBdr>
          <w:top w:val="single" w:sz="4" w:space="1" w:color="495965" w:themeColor="text2"/>
        </w:pBdr>
      </w:pPr>
    </w:p>
  </w:footnote>
  <w:footnote w:type="continuationSeparator" w:id="0">
    <w:p w14:paraId="358CD6A1" w14:textId="77777777" w:rsidR="00EF7052" w:rsidRDefault="00EF7052" w:rsidP="00EF4574">
      <w:pPr>
        <w:spacing w:before="0" w:after="0" w:line="240" w:lineRule="auto"/>
      </w:pPr>
      <w:r>
        <w:continuationSeparator/>
      </w:r>
    </w:p>
  </w:footnote>
  <w:footnote w:type="continuationNotice" w:id="1">
    <w:p w14:paraId="23505600" w14:textId="77777777" w:rsidR="00EF7052" w:rsidRDefault="00EF7052">
      <w:pPr>
        <w:spacing w:before="0" w:after="0" w:line="240" w:lineRule="auto"/>
      </w:pPr>
    </w:p>
  </w:footnote>
  <w:footnote w:id="2">
    <w:p w14:paraId="557D4C44" w14:textId="77777777" w:rsidR="00783FAC" w:rsidRPr="008E647E" w:rsidRDefault="00783FAC" w:rsidP="00A36A1C">
      <w:pPr>
        <w:pStyle w:val="FootnoteText"/>
        <w:rPr>
          <w:sz w:val="16"/>
          <w:szCs w:val="16"/>
          <w:lang w:val="en-AU"/>
        </w:rPr>
      </w:pPr>
      <w:r w:rsidRPr="008E647E">
        <w:rPr>
          <w:rStyle w:val="FootnoteReference"/>
          <w:sz w:val="16"/>
          <w:szCs w:val="16"/>
        </w:rPr>
        <w:footnoteRef/>
      </w:r>
      <w:r w:rsidRPr="008E647E">
        <w:rPr>
          <w:sz w:val="16"/>
          <w:szCs w:val="16"/>
        </w:rPr>
        <w:t xml:space="preserve"> </w:t>
      </w:r>
      <w:r w:rsidRPr="008E647E">
        <w:rPr>
          <w:sz w:val="16"/>
          <w:szCs w:val="16"/>
          <w:lang w:val="en-AU"/>
        </w:rPr>
        <w:t>Government of Fiji, World Bank, Post Disaster Needs Assessment,</w:t>
      </w:r>
      <w:r w:rsidRPr="008E647E">
        <w:rPr>
          <w:b/>
          <w:sz w:val="16"/>
          <w:szCs w:val="16"/>
          <w:lang w:val="en-AU"/>
        </w:rPr>
        <w:t xml:space="preserve"> </w:t>
      </w:r>
      <w:r w:rsidRPr="008E647E">
        <w:rPr>
          <w:sz w:val="16"/>
          <w:szCs w:val="16"/>
          <w:lang w:val="en-AU"/>
        </w:rPr>
        <w:t>May 2016</w:t>
      </w:r>
    </w:p>
  </w:footnote>
  <w:footnote w:id="3">
    <w:p w14:paraId="42E3B8AD" w14:textId="77777777" w:rsidR="00783FAC" w:rsidRPr="008E647E" w:rsidRDefault="00783FAC" w:rsidP="00917199">
      <w:pPr>
        <w:pStyle w:val="FootnoteText"/>
        <w:spacing w:line="240" w:lineRule="auto"/>
        <w:rPr>
          <w:sz w:val="16"/>
          <w:szCs w:val="16"/>
          <w:lang w:val="en-AU"/>
        </w:rPr>
      </w:pPr>
      <w:r w:rsidRPr="008E647E">
        <w:rPr>
          <w:rStyle w:val="FootnoteReference"/>
          <w:sz w:val="16"/>
          <w:szCs w:val="16"/>
        </w:rPr>
        <w:footnoteRef/>
      </w:r>
      <w:r w:rsidRPr="008E647E">
        <w:rPr>
          <w:sz w:val="16"/>
          <w:szCs w:val="16"/>
        </w:rPr>
        <w:t xml:space="preserve"> </w:t>
      </w:r>
      <w:r w:rsidRPr="008E647E">
        <w:rPr>
          <w:sz w:val="16"/>
          <w:szCs w:val="16"/>
          <w:lang w:val="en-AU"/>
        </w:rPr>
        <w:t xml:space="preserve">Government of Fiji, Supplementary Budget 2016-17 </w:t>
      </w:r>
    </w:p>
  </w:footnote>
  <w:footnote w:id="4">
    <w:p w14:paraId="353094DF" w14:textId="77777777" w:rsidR="00783FAC" w:rsidRPr="008E647E" w:rsidRDefault="00783FAC" w:rsidP="00771C35">
      <w:pPr>
        <w:pStyle w:val="FootnoteText"/>
        <w:spacing w:line="240" w:lineRule="auto"/>
        <w:rPr>
          <w:sz w:val="16"/>
          <w:szCs w:val="16"/>
          <w:lang w:val="en-AU"/>
        </w:rPr>
      </w:pPr>
      <w:r w:rsidRPr="008E647E">
        <w:rPr>
          <w:rStyle w:val="FootnoteReference"/>
          <w:sz w:val="16"/>
          <w:szCs w:val="16"/>
        </w:rPr>
        <w:footnoteRef/>
      </w:r>
      <w:r w:rsidRPr="008E647E">
        <w:rPr>
          <w:sz w:val="16"/>
          <w:szCs w:val="16"/>
        </w:rPr>
        <w:t xml:space="preserve"> </w:t>
      </w:r>
      <w:r w:rsidRPr="008E647E">
        <w:rPr>
          <w:sz w:val="16"/>
          <w:szCs w:val="16"/>
          <w:lang w:val="en-AU"/>
        </w:rPr>
        <w:t>Ibid</w:t>
      </w:r>
    </w:p>
  </w:footnote>
  <w:footnote w:id="5">
    <w:p w14:paraId="23CC088E" w14:textId="77777777" w:rsidR="00783FAC" w:rsidRPr="008E647E" w:rsidRDefault="00783FAC" w:rsidP="00771C35">
      <w:pPr>
        <w:pStyle w:val="FootnoteText"/>
        <w:spacing w:line="240" w:lineRule="auto"/>
        <w:rPr>
          <w:sz w:val="16"/>
          <w:szCs w:val="16"/>
          <w:lang w:val="en-AU"/>
        </w:rPr>
      </w:pPr>
      <w:r w:rsidRPr="008E647E">
        <w:rPr>
          <w:rStyle w:val="FootnoteReference"/>
          <w:sz w:val="16"/>
          <w:szCs w:val="16"/>
        </w:rPr>
        <w:footnoteRef/>
      </w:r>
      <w:r w:rsidRPr="008E647E">
        <w:rPr>
          <w:sz w:val="16"/>
          <w:szCs w:val="16"/>
        </w:rPr>
        <w:t xml:space="preserve"> </w:t>
      </w:r>
      <w:r w:rsidRPr="008E647E">
        <w:rPr>
          <w:rStyle w:val="Hyperlink1"/>
          <w:sz w:val="16"/>
          <w:szCs w:val="16"/>
        </w:rPr>
        <w:t>http://www.doingbusiness.org/data/exploreeconomies/fiji/</w:t>
      </w:r>
    </w:p>
  </w:footnote>
  <w:footnote w:id="6">
    <w:p w14:paraId="6570E562" w14:textId="77777777" w:rsidR="00783FAC" w:rsidRPr="008E647E" w:rsidRDefault="00783FAC" w:rsidP="00771C35">
      <w:pPr>
        <w:spacing w:line="240" w:lineRule="auto"/>
        <w:rPr>
          <w:sz w:val="16"/>
          <w:szCs w:val="16"/>
          <w:lang w:val="en-AU"/>
        </w:rPr>
      </w:pPr>
      <w:r w:rsidRPr="008E647E">
        <w:rPr>
          <w:rStyle w:val="FootnoteReference"/>
          <w:sz w:val="16"/>
          <w:szCs w:val="16"/>
        </w:rPr>
        <w:footnoteRef/>
      </w:r>
      <w:r w:rsidRPr="008E647E">
        <w:rPr>
          <w:sz w:val="16"/>
          <w:szCs w:val="16"/>
        </w:rPr>
        <w:t xml:space="preserve"> Fiji Bureau of Statistics, 2013-14 Household Income and Expenditure Survey [http://www.statsfiji.gov.fj/statistics/population-censuses-and-surveys]</w:t>
      </w:r>
    </w:p>
  </w:footnote>
  <w:footnote w:id="7">
    <w:p w14:paraId="371CCA7A" w14:textId="77777777" w:rsidR="00783FAC" w:rsidRPr="008E647E" w:rsidRDefault="00783FAC" w:rsidP="00771C35">
      <w:pPr>
        <w:pStyle w:val="FootnoteText"/>
        <w:spacing w:line="240" w:lineRule="auto"/>
        <w:rPr>
          <w:sz w:val="16"/>
          <w:szCs w:val="16"/>
          <w:lang w:val="en-AU"/>
        </w:rPr>
      </w:pPr>
      <w:r w:rsidRPr="008E647E">
        <w:rPr>
          <w:rStyle w:val="FootnoteReference"/>
          <w:sz w:val="16"/>
          <w:szCs w:val="16"/>
        </w:rPr>
        <w:footnoteRef/>
      </w:r>
      <w:r w:rsidRPr="008E647E">
        <w:rPr>
          <w:sz w:val="16"/>
          <w:szCs w:val="16"/>
        </w:rPr>
        <w:t xml:space="preserve"> </w:t>
      </w:r>
      <w:hyperlink r:id="rId1" w:history="1">
        <w:r w:rsidRPr="008E647E">
          <w:rPr>
            <w:rStyle w:val="Hyperlink1"/>
            <w:rFonts w:cs="Arial"/>
            <w:sz w:val="16"/>
            <w:szCs w:val="16"/>
          </w:rPr>
          <w:t>www.asia-pacific.undp.org/content/.../mdg/RBAP-RMDG-Report-2014-2015.pdf</w:t>
        </w:r>
      </w:hyperlink>
      <w:r w:rsidRPr="008E647E">
        <w:rPr>
          <w:rStyle w:val="HTMLCite"/>
          <w:rFonts w:cs="Arial"/>
          <w:sz w:val="16"/>
          <w:szCs w:val="16"/>
        </w:rPr>
        <w:t xml:space="preserve"> (page 72)</w:t>
      </w:r>
    </w:p>
  </w:footnote>
  <w:footnote w:id="8">
    <w:p w14:paraId="6690770B" w14:textId="77777777" w:rsidR="00783FAC" w:rsidRPr="00625BAF" w:rsidRDefault="00783FAC" w:rsidP="00771C35">
      <w:pPr>
        <w:pStyle w:val="FootnoteText"/>
        <w:spacing w:line="240" w:lineRule="auto"/>
        <w:rPr>
          <w:lang w:val="en-AU"/>
        </w:rPr>
      </w:pPr>
      <w:r>
        <w:rPr>
          <w:rStyle w:val="FootnoteReference"/>
        </w:rPr>
        <w:footnoteRef/>
      </w:r>
      <w:r>
        <w:t xml:space="preserve"> </w:t>
      </w:r>
      <w:r w:rsidRPr="005C28C5">
        <w:t>Fiji Women’s Crisis Centre 2013. Somebody’s Life, Everybody’s Business! National Research on Women's Health and Life Experiences in Fiji (2010/2011): A survey exploring the prevalence, incidence and attitudes to intimate partner violence in Fiji)</w:t>
      </w:r>
    </w:p>
  </w:footnote>
  <w:footnote w:id="9">
    <w:p w14:paraId="4F33E133" w14:textId="77777777" w:rsidR="00783FAC" w:rsidRPr="004136B1" w:rsidRDefault="00783FAC" w:rsidP="00124D26">
      <w:pPr>
        <w:pStyle w:val="FootnoteText"/>
        <w:rPr>
          <w:lang w:val="en-AU"/>
        </w:rPr>
      </w:pPr>
      <w:r>
        <w:rPr>
          <w:rStyle w:val="FootnoteReference"/>
        </w:rPr>
        <w:footnoteRef/>
      </w:r>
      <w:r>
        <w:t xml:space="preserve"> </w:t>
      </w:r>
      <w:r w:rsidRPr="00124D26">
        <w:t>http://www.parliament.gov.fj/News/Fiji-Parliament-receives-new-library-resources.aspx</w:t>
      </w:r>
    </w:p>
  </w:footnote>
  <w:footnote w:id="10">
    <w:p w14:paraId="14533334" w14:textId="77777777" w:rsidR="00783FAC" w:rsidRDefault="00783FAC" w:rsidP="00DF3196">
      <w:pPr>
        <w:pStyle w:val="FootnoteText"/>
      </w:pPr>
      <w:r>
        <w:rPr>
          <w:rStyle w:val="FootnoteReference"/>
        </w:rPr>
        <w:footnoteRef/>
      </w:r>
      <w:r>
        <w:t xml:space="preserve"> www.bridge-project.org "BRIDGE stands for Building Resources in Democracy, Governance and Elections. It is a modular professional development </w:t>
      </w:r>
    </w:p>
    <w:p w14:paraId="56E004EA" w14:textId="77777777" w:rsidR="00783FAC" w:rsidRPr="000E3782" w:rsidRDefault="00783FAC" w:rsidP="00DF3196">
      <w:pPr>
        <w:pStyle w:val="FootnoteText"/>
        <w:rPr>
          <w:lang w:val="en-AU"/>
        </w:rPr>
      </w:pPr>
      <w:r>
        <w:t>program with a particular focus on electoral processes."</w:t>
      </w:r>
    </w:p>
  </w:footnote>
  <w:footnote w:id="11">
    <w:p w14:paraId="6B297998" w14:textId="77777777" w:rsidR="00783FAC" w:rsidRPr="002B0498" w:rsidRDefault="00783FAC" w:rsidP="006B40C1">
      <w:pPr>
        <w:pStyle w:val="FootnoteText"/>
        <w:rPr>
          <w:lang w:val="en-AU"/>
        </w:rPr>
      </w:pPr>
      <w:r>
        <w:rPr>
          <w:rStyle w:val="FootnoteReference"/>
        </w:rPr>
        <w:footnoteRef/>
      </w:r>
      <w:r>
        <w:t xml:space="preserve"> Financial Services Demand Side Survey: Republic of Fiji, Reserve Bank of Fiji, 2015.</w:t>
      </w:r>
    </w:p>
  </w:footnote>
  <w:footnote w:id="12">
    <w:p w14:paraId="312AAE56" w14:textId="77777777" w:rsidR="00783FAC" w:rsidRPr="008B6495" w:rsidRDefault="00783FAC">
      <w:pPr>
        <w:pStyle w:val="FootnoteText"/>
        <w:rPr>
          <w:lang w:val="en-AU"/>
        </w:rPr>
      </w:pPr>
      <w:r>
        <w:rPr>
          <w:rStyle w:val="FootnoteReference"/>
        </w:rPr>
        <w:footnoteRef/>
      </w:r>
      <w:r>
        <w:t xml:space="preserve"> </w:t>
      </w:r>
      <w:r>
        <w:rPr>
          <w:lang w:val="en-AU"/>
        </w:rPr>
        <w:t xml:space="preserve">AQEP six-month report, January – June 2016 </w:t>
      </w:r>
    </w:p>
  </w:footnote>
  <w:footnote w:id="13">
    <w:p w14:paraId="4D6EE54B" w14:textId="77777777" w:rsidR="00783FAC" w:rsidRPr="00301FD8" w:rsidRDefault="00783FAC" w:rsidP="00F27056">
      <w:pPr>
        <w:pStyle w:val="FootnoteText"/>
        <w:jc w:val="both"/>
        <w:rPr>
          <w:lang w:val="en-AU"/>
        </w:rPr>
      </w:pPr>
      <w:r>
        <w:rPr>
          <w:rStyle w:val="FootnoteReference"/>
        </w:rPr>
        <w:footnoteRef/>
      </w:r>
      <w:r>
        <w:t xml:space="preserve"> </w:t>
      </w:r>
      <w:r>
        <w:rPr>
          <w:lang w:val="en-AU"/>
        </w:rPr>
        <w:t>Data from the 2012 and 2016 Budget papers.</w:t>
      </w:r>
    </w:p>
  </w:footnote>
  <w:footnote w:id="14">
    <w:p w14:paraId="325F5619" w14:textId="77777777" w:rsidR="00783FAC" w:rsidRPr="001C61EA" w:rsidRDefault="00783FAC" w:rsidP="00445E87">
      <w:pPr>
        <w:pStyle w:val="FootnoteText"/>
        <w:rPr>
          <w:lang w:val="en-AU"/>
        </w:rPr>
      </w:pPr>
      <w:r>
        <w:rPr>
          <w:rStyle w:val="FootnoteReference"/>
        </w:rPr>
        <w:footnoteRef/>
      </w:r>
      <w:r>
        <w:t xml:space="preserve"> </w:t>
      </w:r>
      <w:r>
        <w:rPr>
          <w:lang w:val="en-AU"/>
        </w:rPr>
        <w:t>Fiji Heath Sector Support Program Progress Report  July to December 2015</w:t>
      </w:r>
    </w:p>
  </w:footnote>
  <w:footnote w:id="15">
    <w:p w14:paraId="0E76CD7C" w14:textId="77777777" w:rsidR="00783FAC" w:rsidRPr="00E3692A" w:rsidRDefault="00783FAC" w:rsidP="00445E87">
      <w:pPr>
        <w:pStyle w:val="FootnoteText"/>
        <w:rPr>
          <w:lang w:val="en-AU"/>
        </w:rPr>
      </w:pPr>
      <w:r w:rsidRPr="00B71EEE">
        <w:rPr>
          <w:rStyle w:val="FootnoteReference"/>
        </w:rPr>
        <w:footnoteRef/>
      </w:r>
      <w:r w:rsidRPr="00B71EEE">
        <w:t>M</w:t>
      </w:r>
      <w:r>
        <w:t xml:space="preserve">urdoch </w:t>
      </w:r>
      <w:r w:rsidRPr="00B71EEE">
        <w:t>C</w:t>
      </w:r>
      <w:r>
        <w:t xml:space="preserve">hildren’s </w:t>
      </w:r>
      <w:r w:rsidRPr="00B71EEE">
        <w:t>R</w:t>
      </w:r>
      <w:r>
        <w:t>esearch Institute;</w:t>
      </w:r>
      <w:r w:rsidRPr="00B71EEE">
        <w:t xml:space="preserve"> </w:t>
      </w:r>
      <w:r>
        <w:t>Saving lives of the children in Fiji through the introduction of new vaccines; June 2016</w:t>
      </w:r>
    </w:p>
  </w:footnote>
  <w:footnote w:id="16">
    <w:p w14:paraId="7EB5BDB3" w14:textId="77777777" w:rsidR="00783FAC" w:rsidRDefault="00783FAC" w:rsidP="00B25881">
      <w:pPr>
        <w:pStyle w:val="FootnoteText"/>
      </w:pPr>
      <w:r w:rsidRPr="00B25881">
        <w:rPr>
          <w:rStyle w:val="FootnoteReference"/>
        </w:rPr>
        <w:footnoteRef/>
      </w:r>
      <w:r w:rsidRPr="00B25881">
        <w:t xml:space="preserve"> Fiji Post Disaster Needs Assessment: Tropical Cyclone Wins</w:t>
      </w:r>
      <w:r>
        <w:t xml:space="preserve">ton; </w:t>
      </w:r>
      <w:hyperlink r:id="rId2" w:history="1">
        <w:r w:rsidRPr="000D4886">
          <w:rPr>
            <w:rStyle w:val="Hyperlink"/>
            <w:rFonts w:cstheme="minorBidi"/>
          </w:rPr>
          <w:t>www.gfdrr.org</w:t>
        </w:r>
      </w:hyperlink>
    </w:p>
    <w:p w14:paraId="1D3B69F3" w14:textId="77777777" w:rsidR="00783FAC" w:rsidRPr="00045DB2" w:rsidRDefault="00783FAC">
      <w:pPr>
        <w:pStyle w:val="FootnoteText"/>
        <w:rPr>
          <w:lang w:val="en-AU"/>
        </w:rPr>
      </w:pPr>
    </w:p>
  </w:footnote>
  <w:footnote w:id="17">
    <w:p w14:paraId="0B5C54BD" w14:textId="77777777" w:rsidR="00783FAC" w:rsidRPr="001C61EA" w:rsidRDefault="00783FAC" w:rsidP="00967531">
      <w:pPr>
        <w:pStyle w:val="FootnoteText"/>
        <w:rPr>
          <w:lang w:val="en-AU"/>
        </w:rPr>
      </w:pPr>
      <w:r>
        <w:rPr>
          <w:rStyle w:val="FootnoteReference"/>
        </w:rPr>
        <w:footnoteRef/>
      </w:r>
      <w:r>
        <w:t xml:space="preserve"> </w:t>
      </w:r>
      <w:hyperlink r:id="rId3" w:history="1">
        <w:r w:rsidRPr="00FE7AD7">
          <w:rPr>
            <w:rStyle w:val="Hyperlink"/>
            <w:rFonts w:cstheme="minorBidi"/>
          </w:rPr>
          <w:t>http://www.abc.net.au/news/2016-06-29/pilot-program-to-empower-young-fijian-women-with/7552476</w:t>
        </w:r>
      </w:hyperlink>
      <w:r>
        <w:t xml:space="preserve">; </w:t>
      </w:r>
      <w:r w:rsidRPr="007D0265">
        <w:t>http://www.abc.net.au/news/2016-07-22/disability-empowerment-project-for-young-fijian/7651676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FD80" w14:textId="77777777" w:rsidR="00783FAC" w:rsidRPr="00333501" w:rsidRDefault="00783FAC" w:rsidP="008F56A8">
    <w:pPr>
      <w:pStyle w:val="Header"/>
      <w:jc w:val="left"/>
    </w:pPr>
    <w:r>
      <w:rPr>
        <w:noProof/>
        <w:lang w:val="en-AU" w:eastAsia="en-AU"/>
      </w:rPr>
      <w:drawing>
        <wp:anchor distT="0" distB="0" distL="114300" distR="114300" simplePos="0" relativeHeight="251681792" behindDoc="1" locked="1" layoutInCell="1" allowOverlap="1" wp14:anchorId="7E0CAF7A" wp14:editId="47B4C7E4">
          <wp:simplePos x="0" y="0"/>
          <wp:positionH relativeFrom="page">
            <wp:posOffset>7620</wp:posOffset>
          </wp:positionH>
          <wp:positionV relativeFrom="page">
            <wp:posOffset>55880</wp:posOffset>
          </wp:positionV>
          <wp:extent cx="7545705" cy="10702290"/>
          <wp:effectExtent l="0" t="0" r="0" b="38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45705" cy="10702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D646F" w14:textId="77777777" w:rsidR="00783FAC" w:rsidRPr="00333501" w:rsidRDefault="00783FAC" w:rsidP="008F56A8">
    <w:pPr>
      <w:pStyle w:val="Header"/>
      <w:jc w:val="left"/>
    </w:pPr>
    <w:r>
      <w:rPr>
        <w:noProof/>
        <w:lang w:val="en-AU" w:eastAsia="en-AU"/>
      </w:rPr>
      <w:drawing>
        <wp:anchor distT="0" distB="0" distL="114300" distR="114300" simplePos="0" relativeHeight="251699200" behindDoc="1" locked="1" layoutInCell="1" allowOverlap="1" wp14:anchorId="7D65574E" wp14:editId="33D3579A">
          <wp:simplePos x="0" y="0"/>
          <wp:positionH relativeFrom="page">
            <wp:posOffset>7620</wp:posOffset>
          </wp:positionH>
          <wp:positionV relativeFrom="page">
            <wp:posOffset>55880</wp:posOffset>
          </wp:positionV>
          <wp:extent cx="7545705" cy="1070229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45705" cy="10702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BB22A" w14:textId="77777777" w:rsidR="00783FAC" w:rsidRDefault="00783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F666" w14:textId="77777777" w:rsidR="00783FAC" w:rsidRPr="00333501" w:rsidRDefault="00783FAC" w:rsidP="008F56A8">
    <w:pPr>
      <w:pStyle w:val="Header"/>
      <w:jc w:val="left"/>
    </w:pPr>
    <w:r>
      <w:rPr>
        <w:noProof/>
        <w:lang w:val="en-AU" w:eastAsia="en-AU"/>
      </w:rPr>
      <w:drawing>
        <wp:anchor distT="0" distB="0" distL="114300" distR="114300" simplePos="0" relativeHeight="251697152" behindDoc="1" locked="1" layoutInCell="1" allowOverlap="1" wp14:anchorId="4DD489FC" wp14:editId="6DBE569F">
          <wp:simplePos x="0" y="0"/>
          <wp:positionH relativeFrom="page">
            <wp:posOffset>160020</wp:posOffset>
          </wp:positionH>
          <wp:positionV relativeFrom="page">
            <wp:posOffset>160020</wp:posOffset>
          </wp:positionV>
          <wp:extent cx="10662285" cy="7545705"/>
          <wp:effectExtent l="0" t="0" r="571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662285" cy="754570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47D64" w14:textId="77777777" w:rsidR="00783FAC" w:rsidRPr="003D352D" w:rsidRDefault="00783FAC" w:rsidP="003D352D">
    <w:pPr>
      <w:pStyle w:val="Header"/>
      <w:jc w:val="left"/>
    </w:pPr>
    <w:r>
      <w:rPr>
        <w:noProof/>
        <w:lang w:val="en-AU" w:eastAsia="en-AU"/>
      </w:rPr>
      <w:drawing>
        <wp:anchor distT="0" distB="0" distL="114300" distR="114300" simplePos="0" relativeHeight="251695104" behindDoc="1" locked="1" layoutInCell="1" allowOverlap="1" wp14:anchorId="3A0DF5F1" wp14:editId="44A0F2D8">
          <wp:simplePos x="0" y="0"/>
          <wp:positionH relativeFrom="page">
            <wp:posOffset>7620</wp:posOffset>
          </wp:positionH>
          <wp:positionV relativeFrom="page">
            <wp:posOffset>7620</wp:posOffset>
          </wp:positionV>
          <wp:extent cx="10662285" cy="7545705"/>
          <wp:effectExtent l="0" t="0" r="571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662285" cy="754570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8DBB" w14:textId="77777777" w:rsidR="00783FAC" w:rsidRPr="00333501" w:rsidRDefault="00783FAC" w:rsidP="008F56A8">
    <w:pPr>
      <w:pStyle w:val="Header"/>
      <w:jc w:val="left"/>
    </w:pPr>
    <w:r>
      <w:rPr>
        <w:noProof/>
        <w:lang w:val="en-AU" w:eastAsia="en-AU"/>
      </w:rPr>
      <w:drawing>
        <wp:anchor distT="0" distB="0" distL="114300" distR="114300" simplePos="0" relativeHeight="251683840" behindDoc="1" locked="1" layoutInCell="1" allowOverlap="1" wp14:anchorId="65BD069F" wp14:editId="1FB3F2FB">
          <wp:simplePos x="0" y="0"/>
          <wp:positionH relativeFrom="page">
            <wp:posOffset>7620</wp:posOffset>
          </wp:positionH>
          <wp:positionV relativeFrom="page">
            <wp:posOffset>57785</wp:posOffset>
          </wp:positionV>
          <wp:extent cx="10800000" cy="7560000"/>
          <wp:effectExtent l="0" t="0" r="1905" b="317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800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3AC"/>
    <w:multiLevelType w:val="hybridMultilevel"/>
    <w:tmpl w:val="C62C43B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1005E"/>
    <w:multiLevelType w:val="hybridMultilevel"/>
    <w:tmpl w:val="75C2F5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E16B67"/>
    <w:multiLevelType w:val="hybridMultilevel"/>
    <w:tmpl w:val="49944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85AB9"/>
    <w:multiLevelType w:val="hybridMultilevel"/>
    <w:tmpl w:val="63148474"/>
    <w:lvl w:ilvl="0" w:tplc="48CE56C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1AB746B"/>
    <w:multiLevelType w:val="multilevel"/>
    <w:tmpl w:val="4F72202C"/>
    <w:lvl w:ilvl="0">
      <w:start w:val="1"/>
      <w:numFmt w:val="decimal"/>
      <w:pStyle w:val="MottHeading1"/>
      <w:isLgl/>
      <w:lvlText w:val="%1."/>
      <w:lvlJc w:val="left"/>
      <w:pPr>
        <w:tabs>
          <w:tab w:val="num" w:pos="993"/>
        </w:tabs>
        <w:ind w:left="993" w:hanging="851"/>
      </w:pPr>
      <w:rPr>
        <w:rFonts w:hint="default"/>
      </w:rPr>
    </w:lvl>
    <w:lvl w:ilvl="1">
      <w:start w:val="1"/>
      <w:numFmt w:val="decimal"/>
      <w:pStyle w:val="MottHeading2"/>
      <w:isLgl/>
      <w:lvlText w:val="%1.%2"/>
      <w:lvlJc w:val="left"/>
      <w:pPr>
        <w:tabs>
          <w:tab w:val="num" w:pos="851"/>
        </w:tabs>
        <w:ind w:left="851" w:hanging="851"/>
      </w:pPr>
      <w:rPr>
        <w:rFonts w:hint="default"/>
      </w:rPr>
    </w:lvl>
    <w:lvl w:ilvl="2">
      <w:start w:val="1"/>
      <w:numFmt w:val="decimal"/>
      <w:pStyle w:val="MottHeading3"/>
      <w:isLgl/>
      <w:lvlText w:val="%1.%2.%3"/>
      <w:lvlJc w:val="left"/>
      <w:pPr>
        <w:tabs>
          <w:tab w:val="num" w:pos="851"/>
        </w:tabs>
        <w:ind w:left="851" w:hanging="851"/>
      </w:pPr>
      <w:rPr>
        <w:rFonts w:hint="default"/>
      </w:rPr>
    </w:lvl>
    <w:lvl w:ilvl="3">
      <w:start w:val="1"/>
      <w:numFmt w:val="decimal"/>
      <w:pStyle w:val="MottHeading4"/>
      <w:isLgl/>
      <w:lvlText w:val="%1.%2.%3.%4"/>
      <w:lvlJc w:val="left"/>
      <w:pPr>
        <w:tabs>
          <w:tab w:val="num" w:pos="1277"/>
        </w:tabs>
        <w:ind w:left="1277" w:hanging="851"/>
      </w:pPr>
      <w:rPr>
        <w:rFonts w:hint="default"/>
      </w:rPr>
    </w:lvl>
    <w:lvl w:ilvl="4">
      <w:start w:val="1"/>
      <w:numFmt w:val="none"/>
      <w:lvlRestart w:val="0"/>
      <w:lvlText w:val=""/>
      <w:lvlJc w:val="left"/>
      <w:pPr>
        <w:tabs>
          <w:tab w:val="num" w:pos="572"/>
        </w:tabs>
        <w:ind w:left="1854" w:hanging="1134"/>
      </w:pPr>
      <w:rPr>
        <w:rFonts w:hint="default"/>
      </w:rPr>
    </w:lvl>
    <w:lvl w:ilvl="5">
      <w:start w:val="1"/>
      <w:numFmt w:val="none"/>
      <w:lvlText w:val=""/>
      <w:lvlJc w:val="right"/>
      <w:pPr>
        <w:tabs>
          <w:tab w:val="num" w:pos="-364"/>
        </w:tabs>
        <w:ind w:left="-360" w:hanging="284"/>
      </w:pPr>
      <w:rPr>
        <w:rFonts w:hint="default"/>
      </w:rPr>
    </w:lvl>
    <w:lvl w:ilvl="6">
      <w:start w:val="1"/>
      <w:numFmt w:val="decimal"/>
      <w:lvlText w:val="%7%5"/>
      <w:lvlJc w:val="right"/>
      <w:pPr>
        <w:tabs>
          <w:tab w:val="num" w:pos="-220"/>
        </w:tabs>
        <w:ind w:left="-360" w:hanging="284"/>
      </w:pPr>
      <w:rPr>
        <w:rFonts w:hint="default"/>
      </w:rPr>
    </w:lvl>
    <w:lvl w:ilvl="7">
      <w:start w:val="1"/>
      <w:numFmt w:val="none"/>
      <w:lvlText w:val=""/>
      <w:lvlJc w:val="right"/>
      <w:pPr>
        <w:tabs>
          <w:tab w:val="num" w:pos="-76"/>
        </w:tabs>
        <w:ind w:left="-360" w:hanging="284"/>
      </w:pPr>
      <w:rPr>
        <w:rFonts w:hint="default"/>
      </w:rPr>
    </w:lvl>
    <w:lvl w:ilvl="8">
      <w:start w:val="1"/>
      <w:numFmt w:val="none"/>
      <w:lvlText w:val=""/>
      <w:lvlJc w:val="left"/>
      <w:pPr>
        <w:tabs>
          <w:tab w:val="num" w:pos="68"/>
        </w:tabs>
        <w:ind w:left="68" w:hanging="1584"/>
      </w:pPr>
      <w:rPr>
        <w:rFonts w:hint="default"/>
      </w:rPr>
    </w:lvl>
  </w:abstractNum>
  <w:abstractNum w:abstractNumId="6" w15:restartNumberingAfterBreak="0">
    <w:nsid w:val="11D3727B"/>
    <w:multiLevelType w:val="hybridMultilevel"/>
    <w:tmpl w:val="B246DB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1051E3"/>
    <w:multiLevelType w:val="hybridMultilevel"/>
    <w:tmpl w:val="BC523F8C"/>
    <w:lvl w:ilvl="0" w:tplc="4F70F850">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F7ADC"/>
    <w:multiLevelType w:val="hybridMultilevel"/>
    <w:tmpl w:val="514C3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EA42619"/>
    <w:multiLevelType w:val="hybridMultilevel"/>
    <w:tmpl w:val="DF685986"/>
    <w:lvl w:ilvl="0" w:tplc="EFDEC812">
      <w:start w:val="2015"/>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8319FA"/>
    <w:multiLevelType w:val="hybridMultilevel"/>
    <w:tmpl w:val="64A4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3669"/>
    <w:multiLevelType w:val="hybridMultilevel"/>
    <w:tmpl w:val="B246DB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C43337F"/>
    <w:multiLevelType w:val="multilevel"/>
    <w:tmpl w:val="79BEE59A"/>
    <w:lvl w:ilvl="0">
      <w:start w:val="1"/>
      <w:numFmt w:val="bullet"/>
      <w:pStyle w:val="MottBulletL1"/>
      <w:lvlText w:val=""/>
      <w:lvlJc w:val="left"/>
      <w:pPr>
        <w:tabs>
          <w:tab w:val="num" w:pos="284"/>
        </w:tabs>
        <w:ind w:left="284" w:hanging="284"/>
      </w:pPr>
      <w:rPr>
        <w:rFonts w:ascii="Symbol" w:hAnsi="Symbol" w:hint="default"/>
        <w:color w:val="0079C1"/>
        <w:sz w:val="20"/>
        <w:szCs w:val="24"/>
      </w:rPr>
    </w:lvl>
    <w:lvl w:ilvl="1">
      <w:start w:val="1"/>
      <w:numFmt w:val="bullet"/>
      <w:lvlText w:val=""/>
      <w:lvlJc w:val="left"/>
      <w:pPr>
        <w:tabs>
          <w:tab w:val="num" w:pos="567"/>
        </w:tabs>
        <w:ind w:left="567" w:hanging="283"/>
      </w:pPr>
      <w:rPr>
        <w:rFonts w:ascii="Symbol" w:hAnsi="Symbol" w:cs="Times New Roman" w:hint="default"/>
        <w:color w:val="0079C1"/>
        <w:szCs w:val="24"/>
      </w:rPr>
    </w:lvl>
    <w:lvl w:ilvl="2">
      <w:start w:val="1"/>
      <w:numFmt w:val="bullet"/>
      <w:lvlText w:val=""/>
      <w:lvlJc w:val="left"/>
      <w:pPr>
        <w:tabs>
          <w:tab w:val="num" w:pos="851"/>
        </w:tabs>
        <w:ind w:left="851" w:hanging="284"/>
      </w:pPr>
      <w:rPr>
        <w:rFonts w:ascii="Symbol" w:hAnsi="Symbol" w:cs="Times New Roman" w:hint="default"/>
        <w:color w:val="0079C1"/>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D5658CB"/>
    <w:multiLevelType w:val="hybridMultilevel"/>
    <w:tmpl w:val="3A844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050716"/>
    <w:multiLevelType w:val="hybridMultilevel"/>
    <w:tmpl w:val="F3628C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CD579B"/>
    <w:multiLevelType w:val="hybridMultilevel"/>
    <w:tmpl w:val="A5308B10"/>
    <w:lvl w:ilvl="0" w:tplc="35321CFE">
      <w:start w:val="1"/>
      <w:numFmt w:val="bullet"/>
      <w:pStyle w:val="Box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21B4A"/>
    <w:multiLevelType w:val="hybridMultilevel"/>
    <w:tmpl w:val="3A22824A"/>
    <w:lvl w:ilvl="0" w:tplc="4F70F850">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BF74F1"/>
    <w:multiLevelType w:val="hybridMultilevel"/>
    <w:tmpl w:val="3B9C5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5D3C1EA7"/>
    <w:multiLevelType w:val="multilevel"/>
    <w:tmpl w:val="43428892"/>
    <w:numStyleLink w:val="BulletsList"/>
  </w:abstractNum>
  <w:abstractNum w:abstractNumId="22"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6470588C"/>
    <w:multiLevelType w:val="hybridMultilevel"/>
    <w:tmpl w:val="882CA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EB5F57"/>
    <w:multiLevelType w:val="hybridMultilevel"/>
    <w:tmpl w:val="D0C49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D87738"/>
    <w:multiLevelType w:val="hybridMultilevel"/>
    <w:tmpl w:val="3B9C5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755DDD"/>
    <w:multiLevelType w:val="hybridMultilevel"/>
    <w:tmpl w:val="3B9C5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DE1445"/>
    <w:multiLevelType w:val="hybridMultilevel"/>
    <w:tmpl w:val="8F949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106BDE"/>
    <w:multiLevelType w:val="hybridMultilevel"/>
    <w:tmpl w:val="C4CEC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107305"/>
    <w:multiLevelType w:val="multilevel"/>
    <w:tmpl w:val="43428892"/>
    <w:styleLink w:val="BulletsList"/>
    <w:lvl w:ilvl="0">
      <w:start w:val="1"/>
      <w:numFmt w:val="bullet"/>
      <w:pStyle w:val="Bullet1"/>
      <w:lvlText w:val=""/>
      <w:lvlJc w:val="left"/>
      <w:pPr>
        <w:ind w:left="170"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DBC6F8F"/>
    <w:multiLevelType w:val="hybridMultilevel"/>
    <w:tmpl w:val="3B9C5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997511"/>
    <w:multiLevelType w:val="hybridMultilevel"/>
    <w:tmpl w:val="CDE8D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CC1911"/>
    <w:multiLevelType w:val="hybridMultilevel"/>
    <w:tmpl w:val="B016D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3"/>
  </w:num>
  <w:num w:numId="4">
    <w:abstractNumId w:val="20"/>
  </w:num>
  <w:num w:numId="5">
    <w:abstractNumId w:val="22"/>
  </w:num>
  <w:num w:numId="6">
    <w:abstractNumId w:val="13"/>
  </w:num>
  <w:num w:numId="7">
    <w:abstractNumId w:val="21"/>
  </w:num>
  <w:num w:numId="8">
    <w:abstractNumId w:val="4"/>
  </w:num>
  <w:num w:numId="9">
    <w:abstractNumId w:val="17"/>
  </w:num>
  <w:num w:numId="10">
    <w:abstractNumId w:val="9"/>
  </w:num>
  <w:num w:numId="11">
    <w:abstractNumId w:val="12"/>
  </w:num>
  <w:num w:numId="12">
    <w:abstractNumId w:val="6"/>
  </w:num>
  <w:num w:numId="13">
    <w:abstractNumId w:val="8"/>
  </w:num>
  <w:num w:numId="14">
    <w:abstractNumId w:val="24"/>
  </w:num>
  <w:num w:numId="15">
    <w:abstractNumId w:val="27"/>
  </w:num>
  <w:num w:numId="16">
    <w:abstractNumId w:val="31"/>
  </w:num>
  <w:num w:numId="17">
    <w:abstractNumId w:val="1"/>
  </w:num>
  <w:num w:numId="18">
    <w:abstractNumId w:val="15"/>
  </w:num>
  <w:num w:numId="19">
    <w:abstractNumId w:val="32"/>
  </w:num>
  <w:num w:numId="20">
    <w:abstractNumId w:val="0"/>
  </w:num>
  <w:num w:numId="21">
    <w:abstractNumId w:val="28"/>
  </w:num>
  <w:num w:numId="22">
    <w:abstractNumId w:val="16"/>
  </w:num>
  <w:num w:numId="23">
    <w:abstractNumId w:val="7"/>
  </w:num>
  <w:num w:numId="24">
    <w:abstractNumId w:val="18"/>
  </w:num>
  <w:num w:numId="25">
    <w:abstractNumId w:val="23"/>
  </w:num>
  <w:num w:numId="26">
    <w:abstractNumId w:val="11"/>
  </w:num>
  <w:num w:numId="27">
    <w:abstractNumId w:val="2"/>
  </w:num>
  <w:num w:numId="28">
    <w:abstractNumId w:val="3"/>
  </w:num>
  <w:num w:numId="29">
    <w:abstractNumId w:val="14"/>
  </w:num>
  <w:num w:numId="30">
    <w:abstractNumId w:val="5"/>
  </w:num>
  <w:num w:numId="31">
    <w:abstractNumId w:val="10"/>
  </w:num>
  <w:num w:numId="32">
    <w:abstractNumId w:val="26"/>
  </w:num>
  <w:num w:numId="33">
    <w:abstractNumId w:val="25"/>
  </w:num>
  <w:num w:numId="34">
    <w:abstractNumId w:val="19"/>
  </w:num>
  <w:num w:numId="3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13F3"/>
    <w:rsid w:val="00001DA8"/>
    <w:rsid w:val="00002EA7"/>
    <w:rsid w:val="00006C5E"/>
    <w:rsid w:val="00007B43"/>
    <w:rsid w:val="00010BCE"/>
    <w:rsid w:val="00015316"/>
    <w:rsid w:val="00015340"/>
    <w:rsid w:val="000159A3"/>
    <w:rsid w:val="000169DB"/>
    <w:rsid w:val="000200FD"/>
    <w:rsid w:val="0002080A"/>
    <w:rsid w:val="00022A01"/>
    <w:rsid w:val="00022D0F"/>
    <w:rsid w:val="0002326A"/>
    <w:rsid w:val="00024F58"/>
    <w:rsid w:val="000252F0"/>
    <w:rsid w:val="00026F49"/>
    <w:rsid w:val="0002782F"/>
    <w:rsid w:val="00030556"/>
    <w:rsid w:val="00031512"/>
    <w:rsid w:val="00033DDF"/>
    <w:rsid w:val="0004422E"/>
    <w:rsid w:val="00045DB2"/>
    <w:rsid w:val="000511E5"/>
    <w:rsid w:val="00054E4D"/>
    <w:rsid w:val="00060073"/>
    <w:rsid w:val="00060268"/>
    <w:rsid w:val="00061163"/>
    <w:rsid w:val="00061C55"/>
    <w:rsid w:val="00065326"/>
    <w:rsid w:val="00066293"/>
    <w:rsid w:val="0006674B"/>
    <w:rsid w:val="00066CEF"/>
    <w:rsid w:val="00067DDC"/>
    <w:rsid w:val="00067EC1"/>
    <w:rsid w:val="000706A3"/>
    <w:rsid w:val="00070D5E"/>
    <w:rsid w:val="00071515"/>
    <w:rsid w:val="000737AD"/>
    <w:rsid w:val="00074228"/>
    <w:rsid w:val="0007589C"/>
    <w:rsid w:val="00076221"/>
    <w:rsid w:val="000778F0"/>
    <w:rsid w:val="00084264"/>
    <w:rsid w:val="00084483"/>
    <w:rsid w:val="00084B07"/>
    <w:rsid w:val="00090B8F"/>
    <w:rsid w:val="00093DD5"/>
    <w:rsid w:val="00094340"/>
    <w:rsid w:val="0009471D"/>
    <w:rsid w:val="000947C5"/>
    <w:rsid w:val="000A0802"/>
    <w:rsid w:val="000A1410"/>
    <w:rsid w:val="000A40E3"/>
    <w:rsid w:val="000A4DAE"/>
    <w:rsid w:val="000A6502"/>
    <w:rsid w:val="000A67BC"/>
    <w:rsid w:val="000A7752"/>
    <w:rsid w:val="000A7BF8"/>
    <w:rsid w:val="000B1DF0"/>
    <w:rsid w:val="000B1EAD"/>
    <w:rsid w:val="000B2A9F"/>
    <w:rsid w:val="000B3561"/>
    <w:rsid w:val="000B3B74"/>
    <w:rsid w:val="000B6889"/>
    <w:rsid w:val="000C16FF"/>
    <w:rsid w:val="000C41D6"/>
    <w:rsid w:val="000C4EE5"/>
    <w:rsid w:val="000C5216"/>
    <w:rsid w:val="000C7DEB"/>
    <w:rsid w:val="000D49E9"/>
    <w:rsid w:val="000D66D6"/>
    <w:rsid w:val="000E0566"/>
    <w:rsid w:val="000E0600"/>
    <w:rsid w:val="000E314A"/>
    <w:rsid w:val="000F0F63"/>
    <w:rsid w:val="000F0F73"/>
    <w:rsid w:val="000F55AE"/>
    <w:rsid w:val="00101819"/>
    <w:rsid w:val="00101A5A"/>
    <w:rsid w:val="00101DB9"/>
    <w:rsid w:val="00104123"/>
    <w:rsid w:val="00105284"/>
    <w:rsid w:val="0010632A"/>
    <w:rsid w:val="00106EF3"/>
    <w:rsid w:val="00107EF9"/>
    <w:rsid w:val="0012018D"/>
    <w:rsid w:val="00120491"/>
    <w:rsid w:val="0012138F"/>
    <w:rsid w:val="001236CD"/>
    <w:rsid w:val="00124D26"/>
    <w:rsid w:val="00133662"/>
    <w:rsid w:val="00135BCD"/>
    <w:rsid w:val="001437D4"/>
    <w:rsid w:val="00143D61"/>
    <w:rsid w:val="00145198"/>
    <w:rsid w:val="00150BE1"/>
    <w:rsid w:val="001541EA"/>
    <w:rsid w:val="00154A86"/>
    <w:rsid w:val="00154F12"/>
    <w:rsid w:val="001554F5"/>
    <w:rsid w:val="00156426"/>
    <w:rsid w:val="001602DF"/>
    <w:rsid w:val="00160D8C"/>
    <w:rsid w:val="00161F5F"/>
    <w:rsid w:val="00163AEE"/>
    <w:rsid w:val="00164DFC"/>
    <w:rsid w:val="001654E2"/>
    <w:rsid w:val="00170041"/>
    <w:rsid w:val="00173165"/>
    <w:rsid w:val="001746D4"/>
    <w:rsid w:val="00175BDF"/>
    <w:rsid w:val="00180C22"/>
    <w:rsid w:val="00181A42"/>
    <w:rsid w:val="0018208C"/>
    <w:rsid w:val="00192A00"/>
    <w:rsid w:val="0019638D"/>
    <w:rsid w:val="00196623"/>
    <w:rsid w:val="00196BFE"/>
    <w:rsid w:val="001A03CD"/>
    <w:rsid w:val="001A369D"/>
    <w:rsid w:val="001A3DAB"/>
    <w:rsid w:val="001A440B"/>
    <w:rsid w:val="001A4C4E"/>
    <w:rsid w:val="001A5562"/>
    <w:rsid w:val="001A6FC3"/>
    <w:rsid w:val="001A79EE"/>
    <w:rsid w:val="001A7E87"/>
    <w:rsid w:val="001B1247"/>
    <w:rsid w:val="001B132E"/>
    <w:rsid w:val="001B3370"/>
    <w:rsid w:val="001B6812"/>
    <w:rsid w:val="001B6FB6"/>
    <w:rsid w:val="001B7486"/>
    <w:rsid w:val="001B7A36"/>
    <w:rsid w:val="001C18EB"/>
    <w:rsid w:val="001C1D8C"/>
    <w:rsid w:val="001C4C5E"/>
    <w:rsid w:val="001C778F"/>
    <w:rsid w:val="001C7863"/>
    <w:rsid w:val="001D403A"/>
    <w:rsid w:val="001D663E"/>
    <w:rsid w:val="001D73D3"/>
    <w:rsid w:val="001E1DC0"/>
    <w:rsid w:val="001E3052"/>
    <w:rsid w:val="001E54D1"/>
    <w:rsid w:val="001E6923"/>
    <w:rsid w:val="001E7E8F"/>
    <w:rsid w:val="001F083C"/>
    <w:rsid w:val="001F2F00"/>
    <w:rsid w:val="001F3539"/>
    <w:rsid w:val="00201FC2"/>
    <w:rsid w:val="00203220"/>
    <w:rsid w:val="00203C9F"/>
    <w:rsid w:val="0020460D"/>
    <w:rsid w:val="00207A2A"/>
    <w:rsid w:val="00207B5F"/>
    <w:rsid w:val="00213C83"/>
    <w:rsid w:val="002211F6"/>
    <w:rsid w:val="002245B2"/>
    <w:rsid w:val="00224D6A"/>
    <w:rsid w:val="00224F98"/>
    <w:rsid w:val="00231661"/>
    <w:rsid w:val="002326FA"/>
    <w:rsid w:val="00233E99"/>
    <w:rsid w:val="00234423"/>
    <w:rsid w:val="002353FF"/>
    <w:rsid w:val="002357FE"/>
    <w:rsid w:val="00236A53"/>
    <w:rsid w:val="00236D75"/>
    <w:rsid w:val="00245629"/>
    <w:rsid w:val="0025378A"/>
    <w:rsid w:val="00254326"/>
    <w:rsid w:val="0025592B"/>
    <w:rsid w:val="00256B53"/>
    <w:rsid w:val="00256C4F"/>
    <w:rsid w:val="0025754A"/>
    <w:rsid w:val="00257E18"/>
    <w:rsid w:val="00257E41"/>
    <w:rsid w:val="00262025"/>
    <w:rsid w:val="002626CF"/>
    <w:rsid w:val="00262752"/>
    <w:rsid w:val="00265068"/>
    <w:rsid w:val="0026599A"/>
    <w:rsid w:val="00266215"/>
    <w:rsid w:val="00270000"/>
    <w:rsid w:val="00273EDA"/>
    <w:rsid w:val="002746A8"/>
    <w:rsid w:val="00275DB7"/>
    <w:rsid w:val="002774A2"/>
    <w:rsid w:val="00277771"/>
    <w:rsid w:val="00277FF0"/>
    <w:rsid w:val="0028110E"/>
    <w:rsid w:val="002812C2"/>
    <w:rsid w:val="00284957"/>
    <w:rsid w:val="0028602A"/>
    <w:rsid w:val="00293EF2"/>
    <w:rsid w:val="002A0456"/>
    <w:rsid w:val="002A12EC"/>
    <w:rsid w:val="002A51CA"/>
    <w:rsid w:val="002A6667"/>
    <w:rsid w:val="002B3DA3"/>
    <w:rsid w:val="002B3E95"/>
    <w:rsid w:val="002B5466"/>
    <w:rsid w:val="002B5E10"/>
    <w:rsid w:val="002C032D"/>
    <w:rsid w:val="002C1564"/>
    <w:rsid w:val="002C63CE"/>
    <w:rsid w:val="002C7A0F"/>
    <w:rsid w:val="002D1680"/>
    <w:rsid w:val="002D2FAD"/>
    <w:rsid w:val="002D308A"/>
    <w:rsid w:val="002D7321"/>
    <w:rsid w:val="002E3464"/>
    <w:rsid w:val="002E3465"/>
    <w:rsid w:val="002E4BF5"/>
    <w:rsid w:val="002E5B40"/>
    <w:rsid w:val="002F1B5A"/>
    <w:rsid w:val="002F22EE"/>
    <w:rsid w:val="002F4D91"/>
    <w:rsid w:val="002F5B45"/>
    <w:rsid w:val="003002C0"/>
    <w:rsid w:val="003008DB"/>
    <w:rsid w:val="00301144"/>
    <w:rsid w:val="0030399D"/>
    <w:rsid w:val="00307277"/>
    <w:rsid w:val="0030733E"/>
    <w:rsid w:val="0031092C"/>
    <w:rsid w:val="00310D1D"/>
    <w:rsid w:val="00310E0A"/>
    <w:rsid w:val="00311EA6"/>
    <w:rsid w:val="00313E2D"/>
    <w:rsid w:val="003148B7"/>
    <w:rsid w:val="003148B8"/>
    <w:rsid w:val="0031563B"/>
    <w:rsid w:val="003157ED"/>
    <w:rsid w:val="003158C3"/>
    <w:rsid w:val="003167C9"/>
    <w:rsid w:val="00322055"/>
    <w:rsid w:val="00323490"/>
    <w:rsid w:val="003270F8"/>
    <w:rsid w:val="003274CD"/>
    <w:rsid w:val="003319E8"/>
    <w:rsid w:val="00332F13"/>
    <w:rsid w:val="00333501"/>
    <w:rsid w:val="003340C4"/>
    <w:rsid w:val="00334800"/>
    <w:rsid w:val="0033584C"/>
    <w:rsid w:val="003374F5"/>
    <w:rsid w:val="00340ED1"/>
    <w:rsid w:val="00341B25"/>
    <w:rsid w:val="00342F14"/>
    <w:rsid w:val="00343CD8"/>
    <w:rsid w:val="00343D4C"/>
    <w:rsid w:val="0034496E"/>
    <w:rsid w:val="003457C4"/>
    <w:rsid w:val="0035119D"/>
    <w:rsid w:val="0036434F"/>
    <w:rsid w:val="00365CE5"/>
    <w:rsid w:val="003721A2"/>
    <w:rsid w:val="003729EE"/>
    <w:rsid w:val="00381861"/>
    <w:rsid w:val="00384A99"/>
    <w:rsid w:val="00391121"/>
    <w:rsid w:val="00391DDD"/>
    <w:rsid w:val="00394850"/>
    <w:rsid w:val="00396E33"/>
    <w:rsid w:val="003A0361"/>
    <w:rsid w:val="003A288F"/>
    <w:rsid w:val="003A2B5E"/>
    <w:rsid w:val="003A7928"/>
    <w:rsid w:val="003B0793"/>
    <w:rsid w:val="003B1457"/>
    <w:rsid w:val="003B357C"/>
    <w:rsid w:val="003B4F12"/>
    <w:rsid w:val="003B4F97"/>
    <w:rsid w:val="003B6435"/>
    <w:rsid w:val="003C0922"/>
    <w:rsid w:val="003C2F84"/>
    <w:rsid w:val="003C3476"/>
    <w:rsid w:val="003C38E3"/>
    <w:rsid w:val="003C457D"/>
    <w:rsid w:val="003C4B40"/>
    <w:rsid w:val="003C5753"/>
    <w:rsid w:val="003C58FE"/>
    <w:rsid w:val="003C7F57"/>
    <w:rsid w:val="003D352D"/>
    <w:rsid w:val="003D5319"/>
    <w:rsid w:val="003D5EDC"/>
    <w:rsid w:val="003D6E55"/>
    <w:rsid w:val="003D7022"/>
    <w:rsid w:val="003E4C13"/>
    <w:rsid w:val="003E6DF3"/>
    <w:rsid w:val="003F0EB8"/>
    <w:rsid w:val="003F779D"/>
    <w:rsid w:val="00400B0F"/>
    <w:rsid w:val="004023C3"/>
    <w:rsid w:val="00402ACC"/>
    <w:rsid w:val="004068DE"/>
    <w:rsid w:val="004071DA"/>
    <w:rsid w:val="00407334"/>
    <w:rsid w:val="00407BFD"/>
    <w:rsid w:val="0041109A"/>
    <w:rsid w:val="00411F44"/>
    <w:rsid w:val="00411FD1"/>
    <w:rsid w:val="004120EC"/>
    <w:rsid w:val="00412559"/>
    <w:rsid w:val="00412C95"/>
    <w:rsid w:val="004131B7"/>
    <w:rsid w:val="00413A57"/>
    <w:rsid w:val="00413DF2"/>
    <w:rsid w:val="004168C7"/>
    <w:rsid w:val="004179CC"/>
    <w:rsid w:val="004213E7"/>
    <w:rsid w:val="004217A8"/>
    <w:rsid w:val="00421BF3"/>
    <w:rsid w:val="00422B20"/>
    <w:rsid w:val="00423718"/>
    <w:rsid w:val="00423F31"/>
    <w:rsid w:val="00431707"/>
    <w:rsid w:val="00431899"/>
    <w:rsid w:val="00433DEA"/>
    <w:rsid w:val="004371DE"/>
    <w:rsid w:val="00442273"/>
    <w:rsid w:val="0044265B"/>
    <w:rsid w:val="00445E87"/>
    <w:rsid w:val="00462C3D"/>
    <w:rsid w:val="00463149"/>
    <w:rsid w:val="004634F9"/>
    <w:rsid w:val="00463C7A"/>
    <w:rsid w:val="004643F4"/>
    <w:rsid w:val="00464E14"/>
    <w:rsid w:val="0046602A"/>
    <w:rsid w:val="00466E1D"/>
    <w:rsid w:val="00473577"/>
    <w:rsid w:val="00473634"/>
    <w:rsid w:val="004752FD"/>
    <w:rsid w:val="00477597"/>
    <w:rsid w:val="004778EF"/>
    <w:rsid w:val="00480A7D"/>
    <w:rsid w:val="004860F9"/>
    <w:rsid w:val="004863BD"/>
    <w:rsid w:val="00486804"/>
    <w:rsid w:val="00487247"/>
    <w:rsid w:val="004879A3"/>
    <w:rsid w:val="00487D15"/>
    <w:rsid w:val="00490F18"/>
    <w:rsid w:val="00491CD4"/>
    <w:rsid w:val="0049626D"/>
    <w:rsid w:val="004977A1"/>
    <w:rsid w:val="0049790A"/>
    <w:rsid w:val="004A1F5C"/>
    <w:rsid w:val="004A2721"/>
    <w:rsid w:val="004A7A2F"/>
    <w:rsid w:val="004A7AE1"/>
    <w:rsid w:val="004B0163"/>
    <w:rsid w:val="004B0667"/>
    <w:rsid w:val="004B1BA7"/>
    <w:rsid w:val="004B3775"/>
    <w:rsid w:val="004B44F6"/>
    <w:rsid w:val="004B553C"/>
    <w:rsid w:val="004B5ED5"/>
    <w:rsid w:val="004C11CF"/>
    <w:rsid w:val="004C169A"/>
    <w:rsid w:val="004C301A"/>
    <w:rsid w:val="004C440D"/>
    <w:rsid w:val="004C4A49"/>
    <w:rsid w:val="004C56E5"/>
    <w:rsid w:val="004D0BA0"/>
    <w:rsid w:val="004D1F36"/>
    <w:rsid w:val="004D27A2"/>
    <w:rsid w:val="004D3EA5"/>
    <w:rsid w:val="004D4292"/>
    <w:rsid w:val="004D4941"/>
    <w:rsid w:val="004D7638"/>
    <w:rsid w:val="004E0264"/>
    <w:rsid w:val="004E058F"/>
    <w:rsid w:val="004E0D1B"/>
    <w:rsid w:val="004E0EE5"/>
    <w:rsid w:val="004E394D"/>
    <w:rsid w:val="004E3B87"/>
    <w:rsid w:val="004E3BE6"/>
    <w:rsid w:val="004E3E9D"/>
    <w:rsid w:val="004E3FAA"/>
    <w:rsid w:val="004E592F"/>
    <w:rsid w:val="004F0A82"/>
    <w:rsid w:val="004F2F12"/>
    <w:rsid w:val="004F42AB"/>
    <w:rsid w:val="004F741F"/>
    <w:rsid w:val="00500711"/>
    <w:rsid w:val="005008BA"/>
    <w:rsid w:val="00502D22"/>
    <w:rsid w:val="00510256"/>
    <w:rsid w:val="00510921"/>
    <w:rsid w:val="00510AD3"/>
    <w:rsid w:val="00513348"/>
    <w:rsid w:val="00513B7C"/>
    <w:rsid w:val="0051433B"/>
    <w:rsid w:val="005145EA"/>
    <w:rsid w:val="00515C17"/>
    <w:rsid w:val="00516CC0"/>
    <w:rsid w:val="00517809"/>
    <w:rsid w:val="005218E3"/>
    <w:rsid w:val="00524E2B"/>
    <w:rsid w:val="00533B5D"/>
    <w:rsid w:val="005347FE"/>
    <w:rsid w:val="00534856"/>
    <w:rsid w:val="00535B84"/>
    <w:rsid w:val="0053749E"/>
    <w:rsid w:val="0054017F"/>
    <w:rsid w:val="00543F2A"/>
    <w:rsid w:val="00545845"/>
    <w:rsid w:val="005511BF"/>
    <w:rsid w:val="005519B6"/>
    <w:rsid w:val="00553406"/>
    <w:rsid w:val="0055340A"/>
    <w:rsid w:val="00561B13"/>
    <w:rsid w:val="00567445"/>
    <w:rsid w:val="0057449B"/>
    <w:rsid w:val="00577118"/>
    <w:rsid w:val="0058308C"/>
    <w:rsid w:val="005847A6"/>
    <w:rsid w:val="005849EB"/>
    <w:rsid w:val="00585085"/>
    <w:rsid w:val="0058602E"/>
    <w:rsid w:val="0059146A"/>
    <w:rsid w:val="00594BCC"/>
    <w:rsid w:val="00595BF5"/>
    <w:rsid w:val="00597380"/>
    <w:rsid w:val="005973BA"/>
    <w:rsid w:val="005A4657"/>
    <w:rsid w:val="005A598B"/>
    <w:rsid w:val="005B3AAF"/>
    <w:rsid w:val="005B4DAE"/>
    <w:rsid w:val="005B4DF2"/>
    <w:rsid w:val="005B5769"/>
    <w:rsid w:val="005C0E44"/>
    <w:rsid w:val="005C1CFC"/>
    <w:rsid w:val="005C1F04"/>
    <w:rsid w:val="005C6289"/>
    <w:rsid w:val="005C6F27"/>
    <w:rsid w:val="005D03B0"/>
    <w:rsid w:val="005D3655"/>
    <w:rsid w:val="005D392E"/>
    <w:rsid w:val="005D5B78"/>
    <w:rsid w:val="005D6248"/>
    <w:rsid w:val="005E23EA"/>
    <w:rsid w:val="005E606B"/>
    <w:rsid w:val="005F0372"/>
    <w:rsid w:val="005F06B9"/>
    <w:rsid w:val="005F3167"/>
    <w:rsid w:val="005F5E0D"/>
    <w:rsid w:val="006004E9"/>
    <w:rsid w:val="00605786"/>
    <w:rsid w:val="00605F44"/>
    <w:rsid w:val="006076B8"/>
    <w:rsid w:val="00607AB5"/>
    <w:rsid w:val="00611323"/>
    <w:rsid w:val="00611537"/>
    <w:rsid w:val="006150EB"/>
    <w:rsid w:val="00615B5E"/>
    <w:rsid w:val="00616DB9"/>
    <w:rsid w:val="0062156C"/>
    <w:rsid w:val="00623BA1"/>
    <w:rsid w:val="006346BC"/>
    <w:rsid w:val="00634CC9"/>
    <w:rsid w:val="00637302"/>
    <w:rsid w:val="006450D5"/>
    <w:rsid w:val="00645F23"/>
    <w:rsid w:val="006462CA"/>
    <w:rsid w:val="00646C54"/>
    <w:rsid w:val="00646C58"/>
    <w:rsid w:val="006524AC"/>
    <w:rsid w:val="0065318C"/>
    <w:rsid w:val="00654385"/>
    <w:rsid w:val="00661821"/>
    <w:rsid w:val="006630B8"/>
    <w:rsid w:val="0066652A"/>
    <w:rsid w:val="00674EC7"/>
    <w:rsid w:val="00680522"/>
    <w:rsid w:val="00681F08"/>
    <w:rsid w:val="00682167"/>
    <w:rsid w:val="00683233"/>
    <w:rsid w:val="0068559E"/>
    <w:rsid w:val="00686821"/>
    <w:rsid w:val="00687A79"/>
    <w:rsid w:val="00690E54"/>
    <w:rsid w:val="00690F6B"/>
    <w:rsid w:val="00692CD4"/>
    <w:rsid w:val="0069321C"/>
    <w:rsid w:val="00693893"/>
    <w:rsid w:val="00694B15"/>
    <w:rsid w:val="006A26BD"/>
    <w:rsid w:val="006A4119"/>
    <w:rsid w:val="006A7408"/>
    <w:rsid w:val="006B0B96"/>
    <w:rsid w:val="006B24B0"/>
    <w:rsid w:val="006B28C3"/>
    <w:rsid w:val="006B40C1"/>
    <w:rsid w:val="006B5240"/>
    <w:rsid w:val="006C0A49"/>
    <w:rsid w:val="006C136F"/>
    <w:rsid w:val="006C42AF"/>
    <w:rsid w:val="006C7740"/>
    <w:rsid w:val="006D143B"/>
    <w:rsid w:val="006E0F37"/>
    <w:rsid w:val="006E2DAB"/>
    <w:rsid w:val="006E48FD"/>
    <w:rsid w:val="006E736C"/>
    <w:rsid w:val="006E7FCB"/>
    <w:rsid w:val="006F031D"/>
    <w:rsid w:val="006F27B1"/>
    <w:rsid w:val="006F2DCA"/>
    <w:rsid w:val="006F3A58"/>
    <w:rsid w:val="006F58F0"/>
    <w:rsid w:val="006F5A0F"/>
    <w:rsid w:val="006F621E"/>
    <w:rsid w:val="006F7035"/>
    <w:rsid w:val="00703096"/>
    <w:rsid w:val="00703192"/>
    <w:rsid w:val="007043F3"/>
    <w:rsid w:val="007047A1"/>
    <w:rsid w:val="00704C8E"/>
    <w:rsid w:val="00705390"/>
    <w:rsid w:val="0070569A"/>
    <w:rsid w:val="007060B4"/>
    <w:rsid w:val="007077DE"/>
    <w:rsid w:val="00711D8E"/>
    <w:rsid w:val="00712672"/>
    <w:rsid w:val="00715518"/>
    <w:rsid w:val="00715CC0"/>
    <w:rsid w:val="00716F9B"/>
    <w:rsid w:val="0071704E"/>
    <w:rsid w:val="0072037E"/>
    <w:rsid w:val="00724036"/>
    <w:rsid w:val="00725730"/>
    <w:rsid w:val="0072776D"/>
    <w:rsid w:val="00734E3F"/>
    <w:rsid w:val="00735DF4"/>
    <w:rsid w:val="00736985"/>
    <w:rsid w:val="00736F7D"/>
    <w:rsid w:val="007418EA"/>
    <w:rsid w:val="007425C2"/>
    <w:rsid w:val="00745319"/>
    <w:rsid w:val="00745DF5"/>
    <w:rsid w:val="007460FD"/>
    <w:rsid w:val="00746867"/>
    <w:rsid w:val="007470C3"/>
    <w:rsid w:val="00751340"/>
    <w:rsid w:val="00751F0A"/>
    <w:rsid w:val="00753F47"/>
    <w:rsid w:val="00754879"/>
    <w:rsid w:val="00756A0A"/>
    <w:rsid w:val="00757B46"/>
    <w:rsid w:val="0076250F"/>
    <w:rsid w:val="007634A5"/>
    <w:rsid w:val="00763B12"/>
    <w:rsid w:val="00764121"/>
    <w:rsid w:val="00764474"/>
    <w:rsid w:val="0076549B"/>
    <w:rsid w:val="00767E64"/>
    <w:rsid w:val="00771AB7"/>
    <w:rsid w:val="00771B53"/>
    <w:rsid w:val="00771C35"/>
    <w:rsid w:val="00774D30"/>
    <w:rsid w:val="0077596D"/>
    <w:rsid w:val="007832CF"/>
    <w:rsid w:val="007837D9"/>
    <w:rsid w:val="00783FAC"/>
    <w:rsid w:val="00784031"/>
    <w:rsid w:val="007853EC"/>
    <w:rsid w:val="007865D6"/>
    <w:rsid w:val="00793501"/>
    <w:rsid w:val="007961B2"/>
    <w:rsid w:val="00797B2A"/>
    <w:rsid w:val="007A6565"/>
    <w:rsid w:val="007A7B53"/>
    <w:rsid w:val="007A7E38"/>
    <w:rsid w:val="007B0C29"/>
    <w:rsid w:val="007B1B01"/>
    <w:rsid w:val="007B6200"/>
    <w:rsid w:val="007B670B"/>
    <w:rsid w:val="007B6A5C"/>
    <w:rsid w:val="007B77BA"/>
    <w:rsid w:val="007C039E"/>
    <w:rsid w:val="007C0C1B"/>
    <w:rsid w:val="007C169C"/>
    <w:rsid w:val="007C42DD"/>
    <w:rsid w:val="007C4A07"/>
    <w:rsid w:val="007C5DBB"/>
    <w:rsid w:val="007C7EC0"/>
    <w:rsid w:val="007D0A76"/>
    <w:rsid w:val="007D16F2"/>
    <w:rsid w:val="007D295F"/>
    <w:rsid w:val="007D3242"/>
    <w:rsid w:val="007D3E98"/>
    <w:rsid w:val="007D5867"/>
    <w:rsid w:val="007D6A30"/>
    <w:rsid w:val="007E00B7"/>
    <w:rsid w:val="007E0244"/>
    <w:rsid w:val="007E2C2B"/>
    <w:rsid w:val="007E2D34"/>
    <w:rsid w:val="007E3D88"/>
    <w:rsid w:val="007E694C"/>
    <w:rsid w:val="007F27F8"/>
    <w:rsid w:val="007F3395"/>
    <w:rsid w:val="00800977"/>
    <w:rsid w:val="00801B9F"/>
    <w:rsid w:val="00803521"/>
    <w:rsid w:val="008054F2"/>
    <w:rsid w:val="008057FD"/>
    <w:rsid w:val="0081100C"/>
    <w:rsid w:val="0082210D"/>
    <w:rsid w:val="00822E23"/>
    <w:rsid w:val="008242DC"/>
    <w:rsid w:val="00825895"/>
    <w:rsid w:val="0082701E"/>
    <w:rsid w:val="00832278"/>
    <w:rsid w:val="00834DDE"/>
    <w:rsid w:val="00835D32"/>
    <w:rsid w:val="00836224"/>
    <w:rsid w:val="00837B56"/>
    <w:rsid w:val="0084136F"/>
    <w:rsid w:val="008420E4"/>
    <w:rsid w:val="00842D2A"/>
    <w:rsid w:val="00844408"/>
    <w:rsid w:val="008475F0"/>
    <w:rsid w:val="008535B4"/>
    <w:rsid w:val="008535CE"/>
    <w:rsid w:val="008561C7"/>
    <w:rsid w:val="00864210"/>
    <w:rsid w:val="00866069"/>
    <w:rsid w:val="00866C62"/>
    <w:rsid w:val="00870CE4"/>
    <w:rsid w:val="008721B8"/>
    <w:rsid w:val="008766D7"/>
    <w:rsid w:val="00877A54"/>
    <w:rsid w:val="008829C7"/>
    <w:rsid w:val="00887DAD"/>
    <w:rsid w:val="0089169A"/>
    <w:rsid w:val="008925D9"/>
    <w:rsid w:val="00894BE7"/>
    <w:rsid w:val="00895492"/>
    <w:rsid w:val="00896351"/>
    <w:rsid w:val="008968E1"/>
    <w:rsid w:val="00896D7E"/>
    <w:rsid w:val="00896EB7"/>
    <w:rsid w:val="00896EE7"/>
    <w:rsid w:val="008A1230"/>
    <w:rsid w:val="008A3577"/>
    <w:rsid w:val="008A39AF"/>
    <w:rsid w:val="008A5AFE"/>
    <w:rsid w:val="008A6A8A"/>
    <w:rsid w:val="008B60F4"/>
    <w:rsid w:val="008B6495"/>
    <w:rsid w:val="008B68D7"/>
    <w:rsid w:val="008B71A1"/>
    <w:rsid w:val="008C04D7"/>
    <w:rsid w:val="008C2F58"/>
    <w:rsid w:val="008C49FA"/>
    <w:rsid w:val="008C5A0E"/>
    <w:rsid w:val="008D7E57"/>
    <w:rsid w:val="008E1BCF"/>
    <w:rsid w:val="008E30C9"/>
    <w:rsid w:val="008E37DE"/>
    <w:rsid w:val="008E4F37"/>
    <w:rsid w:val="008E647E"/>
    <w:rsid w:val="008E660D"/>
    <w:rsid w:val="008E74A9"/>
    <w:rsid w:val="008F1159"/>
    <w:rsid w:val="008F14FE"/>
    <w:rsid w:val="008F18E9"/>
    <w:rsid w:val="008F4707"/>
    <w:rsid w:val="008F56A8"/>
    <w:rsid w:val="009057DE"/>
    <w:rsid w:val="00905EB3"/>
    <w:rsid w:val="00907685"/>
    <w:rsid w:val="00907E0C"/>
    <w:rsid w:val="00910BAC"/>
    <w:rsid w:val="009110FC"/>
    <w:rsid w:val="00917114"/>
    <w:rsid w:val="00917199"/>
    <w:rsid w:val="009200E8"/>
    <w:rsid w:val="00921E6F"/>
    <w:rsid w:val="00924938"/>
    <w:rsid w:val="00930163"/>
    <w:rsid w:val="00933C74"/>
    <w:rsid w:val="0094027C"/>
    <w:rsid w:val="00951709"/>
    <w:rsid w:val="00961269"/>
    <w:rsid w:val="0096459D"/>
    <w:rsid w:val="009668BE"/>
    <w:rsid w:val="00966C5F"/>
    <w:rsid w:val="00967531"/>
    <w:rsid w:val="00973FE1"/>
    <w:rsid w:val="00974939"/>
    <w:rsid w:val="00982873"/>
    <w:rsid w:val="00983028"/>
    <w:rsid w:val="00987413"/>
    <w:rsid w:val="009903F3"/>
    <w:rsid w:val="00990E14"/>
    <w:rsid w:val="009921C6"/>
    <w:rsid w:val="00992C76"/>
    <w:rsid w:val="00993AA9"/>
    <w:rsid w:val="00995E0B"/>
    <w:rsid w:val="00995EEF"/>
    <w:rsid w:val="00995FCC"/>
    <w:rsid w:val="00997B40"/>
    <w:rsid w:val="009A2195"/>
    <w:rsid w:val="009A6C95"/>
    <w:rsid w:val="009B0FEB"/>
    <w:rsid w:val="009B4369"/>
    <w:rsid w:val="009B44B8"/>
    <w:rsid w:val="009B452C"/>
    <w:rsid w:val="009B4D3B"/>
    <w:rsid w:val="009B5731"/>
    <w:rsid w:val="009C111A"/>
    <w:rsid w:val="009C6565"/>
    <w:rsid w:val="009C68B6"/>
    <w:rsid w:val="009C6911"/>
    <w:rsid w:val="009C7391"/>
    <w:rsid w:val="009C78B8"/>
    <w:rsid w:val="009D1ECB"/>
    <w:rsid w:val="009D4D69"/>
    <w:rsid w:val="009D7407"/>
    <w:rsid w:val="009E0866"/>
    <w:rsid w:val="009E24D9"/>
    <w:rsid w:val="009E4958"/>
    <w:rsid w:val="009E60A0"/>
    <w:rsid w:val="009F1421"/>
    <w:rsid w:val="009F47C6"/>
    <w:rsid w:val="009F5488"/>
    <w:rsid w:val="009F6423"/>
    <w:rsid w:val="00A01BC3"/>
    <w:rsid w:val="00A03065"/>
    <w:rsid w:val="00A043DA"/>
    <w:rsid w:val="00A05C38"/>
    <w:rsid w:val="00A06CF2"/>
    <w:rsid w:val="00A1142A"/>
    <w:rsid w:val="00A1307E"/>
    <w:rsid w:val="00A15B80"/>
    <w:rsid w:val="00A1696E"/>
    <w:rsid w:val="00A2082C"/>
    <w:rsid w:val="00A24769"/>
    <w:rsid w:val="00A24A62"/>
    <w:rsid w:val="00A31C9F"/>
    <w:rsid w:val="00A339FC"/>
    <w:rsid w:val="00A33ED9"/>
    <w:rsid w:val="00A35D92"/>
    <w:rsid w:val="00A36A1C"/>
    <w:rsid w:val="00A36EE5"/>
    <w:rsid w:val="00A4052E"/>
    <w:rsid w:val="00A4144F"/>
    <w:rsid w:val="00A419B5"/>
    <w:rsid w:val="00A41C06"/>
    <w:rsid w:val="00A41D2F"/>
    <w:rsid w:val="00A427C6"/>
    <w:rsid w:val="00A439CB"/>
    <w:rsid w:val="00A47F8E"/>
    <w:rsid w:val="00A55101"/>
    <w:rsid w:val="00A55E8A"/>
    <w:rsid w:val="00A56F14"/>
    <w:rsid w:val="00A5706B"/>
    <w:rsid w:val="00A5733A"/>
    <w:rsid w:val="00A57820"/>
    <w:rsid w:val="00A6481E"/>
    <w:rsid w:val="00A649CF"/>
    <w:rsid w:val="00A65FDD"/>
    <w:rsid w:val="00A70482"/>
    <w:rsid w:val="00A80F95"/>
    <w:rsid w:val="00A8197B"/>
    <w:rsid w:val="00A82407"/>
    <w:rsid w:val="00A8370E"/>
    <w:rsid w:val="00A87961"/>
    <w:rsid w:val="00A904EC"/>
    <w:rsid w:val="00A93A99"/>
    <w:rsid w:val="00AA655A"/>
    <w:rsid w:val="00AA6FDD"/>
    <w:rsid w:val="00AA7BE3"/>
    <w:rsid w:val="00AB14EE"/>
    <w:rsid w:val="00AB2137"/>
    <w:rsid w:val="00AC164A"/>
    <w:rsid w:val="00AC39FE"/>
    <w:rsid w:val="00AC5E89"/>
    <w:rsid w:val="00AC725F"/>
    <w:rsid w:val="00AC774A"/>
    <w:rsid w:val="00AD1205"/>
    <w:rsid w:val="00AD7134"/>
    <w:rsid w:val="00AE1C90"/>
    <w:rsid w:val="00AE3714"/>
    <w:rsid w:val="00AE6316"/>
    <w:rsid w:val="00AE7000"/>
    <w:rsid w:val="00AE75A2"/>
    <w:rsid w:val="00AE78BC"/>
    <w:rsid w:val="00AF1B85"/>
    <w:rsid w:val="00AF1E64"/>
    <w:rsid w:val="00AF2050"/>
    <w:rsid w:val="00AF2574"/>
    <w:rsid w:val="00AF26FF"/>
    <w:rsid w:val="00AF2F3D"/>
    <w:rsid w:val="00AF616D"/>
    <w:rsid w:val="00AF6A22"/>
    <w:rsid w:val="00B01835"/>
    <w:rsid w:val="00B02E6F"/>
    <w:rsid w:val="00B035E7"/>
    <w:rsid w:val="00B0388D"/>
    <w:rsid w:val="00B03CA8"/>
    <w:rsid w:val="00B15E62"/>
    <w:rsid w:val="00B20583"/>
    <w:rsid w:val="00B20F4D"/>
    <w:rsid w:val="00B2150F"/>
    <w:rsid w:val="00B22B76"/>
    <w:rsid w:val="00B244AF"/>
    <w:rsid w:val="00B246EC"/>
    <w:rsid w:val="00B25881"/>
    <w:rsid w:val="00B26FB3"/>
    <w:rsid w:val="00B300BE"/>
    <w:rsid w:val="00B331DC"/>
    <w:rsid w:val="00B37A2C"/>
    <w:rsid w:val="00B438D3"/>
    <w:rsid w:val="00B510F1"/>
    <w:rsid w:val="00B54E3B"/>
    <w:rsid w:val="00B55E19"/>
    <w:rsid w:val="00B57138"/>
    <w:rsid w:val="00B613B7"/>
    <w:rsid w:val="00B61B48"/>
    <w:rsid w:val="00B61DE6"/>
    <w:rsid w:val="00B65524"/>
    <w:rsid w:val="00B71EEE"/>
    <w:rsid w:val="00B7227C"/>
    <w:rsid w:val="00B76E5F"/>
    <w:rsid w:val="00B77643"/>
    <w:rsid w:val="00B77FF5"/>
    <w:rsid w:val="00B8083D"/>
    <w:rsid w:val="00B86F2D"/>
    <w:rsid w:val="00B90F50"/>
    <w:rsid w:val="00B9293E"/>
    <w:rsid w:val="00B93ADF"/>
    <w:rsid w:val="00B9501D"/>
    <w:rsid w:val="00BA028E"/>
    <w:rsid w:val="00BA4B6D"/>
    <w:rsid w:val="00BA5C7A"/>
    <w:rsid w:val="00BB1D9F"/>
    <w:rsid w:val="00BB26C5"/>
    <w:rsid w:val="00BB3BF2"/>
    <w:rsid w:val="00BB49A7"/>
    <w:rsid w:val="00BB7ADB"/>
    <w:rsid w:val="00BC103F"/>
    <w:rsid w:val="00BC2273"/>
    <w:rsid w:val="00BC3A39"/>
    <w:rsid w:val="00BC43ED"/>
    <w:rsid w:val="00BD0114"/>
    <w:rsid w:val="00BD183F"/>
    <w:rsid w:val="00BD2BC7"/>
    <w:rsid w:val="00BD42EE"/>
    <w:rsid w:val="00BE0316"/>
    <w:rsid w:val="00BF0940"/>
    <w:rsid w:val="00BF1A6F"/>
    <w:rsid w:val="00BF4DE6"/>
    <w:rsid w:val="00BF7FB1"/>
    <w:rsid w:val="00C04FC8"/>
    <w:rsid w:val="00C0611C"/>
    <w:rsid w:val="00C12C5A"/>
    <w:rsid w:val="00C1527E"/>
    <w:rsid w:val="00C15B77"/>
    <w:rsid w:val="00C1703A"/>
    <w:rsid w:val="00C17D3B"/>
    <w:rsid w:val="00C20C2D"/>
    <w:rsid w:val="00C213BB"/>
    <w:rsid w:val="00C2160E"/>
    <w:rsid w:val="00C22912"/>
    <w:rsid w:val="00C23E0F"/>
    <w:rsid w:val="00C2416A"/>
    <w:rsid w:val="00C25F3C"/>
    <w:rsid w:val="00C27851"/>
    <w:rsid w:val="00C30172"/>
    <w:rsid w:val="00C31990"/>
    <w:rsid w:val="00C31D43"/>
    <w:rsid w:val="00C32246"/>
    <w:rsid w:val="00C32374"/>
    <w:rsid w:val="00C32E58"/>
    <w:rsid w:val="00C40082"/>
    <w:rsid w:val="00C4168B"/>
    <w:rsid w:val="00C42CDE"/>
    <w:rsid w:val="00C43683"/>
    <w:rsid w:val="00C507BC"/>
    <w:rsid w:val="00C5164F"/>
    <w:rsid w:val="00C5182A"/>
    <w:rsid w:val="00C51B0D"/>
    <w:rsid w:val="00C52397"/>
    <w:rsid w:val="00C530F3"/>
    <w:rsid w:val="00C53275"/>
    <w:rsid w:val="00C53342"/>
    <w:rsid w:val="00C54AD1"/>
    <w:rsid w:val="00C56B1E"/>
    <w:rsid w:val="00C56F3D"/>
    <w:rsid w:val="00C57DA0"/>
    <w:rsid w:val="00C61178"/>
    <w:rsid w:val="00C61F7D"/>
    <w:rsid w:val="00C62F06"/>
    <w:rsid w:val="00C63EE9"/>
    <w:rsid w:val="00C6467A"/>
    <w:rsid w:val="00C65A9E"/>
    <w:rsid w:val="00C6626C"/>
    <w:rsid w:val="00C71CFA"/>
    <w:rsid w:val="00C7325A"/>
    <w:rsid w:val="00C73DD9"/>
    <w:rsid w:val="00C75378"/>
    <w:rsid w:val="00C802FC"/>
    <w:rsid w:val="00C80CD1"/>
    <w:rsid w:val="00C86C28"/>
    <w:rsid w:val="00CA3473"/>
    <w:rsid w:val="00CA37B1"/>
    <w:rsid w:val="00CA449F"/>
    <w:rsid w:val="00CA6783"/>
    <w:rsid w:val="00CA718C"/>
    <w:rsid w:val="00CB1959"/>
    <w:rsid w:val="00CB369F"/>
    <w:rsid w:val="00CB5078"/>
    <w:rsid w:val="00CB60B6"/>
    <w:rsid w:val="00CC58D5"/>
    <w:rsid w:val="00CC625E"/>
    <w:rsid w:val="00CD0D20"/>
    <w:rsid w:val="00CD0E4B"/>
    <w:rsid w:val="00CD4761"/>
    <w:rsid w:val="00CD4E7B"/>
    <w:rsid w:val="00CD6EA7"/>
    <w:rsid w:val="00CD6EE4"/>
    <w:rsid w:val="00CE0155"/>
    <w:rsid w:val="00CE0F14"/>
    <w:rsid w:val="00CE3DEC"/>
    <w:rsid w:val="00CE482A"/>
    <w:rsid w:val="00CE51CA"/>
    <w:rsid w:val="00CE5FFD"/>
    <w:rsid w:val="00CE6FA0"/>
    <w:rsid w:val="00CE76A7"/>
    <w:rsid w:val="00CF1F4C"/>
    <w:rsid w:val="00CF37F0"/>
    <w:rsid w:val="00CF43D6"/>
    <w:rsid w:val="00CF550B"/>
    <w:rsid w:val="00CF68F2"/>
    <w:rsid w:val="00CF7190"/>
    <w:rsid w:val="00CF793D"/>
    <w:rsid w:val="00D0035C"/>
    <w:rsid w:val="00D00802"/>
    <w:rsid w:val="00D022DB"/>
    <w:rsid w:val="00D0296C"/>
    <w:rsid w:val="00D040D8"/>
    <w:rsid w:val="00D073AE"/>
    <w:rsid w:val="00D12866"/>
    <w:rsid w:val="00D128E3"/>
    <w:rsid w:val="00D146A2"/>
    <w:rsid w:val="00D151ED"/>
    <w:rsid w:val="00D154D9"/>
    <w:rsid w:val="00D15A00"/>
    <w:rsid w:val="00D17075"/>
    <w:rsid w:val="00D17CCA"/>
    <w:rsid w:val="00D17D16"/>
    <w:rsid w:val="00D204CF"/>
    <w:rsid w:val="00D218F4"/>
    <w:rsid w:val="00D2220E"/>
    <w:rsid w:val="00D23BFD"/>
    <w:rsid w:val="00D24070"/>
    <w:rsid w:val="00D31FFA"/>
    <w:rsid w:val="00D36CDE"/>
    <w:rsid w:val="00D37346"/>
    <w:rsid w:val="00D471D0"/>
    <w:rsid w:val="00D52059"/>
    <w:rsid w:val="00D552A2"/>
    <w:rsid w:val="00D56ED6"/>
    <w:rsid w:val="00D64BD1"/>
    <w:rsid w:val="00D655E9"/>
    <w:rsid w:val="00D720A1"/>
    <w:rsid w:val="00D72760"/>
    <w:rsid w:val="00D80171"/>
    <w:rsid w:val="00D81AF5"/>
    <w:rsid w:val="00D90B90"/>
    <w:rsid w:val="00D92258"/>
    <w:rsid w:val="00D9441C"/>
    <w:rsid w:val="00DA24CD"/>
    <w:rsid w:val="00DA28C5"/>
    <w:rsid w:val="00DA4757"/>
    <w:rsid w:val="00DA6F0C"/>
    <w:rsid w:val="00DA7C80"/>
    <w:rsid w:val="00DB0B00"/>
    <w:rsid w:val="00DB1B3F"/>
    <w:rsid w:val="00DB3329"/>
    <w:rsid w:val="00DB50FD"/>
    <w:rsid w:val="00DB74DF"/>
    <w:rsid w:val="00DC1C7B"/>
    <w:rsid w:val="00DC275A"/>
    <w:rsid w:val="00DD1986"/>
    <w:rsid w:val="00DD4F1D"/>
    <w:rsid w:val="00DE084C"/>
    <w:rsid w:val="00DE6530"/>
    <w:rsid w:val="00DF3196"/>
    <w:rsid w:val="00DF3D03"/>
    <w:rsid w:val="00DF411C"/>
    <w:rsid w:val="00DF4F26"/>
    <w:rsid w:val="00DF7221"/>
    <w:rsid w:val="00DF7AC6"/>
    <w:rsid w:val="00E06126"/>
    <w:rsid w:val="00E073DB"/>
    <w:rsid w:val="00E21035"/>
    <w:rsid w:val="00E21AB3"/>
    <w:rsid w:val="00E23256"/>
    <w:rsid w:val="00E2470E"/>
    <w:rsid w:val="00E27BEC"/>
    <w:rsid w:val="00E27D7B"/>
    <w:rsid w:val="00E27FAE"/>
    <w:rsid w:val="00E357B7"/>
    <w:rsid w:val="00E3692A"/>
    <w:rsid w:val="00E40AB9"/>
    <w:rsid w:val="00E43109"/>
    <w:rsid w:val="00E4318A"/>
    <w:rsid w:val="00E53800"/>
    <w:rsid w:val="00E53CC4"/>
    <w:rsid w:val="00E6081F"/>
    <w:rsid w:val="00E63097"/>
    <w:rsid w:val="00E63C76"/>
    <w:rsid w:val="00E64815"/>
    <w:rsid w:val="00E656E7"/>
    <w:rsid w:val="00E712B8"/>
    <w:rsid w:val="00E721B1"/>
    <w:rsid w:val="00E7735D"/>
    <w:rsid w:val="00E80E3D"/>
    <w:rsid w:val="00E83A89"/>
    <w:rsid w:val="00E840CF"/>
    <w:rsid w:val="00E86697"/>
    <w:rsid w:val="00E90BAD"/>
    <w:rsid w:val="00E91B0E"/>
    <w:rsid w:val="00E97964"/>
    <w:rsid w:val="00EA04B2"/>
    <w:rsid w:val="00EA20F3"/>
    <w:rsid w:val="00EA6A53"/>
    <w:rsid w:val="00EA7269"/>
    <w:rsid w:val="00EB010F"/>
    <w:rsid w:val="00EB0D53"/>
    <w:rsid w:val="00EB27DE"/>
    <w:rsid w:val="00EB6463"/>
    <w:rsid w:val="00EB7494"/>
    <w:rsid w:val="00EB759E"/>
    <w:rsid w:val="00EC0DCE"/>
    <w:rsid w:val="00EC35C2"/>
    <w:rsid w:val="00EC485F"/>
    <w:rsid w:val="00EC4D79"/>
    <w:rsid w:val="00ED0195"/>
    <w:rsid w:val="00ED0991"/>
    <w:rsid w:val="00ED0EFA"/>
    <w:rsid w:val="00ED2831"/>
    <w:rsid w:val="00ED3579"/>
    <w:rsid w:val="00ED3B70"/>
    <w:rsid w:val="00ED43D1"/>
    <w:rsid w:val="00ED51D5"/>
    <w:rsid w:val="00ED7919"/>
    <w:rsid w:val="00EE0A65"/>
    <w:rsid w:val="00EE1BD6"/>
    <w:rsid w:val="00EE1E73"/>
    <w:rsid w:val="00EE4108"/>
    <w:rsid w:val="00EE45FB"/>
    <w:rsid w:val="00EE4EE1"/>
    <w:rsid w:val="00EE6245"/>
    <w:rsid w:val="00EE6501"/>
    <w:rsid w:val="00EF4574"/>
    <w:rsid w:val="00EF7052"/>
    <w:rsid w:val="00F050ED"/>
    <w:rsid w:val="00F05CBC"/>
    <w:rsid w:val="00F06963"/>
    <w:rsid w:val="00F06B5D"/>
    <w:rsid w:val="00F1327E"/>
    <w:rsid w:val="00F16381"/>
    <w:rsid w:val="00F17F99"/>
    <w:rsid w:val="00F2337A"/>
    <w:rsid w:val="00F23D74"/>
    <w:rsid w:val="00F247C0"/>
    <w:rsid w:val="00F2684E"/>
    <w:rsid w:val="00F26ED2"/>
    <w:rsid w:val="00F27056"/>
    <w:rsid w:val="00F3072C"/>
    <w:rsid w:val="00F30D93"/>
    <w:rsid w:val="00F32235"/>
    <w:rsid w:val="00F359A8"/>
    <w:rsid w:val="00F409F4"/>
    <w:rsid w:val="00F41814"/>
    <w:rsid w:val="00F43217"/>
    <w:rsid w:val="00F435FE"/>
    <w:rsid w:val="00F5341A"/>
    <w:rsid w:val="00F5404C"/>
    <w:rsid w:val="00F54F64"/>
    <w:rsid w:val="00F613EA"/>
    <w:rsid w:val="00F61D6A"/>
    <w:rsid w:val="00F67381"/>
    <w:rsid w:val="00F67B64"/>
    <w:rsid w:val="00F71AAA"/>
    <w:rsid w:val="00F729EF"/>
    <w:rsid w:val="00F7441F"/>
    <w:rsid w:val="00F75A5C"/>
    <w:rsid w:val="00F762A2"/>
    <w:rsid w:val="00F7731B"/>
    <w:rsid w:val="00F77BA8"/>
    <w:rsid w:val="00F77CAE"/>
    <w:rsid w:val="00F81AC9"/>
    <w:rsid w:val="00F82271"/>
    <w:rsid w:val="00F83428"/>
    <w:rsid w:val="00F90096"/>
    <w:rsid w:val="00F91F18"/>
    <w:rsid w:val="00F91FD0"/>
    <w:rsid w:val="00F93411"/>
    <w:rsid w:val="00F93759"/>
    <w:rsid w:val="00F95D78"/>
    <w:rsid w:val="00F96BB9"/>
    <w:rsid w:val="00F97F8B"/>
    <w:rsid w:val="00FA140B"/>
    <w:rsid w:val="00FA36C4"/>
    <w:rsid w:val="00FA7C97"/>
    <w:rsid w:val="00FC1E36"/>
    <w:rsid w:val="00FC321E"/>
    <w:rsid w:val="00FC3F74"/>
    <w:rsid w:val="00FD16CA"/>
    <w:rsid w:val="00FD1AE7"/>
    <w:rsid w:val="00FD2B08"/>
    <w:rsid w:val="00FD4C40"/>
    <w:rsid w:val="00FE110B"/>
    <w:rsid w:val="00FE1721"/>
    <w:rsid w:val="00FE1785"/>
    <w:rsid w:val="00FE2402"/>
    <w:rsid w:val="00FE56E4"/>
    <w:rsid w:val="00FE6D51"/>
    <w:rsid w:val="00FF09F3"/>
    <w:rsid w:val="00FF3FA0"/>
    <w:rsid w:val="00FF52C2"/>
    <w:rsid w:val="00FF6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7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7B"/>
    <w:pPr>
      <w:suppressAutoHyphens/>
      <w:spacing w:before="120" w:after="60" w:line="230" w:lineRule="atLeast"/>
    </w:pPr>
    <w:rPr>
      <w:color w:val="495965" w:themeColor="text2"/>
      <w:lang w:val="en-GB"/>
    </w:rPr>
  </w:style>
  <w:style w:type="paragraph" w:styleId="Heading1">
    <w:name w:val="heading 1"/>
    <w:basedOn w:val="Normal"/>
    <w:next w:val="Normal"/>
    <w:link w:val="Heading1Char"/>
    <w:uiPriority w:val="9"/>
    <w:qFormat/>
    <w:rsid w:val="00F83428"/>
    <w:pPr>
      <w:keepNext/>
      <w:keepLines/>
      <w:pageBreakBefore/>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A4144F"/>
    <w:pPr>
      <w:pageBreakBefore w:val="0"/>
      <w:spacing w:before="30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before="480"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A4144F"/>
    <w:pPr>
      <w:spacing w:line="200" w:lineRule="atLeast"/>
      <w:outlineLvl w:val="4"/>
    </w:pPr>
    <w:rPr>
      <w:b/>
      <w:sz w:val="16"/>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rsid w:val="00486804"/>
    <w:pPr>
      <w:outlineLvl w:val="6"/>
    </w:pPr>
    <w:rPr>
      <w:i/>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28"/>
    <w:rPr>
      <w:rFonts w:asciiTheme="majorHAnsi" w:eastAsiaTheme="majorEastAsia" w:hAnsiTheme="majorHAnsi" w:cstheme="majorBidi"/>
      <w:b/>
      <w:bCs/>
      <w:caps/>
      <w:color w:val="495965" w:themeColor="text2"/>
      <w:sz w:val="38"/>
      <w:szCs w:val="28"/>
    </w:rPr>
  </w:style>
  <w:style w:type="character" w:customStyle="1" w:styleId="Heading2Char">
    <w:name w:val="Heading 2 Char"/>
    <w:basedOn w:val="DefaultParagraphFont"/>
    <w:link w:val="Heading2"/>
    <w:uiPriority w:val="9"/>
    <w:rsid w:val="00A4144F"/>
    <w:rPr>
      <w:rFonts w:asciiTheme="majorHAnsi" w:eastAsiaTheme="majorEastAsia" w:hAnsiTheme="majorHAnsi" w:cstheme="majorBidi"/>
      <w:caps/>
      <w:color w:val="495965" w:themeColor="text2"/>
      <w:sz w:val="38"/>
      <w:szCs w:val="26"/>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pageBreakBefore w:val="0"/>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1D663E"/>
    <w:pPr>
      <w:numPr>
        <w:numId w:val="7"/>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8"/>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before="480" w:after="60"/>
    </w:pPr>
    <w:rPr>
      <w:bCs/>
    </w:rPr>
  </w:style>
  <w:style w:type="paragraph" w:customStyle="1" w:styleId="Heading3Numbered">
    <w:name w:val="Heading 3 Numbered"/>
    <w:basedOn w:val="Heading3"/>
    <w:next w:val="Normal"/>
    <w:qFormat/>
    <w:rsid w:val="00ED2831"/>
    <w:pPr>
      <w:numPr>
        <w:ilvl w:val="2"/>
        <w:numId w:val="6"/>
      </w:numPr>
      <w:spacing w:before="300" w:after="60"/>
    </w:pPr>
    <w:rPr>
      <w:szCs w:val="22"/>
    </w:rPr>
  </w:style>
  <w:style w:type="numbering" w:customStyle="1" w:styleId="BulletsList">
    <w:name w:val="Bullets List"/>
    <w:uiPriority w:val="99"/>
    <w:rsid w:val="001D663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pageBreakBefore w:val="0"/>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992C76"/>
    <w:pPr>
      <w:tabs>
        <w:tab w:val="center" w:pos="4513"/>
        <w:tab w:val="right" w:pos="9026"/>
      </w:tabs>
      <w:spacing w:before="0" w:after="0"/>
      <w:jc w:val="right"/>
    </w:pPr>
    <w:rPr>
      <w:b/>
      <w:caps/>
      <w:sz w:val="20"/>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ED2831"/>
    <w:pPr>
      <w:spacing w:before="400" w:after="400" w:line="280" w:lineRule="exact"/>
    </w:pPr>
    <w:rPr>
      <w:b/>
      <w:caps/>
      <w:color w:val="ACD08C" w:themeColor="accent3"/>
      <w:sz w:val="28"/>
    </w:rPr>
  </w:style>
  <w:style w:type="table" w:styleId="TableGrid">
    <w:name w:val="Table Grid"/>
    <w:basedOn w:val="TableNormal"/>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92C76"/>
    <w:rPr>
      <w:b/>
      <w:caps/>
      <w:color w:val="495965" w:themeColor="text2"/>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A4144F"/>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link w:val="CaptionChar"/>
    <w:uiPriority w:val="99"/>
    <w:unhideWhenUsed/>
    <w:qFormat/>
    <w:rsid w:val="00ED2831"/>
    <w:pPr>
      <w:spacing w:before="240" w:after="180" w:line="240" w:lineRule="atLeast"/>
      <w:contextualSpacing/>
    </w:pPr>
    <w:rPr>
      <w:b/>
      <w:iCs/>
      <w:color w:val="000000" w:themeColor="text1"/>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rsid w:val="00C5182A"/>
    <w:rPr>
      <w:b/>
      <w:sz w:val="20"/>
    </w:rPr>
  </w:style>
  <w:style w:type="paragraph" w:styleId="FootnoteText">
    <w:name w:val="footnote text"/>
    <w:aliases w:val="ft,single space,Geneva 9,Font: Geneva 9,Boston 10,f,Footnote Text Char Char Char,Footnote Text Char Char,FOOTNOTES,fn,ft Char Char Char,ADB,(NECG) Footnote Text,Char Char Char,Char Char Char Char,footnote text,ALTS FOOTNOTE,Char"/>
    <w:basedOn w:val="Normal"/>
    <w:link w:val="FootnoteTextChar"/>
    <w:unhideWhenUsed/>
    <w:qFormat/>
    <w:rsid w:val="008C5A0E"/>
    <w:pPr>
      <w:spacing w:before="60" w:after="0" w:line="140" w:lineRule="atLeast"/>
      <w:ind w:left="170" w:hanging="170"/>
    </w:pPr>
    <w:rPr>
      <w:sz w:val="12"/>
      <w:szCs w:val="20"/>
    </w:rPr>
  </w:style>
  <w:style w:type="character" w:customStyle="1" w:styleId="FootnoteTextChar">
    <w:name w:val="Footnote Text Char"/>
    <w:aliases w:val="ft Char,single space Char,Geneva 9 Char,Font: Geneva 9 Char,Boston 10 Char,f Char,Footnote Text Char Char Char Char,Footnote Text Char Char Char1,FOOTNOTES Char,fn Char,ft Char Char Char Char,ADB Char,(NECG) Footnote Text Char"/>
    <w:basedOn w:val="DefaultParagraphFont"/>
    <w:link w:val="FootnoteText"/>
    <w:qFormat/>
    <w:rsid w:val="008C5A0E"/>
    <w:rPr>
      <w:color w:val="495965" w:themeColor="text2"/>
      <w:sz w:val="12"/>
      <w:szCs w:val="20"/>
    </w:rPr>
  </w:style>
  <w:style w:type="character" w:styleId="FootnoteReference">
    <w:name w:val="footnote reference"/>
    <w:aliases w:val="ftref,16 Point,Superscript 6 Point,(NECG) Footnote Reference,Ref,de nota al pie,fr,footnote number Char Char,BVI fnr Char,BVI fnr Car Car Char,BVI fnr Car Char,BVI fnr Car Car Car Car Char Char Char,ftref Char, BVI fnr Char,SUPERS"/>
    <w:basedOn w:val="DefaultParagraphFont"/>
    <w:link w:val="footnotenumberChar"/>
    <w:uiPriority w:val="99"/>
    <w:unhideWhenUsed/>
    <w:qFormat/>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F83428"/>
    <w:rPr>
      <w:color w:val="ACD08C" w:themeColor="accent3"/>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F82271"/>
    <w:pPr>
      <w:spacing w:after="200" w:line="140" w:lineRule="atLeast"/>
      <w:jc w:val="right"/>
    </w:pPr>
    <w:rPr>
      <w:sz w:val="12"/>
    </w:rPr>
  </w:style>
  <w:style w:type="table" w:customStyle="1" w:styleId="DFATTable1">
    <w:name w:val="DFAT Table 1"/>
    <w:basedOn w:val="TableNormal"/>
    <w:uiPriority w:val="99"/>
    <w:rsid w:val="00ED2831"/>
    <w:pPr>
      <w:spacing w:before="60" w:after="60" w:line="220" w:lineRule="atLeast"/>
    </w:pPr>
    <w:rPr>
      <w:rFonts w:ascii="Calibri" w:hAnsi="Calibri"/>
      <w:sz w:val="18"/>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ED2831"/>
    <w:pPr>
      <w:pageBreakBefore w:val="0"/>
      <w:spacing w:after="600"/>
    </w:p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ED2831"/>
    <w:pPr>
      <w:spacing w:before="60" w:line="220" w:lineRule="atLeast"/>
    </w:pPr>
    <w:rPr>
      <w:rFonts w:ascii="Calibri" w:hAnsi="Calibri"/>
      <w:b/>
      <w:sz w:val="18"/>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ED2831"/>
    <w:pPr>
      <w:spacing w:before="60" w:line="220" w:lineRule="atLeast"/>
    </w:pPr>
    <w:rPr>
      <w:rFonts w:ascii="Calibri" w:hAnsi="Calibri"/>
      <w:b/>
      <w:color w:val="FFFFFF" w:themeColor="background1"/>
      <w:sz w:val="18"/>
    </w:rPr>
  </w:style>
  <w:style w:type="paragraph" w:customStyle="1" w:styleId="BoxHeading">
    <w:name w:val="Box Heading"/>
    <w:basedOn w:val="Heading3"/>
    <w:qFormat/>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A80F95"/>
    <w:pPr>
      <w:spacing w:before="60" w:line="220" w:lineRule="atLeast"/>
    </w:pPr>
    <w:rPr>
      <w:rFonts w:ascii="Calibri" w:hAnsi="Calibri"/>
      <w:sz w:val="18"/>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rsid w:val="002B3E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95"/>
    <w:rPr>
      <w:rFonts w:ascii="Tahoma" w:hAnsi="Tahoma" w:cs="Tahoma"/>
      <w:color w:val="495965" w:themeColor="text2"/>
      <w:sz w:val="16"/>
      <w:szCs w:val="16"/>
      <w:lang w:val="en-GB"/>
    </w:rPr>
  </w:style>
  <w:style w:type="paragraph" w:styleId="BodyText">
    <w:name w:val="Body Text"/>
    <w:basedOn w:val="Normal"/>
    <w:link w:val="BodyTextChar"/>
    <w:qFormat/>
    <w:rsid w:val="008F56A8"/>
    <w:pPr>
      <w:suppressAutoHyphens w:val="0"/>
      <w:spacing w:before="0" w:after="160" w:line="280" w:lineRule="exact"/>
    </w:pPr>
    <w:rPr>
      <w:rFonts w:ascii="Franklin Gothic Book" w:eastAsia="Times New Roman" w:hAnsi="Franklin Gothic Book" w:cs="Times New Roman"/>
      <w:color w:val="auto"/>
      <w:sz w:val="21"/>
      <w:szCs w:val="24"/>
      <w:lang w:val="en-AU" w:eastAsia="en-AU"/>
    </w:rPr>
  </w:style>
  <w:style w:type="character" w:customStyle="1" w:styleId="BodyTextChar">
    <w:name w:val="Body Text Char"/>
    <w:basedOn w:val="DefaultParagraphFont"/>
    <w:link w:val="BodyText"/>
    <w:rsid w:val="008F56A8"/>
    <w:rPr>
      <w:rFonts w:ascii="Franklin Gothic Book" w:eastAsia="Times New Roman" w:hAnsi="Franklin Gothic Book" w:cs="Times New Roman"/>
      <w:sz w:val="21"/>
      <w:szCs w:val="24"/>
      <w:lang w:eastAsia="en-AU"/>
    </w:rPr>
  </w:style>
  <w:style w:type="paragraph" w:styleId="ListBullet">
    <w:name w:val="List Bullet"/>
    <w:basedOn w:val="BodyText"/>
    <w:qFormat/>
    <w:rsid w:val="008F56A8"/>
    <w:pPr>
      <w:tabs>
        <w:tab w:val="left" w:pos="284"/>
      </w:tabs>
      <w:spacing w:after="120"/>
    </w:pPr>
  </w:style>
  <w:style w:type="character" w:customStyle="1" w:styleId="CaptionChar">
    <w:name w:val="Caption Char"/>
    <w:link w:val="Caption"/>
    <w:uiPriority w:val="99"/>
    <w:locked/>
    <w:rsid w:val="008F56A8"/>
    <w:rPr>
      <w:b/>
      <w:iCs/>
      <w:color w:val="000000" w:themeColor="text1"/>
      <w:sz w:val="20"/>
      <w:szCs w:val="18"/>
      <w:lang w:val="en-GB"/>
    </w:rPr>
  </w:style>
  <w:style w:type="paragraph" w:customStyle="1" w:styleId="Note">
    <w:name w:val="Note"/>
    <w:basedOn w:val="TableTextEntries"/>
    <w:next w:val="BodyText"/>
    <w:link w:val="NoteCharChar"/>
    <w:autoRedefine/>
    <w:rsid w:val="005B5769"/>
    <w:pPr>
      <w:keepNext/>
      <w:spacing w:before="20" w:after="20" w:line="180" w:lineRule="atLeast"/>
      <w:jc w:val="both"/>
    </w:pPr>
    <w:rPr>
      <w:iCs w:val="0"/>
      <w:sz w:val="14"/>
      <w:szCs w:val="14"/>
      <w:lang w:eastAsia="en-AU"/>
    </w:rPr>
  </w:style>
  <w:style w:type="paragraph" w:customStyle="1" w:styleId="TableTextEntries">
    <w:name w:val="Table Text Entries"/>
    <w:rsid w:val="005B5769"/>
    <w:pPr>
      <w:keepLines/>
      <w:spacing w:before="40" w:after="40" w:line="200" w:lineRule="atLeast"/>
    </w:pPr>
    <w:rPr>
      <w:rFonts w:ascii="Franklin Gothic Book" w:eastAsia="Times New Roman" w:hAnsi="Franklin Gothic Book" w:cs="Times New Roman"/>
      <w:iCs/>
      <w:sz w:val="17"/>
      <w:szCs w:val="17"/>
    </w:rPr>
  </w:style>
  <w:style w:type="character" w:customStyle="1" w:styleId="NoteCharChar">
    <w:name w:val="Note Char Char"/>
    <w:link w:val="Note"/>
    <w:rsid w:val="005B5769"/>
    <w:rPr>
      <w:rFonts w:ascii="Franklin Gothic Book" w:eastAsia="Times New Roman" w:hAnsi="Franklin Gothic Book" w:cs="Times New Roman"/>
      <w:sz w:val="14"/>
      <w:szCs w:val="14"/>
      <w:lang w:eastAsia="en-AU"/>
    </w:rPr>
  </w:style>
  <w:style w:type="paragraph" w:customStyle="1" w:styleId="TableTextColumnHeading">
    <w:name w:val="Table Text Column Heading"/>
    <w:basedOn w:val="Normal"/>
    <w:autoRedefine/>
    <w:rsid w:val="005B5769"/>
    <w:pPr>
      <w:keepLines/>
      <w:suppressAutoHyphens w:val="0"/>
      <w:spacing w:before="80" w:after="80" w:line="200" w:lineRule="atLeast"/>
    </w:pPr>
    <w:rPr>
      <w:rFonts w:ascii="Franklin Gothic Medium" w:eastAsia="Times New Roman" w:hAnsi="Franklin Gothic Medium" w:cs="Times New Roman"/>
      <w:b/>
      <w:iCs/>
      <w:color w:val="auto"/>
      <w:sz w:val="17"/>
      <w:szCs w:val="17"/>
      <w:lang w:val="en-AU"/>
    </w:rPr>
  </w:style>
  <w:style w:type="table" w:customStyle="1" w:styleId="DFATTable">
    <w:name w:val="DFAT Table"/>
    <w:basedOn w:val="TableNormal"/>
    <w:uiPriority w:val="99"/>
    <w:rsid w:val="005B5769"/>
    <w:pPr>
      <w:spacing w:after="0" w:line="240" w:lineRule="auto"/>
    </w:pPr>
    <w:rPr>
      <w:rFonts w:ascii="Helvetica" w:hAnsi="Helvetica"/>
      <w:sz w:val="17"/>
      <w:lang w:eastAsia="en-AU"/>
    </w:rPr>
    <w:tblPr>
      <w:tblBorders>
        <w:top w:val="single" w:sz="12" w:space="0" w:color="auto"/>
        <w:bottom w:val="single" w:sz="12" w:space="0" w:color="auto"/>
      </w:tblBorders>
    </w:tblPr>
  </w:style>
  <w:style w:type="paragraph" w:customStyle="1" w:styleId="BoxListBullet">
    <w:name w:val="Box List Bullet"/>
    <w:basedOn w:val="Normal"/>
    <w:rsid w:val="005B5769"/>
    <w:pPr>
      <w:keepLines/>
      <w:numPr>
        <w:numId w:val="9"/>
      </w:numPr>
      <w:pBdr>
        <w:top w:val="single" w:sz="4" w:space="10" w:color="auto"/>
        <w:left w:val="single" w:sz="4" w:space="10" w:color="auto"/>
        <w:bottom w:val="single" w:sz="4" w:space="10" w:color="auto"/>
        <w:right w:val="single" w:sz="4" w:space="10" w:color="auto"/>
      </w:pBdr>
      <w:shd w:val="clear" w:color="auto" w:fill="C7D5E6"/>
      <w:suppressAutoHyphens w:val="0"/>
      <w:spacing w:before="0" w:after="120" w:line="240" w:lineRule="auto"/>
      <w:ind w:left="284" w:hanging="284"/>
      <w:contextualSpacing/>
      <w:mirrorIndents/>
    </w:pPr>
    <w:rPr>
      <w:rFonts w:ascii="Franklin Gothic Book" w:eastAsia="Times New Roman" w:hAnsi="Franklin Gothic Book" w:cs="Times New Roman"/>
      <w:iCs/>
      <w:color w:val="auto"/>
      <w:sz w:val="20"/>
      <w:szCs w:val="20"/>
      <w:lang w:val="en-AU" w:eastAsia="en-AU"/>
    </w:rPr>
  </w:style>
  <w:style w:type="paragraph" w:customStyle="1" w:styleId="TableHeading1">
    <w:name w:val="Table Heading 1"/>
    <w:basedOn w:val="TableTextEntries"/>
    <w:next w:val="TableTextEntries"/>
    <w:rsid w:val="005B5769"/>
    <w:pPr>
      <w:spacing w:before="80" w:after="80"/>
    </w:pPr>
    <w:rPr>
      <w:b/>
    </w:rPr>
  </w:style>
  <w:style w:type="table" w:customStyle="1" w:styleId="APPR">
    <w:name w:val="APPR"/>
    <w:basedOn w:val="TableNormal"/>
    <w:uiPriority w:val="99"/>
    <w:rsid w:val="005B5769"/>
    <w:pPr>
      <w:spacing w:after="0" w:line="240" w:lineRule="auto"/>
    </w:pPr>
    <w:rPr>
      <w:rFonts w:ascii="Franklin Gothic Book" w:hAnsi="Franklin Gothic Book"/>
      <w:sz w:val="17"/>
      <w:lang w:eastAsia="en-AU"/>
    </w:rPr>
    <w:tblPr>
      <w:tblStyleRowBandSize w:val="1"/>
      <w:tblCellSpacing w:w="14" w:type="dxa"/>
      <w:tblBorders>
        <w:top w:val="single" w:sz="12" w:space="0" w:color="000000" w:themeColor="text1"/>
        <w:bottom w:val="single" w:sz="12" w:space="0" w:color="000000" w:themeColor="text1"/>
      </w:tblBorders>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TableListNumber2">
    <w:name w:val="Table List Number 2"/>
    <w:basedOn w:val="Normal"/>
    <w:rsid w:val="005B5769"/>
    <w:pPr>
      <w:keepLines/>
      <w:numPr>
        <w:numId w:val="10"/>
      </w:numPr>
      <w:suppressAutoHyphens w:val="0"/>
      <w:spacing w:before="40" w:after="40" w:line="200" w:lineRule="atLeast"/>
      <w:ind w:left="568" w:hanging="284"/>
    </w:pPr>
    <w:rPr>
      <w:rFonts w:ascii="Helvetica" w:eastAsia="Times New Roman" w:hAnsi="Helvetica" w:cs="Times New Roman"/>
      <w:iCs/>
      <w:color w:val="auto"/>
      <w:sz w:val="17"/>
      <w:szCs w:val="17"/>
      <w:lang w:val="en-AU"/>
    </w:rPr>
  </w:style>
  <w:style w:type="character" w:styleId="FollowedHyperlink">
    <w:name w:val="FollowedHyperlink"/>
    <w:basedOn w:val="DefaultParagraphFont"/>
    <w:uiPriority w:val="99"/>
    <w:semiHidden/>
    <w:unhideWhenUsed/>
    <w:rsid w:val="00164DFC"/>
    <w:rPr>
      <w:color w:val="800080" w:themeColor="followedHyperlink"/>
      <w:u w:val="single"/>
    </w:rPr>
  </w:style>
  <w:style w:type="paragraph" w:styleId="ListParagraph">
    <w:name w:val="List Paragraph"/>
    <w:aliases w:val="List Paragraph1,Recommendation,List Paragraph11,List Paragraph2,L,CV text,Table text,F5 List Paragraph,Dot pt,List Paragraph111,Medium Grid 1 - Accent 21,Numbered Paragraph,Bullet text,Bulleted Para,NFP GP Bulleted List,FooterText,Bullet"/>
    <w:basedOn w:val="Normal"/>
    <w:link w:val="ListParagraphChar"/>
    <w:uiPriority w:val="34"/>
    <w:qFormat/>
    <w:rsid w:val="00266215"/>
    <w:pPr>
      <w:ind w:left="720"/>
      <w:contextualSpacing/>
    </w:pPr>
  </w:style>
  <w:style w:type="paragraph" w:customStyle="1" w:styleId="Default">
    <w:name w:val="Default"/>
    <w:rsid w:val="006076B8"/>
    <w:pPr>
      <w:autoSpaceDE w:val="0"/>
      <w:autoSpaceDN w:val="0"/>
      <w:adjustRightInd w:val="0"/>
      <w:spacing w:after="0" w:line="240" w:lineRule="auto"/>
    </w:pPr>
    <w:rPr>
      <w:rFonts w:ascii="Arial" w:hAnsi="Arial" w:cs="Arial"/>
      <w:color w:val="000000"/>
      <w:sz w:val="24"/>
      <w:szCs w:val="24"/>
    </w:rPr>
  </w:style>
  <w:style w:type="paragraph" w:customStyle="1" w:styleId="footnotenumberChar">
    <w:name w:val="footnote number Char"/>
    <w:aliases w:val="BVI fnr,BVI fnr Car Car,BVI fnr Car,BVI fnr Car Car Car Car Char Char,BVI fnr Car Car Car Car Char Char Char Char Char,BVI fnr Car Car Car Car Char,de nota al pi, BVI fnr, BVI fnr Car Car, BVI fnr Car Car Car Car Char Char"/>
    <w:basedOn w:val="Normal"/>
    <w:next w:val="FootnoteText"/>
    <w:link w:val="FootnoteReference"/>
    <w:uiPriority w:val="99"/>
    <w:rsid w:val="00F05CBC"/>
    <w:pPr>
      <w:suppressAutoHyphens w:val="0"/>
      <w:spacing w:before="0" w:after="160" w:line="240" w:lineRule="exact"/>
      <w:jc w:val="both"/>
    </w:pPr>
    <w:rPr>
      <w:color w:val="auto"/>
      <w:vertAlign w:val="superscript"/>
      <w:lang w:val="en-AU"/>
    </w:rPr>
  </w:style>
  <w:style w:type="character" w:styleId="HTMLCite">
    <w:name w:val="HTML Cite"/>
    <w:basedOn w:val="DefaultParagraphFont"/>
    <w:uiPriority w:val="99"/>
    <w:unhideWhenUsed/>
    <w:rsid w:val="00F05CBC"/>
    <w:rPr>
      <w:i/>
      <w:iCs/>
    </w:rPr>
  </w:style>
  <w:style w:type="character" w:customStyle="1" w:styleId="reference-accessdate">
    <w:name w:val="reference-accessdate"/>
    <w:basedOn w:val="DefaultParagraphFont"/>
    <w:rsid w:val="00F05CBC"/>
  </w:style>
  <w:style w:type="character" w:customStyle="1" w:styleId="nowrap1">
    <w:name w:val="nowrap1"/>
    <w:basedOn w:val="DefaultParagraphFont"/>
    <w:rsid w:val="00F05CBC"/>
  </w:style>
  <w:style w:type="character" w:customStyle="1" w:styleId="ListParagraphChar">
    <w:name w:val="List Paragraph Char"/>
    <w:aliases w:val="List Paragraph1 Char,Recommendation Char,List Paragraph11 Char,List Paragraph2 Char,L Char,CV text Char,Table text Char,F5 List Paragraph Char,Dot pt Char,List Paragraph111 Char,Medium Grid 1 - Accent 21 Char,Numbered Paragraph Char"/>
    <w:basedOn w:val="DefaultParagraphFont"/>
    <w:link w:val="ListParagraph"/>
    <w:uiPriority w:val="34"/>
    <w:qFormat/>
    <w:locked/>
    <w:rsid w:val="00D204CF"/>
    <w:rPr>
      <w:color w:val="495965" w:themeColor="text2"/>
      <w:lang w:val="en-GB"/>
    </w:rPr>
  </w:style>
  <w:style w:type="paragraph" w:customStyle="1" w:styleId="Pa0">
    <w:name w:val="Pa0"/>
    <w:basedOn w:val="Default"/>
    <w:next w:val="Default"/>
    <w:uiPriority w:val="99"/>
    <w:rsid w:val="00B01835"/>
    <w:pPr>
      <w:spacing w:line="181" w:lineRule="atLeast"/>
    </w:pPr>
    <w:rPr>
      <w:rFonts w:ascii="Ubuntu Light" w:hAnsi="Ubuntu Light" w:cstheme="minorBidi"/>
      <w:color w:val="auto"/>
    </w:rPr>
  </w:style>
  <w:style w:type="paragraph" w:customStyle="1" w:styleId="Pa17">
    <w:name w:val="Pa17"/>
    <w:basedOn w:val="Default"/>
    <w:next w:val="Default"/>
    <w:uiPriority w:val="99"/>
    <w:rsid w:val="00B01835"/>
    <w:pPr>
      <w:spacing w:line="181" w:lineRule="atLeast"/>
    </w:pPr>
    <w:rPr>
      <w:rFonts w:ascii="Ubuntu Light" w:hAnsi="Ubuntu Light" w:cstheme="minorBidi"/>
      <w:color w:val="auto"/>
    </w:rPr>
  </w:style>
  <w:style w:type="paragraph" w:styleId="NormalWeb">
    <w:name w:val="Normal (Web)"/>
    <w:basedOn w:val="Normal"/>
    <w:uiPriority w:val="99"/>
    <w:semiHidden/>
    <w:unhideWhenUsed/>
    <w:rsid w:val="004879A3"/>
    <w:pPr>
      <w:suppressAutoHyphens w:val="0"/>
      <w:spacing w:before="100" w:beforeAutospacing="1" w:after="100" w:afterAutospacing="1" w:line="240" w:lineRule="auto"/>
    </w:pPr>
    <w:rPr>
      <w:rFonts w:ascii="Times New Roman" w:hAnsi="Times New Roman" w:cs="Times New Roman"/>
      <w:color w:val="auto"/>
      <w:sz w:val="24"/>
      <w:szCs w:val="24"/>
      <w:lang w:val="en-AU" w:eastAsia="en-AU"/>
    </w:rPr>
  </w:style>
  <w:style w:type="character" w:styleId="CommentReference">
    <w:name w:val="annotation reference"/>
    <w:basedOn w:val="DefaultParagraphFont"/>
    <w:unhideWhenUsed/>
    <w:rsid w:val="00C32246"/>
    <w:rPr>
      <w:sz w:val="16"/>
      <w:szCs w:val="16"/>
    </w:rPr>
  </w:style>
  <w:style w:type="paragraph" w:styleId="CommentText">
    <w:name w:val="annotation text"/>
    <w:basedOn w:val="Normal"/>
    <w:link w:val="CommentTextChar"/>
    <w:unhideWhenUsed/>
    <w:rsid w:val="00C32246"/>
    <w:pPr>
      <w:spacing w:line="240" w:lineRule="auto"/>
    </w:pPr>
    <w:rPr>
      <w:sz w:val="20"/>
      <w:szCs w:val="20"/>
    </w:rPr>
  </w:style>
  <w:style w:type="character" w:customStyle="1" w:styleId="CommentTextChar">
    <w:name w:val="Comment Text Char"/>
    <w:basedOn w:val="DefaultParagraphFont"/>
    <w:link w:val="CommentText"/>
    <w:rsid w:val="00C32246"/>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C32246"/>
    <w:rPr>
      <w:b/>
      <w:bCs/>
    </w:rPr>
  </w:style>
  <w:style w:type="character" w:customStyle="1" w:styleId="CommentSubjectChar">
    <w:name w:val="Comment Subject Char"/>
    <w:basedOn w:val="CommentTextChar"/>
    <w:link w:val="CommentSubject"/>
    <w:uiPriority w:val="99"/>
    <w:semiHidden/>
    <w:rsid w:val="00C32246"/>
    <w:rPr>
      <w:b/>
      <w:bCs/>
      <w:color w:val="495965" w:themeColor="text2"/>
      <w:sz w:val="20"/>
      <w:szCs w:val="20"/>
      <w:lang w:val="en-GB"/>
    </w:rPr>
  </w:style>
  <w:style w:type="paragraph" w:styleId="Revision">
    <w:name w:val="Revision"/>
    <w:hidden/>
    <w:uiPriority w:val="99"/>
    <w:semiHidden/>
    <w:rsid w:val="009B4369"/>
    <w:pPr>
      <w:spacing w:after="0" w:line="240" w:lineRule="auto"/>
    </w:pPr>
    <w:rPr>
      <w:color w:val="495965" w:themeColor="text2"/>
      <w:lang w:val="en-GB"/>
    </w:rPr>
  </w:style>
  <w:style w:type="paragraph" w:styleId="EndnoteText">
    <w:name w:val="endnote text"/>
    <w:basedOn w:val="Normal"/>
    <w:link w:val="EndnoteTextChar"/>
    <w:uiPriority w:val="99"/>
    <w:semiHidden/>
    <w:unhideWhenUsed/>
    <w:rsid w:val="00AB14E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B14EE"/>
    <w:rPr>
      <w:color w:val="495965" w:themeColor="text2"/>
      <w:sz w:val="20"/>
      <w:szCs w:val="20"/>
      <w:lang w:val="en-GB"/>
    </w:rPr>
  </w:style>
  <w:style w:type="character" w:styleId="EndnoteReference">
    <w:name w:val="endnote reference"/>
    <w:basedOn w:val="DefaultParagraphFont"/>
    <w:uiPriority w:val="99"/>
    <w:semiHidden/>
    <w:unhideWhenUsed/>
    <w:rsid w:val="00AB14EE"/>
    <w:rPr>
      <w:vertAlign w:val="superscript"/>
    </w:rPr>
  </w:style>
  <w:style w:type="paragraph" w:customStyle="1" w:styleId="MottBulletL1">
    <w:name w:val="Mott Bullet L1"/>
    <w:basedOn w:val="Normal"/>
    <w:link w:val="MottBulletL1Char"/>
    <w:qFormat/>
    <w:rsid w:val="00E64815"/>
    <w:pPr>
      <w:numPr>
        <w:numId w:val="29"/>
      </w:numPr>
      <w:suppressAutoHyphens w:val="0"/>
      <w:spacing w:before="0" w:after="120" w:line="276" w:lineRule="auto"/>
    </w:pPr>
    <w:rPr>
      <w:rFonts w:ascii="Arial" w:eastAsia="Times New Roman" w:hAnsi="Arial" w:cs="Arial"/>
      <w:color w:val="auto"/>
      <w:szCs w:val="24"/>
      <w:lang w:eastAsia="en-GB"/>
    </w:rPr>
  </w:style>
  <w:style w:type="character" w:customStyle="1" w:styleId="MottBulletL1Char">
    <w:name w:val="Mott Bullet L1 Char"/>
    <w:basedOn w:val="DefaultParagraphFont"/>
    <w:link w:val="MottBulletL1"/>
    <w:rsid w:val="00E64815"/>
    <w:rPr>
      <w:rFonts w:ascii="Arial" w:eastAsia="Times New Roman" w:hAnsi="Arial" w:cs="Arial"/>
      <w:szCs w:val="24"/>
      <w:lang w:val="en-GB" w:eastAsia="en-GB"/>
    </w:rPr>
  </w:style>
  <w:style w:type="paragraph" w:customStyle="1" w:styleId="MottHeading1">
    <w:name w:val="Mott Heading 1"/>
    <w:basedOn w:val="Heading1"/>
    <w:qFormat/>
    <w:rsid w:val="00A5733A"/>
    <w:pPr>
      <w:keepLines w:val="0"/>
      <w:pageBreakBefore w:val="0"/>
      <w:widowControl w:val="0"/>
      <w:numPr>
        <w:numId w:val="30"/>
      </w:numPr>
      <w:suppressAutoHyphens w:val="0"/>
      <w:spacing w:after="120" w:line="240" w:lineRule="auto"/>
      <w:contextualSpacing w:val="0"/>
    </w:pPr>
    <w:rPr>
      <w:rFonts w:ascii="Arial" w:eastAsia="Times New Roman" w:hAnsi="Arial" w:cs="Arial"/>
      <w:bCs w:val="0"/>
      <w:caps w:val="0"/>
      <w:color w:val="80A1B6"/>
      <w:sz w:val="36"/>
      <w:szCs w:val="24"/>
      <w:lang w:eastAsia="en-GB"/>
    </w:rPr>
  </w:style>
  <w:style w:type="paragraph" w:customStyle="1" w:styleId="MottHeading2">
    <w:name w:val="Mott Heading 2"/>
    <w:basedOn w:val="Heading2"/>
    <w:qFormat/>
    <w:rsid w:val="00A5733A"/>
    <w:pPr>
      <w:keepLines w:val="0"/>
      <w:numPr>
        <w:ilvl w:val="1"/>
        <w:numId w:val="30"/>
      </w:numPr>
      <w:suppressAutoHyphens w:val="0"/>
      <w:spacing w:before="260" w:after="160" w:line="260" w:lineRule="exact"/>
      <w:contextualSpacing w:val="0"/>
    </w:pPr>
    <w:rPr>
      <w:rFonts w:ascii="Arial" w:eastAsia="Times New Roman" w:hAnsi="Arial" w:cs="Arial"/>
      <w:caps w:val="0"/>
      <w:color w:val="0079C1"/>
      <w:sz w:val="26"/>
      <w:lang w:eastAsia="en-GB"/>
    </w:rPr>
  </w:style>
  <w:style w:type="paragraph" w:customStyle="1" w:styleId="MottHeading3">
    <w:name w:val="Mott Heading 3"/>
    <w:basedOn w:val="Heading3"/>
    <w:qFormat/>
    <w:rsid w:val="00A5733A"/>
    <w:pPr>
      <w:keepLines w:val="0"/>
      <w:numPr>
        <w:ilvl w:val="2"/>
        <w:numId w:val="30"/>
      </w:numPr>
      <w:suppressAutoHyphens w:val="0"/>
      <w:spacing w:before="260" w:after="160" w:line="260" w:lineRule="exact"/>
      <w:contextualSpacing w:val="0"/>
    </w:pPr>
    <w:rPr>
      <w:rFonts w:ascii="Arial" w:eastAsia="Times New Roman" w:hAnsi="Arial" w:cs="Arial"/>
      <w:b/>
      <w:bCs w:val="0"/>
      <w:color w:val="auto"/>
      <w:sz w:val="22"/>
      <w:szCs w:val="20"/>
      <w:lang w:eastAsia="en-GB"/>
    </w:rPr>
  </w:style>
  <w:style w:type="paragraph" w:customStyle="1" w:styleId="MottHeading4">
    <w:name w:val="Mott Heading 4"/>
    <w:basedOn w:val="Heading4"/>
    <w:qFormat/>
    <w:rsid w:val="00A5733A"/>
    <w:pPr>
      <w:keepLines w:val="0"/>
      <w:numPr>
        <w:ilvl w:val="3"/>
        <w:numId w:val="30"/>
      </w:numPr>
      <w:suppressAutoHyphens w:val="0"/>
      <w:spacing w:before="260" w:after="160" w:line="240" w:lineRule="auto"/>
      <w:contextualSpacing w:val="0"/>
    </w:pPr>
    <w:rPr>
      <w:rFonts w:ascii="Arial" w:eastAsia="Times New Roman" w:hAnsi="Arial" w:cs="Arial"/>
      <w:bCs w:val="0"/>
      <w:iCs w:val="0"/>
      <w:color w:val="0079C1"/>
      <w:sz w:val="22"/>
      <w:szCs w:val="24"/>
      <w:lang w:eastAsia="en-GB"/>
    </w:rPr>
  </w:style>
  <w:style w:type="paragraph" w:customStyle="1" w:styleId="MottBodyText">
    <w:name w:val="Mott Body Text"/>
    <w:basedOn w:val="Normal"/>
    <w:link w:val="MottBodyTextChar"/>
    <w:qFormat/>
    <w:rsid w:val="00A5733A"/>
    <w:pPr>
      <w:suppressAutoHyphens w:val="0"/>
      <w:spacing w:before="0" w:after="120" w:line="276" w:lineRule="auto"/>
    </w:pPr>
    <w:rPr>
      <w:rFonts w:ascii="Arial" w:eastAsia="Times New Roman" w:hAnsi="Arial" w:cs="Arial"/>
      <w:color w:val="auto"/>
      <w:szCs w:val="24"/>
      <w:lang w:eastAsia="en-GB"/>
    </w:rPr>
  </w:style>
  <w:style w:type="character" w:customStyle="1" w:styleId="MottBodyTextChar">
    <w:name w:val="Mott Body Text Char"/>
    <w:basedOn w:val="DefaultParagraphFont"/>
    <w:link w:val="MottBodyText"/>
    <w:rsid w:val="00A5733A"/>
    <w:rPr>
      <w:rFonts w:ascii="Arial" w:eastAsia="Times New Roman" w:hAnsi="Arial" w:cs="Arial"/>
      <w:szCs w:val="24"/>
      <w:lang w:val="en-GB" w:eastAsia="en-GB"/>
    </w:rPr>
  </w:style>
  <w:style w:type="paragraph" w:customStyle="1" w:styleId="CommentText1">
    <w:name w:val="Comment Text1"/>
    <w:basedOn w:val="Normal"/>
    <w:next w:val="CommentText"/>
    <w:unhideWhenUsed/>
    <w:rsid w:val="00A36A1C"/>
    <w:pPr>
      <w:spacing w:line="240" w:lineRule="auto"/>
    </w:pPr>
    <w:rPr>
      <w:rFonts w:ascii="Times New Roman" w:eastAsia="Times New Roman" w:hAnsi="Times New Roman" w:cs="Times New Roman"/>
      <w:color w:val="495965"/>
      <w:sz w:val="20"/>
      <w:szCs w:val="20"/>
      <w:lang w:eastAsia="en-AU"/>
    </w:rPr>
  </w:style>
  <w:style w:type="character" w:customStyle="1" w:styleId="CommentTextChar1">
    <w:name w:val="Comment Text Char1"/>
    <w:basedOn w:val="DefaultParagraphFont"/>
    <w:rsid w:val="00A36A1C"/>
    <w:rPr>
      <w:rFonts w:asciiTheme="minorHAnsi" w:eastAsiaTheme="minorHAnsi" w:hAnsiTheme="minorHAnsi" w:cstheme="minorBidi"/>
      <w:color w:val="495965" w:themeColor="text2"/>
      <w:lang w:val="en-GB" w:eastAsia="en-US"/>
    </w:rPr>
  </w:style>
  <w:style w:type="character" w:customStyle="1" w:styleId="Hyperlink1">
    <w:name w:val="Hyperlink1"/>
    <w:basedOn w:val="DefaultParagraphFont"/>
    <w:uiPriority w:val="99"/>
    <w:rsid w:val="00A36A1C"/>
    <w:rPr>
      <w:rFonts w:ascii="Calibri Light" w:hAnsi="Calibri Light" w:cs="MuseoSans-500"/>
      <w:color w:val="auto"/>
      <w:u w:val="single" w:color="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6648">
      <w:bodyDiv w:val="1"/>
      <w:marLeft w:val="0"/>
      <w:marRight w:val="0"/>
      <w:marTop w:val="0"/>
      <w:marBottom w:val="0"/>
      <w:divBdr>
        <w:top w:val="none" w:sz="0" w:space="0" w:color="auto"/>
        <w:left w:val="none" w:sz="0" w:space="0" w:color="auto"/>
        <w:bottom w:val="none" w:sz="0" w:space="0" w:color="auto"/>
        <w:right w:val="none" w:sz="0" w:space="0" w:color="auto"/>
      </w:divBdr>
    </w:div>
    <w:div w:id="155925855">
      <w:bodyDiv w:val="1"/>
      <w:marLeft w:val="0"/>
      <w:marRight w:val="0"/>
      <w:marTop w:val="0"/>
      <w:marBottom w:val="0"/>
      <w:divBdr>
        <w:top w:val="none" w:sz="0" w:space="0" w:color="auto"/>
        <w:left w:val="none" w:sz="0" w:space="0" w:color="auto"/>
        <w:bottom w:val="none" w:sz="0" w:space="0" w:color="auto"/>
        <w:right w:val="none" w:sz="0" w:space="0" w:color="auto"/>
      </w:divBdr>
    </w:div>
    <w:div w:id="342509831">
      <w:bodyDiv w:val="1"/>
      <w:marLeft w:val="0"/>
      <w:marRight w:val="0"/>
      <w:marTop w:val="0"/>
      <w:marBottom w:val="0"/>
      <w:divBdr>
        <w:top w:val="none" w:sz="0" w:space="0" w:color="auto"/>
        <w:left w:val="none" w:sz="0" w:space="0" w:color="auto"/>
        <w:bottom w:val="none" w:sz="0" w:space="0" w:color="auto"/>
        <w:right w:val="none" w:sz="0" w:space="0" w:color="auto"/>
      </w:divBdr>
    </w:div>
    <w:div w:id="464355289">
      <w:bodyDiv w:val="1"/>
      <w:marLeft w:val="0"/>
      <w:marRight w:val="0"/>
      <w:marTop w:val="0"/>
      <w:marBottom w:val="0"/>
      <w:divBdr>
        <w:top w:val="none" w:sz="0" w:space="0" w:color="auto"/>
        <w:left w:val="none" w:sz="0" w:space="0" w:color="auto"/>
        <w:bottom w:val="none" w:sz="0" w:space="0" w:color="auto"/>
        <w:right w:val="none" w:sz="0" w:space="0" w:color="auto"/>
      </w:divBdr>
    </w:div>
    <w:div w:id="799036077">
      <w:bodyDiv w:val="1"/>
      <w:marLeft w:val="0"/>
      <w:marRight w:val="0"/>
      <w:marTop w:val="0"/>
      <w:marBottom w:val="0"/>
      <w:divBdr>
        <w:top w:val="none" w:sz="0" w:space="0" w:color="auto"/>
        <w:left w:val="none" w:sz="0" w:space="0" w:color="auto"/>
        <w:bottom w:val="none" w:sz="0" w:space="0" w:color="auto"/>
        <w:right w:val="none" w:sz="0" w:space="0" w:color="auto"/>
      </w:divBdr>
    </w:div>
    <w:div w:id="854661169">
      <w:bodyDiv w:val="1"/>
      <w:marLeft w:val="0"/>
      <w:marRight w:val="0"/>
      <w:marTop w:val="0"/>
      <w:marBottom w:val="0"/>
      <w:divBdr>
        <w:top w:val="none" w:sz="0" w:space="0" w:color="auto"/>
        <w:left w:val="none" w:sz="0" w:space="0" w:color="auto"/>
        <w:bottom w:val="none" w:sz="0" w:space="0" w:color="auto"/>
        <w:right w:val="none" w:sz="0" w:space="0" w:color="auto"/>
      </w:divBdr>
    </w:div>
    <w:div w:id="1079524135">
      <w:bodyDiv w:val="1"/>
      <w:marLeft w:val="0"/>
      <w:marRight w:val="0"/>
      <w:marTop w:val="0"/>
      <w:marBottom w:val="0"/>
      <w:divBdr>
        <w:top w:val="none" w:sz="0" w:space="0" w:color="auto"/>
        <w:left w:val="none" w:sz="0" w:space="0" w:color="auto"/>
        <w:bottom w:val="none" w:sz="0" w:space="0" w:color="auto"/>
        <w:right w:val="none" w:sz="0" w:space="0" w:color="auto"/>
      </w:divBdr>
    </w:div>
    <w:div w:id="1158227731">
      <w:bodyDiv w:val="1"/>
      <w:marLeft w:val="0"/>
      <w:marRight w:val="0"/>
      <w:marTop w:val="0"/>
      <w:marBottom w:val="0"/>
      <w:divBdr>
        <w:top w:val="none" w:sz="0" w:space="0" w:color="auto"/>
        <w:left w:val="none" w:sz="0" w:space="0" w:color="auto"/>
        <w:bottom w:val="none" w:sz="0" w:space="0" w:color="auto"/>
        <w:right w:val="none" w:sz="0" w:space="0" w:color="auto"/>
      </w:divBdr>
    </w:div>
    <w:div w:id="1531533044">
      <w:bodyDiv w:val="1"/>
      <w:marLeft w:val="0"/>
      <w:marRight w:val="0"/>
      <w:marTop w:val="0"/>
      <w:marBottom w:val="0"/>
      <w:divBdr>
        <w:top w:val="none" w:sz="0" w:space="0" w:color="auto"/>
        <w:left w:val="none" w:sz="0" w:space="0" w:color="auto"/>
        <w:bottom w:val="none" w:sz="0" w:space="0" w:color="auto"/>
        <w:right w:val="none" w:sz="0" w:space="0" w:color="auto"/>
      </w:divBdr>
    </w:div>
    <w:div w:id="1578856233">
      <w:bodyDiv w:val="1"/>
      <w:marLeft w:val="0"/>
      <w:marRight w:val="0"/>
      <w:marTop w:val="0"/>
      <w:marBottom w:val="0"/>
      <w:divBdr>
        <w:top w:val="none" w:sz="0" w:space="0" w:color="auto"/>
        <w:left w:val="none" w:sz="0" w:space="0" w:color="auto"/>
        <w:bottom w:val="none" w:sz="0" w:space="0" w:color="auto"/>
        <w:right w:val="none" w:sz="0" w:space="0" w:color="auto"/>
      </w:divBdr>
    </w:div>
    <w:div w:id="1837958835">
      <w:bodyDiv w:val="1"/>
      <w:marLeft w:val="0"/>
      <w:marRight w:val="0"/>
      <w:marTop w:val="0"/>
      <w:marBottom w:val="0"/>
      <w:divBdr>
        <w:top w:val="none" w:sz="0" w:space="0" w:color="auto"/>
        <w:left w:val="none" w:sz="0" w:space="0" w:color="auto"/>
        <w:bottom w:val="none" w:sz="0" w:space="0" w:color="auto"/>
        <w:right w:val="none" w:sz="0" w:space="0" w:color="auto"/>
      </w:divBdr>
    </w:div>
    <w:div w:id="1839494205">
      <w:bodyDiv w:val="1"/>
      <w:marLeft w:val="0"/>
      <w:marRight w:val="0"/>
      <w:marTop w:val="0"/>
      <w:marBottom w:val="0"/>
      <w:divBdr>
        <w:top w:val="none" w:sz="0" w:space="0" w:color="auto"/>
        <w:left w:val="none" w:sz="0" w:space="0" w:color="auto"/>
        <w:bottom w:val="none" w:sz="0" w:space="0" w:color="auto"/>
        <w:right w:val="none" w:sz="0" w:space="0" w:color="auto"/>
      </w:divBdr>
    </w:div>
    <w:div w:id="1869029540">
      <w:bodyDiv w:val="1"/>
      <w:marLeft w:val="0"/>
      <w:marRight w:val="0"/>
      <w:marTop w:val="0"/>
      <w:marBottom w:val="0"/>
      <w:divBdr>
        <w:top w:val="none" w:sz="0" w:space="0" w:color="auto"/>
        <w:left w:val="none" w:sz="0" w:space="0" w:color="auto"/>
        <w:bottom w:val="none" w:sz="0" w:space="0" w:color="auto"/>
        <w:right w:val="none" w:sz="0" w:space="0" w:color="auto"/>
      </w:divBdr>
    </w:div>
    <w:div w:id="2041785175">
      <w:bodyDiv w:val="1"/>
      <w:marLeft w:val="0"/>
      <w:marRight w:val="0"/>
      <w:marTop w:val="0"/>
      <w:marBottom w:val="0"/>
      <w:divBdr>
        <w:top w:val="none" w:sz="0" w:space="0" w:color="auto"/>
        <w:left w:val="none" w:sz="0" w:space="0" w:color="auto"/>
        <w:bottom w:val="none" w:sz="0" w:space="0" w:color="auto"/>
        <w:right w:val="none" w:sz="0" w:space="0" w:color="auto"/>
      </w:divBdr>
    </w:div>
    <w:div w:id="213498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abc.net.au/news/2016-06-29/pilot-program-to-empower-young-fijian-women-with/7552476" TargetMode="External"/><Relationship Id="rId2" Type="http://schemas.openxmlformats.org/officeDocument/2006/relationships/hyperlink" Target="http://www.gfdrr.org" TargetMode="External"/><Relationship Id="rId1" Type="http://schemas.openxmlformats.org/officeDocument/2006/relationships/hyperlink" Target="http://www.asia-pacific.undp.org/content/.../mdg/RBAP-RMDG-Report-2014-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Corporate">
      <a:dk1>
        <a:sysClr val="windowText" lastClr="000000"/>
      </a:dk1>
      <a:lt1>
        <a:sysClr val="window" lastClr="FFFFFF"/>
      </a:lt1>
      <a:dk2>
        <a:srgbClr val="495965"/>
      </a:dk2>
      <a:lt2>
        <a:srgbClr val="D8DCDB"/>
      </a:lt2>
      <a:accent1>
        <a:srgbClr val="65C5B4"/>
      </a:accent1>
      <a:accent2>
        <a:srgbClr val="D3875F"/>
      </a:accent2>
      <a:accent3>
        <a:srgbClr val="ACD08C"/>
      </a:accent3>
      <a:accent4>
        <a:srgbClr val="007C89"/>
      </a:accent4>
      <a:accent5>
        <a:srgbClr val="C15A2D"/>
      </a:accent5>
      <a:accent6>
        <a:srgbClr val="409F68"/>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37354-BB10-44A7-A8C0-ED4F129BF16C}"/>
</file>

<file path=customXml/itemProps2.xml><?xml version="1.0" encoding="utf-8"?>
<ds:datastoreItem xmlns:ds="http://schemas.openxmlformats.org/officeDocument/2006/customXml" ds:itemID="{83903534-CB7B-42E9-9421-CD0FBA14D0F3}"/>
</file>

<file path=customXml/itemProps3.xml><?xml version="1.0" encoding="utf-8"?>
<ds:datastoreItem xmlns:ds="http://schemas.openxmlformats.org/officeDocument/2006/customXml" ds:itemID="{B5324B23-6D71-406F-A73C-7EDB03BDA828}"/>
</file>

<file path=customXml/itemProps4.xml><?xml version="1.0" encoding="utf-8"?>
<ds:datastoreItem xmlns:ds="http://schemas.openxmlformats.org/officeDocument/2006/customXml" ds:itemID="{1D4A6B52-A385-4825-8DBB-73D6D876EDD8}"/>
</file>

<file path=docProps/app.xml><?xml version="1.0" encoding="utf-8"?>
<Properties xmlns="http://schemas.openxmlformats.org/officeDocument/2006/extended-properties" xmlns:vt="http://schemas.openxmlformats.org/officeDocument/2006/docPropsVTypes">
  <Template>Normal.dotm</Template>
  <TotalTime>0</TotalTime>
  <Pages>22</Pages>
  <Words>11536</Words>
  <Characters>65756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2017-02-13T23:40:00Z</dcterms:created>
  <dcterms:modified xsi:type="dcterms:W3CDTF">2017-02-13T23:51:00Z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53e3648f-b5f0-4332-bc11-25d0891e939d</vt:lpwstr>
  </property>
  <property fmtid="{D5CDD505-2E9C-101B-9397-08002B2CF9AE}" pid="3" name="ContentTypeId">
    <vt:lpwstr>0x01010050F19AC2165D2E47A5E6B7F563E4CF00</vt:lpwstr>
  </property>
  <property fmtid="{D5CDD505-2E9C-101B-9397-08002B2CF9AE}" pid="4" name="Order">
    <vt:r8>1054000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hptrimdataset">
    <vt:lpwstr>CH</vt:lpwstr>
  </property>
  <property fmtid="{D5CDD505-2E9C-101B-9397-08002B2CF9AE}" pid="11" name="hptrimfileref">
    <vt:lpwstr>14/4452#22</vt:lpwstr>
  </property>
  <property fmtid="{D5CDD505-2E9C-101B-9397-08002B2CF9AE}" pid="12" name="hptrimrecordref">
    <vt:lpwstr/>
  </property>
  <property fmtid="{D5CDD505-2E9C-101B-9397-08002B2CF9AE}" pid="13" name="SEC">
    <vt:lpwstr>UNCLASSIFIED</vt:lpwstr>
  </property>
  <property fmtid="{D5CDD505-2E9C-101B-9397-08002B2CF9AE}" pid="14" name="DLM">
    <vt:lpwstr>No DLM</vt:lpwstr>
  </property>
</Properties>
</file>