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56BEBDE8" wp14:editId="6E8852CE">
            <wp:simplePos x="0" y="0"/>
            <wp:positionH relativeFrom="page">
              <wp:posOffset>-200025</wp:posOffset>
            </wp:positionH>
            <wp:positionV relativeFrom="page">
              <wp:posOffset>-209550</wp:posOffset>
            </wp:positionV>
            <wp:extent cx="7943850" cy="11236325"/>
            <wp:effectExtent l="0" t="0" r="0" b="3175"/>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43850" cy="11236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Default="00145808"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Fiji</w:t>
      </w:r>
    </w:p>
    <w:p w:rsidR="00CE1DFB" w:rsidRPr="00CE1DFB" w:rsidRDefault="00CE1DFB"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lang w:val="en-US" w:eastAsia="en-US"/>
        </w:rPr>
        <w:tab/>
      </w:r>
      <w:r>
        <w:rPr>
          <w:lang w:val="en-US" w:eastAsia="en-US"/>
        </w:rPr>
        <w:tab/>
      </w:r>
      <w:r>
        <w:rPr>
          <w:lang w:val="en-US" w:eastAsia="en-US"/>
        </w:rPr>
        <w:tab/>
      </w:r>
    </w:p>
    <w:p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0D733F" w:rsidRPr="00B43B60" w:rsidRDefault="000D733F" w:rsidP="002660AA">
      <w:pPr>
        <w:pStyle w:val="Heading2"/>
        <w:rPr>
          <w:rStyle w:val="BodyTextChar"/>
          <w:color w:val="auto"/>
        </w:rPr>
      </w:pPr>
      <w:bookmarkStart w:id="1" w:name="_Toc373853205"/>
      <w:r w:rsidRPr="002660AA">
        <w:rPr>
          <w:sz w:val="28"/>
        </w:rPr>
        <w:lastRenderedPageBreak/>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rsidR="00190321" w:rsidRDefault="00190321" w:rsidP="00190321">
      <w:pPr>
        <w:pStyle w:val="ListBullet"/>
        <w:numPr>
          <w:ilvl w:val="0"/>
          <w:numId w:val="0"/>
        </w:numPr>
        <w:tabs>
          <w:tab w:val="clear" w:pos="284"/>
        </w:tabs>
      </w:pPr>
      <w:r w:rsidRPr="008B1372">
        <w:t>This Aid Program Performance Report (APPR) summarises the Australian aid program’s progress in Fiji from July 2014 to June 2015.</w:t>
      </w:r>
      <w:r w:rsidR="003905DE" w:rsidRPr="00AC14C9">
        <w:t xml:space="preserve"> Australia’s total overseas development assistance to Fiji in 2014-15 was $</w:t>
      </w:r>
      <w:r w:rsidR="00D81690" w:rsidRPr="00E074C5">
        <w:t>62</w:t>
      </w:r>
      <w:r w:rsidR="00FA72B8" w:rsidRPr="008B1372">
        <w:t>.8</w:t>
      </w:r>
      <w:r w:rsidR="003905DE" w:rsidRPr="008B1372">
        <w:t xml:space="preserve"> million including $32.9 million in bilateral aid and $</w:t>
      </w:r>
      <w:r w:rsidR="00FA72B8" w:rsidRPr="008B1372">
        <w:t>2</w:t>
      </w:r>
      <w:r w:rsidR="00D81690" w:rsidRPr="00E074C5">
        <w:t>9</w:t>
      </w:r>
      <w:r w:rsidR="00FA72B8" w:rsidRPr="008B1372">
        <w:t>.9</w:t>
      </w:r>
      <w:r w:rsidR="003905DE" w:rsidRPr="008B1372">
        <w:t xml:space="preserve"> million delivered through regional and global programs.</w:t>
      </w:r>
      <w:r w:rsidR="0094589A">
        <w:t xml:space="preserve"> Fiji receives significant support through Pacific regional programs. This report focuses on bilateral development assistance to Fiji.</w:t>
      </w:r>
    </w:p>
    <w:p w:rsidR="00E24A2D" w:rsidRDefault="00E24A2D" w:rsidP="00190321">
      <w:pPr>
        <w:pStyle w:val="ListBullet"/>
        <w:numPr>
          <w:ilvl w:val="0"/>
          <w:numId w:val="0"/>
        </w:numPr>
        <w:tabs>
          <w:tab w:val="clear" w:pos="284"/>
        </w:tabs>
      </w:pPr>
      <w:r>
        <w:t>Australia’s aid program to Fiji recorded some strong achievements in 2014-15 including:</w:t>
      </w:r>
    </w:p>
    <w:p w:rsidR="00E24A2D" w:rsidRDefault="001F02DF" w:rsidP="00E074C5">
      <w:pPr>
        <w:pStyle w:val="ListBullet"/>
        <w:numPr>
          <w:ilvl w:val="0"/>
          <w:numId w:val="50"/>
        </w:numPr>
        <w:tabs>
          <w:tab w:val="clear" w:pos="284"/>
        </w:tabs>
        <w:spacing w:line="240" w:lineRule="auto"/>
        <w:ind w:left="567"/>
      </w:pPr>
      <w:r>
        <w:t>Support</w:t>
      </w:r>
      <w:r w:rsidR="00E24A2D">
        <w:t xml:space="preserve"> to Fiji to conduct its first nat</w:t>
      </w:r>
      <w:r>
        <w:t xml:space="preserve">ional elections in eight years including </w:t>
      </w:r>
      <w:r w:rsidR="00E24A2D">
        <w:t>technical assistance, assist</w:t>
      </w:r>
      <w:r>
        <w:t>ance</w:t>
      </w:r>
      <w:r w:rsidR="00E24A2D">
        <w:t xml:space="preserve"> in the electronic voter registration process and co-le</w:t>
      </w:r>
      <w:r>
        <w:t>a</w:t>
      </w:r>
      <w:r w:rsidR="00E24A2D">
        <w:t>d</w:t>
      </w:r>
      <w:r>
        <w:t>ing</w:t>
      </w:r>
      <w:r w:rsidR="00E24A2D">
        <w:t xml:space="preserve"> the Multinational Observer Group along with India and Indonesia.</w:t>
      </w:r>
    </w:p>
    <w:p w:rsidR="00127C8B" w:rsidRDefault="00127C8B" w:rsidP="00E074C5">
      <w:pPr>
        <w:pStyle w:val="ListBullet"/>
        <w:numPr>
          <w:ilvl w:val="0"/>
          <w:numId w:val="50"/>
        </w:numPr>
        <w:tabs>
          <w:tab w:val="clear" w:pos="284"/>
        </w:tabs>
        <w:spacing w:line="240" w:lineRule="auto"/>
        <w:ind w:left="567"/>
      </w:pPr>
      <w:r>
        <w:rPr>
          <w:lang w:eastAsia="zh-CN"/>
        </w:rPr>
        <w:t>Support for the Ministry of Health to develop a fully-costed 10-year workforce plan</w:t>
      </w:r>
      <w:r w:rsidR="006D3574">
        <w:rPr>
          <w:lang w:eastAsia="zh-CN"/>
        </w:rPr>
        <w:t>, which</w:t>
      </w:r>
      <w:r>
        <w:rPr>
          <w:lang w:eastAsia="zh-CN"/>
        </w:rPr>
        <w:t xml:space="preserve"> resulted in 350 new doctors’ and nurses’ positions being funded in Fiji’s 2015 National budget. </w:t>
      </w:r>
    </w:p>
    <w:p w:rsidR="00374B60" w:rsidRDefault="00DF4D2E" w:rsidP="00450887">
      <w:pPr>
        <w:pStyle w:val="ListBullet"/>
        <w:numPr>
          <w:ilvl w:val="0"/>
          <w:numId w:val="50"/>
        </w:numPr>
        <w:tabs>
          <w:tab w:val="clear" w:pos="284"/>
        </w:tabs>
        <w:spacing w:line="240" w:lineRule="auto"/>
        <w:ind w:left="567"/>
      </w:pPr>
      <w:r>
        <w:t xml:space="preserve">Development of </w:t>
      </w:r>
      <w:r w:rsidR="00F57701">
        <w:t>a policy on minimum infrastructure standards for all schools</w:t>
      </w:r>
      <w:r w:rsidR="006D3574">
        <w:t xml:space="preserve"> and </w:t>
      </w:r>
      <w:r>
        <w:t xml:space="preserve">training of </w:t>
      </w:r>
      <w:r w:rsidR="006D3574">
        <w:t>over 1000 school officials in financial management</w:t>
      </w:r>
      <w:r w:rsidR="00F57701">
        <w:t xml:space="preserve">. </w:t>
      </w:r>
      <w:r>
        <w:t xml:space="preserve">Leveraging of </w:t>
      </w:r>
      <w:r w:rsidR="00E24A2D" w:rsidRPr="00C74FA0">
        <w:t>over $2 million in private sector investment, generating $840,000 in new business activity</w:t>
      </w:r>
      <w:r w:rsidR="006D3574">
        <w:t xml:space="preserve"> and increasing the incomes of 1016 poor men and women</w:t>
      </w:r>
      <w:r w:rsidR="00E24A2D" w:rsidRPr="00C74FA0">
        <w:t xml:space="preserve">.  </w:t>
      </w:r>
    </w:p>
    <w:p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134238" w:rsidRDefault="009B5096" w:rsidP="00134238">
      <w:pPr>
        <w:pStyle w:val="ListBullet"/>
        <w:numPr>
          <w:ilvl w:val="0"/>
          <w:numId w:val="0"/>
        </w:numPr>
      </w:pPr>
      <w:r w:rsidRPr="009B5096">
        <w:t>2014 marked an important milestone for the people of Fiji</w:t>
      </w:r>
      <w:r>
        <w:t xml:space="preserve">, </w:t>
      </w:r>
      <w:r w:rsidRPr="009B5096">
        <w:t xml:space="preserve">democratically electing </w:t>
      </w:r>
      <w:r w:rsidR="00C26031">
        <w:t>their</w:t>
      </w:r>
      <w:r w:rsidRPr="009B5096">
        <w:t xml:space="preserve"> first government since the 2006 coup. </w:t>
      </w:r>
      <w:r w:rsidR="00C26031">
        <w:t>T</w:t>
      </w:r>
      <w:r w:rsidR="00134238">
        <w:t>he</w:t>
      </w:r>
      <w:r w:rsidR="00C26031">
        <w:t xml:space="preserve"> new</w:t>
      </w:r>
      <w:r w:rsidR="00134238">
        <w:t xml:space="preserve"> </w:t>
      </w:r>
      <w:r w:rsidR="00134238" w:rsidRPr="00134238">
        <w:t>Fijian Government has already invested in major social initiatives such as free medicines for low income families, road i</w:t>
      </w:r>
      <w:r w:rsidR="003905DE">
        <w:t xml:space="preserve">nfrastructure upgrades and </w:t>
      </w:r>
      <w:r w:rsidR="00134238" w:rsidRPr="00134238">
        <w:t>electricity and water subsidies for the poor.</w:t>
      </w:r>
      <w:r w:rsidR="00EB0527">
        <w:t xml:space="preserve"> Fiji’s economy grew by an impressive 5.3 per cent in 2014</w:t>
      </w:r>
      <w:r w:rsidR="00EB0527">
        <w:rPr>
          <w:rStyle w:val="FootnoteReference"/>
        </w:rPr>
        <w:footnoteReference w:id="1"/>
      </w:r>
      <w:r w:rsidR="00EB0527">
        <w:t>.</w:t>
      </w:r>
      <w:r w:rsidR="00134238" w:rsidRPr="00134238">
        <w:t xml:space="preserve">  </w:t>
      </w:r>
      <w:r w:rsidR="00134238">
        <w:t xml:space="preserve"> </w:t>
      </w:r>
    </w:p>
    <w:p w:rsidR="00134238" w:rsidRDefault="00134238" w:rsidP="00134238">
      <w:pPr>
        <w:pStyle w:val="ListBullet"/>
        <w:numPr>
          <w:ilvl w:val="0"/>
          <w:numId w:val="0"/>
        </w:numPr>
      </w:pPr>
      <w:r w:rsidRPr="00134238">
        <w:t xml:space="preserve">Fiji is on track to achieve Millennium Development Goals numbers </w:t>
      </w:r>
      <w:r w:rsidRPr="00206D32">
        <w:t>2</w:t>
      </w:r>
      <w:r w:rsidR="00816ADE">
        <w:t>, 4, 5</w:t>
      </w:r>
      <w:r w:rsidRPr="00206D32">
        <w:t xml:space="preserve"> and 7</w:t>
      </w:r>
      <w:r w:rsidR="00206D32">
        <w:rPr>
          <w:rStyle w:val="FootnoteReference"/>
        </w:rPr>
        <w:footnoteReference w:id="2"/>
      </w:r>
      <w:r w:rsidRPr="00134238">
        <w:t xml:space="preserve"> (education</w:t>
      </w:r>
      <w:r w:rsidR="0091704A">
        <w:t>, reduction in child and maternal mortality</w:t>
      </w:r>
      <w:r w:rsidRPr="00134238">
        <w:t xml:space="preserve"> an</w:t>
      </w:r>
      <w:r w:rsidR="00C26031">
        <w:t xml:space="preserve">d environmental sustainability). </w:t>
      </w:r>
      <w:r w:rsidR="000F2574">
        <w:t>Over 94 per cent</w:t>
      </w:r>
      <w:r w:rsidR="000F2574" w:rsidRPr="00134238">
        <w:t xml:space="preserve"> </w:t>
      </w:r>
      <w:r w:rsidR="009B6E76">
        <w:t xml:space="preserve">of </w:t>
      </w:r>
      <w:r w:rsidRPr="00134238">
        <w:t xml:space="preserve">school aged children are enrolled </w:t>
      </w:r>
      <w:r w:rsidR="00C26031">
        <w:t>in school</w:t>
      </w:r>
      <w:r w:rsidR="00197C9A">
        <w:t>,</w:t>
      </w:r>
      <w:r w:rsidR="00C26031">
        <w:t xml:space="preserve"> </w:t>
      </w:r>
      <w:r w:rsidRPr="00134238">
        <w:t xml:space="preserve">with equal numbers of girls and boys in primary and secondary education. Fiji has also increased access to safe water and sanitation, and </w:t>
      </w:r>
      <w:r w:rsidR="00DF4D2E">
        <w:t>developed a Green Growth Framework to integrate environmental sustainability into policy and planning</w:t>
      </w:r>
      <w:r w:rsidRPr="00134238">
        <w:t xml:space="preserve">.  </w:t>
      </w:r>
    </w:p>
    <w:p w:rsidR="00EB0527" w:rsidRDefault="00A02E6D" w:rsidP="009B4D97">
      <w:pPr>
        <w:pStyle w:val="BodyText"/>
      </w:pPr>
      <w:r>
        <w:t>Despite this progress, Fiji still faces challenges in addressing its development</w:t>
      </w:r>
      <w:r w:rsidRPr="00134238">
        <w:t xml:space="preserve"> objectives</w:t>
      </w:r>
      <w:r w:rsidR="009B4D97">
        <w:t>.</w:t>
      </w:r>
      <w:r w:rsidR="00EB0527">
        <w:t xml:space="preserve"> </w:t>
      </w:r>
      <w:r w:rsidR="00DF4D2E">
        <w:t>Sustained private sector led economic growth is needed to</w:t>
      </w:r>
      <w:r w:rsidR="00FE669B">
        <w:t xml:space="preserve"> create jobs and</w:t>
      </w:r>
      <w:r w:rsidR="00DF4D2E">
        <w:t xml:space="preserve"> enable continued government investment in social services. </w:t>
      </w:r>
      <w:r w:rsidR="00AC14C9" w:rsidRPr="00734166">
        <w:t xml:space="preserve">Remoteness from major markets, a high regulatory environment and poor transport and energy infrastructure, pose challenges to achieving sustainable </w:t>
      </w:r>
      <w:r w:rsidR="00AC14C9">
        <w:t xml:space="preserve">growth. </w:t>
      </w:r>
      <w:r w:rsidR="009B4D97" w:rsidRPr="00734166">
        <w:t>Limited economic opportunities contribute to</w:t>
      </w:r>
      <w:r w:rsidR="002F685F">
        <w:t xml:space="preserve"> high</w:t>
      </w:r>
      <w:r w:rsidR="009B4D97" w:rsidRPr="00734166">
        <w:t xml:space="preserve"> poverty levels, particularly i</w:t>
      </w:r>
      <w:r w:rsidR="003905DE">
        <w:t>n rural and remote communities</w:t>
      </w:r>
      <w:r w:rsidR="000F2574">
        <w:rPr>
          <w:rStyle w:val="FootnoteReference"/>
        </w:rPr>
        <w:footnoteReference w:id="3"/>
      </w:r>
      <w:r w:rsidR="003905DE">
        <w:t>. W</w:t>
      </w:r>
      <w:r w:rsidR="009B4D97" w:rsidRPr="00734166">
        <w:t xml:space="preserve">ith more than 15 per cent of the population now living in informal settlements, the strain on urban infrastructure and services is showing. </w:t>
      </w:r>
    </w:p>
    <w:p w:rsidR="009B4D97" w:rsidRPr="003905DE" w:rsidRDefault="009B4D97" w:rsidP="009B4D97">
      <w:pPr>
        <w:pStyle w:val="BodyText"/>
      </w:pPr>
      <w:r w:rsidRPr="00734166">
        <w:t xml:space="preserve">The quality of essential social services has </w:t>
      </w:r>
      <w:r w:rsidR="00EB0527">
        <w:t>been challenged by</w:t>
      </w:r>
      <w:r w:rsidRPr="00734166">
        <w:t xml:space="preserve"> the loss of skilled personnel </w:t>
      </w:r>
      <w:r w:rsidR="00FE669B">
        <w:t>resulting from migration and the</w:t>
      </w:r>
      <w:r w:rsidR="00F22100">
        <w:t xml:space="preserve"> mandatory retirement</w:t>
      </w:r>
      <w:r w:rsidR="00FE669B">
        <w:t xml:space="preserve"> age of</w:t>
      </w:r>
      <w:r w:rsidR="00F22100">
        <w:t xml:space="preserve"> 55 years</w:t>
      </w:r>
      <w:r w:rsidRPr="00734166">
        <w:t xml:space="preserve">. </w:t>
      </w:r>
      <w:r w:rsidR="00FE669B">
        <w:t>L</w:t>
      </w:r>
      <w:r w:rsidRPr="00734166">
        <w:t>ife expectancy</w:t>
      </w:r>
      <w:r w:rsidR="00137C16">
        <w:t xml:space="preserve"> rates</w:t>
      </w:r>
      <w:r w:rsidRPr="00734166">
        <w:t xml:space="preserve"> </w:t>
      </w:r>
      <w:r w:rsidRPr="00734166">
        <w:lastRenderedPageBreak/>
        <w:t>ha</w:t>
      </w:r>
      <w:r w:rsidR="00137C16">
        <w:t>ve</w:t>
      </w:r>
      <w:r w:rsidRPr="00734166">
        <w:t xml:space="preserve"> stagnated</w:t>
      </w:r>
      <w:r w:rsidR="00450887">
        <w:rPr>
          <w:rStyle w:val="FootnoteReference"/>
        </w:rPr>
        <w:footnoteReference w:id="4"/>
      </w:r>
      <w:r w:rsidR="00FE669B">
        <w:t xml:space="preserve"> and Fiji faces a major health challenge of non-communicable diseases like diabetes and hypertension causing the majority of deaths</w:t>
      </w:r>
      <w:r w:rsidRPr="00734166">
        <w:t>. Despite some recent progress in women’s political leadership, female participation i</w:t>
      </w:r>
      <w:r w:rsidRPr="00DA1517">
        <w:t>n</w:t>
      </w:r>
      <w:r w:rsidRPr="00734166">
        <w:t xml:space="preserve"> the labour force is about half that of men</w:t>
      </w:r>
      <w:r w:rsidRPr="00E9223D">
        <w:rPr>
          <w:rStyle w:val="FootnoteReference"/>
          <w:rFonts w:cs="Tahoma"/>
          <w:lang w:val="en-GB"/>
        </w:rPr>
        <w:footnoteReference w:id="5"/>
      </w:r>
      <w:r w:rsidR="00E9223D">
        <w:t>,</w:t>
      </w:r>
      <w:r w:rsidRPr="00734166">
        <w:t xml:space="preserve"> and rates of domestic violence remain high</w:t>
      </w:r>
      <w:r w:rsidRPr="00E9223D">
        <w:rPr>
          <w:rStyle w:val="FootnoteReference"/>
          <w:rFonts w:cs="Tahoma"/>
          <w:lang w:val="en-GB"/>
        </w:rPr>
        <w:footnoteReference w:id="6"/>
      </w:r>
      <w:r w:rsidR="003905DE">
        <w:t xml:space="preserve">. </w:t>
      </w:r>
      <w:r w:rsidR="00FE669B">
        <w:t>People living with disabilities have limited access to basic services including education and health care.</w:t>
      </w:r>
    </w:p>
    <w:p w:rsidR="00134238" w:rsidRDefault="00134238" w:rsidP="00134238">
      <w:pPr>
        <w:pStyle w:val="ListBullet"/>
        <w:numPr>
          <w:ilvl w:val="0"/>
          <w:numId w:val="0"/>
        </w:numPr>
      </w:pPr>
      <w:r>
        <w:t>Australia has long been Fiji’s largest bilateral</w:t>
      </w:r>
      <w:r w:rsidR="003E4198">
        <w:t xml:space="preserve"> grant</w:t>
      </w:r>
      <w:r>
        <w:t xml:space="preserve"> donor</w:t>
      </w:r>
      <w:r w:rsidR="009C36FE">
        <w:t>, contributing 45% of Fiji’s ODA in 2014.</w:t>
      </w:r>
      <w:r w:rsidR="009B6E76">
        <w:t xml:space="preserve"> </w:t>
      </w:r>
      <w:r w:rsidR="009C36FE">
        <w:t xml:space="preserve">ODA is, however, only a small percentage of government revenue and was </w:t>
      </w:r>
      <w:r w:rsidR="00830059">
        <w:t>the equivalent of</w:t>
      </w:r>
      <w:r w:rsidR="009B6E76">
        <w:t xml:space="preserve"> 2.7 per cent of Fijian government spending</w:t>
      </w:r>
      <w:r w:rsidR="009C36FE">
        <w:t xml:space="preserve"> in 2014</w:t>
      </w:r>
      <w:r w:rsidR="009B6E76">
        <w:t>.</w:t>
      </w:r>
      <w:r w:rsidR="00A47EEF">
        <w:t xml:space="preserve"> </w:t>
      </w:r>
      <w:r w:rsidR="009B6E76">
        <w:t xml:space="preserve">Australia </w:t>
      </w:r>
      <w:r w:rsidR="00A47EEF">
        <w:t>coordinates closely with other</w:t>
      </w:r>
      <w:r w:rsidR="009B6E76">
        <w:t xml:space="preserve"> donors in Fiji which include</w:t>
      </w:r>
      <w:r>
        <w:t xml:space="preserve"> </w:t>
      </w:r>
      <w:r w:rsidR="003D5FDC">
        <w:t>t</w:t>
      </w:r>
      <w:r>
        <w:t>he European Union, Japan</w:t>
      </w:r>
      <w:r w:rsidR="00847B71">
        <w:t xml:space="preserve"> and </w:t>
      </w:r>
      <w:r>
        <w:t>New Zealand</w:t>
      </w:r>
      <w:r w:rsidR="003D5FDC">
        <w:t>.</w:t>
      </w:r>
      <w:r w:rsidR="00B7196F">
        <w:t xml:space="preserve"> </w:t>
      </w:r>
      <w:r>
        <w:t>China</w:t>
      </w:r>
      <w:r w:rsidR="003E4198">
        <w:t xml:space="preserve"> and India</w:t>
      </w:r>
      <w:r>
        <w:t xml:space="preserve"> </w:t>
      </w:r>
      <w:r w:rsidR="003E4198">
        <w:t xml:space="preserve">have </w:t>
      </w:r>
      <w:r>
        <w:t xml:space="preserve">increased </w:t>
      </w:r>
      <w:r w:rsidR="003E4198">
        <w:t xml:space="preserve">their </w:t>
      </w:r>
      <w:r>
        <w:t>assistance to Fiji.</w:t>
      </w:r>
      <w:r w:rsidR="00847B71">
        <w:t xml:space="preserve"> The Asian Development Bank has committed to a</w:t>
      </w:r>
      <w:r w:rsidR="003D5FDC">
        <w:t xml:space="preserve"> USD 2</w:t>
      </w:r>
      <w:r w:rsidR="009C36FE">
        <w:t>5</w:t>
      </w:r>
      <w:r w:rsidR="003D5FDC">
        <w:t>0 million lending program mainly for transport infrastructure</w:t>
      </w:r>
      <w:r w:rsidR="00847B71">
        <w:t xml:space="preserve"> </w:t>
      </w:r>
      <w:r w:rsidR="009E3C43">
        <w:t>and the World Bank is preparing a country strategy for Fiji that will be the basis of new loans in 2016.</w:t>
      </w:r>
    </w:p>
    <w:p w:rsidR="005901D2" w:rsidRPr="00BD791C" w:rsidRDefault="000D733F" w:rsidP="00BD791C">
      <w:pPr>
        <w:pStyle w:val="Heading2"/>
        <w:rPr>
          <w:sz w:val="28"/>
        </w:rPr>
      </w:pPr>
      <w:r w:rsidRPr="009E38C1">
        <w:rPr>
          <w:sz w:val="28"/>
        </w:rPr>
        <w:t>Expenditure</w:t>
      </w:r>
      <w:bookmarkStart w:id="2" w:name="_Toc373853206"/>
    </w:p>
    <w:p w:rsidR="006B1091" w:rsidRPr="006B1091" w:rsidRDefault="005C231F" w:rsidP="00CB6B00">
      <w:pPr>
        <w:pStyle w:val="ListBullet"/>
        <w:numPr>
          <w:ilvl w:val="0"/>
          <w:numId w:val="0"/>
        </w:numPr>
        <w:tabs>
          <w:tab w:val="clear" w:pos="284"/>
        </w:tabs>
      </w:pPr>
      <w:r w:rsidRPr="008B1372">
        <w:t xml:space="preserve">In 2014-15, Australia delivered </w:t>
      </w:r>
      <w:r w:rsidR="006B1091" w:rsidRPr="00E074C5">
        <w:t>$</w:t>
      </w:r>
      <w:r w:rsidR="00D81690" w:rsidRPr="00E074C5">
        <w:t>62</w:t>
      </w:r>
      <w:r w:rsidR="00596D85" w:rsidRPr="00E074C5">
        <w:t>.8</w:t>
      </w:r>
      <w:r w:rsidR="006B1091" w:rsidRPr="00E074C5">
        <w:t xml:space="preserve"> </w:t>
      </w:r>
      <w:r w:rsidR="006B1091" w:rsidRPr="008B1372">
        <w:t xml:space="preserve">million in official development assistance, including </w:t>
      </w:r>
      <w:r w:rsidR="006B1091" w:rsidRPr="00E074C5">
        <w:t>$32.</w:t>
      </w:r>
      <w:r w:rsidR="0022402E" w:rsidRPr="00E074C5">
        <w:t>9</w:t>
      </w:r>
      <w:r w:rsidR="006B1091" w:rsidRPr="00E074C5">
        <w:t xml:space="preserve"> </w:t>
      </w:r>
      <w:r w:rsidR="006B1091" w:rsidRPr="008B1372">
        <w:t xml:space="preserve">million through </w:t>
      </w:r>
      <w:r w:rsidR="00056A4D" w:rsidRPr="008B1372">
        <w:t>th</w:t>
      </w:r>
      <w:r w:rsidR="00056A4D" w:rsidRPr="00AC14C9">
        <w:t xml:space="preserve">e Fiji bilateral aid program, and </w:t>
      </w:r>
      <w:r w:rsidR="006B1091" w:rsidRPr="00E074C5">
        <w:t>$</w:t>
      </w:r>
      <w:r w:rsidR="00596D85" w:rsidRPr="00E074C5">
        <w:t>2</w:t>
      </w:r>
      <w:r w:rsidR="00D81690" w:rsidRPr="00E074C5">
        <w:t>9</w:t>
      </w:r>
      <w:r w:rsidR="00596D85" w:rsidRPr="00E074C5">
        <w:t>.9</w:t>
      </w:r>
      <w:r w:rsidR="006B1091" w:rsidRPr="008B1372">
        <w:t xml:space="preserve"> million delivered through DFAT’s Pacific </w:t>
      </w:r>
      <w:r w:rsidRPr="00AC14C9">
        <w:t>r</w:t>
      </w:r>
      <w:r w:rsidR="006B1091" w:rsidRPr="00AC14C9">
        <w:t xml:space="preserve">egional </w:t>
      </w:r>
      <w:r w:rsidR="0022402E" w:rsidRPr="00AC14C9">
        <w:t xml:space="preserve">and global </w:t>
      </w:r>
      <w:r w:rsidR="006B1091" w:rsidRPr="00AC14C9">
        <w:t xml:space="preserve">programs. </w:t>
      </w:r>
    </w:p>
    <w:p w:rsidR="000D733F" w:rsidRDefault="000D733F" w:rsidP="00687B2F">
      <w:pPr>
        <w:pStyle w:val="Caption"/>
        <w:keepLines/>
      </w:pPr>
      <w:r w:rsidRPr="005901D2">
        <w:t xml:space="preserve">Table </w:t>
      </w:r>
      <w:fldSimple w:instr=" SEQ Table \* ARABIC ">
        <w:r w:rsidR="00B40EA5">
          <w:rPr>
            <w:noProof/>
          </w:rPr>
          <w:t>1</w:t>
        </w:r>
      </w:fldSimple>
      <w:r w:rsidRPr="005901D2">
        <w:t xml:space="preserve"> </w:t>
      </w:r>
      <w:r w:rsidR="00687B2F">
        <w:t>Total ODA Expenditure in FY 2014-15</w:t>
      </w:r>
    </w:p>
    <w:tbl>
      <w:tblPr>
        <w:tblStyle w:val="TableGrid"/>
        <w:tblW w:w="877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15"/>
        <w:gridCol w:w="1136"/>
        <w:gridCol w:w="1420"/>
      </w:tblGrid>
      <w:tr w:rsidR="00687B2F" w:rsidRPr="00687B2F" w:rsidTr="00E074C5">
        <w:trPr>
          <w:trHeight w:val="361"/>
        </w:trPr>
        <w:tc>
          <w:tcPr>
            <w:tcW w:w="6215" w:type="dxa"/>
          </w:tcPr>
          <w:p w:rsidR="00687B2F" w:rsidRPr="00687B2F" w:rsidRDefault="00687B2F" w:rsidP="00F57701">
            <w:pPr>
              <w:pStyle w:val="BodyText"/>
              <w:keepNext/>
              <w:spacing w:line="240" w:lineRule="auto"/>
              <w:rPr>
                <w:b/>
                <w:sz w:val="17"/>
                <w:szCs w:val="17"/>
              </w:rPr>
            </w:pPr>
            <w:r w:rsidRPr="00687B2F">
              <w:rPr>
                <w:b/>
                <w:sz w:val="17"/>
                <w:szCs w:val="17"/>
              </w:rPr>
              <w:t>Objective</w:t>
            </w:r>
          </w:p>
        </w:tc>
        <w:tc>
          <w:tcPr>
            <w:tcW w:w="1136" w:type="dxa"/>
          </w:tcPr>
          <w:p w:rsidR="00687B2F" w:rsidRPr="00687B2F" w:rsidRDefault="00687B2F" w:rsidP="008B1372">
            <w:pPr>
              <w:pStyle w:val="BodyText"/>
              <w:keepNext/>
              <w:spacing w:line="240" w:lineRule="auto"/>
              <w:rPr>
                <w:sz w:val="17"/>
                <w:szCs w:val="17"/>
              </w:rPr>
            </w:pPr>
            <w:r w:rsidRPr="00687B2F">
              <w:rPr>
                <w:b/>
                <w:sz w:val="17"/>
                <w:szCs w:val="17"/>
              </w:rPr>
              <w:t>A$ million</w:t>
            </w:r>
          </w:p>
        </w:tc>
        <w:tc>
          <w:tcPr>
            <w:tcW w:w="1420" w:type="dxa"/>
          </w:tcPr>
          <w:p w:rsidR="00687B2F" w:rsidRPr="00687B2F" w:rsidRDefault="00687B2F">
            <w:pPr>
              <w:pStyle w:val="BodyText"/>
              <w:keepNext/>
              <w:spacing w:line="240" w:lineRule="auto"/>
              <w:rPr>
                <w:sz w:val="17"/>
                <w:szCs w:val="17"/>
              </w:rPr>
            </w:pPr>
            <w:r w:rsidRPr="00687B2F">
              <w:rPr>
                <w:b/>
                <w:sz w:val="17"/>
                <w:szCs w:val="17"/>
              </w:rPr>
              <w:t>% of total ODA</w:t>
            </w:r>
          </w:p>
        </w:tc>
      </w:tr>
      <w:tr w:rsidR="00687B2F" w:rsidRPr="00687B2F" w:rsidTr="00E074C5">
        <w:trPr>
          <w:trHeight w:val="361"/>
        </w:trPr>
        <w:tc>
          <w:tcPr>
            <w:tcW w:w="6215" w:type="dxa"/>
            <w:tcBorders>
              <w:bottom w:val="nil"/>
            </w:tcBorders>
          </w:tcPr>
          <w:p w:rsidR="00687B2F" w:rsidRPr="00687B2F" w:rsidRDefault="00687B2F" w:rsidP="00F57701">
            <w:pPr>
              <w:pStyle w:val="BodyText"/>
              <w:keepNext/>
              <w:spacing w:line="240" w:lineRule="auto"/>
              <w:rPr>
                <w:b/>
                <w:i/>
                <w:sz w:val="17"/>
                <w:szCs w:val="17"/>
              </w:rPr>
            </w:pPr>
            <w:r w:rsidRPr="00687B2F">
              <w:rPr>
                <w:b/>
                <w:i/>
                <w:sz w:val="17"/>
                <w:szCs w:val="17"/>
              </w:rPr>
              <w:t xml:space="preserve">Bilateral </w:t>
            </w:r>
          </w:p>
        </w:tc>
        <w:tc>
          <w:tcPr>
            <w:tcW w:w="1136" w:type="dxa"/>
            <w:tcBorders>
              <w:bottom w:val="nil"/>
            </w:tcBorders>
          </w:tcPr>
          <w:p w:rsidR="00687B2F" w:rsidRPr="00687B2F" w:rsidRDefault="00687B2F" w:rsidP="008B1372">
            <w:pPr>
              <w:pStyle w:val="BodyText"/>
              <w:keepNext/>
              <w:spacing w:line="240" w:lineRule="auto"/>
              <w:rPr>
                <w:b/>
                <w:sz w:val="17"/>
                <w:szCs w:val="17"/>
              </w:rPr>
            </w:pPr>
          </w:p>
        </w:tc>
        <w:tc>
          <w:tcPr>
            <w:tcW w:w="1420" w:type="dxa"/>
            <w:tcBorders>
              <w:bottom w:val="nil"/>
            </w:tcBorders>
          </w:tcPr>
          <w:p w:rsidR="00687B2F" w:rsidRPr="00687B2F" w:rsidRDefault="00687B2F">
            <w:pPr>
              <w:pStyle w:val="BodyText"/>
              <w:keepNext/>
              <w:spacing w:line="240" w:lineRule="auto"/>
              <w:rPr>
                <w:b/>
                <w:sz w:val="17"/>
                <w:szCs w:val="17"/>
              </w:rPr>
            </w:pPr>
          </w:p>
        </w:tc>
      </w:tr>
      <w:tr w:rsidR="00B14467" w:rsidRPr="00480E2D" w:rsidTr="00E074C5">
        <w:trPr>
          <w:trHeight w:val="286"/>
        </w:trPr>
        <w:tc>
          <w:tcPr>
            <w:tcW w:w="6215" w:type="dxa"/>
            <w:tcBorders>
              <w:top w:val="nil"/>
              <w:left w:val="nil"/>
              <w:bottom w:val="nil"/>
              <w:right w:val="nil"/>
            </w:tcBorders>
            <w:shd w:val="clear" w:color="auto" w:fill="auto"/>
          </w:tcPr>
          <w:p w:rsidR="00770BFB" w:rsidRPr="005C231F" w:rsidRDefault="00770BFB" w:rsidP="00F57701">
            <w:pPr>
              <w:pStyle w:val="BodyText"/>
              <w:keepNext/>
              <w:spacing w:before="40" w:after="40" w:line="240" w:lineRule="auto"/>
              <w:rPr>
                <w:sz w:val="17"/>
                <w:szCs w:val="17"/>
              </w:rPr>
            </w:pPr>
            <w:r w:rsidRPr="005C231F">
              <w:rPr>
                <w:sz w:val="17"/>
                <w:szCs w:val="17"/>
              </w:rPr>
              <w:t>Improving access to quality education</w:t>
            </w:r>
          </w:p>
        </w:tc>
        <w:tc>
          <w:tcPr>
            <w:tcW w:w="1136" w:type="dxa"/>
            <w:tcBorders>
              <w:top w:val="nil"/>
              <w:left w:val="nil"/>
              <w:bottom w:val="nil"/>
              <w:right w:val="nil"/>
            </w:tcBorders>
            <w:shd w:val="clear" w:color="auto" w:fill="auto"/>
          </w:tcPr>
          <w:p w:rsidR="00687B2F" w:rsidRPr="005C231F" w:rsidRDefault="00596D85" w:rsidP="008B1372">
            <w:pPr>
              <w:pStyle w:val="BodyText"/>
              <w:keepNext/>
              <w:spacing w:before="40" w:after="40" w:line="240" w:lineRule="auto"/>
              <w:rPr>
                <w:sz w:val="17"/>
                <w:szCs w:val="17"/>
              </w:rPr>
            </w:pPr>
            <w:r w:rsidRPr="005C231F">
              <w:rPr>
                <w:sz w:val="17"/>
                <w:szCs w:val="17"/>
              </w:rPr>
              <w:t>10</w:t>
            </w:r>
          </w:p>
        </w:tc>
        <w:tc>
          <w:tcPr>
            <w:tcW w:w="1420" w:type="dxa"/>
            <w:tcBorders>
              <w:top w:val="nil"/>
              <w:left w:val="nil"/>
              <w:bottom w:val="nil"/>
              <w:right w:val="nil"/>
            </w:tcBorders>
            <w:shd w:val="clear" w:color="auto" w:fill="auto"/>
          </w:tcPr>
          <w:p w:rsidR="00687B2F" w:rsidRPr="005C231F" w:rsidRDefault="000F2574">
            <w:pPr>
              <w:pStyle w:val="BodyText"/>
              <w:keepNext/>
              <w:spacing w:before="40" w:after="40" w:line="240" w:lineRule="auto"/>
              <w:rPr>
                <w:sz w:val="17"/>
                <w:szCs w:val="17"/>
              </w:rPr>
            </w:pPr>
            <w:r>
              <w:rPr>
                <w:sz w:val="17"/>
                <w:szCs w:val="17"/>
              </w:rPr>
              <w:t>16</w:t>
            </w:r>
          </w:p>
        </w:tc>
      </w:tr>
      <w:tr w:rsidR="00B14467" w:rsidRPr="00480E2D" w:rsidTr="00E074C5">
        <w:trPr>
          <w:trHeight w:val="286"/>
        </w:trPr>
        <w:tc>
          <w:tcPr>
            <w:tcW w:w="6215" w:type="dxa"/>
            <w:tcBorders>
              <w:top w:val="nil"/>
              <w:left w:val="nil"/>
              <w:bottom w:val="nil"/>
              <w:right w:val="nil"/>
            </w:tcBorders>
            <w:shd w:val="clear" w:color="auto" w:fill="auto"/>
          </w:tcPr>
          <w:p w:rsidR="00687B2F" w:rsidRPr="005C231F" w:rsidRDefault="00770BFB" w:rsidP="00F57701">
            <w:pPr>
              <w:pStyle w:val="BodyText"/>
              <w:keepNext/>
              <w:spacing w:before="40" w:after="40" w:line="240" w:lineRule="auto"/>
              <w:rPr>
                <w:sz w:val="17"/>
                <w:szCs w:val="17"/>
              </w:rPr>
            </w:pPr>
            <w:r w:rsidRPr="005C231F">
              <w:rPr>
                <w:sz w:val="17"/>
                <w:szCs w:val="17"/>
              </w:rPr>
              <w:t xml:space="preserve">Strengthening primary health services </w:t>
            </w:r>
          </w:p>
        </w:tc>
        <w:tc>
          <w:tcPr>
            <w:tcW w:w="1136" w:type="dxa"/>
            <w:tcBorders>
              <w:top w:val="nil"/>
              <w:left w:val="nil"/>
              <w:bottom w:val="nil"/>
              <w:right w:val="nil"/>
            </w:tcBorders>
            <w:shd w:val="clear" w:color="auto" w:fill="auto"/>
          </w:tcPr>
          <w:p w:rsidR="00687B2F" w:rsidRPr="005C231F" w:rsidRDefault="00770BFB" w:rsidP="008B1372">
            <w:pPr>
              <w:pStyle w:val="BodyText"/>
              <w:keepNext/>
              <w:spacing w:before="40" w:after="40" w:line="240" w:lineRule="auto"/>
              <w:rPr>
                <w:sz w:val="17"/>
                <w:szCs w:val="17"/>
              </w:rPr>
            </w:pPr>
            <w:r w:rsidRPr="005C231F">
              <w:rPr>
                <w:sz w:val="17"/>
                <w:szCs w:val="17"/>
              </w:rPr>
              <w:t>5</w:t>
            </w:r>
            <w:r w:rsidR="00596D85" w:rsidRPr="005C231F">
              <w:rPr>
                <w:sz w:val="17"/>
                <w:szCs w:val="17"/>
              </w:rPr>
              <w:t>.5</w:t>
            </w:r>
          </w:p>
        </w:tc>
        <w:tc>
          <w:tcPr>
            <w:tcW w:w="1420" w:type="dxa"/>
            <w:tcBorders>
              <w:top w:val="nil"/>
              <w:left w:val="nil"/>
              <w:bottom w:val="nil"/>
              <w:right w:val="nil"/>
            </w:tcBorders>
            <w:shd w:val="clear" w:color="auto" w:fill="auto"/>
          </w:tcPr>
          <w:p w:rsidR="00687B2F" w:rsidRPr="005C231F" w:rsidRDefault="000F2574">
            <w:pPr>
              <w:pStyle w:val="BodyText"/>
              <w:keepNext/>
              <w:spacing w:before="40" w:after="40" w:line="240" w:lineRule="auto"/>
              <w:rPr>
                <w:sz w:val="17"/>
                <w:szCs w:val="17"/>
              </w:rPr>
            </w:pPr>
            <w:r>
              <w:rPr>
                <w:sz w:val="17"/>
                <w:szCs w:val="17"/>
              </w:rPr>
              <w:t>9</w:t>
            </w:r>
          </w:p>
        </w:tc>
      </w:tr>
      <w:tr w:rsidR="00B14467" w:rsidRPr="00480E2D" w:rsidTr="00E074C5">
        <w:trPr>
          <w:trHeight w:val="542"/>
        </w:trPr>
        <w:tc>
          <w:tcPr>
            <w:tcW w:w="6215" w:type="dxa"/>
            <w:tcBorders>
              <w:top w:val="nil"/>
              <w:left w:val="nil"/>
              <w:bottom w:val="nil"/>
              <w:right w:val="nil"/>
            </w:tcBorders>
            <w:shd w:val="clear" w:color="auto" w:fill="auto"/>
          </w:tcPr>
          <w:p w:rsidR="00687B2F" w:rsidRPr="005C231F" w:rsidRDefault="00770BFB" w:rsidP="00F57701">
            <w:pPr>
              <w:pStyle w:val="BodyText"/>
              <w:keepNext/>
              <w:spacing w:before="40" w:after="40" w:line="240" w:lineRule="auto"/>
              <w:rPr>
                <w:sz w:val="17"/>
                <w:szCs w:val="17"/>
              </w:rPr>
            </w:pPr>
            <w:r w:rsidRPr="005C231F">
              <w:rPr>
                <w:sz w:val="17"/>
                <w:szCs w:val="17"/>
              </w:rPr>
              <w:t>Building resilience and economic opportunities in disadvantaged communities</w:t>
            </w:r>
          </w:p>
          <w:p w:rsidR="00596D85" w:rsidRPr="005C231F" w:rsidRDefault="00596D85" w:rsidP="008B1372">
            <w:pPr>
              <w:pStyle w:val="BodyText"/>
              <w:keepNext/>
              <w:spacing w:before="40" w:after="40" w:line="240" w:lineRule="auto"/>
              <w:rPr>
                <w:sz w:val="17"/>
                <w:szCs w:val="17"/>
              </w:rPr>
            </w:pPr>
            <w:r w:rsidRPr="005C231F">
              <w:rPr>
                <w:sz w:val="17"/>
                <w:szCs w:val="17"/>
              </w:rPr>
              <w:t>Governance</w:t>
            </w:r>
          </w:p>
        </w:tc>
        <w:tc>
          <w:tcPr>
            <w:tcW w:w="1136" w:type="dxa"/>
            <w:tcBorders>
              <w:top w:val="nil"/>
              <w:left w:val="nil"/>
              <w:bottom w:val="nil"/>
              <w:right w:val="nil"/>
            </w:tcBorders>
            <w:shd w:val="clear" w:color="auto" w:fill="auto"/>
          </w:tcPr>
          <w:p w:rsidR="00596D85" w:rsidRPr="005C231F" w:rsidRDefault="00596D85">
            <w:pPr>
              <w:pStyle w:val="BodyText"/>
              <w:keepNext/>
              <w:spacing w:before="40" w:after="40" w:line="240" w:lineRule="auto"/>
              <w:rPr>
                <w:sz w:val="17"/>
                <w:szCs w:val="17"/>
              </w:rPr>
            </w:pPr>
            <w:r w:rsidRPr="005C231F">
              <w:rPr>
                <w:sz w:val="17"/>
                <w:szCs w:val="17"/>
              </w:rPr>
              <w:t>6</w:t>
            </w:r>
          </w:p>
          <w:p w:rsidR="00596D85" w:rsidRPr="005C231F" w:rsidRDefault="00596D85">
            <w:pPr>
              <w:pStyle w:val="BodyText"/>
              <w:keepNext/>
              <w:spacing w:before="40" w:after="40" w:line="240" w:lineRule="auto"/>
              <w:rPr>
                <w:sz w:val="17"/>
                <w:szCs w:val="17"/>
              </w:rPr>
            </w:pPr>
            <w:r w:rsidRPr="005C231F">
              <w:rPr>
                <w:sz w:val="17"/>
                <w:szCs w:val="17"/>
              </w:rPr>
              <w:t>4</w:t>
            </w:r>
          </w:p>
        </w:tc>
        <w:tc>
          <w:tcPr>
            <w:tcW w:w="1420" w:type="dxa"/>
            <w:tcBorders>
              <w:top w:val="nil"/>
              <w:left w:val="nil"/>
              <w:bottom w:val="nil"/>
              <w:right w:val="nil"/>
            </w:tcBorders>
            <w:shd w:val="clear" w:color="auto" w:fill="auto"/>
          </w:tcPr>
          <w:p w:rsidR="000F2574" w:rsidRDefault="000F2574">
            <w:pPr>
              <w:pStyle w:val="BodyText"/>
              <w:keepNext/>
              <w:spacing w:before="40" w:after="40" w:line="240" w:lineRule="auto"/>
              <w:rPr>
                <w:sz w:val="17"/>
                <w:szCs w:val="17"/>
              </w:rPr>
            </w:pPr>
            <w:r>
              <w:rPr>
                <w:sz w:val="17"/>
                <w:szCs w:val="17"/>
              </w:rPr>
              <w:t>9.5</w:t>
            </w:r>
          </w:p>
          <w:p w:rsidR="00687B2F" w:rsidRPr="000F2574" w:rsidRDefault="000F2574" w:rsidP="000F2574">
            <w:pPr>
              <w:pStyle w:val="BodyText"/>
              <w:keepNext/>
              <w:spacing w:before="40" w:after="40" w:line="240" w:lineRule="auto"/>
              <w:rPr>
                <w:sz w:val="17"/>
                <w:szCs w:val="17"/>
              </w:rPr>
            </w:pPr>
            <w:r w:rsidRPr="00450887">
              <w:rPr>
                <w:sz w:val="17"/>
                <w:szCs w:val="17"/>
              </w:rPr>
              <w:t>6</w:t>
            </w:r>
            <w:r>
              <w:rPr>
                <w:sz w:val="17"/>
                <w:szCs w:val="17"/>
              </w:rPr>
              <w:t>.5</w:t>
            </w:r>
          </w:p>
        </w:tc>
      </w:tr>
      <w:tr w:rsidR="00B14467" w:rsidRPr="00480E2D" w:rsidTr="00E074C5">
        <w:trPr>
          <w:trHeight w:val="286"/>
        </w:trPr>
        <w:tc>
          <w:tcPr>
            <w:tcW w:w="6215" w:type="dxa"/>
            <w:tcBorders>
              <w:top w:val="nil"/>
              <w:left w:val="nil"/>
              <w:bottom w:val="nil"/>
              <w:right w:val="nil"/>
            </w:tcBorders>
            <w:shd w:val="clear" w:color="auto" w:fill="auto"/>
          </w:tcPr>
          <w:p w:rsidR="00FD190F" w:rsidRPr="005C231F" w:rsidRDefault="00FD190F" w:rsidP="00F57701">
            <w:pPr>
              <w:pStyle w:val="BodyText"/>
              <w:keepNext/>
              <w:spacing w:before="40" w:after="40" w:line="240" w:lineRule="auto"/>
              <w:rPr>
                <w:sz w:val="17"/>
                <w:szCs w:val="17"/>
              </w:rPr>
            </w:pPr>
            <w:r w:rsidRPr="005C231F">
              <w:rPr>
                <w:sz w:val="17"/>
                <w:szCs w:val="17"/>
              </w:rPr>
              <w:t>Scholarships</w:t>
            </w:r>
          </w:p>
        </w:tc>
        <w:tc>
          <w:tcPr>
            <w:tcW w:w="1136" w:type="dxa"/>
            <w:tcBorders>
              <w:top w:val="nil"/>
              <w:left w:val="nil"/>
              <w:bottom w:val="nil"/>
              <w:right w:val="nil"/>
            </w:tcBorders>
            <w:shd w:val="clear" w:color="auto" w:fill="auto"/>
          </w:tcPr>
          <w:p w:rsidR="00FD190F" w:rsidRPr="005C231F" w:rsidRDefault="00596D85" w:rsidP="008B1372">
            <w:pPr>
              <w:pStyle w:val="BodyText"/>
              <w:keepNext/>
              <w:spacing w:before="40" w:after="40" w:line="240" w:lineRule="auto"/>
              <w:rPr>
                <w:sz w:val="17"/>
                <w:szCs w:val="17"/>
              </w:rPr>
            </w:pPr>
            <w:r w:rsidRPr="005C231F">
              <w:rPr>
                <w:sz w:val="17"/>
                <w:szCs w:val="17"/>
              </w:rPr>
              <w:t>6.4</w:t>
            </w:r>
          </w:p>
        </w:tc>
        <w:tc>
          <w:tcPr>
            <w:tcW w:w="1420" w:type="dxa"/>
            <w:tcBorders>
              <w:top w:val="nil"/>
              <w:left w:val="nil"/>
              <w:bottom w:val="nil"/>
              <w:right w:val="nil"/>
            </w:tcBorders>
            <w:shd w:val="clear" w:color="auto" w:fill="auto"/>
          </w:tcPr>
          <w:p w:rsidR="00FD190F" w:rsidRPr="005C231F" w:rsidRDefault="000F2574">
            <w:pPr>
              <w:pStyle w:val="BodyText"/>
              <w:keepNext/>
              <w:spacing w:before="40" w:after="40" w:line="240" w:lineRule="auto"/>
              <w:rPr>
                <w:sz w:val="17"/>
                <w:szCs w:val="17"/>
              </w:rPr>
            </w:pPr>
            <w:r>
              <w:rPr>
                <w:sz w:val="17"/>
                <w:szCs w:val="17"/>
              </w:rPr>
              <w:t>10</w:t>
            </w:r>
          </w:p>
        </w:tc>
      </w:tr>
      <w:tr w:rsidR="00B14467" w:rsidRPr="00480E2D" w:rsidTr="00E074C5">
        <w:trPr>
          <w:trHeight w:val="286"/>
        </w:trPr>
        <w:tc>
          <w:tcPr>
            <w:tcW w:w="6215" w:type="dxa"/>
            <w:tcBorders>
              <w:top w:val="nil"/>
              <w:left w:val="nil"/>
              <w:bottom w:val="nil"/>
              <w:right w:val="nil"/>
            </w:tcBorders>
            <w:shd w:val="clear" w:color="auto" w:fill="auto"/>
          </w:tcPr>
          <w:p w:rsidR="00FD190F" w:rsidRPr="005C231F" w:rsidRDefault="00FD190F" w:rsidP="00F57701">
            <w:pPr>
              <w:pStyle w:val="BodyText"/>
              <w:keepNext/>
              <w:spacing w:before="40" w:after="40" w:line="240" w:lineRule="auto"/>
              <w:rPr>
                <w:sz w:val="17"/>
                <w:szCs w:val="17"/>
              </w:rPr>
            </w:pPr>
            <w:r w:rsidRPr="005C231F">
              <w:rPr>
                <w:sz w:val="17"/>
                <w:szCs w:val="17"/>
              </w:rPr>
              <w:t>Gender</w:t>
            </w:r>
          </w:p>
        </w:tc>
        <w:tc>
          <w:tcPr>
            <w:tcW w:w="1136" w:type="dxa"/>
            <w:tcBorders>
              <w:top w:val="nil"/>
              <w:left w:val="nil"/>
              <w:bottom w:val="nil"/>
              <w:right w:val="nil"/>
            </w:tcBorders>
            <w:shd w:val="clear" w:color="auto" w:fill="auto"/>
          </w:tcPr>
          <w:p w:rsidR="00FD190F" w:rsidRPr="005C231F" w:rsidRDefault="00596D85" w:rsidP="008B1372">
            <w:pPr>
              <w:pStyle w:val="BodyText"/>
              <w:keepNext/>
              <w:spacing w:before="40" w:after="40" w:line="240" w:lineRule="auto"/>
              <w:rPr>
                <w:sz w:val="17"/>
                <w:szCs w:val="17"/>
              </w:rPr>
            </w:pPr>
            <w:r w:rsidRPr="005C231F">
              <w:rPr>
                <w:sz w:val="17"/>
                <w:szCs w:val="17"/>
              </w:rPr>
              <w:t>1</w:t>
            </w:r>
          </w:p>
        </w:tc>
        <w:tc>
          <w:tcPr>
            <w:tcW w:w="1420" w:type="dxa"/>
            <w:tcBorders>
              <w:top w:val="nil"/>
              <w:left w:val="nil"/>
              <w:bottom w:val="nil"/>
              <w:right w:val="nil"/>
            </w:tcBorders>
            <w:shd w:val="clear" w:color="auto" w:fill="auto"/>
          </w:tcPr>
          <w:p w:rsidR="00FD190F" w:rsidRPr="00EE58DD" w:rsidRDefault="000F2574">
            <w:pPr>
              <w:pStyle w:val="BodyText"/>
              <w:keepNext/>
              <w:spacing w:before="40" w:after="40" w:line="240" w:lineRule="auto"/>
              <w:rPr>
                <w:sz w:val="17"/>
                <w:szCs w:val="17"/>
              </w:rPr>
            </w:pPr>
            <w:r>
              <w:rPr>
                <w:sz w:val="17"/>
                <w:szCs w:val="17"/>
              </w:rPr>
              <w:t>1.5</w:t>
            </w:r>
          </w:p>
        </w:tc>
      </w:tr>
      <w:tr w:rsidR="00687B2F" w:rsidRPr="00687B2F" w:rsidTr="00E074C5">
        <w:trPr>
          <w:trHeight w:val="571"/>
        </w:trPr>
        <w:tc>
          <w:tcPr>
            <w:tcW w:w="6215" w:type="dxa"/>
            <w:tcBorders>
              <w:top w:val="nil"/>
              <w:left w:val="nil"/>
              <w:bottom w:val="nil"/>
              <w:right w:val="nil"/>
            </w:tcBorders>
          </w:tcPr>
          <w:p w:rsidR="00687B2F" w:rsidRPr="003905DE" w:rsidRDefault="00FD190F" w:rsidP="00F57701">
            <w:pPr>
              <w:pStyle w:val="BodyText"/>
              <w:keepNext/>
              <w:spacing w:line="240" w:lineRule="auto"/>
              <w:rPr>
                <w:b/>
                <w:sz w:val="17"/>
                <w:szCs w:val="17"/>
              </w:rPr>
            </w:pPr>
            <w:r w:rsidRPr="003905DE">
              <w:rPr>
                <w:b/>
                <w:sz w:val="17"/>
                <w:szCs w:val="17"/>
              </w:rPr>
              <w:br/>
            </w:r>
            <w:r w:rsidR="00687B2F" w:rsidRPr="003905DE">
              <w:rPr>
                <w:b/>
                <w:sz w:val="17"/>
                <w:szCs w:val="17"/>
              </w:rPr>
              <w:t>Sub-Total Bilateral</w:t>
            </w:r>
          </w:p>
        </w:tc>
        <w:tc>
          <w:tcPr>
            <w:tcW w:w="1136" w:type="dxa"/>
            <w:tcBorders>
              <w:top w:val="nil"/>
              <w:left w:val="nil"/>
              <w:bottom w:val="nil"/>
              <w:right w:val="nil"/>
            </w:tcBorders>
            <w:shd w:val="clear" w:color="auto" w:fill="auto"/>
            <w:vAlign w:val="bottom"/>
          </w:tcPr>
          <w:p w:rsidR="00687B2F" w:rsidRPr="003905DE" w:rsidRDefault="00770BFB" w:rsidP="008B1372">
            <w:pPr>
              <w:pStyle w:val="BodyText"/>
              <w:keepNext/>
              <w:spacing w:line="240" w:lineRule="auto"/>
              <w:rPr>
                <w:b/>
                <w:color w:val="FF0000"/>
                <w:sz w:val="17"/>
                <w:szCs w:val="17"/>
              </w:rPr>
            </w:pPr>
            <w:r w:rsidRPr="003905DE">
              <w:rPr>
                <w:b/>
                <w:sz w:val="17"/>
                <w:szCs w:val="17"/>
              </w:rPr>
              <w:t>32.</w:t>
            </w:r>
            <w:r w:rsidR="0016512B" w:rsidRPr="003905DE">
              <w:rPr>
                <w:b/>
                <w:sz w:val="17"/>
                <w:szCs w:val="17"/>
              </w:rPr>
              <w:t>9</w:t>
            </w:r>
          </w:p>
        </w:tc>
        <w:tc>
          <w:tcPr>
            <w:tcW w:w="1420" w:type="dxa"/>
            <w:tcBorders>
              <w:top w:val="nil"/>
              <w:left w:val="nil"/>
              <w:bottom w:val="nil"/>
              <w:right w:val="nil"/>
            </w:tcBorders>
          </w:tcPr>
          <w:p w:rsidR="00687B2F" w:rsidRPr="00687B2F" w:rsidRDefault="00687B2F">
            <w:pPr>
              <w:pStyle w:val="BodyText"/>
              <w:keepNext/>
              <w:spacing w:line="240" w:lineRule="auto"/>
              <w:rPr>
                <w:sz w:val="17"/>
                <w:szCs w:val="17"/>
              </w:rPr>
            </w:pPr>
          </w:p>
        </w:tc>
      </w:tr>
      <w:tr w:rsidR="00687B2F" w:rsidRPr="00687B2F" w:rsidTr="00E074C5">
        <w:trPr>
          <w:trHeight w:val="286"/>
        </w:trPr>
        <w:tc>
          <w:tcPr>
            <w:tcW w:w="6215" w:type="dxa"/>
            <w:tcBorders>
              <w:top w:val="nil"/>
              <w:left w:val="nil"/>
              <w:bottom w:val="nil"/>
              <w:right w:val="nil"/>
            </w:tcBorders>
          </w:tcPr>
          <w:p w:rsidR="00687B2F" w:rsidRPr="00687B2F" w:rsidRDefault="00687B2F" w:rsidP="00F57701">
            <w:pPr>
              <w:pStyle w:val="BodyText"/>
              <w:keepNext/>
              <w:spacing w:before="40" w:after="40" w:line="240" w:lineRule="auto"/>
              <w:rPr>
                <w:sz w:val="17"/>
                <w:szCs w:val="17"/>
              </w:rPr>
            </w:pPr>
            <w:r w:rsidRPr="00687B2F">
              <w:rPr>
                <w:sz w:val="17"/>
                <w:szCs w:val="17"/>
              </w:rPr>
              <w:t>Regional and Global</w:t>
            </w:r>
          </w:p>
        </w:tc>
        <w:tc>
          <w:tcPr>
            <w:tcW w:w="1136" w:type="dxa"/>
            <w:tcBorders>
              <w:top w:val="nil"/>
              <w:left w:val="nil"/>
              <w:bottom w:val="nil"/>
              <w:right w:val="nil"/>
            </w:tcBorders>
          </w:tcPr>
          <w:p w:rsidR="00687B2F" w:rsidRPr="0016512B" w:rsidRDefault="0016512B" w:rsidP="008B1372">
            <w:pPr>
              <w:pStyle w:val="BodyText"/>
              <w:keepNext/>
              <w:spacing w:before="40" w:after="40" w:line="240" w:lineRule="auto"/>
              <w:rPr>
                <w:color w:val="FF0000"/>
                <w:sz w:val="17"/>
                <w:szCs w:val="17"/>
              </w:rPr>
            </w:pPr>
            <w:r w:rsidRPr="0016512B">
              <w:rPr>
                <w:sz w:val="17"/>
                <w:szCs w:val="17"/>
              </w:rPr>
              <w:t>2</w:t>
            </w:r>
            <w:r w:rsidR="00FD190F" w:rsidRPr="0016512B">
              <w:rPr>
                <w:sz w:val="17"/>
                <w:szCs w:val="17"/>
              </w:rPr>
              <w:t>7</w:t>
            </w:r>
            <w:r w:rsidRPr="0016512B">
              <w:rPr>
                <w:sz w:val="17"/>
                <w:szCs w:val="17"/>
              </w:rPr>
              <w:t>.</w:t>
            </w:r>
            <w:r w:rsidR="00D81690">
              <w:rPr>
                <w:sz w:val="17"/>
                <w:szCs w:val="17"/>
              </w:rPr>
              <w:t>2</w:t>
            </w:r>
          </w:p>
        </w:tc>
        <w:tc>
          <w:tcPr>
            <w:tcW w:w="1420" w:type="dxa"/>
            <w:tcBorders>
              <w:top w:val="nil"/>
              <w:left w:val="nil"/>
              <w:bottom w:val="nil"/>
              <w:right w:val="nil"/>
            </w:tcBorders>
          </w:tcPr>
          <w:p w:rsidR="00687B2F" w:rsidRPr="00687B2F" w:rsidRDefault="000F2574">
            <w:pPr>
              <w:pStyle w:val="BodyText"/>
              <w:keepNext/>
              <w:spacing w:before="40" w:after="40" w:line="240" w:lineRule="auto"/>
              <w:rPr>
                <w:sz w:val="17"/>
                <w:szCs w:val="17"/>
              </w:rPr>
            </w:pPr>
            <w:r>
              <w:rPr>
                <w:sz w:val="17"/>
                <w:szCs w:val="17"/>
              </w:rPr>
              <w:t>43.5</w:t>
            </w:r>
          </w:p>
        </w:tc>
      </w:tr>
      <w:tr w:rsidR="00687B2F" w:rsidRPr="00687B2F" w:rsidTr="00E074C5">
        <w:trPr>
          <w:trHeight w:val="286"/>
        </w:trPr>
        <w:tc>
          <w:tcPr>
            <w:tcW w:w="6215" w:type="dxa"/>
            <w:tcBorders>
              <w:top w:val="nil"/>
              <w:left w:val="nil"/>
              <w:bottom w:val="nil"/>
              <w:right w:val="nil"/>
            </w:tcBorders>
          </w:tcPr>
          <w:p w:rsidR="00687B2F" w:rsidRPr="00687B2F" w:rsidRDefault="00687B2F" w:rsidP="00F57701">
            <w:pPr>
              <w:pStyle w:val="BodyText"/>
              <w:keepNext/>
              <w:spacing w:before="40" w:after="40" w:line="240" w:lineRule="auto"/>
              <w:rPr>
                <w:sz w:val="17"/>
                <w:szCs w:val="17"/>
              </w:rPr>
            </w:pPr>
            <w:r w:rsidRPr="00687B2F">
              <w:rPr>
                <w:sz w:val="17"/>
                <w:szCs w:val="17"/>
              </w:rPr>
              <w:t>Other Government Departments</w:t>
            </w:r>
          </w:p>
        </w:tc>
        <w:tc>
          <w:tcPr>
            <w:tcW w:w="1136" w:type="dxa"/>
            <w:tcBorders>
              <w:top w:val="nil"/>
              <w:left w:val="nil"/>
              <w:bottom w:val="nil"/>
              <w:right w:val="nil"/>
            </w:tcBorders>
          </w:tcPr>
          <w:p w:rsidR="00687B2F" w:rsidRPr="00687B2F" w:rsidRDefault="0016512B" w:rsidP="008B1372">
            <w:pPr>
              <w:pStyle w:val="BodyText"/>
              <w:keepNext/>
              <w:spacing w:before="40" w:after="40" w:line="240" w:lineRule="auto"/>
              <w:rPr>
                <w:sz w:val="17"/>
                <w:szCs w:val="17"/>
              </w:rPr>
            </w:pPr>
            <w:r>
              <w:rPr>
                <w:sz w:val="17"/>
                <w:szCs w:val="17"/>
              </w:rPr>
              <w:t>2.</w:t>
            </w:r>
            <w:r w:rsidR="00D81690">
              <w:rPr>
                <w:sz w:val="17"/>
                <w:szCs w:val="17"/>
              </w:rPr>
              <w:t>7</w:t>
            </w:r>
          </w:p>
        </w:tc>
        <w:tc>
          <w:tcPr>
            <w:tcW w:w="1420" w:type="dxa"/>
            <w:tcBorders>
              <w:top w:val="nil"/>
              <w:left w:val="nil"/>
              <w:bottom w:val="nil"/>
              <w:right w:val="nil"/>
            </w:tcBorders>
          </w:tcPr>
          <w:p w:rsidR="00687B2F" w:rsidRPr="00687B2F" w:rsidRDefault="000F2574">
            <w:pPr>
              <w:pStyle w:val="BodyText"/>
              <w:keepNext/>
              <w:spacing w:before="40" w:after="40" w:line="240" w:lineRule="auto"/>
              <w:rPr>
                <w:sz w:val="17"/>
                <w:szCs w:val="17"/>
              </w:rPr>
            </w:pPr>
            <w:r>
              <w:rPr>
                <w:sz w:val="17"/>
                <w:szCs w:val="17"/>
              </w:rPr>
              <w:t>4</w:t>
            </w:r>
          </w:p>
        </w:tc>
      </w:tr>
      <w:tr w:rsidR="00687B2F" w:rsidRPr="00687B2F" w:rsidTr="00E074C5">
        <w:trPr>
          <w:trHeight w:val="376"/>
        </w:trPr>
        <w:tc>
          <w:tcPr>
            <w:tcW w:w="6215" w:type="dxa"/>
            <w:tcBorders>
              <w:top w:val="nil"/>
            </w:tcBorders>
          </w:tcPr>
          <w:p w:rsidR="00687B2F" w:rsidRPr="00E074C5" w:rsidRDefault="00687B2F" w:rsidP="00F57701">
            <w:pPr>
              <w:pStyle w:val="BodyText"/>
              <w:keepNext/>
              <w:spacing w:line="240" w:lineRule="auto"/>
              <w:rPr>
                <w:b/>
                <w:sz w:val="17"/>
                <w:szCs w:val="17"/>
              </w:rPr>
            </w:pPr>
            <w:r w:rsidRPr="00E074C5">
              <w:rPr>
                <w:b/>
                <w:sz w:val="17"/>
                <w:szCs w:val="17"/>
              </w:rPr>
              <w:t>Total</w:t>
            </w:r>
            <w:r w:rsidR="002C5722" w:rsidRPr="00E074C5">
              <w:rPr>
                <w:b/>
                <w:sz w:val="17"/>
                <w:szCs w:val="17"/>
              </w:rPr>
              <w:t xml:space="preserve"> ODA Expenditure</w:t>
            </w:r>
          </w:p>
        </w:tc>
        <w:tc>
          <w:tcPr>
            <w:tcW w:w="1136" w:type="dxa"/>
            <w:tcBorders>
              <w:top w:val="nil"/>
            </w:tcBorders>
          </w:tcPr>
          <w:p w:rsidR="00687B2F" w:rsidRPr="00E074C5" w:rsidRDefault="0022402E" w:rsidP="00F57701">
            <w:pPr>
              <w:pStyle w:val="BodyText"/>
              <w:keepNext/>
              <w:spacing w:line="240" w:lineRule="auto"/>
              <w:rPr>
                <w:b/>
                <w:sz w:val="17"/>
                <w:szCs w:val="17"/>
              </w:rPr>
            </w:pPr>
            <w:r w:rsidRPr="00E074C5">
              <w:rPr>
                <w:b/>
                <w:sz w:val="17"/>
                <w:szCs w:val="17"/>
              </w:rPr>
              <w:t>62.8</w:t>
            </w:r>
          </w:p>
        </w:tc>
        <w:tc>
          <w:tcPr>
            <w:tcW w:w="1420" w:type="dxa"/>
            <w:tcBorders>
              <w:top w:val="nil"/>
            </w:tcBorders>
          </w:tcPr>
          <w:p w:rsidR="00687B2F" w:rsidRPr="00687B2F" w:rsidRDefault="0048613E" w:rsidP="008B1372">
            <w:pPr>
              <w:pStyle w:val="BodyText"/>
              <w:keepNext/>
              <w:spacing w:line="240" w:lineRule="auto"/>
              <w:rPr>
                <w:sz w:val="17"/>
                <w:szCs w:val="17"/>
              </w:rPr>
            </w:pPr>
            <w:r>
              <w:rPr>
                <w:sz w:val="17"/>
                <w:szCs w:val="17"/>
              </w:rPr>
              <w:t>100</w:t>
            </w:r>
          </w:p>
        </w:tc>
      </w:tr>
    </w:tbl>
    <w:p w:rsidR="000D733F" w:rsidRPr="00511A0F" w:rsidRDefault="00511A0F" w:rsidP="00511A0F">
      <w:pPr>
        <w:pStyle w:val="Heading2"/>
        <w:rPr>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rsidR="00D81690" w:rsidRPr="003905DE" w:rsidRDefault="00D81690" w:rsidP="00D81690">
      <w:pPr>
        <w:pStyle w:val="BodyText"/>
      </w:pPr>
      <w:r w:rsidRPr="00577246">
        <w:t xml:space="preserve">Australia’s </w:t>
      </w:r>
      <w:r w:rsidR="00905E95">
        <w:t xml:space="preserve">bilateral </w:t>
      </w:r>
      <w:r w:rsidRPr="00577246">
        <w:t>development assistance</w:t>
      </w:r>
      <w:r w:rsidRPr="003905DE">
        <w:t xml:space="preserve"> to Fiji </w:t>
      </w:r>
      <w:r>
        <w:t>focused on</w:t>
      </w:r>
      <w:r w:rsidRPr="003905DE">
        <w:t xml:space="preserve"> three development objectives:</w:t>
      </w:r>
    </w:p>
    <w:p w:rsidR="00D81690" w:rsidRPr="003905DE" w:rsidRDefault="00D81690" w:rsidP="00D81690">
      <w:pPr>
        <w:pStyle w:val="ListBullet"/>
        <w:numPr>
          <w:ilvl w:val="0"/>
          <w:numId w:val="33"/>
        </w:numPr>
        <w:tabs>
          <w:tab w:val="clear" w:pos="284"/>
        </w:tabs>
        <w:spacing w:line="240" w:lineRule="auto"/>
      </w:pPr>
      <w:r w:rsidRPr="003905DE">
        <w:t>Improving access to quality education;</w:t>
      </w:r>
    </w:p>
    <w:p w:rsidR="00D81690" w:rsidRDefault="00D81690" w:rsidP="00D81690">
      <w:pPr>
        <w:pStyle w:val="ListBullet"/>
        <w:numPr>
          <w:ilvl w:val="0"/>
          <w:numId w:val="33"/>
        </w:numPr>
        <w:tabs>
          <w:tab w:val="clear" w:pos="284"/>
        </w:tabs>
        <w:spacing w:line="240" w:lineRule="auto"/>
      </w:pPr>
      <w:r>
        <w:t>Strengthening primary health services; and</w:t>
      </w:r>
    </w:p>
    <w:p w:rsidR="00D81690" w:rsidRDefault="00D81690" w:rsidP="00D81690">
      <w:pPr>
        <w:pStyle w:val="ListBullet"/>
        <w:numPr>
          <w:ilvl w:val="0"/>
          <w:numId w:val="33"/>
        </w:numPr>
        <w:tabs>
          <w:tab w:val="clear" w:pos="284"/>
        </w:tabs>
        <w:spacing w:line="240" w:lineRule="auto"/>
      </w:pPr>
      <w:r>
        <w:t>Building resilience and economic opportunities in disadvantaged communities.</w:t>
      </w:r>
    </w:p>
    <w:p w:rsidR="00C4074A" w:rsidRDefault="00AC14C9" w:rsidP="00E074C5">
      <w:pPr>
        <w:pStyle w:val="ListBullet"/>
        <w:numPr>
          <w:ilvl w:val="0"/>
          <w:numId w:val="0"/>
        </w:numPr>
      </w:pPr>
      <w:r>
        <w:rPr>
          <w:lang w:eastAsia="zh-CN"/>
        </w:rPr>
        <w:t>T</w:t>
      </w:r>
      <w:r w:rsidR="00CD5DB6">
        <w:rPr>
          <w:lang w:eastAsia="zh-CN"/>
        </w:rPr>
        <w:t xml:space="preserve">he Fiji program maintained a green rating against all </w:t>
      </w:r>
      <w:r>
        <w:rPr>
          <w:lang w:eastAsia="zh-CN"/>
        </w:rPr>
        <w:t>three</w:t>
      </w:r>
      <w:r w:rsidR="00CD5DB6">
        <w:rPr>
          <w:lang w:eastAsia="zh-CN"/>
        </w:rPr>
        <w:t xml:space="preserve"> objectives for the third </w:t>
      </w:r>
      <w:r w:rsidR="007707C4">
        <w:rPr>
          <w:lang w:eastAsia="zh-CN"/>
        </w:rPr>
        <w:t>consecutive</w:t>
      </w:r>
      <w:r w:rsidR="00CD5DB6">
        <w:rPr>
          <w:lang w:eastAsia="zh-CN"/>
        </w:rPr>
        <w:t xml:space="preserve"> year. </w:t>
      </w:r>
    </w:p>
    <w:p w:rsidR="000D733F" w:rsidRDefault="000D733F" w:rsidP="005901D2">
      <w:pPr>
        <w:pStyle w:val="Caption"/>
      </w:pPr>
      <w:r>
        <w:lastRenderedPageBreak/>
        <w:t xml:space="preserve">Table </w:t>
      </w:r>
      <w:fldSimple w:instr=" SEQ Table \* ARABIC ">
        <w:r w:rsidR="00B40EA5">
          <w:rPr>
            <w:noProof/>
          </w:rPr>
          <w:t>2</w:t>
        </w:r>
      </w:fldSimple>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Look w:val="0000" w:firstRow="0" w:lastRow="0" w:firstColumn="0" w:lastColumn="0" w:noHBand="0" w:noVBand="0"/>
      </w:tblPr>
      <w:tblGrid>
        <w:gridCol w:w="6234"/>
        <w:gridCol w:w="1026"/>
        <w:gridCol w:w="426"/>
        <w:gridCol w:w="1091"/>
      </w:tblGrid>
      <w:tr w:rsidR="000D733F" w:rsidRPr="0019341B" w:rsidTr="00770BFB">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0D733F" w:rsidRPr="0019341B" w:rsidRDefault="000D733F" w:rsidP="000D733F">
            <w:pPr>
              <w:pStyle w:val="TableTextColumnHeading"/>
            </w:pPr>
            <w:r w:rsidRPr="0019341B">
              <w:rPr>
                <w:noProof/>
                <w:lang w:eastAsia="en-AU"/>
              </w:rPr>
              <w:drawing>
                <wp:anchor distT="0" distB="0" distL="114300" distR="114300" simplePos="0" relativeHeight="251663360" behindDoc="0" locked="0" layoutInCell="1" allowOverlap="1" wp14:anchorId="049B23C8" wp14:editId="4EB85F03">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0D733F" w:rsidRPr="0019341B" w:rsidRDefault="004F4630" w:rsidP="000D733F">
            <w:pPr>
              <w:pStyle w:val="TableTextColumnHeading"/>
            </w:pPr>
            <w:r>
              <w:t>Previous Rating</w:t>
            </w:r>
          </w:p>
        </w:tc>
        <w:tc>
          <w:tcPr>
            <w:tcW w:w="398" w:type="dxa"/>
          </w:tcPr>
          <w:p w:rsidR="000D733F" w:rsidRDefault="000D733F" w:rsidP="000D733F">
            <w:pPr>
              <w:pStyle w:val="TableTextColumnHeading"/>
            </w:pPr>
          </w:p>
        </w:tc>
        <w:tc>
          <w:tcPr>
            <w:tcW w:w="1049" w:type="dxa"/>
          </w:tcPr>
          <w:p w:rsidR="000D733F" w:rsidRPr="0019341B" w:rsidRDefault="004F4630" w:rsidP="000D733F">
            <w:pPr>
              <w:pStyle w:val="TableTextColumnHeading"/>
            </w:pPr>
            <w:r>
              <w:t>Current Rating</w:t>
            </w:r>
          </w:p>
        </w:tc>
      </w:tr>
      <w:tr w:rsidR="00770BFB" w:rsidRPr="009D53C4" w:rsidTr="00770BFB">
        <w:trPr>
          <w:cnfStyle w:val="000000010000" w:firstRow="0" w:lastRow="0" w:firstColumn="0" w:lastColumn="0" w:oddVBand="0" w:evenVBand="0" w:oddHBand="0" w:evenHBand="1" w:firstRowFirstColumn="0" w:firstRowLastColumn="0" w:lastRowFirstColumn="0" w:lastRowLastColumn="0"/>
        </w:trPr>
        <w:tc>
          <w:tcPr>
            <w:tcW w:w="6192" w:type="dxa"/>
          </w:tcPr>
          <w:p w:rsidR="00770BFB" w:rsidRPr="0019341B" w:rsidRDefault="00770BFB" w:rsidP="00770BFB">
            <w:pPr>
              <w:pStyle w:val="TableTextEntries"/>
            </w:pPr>
            <w:r>
              <w:t xml:space="preserve">Improving access to quality education </w:t>
            </w:r>
          </w:p>
        </w:tc>
        <w:tc>
          <w:tcPr>
            <w:tcW w:w="998" w:type="dxa"/>
            <w:shd w:val="clear" w:color="auto" w:fill="92D050"/>
            <w:noWrap/>
          </w:tcPr>
          <w:p w:rsidR="00770BFB" w:rsidRPr="00443639" w:rsidRDefault="00770BFB" w:rsidP="000D733F">
            <w:pPr>
              <w:pStyle w:val="TableTextEntries"/>
              <w:jc w:val="center"/>
              <w:rPr>
                <w:color w:val="FFFFFF" w:themeColor="background1"/>
              </w:rPr>
            </w:pPr>
            <w:r w:rsidRPr="00443639">
              <w:rPr>
                <w:color w:val="FFFFFF" w:themeColor="background1"/>
              </w:rPr>
              <w:t>Green</w:t>
            </w:r>
          </w:p>
        </w:tc>
        <w:tc>
          <w:tcPr>
            <w:tcW w:w="398" w:type="dxa"/>
          </w:tcPr>
          <w:p w:rsidR="00770BFB" w:rsidRPr="00443639" w:rsidRDefault="00770BFB" w:rsidP="000D733F">
            <w:pPr>
              <w:pStyle w:val="TableTextEntries"/>
              <w:jc w:val="center"/>
              <w:rPr>
                <w:color w:val="FFFFFF" w:themeColor="background1"/>
              </w:rPr>
            </w:pPr>
          </w:p>
        </w:tc>
        <w:tc>
          <w:tcPr>
            <w:tcW w:w="1049" w:type="dxa"/>
            <w:shd w:val="clear" w:color="auto" w:fill="92D050"/>
            <w:noWrap/>
          </w:tcPr>
          <w:p w:rsidR="00770BFB" w:rsidRPr="00443639" w:rsidRDefault="00770BFB" w:rsidP="00770BFB">
            <w:pPr>
              <w:pStyle w:val="TableTextEntries"/>
              <w:jc w:val="center"/>
              <w:rPr>
                <w:color w:val="FFFFFF" w:themeColor="background1"/>
              </w:rPr>
            </w:pPr>
            <w:r w:rsidRPr="00443639">
              <w:rPr>
                <w:color w:val="FFFFFF" w:themeColor="background1"/>
              </w:rPr>
              <w:t>Green</w:t>
            </w:r>
          </w:p>
        </w:tc>
      </w:tr>
      <w:tr w:rsidR="00770BFB" w:rsidRPr="009D53C4" w:rsidTr="00770BFB">
        <w:trPr>
          <w:cnfStyle w:val="000000010000" w:firstRow="0" w:lastRow="0" w:firstColumn="0" w:lastColumn="0" w:oddVBand="0" w:evenVBand="0" w:oddHBand="0" w:evenHBand="1" w:firstRowFirstColumn="0" w:firstRowLastColumn="0" w:lastRowFirstColumn="0" w:lastRowLastColumn="0"/>
        </w:trPr>
        <w:tc>
          <w:tcPr>
            <w:tcW w:w="6192" w:type="dxa"/>
          </w:tcPr>
          <w:p w:rsidR="00770BFB" w:rsidRPr="0019341B" w:rsidRDefault="00770BFB" w:rsidP="000D733F">
            <w:pPr>
              <w:pStyle w:val="TableTextEntries"/>
            </w:pPr>
            <w:r>
              <w:t>Strengthening primary health services</w:t>
            </w:r>
          </w:p>
        </w:tc>
        <w:tc>
          <w:tcPr>
            <w:tcW w:w="998" w:type="dxa"/>
            <w:shd w:val="clear" w:color="auto" w:fill="92D050"/>
            <w:noWrap/>
          </w:tcPr>
          <w:p w:rsidR="00770BFB" w:rsidRPr="00443639" w:rsidRDefault="00770BFB" w:rsidP="00770BFB">
            <w:pPr>
              <w:pStyle w:val="TableTextEntries"/>
              <w:jc w:val="center"/>
              <w:rPr>
                <w:color w:val="FFFFFF" w:themeColor="background1"/>
              </w:rPr>
            </w:pPr>
            <w:r w:rsidRPr="00443639">
              <w:rPr>
                <w:color w:val="FFFFFF" w:themeColor="background1"/>
              </w:rPr>
              <w:t>Green</w:t>
            </w:r>
          </w:p>
        </w:tc>
        <w:tc>
          <w:tcPr>
            <w:tcW w:w="398" w:type="dxa"/>
          </w:tcPr>
          <w:p w:rsidR="00770BFB" w:rsidRPr="00443639" w:rsidRDefault="00770BFB" w:rsidP="000D733F">
            <w:pPr>
              <w:pStyle w:val="TableTextEntries"/>
              <w:jc w:val="center"/>
              <w:rPr>
                <w:color w:val="FFFFFF" w:themeColor="background1"/>
              </w:rPr>
            </w:pPr>
          </w:p>
        </w:tc>
        <w:tc>
          <w:tcPr>
            <w:tcW w:w="1049" w:type="dxa"/>
            <w:shd w:val="clear" w:color="auto" w:fill="92D050"/>
            <w:noWrap/>
          </w:tcPr>
          <w:p w:rsidR="00770BFB" w:rsidRPr="00443639" w:rsidRDefault="00770BFB" w:rsidP="00770BFB">
            <w:pPr>
              <w:pStyle w:val="TableTextEntries"/>
              <w:jc w:val="center"/>
              <w:rPr>
                <w:color w:val="FFFFFF" w:themeColor="background1"/>
              </w:rPr>
            </w:pPr>
            <w:r w:rsidRPr="00443639">
              <w:rPr>
                <w:color w:val="FFFFFF" w:themeColor="background1"/>
              </w:rPr>
              <w:t>Green</w:t>
            </w:r>
          </w:p>
        </w:tc>
      </w:tr>
      <w:tr w:rsidR="00770BFB" w:rsidRPr="009D53C4" w:rsidTr="00770BFB">
        <w:trPr>
          <w:cnfStyle w:val="000000010000" w:firstRow="0" w:lastRow="0" w:firstColumn="0" w:lastColumn="0" w:oddVBand="0" w:evenVBand="0" w:oddHBand="0" w:evenHBand="1" w:firstRowFirstColumn="0" w:firstRowLastColumn="0" w:lastRowFirstColumn="0" w:lastRowLastColumn="0"/>
        </w:trPr>
        <w:tc>
          <w:tcPr>
            <w:tcW w:w="6192" w:type="dxa"/>
          </w:tcPr>
          <w:p w:rsidR="00770BFB" w:rsidRDefault="00770BFB" w:rsidP="000D733F">
            <w:pPr>
              <w:pStyle w:val="TableTextEntries"/>
            </w:pPr>
            <w:r>
              <w:t>Building resilience and economic opportunities in disadvantaged communities</w:t>
            </w:r>
          </w:p>
        </w:tc>
        <w:tc>
          <w:tcPr>
            <w:tcW w:w="998" w:type="dxa"/>
            <w:shd w:val="clear" w:color="auto" w:fill="92D050"/>
            <w:noWrap/>
          </w:tcPr>
          <w:p w:rsidR="00770BFB" w:rsidRPr="00443639" w:rsidRDefault="00770BFB" w:rsidP="00770BFB">
            <w:pPr>
              <w:pStyle w:val="TableTextEntries"/>
              <w:jc w:val="center"/>
              <w:rPr>
                <w:color w:val="FFFFFF" w:themeColor="background1"/>
              </w:rPr>
            </w:pPr>
            <w:r w:rsidRPr="00443639">
              <w:rPr>
                <w:color w:val="FFFFFF" w:themeColor="background1"/>
              </w:rPr>
              <w:t>Green</w:t>
            </w:r>
          </w:p>
        </w:tc>
        <w:tc>
          <w:tcPr>
            <w:tcW w:w="398" w:type="dxa"/>
          </w:tcPr>
          <w:p w:rsidR="00770BFB" w:rsidRPr="00443639" w:rsidRDefault="00770BFB" w:rsidP="000D733F">
            <w:pPr>
              <w:pStyle w:val="TableTextEntries"/>
              <w:jc w:val="center"/>
              <w:rPr>
                <w:color w:val="FFFFFF" w:themeColor="background1"/>
              </w:rPr>
            </w:pPr>
          </w:p>
        </w:tc>
        <w:tc>
          <w:tcPr>
            <w:tcW w:w="1049" w:type="dxa"/>
            <w:shd w:val="clear" w:color="auto" w:fill="92D050"/>
            <w:noWrap/>
          </w:tcPr>
          <w:p w:rsidR="00770BFB" w:rsidRPr="00443639" w:rsidRDefault="00770BFB" w:rsidP="00770BFB">
            <w:pPr>
              <w:pStyle w:val="TableTextEntries"/>
              <w:jc w:val="center"/>
              <w:rPr>
                <w:color w:val="FFFFFF" w:themeColor="background1"/>
              </w:rPr>
            </w:pPr>
            <w:r w:rsidRPr="00443639">
              <w:rPr>
                <w:color w:val="FFFFFF" w:themeColor="background1"/>
              </w:rPr>
              <w:t>Green</w:t>
            </w:r>
          </w:p>
        </w:tc>
      </w:tr>
    </w:tbl>
    <w:p w:rsidR="000D733F" w:rsidRPr="00180B19" w:rsidRDefault="000D733F" w:rsidP="00582C22">
      <w:pPr>
        <w:pStyle w:val="Note"/>
      </w:pPr>
      <w:r w:rsidRPr="00180B19">
        <w:t xml:space="preserve">Note: </w:t>
      </w:r>
    </w:p>
    <w:p w:rsidR="000D733F" w:rsidRPr="00180B19" w:rsidRDefault="000D733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C7739A" w:rsidRDefault="00C7739A" w:rsidP="007B2B91">
      <w:pPr>
        <w:pStyle w:val="Heading2"/>
      </w:pPr>
      <w:r>
        <w:t>Objective 1: Improving access to quality education</w:t>
      </w:r>
    </w:p>
    <w:p w:rsidR="004F6195" w:rsidRDefault="00C26031" w:rsidP="00C7739A">
      <w:pPr>
        <w:pStyle w:val="ListBullet"/>
        <w:numPr>
          <w:ilvl w:val="0"/>
          <w:numId w:val="0"/>
        </w:numPr>
        <w:tabs>
          <w:tab w:val="clear" w:pos="284"/>
        </w:tabs>
        <w:rPr>
          <w:lang w:eastAsia="zh-CN"/>
        </w:rPr>
      </w:pPr>
      <w:r>
        <w:rPr>
          <w:lang w:eastAsia="zh-CN"/>
        </w:rPr>
        <w:t>Australia remains Fiji’s largest donor in</w:t>
      </w:r>
      <w:r w:rsidR="003905DE">
        <w:rPr>
          <w:lang w:eastAsia="zh-CN"/>
        </w:rPr>
        <w:t xml:space="preserve"> the</w:t>
      </w:r>
      <w:r>
        <w:rPr>
          <w:lang w:eastAsia="zh-CN"/>
        </w:rPr>
        <w:t xml:space="preserve"> education</w:t>
      </w:r>
      <w:r w:rsidR="003905DE">
        <w:rPr>
          <w:lang w:eastAsia="zh-CN"/>
        </w:rPr>
        <w:t xml:space="preserve"> sector</w:t>
      </w:r>
      <w:r>
        <w:rPr>
          <w:lang w:eastAsia="zh-CN"/>
        </w:rPr>
        <w:t xml:space="preserve">. </w:t>
      </w:r>
      <w:r w:rsidR="004F6195">
        <w:t>The sector</w:t>
      </w:r>
      <w:r w:rsidR="003905DE">
        <w:t xml:space="preserve"> is undergoing significant</w:t>
      </w:r>
      <w:r w:rsidR="004F6195">
        <w:t xml:space="preserve"> change, primarily driven by the </w:t>
      </w:r>
      <w:r w:rsidR="009F3775">
        <w:t xml:space="preserve">fast-paced </w:t>
      </w:r>
      <w:r w:rsidR="004F6195">
        <w:t xml:space="preserve">reform agenda of the Minister for Education. </w:t>
      </w:r>
      <w:r w:rsidR="003767B6">
        <w:t xml:space="preserve">In 2014, the Fijian Government </w:t>
      </w:r>
      <w:r w:rsidR="00845875">
        <w:t xml:space="preserve">declared </w:t>
      </w:r>
      <w:r w:rsidR="003767B6">
        <w:t xml:space="preserve">education a national priority, implementing fee-free primary </w:t>
      </w:r>
      <w:r w:rsidR="009F3775">
        <w:t xml:space="preserve">and secondary </w:t>
      </w:r>
      <w:r w:rsidR="003767B6">
        <w:t>education and free milk for all Year One students</w:t>
      </w:r>
      <w:r>
        <w:t xml:space="preserve">. </w:t>
      </w:r>
      <w:r w:rsidR="008E2BC3">
        <w:t xml:space="preserve">The Ministry has also introduced a large number of new technical schools, curriculum reforms, examination and assessment changes and a new school performance assessment system. </w:t>
      </w:r>
      <w:r w:rsidR="008E2BC3">
        <w:rPr>
          <w:lang w:eastAsia="zh-CN"/>
        </w:rPr>
        <w:t>The fast pace of these</w:t>
      </w:r>
      <w:r w:rsidR="004F6195">
        <w:rPr>
          <w:lang w:eastAsia="zh-CN"/>
        </w:rPr>
        <w:t xml:space="preserve"> re</w:t>
      </w:r>
      <w:r w:rsidR="00BB7AF1">
        <w:rPr>
          <w:lang w:eastAsia="zh-CN"/>
        </w:rPr>
        <w:t>form</w:t>
      </w:r>
      <w:r w:rsidR="008E2BC3">
        <w:rPr>
          <w:lang w:eastAsia="zh-CN"/>
        </w:rPr>
        <w:t>s</w:t>
      </w:r>
      <w:r w:rsidR="003108CF">
        <w:rPr>
          <w:lang w:eastAsia="zh-CN"/>
        </w:rPr>
        <w:t xml:space="preserve"> </w:t>
      </w:r>
      <w:r w:rsidR="008E2BC3">
        <w:rPr>
          <w:lang w:eastAsia="zh-CN"/>
        </w:rPr>
        <w:t>ha</w:t>
      </w:r>
      <w:r w:rsidR="00845875">
        <w:rPr>
          <w:lang w:eastAsia="zh-CN"/>
        </w:rPr>
        <w:t>s</w:t>
      </w:r>
      <w:r w:rsidR="008E2BC3">
        <w:rPr>
          <w:lang w:eastAsia="zh-CN"/>
        </w:rPr>
        <w:t xml:space="preserve"> resulted in</w:t>
      </w:r>
      <w:r w:rsidR="00BB7AF1">
        <w:rPr>
          <w:lang w:eastAsia="zh-CN"/>
        </w:rPr>
        <w:t xml:space="preserve"> capacity constraints and </w:t>
      </w:r>
      <w:r w:rsidR="003905DE">
        <w:rPr>
          <w:lang w:eastAsia="zh-CN"/>
        </w:rPr>
        <w:t>challenges</w:t>
      </w:r>
      <w:r w:rsidR="008E2BC3">
        <w:rPr>
          <w:lang w:eastAsia="zh-CN"/>
        </w:rPr>
        <w:t xml:space="preserve"> in the Ministry</w:t>
      </w:r>
      <w:r w:rsidR="009A6A8E">
        <w:rPr>
          <w:lang w:eastAsia="zh-CN"/>
        </w:rPr>
        <w:t xml:space="preserve"> of Education (MOE)</w:t>
      </w:r>
      <w:r w:rsidR="003905DE">
        <w:rPr>
          <w:lang w:eastAsia="zh-CN"/>
        </w:rPr>
        <w:t>.</w:t>
      </w:r>
      <w:r w:rsidR="00BB7AF1">
        <w:rPr>
          <w:lang w:eastAsia="zh-CN"/>
        </w:rPr>
        <w:t xml:space="preserve"> </w:t>
      </w:r>
      <w:r w:rsidR="004F1676">
        <w:rPr>
          <w:lang w:eastAsia="zh-CN"/>
        </w:rPr>
        <w:t>Australian aid</w:t>
      </w:r>
      <w:r w:rsidR="00BB7AF1">
        <w:rPr>
          <w:lang w:eastAsia="zh-CN"/>
        </w:rPr>
        <w:t xml:space="preserve"> </w:t>
      </w:r>
      <w:r w:rsidR="00845875">
        <w:rPr>
          <w:lang w:eastAsia="zh-CN"/>
        </w:rPr>
        <w:t>assist</w:t>
      </w:r>
      <w:r w:rsidR="009F1FCB">
        <w:rPr>
          <w:lang w:eastAsia="zh-CN"/>
        </w:rPr>
        <w:t>ed</w:t>
      </w:r>
      <w:r w:rsidR="00845875">
        <w:rPr>
          <w:lang w:eastAsia="zh-CN"/>
        </w:rPr>
        <w:t xml:space="preserve"> </w:t>
      </w:r>
      <w:r w:rsidR="00F24252">
        <w:rPr>
          <w:lang w:eastAsia="zh-CN"/>
        </w:rPr>
        <w:t xml:space="preserve">Fiji’s </w:t>
      </w:r>
      <w:r w:rsidR="003108CF">
        <w:rPr>
          <w:lang w:eastAsia="zh-CN"/>
        </w:rPr>
        <w:t>MOE</w:t>
      </w:r>
      <w:r w:rsidR="00F24252">
        <w:rPr>
          <w:lang w:eastAsia="zh-CN"/>
        </w:rPr>
        <w:t xml:space="preserve"> to </w:t>
      </w:r>
      <w:r w:rsidR="00845875">
        <w:rPr>
          <w:lang w:eastAsia="zh-CN"/>
        </w:rPr>
        <w:t>implement</w:t>
      </w:r>
      <w:r w:rsidR="00F24252">
        <w:rPr>
          <w:lang w:eastAsia="zh-CN"/>
        </w:rPr>
        <w:t xml:space="preserve"> </w:t>
      </w:r>
      <w:r w:rsidR="008E2BC3">
        <w:rPr>
          <w:lang w:eastAsia="zh-CN"/>
        </w:rPr>
        <w:t>some of these</w:t>
      </w:r>
      <w:r w:rsidR="00F24252">
        <w:rPr>
          <w:lang w:eastAsia="zh-CN"/>
        </w:rPr>
        <w:t xml:space="preserve"> new initiatives</w:t>
      </w:r>
      <w:r w:rsidR="00BB7AF1">
        <w:rPr>
          <w:lang w:eastAsia="zh-CN"/>
        </w:rPr>
        <w:t>.</w:t>
      </w:r>
    </w:p>
    <w:p w:rsidR="00100106" w:rsidRDefault="00C7739A" w:rsidP="00A8441D">
      <w:pPr>
        <w:pStyle w:val="ListBullet"/>
        <w:numPr>
          <w:ilvl w:val="0"/>
          <w:numId w:val="0"/>
        </w:numPr>
        <w:tabs>
          <w:tab w:val="clear" w:pos="284"/>
        </w:tabs>
        <w:rPr>
          <w:lang w:eastAsia="zh-CN"/>
        </w:rPr>
      </w:pPr>
      <w:r>
        <w:rPr>
          <w:lang w:eastAsia="zh-CN"/>
        </w:rPr>
        <w:t>I</w:t>
      </w:r>
      <w:r w:rsidR="004F6195">
        <w:rPr>
          <w:lang w:eastAsia="zh-CN"/>
        </w:rPr>
        <w:t>n its fourth year of operation,</w:t>
      </w:r>
      <w:r>
        <w:rPr>
          <w:lang w:eastAsia="zh-CN"/>
        </w:rPr>
        <w:t xml:space="preserve"> </w:t>
      </w:r>
      <w:r w:rsidR="00EB0527">
        <w:rPr>
          <w:lang w:eastAsia="zh-CN"/>
        </w:rPr>
        <w:t>t</w:t>
      </w:r>
      <w:r w:rsidR="00A8441D">
        <w:rPr>
          <w:lang w:eastAsia="zh-CN"/>
        </w:rPr>
        <w:t xml:space="preserve">he benefits of </w:t>
      </w:r>
      <w:r w:rsidR="004F1676">
        <w:rPr>
          <w:lang w:eastAsia="zh-CN"/>
        </w:rPr>
        <w:t xml:space="preserve">the </w:t>
      </w:r>
      <w:r w:rsidR="00A8441D">
        <w:rPr>
          <w:lang w:eastAsia="zh-CN"/>
        </w:rPr>
        <w:t>A</w:t>
      </w:r>
      <w:r w:rsidR="006D7C86">
        <w:rPr>
          <w:lang w:eastAsia="zh-CN"/>
        </w:rPr>
        <w:t>ccess to Quality Education Program (A</w:t>
      </w:r>
      <w:r w:rsidR="00A8441D">
        <w:rPr>
          <w:lang w:eastAsia="zh-CN"/>
        </w:rPr>
        <w:t>QEP</w:t>
      </w:r>
      <w:r w:rsidR="006D7C86">
        <w:rPr>
          <w:lang w:eastAsia="zh-CN"/>
        </w:rPr>
        <w:t>)</w:t>
      </w:r>
      <w:r w:rsidR="00A8441D">
        <w:rPr>
          <w:lang w:eastAsia="zh-CN"/>
        </w:rPr>
        <w:t xml:space="preserve"> are beginning to show in the </w:t>
      </w:r>
      <w:r w:rsidR="008B227D">
        <w:rPr>
          <w:lang w:eastAsia="zh-CN"/>
        </w:rPr>
        <w:t xml:space="preserve">85 </w:t>
      </w:r>
      <w:r w:rsidR="00A8441D">
        <w:rPr>
          <w:lang w:eastAsia="zh-CN"/>
        </w:rPr>
        <w:t>AQEP targeted schools,</w:t>
      </w:r>
      <w:r w:rsidR="00774A09">
        <w:rPr>
          <w:lang w:eastAsia="zh-CN"/>
        </w:rPr>
        <w:t xml:space="preserve"> which constitute 12% of Fiji’s primary schools and were selected in areas of greatest socio-economic disadvantage across the country. The AQEP’s investments are also strengthening education systems that are beneficial to all schools in the country, particularly through the development of the region’s most advanced Education Management Information System and support to digitalise literacy and numeracy data so that it can be analysed and used in real time.</w:t>
      </w:r>
      <w:r w:rsidR="00A8441D">
        <w:rPr>
          <w:lang w:eastAsia="zh-CN"/>
        </w:rPr>
        <w:t xml:space="preserve"> </w:t>
      </w:r>
    </w:p>
    <w:p w:rsidR="00A8441D" w:rsidRDefault="003E519D" w:rsidP="00A8441D">
      <w:pPr>
        <w:pStyle w:val="ListBullet"/>
        <w:numPr>
          <w:ilvl w:val="0"/>
          <w:numId w:val="0"/>
        </w:numPr>
        <w:tabs>
          <w:tab w:val="clear" w:pos="284"/>
        </w:tabs>
        <w:rPr>
          <w:lang w:eastAsia="zh-CN"/>
        </w:rPr>
      </w:pPr>
      <w:r>
        <w:rPr>
          <w:lang w:eastAsia="zh-CN"/>
        </w:rPr>
        <w:t>The AQEP has 21 end-of-program outcomes and is on track to meet 16 and partially on track for the remaining 5.</w:t>
      </w:r>
      <w:r w:rsidR="00A8441D">
        <w:rPr>
          <w:lang w:eastAsia="zh-CN"/>
        </w:rPr>
        <w:t xml:space="preserve"> </w:t>
      </w:r>
      <w:r w:rsidR="00774A09">
        <w:rPr>
          <w:lang w:eastAsia="zh-CN"/>
        </w:rPr>
        <w:t>T</w:t>
      </w:r>
      <w:r w:rsidR="00374B60">
        <w:rPr>
          <w:lang w:eastAsia="zh-CN"/>
        </w:rPr>
        <w:t>his objective</w:t>
      </w:r>
      <w:r w:rsidR="005B1E12">
        <w:rPr>
          <w:lang w:eastAsia="zh-CN"/>
        </w:rPr>
        <w:t xml:space="preserve"> received a ‘green’ rating as it</w:t>
      </w:r>
      <w:r w:rsidR="006D7C86">
        <w:rPr>
          <w:lang w:eastAsia="zh-CN"/>
        </w:rPr>
        <w:t xml:space="preserve"> delivered good results in all three priority area</w:t>
      </w:r>
      <w:r w:rsidR="005B1E12">
        <w:rPr>
          <w:lang w:eastAsia="zh-CN"/>
        </w:rPr>
        <w:t>s.</w:t>
      </w:r>
      <w:r w:rsidR="006D7C86">
        <w:rPr>
          <w:lang w:eastAsia="zh-CN"/>
        </w:rPr>
        <w:t xml:space="preserve"> </w:t>
      </w:r>
      <w:r w:rsidR="00A8441D">
        <w:rPr>
          <w:lang w:eastAsia="zh-CN"/>
        </w:rPr>
        <w:t xml:space="preserve"> </w:t>
      </w:r>
    </w:p>
    <w:p w:rsidR="00C01354" w:rsidRDefault="006D7C86" w:rsidP="00E074C5">
      <w:pPr>
        <w:pStyle w:val="ListBullet"/>
        <w:numPr>
          <w:ilvl w:val="0"/>
          <w:numId w:val="48"/>
        </w:numPr>
        <w:tabs>
          <w:tab w:val="clear" w:pos="284"/>
        </w:tabs>
        <w:ind w:left="426"/>
        <w:rPr>
          <w:lang w:eastAsia="zh-CN"/>
        </w:rPr>
      </w:pPr>
      <w:r w:rsidRPr="00E074C5">
        <w:rPr>
          <w:b/>
          <w:lang w:eastAsia="zh-CN"/>
        </w:rPr>
        <w:t>Increasing access and quality</w:t>
      </w:r>
      <w:r>
        <w:rPr>
          <w:lang w:eastAsia="zh-CN"/>
        </w:rPr>
        <w:t xml:space="preserve">. </w:t>
      </w:r>
      <w:r w:rsidR="001470EA">
        <w:rPr>
          <w:lang w:eastAsia="zh-CN"/>
        </w:rPr>
        <w:t xml:space="preserve">The </w:t>
      </w:r>
      <w:r w:rsidR="007406CA">
        <w:rPr>
          <w:lang w:eastAsia="zh-CN"/>
        </w:rPr>
        <w:t>AQEP</w:t>
      </w:r>
      <w:r>
        <w:rPr>
          <w:lang w:eastAsia="zh-CN"/>
        </w:rPr>
        <w:t xml:space="preserve"> aims to</w:t>
      </w:r>
      <w:r w:rsidR="007406CA">
        <w:rPr>
          <w:lang w:eastAsia="zh-CN"/>
        </w:rPr>
        <w:t xml:space="preserve"> increase enrolment and attendance of disadvantaged children </w:t>
      </w:r>
      <w:r w:rsidR="00C7739A">
        <w:rPr>
          <w:lang w:eastAsia="zh-CN"/>
        </w:rPr>
        <w:t>through</w:t>
      </w:r>
      <w:r w:rsidR="007406CA">
        <w:rPr>
          <w:lang w:eastAsia="zh-CN"/>
        </w:rPr>
        <w:t xml:space="preserve"> school based management grants. </w:t>
      </w:r>
      <w:r w:rsidR="00EB0527">
        <w:rPr>
          <w:lang w:eastAsia="zh-CN"/>
        </w:rPr>
        <w:t>With</w:t>
      </w:r>
      <w:r w:rsidR="001470EA">
        <w:rPr>
          <w:lang w:eastAsia="zh-CN"/>
        </w:rPr>
        <w:t xml:space="preserve"> </w:t>
      </w:r>
      <w:r w:rsidR="00EB0527">
        <w:rPr>
          <w:lang w:eastAsia="zh-CN"/>
        </w:rPr>
        <w:t xml:space="preserve">the </w:t>
      </w:r>
      <w:r w:rsidR="00A13076">
        <w:rPr>
          <w:lang w:eastAsia="zh-CN"/>
        </w:rPr>
        <w:t>AQEP</w:t>
      </w:r>
      <w:r w:rsidR="00EB0527">
        <w:rPr>
          <w:lang w:eastAsia="zh-CN"/>
        </w:rPr>
        <w:t>’s</w:t>
      </w:r>
      <w:r w:rsidR="00A13076">
        <w:rPr>
          <w:lang w:eastAsia="zh-CN"/>
        </w:rPr>
        <w:t xml:space="preserve"> assistance, rural </w:t>
      </w:r>
      <w:r w:rsidR="003767B6">
        <w:rPr>
          <w:lang w:eastAsia="zh-CN"/>
        </w:rPr>
        <w:t xml:space="preserve">and remote schools </w:t>
      </w:r>
      <w:r w:rsidR="00A13076">
        <w:rPr>
          <w:lang w:eastAsia="zh-CN"/>
        </w:rPr>
        <w:t xml:space="preserve">have been </w:t>
      </w:r>
      <w:r w:rsidR="003767B6">
        <w:rPr>
          <w:lang w:eastAsia="zh-CN"/>
        </w:rPr>
        <w:t>encouraging</w:t>
      </w:r>
      <w:r w:rsidR="00A13076">
        <w:rPr>
          <w:lang w:eastAsia="zh-CN"/>
        </w:rPr>
        <w:t xml:space="preserve"> </w:t>
      </w:r>
      <w:r w:rsidR="00F57701">
        <w:rPr>
          <w:lang w:eastAsia="zh-CN"/>
        </w:rPr>
        <w:t xml:space="preserve">increased </w:t>
      </w:r>
      <w:r w:rsidR="00A13076">
        <w:rPr>
          <w:lang w:eastAsia="zh-CN"/>
        </w:rPr>
        <w:t>student</w:t>
      </w:r>
      <w:r w:rsidR="003767B6">
        <w:rPr>
          <w:lang w:eastAsia="zh-CN"/>
        </w:rPr>
        <w:t xml:space="preserve"> attendance by improving accommodation</w:t>
      </w:r>
      <w:r w:rsidR="0015291B">
        <w:rPr>
          <w:lang w:eastAsia="zh-CN"/>
        </w:rPr>
        <w:t>,</w:t>
      </w:r>
      <w:r w:rsidR="003767B6">
        <w:rPr>
          <w:lang w:eastAsia="zh-CN"/>
        </w:rPr>
        <w:t xml:space="preserve"> food and recreational standards for boarding students</w:t>
      </w:r>
      <w:r w:rsidR="00374B60">
        <w:rPr>
          <w:lang w:eastAsia="zh-CN"/>
        </w:rPr>
        <w:t xml:space="preserve"> in targeted schools</w:t>
      </w:r>
      <w:r w:rsidR="002D5132">
        <w:rPr>
          <w:lang w:eastAsia="zh-CN"/>
        </w:rPr>
        <w:t>.</w:t>
      </w:r>
      <w:r w:rsidR="003767B6">
        <w:rPr>
          <w:lang w:eastAsia="zh-CN"/>
        </w:rPr>
        <w:t xml:space="preserve"> </w:t>
      </w:r>
    </w:p>
    <w:p w:rsidR="002C6B91" w:rsidRPr="003108CF" w:rsidRDefault="001470EA" w:rsidP="00E074C5">
      <w:pPr>
        <w:pStyle w:val="ListBullet"/>
        <w:numPr>
          <w:ilvl w:val="0"/>
          <w:numId w:val="0"/>
        </w:numPr>
        <w:tabs>
          <w:tab w:val="clear" w:pos="284"/>
        </w:tabs>
        <w:ind w:left="426"/>
        <w:rPr>
          <w:lang w:eastAsia="zh-CN"/>
        </w:rPr>
      </w:pPr>
      <w:r>
        <w:rPr>
          <w:lang w:eastAsia="zh-CN"/>
        </w:rPr>
        <w:t>The AQEP</w:t>
      </w:r>
      <w:r w:rsidR="00F71327" w:rsidRPr="003108CF">
        <w:rPr>
          <w:lang w:eastAsia="zh-CN"/>
        </w:rPr>
        <w:t xml:space="preserve"> is also supporting improvements in education quality and learning outcomes</w:t>
      </w:r>
      <w:r w:rsidR="00FE669B">
        <w:rPr>
          <w:lang w:eastAsia="zh-CN"/>
        </w:rPr>
        <w:t xml:space="preserve"> in targeted schools</w:t>
      </w:r>
      <w:r w:rsidR="00100106">
        <w:rPr>
          <w:lang w:eastAsia="zh-CN"/>
        </w:rPr>
        <w:t>, with student test results in literacy improving.</w:t>
      </w:r>
      <w:r w:rsidR="00100106" w:rsidRPr="003108CF">
        <w:rPr>
          <w:lang w:eastAsia="zh-CN"/>
        </w:rPr>
        <w:t xml:space="preserve"> </w:t>
      </w:r>
      <w:r w:rsidR="00100106">
        <w:rPr>
          <w:lang w:eastAsia="zh-CN"/>
        </w:rPr>
        <w:t>T</w:t>
      </w:r>
      <w:r w:rsidR="002C6B91" w:rsidRPr="003108CF">
        <w:rPr>
          <w:lang w:eastAsia="zh-CN"/>
        </w:rPr>
        <w:t>he proportion of students in the bottom quartile of the Literacy and Numeracy Assessment (LANA) test results has dropped significantly for literacy</w:t>
      </w:r>
      <w:r w:rsidR="00C9680D">
        <w:rPr>
          <w:lang w:eastAsia="zh-CN"/>
        </w:rPr>
        <w:t xml:space="preserve"> in the AQEP supported schools</w:t>
      </w:r>
      <w:r w:rsidR="002C6B91" w:rsidRPr="003108CF">
        <w:rPr>
          <w:lang w:eastAsia="zh-CN"/>
        </w:rPr>
        <w:t xml:space="preserve">. In 2014-15, 23% of Year 4 students in </w:t>
      </w:r>
      <w:r>
        <w:rPr>
          <w:lang w:eastAsia="zh-CN"/>
        </w:rPr>
        <w:t>the</w:t>
      </w:r>
      <w:r w:rsidRPr="003108CF">
        <w:rPr>
          <w:lang w:eastAsia="zh-CN"/>
        </w:rPr>
        <w:t xml:space="preserve"> </w:t>
      </w:r>
      <w:r w:rsidR="002C6B91" w:rsidRPr="003108CF">
        <w:rPr>
          <w:lang w:eastAsia="zh-CN"/>
        </w:rPr>
        <w:t>AQ</w:t>
      </w:r>
      <w:r w:rsidR="00F71327" w:rsidRPr="003108CF">
        <w:rPr>
          <w:lang w:eastAsia="zh-CN"/>
        </w:rPr>
        <w:t xml:space="preserve">EP supported schools </w:t>
      </w:r>
      <w:r w:rsidR="002C6B91" w:rsidRPr="003108CF">
        <w:rPr>
          <w:lang w:eastAsia="zh-CN"/>
        </w:rPr>
        <w:t xml:space="preserve">were in the bottom quartile for literacy, compared to 32% in 2011. This improvement </w:t>
      </w:r>
      <w:r w:rsidR="00020BBA">
        <w:rPr>
          <w:lang w:eastAsia="zh-CN"/>
        </w:rPr>
        <w:t>met the AQEP intermediate target</w:t>
      </w:r>
      <w:r w:rsidR="00100106">
        <w:rPr>
          <w:lang w:eastAsia="zh-CN"/>
        </w:rPr>
        <w:t xml:space="preserve"> and is</w:t>
      </w:r>
      <w:r w:rsidR="00020BBA">
        <w:rPr>
          <w:lang w:eastAsia="zh-CN"/>
        </w:rPr>
        <w:t xml:space="preserve"> </w:t>
      </w:r>
      <w:r w:rsidR="002C6B91" w:rsidRPr="003108CF">
        <w:rPr>
          <w:lang w:eastAsia="zh-CN"/>
        </w:rPr>
        <w:t xml:space="preserve">a result of the provision of teaching and learning resources to </w:t>
      </w:r>
      <w:r>
        <w:rPr>
          <w:lang w:eastAsia="zh-CN"/>
        </w:rPr>
        <w:t>the</w:t>
      </w:r>
      <w:r w:rsidRPr="003108CF">
        <w:rPr>
          <w:lang w:eastAsia="zh-CN"/>
        </w:rPr>
        <w:t xml:space="preserve"> </w:t>
      </w:r>
      <w:r w:rsidR="002C6B91" w:rsidRPr="003108CF">
        <w:rPr>
          <w:lang w:eastAsia="zh-CN"/>
        </w:rPr>
        <w:t xml:space="preserve">AQEP schools (e.g. 106,920 textbooks provided for all class levels in </w:t>
      </w:r>
      <w:r>
        <w:rPr>
          <w:lang w:eastAsia="zh-CN"/>
        </w:rPr>
        <w:t>the</w:t>
      </w:r>
      <w:r w:rsidRPr="003108CF">
        <w:rPr>
          <w:lang w:eastAsia="zh-CN"/>
        </w:rPr>
        <w:t xml:space="preserve"> </w:t>
      </w:r>
      <w:r w:rsidR="002C6B91" w:rsidRPr="003108CF">
        <w:rPr>
          <w:lang w:eastAsia="zh-CN"/>
        </w:rPr>
        <w:t xml:space="preserve">AQEP schools) and </w:t>
      </w:r>
      <w:r w:rsidR="001154C3">
        <w:rPr>
          <w:lang w:eastAsia="zh-CN"/>
        </w:rPr>
        <w:t>support for schools to develop strategies to assist slow readers</w:t>
      </w:r>
      <w:r w:rsidR="002C6B91" w:rsidRPr="003108CF">
        <w:rPr>
          <w:lang w:eastAsia="zh-CN"/>
        </w:rPr>
        <w:t>.</w:t>
      </w:r>
    </w:p>
    <w:p w:rsidR="00C7739A" w:rsidRDefault="006D7C86" w:rsidP="00E074C5">
      <w:pPr>
        <w:pStyle w:val="ListBullet"/>
        <w:numPr>
          <w:ilvl w:val="0"/>
          <w:numId w:val="48"/>
        </w:numPr>
        <w:tabs>
          <w:tab w:val="clear" w:pos="284"/>
        </w:tabs>
        <w:ind w:left="426"/>
        <w:rPr>
          <w:lang w:eastAsia="zh-CN"/>
        </w:rPr>
      </w:pPr>
      <w:r w:rsidRPr="00E074C5">
        <w:rPr>
          <w:b/>
          <w:lang w:eastAsia="zh-CN"/>
        </w:rPr>
        <w:lastRenderedPageBreak/>
        <w:t>Improving school infrastructure</w:t>
      </w:r>
      <w:r>
        <w:rPr>
          <w:lang w:eastAsia="zh-CN"/>
        </w:rPr>
        <w:t xml:space="preserve">. </w:t>
      </w:r>
      <w:r w:rsidR="001470EA">
        <w:rPr>
          <w:lang w:eastAsia="zh-CN"/>
        </w:rPr>
        <w:t>The</w:t>
      </w:r>
      <w:r w:rsidR="001470EA" w:rsidRPr="003108CF">
        <w:rPr>
          <w:lang w:eastAsia="zh-CN"/>
        </w:rPr>
        <w:t xml:space="preserve"> </w:t>
      </w:r>
      <w:r w:rsidR="002D5132">
        <w:rPr>
          <w:lang w:eastAsia="zh-CN"/>
        </w:rPr>
        <w:t>A</w:t>
      </w:r>
      <w:r w:rsidR="0015291B">
        <w:rPr>
          <w:lang w:eastAsia="zh-CN"/>
        </w:rPr>
        <w:t>Q</w:t>
      </w:r>
      <w:r w:rsidR="002D5132">
        <w:rPr>
          <w:lang w:eastAsia="zh-CN"/>
        </w:rPr>
        <w:t>E</w:t>
      </w:r>
      <w:r w:rsidR="0015291B">
        <w:rPr>
          <w:lang w:eastAsia="zh-CN"/>
        </w:rPr>
        <w:t>P in</w:t>
      </w:r>
      <w:r w:rsidR="002D5132">
        <w:rPr>
          <w:lang w:eastAsia="zh-CN"/>
        </w:rPr>
        <w:t>v</w:t>
      </w:r>
      <w:r w:rsidR="0015291B">
        <w:rPr>
          <w:lang w:eastAsia="zh-CN"/>
        </w:rPr>
        <w:t xml:space="preserve">ests in school infrastructure to provide students </w:t>
      </w:r>
      <w:r w:rsidR="00DE2175">
        <w:rPr>
          <w:lang w:eastAsia="zh-CN"/>
        </w:rPr>
        <w:t xml:space="preserve">and teachers </w:t>
      </w:r>
      <w:r w:rsidR="0015291B">
        <w:rPr>
          <w:lang w:eastAsia="zh-CN"/>
        </w:rPr>
        <w:t xml:space="preserve">with a better </w:t>
      </w:r>
      <w:r w:rsidR="00DE2175">
        <w:rPr>
          <w:lang w:eastAsia="zh-CN"/>
        </w:rPr>
        <w:t>learning environment</w:t>
      </w:r>
      <w:r w:rsidR="0015291B">
        <w:rPr>
          <w:lang w:eastAsia="zh-CN"/>
        </w:rPr>
        <w:t xml:space="preserve">. </w:t>
      </w:r>
      <w:r w:rsidR="004F74C0">
        <w:rPr>
          <w:lang w:eastAsia="zh-CN"/>
        </w:rPr>
        <w:t xml:space="preserve">Together, </w:t>
      </w:r>
      <w:r w:rsidR="001470EA">
        <w:rPr>
          <w:lang w:eastAsia="zh-CN"/>
        </w:rPr>
        <w:t>the</w:t>
      </w:r>
      <w:r w:rsidR="001470EA" w:rsidRPr="003108CF">
        <w:rPr>
          <w:lang w:eastAsia="zh-CN"/>
        </w:rPr>
        <w:t xml:space="preserve"> </w:t>
      </w:r>
      <w:r w:rsidR="004F74C0">
        <w:rPr>
          <w:lang w:eastAsia="zh-CN"/>
        </w:rPr>
        <w:t xml:space="preserve">AQEP and the </w:t>
      </w:r>
      <w:r w:rsidR="00EB49FB">
        <w:rPr>
          <w:lang w:eastAsia="zh-CN"/>
        </w:rPr>
        <w:t>MOE</w:t>
      </w:r>
      <w:r w:rsidR="004F74C0">
        <w:rPr>
          <w:lang w:eastAsia="zh-CN"/>
        </w:rPr>
        <w:t xml:space="preserve"> developed a policy </w:t>
      </w:r>
      <w:r w:rsidR="00DE2175">
        <w:rPr>
          <w:lang w:eastAsia="zh-CN"/>
        </w:rPr>
        <w:t xml:space="preserve">on </w:t>
      </w:r>
      <w:r w:rsidR="004F74C0">
        <w:rPr>
          <w:lang w:eastAsia="zh-CN"/>
        </w:rPr>
        <w:t>minimum infrastructure standards for all schools.</w:t>
      </w:r>
      <w:r w:rsidR="00B7261E">
        <w:rPr>
          <w:lang w:eastAsia="zh-CN"/>
        </w:rPr>
        <w:t xml:space="preserve"> </w:t>
      </w:r>
      <w:r w:rsidR="00DE2175">
        <w:rPr>
          <w:lang w:eastAsia="zh-CN"/>
        </w:rPr>
        <w:t xml:space="preserve">In 2014-15, </w:t>
      </w:r>
      <w:r w:rsidR="001470EA">
        <w:rPr>
          <w:lang w:eastAsia="zh-CN"/>
        </w:rPr>
        <w:t>the</w:t>
      </w:r>
      <w:r w:rsidR="001470EA" w:rsidRPr="003108CF">
        <w:rPr>
          <w:lang w:eastAsia="zh-CN"/>
        </w:rPr>
        <w:t xml:space="preserve"> </w:t>
      </w:r>
      <w:r w:rsidR="004F74C0">
        <w:rPr>
          <w:lang w:eastAsia="zh-CN"/>
        </w:rPr>
        <w:t xml:space="preserve">AQEP invested in upgrading 96 </w:t>
      </w:r>
      <w:r w:rsidR="00C7739A">
        <w:rPr>
          <w:lang w:eastAsia="zh-CN"/>
        </w:rPr>
        <w:t xml:space="preserve">classrooms, </w:t>
      </w:r>
      <w:r w:rsidR="002D5132">
        <w:rPr>
          <w:lang w:eastAsia="zh-CN"/>
        </w:rPr>
        <w:t xml:space="preserve">directly </w:t>
      </w:r>
      <w:r w:rsidR="00290CBE">
        <w:rPr>
          <w:lang w:eastAsia="zh-CN"/>
        </w:rPr>
        <w:t xml:space="preserve">benefitting over </w:t>
      </w:r>
      <w:r w:rsidR="0015291B">
        <w:rPr>
          <w:lang w:eastAsia="zh-CN"/>
        </w:rPr>
        <w:t>2,500 students.</w:t>
      </w:r>
    </w:p>
    <w:p w:rsidR="00C7739A" w:rsidRDefault="006D7C86" w:rsidP="00E074C5">
      <w:pPr>
        <w:pStyle w:val="ListBullet"/>
        <w:numPr>
          <w:ilvl w:val="0"/>
          <w:numId w:val="48"/>
        </w:numPr>
        <w:tabs>
          <w:tab w:val="clear" w:pos="284"/>
        </w:tabs>
        <w:ind w:left="426"/>
      </w:pPr>
      <w:r w:rsidRPr="00E074C5">
        <w:rPr>
          <w:b/>
          <w:lang w:eastAsia="zh-CN"/>
        </w:rPr>
        <w:t>Supporting the Ministry of Education</w:t>
      </w:r>
      <w:r>
        <w:rPr>
          <w:lang w:eastAsia="zh-CN"/>
        </w:rPr>
        <w:t xml:space="preserve">. </w:t>
      </w:r>
      <w:r w:rsidR="00DE2175" w:rsidRPr="00845875">
        <w:t>In 2014</w:t>
      </w:r>
      <w:r w:rsidR="0035430E" w:rsidRPr="00845875">
        <w:t>-</w:t>
      </w:r>
      <w:r w:rsidR="00DE2175" w:rsidRPr="007A4651">
        <w:t xml:space="preserve">15, </w:t>
      </w:r>
      <w:r w:rsidR="001470EA">
        <w:rPr>
          <w:lang w:eastAsia="zh-CN"/>
        </w:rPr>
        <w:t>the</w:t>
      </w:r>
      <w:r w:rsidR="001470EA" w:rsidRPr="003108CF">
        <w:rPr>
          <w:lang w:eastAsia="zh-CN"/>
        </w:rPr>
        <w:t xml:space="preserve"> </w:t>
      </w:r>
      <w:r w:rsidR="00DE2175" w:rsidRPr="007A4651">
        <w:t>AQEP</w:t>
      </w:r>
      <w:r w:rsidR="00DE2175">
        <w:t xml:space="preserve"> supported</w:t>
      </w:r>
      <w:r w:rsidR="00290CBE">
        <w:t xml:space="preserve"> </w:t>
      </w:r>
      <w:r w:rsidR="002D5132">
        <w:rPr>
          <w:lang w:eastAsia="zh-CN"/>
        </w:rPr>
        <w:t>financial management training</w:t>
      </w:r>
      <w:r w:rsidR="00DE2175">
        <w:rPr>
          <w:lang w:eastAsia="zh-CN"/>
        </w:rPr>
        <w:t xml:space="preserve"> at the MOE’s request,</w:t>
      </w:r>
      <w:r w:rsidR="00C8328E">
        <w:rPr>
          <w:lang w:eastAsia="zh-CN"/>
        </w:rPr>
        <w:t xml:space="preserve"> </w:t>
      </w:r>
      <w:r w:rsidR="00DE2175">
        <w:rPr>
          <w:lang w:eastAsia="zh-CN"/>
        </w:rPr>
        <w:t>enabling</w:t>
      </w:r>
      <w:r w:rsidR="002D5132">
        <w:rPr>
          <w:lang w:eastAsia="zh-CN"/>
        </w:rPr>
        <w:t xml:space="preserve"> </w:t>
      </w:r>
      <w:r w:rsidR="00C7739A">
        <w:t>1</w:t>
      </w:r>
      <w:r w:rsidR="00A8441D">
        <w:t>,</w:t>
      </w:r>
      <w:r w:rsidR="00C7739A">
        <w:t xml:space="preserve">104 officials (teachers, </w:t>
      </w:r>
      <w:r w:rsidR="00EB49FB">
        <w:t>MOE</w:t>
      </w:r>
      <w:r w:rsidR="00C7739A">
        <w:t xml:space="preserve"> officials</w:t>
      </w:r>
      <w:r w:rsidR="002D5132">
        <w:t xml:space="preserve"> and</w:t>
      </w:r>
      <w:r w:rsidR="00C7739A">
        <w:t xml:space="preserve"> school management committee members</w:t>
      </w:r>
      <w:r w:rsidR="001154C3">
        <w:t xml:space="preserve"> – covering every primary and secondary school in Fiji</w:t>
      </w:r>
      <w:r w:rsidR="00C7739A">
        <w:t xml:space="preserve">) </w:t>
      </w:r>
      <w:r w:rsidR="00DE2175">
        <w:t>to be trained</w:t>
      </w:r>
      <w:r w:rsidR="008B2AB7">
        <w:t xml:space="preserve"> in time to receive the new fee-free education grants to schools. This brought</w:t>
      </w:r>
      <w:r w:rsidR="00C7739A">
        <w:t xml:space="preserve"> the total number of </w:t>
      </w:r>
      <w:r w:rsidR="002D5132">
        <w:t xml:space="preserve">officials </w:t>
      </w:r>
      <w:r w:rsidR="00C7739A">
        <w:t xml:space="preserve">trained through </w:t>
      </w:r>
      <w:r w:rsidR="001470EA">
        <w:rPr>
          <w:lang w:eastAsia="zh-CN"/>
        </w:rPr>
        <w:t>the</w:t>
      </w:r>
      <w:r w:rsidR="001470EA" w:rsidRPr="003108CF">
        <w:rPr>
          <w:lang w:eastAsia="zh-CN"/>
        </w:rPr>
        <w:t xml:space="preserve"> </w:t>
      </w:r>
      <w:r w:rsidR="00C7739A">
        <w:t>AQEP to 4</w:t>
      </w:r>
      <w:r w:rsidR="00A8441D">
        <w:t>,</w:t>
      </w:r>
      <w:r w:rsidR="00C7739A">
        <w:t>810</w:t>
      </w:r>
      <w:r w:rsidR="00B7261E">
        <w:t xml:space="preserve">. </w:t>
      </w:r>
    </w:p>
    <w:p w:rsidR="00C7739A" w:rsidRDefault="00C26031" w:rsidP="00CA3743">
      <w:pPr>
        <w:pStyle w:val="ListBullet"/>
        <w:numPr>
          <w:ilvl w:val="0"/>
          <w:numId w:val="0"/>
        </w:numPr>
        <w:tabs>
          <w:tab w:val="clear" w:pos="284"/>
        </w:tabs>
      </w:pPr>
      <w:r>
        <w:t xml:space="preserve">Gender equality is </w:t>
      </w:r>
      <w:r w:rsidR="00CD1001">
        <w:t>a core objective</w:t>
      </w:r>
      <w:r>
        <w:t xml:space="preserve"> </w:t>
      </w:r>
      <w:r w:rsidR="00CD1001">
        <w:rPr>
          <w:lang w:eastAsia="zh-CN"/>
        </w:rPr>
        <w:t xml:space="preserve">of </w:t>
      </w:r>
      <w:r w:rsidR="001470EA">
        <w:rPr>
          <w:lang w:eastAsia="zh-CN"/>
        </w:rPr>
        <w:t>the</w:t>
      </w:r>
      <w:r w:rsidR="001470EA" w:rsidRPr="003108CF">
        <w:rPr>
          <w:lang w:eastAsia="zh-CN"/>
        </w:rPr>
        <w:t xml:space="preserve"> </w:t>
      </w:r>
      <w:r>
        <w:t>AQEP</w:t>
      </w:r>
      <w:r w:rsidR="00045551">
        <w:t xml:space="preserve"> which</w:t>
      </w:r>
      <w:r w:rsidR="00CD1001">
        <w:t xml:space="preserve"> benefits both boys and girls in improving enrolment, attendance and learning outcomes. Where there are specific barriers for girls</w:t>
      </w:r>
      <w:r w:rsidR="00310CC5">
        <w:t>, such as ensuring</w:t>
      </w:r>
      <w:r w:rsidR="0081577A">
        <w:t xml:space="preserve"> the availability of</w:t>
      </w:r>
      <w:r w:rsidR="00310CC5">
        <w:t xml:space="preserve"> appropriate feminine hygiene facilities</w:t>
      </w:r>
      <w:r w:rsidR="00CD1001">
        <w:t xml:space="preserve">, </w:t>
      </w:r>
      <w:r w:rsidR="001470EA">
        <w:rPr>
          <w:lang w:eastAsia="zh-CN"/>
        </w:rPr>
        <w:t>the</w:t>
      </w:r>
      <w:r w:rsidR="001470EA" w:rsidRPr="003108CF">
        <w:rPr>
          <w:lang w:eastAsia="zh-CN"/>
        </w:rPr>
        <w:t xml:space="preserve"> </w:t>
      </w:r>
      <w:r w:rsidR="00CD1001">
        <w:t xml:space="preserve">AQEP monitors these and helps schools to address them. </w:t>
      </w:r>
      <w:r w:rsidR="001470EA">
        <w:rPr>
          <w:lang w:eastAsia="zh-CN"/>
        </w:rPr>
        <w:t>The</w:t>
      </w:r>
      <w:r w:rsidR="001470EA" w:rsidRPr="003108CF">
        <w:rPr>
          <w:lang w:eastAsia="zh-CN"/>
        </w:rPr>
        <w:t xml:space="preserve"> </w:t>
      </w:r>
      <w:r w:rsidR="00CD1001">
        <w:t>AQEP organised a</w:t>
      </w:r>
      <w:r w:rsidR="00CA3743">
        <w:t xml:space="preserve"> Women in Leadership Conference in March</w:t>
      </w:r>
      <w:r w:rsidR="00CD1001">
        <w:t xml:space="preserve">. </w:t>
      </w:r>
      <w:r w:rsidR="00310CC5">
        <w:t>For the first time, t</w:t>
      </w:r>
      <w:r w:rsidR="00CD1001">
        <w:t>his Conference</w:t>
      </w:r>
      <w:r w:rsidR="00CA3743">
        <w:t xml:space="preserve"> </w:t>
      </w:r>
      <w:r w:rsidR="00CD1001">
        <w:t xml:space="preserve">brought together female head teachers and school managers, who still remain a large minority, to provide leadership training, networking opportunities and promotion of gender equality in </w:t>
      </w:r>
      <w:r w:rsidR="00F57701">
        <w:t>senior school</w:t>
      </w:r>
      <w:r w:rsidR="00045551">
        <w:t xml:space="preserve"> positions</w:t>
      </w:r>
      <w:r w:rsidR="00CD1001">
        <w:t>.</w:t>
      </w:r>
      <w:r w:rsidR="001470EA" w:rsidRPr="001470EA">
        <w:rPr>
          <w:lang w:eastAsia="zh-CN"/>
        </w:rPr>
        <w:t xml:space="preserve"> </w:t>
      </w:r>
      <w:r w:rsidR="001470EA">
        <w:rPr>
          <w:lang w:eastAsia="zh-CN"/>
        </w:rPr>
        <w:t>The</w:t>
      </w:r>
      <w:r w:rsidR="00CD1001">
        <w:t xml:space="preserve"> AQEP has also required all schools to have one</w:t>
      </w:r>
      <w:r w:rsidR="00474035">
        <w:t xml:space="preserve"> female</w:t>
      </w:r>
      <w:r w:rsidR="00CD1001">
        <w:t xml:space="preserve"> cheque signatory</w:t>
      </w:r>
      <w:r w:rsidR="00474035">
        <w:t>, thereby helping to elevate the status of women leaders at the school</w:t>
      </w:r>
      <w:r w:rsidR="00BB74DD">
        <w:t xml:space="preserve"> and promote gender equality in decision-making</w:t>
      </w:r>
      <w:r w:rsidR="00474035">
        <w:t>.</w:t>
      </w:r>
      <w:r w:rsidR="00CD1001">
        <w:t xml:space="preserve"> </w:t>
      </w:r>
    </w:p>
    <w:p w:rsidR="00C7739A" w:rsidRDefault="00C7739A" w:rsidP="00290CBE">
      <w:pPr>
        <w:pStyle w:val="ListBullet"/>
        <w:numPr>
          <w:ilvl w:val="0"/>
          <w:numId w:val="0"/>
        </w:numPr>
        <w:tabs>
          <w:tab w:val="clear" w:pos="284"/>
        </w:tabs>
      </w:pPr>
      <w:r>
        <w:t>Disability</w:t>
      </w:r>
      <w:r w:rsidR="00290CBE">
        <w:t xml:space="preserve"> inclusiveness </w:t>
      </w:r>
      <w:r w:rsidR="00474035">
        <w:t>is also a key focus of</w:t>
      </w:r>
      <w:r w:rsidR="00290CBE">
        <w:t xml:space="preserve"> </w:t>
      </w:r>
      <w:r w:rsidR="001470EA">
        <w:rPr>
          <w:lang w:eastAsia="zh-CN"/>
        </w:rPr>
        <w:t>the</w:t>
      </w:r>
      <w:r w:rsidR="001470EA" w:rsidRPr="003108CF">
        <w:rPr>
          <w:lang w:eastAsia="zh-CN"/>
        </w:rPr>
        <w:t xml:space="preserve"> </w:t>
      </w:r>
      <w:r w:rsidR="00290CBE">
        <w:t xml:space="preserve">AQEP, </w:t>
      </w:r>
      <w:r w:rsidR="00474035">
        <w:t>aiming to enable</w:t>
      </w:r>
      <w:r w:rsidR="00290CBE">
        <w:t xml:space="preserve"> children with disabilities</w:t>
      </w:r>
      <w:r w:rsidR="00474035">
        <w:t xml:space="preserve"> to</w:t>
      </w:r>
      <w:r w:rsidR="00290CBE">
        <w:t xml:space="preserve"> have improved access to mainstream school</w:t>
      </w:r>
      <w:r w:rsidR="00474035">
        <w:t>s</w:t>
      </w:r>
      <w:r w:rsidR="00290CBE">
        <w:t xml:space="preserve"> through advocacy, training and </w:t>
      </w:r>
      <w:r w:rsidR="00474035">
        <w:t>addressing barriers to access</w:t>
      </w:r>
      <w:r w:rsidR="00290CBE">
        <w:t xml:space="preserve">. </w:t>
      </w:r>
      <w:r w:rsidR="00045551">
        <w:t xml:space="preserve">The Minister for Education launched the Toolkit for Disability Inclusive Education in Fiji, an AQEP initiative in collaboration with the MOE. </w:t>
      </w:r>
      <w:r w:rsidR="00B83B72">
        <w:t xml:space="preserve">18 additional students with a disability were enrolled in </w:t>
      </w:r>
      <w:r w:rsidR="00474035">
        <w:t xml:space="preserve">the </w:t>
      </w:r>
      <w:r w:rsidR="00B83B72">
        <w:t>five demonstration schools</w:t>
      </w:r>
      <w:r w:rsidR="001470EA">
        <w:t xml:space="preserve"> the</w:t>
      </w:r>
      <w:r w:rsidR="00474035">
        <w:t xml:space="preserve"> AQEP is supporting to become disability inclusive</w:t>
      </w:r>
      <w:r w:rsidR="00B83B72">
        <w:t xml:space="preserve">, bringing the total to 100 (65 boys, 35 girls). </w:t>
      </w:r>
    </w:p>
    <w:p w:rsidR="00290CBE" w:rsidRDefault="00450887" w:rsidP="00D62A7D">
      <w:pPr>
        <w:pStyle w:val="ListBullet"/>
        <w:numPr>
          <w:ilvl w:val="0"/>
          <w:numId w:val="0"/>
        </w:numPr>
        <w:tabs>
          <w:tab w:val="clear" w:pos="284"/>
        </w:tabs>
      </w:pPr>
      <w:r>
        <w:rPr>
          <w:lang w:eastAsia="zh-CN"/>
        </w:rPr>
        <w:t xml:space="preserve">The biggest challenge for the AQEP </w:t>
      </w:r>
      <w:r w:rsidR="00206D32">
        <w:rPr>
          <w:lang w:eastAsia="zh-CN"/>
        </w:rPr>
        <w:t xml:space="preserve">is </w:t>
      </w:r>
      <w:r>
        <w:rPr>
          <w:lang w:eastAsia="zh-CN"/>
        </w:rPr>
        <w:t xml:space="preserve">sustainability and translating its successes into broader learnings and approaches by other schools supported by the Ministry of Education. </w:t>
      </w:r>
      <w:r w:rsidR="009E3237">
        <w:t xml:space="preserve">Complicating this is the fact that </w:t>
      </w:r>
      <w:r w:rsidR="00572112">
        <w:t>the current pace of education reform i</w:t>
      </w:r>
      <w:r w:rsidR="009812A6">
        <w:t>n</w:t>
      </w:r>
      <w:r w:rsidR="00572112">
        <w:t xml:space="preserve"> Fiji is seeing schools struggle to keep up with a multitude of changes.</w:t>
      </w:r>
      <w:r w:rsidR="00B91224">
        <w:t xml:space="preserve"> </w:t>
      </w:r>
      <w:r w:rsidR="00D62A7D">
        <w:t xml:space="preserve">Australia will continue to work </w:t>
      </w:r>
      <w:r w:rsidR="00B91224">
        <w:t xml:space="preserve">closely with </w:t>
      </w:r>
      <w:r w:rsidR="00D62A7D">
        <w:t xml:space="preserve">the education sector and support the </w:t>
      </w:r>
      <w:r w:rsidR="00EB49FB">
        <w:t>MOE</w:t>
      </w:r>
      <w:r w:rsidR="00342475">
        <w:t xml:space="preserve"> through</w:t>
      </w:r>
      <w:r w:rsidR="00E33927">
        <w:t xml:space="preserve"> </w:t>
      </w:r>
      <w:r w:rsidR="00572112">
        <w:t>this period of</w:t>
      </w:r>
      <w:r w:rsidR="00E33927">
        <w:t xml:space="preserve"> major shifts in policy and personnel. </w:t>
      </w:r>
      <w:r w:rsidR="001470EA">
        <w:t>T</w:t>
      </w:r>
      <w:r w:rsidR="001470EA">
        <w:rPr>
          <w:lang w:eastAsia="zh-CN"/>
        </w:rPr>
        <w:t>he</w:t>
      </w:r>
      <w:r w:rsidR="001470EA" w:rsidRPr="003108CF">
        <w:rPr>
          <w:lang w:eastAsia="zh-CN"/>
        </w:rPr>
        <w:t xml:space="preserve"> </w:t>
      </w:r>
      <w:r w:rsidR="00B91224">
        <w:t>AQEP will develop a sustainability strategy to ensure that its investments have lasting impacts.</w:t>
      </w:r>
      <w:r w:rsidR="00C9680D">
        <w:t xml:space="preserve"> An Independent Evaluation of the AQEP is planned for 2016 which could help identify factors affecting progress and potential future actions.</w:t>
      </w:r>
    </w:p>
    <w:p w:rsidR="00C7739A" w:rsidRDefault="00C7739A" w:rsidP="007B2B91">
      <w:pPr>
        <w:pStyle w:val="Heading2"/>
      </w:pPr>
      <w:r>
        <w:t>Objective 2: Strengthening primary health services</w:t>
      </w:r>
    </w:p>
    <w:p w:rsidR="00EA2B9A" w:rsidRDefault="0000052E" w:rsidP="00E074C5">
      <w:pPr>
        <w:spacing w:before="100" w:beforeAutospacing="1" w:after="100" w:afterAutospacing="1" w:line="276" w:lineRule="auto"/>
        <w:jc w:val="both"/>
        <w:rPr>
          <w:rFonts w:ascii="Franklin Gothic Book" w:hAnsi="Franklin Gothic Book"/>
          <w:sz w:val="21"/>
          <w:lang w:eastAsia="zh-CN"/>
        </w:rPr>
      </w:pPr>
      <w:r>
        <w:rPr>
          <w:rFonts w:ascii="Franklin Gothic Book" w:eastAsia="Times New Roman" w:hAnsi="Franklin Gothic Book"/>
          <w:sz w:val="21"/>
          <w:lang w:eastAsia="zh-CN"/>
        </w:rPr>
        <w:t>Fiji continues to face ongoing challenges in improving health outcomes</w:t>
      </w:r>
      <w:r w:rsidR="00045551">
        <w:rPr>
          <w:rFonts w:ascii="Franklin Gothic Book" w:eastAsia="Times New Roman" w:hAnsi="Franklin Gothic Book"/>
          <w:sz w:val="21"/>
          <w:lang w:eastAsia="zh-CN"/>
        </w:rPr>
        <w:t>. These</w:t>
      </w:r>
      <w:r>
        <w:rPr>
          <w:rFonts w:ascii="Franklin Gothic Book" w:eastAsia="Times New Roman" w:hAnsi="Franklin Gothic Book"/>
          <w:sz w:val="21"/>
          <w:lang w:eastAsia="zh-CN"/>
        </w:rPr>
        <w:t xml:space="preserve"> includ</w:t>
      </w:r>
      <w:r w:rsidR="00AD57B1">
        <w:rPr>
          <w:rFonts w:ascii="Franklin Gothic Book" w:eastAsia="Times New Roman" w:hAnsi="Franklin Gothic Book"/>
          <w:sz w:val="21"/>
          <w:lang w:eastAsia="zh-CN"/>
        </w:rPr>
        <w:t>e</w:t>
      </w:r>
      <w:r>
        <w:rPr>
          <w:rFonts w:ascii="Franklin Gothic Book" w:eastAsia="Times New Roman" w:hAnsi="Franklin Gothic Book"/>
          <w:sz w:val="21"/>
          <w:lang w:eastAsia="zh-CN"/>
        </w:rPr>
        <w:t xml:space="preserve"> maternal and child health and addressing the growing tide of non-communicable diseases</w:t>
      </w:r>
      <w:r w:rsidR="00F71327">
        <w:rPr>
          <w:rFonts w:ascii="Franklin Gothic Book" w:eastAsia="Times New Roman" w:hAnsi="Franklin Gothic Book"/>
          <w:sz w:val="21"/>
          <w:lang w:eastAsia="zh-CN"/>
        </w:rPr>
        <w:t xml:space="preserve"> (NCDs)</w:t>
      </w:r>
      <w:r>
        <w:rPr>
          <w:rFonts w:ascii="Franklin Gothic Book" w:eastAsia="Times New Roman" w:hAnsi="Franklin Gothic Book"/>
          <w:sz w:val="21"/>
          <w:lang w:eastAsia="zh-CN"/>
        </w:rPr>
        <w:t xml:space="preserve"> which now account for 80% of deaths and</w:t>
      </w:r>
      <w:r w:rsidR="00EA2B9A" w:rsidRPr="002E3630">
        <w:rPr>
          <w:rFonts w:ascii="Franklin Gothic Book" w:eastAsia="Times New Roman" w:hAnsi="Franklin Gothic Book"/>
          <w:sz w:val="21"/>
          <w:lang w:eastAsia="zh-CN"/>
        </w:rPr>
        <w:t xml:space="preserve"> 40% of all healthcare costs</w:t>
      </w:r>
      <w:r>
        <w:rPr>
          <w:rFonts w:ascii="Franklin Gothic Book" w:eastAsia="Times New Roman" w:hAnsi="Franklin Gothic Book"/>
          <w:sz w:val="21"/>
          <w:lang w:eastAsia="zh-CN"/>
        </w:rPr>
        <w:t>. Australia</w:t>
      </w:r>
      <w:r w:rsidR="00584452">
        <w:rPr>
          <w:rFonts w:ascii="Franklin Gothic Book" w:eastAsia="Times New Roman" w:hAnsi="Franklin Gothic Book"/>
          <w:sz w:val="21"/>
          <w:lang w:eastAsia="zh-CN"/>
        </w:rPr>
        <w:t xml:space="preserve"> has been delivering</w:t>
      </w:r>
      <w:r>
        <w:rPr>
          <w:rFonts w:ascii="Franklin Gothic Book" w:eastAsia="Times New Roman" w:hAnsi="Franklin Gothic Book"/>
          <w:sz w:val="21"/>
          <w:lang w:eastAsia="zh-CN"/>
        </w:rPr>
        <w:t xml:space="preserve"> assistance through the Fiji Health Sector Support Program (FHSSP) </w:t>
      </w:r>
      <w:r w:rsidR="00EA2B9A" w:rsidRPr="002E3630">
        <w:rPr>
          <w:rFonts w:ascii="Franklin Gothic Book" w:eastAsia="Times New Roman" w:hAnsi="Franklin Gothic Book"/>
          <w:sz w:val="21"/>
          <w:lang w:eastAsia="zh-CN"/>
        </w:rPr>
        <w:t>since July 2011. The Program is aligned to the Ministry</w:t>
      </w:r>
      <w:r w:rsidR="00045551">
        <w:rPr>
          <w:rFonts w:ascii="Franklin Gothic Book" w:eastAsia="Times New Roman" w:hAnsi="Franklin Gothic Book"/>
          <w:sz w:val="21"/>
          <w:lang w:eastAsia="zh-CN"/>
        </w:rPr>
        <w:t xml:space="preserve"> of Health and Medical Services</w:t>
      </w:r>
      <w:r w:rsidR="0055318F">
        <w:rPr>
          <w:rFonts w:ascii="Franklin Gothic Book" w:eastAsia="Times New Roman" w:hAnsi="Franklin Gothic Book"/>
          <w:sz w:val="21"/>
          <w:lang w:eastAsia="zh-CN"/>
        </w:rPr>
        <w:t>’</w:t>
      </w:r>
      <w:r w:rsidR="00045551">
        <w:rPr>
          <w:rFonts w:ascii="Franklin Gothic Book" w:eastAsia="Times New Roman" w:hAnsi="Franklin Gothic Book"/>
          <w:sz w:val="21"/>
          <w:lang w:eastAsia="zh-CN"/>
        </w:rPr>
        <w:t xml:space="preserve"> (MOHMS)</w:t>
      </w:r>
      <w:r w:rsidR="0035430E">
        <w:rPr>
          <w:rFonts w:ascii="Franklin Gothic Book" w:eastAsia="Times New Roman" w:hAnsi="Franklin Gothic Book"/>
          <w:sz w:val="21"/>
          <w:lang w:eastAsia="zh-CN"/>
        </w:rPr>
        <w:t xml:space="preserve"> </w:t>
      </w:r>
      <w:r w:rsidR="00EA2B9A" w:rsidRPr="002E3630">
        <w:rPr>
          <w:rFonts w:ascii="Franklin Gothic Book" w:eastAsia="Times New Roman" w:hAnsi="Franklin Gothic Book"/>
          <w:sz w:val="21"/>
          <w:lang w:eastAsia="zh-CN"/>
        </w:rPr>
        <w:t>National Strategic Plan (2011-2015) and support</w:t>
      </w:r>
      <w:r w:rsidR="00B62639">
        <w:rPr>
          <w:rFonts w:ascii="Franklin Gothic Book" w:eastAsia="Times New Roman" w:hAnsi="Franklin Gothic Book"/>
          <w:sz w:val="21"/>
          <w:lang w:eastAsia="zh-CN"/>
        </w:rPr>
        <w:t>s</w:t>
      </w:r>
      <w:r w:rsidR="00EA2B9A" w:rsidRPr="002E3630">
        <w:rPr>
          <w:rFonts w:ascii="Franklin Gothic Book" w:eastAsia="Times New Roman" w:hAnsi="Franklin Gothic Book"/>
          <w:sz w:val="21"/>
          <w:lang w:eastAsia="zh-CN"/>
        </w:rPr>
        <w:t xml:space="preserve"> the Ministry meet its strategic and corporate objectives. </w:t>
      </w:r>
    </w:p>
    <w:p w:rsidR="00EA2B9A" w:rsidRPr="002E3630" w:rsidRDefault="00EA2B9A" w:rsidP="00EA2B9A">
      <w:pPr>
        <w:spacing w:line="276" w:lineRule="auto"/>
        <w:jc w:val="both"/>
        <w:rPr>
          <w:rFonts w:ascii="Franklin Gothic Book" w:eastAsia="Times New Roman" w:hAnsi="Franklin Gothic Book"/>
          <w:sz w:val="21"/>
          <w:lang w:eastAsia="zh-CN"/>
        </w:rPr>
      </w:pPr>
      <w:r w:rsidRPr="002E3630">
        <w:rPr>
          <w:rFonts w:ascii="Franklin Gothic Book" w:eastAsia="Times New Roman" w:hAnsi="Franklin Gothic Book"/>
          <w:sz w:val="21"/>
          <w:lang w:eastAsia="zh-CN"/>
        </w:rPr>
        <w:t xml:space="preserve">The FHSSP </w:t>
      </w:r>
      <w:r>
        <w:rPr>
          <w:rFonts w:ascii="Franklin Gothic Book" w:hAnsi="Franklin Gothic Book"/>
          <w:sz w:val="21"/>
          <w:lang w:eastAsia="zh-CN"/>
        </w:rPr>
        <w:t>is on track to meet all objectives under its</w:t>
      </w:r>
      <w:r w:rsidRPr="002E3630">
        <w:rPr>
          <w:rFonts w:ascii="Franklin Gothic Book" w:eastAsia="Times New Roman" w:hAnsi="Franklin Gothic Book"/>
          <w:sz w:val="21"/>
          <w:lang w:eastAsia="zh-CN"/>
        </w:rPr>
        <w:t xml:space="preserve"> five key focus areas</w:t>
      </w:r>
      <w:r w:rsidR="00181276">
        <w:rPr>
          <w:rFonts w:ascii="Franklin Gothic Book" w:eastAsia="Times New Roman" w:hAnsi="Franklin Gothic Book"/>
          <w:sz w:val="21"/>
          <w:lang w:eastAsia="zh-CN"/>
        </w:rPr>
        <w:t>.</w:t>
      </w:r>
      <w:r w:rsidRPr="002E3630">
        <w:rPr>
          <w:rFonts w:ascii="Franklin Gothic Book" w:eastAsia="Times New Roman" w:hAnsi="Franklin Gothic Book"/>
          <w:sz w:val="21"/>
          <w:lang w:eastAsia="zh-CN"/>
        </w:rPr>
        <w:t xml:space="preserve"> </w:t>
      </w:r>
    </w:p>
    <w:p w:rsidR="00EA2B9A" w:rsidRDefault="00EA2B9A" w:rsidP="00656105">
      <w:pPr>
        <w:pStyle w:val="ListBullet"/>
        <w:numPr>
          <w:ilvl w:val="0"/>
          <w:numId w:val="41"/>
        </w:numPr>
        <w:tabs>
          <w:tab w:val="clear" w:pos="284"/>
        </w:tabs>
        <w:ind w:left="426"/>
        <w:rPr>
          <w:lang w:eastAsia="zh-CN"/>
        </w:rPr>
      </w:pPr>
      <w:r w:rsidRPr="002E3630">
        <w:rPr>
          <w:b/>
          <w:lang w:eastAsia="zh-CN"/>
        </w:rPr>
        <w:t>Safe motherhood</w:t>
      </w:r>
      <w:r>
        <w:rPr>
          <w:b/>
          <w:lang w:eastAsia="zh-CN"/>
        </w:rPr>
        <w:t>.</w:t>
      </w:r>
      <w:r w:rsidR="00B62639">
        <w:rPr>
          <w:b/>
          <w:lang w:eastAsia="zh-CN"/>
        </w:rPr>
        <w:t xml:space="preserve"> </w:t>
      </w:r>
      <w:r>
        <w:rPr>
          <w:lang w:eastAsia="zh-CN"/>
        </w:rPr>
        <w:t xml:space="preserve"> In 2014, Australia’s support to the M</w:t>
      </w:r>
      <w:r w:rsidR="00E50A82">
        <w:rPr>
          <w:lang w:eastAsia="zh-CN"/>
        </w:rPr>
        <w:t>OHMS</w:t>
      </w:r>
      <w:r>
        <w:rPr>
          <w:lang w:eastAsia="zh-CN"/>
        </w:rPr>
        <w:t xml:space="preserve"> resulted in </w:t>
      </w:r>
      <w:r w:rsidR="00B62639">
        <w:rPr>
          <w:lang w:eastAsia="zh-CN"/>
        </w:rPr>
        <w:t xml:space="preserve">a 25% increase in </w:t>
      </w:r>
      <w:r>
        <w:rPr>
          <w:lang w:eastAsia="zh-CN"/>
        </w:rPr>
        <w:t xml:space="preserve">trained midwives. </w:t>
      </w:r>
      <w:r w:rsidR="00F71327">
        <w:rPr>
          <w:lang w:eastAsia="zh-CN"/>
        </w:rPr>
        <w:t>There has been an increase in the quality of maternal hospital services, assess</w:t>
      </w:r>
      <w:r w:rsidR="0055318F">
        <w:rPr>
          <w:lang w:eastAsia="zh-CN"/>
        </w:rPr>
        <w:t>ed by</w:t>
      </w:r>
      <w:r w:rsidR="00F71327">
        <w:rPr>
          <w:lang w:eastAsia="zh-CN"/>
        </w:rPr>
        <w:t xml:space="preserve"> compliance with Mother Safe Hospital Initiative standards. </w:t>
      </w:r>
      <w:r w:rsidR="00FF2AE0">
        <w:rPr>
          <w:lang w:eastAsia="zh-CN"/>
        </w:rPr>
        <w:t>The FHSSP recorded</w:t>
      </w:r>
      <w:r w:rsidR="00F71327">
        <w:rPr>
          <w:lang w:eastAsia="zh-CN"/>
        </w:rPr>
        <w:t xml:space="preserve"> a</w:t>
      </w:r>
      <w:r w:rsidR="00002669">
        <w:rPr>
          <w:lang w:eastAsia="zh-CN"/>
        </w:rPr>
        <w:t>n</w:t>
      </w:r>
      <w:r w:rsidR="00F71327">
        <w:rPr>
          <w:lang w:eastAsia="zh-CN"/>
        </w:rPr>
        <w:t xml:space="preserve"> </w:t>
      </w:r>
      <w:r>
        <w:rPr>
          <w:lang w:eastAsia="zh-CN"/>
        </w:rPr>
        <w:t>increase from 42</w:t>
      </w:r>
      <w:r w:rsidR="0055318F">
        <w:rPr>
          <w:lang w:eastAsia="zh-CN"/>
        </w:rPr>
        <w:t xml:space="preserve"> per cent</w:t>
      </w:r>
      <w:r>
        <w:rPr>
          <w:lang w:eastAsia="zh-CN"/>
        </w:rPr>
        <w:t xml:space="preserve"> </w:t>
      </w:r>
      <w:r w:rsidR="00F71327">
        <w:rPr>
          <w:lang w:eastAsia="zh-CN"/>
        </w:rPr>
        <w:t xml:space="preserve">compliance in </w:t>
      </w:r>
      <w:r>
        <w:rPr>
          <w:lang w:eastAsia="zh-CN"/>
        </w:rPr>
        <w:t>2014 to 83</w:t>
      </w:r>
      <w:r w:rsidR="0055318F">
        <w:rPr>
          <w:lang w:eastAsia="zh-CN"/>
        </w:rPr>
        <w:t xml:space="preserve"> per cent</w:t>
      </w:r>
      <w:r>
        <w:rPr>
          <w:lang w:eastAsia="zh-CN"/>
        </w:rPr>
        <w:t xml:space="preserve"> </w:t>
      </w:r>
      <w:r w:rsidR="00F71327">
        <w:rPr>
          <w:lang w:eastAsia="zh-CN"/>
        </w:rPr>
        <w:t xml:space="preserve">in </w:t>
      </w:r>
      <w:r>
        <w:rPr>
          <w:lang w:eastAsia="zh-CN"/>
        </w:rPr>
        <w:t>2015.</w:t>
      </w:r>
      <w:r w:rsidR="003838C1">
        <w:rPr>
          <w:lang w:eastAsia="zh-CN"/>
        </w:rPr>
        <w:t xml:space="preserve"> </w:t>
      </w:r>
      <w:r w:rsidR="003838C1">
        <w:rPr>
          <w:lang w:eastAsia="zh-CN"/>
        </w:rPr>
        <w:lastRenderedPageBreak/>
        <w:t xml:space="preserve">FHSSP contributed to this result by supporting training of health workers in </w:t>
      </w:r>
      <w:r>
        <w:rPr>
          <w:lang w:eastAsia="zh-CN"/>
        </w:rPr>
        <w:t>the medical management of post miscarriage services</w:t>
      </w:r>
      <w:r w:rsidR="003838C1">
        <w:rPr>
          <w:lang w:eastAsia="zh-CN"/>
        </w:rPr>
        <w:t>,</w:t>
      </w:r>
      <w:r>
        <w:rPr>
          <w:lang w:eastAsia="zh-CN"/>
        </w:rPr>
        <w:t xml:space="preserve"> birth preparedness and complication readiness.</w:t>
      </w:r>
    </w:p>
    <w:p w:rsidR="00EA2B9A" w:rsidRDefault="00EA2B9A" w:rsidP="00656105">
      <w:pPr>
        <w:pStyle w:val="ListBullet"/>
        <w:numPr>
          <w:ilvl w:val="0"/>
          <w:numId w:val="41"/>
        </w:numPr>
        <w:tabs>
          <w:tab w:val="clear" w:pos="284"/>
        </w:tabs>
        <w:ind w:left="426"/>
        <w:rPr>
          <w:lang w:eastAsia="zh-CN"/>
        </w:rPr>
      </w:pPr>
      <w:r w:rsidRPr="002E3630">
        <w:rPr>
          <w:b/>
          <w:lang w:eastAsia="zh-CN"/>
        </w:rPr>
        <w:t>Healthy child</w:t>
      </w:r>
      <w:r>
        <w:rPr>
          <w:b/>
          <w:lang w:eastAsia="zh-CN"/>
        </w:rPr>
        <w:t>.</w:t>
      </w:r>
      <w:r>
        <w:rPr>
          <w:lang w:eastAsia="zh-CN"/>
        </w:rPr>
        <w:t xml:space="preserve"> </w:t>
      </w:r>
      <w:r w:rsidR="00B62639">
        <w:rPr>
          <w:lang w:eastAsia="zh-CN"/>
        </w:rPr>
        <w:t xml:space="preserve"> </w:t>
      </w:r>
      <w:r w:rsidR="001470EA">
        <w:rPr>
          <w:lang w:eastAsia="zh-CN"/>
        </w:rPr>
        <w:t>The FHSSP</w:t>
      </w:r>
      <w:r w:rsidR="0040203B">
        <w:rPr>
          <w:lang w:eastAsia="zh-CN"/>
        </w:rPr>
        <w:t xml:space="preserve">’s support to MOHMS’ disease surveillance capacity </w:t>
      </w:r>
      <w:r>
        <w:rPr>
          <w:lang w:eastAsia="zh-CN"/>
        </w:rPr>
        <w:t>continue</w:t>
      </w:r>
      <w:r w:rsidR="00DE2EF1">
        <w:rPr>
          <w:lang w:eastAsia="zh-CN"/>
        </w:rPr>
        <w:t>d</w:t>
      </w:r>
      <w:r>
        <w:rPr>
          <w:lang w:eastAsia="zh-CN"/>
        </w:rPr>
        <w:t xml:space="preserve"> to provide more accurate and timely data o</w:t>
      </w:r>
      <w:r w:rsidR="00B62639">
        <w:rPr>
          <w:lang w:eastAsia="zh-CN"/>
        </w:rPr>
        <w:t>n</w:t>
      </w:r>
      <w:r>
        <w:rPr>
          <w:lang w:eastAsia="zh-CN"/>
        </w:rPr>
        <w:t xml:space="preserve"> immunisation coverage rates</w:t>
      </w:r>
      <w:r w:rsidR="00DE2EF1">
        <w:rPr>
          <w:lang w:eastAsia="zh-CN"/>
        </w:rPr>
        <w:t xml:space="preserve"> which continued to be high</w:t>
      </w:r>
      <w:r w:rsidR="009F2C7C">
        <w:rPr>
          <w:lang w:eastAsia="zh-CN"/>
        </w:rPr>
        <w:t xml:space="preserve"> for the three vaccines co-financed by Australia (rotavirus, pneumococcal and HPV</w:t>
      </w:r>
      <w:r w:rsidR="001C537A">
        <w:rPr>
          <w:lang w:eastAsia="zh-CN"/>
        </w:rPr>
        <w:t xml:space="preserve"> at 95% in 2014)</w:t>
      </w:r>
      <w:r>
        <w:rPr>
          <w:lang w:eastAsia="zh-CN"/>
        </w:rPr>
        <w:t>.</w:t>
      </w:r>
      <w:r w:rsidR="0035430E">
        <w:rPr>
          <w:lang w:eastAsia="zh-CN"/>
        </w:rPr>
        <w:t xml:space="preserve"> </w:t>
      </w:r>
      <w:r>
        <w:rPr>
          <w:lang w:eastAsia="zh-CN"/>
        </w:rPr>
        <w:t xml:space="preserve"> </w:t>
      </w:r>
      <w:r w:rsidR="0035430E" w:rsidRPr="0035430E">
        <w:rPr>
          <w:lang w:eastAsia="zh-CN"/>
        </w:rPr>
        <w:t xml:space="preserve">The FHSSP supported the MOHMS to achieve within-budget and on time delivery of </w:t>
      </w:r>
      <w:r w:rsidR="00EB0527">
        <w:rPr>
          <w:lang w:eastAsia="zh-CN"/>
        </w:rPr>
        <w:t xml:space="preserve">new </w:t>
      </w:r>
      <w:r w:rsidR="0035430E" w:rsidRPr="0035430E">
        <w:rPr>
          <w:lang w:eastAsia="zh-CN"/>
        </w:rPr>
        <w:t>vaccines and establishment of surveillance system to monitor and evaluate the impact of the new</w:t>
      </w:r>
      <w:r w:rsidR="00CB516D">
        <w:rPr>
          <w:lang w:eastAsia="zh-CN"/>
        </w:rPr>
        <w:t xml:space="preserve"> </w:t>
      </w:r>
      <w:r w:rsidR="0035430E" w:rsidRPr="0035430E">
        <w:rPr>
          <w:lang w:eastAsia="zh-CN"/>
        </w:rPr>
        <w:t>vaccines into the Fiji immunisation schedule.</w:t>
      </w:r>
      <w:r w:rsidR="0009200E">
        <w:rPr>
          <w:lang w:eastAsia="zh-CN"/>
        </w:rPr>
        <w:t xml:space="preserve"> The MOHMS is increasingly taking ownership of the vaccination program, meaning the FHSSP is contributing to more sustainable health outcomes. </w:t>
      </w:r>
      <w:r w:rsidR="001470EA">
        <w:rPr>
          <w:lang w:eastAsia="zh-CN"/>
        </w:rPr>
        <w:t>The FHSSP</w:t>
      </w:r>
      <w:r w:rsidR="0040203B">
        <w:rPr>
          <w:lang w:eastAsia="zh-CN"/>
        </w:rPr>
        <w:t xml:space="preserve"> has also continued to train doctors and nurses in Integrated Management of Childhood Illness, </w:t>
      </w:r>
      <w:r w:rsidR="008B227D">
        <w:rPr>
          <w:lang w:eastAsia="zh-CN"/>
        </w:rPr>
        <w:t>a</w:t>
      </w:r>
      <w:r w:rsidR="0040203B">
        <w:rPr>
          <w:lang w:eastAsia="zh-CN"/>
        </w:rPr>
        <w:t xml:space="preserve">dvanced paediatric life support, the WHO Pocket Book </w:t>
      </w:r>
      <w:r w:rsidR="008B227D">
        <w:rPr>
          <w:lang w:eastAsia="zh-CN"/>
        </w:rPr>
        <w:t xml:space="preserve">of hospital care for children </w:t>
      </w:r>
      <w:r w:rsidR="0040203B">
        <w:rPr>
          <w:lang w:eastAsia="zh-CN"/>
        </w:rPr>
        <w:t>and to develop neonatal clinical practice guidelines.</w:t>
      </w:r>
    </w:p>
    <w:p w:rsidR="00EA2B9A" w:rsidRDefault="00EA2B9A" w:rsidP="00656105">
      <w:pPr>
        <w:pStyle w:val="ListBullet"/>
        <w:numPr>
          <w:ilvl w:val="0"/>
          <w:numId w:val="41"/>
        </w:numPr>
        <w:tabs>
          <w:tab w:val="clear" w:pos="284"/>
        </w:tabs>
        <w:ind w:left="426"/>
        <w:rPr>
          <w:lang w:eastAsia="zh-CN"/>
        </w:rPr>
      </w:pPr>
      <w:r w:rsidRPr="002E3630">
        <w:rPr>
          <w:b/>
          <w:lang w:eastAsia="zh-CN"/>
        </w:rPr>
        <w:t>Prevention and management of NCDs including cervical cancer</w:t>
      </w:r>
      <w:r>
        <w:rPr>
          <w:b/>
          <w:lang w:eastAsia="zh-CN"/>
        </w:rPr>
        <w:t>.</w:t>
      </w:r>
      <w:r>
        <w:rPr>
          <w:lang w:eastAsia="zh-CN"/>
        </w:rPr>
        <w:t xml:space="preserve"> </w:t>
      </w:r>
      <w:r w:rsidR="00B62639">
        <w:rPr>
          <w:lang w:eastAsia="zh-CN"/>
        </w:rPr>
        <w:t xml:space="preserve"> </w:t>
      </w:r>
      <w:r>
        <w:rPr>
          <w:lang w:eastAsia="zh-CN"/>
        </w:rPr>
        <w:t xml:space="preserve">Prevention and early intervention are key to slowing and eventually reducing the NCD epidemic in Fiji. </w:t>
      </w:r>
      <w:r w:rsidR="001470EA">
        <w:rPr>
          <w:lang w:eastAsia="zh-CN"/>
        </w:rPr>
        <w:t>The FHSSP</w:t>
      </w:r>
      <w:r w:rsidR="0040203B">
        <w:rPr>
          <w:lang w:eastAsia="zh-CN"/>
        </w:rPr>
        <w:t xml:space="preserve"> trained health workers in diabetic foot care, wellness promotion and cervical cancer screening methods in this period. </w:t>
      </w:r>
      <w:r>
        <w:rPr>
          <w:lang w:eastAsia="zh-CN"/>
        </w:rPr>
        <w:t>The National Cervical Cancer Screening Policy, the first in the Pacific, was</w:t>
      </w:r>
      <w:r w:rsidR="00056C89">
        <w:rPr>
          <w:lang w:eastAsia="zh-CN"/>
        </w:rPr>
        <w:t xml:space="preserve"> developed and</w:t>
      </w:r>
      <w:r>
        <w:rPr>
          <w:lang w:eastAsia="zh-CN"/>
        </w:rPr>
        <w:t xml:space="preserve"> launched in Fiji with support from</w:t>
      </w:r>
      <w:r w:rsidR="004F1676">
        <w:rPr>
          <w:lang w:eastAsia="zh-CN"/>
        </w:rPr>
        <w:t xml:space="preserve"> the</w:t>
      </w:r>
      <w:r>
        <w:rPr>
          <w:lang w:eastAsia="zh-CN"/>
        </w:rPr>
        <w:t xml:space="preserve"> FHSSP. </w:t>
      </w:r>
      <w:r w:rsidR="002676FE">
        <w:rPr>
          <w:lang w:eastAsia="zh-CN"/>
        </w:rPr>
        <w:t>Fiji has one of the highest rates of cervical cancer incidence and mortality in the Pacific</w:t>
      </w:r>
      <w:r w:rsidR="0055318F">
        <w:rPr>
          <w:lang w:eastAsia="zh-CN"/>
        </w:rPr>
        <w:t>. The p</w:t>
      </w:r>
      <w:r w:rsidR="002676FE">
        <w:rPr>
          <w:lang w:eastAsia="zh-CN"/>
        </w:rPr>
        <w:t>olicy</w:t>
      </w:r>
      <w:r w:rsidR="0055318F">
        <w:rPr>
          <w:lang w:eastAsia="zh-CN"/>
        </w:rPr>
        <w:t>,</w:t>
      </w:r>
      <w:r w:rsidR="002676FE">
        <w:rPr>
          <w:lang w:eastAsia="zh-CN"/>
        </w:rPr>
        <w:t xml:space="preserve"> with its commitment to achieving significant screening targets</w:t>
      </w:r>
      <w:r w:rsidR="0055318F">
        <w:rPr>
          <w:lang w:eastAsia="zh-CN"/>
        </w:rPr>
        <w:t>,</w:t>
      </w:r>
      <w:r w:rsidR="002676FE">
        <w:rPr>
          <w:lang w:eastAsia="zh-CN"/>
        </w:rPr>
        <w:t xml:space="preserve"> will help address this health challenge. </w:t>
      </w:r>
      <w:r w:rsidR="001470EA">
        <w:rPr>
          <w:lang w:eastAsia="zh-CN"/>
        </w:rPr>
        <w:t>The FHSSP</w:t>
      </w:r>
      <w:r w:rsidR="002676FE">
        <w:rPr>
          <w:lang w:eastAsia="zh-CN"/>
        </w:rPr>
        <w:t xml:space="preserve">’s co-financing of the cervical cancer vaccine will </w:t>
      </w:r>
      <w:r w:rsidR="00AD57B1">
        <w:rPr>
          <w:lang w:eastAsia="zh-CN"/>
        </w:rPr>
        <w:t>help</w:t>
      </w:r>
      <w:r w:rsidR="002676FE">
        <w:rPr>
          <w:lang w:eastAsia="zh-CN"/>
        </w:rPr>
        <w:t xml:space="preserve"> prevent this disease in younger women.</w:t>
      </w:r>
    </w:p>
    <w:p w:rsidR="00EA2B9A" w:rsidRDefault="00EA2B9A" w:rsidP="00656105">
      <w:pPr>
        <w:pStyle w:val="ListBullet"/>
        <w:numPr>
          <w:ilvl w:val="0"/>
          <w:numId w:val="41"/>
        </w:numPr>
        <w:tabs>
          <w:tab w:val="clear" w:pos="284"/>
        </w:tabs>
        <w:ind w:left="426"/>
        <w:rPr>
          <w:lang w:eastAsia="zh-CN"/>
        </w:rPr>
      </w:pPr>
      <w:r w:rsidRPr="002E3630">
        <w:rPr>
          <w:b/>
          <w:lang w:eastAsia="zh-CN"/>
        </w:rPr>
        <w:t>Revitalisation of the Community Health Worker network</w:t>
      </w:r>
      <w:r>
        <w:rPr>
          <w:b/>
          <w:lang w:eastAsia="zh-CN"/>
        </w:rPr>
        <w:t>.</w:t>
      </w:r>
      <w:r>
        <w:rPr>
          <w:lang w:eastAsia="zh-CN"/>
        </w:rPr>
        <w:t xml:space="preserve"> </w:t>
      </w:r>
      <w:r w:rsidR="00B62639">
        <w:rPr>
          <w:lang w:eastAsia="zh-CN"/>
        </w:rPr>
        <w:t xml:space="preserve"> </w:t>
      </w:r>
      <w:r>
        <w:rPr>
          <w:lang w:eastAsia="zh-CN"/>
        </w:rPr>
        <w:t xml:space="preserve">Community Health Workers </w:t>
      </w:r>
      <w:r w:rsidR="00560155">
        <w:rPr>
          <w:lang w:eastAsia="zh-CN"/>
        </w:rPr>
        <w:t xml:space="preserve">(CHWs) </w:t>
      </w:r>
      <w:r>
        <w:rPr>
          <w:lang w:eastAsia="zh-CN"/>
        </w:rPr>
        <w:t>play a vital role in Fiji</w:t>
      </w:r>
      <w:r w:rsidR="00731A74">
        <w:rPr>
          <w:lang w:eastAsia="zh-CN"/>
        </w:rPr>
        <w:t xml:space="preserve"> </w:t>
      </w:r>
      <w:r w:rsidR="002676FE">
        <w:rPr>
          <w:lang w:eastAsia="zh-CN"/>
        </w:rPr>
        <w:t>and continue to enable Fiji’s health system to have greater reach into communities including in rural and remote areas</w:t>
      </w:r>
      <w:r>
        <w:rPr>
          <w:lang w:eastAsia="zh-CN"/>
        </w:rPr>
        <w:t xml:space="preserve">. In 2014-15, </w:t>
      </w:r>
      <w:r w:rsidR="00B86AAB">
        <w:rPr>
          <w:lang w:eastAsia="zh-CN"/>
        </w:rPr>
        <w:t xml:space="preserve">the FHSSP trained </w:t>
      </w:r>
      <w:r>
        <w:rPr>
          <w:lang w:eastAsia="zh-CN"/>
        </w:rPr>
        <w:t xml:space="preserve">69% of active </w:t>
      </w:r>
      <w:r w:rsidR="00560155">
        <w:rPr>
          <w:lang w:eastAsia="zh-CN"/>
        </w:rPr>
        <w:t>CHWs</w:t>
      </w:r>
      <w:r>
        <w:rPr>
          <w:lang w:eastAsia="zh-CN"/>
        </w:rPr>
        <w:t xml:space="preserve"> in </w:t>
      </w:r>
      <w:r w:rsidR="002676FE">
        <w:rPr>
          <w:lang w:eastAsia="zh-CN"/>
        </w:rPr>
        <w:t>core competencies and first aid</w:t>
      </w:r>
      <w:r w:rsidR="00570D89">
        <w:rPr>
          <w:lang w:eastAsia="zh-CN"/>
        </w:rPr>
        <w:t>, 37% in safe motherhood, 34% in child health and 24% in wellness (NCDs).</w:t>
      </w:r>
      <w:r>
        <w:rPr>
          <w:lang w:eastAsia="zh-CN"/>
        </w:rPr>
        <w:t xml:space="preserve"> </w:t>
      </w:r>
    </w:p>
    <w:p w:rsidR="00EA2B9A" w:rsidRDefault="00EA2B9A" w:rsidP="00656105">
      <w:pPr>
        <w:pStyle w:val="ListBullet"/>
        <w:numPr>
          <w:ilvl w:val="0"/>
          <w:numId w:val="41"/>
        </w:numPr>
        <w:tabs>
          <w:tab w:val="clear" w:pos="284"/>
        </w:tabs>
        <w:ind w:left="426"/>
        <w:rPr>
          <w:lang w:eastAsia="zh-CN"/>
        </w:rPr>
      </w:pPr>
      <w:r w:rsidRPr="002E3630">
        <w:rPr>
          <w:b/>
          <w:lang w:eastAsia="zh-CN"/>
        </w:rPr>
        <w:t>Targeting Health Systems Strengthening</w:t>
      </w:r>
      <w:r>
        <w:rPr>
          <w:b/>
          <w:lang w:eastAsia="zh-CN"/>
        </w:rPr>
        <w:t xml:space="preserve">. </w:t>
      </w:r>
      <w:r>
        <w:rPr>
          <w:lang w:eastAsia="zh-CN"/>
        </w:rPr>
        <w:t xml:space="preserve"> The public health information system is continuing to run successfully. The data that is collected is informing Ministry planning and decision making</w:t>
      </w:r>
      <w:r w:rsidR="00B62639">
        <w:rPr>
          <w:lang w:eastAsia="zh-CN"/>
        </w:rPr>
        <w:t>,</w:t>
      </w:r>
      <w:r>
        <w:rPr>
          <w:lang w:eastAsia="zh-CN"/>
        </w:rPr>
        <w:t xml:space="preserve"> </w:t>
      </w:r>
      <w:r w:rsidR="00570D89">
        <w:rPr>
          <w:lang w:eastAsia="zh-CN"/>
        </w:rPr>
        <w:t xml:space="preserve">including </w:t>
      </w:r>
      <w:r>
        <w:rPr>
          <w:lang w:eastAsia="zh-CN"/>
        </w:rPr>
        <w:t xml:space="preserve">the </w:t>
      </w:r>
      <w:r w:rsidR="00E50A82">
        <w:rPr>
          <w:lang w:eastAsia="zh-CN"/>
        </w:rPr>
        <w:t>MO</w:t>
      </w:r>
      <w:r>
        <w:rPr>
          <w:lang w:eastAsia="zh-CN"/>
        </w:rPr>
        <w:t xml:space="preserve">HMS </w:t>
      </w:r>
      <w:r w:rsidR="00570D89">
        <w:rPr>
          <w:lang w:eastAsia="zh-CN"/>
        </w:rPr>
        <w:t>National Strategic Plan</w:t>
      </w:r>
      <w:r>
        <w:rPr>
          <w:lang w:eastAsia="zh-CN"/>
        </w:rPr>
        <w:t>.</w:t>
      </w:r>
      <w:r w:rsidR="00570D89">
        <w:rPr>
          <w:lang w:eastAsia="zh-CN"/>
        </w:rPr>
        <w:t xml:space="preserve"> </w:t>
      </w:r>
      <w:r w:rsidR="0055318F">
        <w:rPr>
          <w:lang w:eastAsia="zh-CN"/>
        </w:rPr>
        <w:t xml:space="preserve">A major achievement in 2014-15 was helping the Ministry of Health to develop a fully-costed 10-year workforce plan, which was submitted to Fiji’s Cabinet and resulted in </w:t>
      </w:r>
      <w:r w:rsidR="00127C8B">
        <w:rPr>
          <w:lang w:eastAsia="zh-CN"/>
        </w:rPr>
        <w:t>an</w:t>
      </w:r>
      <w:r w:rsidR="0055318F">
        <w:rPr>
          <w:lang w:eastAsia="zh-CN"/>
        </w:rPr>
        <w:t xml:space="preserve"> additional </w:t>
      </w:r>
      <w:r w:rsidR="00127C8B">
        <w:rPr>
          <w:lang w:eastAsia="zh-CN"/>
        </w:rPr>
        <w:t>150 doctors and 200 nurses</w:t>
      </w:r>
      <w:r w:rsidR="00EB0527">
        <w:rPr>
          <w:lang w:eastAsia="zh-CN"/>
        </w:rPr>
        <w:t xml:space="preserve"> </w:t>
      </w:r>
      <w:r w:rsidR="00127C8B">
        <w:rPr>
          <w:lang w:eastAsia="zh-CN"/>
        </w:rPr>
        <w:t>being</w:t>
      </w:r>
      <w:r w:rsidR="0055318F">
        <w:rPr>
          <w:lang w:eastAsia="zh-CN"/>
        </w:rPr>
        <w:t xml:space="preserve"> approved in Fiji’s 2015 National Budget. </w:t>
      </w:r>
      <w:r w:rsidR="001470EA">
        <w:rPr>
          <w:lang w:eastAsia="zh-CN"/>
        </w:rPr>
        <w:t>The FHSSP</w:t>
      </w:r>
      <w:r w:rsidR="00570D89">
        <w:rPr>
          <w:lang w:eastAsia="zh-CN"/>
        </w:rPr>
        <w:t xml:space="preserve"> continues to support workforce planning including staff training, retention and other human resource management policies.</w:t>
      </w:r>
    </w:p>
    <w:p w:rsidR="00C9680D" w:rsidRDefault="00C9680D" w:rsidP="00CB516D">
      <w:pPr>
        <w:pStyle w:val="ListBullet"/>
        <w:numPr>
          <w:ilvl w:val="0"/>
          <w:numId w:val="0"/>
        </w:numPr>
        <w:tabs>
          <w:tab w:val="clear" w:pos="284"/>
        </w:tabs>
      </w:pPr>
      <w:r>
        <w:t xml:space="preserve">The FHSSP will conclude in June 2016. </w:t>
      </w:r>
      <w:r w:rsidR="008403CF">
        <w:t xml:space="preserve">It has had a strong focus on sustainability, working with the MOHMS to </w:t>
      </w:r>
      <w:r w:rsidR="00002669">
        <w:t>secure</w:t>
      </w:r>
      <w:r w:rsidR="008403CF">
        <w:t xml:space="preserve"> government funding and staff resources to continue most of its initiatives. MOHMS has sought relevant budget allocations in its 2016 budget submission but a challenge will arise if government funding is not forthcoming. Australia is currently designing </w:t>
      </w:r>
      <w:r w:rsidR="00002669">
        <w:t>the</w:t>
      </w:r>
      <w:r w:rsidR="008403CF">
        <w:t xml:space="preserve"> next phase of health support and will factor in potential ongoing support for important initiatives that fail to receive government funding.</w:t>
      </w:r>
    </w:p>
    <w:p w:rsidR="00B40C0F" w:rsidRDefault="00C7739A" w:rsidP="00A9669C">
      <w:pPr>
        <w:pStyle w:val="Heading2"/>
      </w:pPr>
      <w:r>
        <w:t xml:space="preserve">Objective 3: Building resilience and economic opportunities in </w:t>
      </w:r>
      <w:r w:rsidR="00C3389E">
        <w:t xml:space="preserve">disadvantaged </w:t>
      </w:r>
      <w:r>
        <w:t>communities</w:t>
      </w:r>
    </w:p>
    <w:p w:rsidR="000032E4" w:rsidRDefault="00B7261E" w:rsidP="000032E4">
      <w:pPr>
        <w:pStyle w:val="BodyText"/>
      </w:pPr>
      <w:r>
        <w:t>The final objective of the Fiji Prog</w:t>
      </w:r>
      <w:r w:rsidR="007B2933">
        <w:t xml:space="preserve">ram </w:t>
      </w:r>
      <w:r>
        <w:t>is guided by the Community Resilience and Economic Opport</w:t>
      </w:r>
      <w:r w:rsidR="00766FF6">
        <w:t xml:space="preserve">unity (CREO) delivery strategy.  </w:t>
      </w:r>
      <w:r w:rsidR="00E97F3D">
        <w:t>This objective</w:t>
      </w:r>
      <w:r w:rsidR="00C74FA0">
        <w:t xml:space="preserve"> has maintained a green rating </w:t>
      </w:r>
      <w:r w:rsidR="00E97F3D">
        <w:t xml:space="preserve">as the CREO </w:t>
      </w:r>
      <w:r w:rsidR="00C74FA0">
        <w:t xml:space="preserve">has recorded positive progress against all of its deliverables. </w:t>
      </w:r>
    </w:p>
    <w:p w:rsidR="00C74FA0" w:rsidRDefault="0020281D" w:rsidP="00E074C5">
      <w:pPr>
        <w:pStyle w:val="BodyText"/>
        <w:numPr>
          <w:ilvl w:val="0"/>
          <w:numId w:val="49"/>
        </w:numPr>
        <w:ind w:left="426"/>
      </w:pPr>
      <w:r>
        <w:rPr>
          <w:b/>
        </w:rPr>
        <w:lastRenderedPageBreak/>
        <w:t>S</w:t>
      </w:r>
      <w:r w:rsidR="00766FF6" w:rsidRPr="00E074C5">
        <w:rPr>
          <w:b/>
        </w:rPr>
        <w:t>timulate investment, business innovation and regulatory reform</w:t>
      </w:r>
      <w:r w:rsidR="00766FF6" w:rsidRPr="00C74FA0">
        <w:t xml:space="preserve"> </w:t>
      </w:r>
      <w:r w:rsidR="00766FF6" w:rsidRPr="00E074C5">
        <w:rPr>
          <w:b/>
        </w:rPr>
        <w:t>in order to support an increase in the net incomes of the poor</w:t>
      </w:r>
      <w:r w:rsidR="00766FF6" w:rsidRPr="00C74FA0">
        <w:t>. This is done through the Ma</w:t>
      </w:r>
      <w:r w:rsidR="007B2933">
        <w:t>rket Development Facility (MDF) which</w:t>
      </w:r>
      <w:r w:rsidR="00766FF6" w:rsidRPr="00C74FA0">
        <w:t xml:space="preserve"> </w:t>
      </w:r>
      <w:r w:rsidR="007B5D51" w:rsidRPr="00C74FA0">
        <w:t>is focused on reducing poverty by stimulating economic growth</w:t>
      </w:r>
      <w:r w:rsidR="007B2933">
        <w:t>.</w:t>
      </w:r>
      <w:r w:rsidR="0019493A">
        <w:t xml:space="preserve"> </w:t>
      </w:r>
      <w:r w:rsidR="0019493A">
        <w:rPr>
          <w:lang w:eastAsia="zh-CN"/>
        </w:rPr>
        <w:t>The</w:t>
      </w:r>
      <w:r w:rsidR="007B2933">
        <w:t xml:space="preserve"> MDF forms</w:t>
      </w:r>
      <w:r w:rsidR="007B5D51" w:rsidRPr="00C74FA0">
        <w:t xml:space="preserve"> partnerships </w:t>
      </w:r>
      <w:r w:rsidR="00766FF6" w:rsidRPr="00C74FA0">
        <w:t>with</w:t>
      </w:r>
      <w:r w:rsidR="007B5D51" w:rsidRPr="00C74FA0">
        <w:t xml:space="preserve"> the</w:t>
      </w:r>
      <w:r w:rsidR="00766FF6" w:rsidRPr="00C74FA0">
        <w:t xml:space="preserve"> </w:t>
      </w:r>
      <w:r w:rsidR="000032E4" w:rsidRPr="00C74FA0">
        <w:t>private sector</w:t>
      </w:r>
      <w:r w:rsidR="007B5D51" w:rsidRPr="00C74FA0">
        <w:t>, providing</w:t>
      </w:r>
      <w:r w:rsidR="00766FF6" w:rsidRPr="00C74FA0">
        <w:t xml:space="preserve"> grants and business advisory support to promote investment, innovation and business growth.</w:t>
      </w:r>
      <w:r w:rsidR="000032E4" w:rsidRPr="00C74FA0">
        <w:t xml:space="preserve"> </w:t>
      </w:r>
      <w:r w:rsidR="00C3389E">
        <w:t xml:space="preserve">By December 2014, </w:t>
      </w:r>
      <w:r w:rsidR="001470EA">
        <w:rPr>
          <w:lang w:eastAsia="zh-CN"/>
        </w:rPr>
        <w:t>the</w:t>
      </w:r>
      <w:r w:rsidR="001470EA" w:rsidRPr="003108CF">
        <w:rPr>
          <w:lang w:eastAsia="zh-CN"/>
        </w:rPr>
        <w:t xml:space="preserve"> </w:t>
      </w:r>
      <w:r w:rsidR="00C3389E">
        <w:t>MDF had increased the incomes of 1</w:t>
      </w:r>
      <w:r w:rsidR="00B62639">
        <w:t>,</w:t>
      </w:r>
      <w:r w:rsidR="00C3389E">
        <w:t xml:space="preserve">016 poor men and women (516 women and 500 men) by </w:t>
      </w:r>
      <w:r w:rsidR="00B62639">
        <w:t>USD</w:t>
      </w:r>
      <w:r w:rsidR="00C3389E">
        <w:t>609,000.</w:t>
      </w:r>
      <w:r w:rsidR="001470EA">
        <w:t xml:space="preserve"> The</w:t>
      </w:r>
      <w:r w:rsidR="00C3389E">
        <w:t xml:space="preserve"> </w:t>
      </w:r>
      <w:r w:rsidR="007B2933" w:rsidRPr="00C74FA0">
        <w:t xml:space="preserve">MDF leveraged over </w:t>
      </w:r>
      <w:r w:rsidR="009F1FCB">
        <w:t>USD 1.5</w:t>
      </w:r>
      <w:r w:rsidR="007B2933" w:rsidRPr="00C74FA0">
        <w:t xml:space="preserve"> million in private sector investment, generating </w:t>
      </w:r>
      <w:r w:rsidR="000A6605">
        <w:t>USD 770</w:t>
      </w:r>
      <w:r w:rsidR="007B2933" w:rsidRPr="00C74FA0">
        <w:t xml:space="preserve">,000 in new business activity.  </w:t>
      </w:r>
      <w:r w:rsidR="007B2933">
        <w:t>B</w:t>
      </w:r>
      <w:r w:rsidR="00C74FA0" w:rsidRPr="00C74FA0">
        <w:t xml:space="preserve">y June 2015, </w:t>
      </w:r>
      <w:r w:rsidR="0019493A">
        <w:rPr>
          <w:lang w:eastAsia="zh-CN"/>
        </w:rPr>
        <w:t xml:space="preserve">the </w:t>
      </w:r>
      <w:r w:rsidR="00C74FA0" w:rsidRPr="00C74FA0">
        <w:t>MDF ha</w:t>
      </w:r>
      <w:r w:rsidR="009D364B">
        <w:t>d</w:t>
      </w:r>
      <w:r w:rsidR="00C74FA0" w:rsidRPr="00C74FA0">
        <w:t xml:space="preserve"> 32 partnerships on the ground in Fiji (29 active and </w:t>
      </w:r>
      <w:r w:rsidR="005A0FA8">
        <w:t>three</w:t>
      </w:r>
      <w:r w:rsidR="009D364B">
        <w:t xml:space="preserve"> </w:t>
      </w:r>
      <w:r w:rsidR="00C74FA0" w:rsidRPr="00C74FA0">
        <w:t xml:space="preserve">completed). An additional three </w:t>
      </w:r>
      <w:r w:rsidR="009D364B">
        <w:t>were</w:t>
      </w:r>
      <w:r w:rsidR="00C74FA0" w:rsidRPr="00C74FA0">
        <w:t xml:space="preserve"> in the immediate pipeline. New partnerships were signed in all three target sectors </w:t>
      </w:r>
      <w:r w:rsidR="00A9669C">
        <w:t xml:space="preserve">of </w:t>
      </w:r>
      <w:r w:rsidR="00C74FA0" w:rsidRPr="00C74FA0">
        <w:t xml:space="preserve">Horticulture and Agro-Export, Tourism and Export Processing. </w:t>
      </w:r>
      <w:r w:rsidR="001470EA">
        <w:t xml:space="preserve">The </w:t>
      </w:r>
      <w:r w:rsidR="00A04342">
        <w:t>MDF also developed a Women’s Economic Empowerment framework to better understand how it creates, captures and reports its impact on women and gender equality.</w:t>
      </w:r>
    </w:p>
    <w:p w:rsidR="00BB7AF1" w:rsidRPr="00C74FA0" w:rsidRDefault="0020281D" w:rsidP="00E074C5">
      <w:pPr>
        <w:pStyle w:val="BodyText"/>
        <w:numPr>
          <w:ilvl w:val="0"/>
          <w:numId w:val="49"/>
        </w:numPr>
        <w:ind w:left="426"/>
      </w:pPr>
      <w:r>
        <w:rPr>
          <w:b/>
        </w:rPr>
        <w:t>F</w:t>
      </w:r>
      <w:r w:rsidR="005B1153" w:rsidRPr="00E074C5">
        <w:rPr>
          <w:b/>
        </w:rPr>
        <w:t>inancial education to increase the use of financial services by the poor</w:t>
      </w:r>
      <w:r w:rsidR="005B1153" w:rsidRPr="00C74FA0">
        <w:t xml:space="preserve">. </w:t>
      </w:r>
      <w:r w:rsidR="001470EA">
        <w:t>Under the CREO, t</w:t>
      </w:r>
      <w:r w:rsidR="00C048CE" w:rsidRPr="00C74FA0">
        <w:t xml:space="preserve">he Pacific Financial Inclusion Project (PFIP) </w:t>
      </w:r>
      <w:r w:rsidR="00BB7AF1" w:rsidRPr="00C74FA0">
        <w:t>provided technical assistance and funding to the Demand Side Survey, to</w:t>
      </w:r>
      <w:r w:rsidR="00C3389E">
        <w:t xml:space="preserve"> help Fiji to better</w:t>
      </w:r>
      <w:r w:rsidR="00BB7AF1" w:rsidRPr="00C74FA0">
        <w:t xml:space="preserve"> understand market information and access to financial</w:t>
      </w:r>
      <w:r w:rsidR="00C3389E">
        <w:t xml:space="preserve"> services, products and</w:t>
      </w:r>
      <w:r w:rsidR="00BB7AF1" w:rsidRPr="00C74FA0">
        <w:t xml:space="preserve"> knowledge. Financial inclusion is now embedded in Fiji’s curriculum, and teachers across all primary schools in Fiji were trained </w:t>
      </w:r>
      <w:r w:rsidR="00094A6D">
        <w:t xml:space="preserve">in </w:t>
      </w:r>
      <w:r w:rsidR="00C3389E">
        <w:t>delivering it</w:t>
      </w:r>
      <w:r w:rsidR="001C537A">
        <w:t>.</w:t>
      </w:r>
    </w:p>
    <w:p w:rsidR="00DC05F2" w:rsidRDefault="0020281D" w:rsidP="00E074C5">
      <w:pPr>
        <w:pStyle w:val="BodyText"/>
        <w:numPr>
          <w:ilvl w:val="0"/>
          <w:numId w:val="49"/>
        </w:numPr>
        <w:ind w:left="426"/>
      </w:pPr>
      <w:r>
        <w:rPr>
          <w:b/>
        </w:rPr>
        <w:t>I</w:t>
      </w:r>
      <w:r w:rsidR="00B259A4" w:rsidRPr="00E074C5">
        <w:rPr>
          <w:b/>
        </w:rPr>
        <w:t>mprove the resilience of communities</w:t>
      </w:r>
      <w:r w:rsidR="00B259A4">
        <w:t xml:space="preserve"> to respond to natural disasters and economic shocks. The Fiji Community Development Program</w:t>
      </w:r>
      <w:r w:rsidR="00094A6D">
        <w:t xml:space="preserve"> (FCDP)</w:t>
      </w:r>
      <w:r w:rsidR="00B259A4">
        <w:t xml:space="preserve"> </w:t>
      </w:r>
      <w:r w:rsidR="009C73F6">
        <w:t xml:space="preserve">invests in supporting the community development work of </w:t>
      </w:r>
      <w:r w:rsidR="00B31D5B">
        <w:t>Civil Society Organisations (CSO</w:t>
      </w:r>
      <w:r w:rsidR="009C73F6">
        <w:t xml:space="preserve">) and to strengthen their capacity to deliver good, long lasting results. </w:t>
      </w:r>
      <w:r w:rsidR="00B324F1">
        <w:t>In 2014-15</w:t>
      </w:r>
      <w:r w:rsidR="00094A6D">
        <w:t>,</w:t>
      </w:r>
      <w:r w:rsidR="004318CB">
        <w:t xml:space="preserve"> FCDP </w:t>
      </w:r>
      <w:r w:rsidR="00F221BB">
        <w:t>reached</w:t>
      </w:r>
      <w:r w:rsidR="00DC05F2">
        <w:t xml:space="preserve"> </w:t>
      </w:r>
      <w:r w:rsidR="00DC05F2" w:rsidRPr="00DC05F2">
        <w:t xml:space="preserve">51,091 beneficiaries </w:t>
      </w:r>
      <w:r w:rsidR="00DC05F2" w:rsidRPr="00286DD2">
        <w:t>(54% female</w:t>
      </w:r>
      <w:r w:rsidR="00B31D5B" w:rsidRPr="00286DD2">
        <w:t xml:space="preserve">, </w:t>
      </w:r>
      <w:r w:rsidR="00DC05F2" w:rsidRPr="007F4E23">
        <w:t>46% male)</w:t>
      </w:r>
      <w:r w:rsidR="00A91973">
        <w:t>, up from 27,000 last year,</w:t>
      </w:r>
      <w:r w:rsidR="00DC05F2" w:rsidRPr="007F4E23">
        <w:t xml:space="preserve"> throug</w:t>
      </w:r>
      <w:r w:rsidR="004F4F13" w:rsidRPr="007F4E23">
        <w:t>h 49 new grants to CSO partners</w:t>
      </w:r>
      <w:r w:rsidR="00DC05F2" w:rsidRPr="007F4E23">
        <w:t xml:space="preserve">. </w:t>
      </w:r>
      <w:r w:rsidR="00DB0E7E" w:rsidRPr="00A9669C">
        <w:t>Through its Community Action Program, 45 communities</w:t>
      </w:r>
      <w:r w:rsidR="008403CF">
        <w:t xml:space="preserve"> in poor, rural or remote areas</w:t>
      </w:r>
      <w:r w:rsidR="00DB0E7E" w:rsidRPr="00A9669C">
        <w:t xml:space="preserve"> now have formalised Community Development Plans. The</w:t>
      </w:r>
      <w:r w:rsidR="00D51B74" w:rsidRPr="00A9669C">
        <w:t>se</w:t>
      </w:r>
      <w:r w:rsidR="00DB0E7E" w:rsidRPr="00A9669C">
        <w:t xml:space="preserve"> </w:t>
      </w:r>
      <w:r w:rsidR="00D51B74" w:rsidRPr="00A9669C">
        <w:t>plans</w:t>
      </w:r>
      <w:r w:rsidR="00DB0E7E" w:rsidRPr="00A9669C">
        <w:t xml:space="preserve"> have led to the development of pro</w:t>
      </w:r>
      <w:r w:rsidR="00D51B74" w:rsidRPr="00A9669C">
        <w:t>jects designed by CSOs and the</w:t>
      </w:r>
      <w:r w:rsidR="00DB0E7E" w:rsidRPr="00A9669C">
        <w:t xml:space="preserve"> communities and FCDP has funded 27 of these, including 15 Water Sanitation and Hygiene projects, </w:t>
      </w:r>
      <w:r w:rsidR="00036456">
        <w:t>seven</w:t>
      </w:r>
      <w:r w:rsidR="00DB0E7E" w:rsidRPr="00A9669C">
        <w:t xml:space="preserve"> income generating activities, </w:t>
      </w:r>
      <w:r w:rsidR="00036456">
        <w:t>four</w:t>
      </w:r>
      <w:r w:rsidR="00DB0E7E" w:rsidRPr="00A9669C">
        <w:t xml:space="preserve"> solar lighting projects and </w:t>
      </w:r>
      <w:r w:rsidR="00036456">
        <w:t>one</w:t>
      </w:r>
      <w:r w:rsidR="00DB0E7E" w:rsidRPr="00A9669C">
        <w:t xml:space="preserve"> fencing project. </w:t>
      </w:r>
    </w:p>
    <w:p w:rsidR="00094A6D" w:rsidRDefault="00794C3A" w:rsidP="00CB516D">
      <w:pPr>
        <w:pStyle w:val="BodyText"/>
        <w:ind w:left="66"/>
      </w:pPr>
      <w:r>
        <w:t xml:space="preserve">The </w:t>
      </w:r>
      <w:r w:rsidR="00094A6D">
        <w:t>FCDP helped address the visual, mobility and orientation needs of visually impaired persons by funding</w:t>
      </w:r>
      <w:r w:rsidR="00AD57B1">
        <w:t xml:space="preserve"> members of the Fiji Society for the Blind to</w:t>
      </w:r>
      <w:r w:rsidR="00094A6D">
        <w:t xml:space="preserve"> attend</w:t>
      </w:r>
      <w:r w:rsidR="00094A6D" w:rsidRPr="00BA1D7E">
        <w:t xml:space="preserve"> the 2015 Pacific Education for All Visually Impaired Forum and South Pacific Educators in Vision Impairment Biennial Conference</w:t>
      </w:r>
      <w:r w:rsidR="00AD57B1">
        <w:t xml:space="preserve">. </w:t>
      </w:r>
      <w:r>
        <w:t xml:space="preserve">The </w:t>
      </w:r>
      <w:r w:rsidR="00AD57B1">
        <w:t>FCDP also supported the</w:t>
      </w:r>
      <w:r w:rsidR="00094A6D" w:rsidRPr="00BA1D7E">
        <w:t xml:space="preserve"> purchas</w:t>
      </w:r>
      <w:r w:rsidR="00AD57B1">
        <w:t>e</w:t>
      </w:r>
      <w:r w:rsidR="00094A6D" w:rsidRPr="00BA1D7E">
        <w:t xml:space="preserve"> </w:t>
      </w:r>
      <w:r w:rsidR="00AD57B1">
        <w:t xml:space="preserve">of </w:t>
      </w:r>
      <w:r w:rsidR="00094A6D" w:rsidRPr="00BA1D7E">
        <w:t>Visual Aid Equipment Braille machines</w:t>
      </w:r>
      <w:r w:rsidR="00905E95">
        <w:t>,</w:t>
      </w:r>
      <w:r w:rsidR="00094A6D" w:rsidRPr="00BA1D7E">
        <w:t xml:space="preserve"> </w:t>
      </w:r>
      <w:r w:rsidR="00094A6D">
        <w:t>for the Fiji Society for the Blind.</w:t>
      </w:r>
      <w:r w:rsidR="0055318F">
        <w:t xml:space="preserve"> </w:t>
      </w:r>
    </w:p>
    <w:p w:rsidR="009116F6" w:rsidRDefault="009116F6" w:rsidP="00CB516D">
      <w:pPr>
        <w:pStyle w:val="BodyText"/>
        <w:ind w:left="66"/>
      </w:pPr>
      <w:r>
        <w:t xml:space="preserve">A </w:t>
      </w:r>
      <w:r w:rsidR="00A32FE1">
        <w:t>m</w:t>
      </w:r>
      <w:r>
        <w:t>id</w:t>
      </w:r>
      <w:r w:rsidR="00A32FE1">
        <w:t>-t</w:t>
      </w:r>
      <w:r>
        <w:t xml:space="preserve">erm </w:t>
      </w:r>
      <w:r w:rsidR="00A32FE1">
        <w:t>r</w:t>
      </w:r>
      <w:r>
        <w:t xml:space="preserve">eview of the </w:t>
      </w:r>
      <w:r w:rsidR="00794C3A">
        <w:t>FCDP</w:t>
      </w:r>
      <w:r>
        <w:t xml:space="preserve"> </w:t>
      </w:r>
      <w:r w:rsidR="00941327">
        <w:t>confirmed</w:t>
      </w:r>
      <w:r>
        <w:t xml:space="preserve"> that the program was achieving its objective of mitigating social and economic hardship faced by poor, vulnerable and excluded communities.  </w:t>
      </w:r>
      <w:r>
        <w:rPr>
          <w:szCs w:val="21"/>
        </w:rPr>
        <w:t>Based on the findings of the review, the FCDP was extended for its second phase</w:t>
      </w:r>
      <w:r w:rsidR="00A32FE1">
        <w:rPr>
          <w:szCs w:val="21"/>
        </w:rPr>
        <w:t>,</w:t>
      </w:r>
      <w:r w:rsidR="002533EA">
        <w:rPr>
          <w:szCs w:val="21"/>
        </w:rPr>
        <w:t xml:space="preserve"> </w:t>
      </w:r>
      <w:r w:rsidR="00A32FE1">
        <w:rPr>
          <w:szCs w:val="21"/>
        </w:rPr>
        <w:t xml:space="preserve">and </w:t>
      </w:r>
      <w:r w:rsidR="002533EA">
        <w:rPr>
          <w:szCs w:val="21"/>
        </w:rPr>
        <w:t>is focused on developing a capacity development strategy for CSOs and a government engagement strategy</w:t>
      </w:r>
      <w:r>
        <w:rPr>
          <w:szCs w:val="21"/>
        </w:rPr>
        <w:t>.</w:t>
      </w:r>
      <w:r w:rsidR="00A32FE1">
        <w:rPr>
          <w:szCs w:val="21"/>
        </w:rPr>
        <w:t xml:space="preserve"> In line with </w:t>
      </w:r>
      <w:r w:rsidR="0091704A">
        <w:rPr>
          <w:szCs w:val="21"/>
        </w:rPr>
        <w:t xml:space="preserve">the </w:t>
      </w:r>
      <w:r w:rsidR="00A32FE1">
        <w:rPr>
          <w:szCs w:val="21"/>
        </w:rPr>
        <w:t xml:space="preserve">findings of the review, the second phase </w:t>
      </w:r>
      <w:r w:rsidR="00A32FE1">
        <w:t xml:space="preserve">will have a more strategic approach to strengthening civil society capacity, </w:t>
      </w:r>
      <w:r w:rsidR="00BC4778">
        <w:t>including by helping to foster their relationships with government</w:t>
      </w:r>
      <w:r w:rsidR="00A32FE1">
        <w:rPr>
          <w:szCs w:val="21"/>
        </w:rPr>
        <w:t>.</w:t>
      </w:r>
    </w:p>
    <w:p w:rsidR="00CA3743" w:rsidRPr="00CA3743" w:rsidRDefault="00810D95" w:rsidP="00A9669C">
      <w:pPr>
        <w:pStyle w:val="Heading2"/>
      </w:pPr>
      <w:r>
        <w:t>Supporting good governance in Fiji</w:t>
      </w:r>
    </w:p>
    <w:p w:rsidR="0054219B" w:rsidRDefault="00372724" w:rsidP="0054219B">
      <w:pPr>
        <w:pStyle w:val="BodyText"/>
      </w:pPr>
      <w:r>
        <w:t>A</w:t>
      </w:r>
      <w:r w:rsidR="0054219B" w:rsidRPr="00F33F97">
        <w:t xml:space="preserve"> major focus for the Australian aid program to Fiji in 2014 </w:t>
      </w:r>
      <w:r w:rsidR="0054219B">
        <w:t>was</w:t>
      </w:r>
      <w:r w:rsidR="0054219B" w:rsidRPr="00F33F97">
        <w:t xml:space="preserve"> a range of activities to support Fiji’s return to democratic governance.</w:t>
      </w:r>
      <w:r w:rsidR="0054219B">
        <w:t xml:space="preserve"> Foreign Minister </w:t>
      </w:r>
      <w:r>
        <w:t xml:space="preserve">Julie </w:t>
      </w:r>
      <w:r w:rsidR="0054219B">
        <w:t xml:space="preserve">Bishop pledged Australia’s support to Fiji’s return to democracy and Australia invested in flexible, responsive and strategic mechanisms to </w:t>
      </w:r>
      <w:r>
        <w:t>assist with</w:t>
      </w:r>
      <w:r w:rsidR="0054219B">
        <w:t>:</w:t>
      </w:r>
    </w:p>
    <w:p w:rsidR="0054219B" w:rsidRDefault="00AD57B1" w:rsidP="005E247A">
      <w:pPr>
        <w:pStyle w:val="BodyText"/>
        <w:numPr>
          <w:ilvl w:val="0"/>
          <w:numId w:val="43"/>
        </w:numPr>
        <w:spacing w:line="240" w:lineRule="auto"/>
      </w:pPr>
      <w:r>
        <w:lastRenderedPageBreak/>
        <w:t>a</w:t>
      </w:r>
      <w:r w:rsidR="00372724">
        <w:t xml:space="preserve"> credible electoral process that reflected the will of voters</w:t>
      </w:r>
      <w:r w:rsidR="00C26031">
        <w:t>;</w:t>
      </w:r>
    </w:p>
    <w:p w:rsidR="0054219B" w:rsidRDefault="00E80D50" w:rsidP="005E247A">
      <w:pPr>
        <w:pStyle w:val="BodyText"/>
        <w:numPr>
          <w:ilvl w:val="0"/>
          <w:numId w:val="43"/>
        </w:numPr>
        <w:spacing w:line="240" w:lineRule="auto"/>
      </w:pPr>
      <w:r>
        <w:t>t</w:t>
      </w:r>
      <w:r w:rsidR="00372724">
        <w:t>he re</w:t>
      </w:r>
      <w:r w:rsidR="00C44346">
        <w:t>-</w:t>
      </w:r>
      <w:r w:rsidR="00372724">
        <w:t>establishment of a functioning Parliament</w:t>
      </w:r>
      <w:r w:rsidR="0054219B">
        <w:t>; and</w:t>
      </w:r>
    </w:p>
    <w:p w:rsidR="0054219B" w:rsidRDefault="00E80D50" w:rsidP="005E247A">
      <w:pPr>
        <w:pStyle w:val="BodyText"/>
        <w:numPr>
          <w:ilvl w:val="0"/>
          <w:numId w:val="43"/>
        </w:numPr>
        <w:spacing w:line="240" w:lineRule="auto"/>
      </w:pPr>
      <w:r>
        <w:t>r</w:t>
      </w:r>
      <w:r w:rsidR="0054219B">
        <w:t>ebuilding peer to peer Australian and Fijian Government relations</w:t>
      </w:r>
      <w:r w:rsidR="00372724">
        <w:t xml:space="preserve"> to support capacity strengthening</w:t>
      </w:r>
      <w:r w:rsidR="0054219B">
        <w:t>.</w:t>
      </w:r>
      <w:r w:rsidR="0054219B" w:rsidRPr="00B40C0F">
        <w:t xml:space="preserve">  </w:t>
      </w:r>
    </w:p>
    <w:p w:rsidR="00372724" w:rsidRDefault="00372724" w:rsidP="0054219B">
      <w:pPr>
        <w:pStyle w:val="BodyText"/>
      </w:pPr>
      <w:r>
        <w:t>Australia provided significant technical assistance to Fiji’s national elections, including support for the key positions of Deputy Supervisor of Elections and Director of Operations in the Fijian Electoral Office (FEO) and technical assistance for strategic planning and human resource management. Australian Electoral Commission staff provided hands</w:t>
      </w:r>
      <w:r w:rsidR="002F12E2">
        <w:t>-</w:t>
      </w:r>
      <w:r>
        <w:t>on assistance with technical elections issues including ballot paper production and postal voting logistics. This high quality technical assistance made a significant contribution to the smooth running of the elections in September 2014</w:t>
      </w:r>
      <w:r w:rsidR="00FF2AE0">
        <w:t xml:space="preserve"> which was acknowledged by the Fijian Government</w:t>
      </w:r>
      <w:r>
        <w:t>.</w:t>
      </w:r>
    </w:p>
    <w:p w:rsidR="0054219B" w:rsidRDefault="002F12E2" w:rsidP="0054219B">
      <w:pPr>
        <w:pStyle w:val="BodyText"/>
      </w:pPr>
      <w:r>
        <w:t xml:space="preserve">Australia co-led the </w:t>
      </w:r>
      <w:r w:rsidR="0054219B">
        <w:t>Multinational Observer Group with Indonesia and India,</w:t>
      </w:r>
      <w:r>
        <w:t xml:space="preserve"> leading the organisation and logistics of over 100 international observers throughout Fiji. The MOG</w:t>
      </w:r>
      <w:r w:rsidR="0054219B">
        <w:t xml:space="preserve"> highlighted the credibility of the elections and found them to </w:t>
      </w:r>
      <w:r>
        <w:t>have</w:t>
      </w:r>
      <w:r w:rsidR="0054219B">
        <w:t xml:space="preserve"> broadly represented the will of the Fijian People</w:t>
      </w:r>
      <w:r w:rsidR="00C27DBB">
        <w:rPr>
          <w:rStyle w:val="FootnoteReference"/>
        </w:rPr>
        <w:footnoteReference w:id="7"/>
      </w:r>
      <w:r w:rsidR="0054219B">
        <w:t xml:space="preserve">. </w:t>
      </w:r>
    </w:p>
    <w:p w:rsidR="0054219B" w:rsidRDefault="002F12E2" w:rsidP="0054219B">
      <w:pPr>
        <w:pStyle w:val="BodyText"/>
      </w:pPr>
      <w:r>
        <w:t>In October 2014, Foreign Minister Julie Bishop announced a new</w:t>
      </w:r>
      <w:r w:rsidR="0054219B">
        <w:t xml:space="preserve"> </w:t>
      </w:r>
      <w:r w:rsidR="0054219B" w:rsidRPr="00A9669C">
        <w:rPr>
          <w:i/>
        </w:rPr>
        <w:t>Institutional Partnerships Program</w:t>
      </w:r>
      <w:r w:rsidR="0054219B">
        <w:t xml:space="preserve"> </w:t>
      </w:r>
      <w:r>
        <w:t>to support Fiji’s public sector</w:t>
      </w:r>
      <w:r w:rsidR="001F02DF">
        <w:t xml:space="preserve">. </w:t>
      </w:r>
      <w:r w:rsidR="001F02DF" w:rsidRPr="008B1372">
        <w:t xml:space="preserve">The three pillars of support </w:t>
      </w:r>
      <w:r w:rsidR="00FC3508">
        <w:t>of</w:t>
      </w:r>
      <w:r w:rsidR="00FC3508" w:rsidRPr="008B1372">
        <w:t xml:space="preserve"> </w:t>
      </w:r>
      <w:r w:rsidR="001F02DF" w:rsidRPr="008B1372">
        <w:t xml:space="preserve">the IPP are: </w:t>
      </w:r>
      <w:r w:rsidR="001F02DF">
        <w:t>i</w:t>
      </w:r>
      <w:r w:rsidR="001F02DF" w:rsidRPr="008B1372">
        <w:t xml:space="preserve">nclusive, private sector-led economic growth; </w:t>
      </w:r>
      <w:r w:rsidR="001F02DF">
        <w:t>i</w:t>
      </w:r>
      <w:r w:rsidR="001F02DF" w:rsidRPr="008B1372">
        <w:t xml:space="preserve">mproved Public Service performance; and </w:t>
      </w:r>
      <w:r w:rsidR="001F02DF">
        <w:t>s</w:t>
      </w:r>
      <w:r w:rsidR="001F02DF" w:rsidRPr="008B1372">
        <w:t>trengthened accountability and inclusive politics. Initial activities have included supporting Fiji Government’s request to fund the World Bank to lead the new Public Sector Reform process.</w:t>
      </w:r>
      <w:r w:rsidR="00E80D50">
        <w:t xml:space="preserve"> </w:t>
      </w:r>
      <w:r>
        <w:t>Partnerships</w:t>
      </w:r>
      <w:r w:rsidR="0054219B">
        <w:t xml:space="preserve"> have already been established between the Australian Electoral Commission and the Fijian Elections Office;</w:t>
      </w:r>
      <w:r>
        <w:t xml:space="preserve"> Australian federal and state Parliaments and Fiji’s Parliament;</w:t>
      </w:r>
      <w:r w:rsidR="0054219B">
        <w:t xml:space="preserve"> Fijian and Australian National Archives, and the Fijian and Australian Bureaus of Statistics. </w:t>
      </w:r>
      <w:r w:rsidR="0054219B" w:rsidRPr="00B40C0F">
        <w:t xml:space="preserve"> </w:t>
      </w:r>
    </w:p>
    <w:p w:rsidR="0054219B" w:rsidRDefault="0054219B" w:rsidP="0054219B">
      <w:pPr>
        <w:pStyle w:val="BodyText"/>
      </w:pPr>
      <w:r w:rsidRPr="004B3344">
        <w:t xml:space="preserve">Australia </w:t>
      </w:r>
      <w:r w:rsidR="00BA2B5B">
        <w:t>co-funded</w:t>
      </w:r>
      <w:r w:rsidR="00A9669C">
        <w:t xml:space="preserve"> </w:t>
      </w:r>
      <w:r w:rsidR="00E80D50">
        <w:t xml:space="preserve">and worked in partnership with </w:t>
      </w:r>
      <w:r w:rsidR="00A9669C">
        <w:t>the United Nations Development Program’s</w:t>
      </w:r>
      <w:r w:rsidRPr="004B3344">
        <w:t xml:space="preserve"> </w:t>
      </w:r>
      <w:r w:rsidRPr="00E80D50">
        <w:rPr>
          <w:i/>
        </w:rPr>
        <w:t>Parliamentary Strengthening Program</w:t>
      </w:r>
      <w:r w:rsidR="00BA2B5B">
        <w:t xml:space="preserve"> </w:t>
      </w:r>
      <w:r w:rsidRPr="004B3344">
        <w:t>to provide technical assistance through the Australian Parliament</w:t>
      </w:r>
      <w:r w:rsidR="00BA2B5B">
        <w:t xml:space="preserve"> and</w:t>
      </w:r>
      <w:r w:rsidRPr="004B3344">
        <w:t xml:space="preserve"> Victorian Parliament. This relationship has seen capacity assistance support provided by Australian counterparts such as the current and former Clerks of the House; Parliamentary ICT specialists; and Hansard, Public Outreach and Legislative Services staff. In addition, </w:t>
      </w:r>
      <w:r w:rsidR="00AD57B1">
        <w:t>Australian</w:t>
      </w:r>
      <w:r w:rsidRPr="004B3344">
        <w:t xml:space="preserve"> MPs also contributed to Parliamentary capacity development workshops.</w:t>
      </w:r>
    </w:p>
    <w:p w:rsidR="0054219B" w:rsidRDefault="0054219B" w:rsidP="0054219B">
      <w:pPr>
        <w:pStyle w:val="BodyText"/>
      </w:pPr>
      <w:r>
        <w:t xml:space="preserve">Former </w:t>
      </w:r>
      <w:r w:rsidR="00BA2B5B">
        <w:t xml:space="preserve">Australian </w:t>
      </w:r>
      <w:r>
        <w:t xml:space="preserve">Speaker </w:t>
      </w:r>
      <w:r w:rsidR="00BA2B5B">
        <w:t xml:space="preserve">Bronwyn </w:t>
      </w:r>
      <w:r>
        <w:t xml:space="preserve">Bishop and </w:t>
      </w:r>
      <w:r w:rsidR="00BA2B5B">
        <w:t xml:space="preserve">Fiji’s </w:t>
      </w:r>
      <w:r>
        <w:t>Speaker</w:t>
      </w:r>
      <w:r w:rsidR="00BA2B5B">
        <w:t xml:space="preserve"> </w:t>
      </w:r>
      <w:r w:rsidR="00E80D50">
        <w:t xml:space="preserve">Dr </w:t>
      </w:r>
      <w:r w:rsidR="00BA2B5B">
        <w:t>Jiko</w:t>
      </w:r>
      <w:r>
        <w:t xml:space="preserve"> Luveni met in both Fiji and Australia as one</w:t>
      </w:r>
      <w:r w:rsidR="009116F6">
        <w:t xml:space="preserve"> example</w:t>
      </w:r>
      <w:r>
        <w:t xml:space="preserve"> of many reciprocal visits between Parliamentarians</w:t>
      </w:r>
      <w:r w:rsidR="00BA2B5B">
        <w:t xml:space="preserve"> and</w:t>
      </w:r>
      <w:r>
        <w:t xml:space="preserve"> Ministers</w:t>
      </w:r>
      <w:r w:rsidR="00BA2B5B">
        <w:t>.</w:t>
      </w:r>
      <w:r>
        <w:t xml:space="preserve"> </w:t>
      </w:r>
      <w:r w:rsidR="00BA2B5B">
        <w:t>These</w:t>
      </w:r>
      <w:r>
        <w:t xml:space="preserve"> </w:t>
      </w:r>
      <w:r w:rsidR="00905E95">
        <w:t>were</w:t>
      </w:r>
      <w:r>
        <w:t xml:space="preserve"> important step</w:t>
      </w:r>
      <w:r w:rsidR="00BA2B5B">
        <w:t>s</w:t>
      </w:r>
      <w:r>
        <w:t xml:space="preserve"> in rebuilding</w:t>
      </w:r>
      <w:r w:rsidR="00AD57B1">
        <w:t xml:space="preserve"> parliamentary</w:t>
      </w:r>
      <w:r>
        <w:t xml:space="preserve"> links with Fiji and </w:t>
      </w:r>
      <w:r w:rsidR="00D51B74">
        <w:t xml:space="preserve">supporting </w:t>
      </w:r>
      <w:r>
        <w:t>capacity</w:t>
      </w:r>
      <w:r w:rsidR="00D51B74">
        <w:t xml:space="preserve"> development</w:t>
      </w:r>
      <w:r>
        <w:t xml:space="preserve"> of its Parliament. Dr Luveni is the first female Speaker of the House in Fiji, and eight women in total were elected to Parliament. DFAT continues to support women in leadership at a Parliamentary level through the</w:t>
      </w:r>
      <w:r w:rsidRPr="00E80D50">
        <w:rPr>
          <w:i/>
        </w:rPr>
        <w:t xml:space="preserve"> Pacific Women’s Parliamentary </w:t>
      </w:r>
      <w:r w:rsidR="00BA2B5B" w:rsidRPr="00E80D50">
        <w:rPr>
          <w:i/>
        </w:rPr>
        <w:t>Partnerships</w:t>
      </w:r>
      <w:r w:rsidR="00BA2B5B">
        <w:t xml:space="preserve"> (PWPP) program</w:t>
      </w:r>
      <w:r>
        <w:t>.</w:t>
      </w:r>
      <w:r w:rsidR="00BA2B5B">
        <w:t xml:space="preserve"> The PWPP Forum was held in Fiji in April 2015, which saw 18 Australian women MPs engaging with women MPs from all over the Pacific.</w:t>
      </w:r>
    </w:p>
    <w:p w:rsidR="00D51B74" w:rsidRPr="00BA3AD0" w:rsidRDefault="00BB7AC3" w:rsidP="00A9669C">
      <w:pPr>
        <w:pStyle w:val="Heading2"/>
      </w:pPr>
      <w:r>
        <w:t>S</w:t>
      </w:r>
      <w:r w:rsidR="008F3012" w:rsidRPr="00286DD2">
        <w:t>upporting gender equality</w:t>
      </w:r>
      <w:r w:rsidR="0094589A">
        <w:t xml:space="preserve"> in Fiji</w:t>
      </w:r>
    </w:p>
    <w:p w:rsidR="002571E2" w:rsidRDefault="008F3012" w:rsidP="00A9669C">
      <w:pPr>
        <w:pStyle w:val="BodyText"/>
      </w:pPr>
      <w:r w:rsidRPr="0035430E">
        <w:t xml:space="preserve">Australia articulated its gender equality objectives for the aid program in Fiji in the </w:t>
      </w:r>
      <w:r w:rsidRPr="00286DD2">
        <w:rPr>
          <w:i/>
        </w:rPr>
        <w:t>Pacific Women Fiji Country Plan</w:t>
      </w:r>
      <w:r w:rsidRPr="00BA3AD0">
        <w:t xml:space="preserve">. This identified four priorities: eliminating violence against women; women’s economic empowerment; increasing women in leadership and decision-making; and </w:t>
      </w:r>
      <w:r w:rsidRPr="00BA3AD0">
        <w:lastRenderedPageBreak/>
        <w:t>supporting coalitions for change. In this</w:t>
      </w:r>
      <w:r w:rsidRPr="003108CF">
        <w:t xml:space="preserve"> period Australia made significant progress in supporting initiatives to advance gender equality</w:t>
      </w:r>
      <w:r w:rsidR="0094589A">
        <w:t>, which previously was identified as requiring improvement</w:t>
      </w:r>
      <w:r w:rsidRPr="003108CF">
        <w:t xml:space="preserve">. </w:t>
      </w:r>
    </w:p>
    <w:p w:rsidR="008F3012" w:rsidRPr="00A9669C" w:rsidRDefault="008F3012" w:rsidP="00A9669C">
      <w:pPr>
        <w:pStyle w:val="BodyText"/>
      </w:pPr>
      <w:r w:rsidRPr="003108CF">
        <w:t xml:space="preserve">We </w:t>
      </w:r>
      <w:r w:rsidR="00002669">
        <w:t>placed</w:t>
      </w:r>
      <w:r w:rsidRPr="003108CF">
        <w:t xml:space="preserve"> a Gender Adviser </w:t>
      </w:r>
      <w:r w:rsidR="00002669">
        <w:t>in</w:t>
      </w:r>
      <w:r w:rsidRPr="003108CF">
        <w:t xml:space="preserve"> Fiji’s Ministry of </w:t>
      </w:r>
      <w:r w:rsidRPr="00286DD2">
        <w:t>Women to support the implementation of Fiji’s National Gender Policy</w:t>
      </w:r>
      <w:r w:rsidRPr="00BA3AD0">
        <w:t>. We supported Medical Services Pacific</w:t>
      </w:r>
      <w:r w:rsidR="00C44346">
        <w:t>:</w:t>
      </w:r>
      <w:r w:rsidRPr="00BA3AD0">
        <w:t xml:space="preserve"> </w:t>
      </w:r>
      <w:r w:rsidR="00EA0A9D" w:rsidRPr="003108CF">
        <w:t>a local NGO providing reproductive health services to women and</w:t>
      </w:r>
      <w:r w:rsidR="00EA0A9D" w:rsidRPr="0035430E">
        <w:t xml:space="preserve"> holistic support for survivors of sexual violence. </w:t>
      </w:r>
      <w:r w:rsidR="0094589A">
        <w:t>W</w:t>
      </w:r>
      <w:r w:rsidR="00EA0A9D" w:rsidRPr="0035430E">
        <w:t xml:space="preserve">e provided scholarships to 24 </w:t>
      </w:r>
      <w:r w:rsidR="002571E2">
        <w:t xml:space="preserve">unemployed </w:t>
      </w:r>
      <w:r w:rsidR="00EA0A9D" w:rsidRPr="0035430E">
        <w:t xml:space="preserve">rural women to undertake Certificates in Spa Therapy, which will enable them to take up full-time jobs upon graduation at one of Fiji’s many resort spas. Australia also invested in </w:t>
      </w:r>
      <w:r w:rsidR="00B65584" w:rsidRPr="0035430E">
        <w:t>research that measure</w:t>
      </w:r>
      <w:r w:rsidR="00206D32">
        <w:t>s</w:t>
      </w:r>
      <w:r w:rsidR="00B65584" w:rsidRPr="0035430E">
        <w:t xml:space="preserve"> poverty in Fiji using a gender-sensitive measurement tool.</w:t>
      </w:r>
    </w:p>
    <w:p w:rsidR="00823FCA" w:rsidRPr="007B2B91" w:rsidRDefault="00823FCA" w:rsidP="007B2B91">
      <w:pPr>
        <w:pStyle w:val="Heading2"/>
      </w:pPr>
      <w:r w:rsidRPr="004D740B">
        <w:t>Perf</w:t>
      </w:r>
      <w:r>
        <w:t>o</w:t>
      </w:r>
      <w:r w:rsidRPr="004D740B">
        <w:t>rmance Benchmarks</w:t>
      </w:r>
    </w:p>
    <w:p w:rsidR="002D415E" w:rsidRDefault="002D415E" w:rsidP="00A9669C">
      <w:pPr>
        <w:pStyle w:val="BodyText"/>
      </w:pPr>
      <w:r w:rsidRPr="000E7147">
        <w:t>Of seven performance benchmarks identified for the 2014-15 financial year, five were achieved</w:t>
      </w:r>
      <w:r w:rsidR="009116F6">
        <w:t xml:space="preserve"> (see Annex B)</w:t>
      </w:r>
      <w:r w:rsidRPr="000E7147">
        <w:t xml:space="preserve"> and two partially achieved.</w:t>
      </w:r>
      <w:r w:rsidR="004041A8">
        <w:t xml:space="preserve"> </w:t>
      </w:r>
      <w:r w:rsidR="000A22E8">
        <w:t>T</w:t>
      </w:r>
      <w:r>
        <w:t>he benchmark for improving p</w:t>
      </w:r>
      <w:r w:rsidRPr="000E7147">
        <w:t xml:space="preserve">rimary </w:t>
      </w:r>
      <w:r>
        <w:t>s</w:t>
      </w:r>
      <w:r w:rsidRPr="000E7147">
        <w:t xml:space="preserve">chool facilities </w:t>
      </w:r>
      <w:r>
        <w:t>was</w:t>
      </w:r>
      <w:r w:rsidRPr="000E7147">
        <w:t xml:space="preserve"> 187 classrooms built or upgraded.</w:t>
      </w:r>
      <w:r>
        <w:t xml:space="preserve"> Only</w:t>
      </w:r>
      <w:r w:rsidRPr="000E7147">
        <w:t xml:space="preserve"> 96 classrooms were upgraded in 2014-15.</w:t>
      </w:r>
      <w:r>
        <w:t xml:space="preserve"> This was the result of targeted schools prioritising other types of infrastructure assistance over classrooms</w:t>
      </w:r>
      <w:r w:rsidR="00E80D50">
        <w:t>. I</w:t>
      </w:r>
      <w:r>
        <w:t xml:space="preserve">n addition to 96 classrooms, </w:t>
      </w:r>
      <w:r w:rsidR="00B94259">
        <w:t>t</w:t>
      </w:r>
      <w:r w:rsidR="001470EA">
        <w:t>he AQEP</w:t>
      </w:r>
      <w:r>
        <w:t xml:space="preserve"> upgraded 14 libraries, 28 kitchen/dining facilities, 25 teacher</w:t>
      </w:r>
      <w:r w:rsidR="00C44346">
        <w:t>s’</w:t>
      </w:r>
      <w:r>
        <w:t xml:space="preserve"> offices, 10 early childhood education rooms, 14 teachers</w:t>
      </w:r>
      <w:r w:rsidR="00C44346">
        <w:t>’</w:t>
      </w:r>
      <w:r>
        <w:t xml:space="preserve"> living quarters, 14 boarding facilities and 97 ablution blocks.</w:t>
      </w:r>
    </w:p>
    <w:p w:rsidR="00C7739A" w:rsidRPr="00C7739A" w:rsidRDefault="00C44346" w:rsidP="00A9669C">
      <w:pPr>
        <w:pStyle w:val="BodyText"/>
      </w:pPr>
      <w:r>
        <w:t>We</w:t>
      </w:r>
      <w:r w:rsidR="002D415E">
        <w:t xml:space="preserve"> partially met </w:t>
      </w:r>
      <w:r>
        <w:t>the benchmark</w:t>
      </w:r>
      <w:r w:rsidR="002D415E">
        <w:t xml:space="preserve"> </w:t>
      </w:r>
      <w:r w:rsidR="002571E2">
        <w:t>of establishing 40 MDF partnerships to increase incomes for the poor.</w:t>
      </w:r>
      <w:r w:rsidR="002D415E">
        <w:t xml:space="preserve">  By June </w:t>
      </w:r>
      <w:r w:rsidR="002D415E" w:rsidRPr="0019493A">
        <w:t>2015, the</w:t>
      </w:r>
      <w:r w:rsidR="002D415E">
        <w:rPr>
          <w:lang w:eastAsia="zh-CN"/>
        </w:rPr>
        <w:t xml:space="preserve"> </w:t>
      </w:r>
      <w:r w:rsidR="002D415E">
        <w:t>MDF had</w:t>
      </w:r>
      <w:r w:rsidR="002D415E" w:rsidRPr="000E7147">
        <w:t xml:space="preserve"> 32 partnerships on the ground in Fiji (29 active and 3</w:t>
      </w:r>
      <w:r w:rsidR="002D415E">
        <w:t xml:space="preserve"> </w:t>
      </w:r>
      <w:r w:rsidR="002D415E" w:rsidRPr="000E7147">
        <w:t xml:space="preserve">completed). </w:t>
      </w:r>
      <w:r w:rsidR="002D415E">
        <w:t xml:space="preserve">While the benchmarks are developed based on plans and projections, implementation </w:t>
      </w:r>
      <w:r w:rsidR="00905E95">
        <w:t>is affected by a range of contextual factors</w:t>
      </w:r>
      <w:r w:rsidR="002D415E">
        <w:t xml:space="preserve">. For </w:t>
      </w:r>
      <w:r w:rsidR="001470EA">
        <w:t xml:space="preserve">the </w:t>
      </w:r>
      <w:r w:rsidR="002D415E">
        <w:t xml:space="preserve">MDF, the development of partnerships depends on the pace of negotiations with private sector actors which in this case has resulted in fewer partnerships than expected. However, </w:t>
      </w:r>
      <w:r w:rsidR="001470EA">
        <w:t xml:space="preserve">the </w:t>
      </w:r>
      <w:r w:rsidR="002D415E">
        <w:t xml:space="preserve">MDF is </w:t>
      </w:r>
      <w:r w:rsidR="00891117">
        <w:t xml:space="preserve">still </w:t>
      </w:r>
      <w:r w:rsidR="002D415E">
        <w:t>on track to achieve its objectives</w:t>
      </w:r>
      <w:r w:rsidR="007078C4">
        <w:t xml:space="preserve"> in terms of increased jobs and incomes for the poor</w:t>
      </w:r>
      <w:r w:rsidR="002D415E">
        <w:t>.</w:t>
      </w:r>
      <w:r w:rsidR="007B2B91">
        <w:t xml:space="preserve"> </w:t>
      </w:r>
      <w:r w:rsidR="00C7739A" w:rsidRPr="00B7261E">
        <w:t xml:space="preserve">More detail on achievements against each performance benchmark </w:t>
      </w:r>
      <w:r w:rsidR="00C7739A" w:rsidRPr="0067440F">
        <w:t>is at Annex B</w:t>
      </w:r>
      <w:r w:rsidR="00C7739A" w:rsidRPr="00B7261E">
        <w:t>.</w:t>
      </w:r>
    </w:p>
    <w:p w:rsidR="000D733F" w:rsidRPr="007B2B91" w:rsidRDefault="000D733F" w:rsidP="00A9669C">
      <w:pPr>
        <w:pStyle w:val="Heading2"/>
      </w:pPr>
      <w:r w:rsidRPr="009E38C1">
        <w:t>Mutual Obligations</w:t>
      </w:r>
      <w:r w:rsidRPr="007B2B91">
        <w:tab/>
      </w:r>
      <w:r>
        <w:tab/>
      </w:r>
      <w:r>
        <w:tab/>
      </w:r>
      <w:r>
        <w:tab/>
      </w:r>
    </w:p>
    <w:p w:rsidR="005C644B" w:rsidRDefault="005C644B" w:rsidP="005C644B">
      <w:pPr>
        <w:pStyle w:val="ListBullet"/>
        <w:numPr>
          <w:ilvl w:val="0"/>
          <w:numId w:val="0"/>
        </w:numPr>
        <w:tabs>
          <w:tab w:val="clear" w:pos="284"/>
        </w:tabs>
      </w:pPr>
      <w:r w:rsidRPr="005C644B">
        <w:t>In 2014-15, the Australian aid program continued to operate in Fiji in the absence of a formal partnership agreement with the Fiji Government</w:t>
      </w:r>
      <w:r w:rsidR="00580FFB">
        <w:t>, so there were no agreed mutual obligations</w:t>
      </w:r>
      <w:r w:rsidRPr="005C644B">
        <w:t xml:space="preserve">. </w:t>
      </w:r>
      <w:r w:rsidR="00580FFB">
        <w:t>However</w:t>
      </w:r>
      <w:r>
        <w:t xml:space="preserve"> Australia’s aid program was aligned with</w:t>
      </w:r>
      <w:r w:rsidR="00580FFB">
        <w:t>, and responsive to,</w:t>
      </w:r>
      <w:r>
        <w:t xml:space="preserve"> Fiji’s development</w:t>
      </w:r>
      <w:r w:rsidR="00C13D5C">
        <w:t xml:space="preserve"> priorities.</w:t>
      </w:r>
      <w:r>
        <w:t xml:space="preserve"> </w:t>
      </w:r>
    </w:p>
    <w:p w:rsidR="00310CC5" w:rsidRDefault="00310CC5" w:rsidP="005C644B">
      <w:pPr>
        <w:pStyle w:val="ListBullet"/>
        <w:numPr>
          <w:ilvl w:val="0"/>
          <w:numId w:val="0"/>
        </w:numPr>
        <w:tabs>
          <w:tab w:val="clear" w:pos="284"/>
        </w:tabs>
      </w:pPr>
      <w:r>
        <w:t xml:space="preserve">Fiji has demonstrated its commitment to gender equality through a </w:t>
      </w:r>
      <w:r w:rsidR="002571E2">
        <w:t>N</w:t>
      </w:r>
      <w:r>
        <w:t xml:space="preserve">ational </w:t>
      </w:r>
      <w:r w:rsidR="002571E2">
        <w:t>G</w:t>
      </w:r>
      <w:r>
        <w:t xml:space="preserve">ender </w:t>
      </w:r>
      <w:r w:rsidR="002571E2">
        <w:t>P</w:t>
      </w:r>
      <w:r>
        <w:t>olicy and legislation addressing violence against women. Australia supports this commitment through support to the Ministry of Social Welfare, Women and Poverty Alleviation among others.</w:t>
      </w:r>
    </w:p>
    <w:p w:rsidR="00036340" w:rsidRDefault="00975FB9" w:rsidP="00036340">
      <w:pPr>
        <w:pStyle w:val="ListBullet"/>
        <w:numPr>
          <w:ilvl w:val="0"/>
          <w:numId w:val="0"/>
        </w:numPr>
        <w:tabs>
          <w:tab w:val="clear" w:pos="284"/>
        </w:tabs>
      </w:pPr>
      <w:r>
        <w:t xml:space="preserve">Fiji’s strong commitment to education was demonstrated through the increase of </w:t>
      </w:r>
      <w:r w:rsidR="00580FFB">
        <w:t xml:space="preserve">its </w:t>
      </w:r>
      <w:r>
        <w:t>education budget</w:t>
      </w:r>
      <w:r w:rsidR="00580FFB">
        <w:t xml:space="preserve"> and introduction of fee-free education grants to schools</w:t>
      </w:r>
      <w:r>
        <w:t xml:space="preserve">. </w:t>
      </w:r>
      <w:r w:rsidR="00C13D5C">
        <w:t xml:space="preserve"> </w:t>
      </w:r>
      <w:r>
        <w:t xml:space="preserve">Australia worked closely with the </w:t>
      </w:r>
      <w:r w:rsidR="00EB49FB">
        <w:t>MOE</w:t>
      </w:r>
      <w:r>
        <w:t xml:space="preserve"> to provid</w:t>
      </w:r>
      <w:r w:rsidR="00036340">
        <w:t xml:space="preserve">e financial management training </w:t>
      </w:r>
      <w:r w:rsidR="00580FFB">
        <w:t>to enable all schools to manage this new funding arrangement and use the funds effectively</w:t>
      </w:r>
      <w:r w:rsidR="00036340">
        <w:t xml:space="preserve">. </w:t>
      </w:r>
      <w:r w:rsidR="00580FFB">
        <w:rPr>
          <w:lang w:eastAsia="zh-CN"/>
        </w:rPr>
        <w:t>Similarl</w:t>
      </w:r>
      <w:r w:rsidR="00580FFB">
        <w:t xml:space="preserve">y, in support of the </w:t>
      </w:r>
      <w:r w:rsidR="000A22E8">
        <w:t xml:space="preserve">Fiji’s </w:t>
      </w:r>
      <w:r w:rsidR="00580FFB">
        <w:t xml:space="preserve">strong commitment to improving health services, Australian assistance helped develop a </w:t>
      </w:r>
      <w:r w:rsidR="002D415E">
        <w:t>1</w:t>
      </w:r>
      <w:r w:rsidR="00580FFB">
        <w:t>0</w:t>
      </w:r>
      <w:r w:rsidR="00E80D50">
        <w:t>-</w:t>
      </w:r>
      <w:r w:rsidR="00580FFB">
        <w:t>year Workforce Strategy which led to a significant increase in the health workforce.</w:t>
      </w:r>
    </w:p>
    <w:p w:rsidR="004438E0" w:rsidRPr="00032809" w:rsidRDefault="004438E0" w:rsidP="00036340">
      <w:pPr>
        <w:pStyle w:val="ListBullet"/>
        <w:numPr>
          <w:ilvl w:val="0"/>
          <w:numId w:val="0"/>
        </w:numPr>
        <w:tabs>
          <w:tab w:val="clear" w:pos="284"/>
        </w:tabs>
      </w:pPr>
      <w:r>
        <w:t xml:space="preserve">Annual work plans and budgets </w:t>
      </w:r>
      <w:r w:rsidR="00580FFB">
        <w:t>for both health and education programs were developed with and approved by the Ministries of Health and Education respectively</w:t>
      </w:r>
      <w:r w:rsidR="00AD57B1">
        <w:t xml:space="preserve"> to</w:t>
      </w:r>
      <w:r w:rsidR="001F02DF">
        <w:t xml:space="preserve"> </w:t>
      </w:r>
      <w:r w:rsidR="005E1DCE">
        <w:t>ensure full alignment with Fijian Government policies and priorities.</w:t>
      </w:r>
    </w:p>
    <w:p w:rsidR="00906A81" w:rsidRPr="0007149C" w:rsidRDefault="00511A0F" w:rsidP="0007149C">
      <w:pPr>
        <w:pStyle w:val="Heading2"/>
        <w:rPr>
          <w:sz w:val="28"/>
        </w:rPr>
      </w:pPr>
      <w:r w:rsidRPr="0007149C">
        <w:rPr>
          <w:sz w:val="28"/>
        </w:rPr>
        <w:lastRenderedPageBreak/>
        <w:t>Program Quality</w:t>
      </w:r>
      <w:r w:rsidR="000D733F" w:rsidRPr="0007149C">
        <w:rPr>
          <w:sz w:val="28"/>
        </w:rPr>
        <w:t xml:space="preserve"> and </w:t>
      </w:r>
      <w:r w:rsidR="00581979">
        <w:rPr>
          <w:sz w:val="28"/>
        </w:rPr>
        <w:t>Partner Performance</w:t>
      </w:r>
      <w:r w:rsidR="000D733F" w:rsidRPr="0007149C">
        <w:rPr>
          <w:sz w:val="28"/>
        </w:rPr>
        <w:t xml:space="preserve"> </w:t>
      </w:r>
    </w:p>
    <w:p w:rsidR="000D733F" w:rsidRDefault="00906A81" w:rsidP="00FD443C">
      <w:pPr>
        <w:pStyle w:val="Heading2"/>
      </w:pPr>
      <w:r w:rsidRPr="006A5742">
        <w:t>Overview</w:t>
      </w:r>
      <w:r w:rsidR="000D733F" w:rsidRPr="006A5742">
        <w:tab/>
      </w:r>
      <w:r w:rsidR="000D733F">
        <w:tab/>
      </w:r>
    </w:p>
    <w:p w:rsidR="00637989" w:rsidRPr="00FA72B8" w:rsidRDefault="00637989" w:rsidP="00FD443C">
      <w:pPr>
        <w:pStyle w:val="BodyText"/>
      </w:pPr>
      <w:r>
        <w:rPr>
          <w:lang w:eastAsia="zh-CN"/>
        </w:rPr>
        <w:t>The Fiji program is not monitored at a country program level through an overarching program assessment framework. Each initiative in the Fiji program has a monitoring and evaluation framework and is monitored at initiative level. Following the agreement of an Aid Partnership with Fiji, a program assessment framework will be developed to monitor outcomes, mutual obligations and benchmarks against a whole-of-program assessment framework.</w:t>
      </w:r>
    </w:p>
    <w:p w:rsidR="00637989" w:rsidRPr="00180B19" w:rsidRDefault="00637989" w:rsidP="00FD443C">
      <w:pPr>
        <w:pStyle w:val="Heading2"/>
      </w:pPr>
      <w:r>
        <w:t xml:space="preserve">Analysis of Aid </w:t>
      </w:r>
      <w:r w:rsidRPr="00180B19">
        <w:t xml:space="preserve">Quality </w:t>
      </w:r>
      <w:r>
        <w:t>Checks</w:t>
      </w:r>
    </w:p>
    <w:p w:rsidR="00637989" w:rsidRDefault="0068152C" w:rsidP="00637989">
      <w:pPr>
        <w:pStyle w:val="ListBullet"/>
        <w:numPr>
          <w:ilvl w:val="0"/>
          <w:numId w:val="0"/>
        </w:numPr>
        <w:tabs>
          <w:tab w:val="clear" w:pos="284"/>
        </w:tabs>
      </w:pPr>
      <w:r>
        <w:t>Seven</w:t>
      </w:r>
      <w:r w:rsidRPr="00A60D9C">
        <w:t xml:space="preserve"> </w:t>
      </w:r>
      <w:r w:rsidR="00637989" w:rsidRPr="00A60D9C">
        <w:t>Aid Quality Checks (AQCs) were produced</w:t>
      </w:r>
      <w:r w:rsidR="00637989">
        <w:t xml:space="preserve"> for the Fiji program for 2014</w:t>
      </w:r>
      <w:r w:rsidR="009116F6">
        <w:t xml:space="preserve"> (see Annex D)</w:t>
      </w:r>
      <w:r w:rsidR="00637989">
        <w:t xml:space="preserve">. </w:t>
      </w:r>
      <w:r>
        <w:t xml:space="preserve">Six </w:t>
      </w:r>
      <w:r w:rsidR="002D415E">
        <w:t>were assessed</w:t>
      </w:r>
      <w:r w:rsidR="00637989">
        <w:t xml:space="preserve"> as highly relevant in the Fiji development context, with good risk management and relevant safeguards in place. The cross cutting theme of gender rated highly throughout. </w:t>
      </w:r>
    </w:p>
    <w:p w:rsidR="00637989" w:rsidRPr="00A60D9C" w:rsidRDefault="00637989" w:rsidP="00637989">
      <w:pPr>
        <w:pStyle w:val="ListBullet"/>
        <w:numPr>
          <w:ilvl w:val="0"/>
          <w:numId w:val="0"/>
        </w:numPr>
        <w:tabs>
          <w:tab w:val="clear" w:pos="284"/>
        </w:tabs>
      </w:pPr>
      <w:r>
        <w:t xml:space="preserve">The AQC of the Fiji Scholarships program (Australia Awards Scholarships and Australia Awards Pacific Scholarships) reported efficiency and monitoring and evaluation systems as less than adequate. This was due to human resource constraints and the high administration aspects of the scholarships program, leaving little capacity to </w:t>
      </w:r>
      <w:r w:rsidR="007078C4">
        <w:t>introduce improved systems</w:t>
      </w:r>
      <w:r>
        <w:t xml:space="preserve">. </w:t>
      </w:r>
      <w:r w:rsidR="007078C4">
        <w:t>However, a plan is in place to outsource administration work by next year, to enable DFAT to focus on strategic engagement, monitoring and evaluation.</w:t>
      </w:r>
    </w:p>
    <w:p w:rsidR="00637989" w:rsidRDefault="00637989" w:rsidP="00637989">
      <w:pPr>
        <w:pStyle w:val="ListBullet"/>
        <w:numPr>
          <w:ilvl w:val="0"/>
          <w:numId w:val="0"/>
        </w:numPr>
        <w:tabs>
          <w:tab w:val="clear" w:pos="284"/>
        </w:tabs>
      </w:pPr>
      <w:r>
        <w:t xml:space="preserve">Monitoring and evaluation of the </w:t>
      </w:r>
      <w:r w:rsidR="00FD443C">
        <w:t>FHSSP</w:t>
      </w:r>
      <w:r>
        <w:t xml:space="preserve"> has improved dramatically since last year. </w:t>
      </w:r>
      <w:r w:rsidR="00AC14C9">
        <w:t>T</w:t>
      </w:r>
      <w:r w:rsidR="00AD57B1">
        <w:t>he</w:t>
      </w:r>
      <w:r>
        <w:t xml:space="preserve"> FHSSP </w:t>
      </w:r>
      <w:r w:rsidR="007078C4">
        <w:t xml:space="preserve">monitoring and evaluation framework now has clearer linkages between outputs and outcomes and has more realistic and measurable end-of-program outcomes. </w:t>
      </w:r>
    </w:p>
    <w:p w:rsidR="00637989" w:rsidRDefault="00637989" w:rsidP="00205BF4">
      <w:pPr>
        <w:pStyle w:val="ListBullet"/>
        <w:numPr>
          <w:ilvl w:val="0"/>
          <w:numId w:val="0"/>
        </w:numPr>
        <w:tabs>
          <w:tab w:val="clear" w:pos="284"/>
        </w:tabs>
      </w:pPr>
      <w:r>
        <w:t>One initiative was identified as requiring improvement (</w:t>
      </w:r>
      <w:r w:rsidR="004041A8">
        <w:t xml:space="preserve">Fiji </w:t>
      </w:r>
      <w:r w:rsidRPr="00CB516D">
        <w:t>Pacific Women</w:t>
      </w:r>
      <w:r w:rsidR="004041A8">
        <w:t xml:space="preserve"> Country Plan</w:t>
      </w:r>
      <w:r>
        <w:t xml:space="preserve">). Since that period, the performance of </w:t>
      </w:r>
      <w:r w:rsidR="004041A8">
        <w:t xml:space="preserve">the Fiji </w:t>
      </w:r>
      <w:r w:rsidRPr="00CB516D">
        <w:t>Pacific Women</w:t>
      </w:r>
      <w:r>
        <w:t xml:space="preserve"> </w:t>
      </w:r>
      <w:r w:rsidR="004041A8">
        <w:t>program</w:t>
      </w:r>
      <w:r>
        <w:t xml:space="preserve"> has improved significantly. The Country Plan summary has been finalised, a number of initiatives are underway</w:t>
      </w:r>
      <w:r w:rsidR="004041A8">
        <w:t xml:space="preserve"> and a monitoring and evaluation framework is being developed</w:t>
      </w:r>
      <w:r w:rsidR="005A136F">
        <w:t>.</w:t>
      </w:r>
      <w:r>
        <w:t xml:space="preserve"> </w:t>
      </w:r>
      <w:r w:rsidR="005A136F">
        <w:t>I</w:t>
      </w:r>
      <w:r>
        <w:t>mplementation arrangements are clearer</w:t>
      </w:r>
      <w:r w:rsidR="005A136F">
        <w:t>,</w:t>
      </w:r>
      <w:r>
        <w:t xml:space="preserve"> </w:t>
      </w:r>
      <w:r w:rsidR="004041A8">
        <w:t xml:space="preserve">and additional technical, logistical and administrative support is available </w:t>
      </w:r>
      <w:r>
        <w:t xml:space="preserve">with the establishment of the </w:t>
      </w:r>
      <w:r w:rsidRPr="00CB516D">
        <w:t>Pacific Women</w:t>
      </w:r>
      <w:r>
        <w:rPr>
          <w:i/>
        </w:rPr>
        <w:t xml:space="preserve"> </w:t>
      </w:r>
      <w:r w:rsidR="004041A8">
        <w:t>S</w:t>
      </w:r>
      <w:r>
        <w:t xml:space="preserve">upport </w:t>
      </w:r>
      <w:r w:rsidR="004041A8">
        <w:t>Unit</w:t>
      </w:r>
      <w:r w:rsidR="005A136F">
        <w:t>.</w:t>
      </w:r>
      <w:r>
        <w:t xml:space="preserve"> </w:t>
      </w:r>
      <w:r w:rsidR="005A136F">
        <w:t xml:space="preserve"> </w:t>
      </w:r>
    </w:p>
    <w:p w:rsidR="000D733F" w:rsidRDefault="000D733F" w:rsidP="00FD443C">
      <w:pPr>
        <w:pStyle w:val="Heading2"/>
      </w:pPr>
      <w:r>
        <w:t xml:space="preserve">Performance </w:t>
      </w:r>
      <w:r w:rsidR="004F4630">
        <w:t>of key delivery partners</w:t>
      </w:r>
    </w:p>
    <w:p w:rsidR="009B14F5" w:rsidRPr="00074B2A" w:rsidRDefault="00074B2A" w:rsidP="00074B2A">
      <w:pPr>
        <w:pStyle w:val="ListBullet"/>
        <w:numPr>
          <w:ilvl w:val="0"/>
          <w:numId w:val="0"/>
        </w:numPr>
        <w:tabs>
          <w:tab w:val="clear" w:pos="284"/>
        </w:tabs>
      </w:pPr>
      <w:r w:rsidRPr="00074B2A">
        <w:t>The majority of bilateral development assistance in Fiji is delivered by managing contractors</w:t>
      </w:r>
      <w:r w:rsidR="00211259">
        <w:t xml:space="preserve">. </w:t>
      </w:r>
      <w:r w:rsidR="004F1676">
        <w:t xml:space="preserve">The </w:t>
      </w:r>
      <w:r w:rsidR="00BC1ECB">
        <w:t>AQEP</w:t>
      </w:r>
      <w:r w:rsidR="00211259">
        <w:t xml:space="preserve"> is delivered by</w:t>
      </w:r>
      <w:r w:rsidR="00BC1ECB">
        <w:t xml:space="preserve"> </w:t>
      </w:r>
      <w:r w:rsidR="002D415E">
        <w:t>Palladium</w:t>
      </w:r>
      <w:r w:rsidR="00211259">
        <w:t xml:space="preserve">, </w:t>
      </w:r>
      <w:r w:rsidR="004F1676">
        <w:t xml:space="preserve">the </w:t>
      </w:r>
      <w:r w:rsidR="00DE39DE">
        <w:t xml:space="preserve">FHSSP </w:t>
      </w:r>
      <w:r w:rsidR="00211259">
        <w:t xml:space="preserve">by </w:t>
      </w:r>
      <w:r w:rsidR="00DE39DE">
        <w:t>Abt JTA</w:t>
      </w:r>
      <w:r w:rsidR="00211259">
        <w:t xml:space="preserve">, </w:t>
      </w:r>
      <w:r w:rsidR="00E50A82">
        <w:t xml:space="preserve">the </w:t>
      </w:r>
      <w:r w:rsidR="00211259">
        <w:t xml:space="preserve">PFIP by the UN Capital Development Fund, </w:t>
      </w:r>
      <w:r w:rsidR="004F1676">
        <w:t xml:space="preserve">the </w:t>
      </w:r>
      <w:r w:rsidR="00211259">
        <w:t>FCDP by Coffey International and</w:t>
      </w:r>
      <w:r w:rsidR="004F1676">
        <w:t xml:space="preserve"> the</w:t>
      </w:r>
      <w:r w:rsidR="00211259">
        <w:t xml:space="preserve"> MDF by Card</w:t>
      </w:r>
      <w:r w:rsidR="00E57919">
        <w:t>n</w:t>
      </w:r>
      <w:r w:rsidR="00211259">
        <w:t xml:space="preserve">o </w:t>
      </w:r>
      <w:r w:rsidR="00E57919">
        <w:t xml:space="preserve">Emerging Markets </w:t>
      </w:r>
      <w:r w:rsidR="00211259">
        <w:t>(USA) Ltd.</w:t>
      </w:r>
      <w:r w:rsidR="006357FE">
        <w:t xml:space="preserve"> </w:t>
      </w:r>
      <w:r w:rsidR="00C7739A">
        <w:t xml:space="preserve">The choice of modality for </w:t>
      </w:r>
      <w:r w:rsidR="00506F80">
        <w:t xml:space="preserve">delivering these investments remains </w:t>
      </w:r>
      <w:r w:rsidR="00C7739A">
        <w:t>relevant given</w:t>
      </w:r>
      <w:r w:rsidR="00211259">
        <w:t xml:space="preserve"> human </w:t>
      </w:r>
      <w:r w:rsidR="00C7739A">
        <w:t>resource and technical capacity constraint</w:t>
      </w:r>
      <w:r w:rsidR="00506F80">
        <w:t xml:space="preserve">s </w:t>
      </w:r>
      <w:r w:rsidR="00E57919">
        <w:t>in</w:t>
      </w:r>
      <w:r w:rsidR="00C7739A">
        <w:t xml:space="preserve"> Fijian </w:t>
      </w:r>
      <w:r w:rsidR="00506F80">
        <w:t>Ministries</w:t>
      </w:r>
      <w:r w:rsidR="00C7739A">
        <w:t>.</w:t>
      </w:r>
      <w:r w:rsidR="0067457E">
        <w:t xml:space="preserve"> </w:t>
      </w:r>
      <w:r w:rsidR="009B14F5">
        <w:t xml:space="preserve">Future engagement with Fiji may include </w:t>
      </w:r>
      <w:r w:rsidR="00E57919">
        <w:t>using partner government systems where fiduciary risks are manageable and development objectives would be more effectively and efficiently achieved</w:t>
      </w:r>
      <w:r w:rsidR="00211259">
        <w:t>.</w:t>
      </w:r>
      <w:r w:rsidR="009B14F5">
        <w:t xml:space="preserve"> </w:t>
      </w:r>
    </w:p>
    <w:p w:rsidR="006357FE" w:rsidRDefault="009116F6" w:rsidP="006357FE">
      <w:pPr>
        <w:pStyle w:val="ListBullet"/>
        <w:numPr>
          <w:ilvl w:val="0"/>
          <w:numId w:val="0"/>
        </w:numPr>
        <w:tabs>
          <w:tab w:val="clear" w:pos="284"/>
        </w:tabs>
      </w:pPr>
      <w:r>
        <w:t>Partner Performance Assessments (PPAs) are used to assess how well implementing partners are delivering the outputs required in funding arrangements. In 2014-15, PPAs indicated that all delivery partner</w:t>
      </w:r>
      <w:r w:rsidR="00BE4D3A">
        <w:t>s</w:t>
      </w:r>
      <w:r>
        <w:t xml:space="preserve"> are performing to an adequate level across all assessment criteria.</w:t>
      </w:r>
      <w:r w:rsidR="00F22100">
        <w:t xml:space="preserve"> </w:t>
      </w:r>
      <w:r w:rsidR="00A32FE1">
        <w:t>On a scale of 1 to 6, e</w:t>
      </w:r>
      <w:r w:rsidR="006357FE" w:rsidRPr="00074B2A">
        <w:t>ach contractor receiv</w:t>
      </w:r>
      <w:r>
        <w:t>ed</w:t>
      </w:r>
      <w:r w:rsidR="006357FE" w:rsidRPr="00074B2A">
        <w:t xml:space="preserve"> an average of </w:t>
      </w:r>
      <w:r w:rsidR="006357FE">
        <w:t>‘5’ (good) or higher</w:t>
      </w:r>
      <w:r w:rsidR="00F22100">
        <w:t>.</w:t>
      </w:r>
    </w:p>
    <w:p w:rsidR="000D733F" w:rsidRDefault="000D733F" w:rsidP="007B2B91">
      <w:pPr>
        <w:pStyle w:val="Heading2"/>
      </w:pPr>
      <w:r>
        <w:lastRenderedPageBreak/>
        <w:t>Risks</w:t>
      </w:r>
    </w:p>
    <w:p w:rsidR="000D733F" w:rsidRDefault="00D763C0" w:rsidP="005901D2">
      <w:pPr>
        <w:pStyle w:val="Caption"/>
      </w:pPr>
      <w:r>
        <w:t>Table 3 Management of Key Risks to Achieving O</w:t>
      </w:r>
      <w:r w:rsidR="000D733F">
        <w:t>bjectives</w:t>
      </w:r>
    </w:p>
    <w:tbl>
      <w:tblPr>
        <w:tblStyle w:val="APPR"/>
        <w:tblW w:w="5485" w:type="pct"/>
        <w:tblBorders>
          <w:top w:val="single" w:sz="4" w:space="0" w:color="auto"/>
          <w:bottom w:val="single" w:sz="4" w:space="0" w:color="auto"/>
        </w:tblBorders>
        <w:tblLook w:val="0600" w:firstRow="0" w:lastRow="0" w:firstColumn="0" w:lastColumn="0" w:noHBand="1" w:noVBand="1"/>
      </w:tblPr>
      <w:tblGrid>
        <w:gridCol w:w="2830"/>
        <w:gridCol w:w="2977"/>
        <w:gridCol w:w="1843"/>
        <w:gridCol w:w="1978"/>
      </w:tblGrid>
      <w:tr w:rsidR="005C310A" w:rsidRPr="00180B19" w:rsidTr="00E074C5">
        <w:tc>
          <w:tcPr>
            <w:tcW w:w="2788" w:type="dxa"/>
            <w:hideMark/>
          </w:tcPr>
          <w:p w:rsidR="005C310A" w:rsidRPr="005023D9" w:rsidRDefault="005C310A" w:rsidP="000D733F">
            <w:pPr>
              <w:pStyle w:val="TableTextColumnHeading"/>
            </w:pPr>
            <w:r w:rsidRPr="005023D9">
              <w:t>Key risks</w:t>
            </w:r>
          </w:p>
        </w:tc>
        <w:tc>
          <w:tcPr>
            <w:tcW w:w="2949" w:type="dxa"/>
          </w:tcPr>
          <w:p w:rsidR="005C310A" w:rsidRPr="005023D9" w:rsidRDefault="005C310A" w:rsidP="000D733F">
            <w:pPr>
              <w:pStyle w:val="TableTextColumnHeading"/>
            </w:pPr>
            <w:r w:rsidRPr="005023D9">
              <w:t>What actions were taken to manage the risks over the past year</w:t>
            </w:r>
            <w:r>
              <w:t>?</w:t>
            </w:r>
          </w:p>
        </w:tc>
        <w:tc>
          <w:tcPr>
            <w:tcW w:w="1815" w:type="dxa"/>
          </w:tcPr>
          <w:p w:rsidR="005C310A" w:rsidRPr="005023D9" w:rsidRDefault="005C310A" w:rsidP="000D733F">
            <w:pPr>
              <w:pStyle w:val="TableTextColumnHeading"/>
            </w:pPr>
            <w:r w:rsidRPr="005023D9">
              <w:t>What further actions will be taken to manage the risks in the coming year</w:t>
            </w:r>
            <w:r>
              <w:t>?</w:t>
            </w:r>
          </w:p>
        </w:tc>
        <w:tc>
          <w:tcPr>
            <w:tcW w:w="1936" w:type="dxa"/>
          </w:tcPr>
          <w:p w:rsidR="005C310A" w:rsidRPr="005023D9" w:rsidRDefault="005C310A" w:rsidP="000D733F">
            <w:pPr>
              <w:pStyle w:val="TableTextColumnHeading"/>
            </w:pPr>
            <w:r>
              <w:t>For emerging/ongoing risks provide a Risk Rating (low, medium, high, very high)</w:t>
            </w:r>
          </w:p>
        </w:tc>
      </w:tr>
      <w:tr w:rsidR="005C310A" w:rsidRPr="00180B19" w:rsidTr="00E074C5">
        <w:tc>
          <w:tcPr>
            <w:tcW w:w="2788" w:type="dxa"/>
            <w:hideMark/>
          </w:tcPr>
          <w:p w:rsidR="005C310A" w:rsidRPr="004C4A3E" w:rsidRDefault="00506F80" w:rsidP="00506F80">
            <w:pPr>
              <w:pStyle w:val="TableTextEntries"/>
            </w:pPr>
            <w:r>
              <w:t>The political environment following Fiji’s national elections hinders the development and implementation of the Australian aid program</w:t>
            </w:r>
          </w:p>
        </w:tc>
        <w:tc>
          <w:tcPr>
            <w:tcW w:w="2949" w:type="dxa"/>
          </w:tcPr>
          <w:p w:rsidR="005C310A" w:rsidRPr="004C4A3E" w:rsidRDefault="0095756A" w:rsidP="0095756A">
            <w:pPr>
              <w:pStyle w:val="TableTextEntries"/>
            </w:pPr>
            <w:r>
              <w:t xml:space="preserve">Australia provided strong support in preparation for, and throughout the national electoral process. </w:t>
            </w:r>
          </w:p>
        </w:tc>
        <w:tc>
          <w:tcPr>
            <w:tcW w:w="1815" w:type="dxa"/>
          </w:tcPr>
          <w:p w:rsidR="005C310A" w:rsidRPr="004C4A3E" w:rsidRDefault="00506F80">
            <w:pPr>
              <w:pStyle w:val="TableTextEntries"/>
            </w:pPr>
            <w:r w:rsidRPr="00506F80">
              <w:t xml:space="preserve">Strong engagement with key </w:t>
            </w:r>
            <w:r w:rsidR="0095756A">
              <w:t xml:space="preserve">officials at all levels of government. </w:t>
            </w:r>
          </w:p>
        </w:tc>
        <w:tc>
          <w:tcPr>
            <w:tcW w:w="1936" w:type="dxa"/>
          </w:tcPr>
          <w:p w:rsidR="005C310A" w:rsidRPr="004C4A3E" w:rsidRDefault="0095756A" w:rsidP="000D733F">
            <w:pPr>
              <w:pStyle w:val="TableTextEntries"/>
            </w:pPr>
            <w:r>
              <w:t>medium</w:t>
            </w:r>
          </w:p>
        </w:tc>
      </w:tr>
      <w:tr w:rsidR="005C310A" w:rsidRPr="00180B19" w:rsidTr="00E074C5">
        <w:tc>
          <w:tcPr>
            <w:tcW w:w="2788" w:type="dxa"/>
          </w:tcPr>
          <w:p w:rsidR="005C310A" w:rsidRPr="004C4A3E" w:rsidRDefault="00B94259" w:rsidP="0056150A">
            <w:pPr>
              <w:pStyle w:val="TableTextEntries"/>
            </w:pPr>
            <w:r>
              <w:t>Australian aid is not aligned to Fijian government development priorities</w:t>
            </w:r>
          </w:p>
        </w:tc>
        <w:tc>
          <w:tcPr>
            <w:tcW w:w="2949" w:type="dxa"/>
          </w:tcPr>
          <w:p w:rsidR="005C310A" w:rsidRPr="004C4A3E" w:rsidRDefault="00B94259">
            <w:pPr>
              <w:pStyle w:val="TableTextEntries"/>
            </w:pPr>
            <w:r>
              <w:t>Strong and ongoing engagement with government on health and education. Increased government engagement on civil society support. New Institutional Partnerships program.</w:t>
            </w:r>
          </w:p>
        </w:tc>
        <w:tc>
          <w:tcPr>
            <w:tcW w:w="1815" w:type="dxa"/>
          </w:tcPr>
          <w:p w:rsidR="005C310A" w:rsidRPr="004C4A3E" w:rsidRDefault="0095756A" w:rsidP="000D733F">
            <w:pPr>
              <w:pStyle w:val="TableTextEntries"/>
            </w:pPr>
            <w:r>
              <w:t>An Aid Partnership will be developed and agreed in consultation with the Fiji Government.</w:t>
            </w:r>
          </w:p>
        </w:tc>
        <w:tc>
          <w:tcPr>
            <w:tcW w:w="1936" w:type="dxa"/>
          </w:tcPr>
          <w:p w:rsidR="005C310A" w:rsidRPr="004C4A3E" w:rsidRDefault="0095756A" w:rsidP="000D733F">
            <w:pPr>
              <w:pStyle w:val="TableTextEntries"/>
            </w:pPr>
            <w:r>
              <w:t>medium</w:t>
            </w:r>
          </w:p>
        </w:tc>
      </w:tr>
    </w:tbl>
    <w:p w:rsidR="008E29AB" w:rsidRDefault="008E29AB" w:rsidP="00582C22">
      <w:pPr>
        <w:pStyle w:val="Note"/>
      </w:pPr>
    </w:p>
    <w:p w:rsidR="000D733F" w:rsidRPr="0007149C" w:rsidRDefault="0091704A" w:rsidP="0007149C">
      <w:pPr>
        <w:pStyle w:val="Heading2"/>
        <w:rPr>
          <w:sz w:val="28"/>
        </w:rPr>
      </w:pPr>
      <w:r>
        <w:rPr>
          <w:sz w:val="28"/>
        </w:rPr>
        <w:br/>
      </w:r>
      <w:r w:rsidR="000D733F" w:rsidRPr="0007149C">
        <w:rPr>
          <w:sz w:val="28"/>
        </w:rPr>
        <w:t xml:space="preserve">Management </w:t>
      </w:r>
      <w:r w:rsidR="00805ADD" w:rsidRPr="0007149C">
        <w:rPr>
          <w:sz w:val="28"/>
        </w:rPr>
        <w:t>Responses</w:t>
      </w:r>
      <w:r w:rsidR="000D733F" w:rsidRPr="0007149C">
        <w:rPr>
          <w:sz w:val="28"/>
        </w:rPr>
        <w:tab/>
      </w:r>
      <w:r w:rsidR="000D733F" w:rsidRPr="0007149C">
        <w:rPr>
          <w:sz w:val="28"/>
        </w:rPr>
        <w:tab/>
      </w:r>
    </w:p>
    <w:p w:rsidR="00B073A9" w:rsidRDefault="00B073A9" w:rsidP="00B073A9">
      <w:pPr>
        <w:pStyle w:val="BodyText"/>
        <w:rPr>
          <w:szCs w:val="21"/>
        </w:rPr>
      </w:pPr>
      <w:r>
        <w:rPr>
          <w:szCs w:val="21"/>
        </w:rPr>
        <w:t xml:space="preserve">Progress addressing last year’s management responses was mixed. </w:t>
      </w:r>
      <w:r>
        <w:rPr>
          <w:b/>
          <w:szCs w:val="21"/>
        </w:rPr>
        <w:t xml:space="preserve">Annex A </w:t>
      </w:r>
      <w:r>
        <w:rPr>
          <w:szCs w:val="21"/>
        </w:rPr>
        <w:t>provides detail. The following management responses are for the forthcoming 12 months.</w:t>
      </w:r>
    </w:p>
    <w:p w:rsidR="00AC14C9" w:rsidRDefault="003F33C0" w:rsidP="00FD443C">
      <w:pPr>
        <w:pStyle w:val="BodyText"/>
      </w:pPr>
      <w:r>
        <w:t>The 2014-15 period was one of significant contextual shift in Fiji, with a</w:t>
      </w:r>
      <w:r w:rsidR="002B3895">
        <w:t xml:space="preserve"> new</w:t>
      </w:r>
      <w:r>
        <w:t xml:space="preserve"> government and electoral system and a normalised bilateral relationship between Australia and Fiji. </w:t>
      </w:r>
      <w:r w:rsidR="00AC14C9">
        <w:t xml:space="preserve">The Department published an Aid Investment Plan for Fiji on 30 September 2015. The plan outlines Australia’s aid priorities which are increasingly focused on private sector development, good governance and gender equality. Our partnerships in health and education will also continue. </w:t>
      </w:r>
    </w:p>
    <w:p w:rsidR="00B073A9" w:rsidRPr="0091704A" w:rsidRDefault="00B073A9" w:rsidP="00FD443C">
      <w:pPr>
        <w:pStyle w:val="BodyText"/>
        <w:rPr>
          <w:b/>
        </w:rPr>
      </w:pPr>
      <w:r w:rsidRPr="0091704A">
        <w:rPr>
          <w:b/>
        </w:rPr>
        <w:t>New aid partnership</w:t>
      </w:r>
    </w:p>
    <w:p w:rsidR="007F4E23" w:rsidRDefault="003F33C0" w:rsidP="00FD443C">
      <w:pPr>
        <w:pStyle w:val="BodyText"/>
      </w:pPr>
      <w:r>
        <w:t>A major objective for 2015-16 will be to re-establish the development cooperation relationship with the Fijian Government through an agreed Aid Partnership.</w:t>
      </w:r>
      <w:r w:rsidR="00BC4778">
        <w:t xml:space="preserve"> Australia will work closely with the</w:t>
      </w:r>
      <w:r w:rsidR="0091704A">
        <w:t xml:space="preserve"> Government of Fiji</w:t>
      </w:r>
      <w:r w:rsidR="00BC4778">
        <w:t xml:space="preserve"> to develop an Aid Partnership outlining timeframes, targets and mutual obligations.</w:t>
      </w:r>
    </w:p>
    <w:p w:rsidR="00B073A9" w:rsidRPr="0091704A" w:rsidRDefault="00B073A9" w:rsidP="00FD443C">
      <w:pPr>
        <w:pStyle w:val="BodyText"/>
        <w:rPr>
          <w:b/>
          <w:szCs w:val="21"/>
        </w:rPr>
      </w:pPr>
      <w:r w:rsidRPr="0091704A">
        <w:rPr>
          <w:b/>
        </w:rPr>
        <w:t xml:space="preserve">Fiji </w:t>
      </w:r>
      <w:r w:rsidR="00BC4778">
        <w:rPr>
          <w:b/>
        </w:rPr>
        <w:t>Program</w:t>
      </w:r>
      <w:r>
        <w:rPr>
          <w:b/>
        </w:rPr>
        <w:t xml:space="preserve"> </w:t>
      </w:r>
      <w:r w:rsidRPr="0091704A">
        <w:rPr>
          <w:b/>
        </w:rPr>
        <w:t>Support Facility</w:t>
      </w:r>
    </w:p>
    <w:p w:rsidR="003F33C0" w:rsidRDefault="003F33C0" w:rsidP="00FD443C">
      <w:pPr>
        <w:pStyle w:val="BodyText"/>
        <w:rPr>
          <w:szCs w:val="21"/>
        </w:rPr>
      </w:pPr>
      <w:r w:rsidRPr="00FD443C">
        <w:rPr>
          <w:iCs/>
          <w:szCs w:val="21"/>
        </w:rPr>
        <w:t xml:space="preserve">With Australia having a number of priority areas in its development cooperation with Fiji there is a risk of spreading the aid program too thin across too many sectors and objectives. To ensure efficiency in implementation, </w:t>
      </w:r>
      <w:r>
        <w:rPr>
          <w:szCs w:val="21"/>
        </w:rPr>
        <w:t>we will develop a program support facility that can support multiple programs, use existing facilities and mechanisms where possible and explore using partner country systems where feasible.</w:t>
      </w:r>
    </w:p>
    <w:p w:rsidR="00B073A9" w:rsidRPr="0091704A" w:rsidRDefault="00BC4778" w:rsidP="00FD443C">
      <w:pPr>
        <w:pStyle w:val="BodyText"/>
        <w:rPr>
          <w:b/>
          <w:szCs w:val="21"/>
        </w:rPr>
      </w:pPr>
      <w:r>
        <w:rPr>
          <w:b/>
          <w:szCs w:val="21"/>
        </w:rPr>
        <w:t>Donor coordination</w:t>
      </w:r>
    </w:p>
    <w:p w:rsidR="00BC4778" w:rsidRDefault="00124E7B" w:rsidP="00FD443C">
      <w:pPr>
        <w:pStyle w:val="BodyText"/>
        <w:rPr>
          <w:szCs w:val="21"/>
        </w:rPr>
      </w:pPr>
      <w:r>
        <w:rPr>
          <w:szCs w:val="21"/>
        </w:rPr>
        <w:t xml:space="preserve">With significant levels of new donor activity in Fiji following the 2014 elections, Australia will continue </w:t>
      </w:r>
      <w:r w:rsidR="00A91973">
        <w:rPr>
          <w:szCs w:val="21"/>
        </w:rPr>
        <w:t xml:space="preserve">to </w:t>
      </w:r>
      <w:r>
        <w:rPr>
          <w:szCs w:val="21"/>
        </w:rPr>
        <w:t>encourag</w:t>
      </w:r>
      <w:r w:rsidR="00A91973">
        <w:rPr>
          <w:szCs w:val="21"/>
        </w:rPr>
        <w:t xml:space="preserve">e </w:t>
      </w:r>
      <w:r>
        <w:rPr>
          <w:szCs w:val="21"/>
        </w:rPr>
        <w:t>greater development partner coordination by the Fijian Government and ensure that collaboration with other development partners is a key feature of all programs.</w:t>
      </w:r>
      <w:r w:rsidR="00A91973">
        <w:rPr>
          <w:szCs w:val="21"/>
        </w:rPr>
        <w:t xml:space="preserve"> </w:t>
      </w:r>
      <w:r w:rsidR="00BC4778">
        <w:rPr>
          <w:szCs w:val="21"/>
        </w:rPr>
        <w:t>Australia will play a leading role in ensuring strong donor coordination and cooperation where appropriate.</w:t>
      </w:r>
    </w:p>
    <w:p w:rsidR="00BC4778" w:rsidRPr="0091704A" w:rsidRDefault="0091704A" w:rsidP="00FD443C">
      <w:pPr>
        <w:pStyle w:val="BodyText"/>
        <w:rPr>
          <w:b/>
          <w:szCs w:val="21"/>
        </w:rPr>
      </w:pPr>
      <w:r>
        <w:rPr>
          <w:b/>
          <w:szCs w:val="21"/>
        </w:rPr>
        <w:lastRenderedPageBreak/>
        <w:br/>
      </w:r>
      <w:r>
        <w:rPr>
          <w:b/>
          <w:szCs w:val="21"/>
        </w:rPr>
        <w:br/>
      </w:r>
      <w:r w:rsidR="00BC4778" w:rsidRPr="0091704A">
        <w:rPr>
          <w:b/>
          <w:szCs w:val="21"/>
        </w:rPr>
        <w:t>Ensuring program sustainability</w:t>
      </w:r>
    </w:p>
    <w:p w:rsidR="009116F6" w:rsidRDefault="009116F6" w:rsidP="00FD443C">
      <w:pPr>
        <w:pStyle w:val="BodyText"/>
        <w:rPr>
          <w:szCs w:val="21"/>
        </w:rPr>
      </w:pPr>
      <w:r>
        <w:rPr>
          <w:szCs w:val="21"/>
        </w:rPr>
        <w:t xml:space="preserve">Australia will continue to work closely with the education sector and support the MOE through this period of major shifts in policy and personnel. The AQEP will </w:t>
      </w:r>
      <w:r w:rsidR="00C54C76">
        <w:rPr>
          <w:szCs w:val="21"/>
        </w:rPr>
        <w:t>develop</w:t>
      </w:r>
      <w:r>
        <w:rPr>
          <w:szCs w:val="21"/>
        </w:rPr>
        <w:t xml:space="preserve"> a sustainability strategy to ensure that its investments are designed to have lasting impacts.</w:t>
      </w:r>
    </w:p>
    <w:p w:rsidR="00B073A9" w:rsidRPr="0091704A" w:rsidRDefault="00B073A9" w:rsidP="00FD443C">
      <w:pPr>
        <w:pStyle w:val="BodyText"/>
        <w:rPr>
          <w:b/>
          <w:szCs w:val="21"/>
        </w:rPr>
      </w:pPr>
      <w:r w:rsidRPr="0091704A">
        <w:rPr>
          <w:b/>
          <w:szCs w:val="21"/>
        </w:rPr>
        <w:t>Scholarships</w:t>
      </w:r>
    </w:p>
    <w:p w:rsidR="007B2B91" w:rsidRDefault="00124E7B" w:rsidP="00FD443C">
      <w:pPr>
        <w:pStyle w:val="BodyText"/>
        <w:rPr>
          <w:szCs w:val="21"/>
        </w:rPr>
      </w:pPr>
      <w:r>
        <w:rPr>
          <w:szCs w:val="21"/>
        </w:rPr>
        <w:t>Australia will improve the efficiency of the Australia Awards Scholarships in Fiji and the Australia Awards Pacific Scholarships by</w:t>
      </w:r>
      <w:r w:rsidR="004E525E">
        <w:rPr>
          <w:szCs w:val="21"/>
        </w:rPr>
        <w:t xml:space="preserve"> outsourcing scholarships administration to a contractor and focusing staff resources on</w:t>
      </w:r>
      <w:r w:rsidR="00941327">
        <w:rPr>
          <w:szCs w:val="21"/>
        </w:rPr>
        <w:t xml:space="preserve"> strategic aid management</w:t>
      </w:r>
      <w:r w:rsidR="004E525E">
        <w:rPr>
          <w:szCs w:val="21"/>
        </w:rPr>
        <w:t>.</w:t>
      </w:r>
      <w:r w:rsidR="007B2B91">
        <w:rPr>
          <w:szCs w:val="21"/>
        </w:rPr>
        <w:t xml:space="preserve"> </w:t>
      </w:r>
    </w:p>
    <w:p w:rsidR="00B073A9" w:rsidRDefault="00B073A9" w:rsidP="00B073A9">
      <w:pPr>
        <w:pStyle w:val="BodyText"/>
        <w:keepNext/>
        <w:rPr>
          <w:szCs w:val="21"/>
        </w:rPr>
      </w:pPr>
      <w:r>
        <w:rPr>
          <w:b/>
          <w:szCs w:val="21"/>
        </w:rPr>
        <w:t>Disability</w:t>
      </w:r>
      <w:r w:rsidR="006A4EF7">
        <w:rPr>
          <w:b/>
          <w:szCs w:val="21"/>
        </w:rPr>
        <w:t xml:space="preserve"> Inclusion</w:t>
      </w:r>
    </w:p>
    <w:p w:rsidR="00B073A9" w:rsidRPr="0003779B" w:rsidRDefault="00B073A9" w:rsidP="0091704A">
      <w:pPr>
        <w:pStyle w:val="BodyText"/>
        <w:keepNext/>
      </w:pPr>
      <w:r>
        <w:rPr>
          <w:szCs w:val="21"/>
        </w:rPr>
        <w:t>Australia will improve its engagement with Disabled Peoples Organisations in order to ensure more effective disability inclusion across all programs in Fiji.</w:t>
      </w:r>
    </w:p>
    <w:p w:rsidR="006A4EF7" w:rsidRPr="0091704A" w:rsidRDefault="006A4EF7" w:rsidP="00E074C5">
      <w:pPr>
        <w:pStyle w:val="ListBullet"/>
        <w:numPr>
          <w:ilvl w:val="0"/>
          <w:numId w:val="0"/>
        </w:numPr>
        <w:tabs>
          <w:tab w:val="clear" w:pos="284"/>
        </w:tabs>
        <w:rPr>
          <w:b/>
        </w:rPr>
      </w:pPr>
      <w:r w:rsidRPr="0091704A">
        <w:rPr>
          <w:b/>
        </w:rPr>
        <w:t xml:space="preserve">Pacific Women Fiji </w:t>
      </w:r>
    </w:p>
    <w:p w:rsidR="006A4EF7" w:rsidRPr="0091704A" w:rsidRDefault="006A4EF7" w:rsidP="00E074C5">
      <w:pPr>
        <w:pStyle w:val="ListBullet"/>
        <w:numPr>
          <w:ilvl w:val="0"/>
          <w:numId w:val="0"/>
        </w:numPr>
        <w:tabs>
          <w:tab w:val="clear" w:pos="284"/>
        </w:tabs>
        <w:sectPr w:rsidR="006A4EF7" w:rsidRPr="0091704A" w:rsidSect="0045088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701" w:bottom="568" w:left="1701" w:header="850" w:footer="567" w:gutter="0"/>
          <w:pgNumType w:start="1"/>
          <w:cols w:space="720"/>
          <w:docGrid w:linePitch="326"/>
        </w:sectPr>
      </w:pPr>
      <w:r w:rsidRPr="0091704A">
        <w:t xml:space="preserve">Australia will ensure that the Pacific Women Fiji program is effective by updating the Fiji Country Plan, designing a robust monitoring and evaluation framework and drawing on the services provided by the Pacific Women Support </w:t>
      </w:r>
      <w:r w:rsidR="00280D6E">
        <w:t>U</w:t>
      </w:r>
      <w:r w:rsidRPr="0091704A">
        <w:t>nit to enable timely implementation and achievement of results.</w:t>
      </w:r>
    </w:p>
    <w:p w:rsidR="005C310A" w:rsidRPr="00145808" w:rsidRDefault="005C310A" w:rsidP="00145808">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p>
    <w:tbl>
      <w:tblPr>
        <w:tblStyle w:val="APPR"/>
        <w:tblpPr w:leftFromText="180" w:rightFromText="180" w:vertAnchor="text" w:tblpY="1"/>
        <w:tblW w:w="5297" w:type="pct"/>
        <w:tblLayout w:type="fixed"/>
        <w:tblLook w:val="0000" w:firstRow="0" w:lastRow="0" w:firstColumn="0" w:lastColumn="0" w:noHBand="0" w:noVBand="0"/>
      </w:tblPr>
      <w:tblGrid>
        <w:gridCol w:w="6939"/>
        <w:gridCol w:w="993"/>
        <w:gridCol w:w="7371"/>
      </w:tblGrid>
      <w:tr w:rsidR="005C310A" w:rsidRPr="00180B19" w:rsidTr="000A22E8">
        <w:trPr>
          <w:cnfStyle w:val="000000010000" w:firstRow="0" w:lastRow="0" w:firstColumn="0" w:lastColumn="0" w:oddVBand="0" w:evenVBand="0" w:oddHBand="0" w:evenHBand="1" w:firstRowFirstColumn="0" w:firstRowLastColumn="0" w:lastRowFirstColumn="0" w:lastRowLastColumn="0"/>
        </w:trPr>
        <w:tc>
          <w:tcPr>
            <w:tcW w:w="6898" w:type="dxa"/>
          </w:tcPr>
          <w:p w:rsidR="005C310A" w:rsidRPr="00180B19" w:rsidRDefault="005C310A" w:rsidP="00445FE0">
            <w:pPr>
              <w:pStyle w:val="TableTextColumnHeading"/>
              <w:tabs>
                <w:tab w:val="left" w:pos="1185"/>
              </w:tabs>
            </w:pPr>
            <w:r w:rsidRPr="00FE4491">
              <w:t xml:space="preserve">Management </w:t>
            </w:r>
            <w:r>
              <w:t>respon</w:t>
            </w:r>
            <w:r w:rsidR="00F43B6E">
              <w:t>s</w:t>
            </w:r>
            <w:r>
              <w:t>e</w:t>
            </w:r>
            <w:r w:rsidRPr="00FE4491">
              <w:t>s identified in 20</w:t>
            </w:r>
            <w:r>
              <w:t>13-</w:t>
            </w:r>
            <w:r w:rsidRPr="00FE4491">
              <w:t>1</w:t>
            </w:r>
            <w:r>
              <w:t>4</w:t>
            </w:r>
            <w:r w:rsidRPr="00FE4491">
              <w:t xml:space="preserve"> </w:t>
            </w:r>
            <w:r>
              <w:t>APPR</w:t>
            </w:r>
            <w:r>
              <w:tab/>
            </w:r>
          </w:p>
        </w:tc>
        <w:tc>
          <w:tcPr>
            <w:tcW w:w="965" w:type="dxa"/>
          </w:tcPr>
          <w:p w:rsidR="005C310A" w:rsidRPr="00180B19" w:rsidRDefault="005C310A" w:rsidP="00445FE0">
            <w:pPr>
              <w:pStyle w:val="TableTextColumnHeading"/>
            </w:pPr>
            <w:r w:rsidRPr="00FE4491">
              <w:t>Rating</w:t>
            </w:r>
          </w:p>
        </w:tc>
        <w:tc>
          <w:tcPr>
            <w:tcW w:w="7329" w:type="dxa"/>
          </w:tcPr>
          <w:p w:rsidR="005C310A" w:rsidRPr="00180B19" w:rsidRDefault="005C310A" w:rsidP="00445FE0">
            <w:pPr>
              <w:pStyle w:val="TableTextColumnHeading"/>
            </w:pPr>
            <w:r w:rsidRPr="00FE4491">
              <w:t xml:space="preserve">Progress made in </w:t>
            </w:r>
            <w:r>
              <w:t>2014-5</w:t>
            </w:r>
          </w:p>
        </w:tc>
      </w:tr>
      <w:tr w:rsidR="005C310A" w:rsidRPr="00180B19" w:rsidTr="000A22E8">
        <w:trPr>
          <w:cnfStyle w:val="000000010000" w:firstRow="0" w:lastRow="0" w:firstColumn="0" w:lastColumn="0" w:oddVBand="0" w:evenVBand="0" w:oddHBand="0" w:evenHBand="1" w:firstRowFirstColumn="0" w:firstRowLastColumn="0" w:lastRowFirstColumn="0" w:lastRowLastColumn="0"/>
        </w:trPr>
        <w:tc>
          <w:tcPr>
            <w:tcW w:w="6898" w:type="dxa"/>
          </w:tcPr>
          <w:p w:rsidR="005C310A" w:rsidRPr="00100AA2" w:rsidRDefault="00AD0F52" w:rsidP="00AD0F52">
            <w:pPr>
              <w:pStyle w:val="TableTextEntries"/>
            </w:pPr>
            <w:r>
              <w:t>Fiji’s biggest challenge in the coming period will be to achieve a peaceful and sustainable transition to democracy. Australia will need to provide flexible and responsive assistance including for the electoral process, re-establishment of parliament and other key democratic institutions. Australia will develop a new governance initiative that will provide technical and other assistance in priority areas to help Fiji address some of these challenges.</w:t>
            </w:r>
          </w:p>
        </w:tc>
        <w:tc>
          <w:tcPr>
            <w:tcW w:w="965" w:type="dxa"/>
            <w:shd w:val="clear" w:color="auto" w:fill="92D050"/>
          </w:tcPr>
          <w:p w:rsidR="005C310A" w:rsidRPr="00443639" w:rsidRDefault="00D0492B" w:rsidP="00445FE0">
            <w:pPr>
              <w:pStyle w:val="TableTextEntries"/>
              <w:jc w:val="center"/>
              <w:rPr>
                <w:color w:val="FFFFFF" w:themeColor="background1"/>
              </w:rPr>
            </w:pPr>
            <w:r>
              <w:rPr>
                <w:color w:val="FFFFFF" w:themeColor="background1"/>
              </w:rPr>
              <w:t>Achieved</w:t>
            </w:r>
          </w:p>
        </w:tc>
        <w:tc>
          <w:tcPr>
            <w:tcW w:w="7329" w:type="dxa"/>
          </w:tcPr>
          <w:p w:rsidR="00D33124" w:rsidRPr="00D119C5" w:rsidRDefault="00D33124" w:rsidP="00D119C5">
            <w:pPr>
              <w:pStyle w:val="TableTextEntries"/>
              <w:rPr>
                <w:color w:val="92D050"/>
              </w:rPr>
            </w:pPr>
            <w:r>
              <w:t>Australia supported Fiji throughout the process leading up to, and executing, successful and democratic elections, including support to the Fiji</w:t>
            </w:r>
            <w:r w:rsidR="00D119C5">
              <w:t>an</w:t>
            </w:r>
            <w:r>
              <w:t xml:space="preserve"> Elections Office and</w:t>
            </w:r>
            <w:r w:rsidR="00D119C5">
              <w:t xml:space="preserve"> co-leading</w:t>
            </w:r>
            <w:r>
              <w:t xml:space="preserve"> the Multinational Observer Group. Australia has made significant gains in re-establishing productive working relationships with Fijian Government </w:t>
            </w:r>
            <w:r w:rsidR="00D119C5">
              <w:t>officials</w:t>
            </w:r>
            <w:r>
              <w:t xml:space="preserve">, </w:t>
            </w:r>
            <w:r w:rsidR="00D119C5">
              <w:t xml:space="preserve">supporting </w:t>
            </w:r>
            <w:r>
              <w:t xml:space="preserve">a robust and inclusive electoral process and a </w:t>
            </w:r>
            <w:r w:rsidR="00FD443C">
              <w:t>well-functioning</w:t>
            </w:r>
            <w:r>
              <w:t xml:space="preserve"> parliament.</w:t>
            </w:r>
            <w:r w:rsidR="00D119C5">
              <w:t xml:space="preserve"> A new governance program, the </w:t>
            </w:r>
            <w:r w:rsidR="00D119C5">
              <w:rPr>
                <w:i/>
              </w:rPr>
              <w:t>Institutional Partnerships Program</w:t>
            </w:r>
            <w:r w:rsidR="00D119C5">
              <w:t>, began in 2015.</w:t>
            </w:r>
          </w:p>
        </w:tc>
      </w:tr>
      <w:tr w:rsidR="005C310A" w:rsidRPr="00180B19" w:rsidTr="000A22E8">
        <w:trPr>
          <w:cnfStyle w:val="000000010000" w:firstRow="0" w:lastRow="0" w:firstColumn="0" w:lastColumn="0" w:oddVBand="0" w:evenVBand="0" w:oddHBand="0" w:evenHBand="1" w:firstRowFirstColumn="0" w:firstRowLastColumn="0" w:lastRowFirstColumn="0" w:lastRowLastColumn="0"/>
        </w:trPr>
        <w:tc>
          <w:tcPr>
            <w:tcW w:w="6898" w:type="dxa"/>
          </w:tcPr>
          <w:p w:rsidR="005C310A" w:rsidRPr="00100AA2" w:rsidRDefault="00AD0F52" w:rsidP="008A2769">
            <w:pPr>
              <w:pStyle w:val="TableTextEntries"/>
            </w:pPr>
            <w:r>
              <w:t>The Fiji program has been tracking well at the activity level and delivering good results in most areas.</w:t>
            </w:r>
            <w:r w:rsidR="00BE4D3A">
              <w:t xml:space="preserve"> </w:t>
            </w:r>
            <w:r w:rsidR="008A2769">
              <w:t>M</w:t>
            </w:r>
            <w:r>
              <w:t>any of these outcomes are only partially systemic because the aid program is not positioned to influence and leverage the Government of Fiji’s own policies, priorities and resources. The challenge for the Fiji program is to reposition itself in working with a democratically elected government to address Fiji’s development challenges in line with new Australian development policies. The way that it will do so will be determined through the development of the Fiji Aid Investment Plan</w:t>
            </w:r>
            <w:r w:rsidR="008A2769">
              <w:t xml:space="preserve"> and a proposed Aid Partnership with Fiji.</w:t>
            </w:r>
          </w:p>
        </w:tc>
        <w:tc>
          <w:tcPr>
            <w:tcW w:w="965" w:type="dxa"/>
            <w:shd w:val="clear" w:color="auto" w:fill="92D050"/>
          </w:tcPr>
          <w:p w:rsidR="005C310A" w:rsidRPr="00443639" w:rsidRDefault="005C310A" w:rsidP="00445FE0">
            <w:pPr>
              <w:pStyle w:val="TableTextEntries"/>
              <w:jc w:val="center"/>
              <w:rPr>
                <w:color w:val="FFFFFF" w:themeColor="background1"/>
              </w:rPr>
            </w:pPr>
            <w:r>
              <w:rPr>
                <w:color w:val="FFFFFF" w:themeColor="background1"/>
              </w:rPr>
              <w:t>Achieved</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7329" w:type="dxa"/>
          </w:tcPr>
          <w:p w:rsidR="00D33124" w:rsidRDefault="00D119C5" w:rsidP="00D33124">
            <w:pPr>
              <w:pStyle w:val="TableTextEntries"/>
              <w:spacing w:line="240" w:lineRule="auto"/>
            </w:pPr>
            <w:r>
              <w:t xml:space="preserve">Australia has developed an Aid Investment Plan for Fiji which identifies the need for Australian aid to leverage stronger performance by both public and private sectors in Fiji. It identifies systems strengthening and governance support as major priorities across the health, education, governance and gender programs. </w:t>
            </w:r>
            <w:r w:rsidR="00D33124">
              <w:t xml:space="preserve">Australia has developed the Institutional Partnerships Program to </w:t>
            </w:r>
            <w:r w:rsidR="00C11038">
              <w:t>contribute to</w:t>
            </w:r>
            <w:r w:rsidR="00D33124">
              <w:t xml:space="preserve"> a stronger public sector </w:t>
            </w:r>
            <w:r w:rsidR="00C11038">
              <w:t>and</w:t>
            </w:r>
            <w:r w:rsidR="00D33124">
              <w:t xml:space="preserve"> </w:t>
            </w:r>
            <w:r w:rsidR="008A2769">
              <w:t xml:space="preserve">is </w:t>
            </w:r>
            <w:r w:rsidR="00D33124">
              <w:t>work</w:t>
            </w:r>
            <w:r w:rsidR="008A2769">
              <w:t>ing</w:t>
            </w:r>
            <w:r w:rsidR="00D33124">
              <w:t xml:space="preserve"> more closely with the new government to address Fiji’s own policies, priorities and resources.</w:t>
            </w:r>
            <w:r w:rsidR="008A2769">
              <w:t xml:space="preserve"> </w:t>
            </w:r>
          </w:p>
          <w:p w:rsidR="00D33124" w:rsidRPr="00D33124" w:rsidRDefault="00D33124" w:rsidP="00D33124">
            <w:pPr>
              <w:pStyle w:val="ListBullet"/>
              <w:numPr>
                <w:ilvl w:val="0"/>
                <w:numId w:val="0"/>
              </w:numPr>
              <w:tabs>
                <w:tab w:val="clear" w:pos="284"/>
              </w:tabs>
              <w:spacing w:line="240" w:lineRule="auto"/>
              <w:rPr>
                <w:iCs/>
                <w:sz w:val="17"/>
                <w:szCs w:val="17"/>
                <w:lang w:eastAsia="en-US"/>
              </w:rPr>
            </w:pPr>
          </w:p>
        </w:tc>
      </w:tr>
      <w:tr w:rsidR="005C310A" w:rsidRPr="00180B19" w:rsidTr="000A22E8">
        <w:trPr>
          <w:cnfStyle w:val="000000010000" w:firstRow="0" w:lastRow="0" w:firstColumn="0" w:lastColumn="0" w:oddVBand="0" w:evenVBand="0" w:oddHBand="0" w:evenHBand="1" w:firstRowFirstColumn="0" w:firstRowLastColumn="0" w:lastRowFirstColumn="0" w:lastRowLastColumn="0"/>
        </w:trPr>
        <w:tc>
          <w:tcPr>
            <w:tcW w:w="6898" w:type="dxa"/>
          </w:tcPr>
          <w:p w:rsidR="005C310A" w:rsidRPr="00100AA2" w:rsidRDefault="00AD0F52" w:rsidP="00AD0F52">
            <w:pPr>
              <w:pStyle w:val="TableTextEntries"/>
            </w:pPr>
            <w:r>
              <w:t>Adjusting to anticipated changes in the operating environment in Fiji, following its first national elections in eight years on 17 September 2014, presents a major challenge for the program. Australia’s aid program will need to be agreed with the new government that forms after that election and begin to operate under different ‘rules of engagement’. Existing programs are designed for flexibility, and will be able to adjust to an elected government’s new policies and ways of operation. The Health and Education programs are in the second half of implementation, and any new design process will consider a new post-elections environment.</w:t>
            </w:r>
          </w:p>
        </w:tc>
        <w:tc>
          <w:tcPr>
            <w:tcW w:w="965" w:type="dxa"/>
            <w:shd w:val="clear" w:color="auto" w:fill="92D050"/>
          </w:tcPr>
          <w:p w:rsidR="005C310A" w:rsidRPr="00443639" w:rsidRDefault="005C310A" w:rsidP="00445FE0">
            <w:pPr>
              <w:pStyle w:val="TableTextEntries"/>
              <w:jc w:val="center"/>
              <w:rPr>
                <w:color w:val="FFFFFF" w:themeColor="background1"/>
              </w:rPr>
            </w:pPr>
            <w:r>
              <w:rPr>
                <w:color w:val="FFFFFF" w:themeColor="background1"/>
              </w:rPr>
              <w:t>Achieved</w:t>
            </w:r>
          </w:p>
        </w:tc>
        <w:tc>
          <w:tcPr>
            <w:tcW w:w="7329" w:type="dxa"/>
          </w:tcPr>
          <w:p w:rsidR="00D33124" w:rsidRPr="00D33124" w:rsidRDefault="00C74FA0" w:rsidP="00D33124">
            <w:pPr>
              <w:pStyle w:val="ListBullet"/>
              <w:numPr>
                <w:ilvl w:val="0"/>
                <w:numId w:val="0"/>
              </w:numPr>
              <w:tabs>
                <w:tab w:val="clear" w:pos="284"/>
              </w:tabs>
              <w:spacing w:line="240" w:lineRule="auto"/>
              <w:rPr>
                <w:iCs/>
                <w:sz w:val="17"/>
                <w:szCs w:val="17"/>
                <w:lang w:eastAsia="en-US"/>
              </w:rPr>
            </w:pPr>
            <w:r w:rsidRPr="00D33124">
              <w:rPr>
                <w:iCs/>
                <w:sz w:val="17"/>
                <w:szCs w:val="17"/>
                <w:lang w:eastAsia="en-US"/>
              </w:rPr>
              <w:t>A Fiji Aid Investment Plan has been developed to address Fiji’s development challenges in line with Australian development policies. This includes exploring options around using government systems and processes where appropriate to support strong, long lasting development outcomes.</w:t>
            </w:r>
            <w:r>
              <w:rPr>
                <w:iCs/>
                <w:sz w:val="17"/>
                <w:szCs w:val="17"/>
                <w:lang w:eastAsia="en-US"/>
              </w:rPr>
              <w:t xml:space="preserve"> </w:t>
            </w:r>
            <w:r w:rsidR="00D33124" w:rsidRPr="00D33124">
              <w:rPr>
                <w:iCs/>
                <w:sz w:val="17"/>
                <w:szCs w:val="17"/>
                <w:lang w:eastAsia="en-US"/>
              </w:rPr>
              <w:t>The Health and Education programs are in their final years of implementation, new design processes are beginning and will compl</w:t>
            </w:r>
            <w:r w:rsidR="00C11038">
              <w:rPr>
                <w:iCs/>
                <w:sz w:val="17"/>
                <w:szCs w:val="17"/>
                <w:lang w:eastAsia="en-US"/>
              </w:rPr>
              <w:t>e</w:t>
            </w:r>
            <w:r w:rsidR="00D33124" w:rsidRPr="00D33124">
              <w:rPr>
                <w:iCs/>
                <w:sz w:val="17"/>
                <w:szCs w:val="17"/>
                <w:lang w:eastAsia="en-US"/>
              </w:rPr>
              <w:t>ment development priorities identified in Fiji’s National Development Plans.</w:t>
            </w:r>
          </w:p>
          <w:p w:rsidR="005C310A" w:rsidRPr="00D33124" w:rsidRDefault="005C310A" w:rsidP="00D33124">
            <w:pPr>
              <w:pStyle w:val="TableTextEntries"/>
              <w:spacing w:line="240" w:lineRule="auto"/>
            </w:pPr>
          </w:p>
        </w:tc>
      </w:tr>
      <w:tr w:rsidR="005C310A" w:rsidRPr="00180B19" w:rsidTr="000A22E8">
        <w:trPr>
          <w:cnfStyle w:val="000000010000" w:firstRow="0" w:lastRow="0" w:firstColumn="0" w:lastColumn="0" w:oddVBand="0" w:evenVBand="0" w:oddHBand="0" w:evenHBand="1" w:firstRowFirstColumn="0" w:firstRowLastColumn="0" w:lastRowFirstColumn="0" w:lastRowLastColumn="0"/>
        </w:trPr>
        <w:tc>
          <w:tcPr>
            <w:tcW w:w="6898" w:type="dxa"/>
          </w:tcPr>
          <w:p w:rsidR="005C310A" w:rsidRPr="00100AA2" w:rsidRDefault="00AD0F52" w:rsidP="00AD0F52">
            <w:pPr>
              <w:pStyle w:val="TableTextEntries"/>
            </w:pPr>
            <w:r>
              <w:t>Following the elections, there is expected to be an increase in donor activity in Fiji, so increasing coordination efforts will be critical to minimise duplication and enhance cooperative efforts.</w:t>
            </w:r>
          </w:p>
        </w:tc>
        <w:tc>
          <w:tcPr>
            <w:tcW w:w="965" w:type="dxa"/>
            <w:shd w:val="clear" w:color="auto" w:fill="E36C0A" w:themeFill="accent6" w:themeFillShade="BF"/>
          </w:tcPr>
          <w:p w:rsidR="005C310A" w:rsidRPr="00443639" w:rsidRDefault="005C310A" w:rsidP="00445FE0">
            <w:pPr>
              <w:pStyle w:val="TableTextEntries"/>
              <w:jc w:val="center"/>
              <w:rPr>
                <w:color w:val="FFFFFF" w:themeColor="background1"/>
              </w:rPr>
            </w:pPr>
            <w:r>
              <w:rPr>
                <w:color w:val="FFFFFF" w:themeColor="background1"/>
              </w:rPr>
              <w:t>Partly achieved</w:t>
            </w:r>
          </w:p>
        </w:tc>
        <w:tc>
          <w:tcPr>
            <w:tcW w:w="7329" w:type="dxa"/>
          </w:tcPr>
          <w:p w:rsidR="005C310A" w:rsidRPr="00D33124" w:rsidRDefault="00C11038" w:rsidP="00C11038">
            <w:pPr>
              <w:pStyle w:val="TableTextEntries"/>
              <w:spacing w:line="240" w:lineRule="auto"/>
            </w:pPr>
            <w:r>
              <w:t>The Fijian Government has stalled in efforts to facilitate donor coordination at a central level although sector level coordination continues. Australia continues to informally coordinate with most donors</w:t>
            </w:r>
            <w:r w:rsidR="00246BEC">
              <w:t>, including joint investments with New Zealand and the World Bank.</w:t>
            </w:r>
          </w:p>
        </w:tc>
      </w:tr>
      <w:tr w:rsidR="005C310A" w:rsidRPr="00180B19" w:rsidTr="000A22E8">
        <w:trPr>
          <w:cnfStyle w:val="000000010000" w:firstRow="0" w:lastRow="0" w:firstColumn="0" w:lastColumn="0" w:oddVBand="0" w:evenVBand="0" w:oddHBand="0" w:evenHBand="1" w:firstRowFirstColumn="0" w:firstRowLastColumn="0" w:lastRowFirstColumn="0" w:lastRowLastColumn="0"/>
        </w:trPr>
        <w:tc>
          <w:tcPr>
            <w:tcW w:w="6898" w:type="dxa"/>
          </w:tcPr>
          <w:p w:rsidR="005C310A" w:rsidRPr="00100AA2" w:rsidRDefault="00AD0F52" w:rsidP="00445FE0">
            <w:pPr>
              <w:pStyle w:val="TableTextEntries"/>
            </w:pPr>
            <w:r>
              <w:t>The program will need to continue its efforts to integrate key cross-cutting issues into all programming: gender, climate change, disaster response and risk reduction and disability inclusiveness.</w:t>
            </w:r>
          </w:p>
        </w:tc>
        <w:tc>
          <w:tcPr>
            <w:tcW w:w="965" w:type="dxa"/>
            <w:shd w:val="clear" w:color="auto" w:fill="E36C0A" w:themeFill="accent6" w:themeFillShade="BF"/>
          </w:tcPr>
          <w:p w:rsidR="005C310A" w:rsidRPr="00443639" w:rsidRDefault="008A2769" w:rsidP="00445FE0">
            <w:pPr>
              <w:pStyle w:val="TableTextEntries"/>
              <w:jc w:val="center"/>
              <w:rPr>
                <w:color w:val="FFFFFF" w:themeColor="background1"/>
              </w:rPr>
            </w:pPr>
            <w:r>
              <w:rPr>
                <w:color w:val="FFFFFF" w:themeColor="background1"/>
              </w:rPr>
              <w:t>Partly achieved</w:t>
            </w:r>
          </w:p>
        </w:tc>
        <w:tc>
          <w:tcPr>
            <w:tcW w:w="7329" w:type="dxa"/>
          </w:tcPr>
          <w:p w:rsidR="00D33124" w:rsidRPr="00C74FA0" w:rsidRDefault="00C74FA0" w:rsidP="00C74FA0">
            <w:pPr>
              <w:pStyle w:val="TableTextEntries"/>
            </w:pPr>
            <w:r w:rsidRPr="00C74FA0">
              <w:t>Gender equality rated highly on all investment Aid Quality Checks (over 5)</w:t>
            </w:r>
            <w:r w:rsidR="000A22E8">
              <w:t>.</w:t>
            </w:r>
            <w:r w:rsidRPr="00C74FA0">
              <w:t xml:space="preserve"> </w:t>
            </w:r>
            <w:r w:rsidR="000A22E8">
              <w:t>D</w:t>
            </w:r>
            <w:r w:rsidRPr="00C74FA0">
              <w:t>isability inclusiveness is integrated</w:t>
            </w:r>
            <w:r w:rsidR="00DE4909">
              <w:t xml:space="preserve"> well in</w:t>
            </w:r>
            <w:r w:rsidRPr="00C74FA0">
              <w:t xml:space="preserve"> </w:t>
            </w:r>
            <w:r w:rsidR="00DE4909">
              <w:t>in some</w:t>
            </w:r>
            <w:r w:rsidRPr="00C74FA0">
              <w:t xml:space="preserve"> program</w:t>
            </w:r>
            <w:r w:rsidR="00DE4909">
              <w:t>s but engagement with DPOs needs improvement</w:t>
            </w:r>
            <w:r w:rsidRPr="00C74FA0">
              <w:t>.</w:t>
            </w:r>
            <w:r w:rsidR="00DE4909">
              <w:t xml:space="preserve"> Integration of climate change and DRR across the program has improved, with the health, education and community development programs integrating disaster response assistance and supporting government and community efforts to increase resilience. Coordination with the Pacific Risk Resilience Program has also improved.</w:t>
            </w:r>
            <w:r w:rsidRPr="00C74FA0">
              <w:t xml:space="preserve"> </w:t>
            </w:r>
          </w:p>
          <w:p w:rsidR="005C310A" w:rsidRPr="00C74FA0" w:rsidRDefault="005C310A" w:rsidP="00C74FA0">
            <w:pPr>
              <w:pStyle w:val="TableTextEntries"/>
            </w:pPr>
          </w:p>
        </w:tc>
      </w:tr>
    </w:tbl>
    <w:p w:rsidR="005C310A" w:rsidRPr="00FE4491" w:rsidRDefault="005C310A" w:rsidP="005C310A">
      <w:pPr>
        <w:pStyle w:val="Note"/>
      </w:pPr>
      <w:r w:rsidRPr="00FE4491">
        <w:t xml:space="preserve">Note: </w:t>
      </w:r>
    </w:p>
    <w:p w:rsidR="005C310A" w:rsidRPr="00671434" w:rsidRDefault="005C310A" w:rsidP="005C310A">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5C310A" w:rsidRPr="00EA3BAD" w:rsidRDefault="005C310A" w:rsidP="005C310A">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5C310A" w:rsidRDefault="005C310A" w:rsidP="005C310A">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C310A" w:rsidRDefault="005C310A" w:rsidP="005C310A">
      <w:pPr>
        <w:pStyle w:val="BodyText"/>
      </w:pPr>
    </w:p>
    <w:p w:rsidR="00416B02" w:rsidRPr="00145808" w:rsidRDefault="00416B02" w:rsidP="00145808">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p>
    <w:tbl>
      <w:tblPr>
        <w:tblStyle w:val="DFATTable"/>
        <w:tblW w:w="5372" w:type="pct"/>
        <w:tblLook w:val="04A0" w:firstRow="1" w:lastRow="0" w:firstColumn="1" w:lastColumn="0" w:noHBand="0" w:noVBand="1"/>
      </w:tblPr>
      <w:tblGrid>
        <w:gridCol w:w="2242"/>
        <w:gridCol w:w="2826"/>
        <w:gridCol w:w="1843"/>
        <w:gridCol w:w="8549"/>
      </w:tblGrid>
      <w:tr w:rsidR="00416B02" w:rsidRPr="004F7D80" w:rsidTr="00145808">
        <w:trPr>
          <w:tblHeader/>
        </w:trPr>
        <w:tc>
          <w:tcPr>
            <w:tcW w:w="725" w:type="pct"/>
            <w:tcMar>
              <w:top w:w="57" w:type="dxa"/>
              <w:bottom w:w="57" w:type="dxa"/>
            </w:tcMar>
          </w:tcPr>
          <w:p w:rsidR="00416B02" w:rsidRPr="002749B6" w:rsidRDefault="00416B02" w:rsidP="00E15678">
            <w:pPr>
              <w:pStyle w:val="TableHeading1"/>
            </w:pPr>
            <w:r>
              <w:t>Aid</w:t>
            </w:r>
            <w:r w:rsidRPr="002749B6">
              <w:t xml:space="preserve"> objective</w:t>
            </w:r>
          </w:p>
        </w:tc>
        <w:tc>
          <w:tcPr>
            <w:tcW w:w="914" w:type="pct"/>
          </w:tcPr>
          <w:p w:rsidR="00416B02" w:rsidRPr="002749B6" w:rsidRDefault="00416B02" w:rsidP="00E15678">
            <w:pPr>
              <w:pStyle w:val="TableHeading1"/>
            </w:pPr>
            <w:r w:rsidRPr="002749B6">
              <w:t xml:space="preserve">2014-15 benchmark </w:t>
            </w:r>
          </w:p>
        </w:tc>
        <w:tc>
          <w:tcPr>
            <w:tcW w:w="596" w:type="pct"/>
          </w:tcPr>
          <w:p w:rsidR="00416B02" w:rsidRDefault="00416B02" w:rsidP="00E15678">
            <w:pPr>
              <w:pStyle w:val="TableHeading1"/>
            </w:pPr>
            <w:r>
              <w:t>Rating</w:t>
            </w:r>
          </w:p>
        </w:tc>
        <w:tc>
          <w:tcPr>
            <w:tcW w:w="2765" w:type="pct"/>
          </w:tcPr>
          <w:p w:rsidR="00416B02" w:rsidRPr="002749B6" w:rsidRDefault="00416B02" w:rsidP="00E15678">
            <w:pPr>
              <w:pStyle w:val="TableHeading1"/>
            </w:pPr>
            <w:r>
              <w:t>Progress in 2014-15</w:t>
            </w:r>
          </w:p>
        </w:tc>
      </w:tr>
      <w:tr w:rsidR="00145808" w:rsidRPr="004F7D80" w:rsidTr="00134B19">
        <w:tc>
          <w:tcPr>
            <w:tcW w:w="725" w:type="pct"/>
            <w:tcMar>
              <w:top w:w="57" w:type="dxa"/>
              <w:bottom w:w="57" w:type="dxa"/>
            </w:tcMar>
          </w:tcPr>
          <w:p w:rsidR="00145808" w:rsidRDefault="00145808" w:rsidP="00E15678">
            <w:pPr>
              <w:pStyle w:val="TableTextEntries"/>
            </w:pPr>
            <w:r>
              <w:t>Primary School facilities are improved</w:t>
            </w:r>
          </w:p>
        </w:tc>
        <w:tc>
          <w:tcPr>
            <w:tcW w:w="914" w:type="pct"/>
          </w:tcPr>
          <w:p w:rsidR="00145808" w:rsidRDefault="00145808" w:rsidP="00E15678">
            <w:pPr>
              <w:pStyle w:val="TableTextEntries"/>
            </w:pPr>
            <w:r>
              <w:t>187 classrooms built or upgraded</w:t>
            </w:r>
          </w:p>
        </w:tc>
        <w:tc>
          <w:tcPr>
            <w:tcW w:w="596" w:type="pct"/>
            <w:shd w:val="clear" w:color="auto" w:fill="E36C0A" w:themeFill="accent6" w:themeFillShade="BF"/>
          </w:tcPr>
          <w:p w:rsidR="00145808" w:rsidRPr="00B92B2F" w:rsidRDefault="00134B19" w:rsidP="00E15678">
            <w:pPr>
              <w:pStyle w:val="TableTextEntries"/>
              <w:rPr>
                <w:color w:val="FFFFFF" w:themeColor="background1"/>
              </w:rPr>
            </w:pPr>
            <w:r>
              <w:rPr>
                <w:color w:val="FFFFFF" w:themeColor="background1"/>
              </w:rPr>
              <w:t>Partly achieved</w:t>
            </w:r>
          </w:p>
        </w:tc>
        <w:tc>
          <w:tcPr>
            <w:tcW w:w="2765" w:type="pct"/>
          </w:tcPr>
          <w:p w:rsidR="00145808" w:rsidRPr="002749B6" w:rsidRDefault="002935F9" w:rsidP="008B1372">
            <w:pPr>
              <w:pStyle w:val="TableTextEntries"/>
            </w:pPr>
            <w:r>
              <w:t>96 classrooms were upgraded in 2014-15.</w:t>
            </w:r>
            <w:r w:rsidR="00286DD2">
              <w:t xml:space="preserve"> </w:t>
            </w:r>
            <w:r w:rsidR="001470EA">
              <w:t>The AQEP</w:t>
            </w:r>
            <w:r w:rsidR="00286DD2">
              <w:t xml:space="preserve"> supported 31 schools in this period with other infrastructure upgrade priorities including</w:t>
            </w:r>
            <w:r>
              <w:t xml:space="preserve"> </w:t>
            </w:r>
            <w:r w:rsidR="00286DD2">
              <w:rPr>
                <w:iCs w:val="0"/>
                <w:lang w:eastAsia="en-AU"/>
              </w:rPr>
              <w:t>14 libraries, 28 kitchen/dining facilities, 25 teacher’s offices, 10 early childhood education rooms, 14 teachers living quarters, 14 boarding facilities and 97 ablution blocks.</w:t>
            </w:r>
          </w:p>
        </w:tc>
      </w:tr>
      <w:tr w:rsidR="00B7326F" w:rsidRPr="004F7D80" w:rsidTr="00B7326F">
        <w:tc>
          <w:tcPr>
            <w:tcW w:w="725" w:type="pct"/>
            <w:tcMar>
              <w:top w:w="57" w:type="dxa"/>
              <w:bottom w:w="57" w:type="dxa"/>
            </w:tcMar>
          </w:tcPr>
          <w:p w:rsidR="00B7326F" w:rsidRDefault="00B7326F" w:rsidP="00E15678">
            <w:pPr>
              <w:pStyle w:val="TableTextEntries"/>
            </w:pPr>
            <w:r>
              <w:t>Increased access to safe delivery services by expectant mothers</w:t>
            </w:r>
          </w:p>
        </w:tc>
        <w:tc>
          <w:tcPr>
            <w:tcW w:w="914" w:type="pct"/>
          </w:tcPr>
          <w:p w:rsidR="00B7326F" w:rsidRDefault="00B7326F" w:rsidP="00E15678">
            <w:pPr>
              <w:pStyle w:val="TableTextEntries"/>
            </w:pPr>
            <w:r>
              <w:t>Improved hospital performance against mother safe and baby-friendly standards</w:t>
            </w:r>
          </w:p>
        </w:tc>
        <w:tc>
          <w:tcPr>
            <w:tcW w:w="596" w:type="pct"/>
            <w:shd w:val="clear" w:color="auto" w:fill="92D050"/>
          </w:tcPr>
          <w:p w:rsidR="00B7326F" w:rsidRDefault="00B7326F" w:rsidP="00076943">
            <w:pPr>
              <w:pStyle w:val="TableTextEntries"/>
              <w:rPr>
                <w:color w:val="FFFFFF" w:themeColor="background1"/>
              </w:rPr>
            </w:pPr>
            <w:r>
              <w:rPr>
                <w:color w:val="FFFFFF" w:themeColor="background1"/>
              </w:rPr>
              <w:t>Achieved</w:t>
            </w:r>
          </w:p>
        </w:tc>
        <w:tc>
          <w:tcPr>
            <w:tcW w:w="2765" w:type="pct"/>
          </w:tcPr>
          <w:p w:rsidR="00B7326F" w:rsidRPr="00B7326F" w:rsidRDefault="006357FE" w:rsidP="00B7326F">
            <w:pPr>
              <w:rPr>
                <w:rFonts w:ascii="Franklin Gothic Book" w:eastAsia="Times New Roman" w:hAnsi="Franklin Gothic Book"/>
                <w:iCs/>
                <w:sz w:val="17"/>
                <w:szCs w:val="17"/>
                <w:lang w:eastAsia="en-US"/>
              </w:rPr>
            </w:pPr>
            <w:r>
              <w:rPr>
                <w:rFonts w:ascii="Franklin Gothic Book" w:eastAsia="Times New Roman" w:hAnsi="Franklin Gothic Book"/>
                <w:iCs/>
                <w:sz w:val="17"/>
                <w:szCs w:val="17"/>
                <w:lang w:eastAsia="en-US"/>
              </w:rPr>
              <w:t>A</w:t>
            </w:r>
            <w:r w:rsidR="00B7326F" w:rsidRPr="00B7326F">
              <w:rPr>
                <w:rFonts w:ascii="Franklin Gothic Book" w:eastAsia="Times New Roman" w:hAnsi="Franklin Gothic Book"/>
                <w:iCs/>
                <w:sz w:val="17"/>
                <w:szCs w:val="17"/>
                <w:lang w:eastAsia="en-US"/>
              </w:rPr>
              <w:t>udits of selected hospitals against WHO criteria for mother</w:t>
            </w:r>
            <w:r w:rsidR="00076943">
              <w:rPr>
                <w:rFonts w:ascii="Franklin Gothic Book" w:eastAsia="Times New Roman" w:hAnsi="Franklin Gothic Book"/>
                <w:iCs/>
                <w:sz w:val="17"/>
                <w:szCs w:val="17"/>
                <w:lang w:eastAsia="en-US"/>
              </w:rPr>
              <w:t xml:space="preserve"> </w:t>
            </w:r>
            <w:r w:rsidR="00B7326F" w:rsidRPr="00B7326F">
              <w:rPr>
                <w:rFonts w:ascii="Franklin Gothic Book" w:eastAsia="Times New Roman" w:hAnsi="Franklin Gothic Book"/>
                <w:iCs/>
                <w:sz w:val="17"/>
                <w:szCs w:val="17"/>
                <w:lang w:eastAsia="en-US"/>
              </w:rPr>
              <w:t>safe and baby friendly hospitals revealed over 90% compliance with the WHO standards. These hospital</w:t>
            </w:r>
            <w:r>
              <w:rPr>
                <w:rFonts w:ascii="Franklin Gothic Book" w:eastAsia="Times New Roman" w:hAnsi="Franklin Gothic Book"/>
                <w:iCs/>
                <w:sz w:val="17"/>
                <w:szCs w:val="17"/>
                <w:lang w:eastAsia="en-US"/>
              </w:rPr>
              <w:t>s</w:t>
            </w:r>
            <w:r w:rsidR="00B7326F" w:rsidRPr="00B7326F">
              <w:rPr>
                <w:rFonts w:ascii="Franklin Gothic Book" w:eastAsia="Times New Roman" w:hAnsi="Franklin Gothic Book"/>
                <w:iCs/>
                <w:sz w:val="17"/>
                <w:szCs w:val="17"/>
                <w:lang w:eastAsia="en-US"/>
              </w:rPr>
              <w:t xml:space="preserve"> received assistance for training</w:t>
            </w:r>
            <w:r>
              <w:rPr>
                <w:rFonts w:ascii="Franklin Gothic Book" w:eastAsia="Times New Roman" w:hAnsi="Franklin Gothic Book"/>
                <w:iCs/>
                <w:sz w:val="17"/>
                <w:szCs w:val="17"/>
                <w:lang w:eastAsia="en-US"/>
              </w:rPr>
              <w:t xml:space="preserve"> and</w:t>
            </w:r>
            <w:r w:rsidR="00B7326F" w:rsidRPr="00B7326F">
              <w:rPr>
                <w:rFonts w:ascii="Franklin Gothic Book" w:eastAsia="Times New Roman" w:hAnsi="Franklin Gothic Book"/>
                <w:iCs/>
                <w:sz w:val="17"/>
                <w:szCs w:val="17"/>
                <w:lang w:eastAsia="en-US"/>
              </w:rPr>
              <w:t xml:space="preserve"> equipment from</w:t>
            </w:r>
            <w:r w:rsidR="004F1676">
              <w:rPr>
                <w:rFonts w:ascii="Franklin Gothic Book" w:eastAsia="Times New Roman" w:hAnsi="Franklin Gothic Book"/>
                <w:iCs/>
                <w:sz w:val="17"/>
                <w:szCs w:val="17"/>
                <w:lang w:eastAsia="en-US"/>
              </w:rPr>
              <w:t xml:space="preserve"> the</w:t>
            </w:r>
            <w:r w:rsidR="00B7326F" w:rsidRPr="00B7326F">
              <w:rPr>
                <w:rFonts w:ascii="Franklin Gothic Book" w:eastAsia="Times New Roman" w:hAnsi="Franklin Gothic Book"/>
                <w:iCs/>
                <w:sz w:val="17"/>
                <w:szCs w:val="17"/>
                <w:lang w:eastAsia="en-US"/>
              </w:rPr>
              <w:t xml:space="preserve"> FHSSP to work towards meeting </w:t>
            </w:r>
            <w:r w:rsidR="007B2B91" w:rsidRPr="00B7326F">
              <w:rPr>
                <w:rFonts w:ascii="Franklin Gothic Book" w:eastAsia="Times New Roman" w:hAnsi="Franklin Gothic Book"/>
                <w:iCs/>
                <w:sz w:val="17"/>
                <w:szCs w:val="17"/>
                <w:lang w:eastAsia="en-US"/>
              </w:rPr>
              <w:t>these criteria</w:t>
            </w:r>
            <w:r w:rsidR="00B7326F" w:rsidRPr="00B7326F">
              <w:rPr>
                <w:rFonts w:ascii="Franklin Gothic Book" w:eastAsia="Times New Roman" w:hAnsi="Franklin Gothic Book"/>
                <w:iCs/>
                <w:sz w:val="17"/>
                <w:szCs w:val="17"/>
                <w:lang w:eastAsia="en-US"/>
              </w:rPr>
              <w:t>.</w:t>
            </w:r>
          </w:p>
          <w:p w:rsidR="00B7326F" w:rsidRPr="002749B6" w:rsidRDefault="00B7326F" w:rsidP="00BB4B1E">
            <w:pPr>
              <w:pStyle w:val="TableTextEntries"/>
            </w:pPr>
          </w:p>
        </w:tc>
      </w:tr>
      <w:tr w:rsidR="00145808" w:rsidRPr="004F7D80" w:rsidTr="00134B19">
        <w:tc>
          <w:tcPr>
            <w:tcW w:w="725" w:type="pct"/>
            <w:tcMar>
              <w:top w:w="57" w:type="dxa"/>
              <w:bottom w:w="57" w:type="dxa"/>
            </w:tcMar>
          </w:tcPr>
          <w:p w:rsidR="00145808" w:rsidRDefault="00145808" w:rsidP="00E15678">
            <w:pPr>
              <w:pStyle w:val="TableTextEntries"/>
            </w:pPr>
            <w:r>
              <w:t>Private sector growth increases incomes for the poor</w:t>
            </w:r>
          </w:p>
        </w:tc>
        <w:tc>
          <w:tcPr>
            <w:tcW w:w="914" w:type="pct"/>
          </w:tcPr>
          <w:p w:rsidR="00145808" w:rsidRDefault="00145808" w:rsidP="00E15678">
            <w:pPr>
              <w:pStyle w:val="TableTextEntries"/>
            </w:pPr>
            <w:r>
              <w:t>40 partnerships with private sector in place</w:t>
            </w:r>
          </w:p>
        </w:tc>
        <w:tc>
          <w:tcPr>
            <w:tcW w:w="596" w:type="pct"/>
            <w:shd w:val="clear" w:color="auto" w:fill="E36C0A" w:themeFill="accent6" w:themeFillShade="BF"/>
          </w:tcPr>
          <w:p w:rsidR="00145808" w:rsidRDefault="00134B19" w:rsidP="00E15678">
            <w:pPr>
              <w:pStyle w:val="TableTextEntries"/>
              <w:rPr>
                <w:color w:val="FFFFFF" w:themeColor="background1"/>
              </w:rPr>
            </w:pPr>
            <w:r>
              <w:rPr>
                <w:color w:val="FFFFFF" w:themeColor="background1"/>
              </w:rPr>
              <w:t>Partly achieved</w:t>
            </w:r>
          </w:p>
        </w:tc>
        <w:tc>
          <w:tcPr>
            <w:tcW w:w="2765" w:type="pct"/>
          </w:tcPr>
          <w:p w:rsidR="00145808" w:rsidRPr="002749B6" w:rsidRDefault="00161DB6" w:rsidP="0019493A">
            <w:pPr>
              <w:autoSpaceDE w:val="0"/>
              <w:autoSpaceDN w:val="0"/>
              <w:adjustRightInd w:val="0"/>
            </w:pPr>
            <w:r w:rsidRPr="00161DB6">
              <w:rPr>
                <w:rFonts w:ascii="Franklin Gothic Book" w:eastAsia="Times New Roman" w:hAnsi="Franklin Gothic Book"/>
                <w:iCs/>
                <w:sz w:val="17"/>
                <w:szCs w:val="17"/>
                <w:lang w:eastAsia="en-US"/>
              </w:rPr>
              <w:t xml:space="preserve">Overall, by June 2015, </w:t>
            </w:r>
            <w:r w:rsidR="0019493A">
              <w:rPr>
                <w:rFonts w:ascii="Franklin Gothic Book" w:eastAsia="Times New Roman" w:hAnsi="Franklin Gothic Book"/>
                <w:iCs/>
                <w:sz w:val="17"/>
                <w:szCs w:val="17"/>
                <w:lang w:eastAsia="en-US"/>
              </w:rPr>
              <w:t>the M</w:t>
            </w:r>
            <w:r w:rsidRPr="00161DB6">
              <w:rPr>
                <w:rFonts w:ascii="Franklin Gothic Book" w:eastAsia="Times New Roman" w:hAnsi="Franklin Gothic Book"/>
                <w:iCs/>
                <w:sz w:val="17"/>
                <w:szCs w:val="17"/>
                <w:lang w:eastAsia="en-US"/>
              </w:rPr>
              <w:t>DF ha</w:t>
            </w:r>
            <w:r w:rsidR="006357FE">
              <w:rPr>
                <w:rFonts w:ascii="Franklin Gothic Book" w:eastAsia="Times New Roman" w:hAnsi="Franklin Gothic Book"/>
                <w:iCs/>
                <w:sz w:val="17"/>
                <w:szCs w:val="17"/>
                <w:lang w:eastAsia="en-US"/>
              </w:rPr>
              <w:t>d</w:t>
            </w:r>
            <w:r w:rsidRPr="00161DB6">
              <w:rPr>
                <w:rFonts w:ascii="Franklin Gothic Book" w:eastAsia="Times New Roman" w:hAnsi="Franklin Gothic Book"/>
                <w:iCs/>
                <w:sz w:val="17"/>
                <w:szCs w:val="17"/>
                <w:lang w:eastAsia="en-US"/>
              </w:rPr>
              <w:t xml:space="preserve"> 32 partnerships on the ground in Fiji (29 active and 3</w:t>
            </w:r>
            <w:r>
              <w:rPr>
                <w:rFonts w:ascii="Franklin Gothic Book" w:eastAsia="Times New Roman" w:hAnsi="Franklin Gothic Book"/>
                <w:iCs/>
                <w:sz w:val="17"/>
                <w:szCs w:val="17"/>
                <w:lang w:eastAsia="en-US"/>
              </w:rPr>
              <w:t xml:space="preserve"> </w:t>
            </w:r>
            <w:r w:rsidRPr="00161DB6">
              <w:rPr>
                <w:rFonts w:ascii="Franklin Gothic Book" w:eastAsia="Times New Roman" w:hAnsi="Franklin Gothic Book"/>
                <w:iCs/>
                <w:sz w:val="17"/>
                <w:szCs w:val="17"/>
                <w:lang w:eastAsia="en-US"/>
              </w:rPr>
              <w:t>completed). An additional three are in the immediate pipeline.</w:t>
            </w:r>
          </w:p>
        </w:tc>
      </w:tr>
      <w:tr w:rsidR="00145808" w:rsidRPr="004F7D80" w:rsidTr="00145808">
        <w:tc>
          <w:tcPr>
            <w:tcW w:w="725" w:type="pct"/>
            <w:tcMar>
              <w:top w:w="57" w:type="dxa"/>
              <w:bottom w:w="57" w:type="dxa"/>
            </w:tcMar>
          </w:tcPr>
          <w:p w:rsidR="00145808" w:rsidRDefault="00145808" w:rsidP="00E15678">
            <w:pPr>
              <w:pStyle w:val="TableTextEntries"/>
            </w:pPr>
            <w:r>
              <w:t>Fiji holds successful elections in 2014</w:t>
            </w:r>
          </w:p>
        </w:tc>
        <w:tc>
          <w:tcPr>
            <w:tcW w:w="914" w:type="pct"/>
          </w:tcPr>
          <w:p w:rsidR="00145808" w:rsidRDefault="00145808" w:rsidP="00145808">
            <w:pPr>
              <w:pStyle w:val="TableTextEntries"/>
            </w:pPr>
            <w:r>
              <w:t>Australian assistance to the Fijian Elections Office and the Multinational Observer Group contributes to successful elections held in September 2014</w:t>
            </w:r>
          </w:p>
        </w:tc>
        <w:tc>
          <w:tcPr>
            <w:tcW w:w="596" w:type="pct"/>
            <w:shd w:val="clear" w:color="auto" w:fill="92D050"/>
          </w:tcPr>
          <w:p w:rsidR="00145808" w:rsidRDefault="00145808" w:rsidP="00E15678">
            <w:pPr>
              <w:pStyle w:val="TableTextEntries"/>
              <w:rPr>
                <w:color w:val="FFFFFF" w:themeColor="background1"/>
              </w:rPr>
            </w:pPr>
            <w:r>
              <w:rPr>
                <w:color w:val="FFFFFF" w:themeColor="background1"/>
              </w:rPr>
              <w:t>Achieved</w:t>
            </w:r>
          </w:p>
        </w:tc>
        <w:tc>
          <w:tcPr>
            <w:tcW w:w="2765" w:type="pct"/>
          </w:tcPr>
          <w:p w:rsidR="00145808" w:rsidRPr="002749B6" w:rsidRDefault="00B7326F" w:rsidP="007078C4">
            <w:pPr>
              <w:pStyle w:val="TableTextEntries"/>
            </w:pPr>
            <w:r>
              <w:t>Australia contribute</w:t>
            </w:r>
            <w:r w:rsidR="0067440F">
              <w:t>d financial support and technical assistance to the Fiji Elections Office, as well as co-leading the Multinational Observer Group, which found the elections to be</w:t>
            </w:r>
            <w:r w:rsidR="007078C4">
              <w:t xml:space="preserve"> credible.</w:t>
            </w:r>
            <w:r w:rsidR="0067440F">
              <w:t xml:space="preserve"> </w:t>
            </w:r>
          </w:p>
        </w:tc>
      </w:tr>
      <w:tr w:rsidR="00145808" w:rsidRPr="004F7D80" w:rsidTr="00B7326F">
        <w:tc>
          <w:tcPr>
            <w:tcW w:w="725" w:type="pct"/>
            <w:tcMar>
              <w:top w:w="57" w:type="dxa"/>
              <w:bottom w:w="57" w:type="dxa"/>
            </w:tcMar>
          </w:tcPr>
          <w:p w:rsidR="00145808" w:rsidRDefault="00145808" w:rsidP="00E15678">
            <w:pPr>
              <w:pStyle w:val="TableTextEntries"/>
            </w:pPr>
            <w:r>
              <w:t>Improved public sector capacity</w:t>
            </w:r>
          </w:p>
        </w:tc>
        <w:tc>
          <w:tcPr>
            <w:tcW w:w="914" w:type="pct"/>
          </w:tcPr>
          <w:p w:rsidR="00145808" w:rsidRDefault="00145808" w:rsidP="00145808">
            <w:pPr>
              <w:pStyle w:val="TableTextEntries"/>
            </w:pPr>
            <w:r>
              <w:t>10 Australia Awards scholarships will be allocated to Government Ministries to build staff capacity in key areas</w:t>
            </w:r>
          </w:p>
        </w:tc>
        <w:tc>
          <w:tcPr>
            <w:tcW w:w="596" w:type="pct"/>
            <w:shd w:val="clear" w:color="auto" w:fill="92D050"/>
          </w:tcPr>
          <w:p w:rsidR="00145808" w:rsidRDefault="00B7326F" w:rsidP="00E15678">
            <w:pPr>
              <w:pStyle w:val="TableTextEntries"/>
              <w:rPr>
                <w:color w:val="FFFFFF" w:themeColor="background1"/>
              </w:rPr>
            </w:pPr>
            <w:r>
              <w:rPr>
                <w:color w:val="FFFFFF" w:themeColor="background1"/>
              </w:rPr>
              <w:t>Achieved</w:t>
            </w:r>
          </w:p>
        </w:tc>
        <w:tc>
          <w:tcPr>
            <w:tcW w:w="2765" w:type="pct"/>
          </w:tcPr>
          <w:p w:rsidR="00145808" w:rsidRPr="002749B6" w:rsidRDefault="00B7326F" w:rsidP="004F310E">
            <w:r w:rsidRPr="00B7326F">
              <w:rPr>
                <w:rFonts w:ascii="Franklin Gothic Book" w:eastAsia="Times New Roman" w:hAnsi="Franklin Gothic Book"/>
                <w:iCs/>
                <w:sz w:val="17"/>
                <w:szCs w:val="17"/>
                <w:lang w:eastAsia="en-US"/>
              </w:rPr>
              <w:t>In 2015, 10 Australia Awards Scholarships were offered to Fiji Government Ministry employees</w:t>
            </w:r>
            <w:r w:rsidR="00F91709">
              <w:rPr>
                <w:rFonts w:ascii="Franklin Gothic Book" w:eastAsia="Times New Roman" w:hAnsi="Franklin Gothic Book"/>
                <w:iCs/>
                <w:sz w:val="17"/>
                <w:szCs w:val="17"/>
                <w:lang w:eastAsia="en-US"/>
              </w:rPr>
              <w:t>, including the Ministry of Finance, and Ministry of Social Welfare, Women and Poverty Alleviation</w:t>
            </w:r>
            <w:r w:rsidRPr="00B7326F">
              <w:rPr>
                <w:rFonts w:ascii="Franklin Gothic Book" w:eastAsia="Times New Roman" w:hAnsi="Franklin Gothic Book"/>
                <w:iCs/>
                <w:sz w:val="17"/>
                <w:szCs w:val="17"/>
                <w:lang w:eastAsia="en-US"/>
              </w:rPr>
              <w:t>.</w:t>
            </w:r>
            <w:r w:rsidRPr="00161DB6">
              <w:rPr>
                <w:rFonts w:ascii="Franklin Gothic Book" w:eastAsia="Times New Roman" w:hAnsi="Franklin Gothic Book"/>
                <w:iCs/>
                <w:sz w:val="17"/>
                <w:szCs w:val="17"/>
                <w:lang w:eastAsia="en-US"/>
              </w:rPr>
              <w:t xml:space="preserve"> </w:t>
            </w:r>
            <w:r w:rsidR="00161DB6" w:rsidRPr="00161DB6">
              <w:rPr>
                <w:rFonts w:ascii="Franklin Gothic Book" w:eastAsia="Times New Roman" w:hAnsi="Franklin Gothic Book"/>
                <w:iCs/>
                <w:sz w:val="17"/>
                <w:szCs w:val="17"/>
                <w:lang w:eastAsia="en-US"/>
              </w:rPr>
              <w:t>1</w:t>
            </w:r>
            <w:r w:rsidR="004F310E">
              <w:rPr>
                <w:rFonts w:ascii="Franklin Gothic Book" w:eastAsia="Times New Roman" w:hAnsi="Franklin Gothic Book"/>
                <w:iCs/>
                <w:sz w:val="17"/>
                <w:szCs w:val="17"/>
                <w:lang w:eastAsia="en-US"/>
              </w:rPr>
              <w:t>2</w:t>
            </w:r>
            <w:r w:rsidR="00161DB6" w:rsidRPr="00161DB6">
              <w:rPr>
                <w:rFonts w:ascii="Franklin Gothic Book" w:eastAsia="Times New Roman" w:hAnsi="Franklin Gothic Book"/>
                <w:iCs/>
                <w:sz w:val="17"/>
                <w:szCs w:val="17"/>
                <w:lang w:eastAsia="en-US"/>
              </w:rPr>
              <w:t xml:space="preserve"> Australia Award Pacific Scholarships were awarded.</w:t>
            </w:r>
            <w:r w:rsidR="00161DB6">
              <w:rPr>
                <w:color w:val="1F497D"/>
              </w:rPr>
              <w:t xml:space="preserve"> </w:t>
            </w:r>
          </w:p>
        </w:tc>
      </w:tr>
      <w:tr w:rsidR="00145808" w:rsidRPr="004F7D80" w:rsidTr="00134B19">
        <w:tc>
          <w:tcPr>
            <w:tcW w:w="725" w:type="pct"/>
            <w:tcMar>
              <w:top w:w="57" w:type="dxa"/>
              <w:bottom w:w="57" w:type="dxa"/>
            </w:tcMar>
          </w:tcPr>
          <w:p w:rsidR="00145808" w:rsidRDefault="00145808" w:rsidP="00145808">
            <w:pPr>
              <w:pStyle w:val="TableTextEntries"/>
            </w:pPr>
            <w:r>
              <w:t>Reorient program to focus on Australian government’s new development priorities</w:t>
            </w:r>
          </w:p>
        </w:tc>
        <w:tc>
          <w:tcPr>
            <w:tcW w:w="914" w:type="pct"/>
          </w:tcPr>
          <w:p w:rsidR="00145808" w:rsidRDefault="00145808" w:rsidP="00145808">
            <w:pPr>
              <w:pStyle w:val="TableTextEntries"/>
            </w:pPr>
            <w:r>
              <w:t>Aid Investment Plan for Fiji approved</w:t>
            </w:r>
          </w:p>
        </w:tc>
        <w:tc>
          <w:tcPr>
            <w:tcW w:w="596" w:type="pct"/>
            <w:shd w:val="clear" w:color="auto" w:fill="92D050"/>
          </w:tcPr>
          <w:p w:rsidR="00145808" w:rsidRDefault="00134B19" w:rsidP="00145808">
            <w:pPr>
              <w:pStyle w:val="TableTextEntries"/>
              <w:rPr>
                <w:color w:val="FFFFFF" w:themeColor="background1"/>
              </w:rPr>
            </w:pPr>
            <w:r>
              <w:rPr>
                <w:color w:val="FFFFFF" w:themeColor="background1"/>
              </w:rPr>
              <w:t>Achieved</w:t>
            </w:r>
          </w:p>
        </w:tc>
        <w:tc>
          <w:tcPr>
            <w:tcW w:w="2765" w:type="pct"/>
          </w:tcPr>
          <w:p w:rsidR="00145808" w:rsidRPr="002749B6" w:rsidRDefault="00076943" w:rsidP="00D11705">
            <w:pPr>
              <w:pStyle w:val="TableTextEntries"/>
            </w:pPr>
            <w:r>
              <w:t>Aid Investment Plan for Fiji was developed and published on 30 September 2015.</w:t>
            </w:r>
          </w:p>
        </w:tc>
      </w:tr>
      <w:tr w:rsidR="00145808" w:rsidRPr="004F7D80" w:rsidTr="00134B19">
        <w:tc>
          <w:tcPr>
            <w:tcW w:w="725" w:type="pct"/>
            <w:tcMar>
              <w:top w:w="57" w:type="dxa"/>
              <w:bottom w:w="57" w:type="dxa"/>
            </w:tcMar>
          </w:tcPr>
          <w:p w:rsidR="00145808" w:rsidRDefault="00145808" w:rsidP="00145808">
            <w:pPr>
              <w:pStyle w:val="TableTextEntries"/>
            </w:pPr>
            <w:r>
              <w:t>Empowering women and girls</w:t>
            </w:r>
          </w:p>
        </w:tc>
        <w:tc>
          <w:tcPr>
            <w:tcW w:w="914" w:type="pct"/>
          </w:tcPr>
          <w:p w:rsidR="00145808" w:rsidRDefault="00145808" w:rsidP="00145808">
            <w:pPr>
              <w:pStyle w:val="TableTextEntries"/>
            </w:pPr>
            <w:r>
              <w:t>More than 80% of investments will effectively address gender issues in their implementation</w:t>
            </w:r>
          </w:p>
        </w:tc>
        <w:tc>
          <w:tcPr>
            <w:tcW w:w="596" w:type="pct"/>
            <w:shd w:val="clear" w:color="auto" w:fill="92D050"/>
          </w:tcPr>
          <w:p w:rsidR="00145808" w:rsidRDefault="00134B19" w:rsidP="00E15678">
            <w:pPr>
              <w:pStyle w:val="TableTextEntries"/>
              <w:rPr>
                <w:color w:val="FFFFFF" w:themeColor="background1"/>
              </w:rPr>
            </w:pPr>
            <w:r>
              <w:rPr>
                <w:color w:val="FFFFFF" w:themeColor="background1"/>
              </w:rPr>
              <w:t>Achieved</w:t>
            </w:r>
          </w:p>
        </w:tc>
        <w:tc>
          <w:tcPr>
            <w:tcW w:w="2765" w:type="pct"/>
          </w:tcPr>
          <w:p w:rsidR="00145808" w:rsidRPr="002749B6" w:rsidRDefault="00134B19" w:rsidP="00134B19">
            <w:pPr>
              <w:pStyle w:val="TableTextEntries"/>
            </w:pPr>
            <w:r>
              <w:t>100% of Aid Quality Checks for the Fiji Program rated gender inclusion as 4</w:t>
            </w:r>
            <w:r w:rsidR="002935F9">
              <w:t xml:space="preserve"> (adequate) or higher.</w:t>
            </w:r>
          </w:p>
        </w:tc>
      </w:tr>
    </w:tbl>
    <w:p w:rsidR="00416B02" w:rsidRPr="00FE4491" w:rsidRDefault="00416B02" w:rsidP="00582C22">
      <w:pPr>
        <w:pStyle w:val="Note"/>
      </w:pPr>
      <w:r w:rsidRPr="00FE4491">
        <w:t xml:space="preserve">Note: </w:t>
      </w:r>
    </w:p>
    <w:p w:rsidR="00416B02" w:rsidRPr="00671434" w:rsidRDefault="00416B02" w:rsidP="00582C2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416B02" w:rsidRPr="00EA3BAD" w:rsidRDefault="00416B02" w:rsidP="00582C2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416B02" w:rsidRDefault="00416B02" w:rsidP="00582C22">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416B02" w:rsidRDefault="00416B02" w:rsidP="00416B02">
      <w:pPr>
        <w:pStyle w:val="BodyText"/>
      </w:pPr>
    </w:p>
    <w:p w:rsidR="00416B02" w:rsidRPr="00416B02" w:rsidRDefault="00416B02" w:rsidP="00145808">
      <w:pPr>
        <w:spacing w:after="200" w:line="276" w:lineRule="auto"/>
        <w:sectPr w:rsidR="00416B02" w:rsidRPr="00416B02" w:rsidSect="000D733F">
          <w:headerReference w:type="even" r:id="rId17"/>
          <w:footerReference w:type="first" r:id="rId18"/>
          <w:footnotePr>
            <w:numRestart w:val="eachPage"/>
          </w:footnotePr>
          <w:type w:val="continuous"/>
          <w:pgSz w:w="16838" w:h="11906" w:orient="landscape" w:code="9"/>
          <w:pgMar w:top="1814" w:right="1814" w:bottom="851" w:left="851" w:header="709" w:footer="425" w:gutter="0"/>
          <w:cols w:space="708"/>
          <w:titlePg/>
          <w:docGrid w:linePitch="360"/>
        </w:sectPr>
      </w:pPr>
    </w:p>
    <w:bookmarkEnd w:id="2"/>
    <w:p w:rsidR="00416B02" w:rsidRPr="009E38C1" w:rsidRDefault="005C310A" w:rsidP="00416B02">
      <w:pPr>
        <w:pStyle w:val="Heading2"/>
        <w:rPr>
          <w:sz w:val="28"/>
        </w:rPr>
      </w:pPr>
      <w:r>
        <w:rPr>
          <w:sz w:val="28"/>
        </w:rPr>
        <w:lastRenderedPageBreak/>
        <w:t>Annex C</w:t>
      </w:r>
      <w:r w:rsidR="0057490F">
        <w:rPr>
          <w:sz w:val="28"/>
        </w:rPr>
        <w:t xml:space="preserve"> - </w:t>
      </w:r>
      <w:r w:rsidR="00416B02" w:rsidRPr="009E38C1">
        <w:rPr>
          <w:sz w:val="28"/>
        </w:rPr>
        <w:t>Evaluation and Review Pipeline Planning</w:t>
      </w:r>
    </w:p>
    <w:p w:rsidR="00416B02" w:rsidRPr="00071B95" w:rsidRDefault="00416B02" w:rsidP="00286DD2">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E15678">
            <w:pPr>
              <w:pStyle w:val="TableTextColumnHeading"/>
              <w:rPr>
                <w:b/>
              </w:rPr>
            </w:pPr>
            <w:r w:rsidRPr="00071B95">
              <w:rPr>
                <w:b/>
              </w:rPr>
              <w:t xml:space="preserve">Name of </w:t>
            </w:r>
            <w:r>
              <w:rPr>
                <w:b/>
              </w:rPr>
              <w:t>Investment</w:t>
            </w:r>
          </w:p>
        </w:tc>
        <w:tc>
          <w:tcPr>
            <w:tcW w:w="1933" w:type="dxa"/>
          </w:tcPr>
          <w:p w:rsidR="00416B02" w:rsidRPr="00071B95" w:rsidRDefault="00136CC1" w:rsidP="00E15678">
            <w:pPr>
              <w:pStyle w:val="TableTextColumnHeading"/>
              <w:rPr>
                <w:b/>
              </w:rPr>
            </w:pPr>
            <w:r>
              <w:rPr>
                <w:b/>
              </w:rPr>
              <w:t>AidW</w:t>
            </w:r>
            <w:r w:rsidRPr="00071B95">
              <w:rPr>
                <w:b/>
              </w:rPr>
              <w:t>orks</w:t>
            </w:r>
            <w:r w:rsidR="00416B02" w:rsidRPr="00071B95">
              <w:rPr>
                <w:b/>
              </w:rPr>
              <w:t xml:space="preserve"> number</w:t>
            </w:r>
          </w:p>
        </w:tc>
        <w:tc>
          <w:tcPr>
            <w:tcW w:w="2031" w:type="dxa"/>
          </w:tcPr>
          <w:p w:rsidR="00416B02" w:rsidRPr="00071B95" w:rsidRDefault="00416B02" w:rsidP="00E15678">
            <w:pPr>
              <w:pStyle w:val="TableTextColumnHeading"/>
              <w:rPr>
                <w:b/>
              </w:rPr>
            </w:pPr>
            <w:r>
              <w:rPr>
                <w:b/>
              </w:rPr>
              <w:t>Name of evaluation</w:t>
            </w:r>
          </w:p>
        </w:tc>
        <w:tc>
          <w:tcPr>
            <w:tcW w:w="1939" w:type="dxa"/>
          </w:tcPr>
          <w:p w:rsidR="00416B02" w:rsidRPr="00071B95" w:rsidRDefault="00416B02" w:rsidP="00E15678">
            <w:pPr>
              <w:pStyle w:val="TableTextColumnHeading"/>
              <w:rPr>
                <w:b/>
              </w:rPr>
            </w:pPr>
            <w:r w:rsidRPr="00071B95">
              <w:rPr>
                <w:b/>
              </w:rPr>
              <w:t xml:space="preserve">Date </w:t>
            </w:r>
            <w:r>
              <w:rPr>
                <w:b/>
              </w:rPr>
              <w:t>finalised</w:t>
            </w:r>
          </w:p>
        </w:tc>
        <w:tc>
          <w:tcPr>
            <w:tcW w:w="1921" w:type="dxa"/>
          </w:tcPr>
          <w:p w:rsidR="00416B02" w:rsidRPr="00071B95" w:rsidRDefault="00416B02" w:rsidP="00E15678">
            <w:pPr>
              <w:pStyle w:val="TableTextColumnHeading"/>
              <w:rPr>
                <w:b/>
              </w:rPr>
            </w:pPr>
            <w:r w:rsidRPr="00071B95">
              <w:rPr>
                <w:b/>
              </w:rPr>
              <w:t xml:space="preserve">Date Evaluation report Uploaded into </w:t>
            </w:r>
            <w:r w:rsidR="00136CC1">
              <w:rPr>
                <w:b/>
              </w:rPr>
              <w:t>AidW</w:t>
            </w:r>
            <w:r w:rsidR="00136CC1" w:rsidRPr="00071B95">
              <w:rPr>
                <w:b/>
              </w:rPr>
              <w:t>orks</w:t>
            </w:r>
          </w:p>
        </w:tc>
        <w:tc>
          <w:tcPr>
            <w:tcW w:w="1743" w:type="dxa"/>
          </w:tcPr>
          <w:p w:rsidR="00416B02" w:rsidRPr="00071B95" w:rsidRDefault="00416B02" w:rsidP="00E15678">
            <w:pPr>
              <w:pStyle w:val="TableTextColumnHeading"/>
              <w:rPr>
                <w:b/>
              </w:rPr>
            </w:pPr>
            <w:r w:rsidRPr="00071B95">
              <w:rPr>
                <w:b/>
              </w:rPr>
              <w:t xml:space="preserve">Date Management response uploaded into </w:t>
            </w:r>
            <w:r w:rsidR="00136CC1">
              <w:rPr>
                <w:b/>
              </w:rPr>
              <w:t>AidW</w:t>
            </w:r>
            <w:r w:rsidR="00136CC1" w:rsidRPr="00071B95">
              <w:rPr>
                <w:b/>
              </w:rPr>
              <w:t>orks</w:t>
            </w:r>
          </w:p>
        </w:tc>
        <w:tc>
          <w:tcPr>
            <w:tcW w:w="1503" w:type="dxa"/>
          </w:tcPr>
          <w:p w:rsidR="00416B02" w:rsidRPr="00071B95" w:rsidRDefault="00416B02" w:rsidP="00E15678">
            <w:pPr>
              <w:pStyle w:val="TableTextColumnHeading"/>
              <w:rPr>
                <w:b/>
              </w:rPr>
            </w:pPr>
            <w:r w:rsidRPr="00071B95">
              <w:rPr>
                <w:b/>
              </w:rPr>
              <w:t>Published on website</w:t>
            </w:r>
          </w:p>
        </w:tc>
      </w:tr>
      <w:tr w:rsidR="00416B02" w:rsidRPr="00D0492B" w:rsidTr="00082917">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D0492B" w:rsidRDefault="006000E5" w:rsidP="00D0492B">
            <w:pPr>
              <w:pStyle w:val="TableTextEntries"/>
              <w:rPr>
                <w:b w:val="0"/>
              </w:rPr>
            </w:pPr>
            <w:r>
              <w:rPr>
                <w:b w:val="0"/>
              </w:rPr>
              <w:t xml:space="preserve">Fiji </w:t>
            </w:r>
            <w:r w:rsidR="00D0492B" w:rsidRPr="00D0492B">
              <w:rPr>
                <w:b w:val="0"/>
              </w:rPr>
              <w:t xml:space="preserve">Community Development Program </w:t>
            </w:r>
          </w:p>
        </w:tc>
        <w:tc>
          <w:tcPr>
            <w:tcW w:w="1933" w:type="dxa"/>
          </w:tcPr>
          <w:p w:rsidR="00416B02" w:rsidRPr="00D0492B" w:rsidRDefault="00D0492B" w:rsidP="00E15678">
            <w:pPr>
              <w:pStyle w:val="TableTextEntries"/>
              <w:rPr>
                <w:b w:val="0"/>
              </w:rPr>
            </w:pPr>
            <w:r w:rsidRPr="00D0492B">
              <w:rPr>
                <w:b w:val="0"/>
              </w:rPr>
              <w:t>INK130</w:t>
            </w:r>
          </w:p>
        </w:tc>
        <w:tc>
          <w:tcPr>
            <w:tcW w:w="2031" w:type="dxa"/>
          </w:tcPr>
          <w:p w:rsidR="00416B02" w:rsidRPr="00D0492B" w:rsidRDefault="00D0492B" w:rsidP="00E15678">
            <w:pPr>
              <w:pStyle w:val="TableTextEntries"/>
              <w:rPr>
                <w:b w:val="0"/>
              </w:rPr>
            </w:pPr>
            <w:r w:rsidRPr="00D0492B">
              <w:rPr>
                <w:b w:val="0"/>
              </w:rPr>
              <w:t>Mid-term review</w:t>
            </w:r>
          </w:p>
        </w:tc>
        <w:tc>
          <w:tcPr>
            <w:tcW w:w="1939" w:type="dxa"/>
          </w:tcPr>
          <w:p w:rsidR="00416B02" w:rsidRPr="00D0492B" w:rsidRDefault="00D0492B" w:rsidP="00E15678">
            <w:pPr>
              <w:pStyle w:val="TableTextEntries"/>
              <w:rPr>
                <w:b w:val="0"/>
              </w:rPr>
            </w:pPr>
            <w:r>
              <w:rPr>
                <w:b w:val="0"/>
              </w:rPr>
              <w:t>14 November 2014</w:t>
            </w:r>
          </w:p>
        </w:tc>
        <w:tc>
          <w:tcPr>
            <w:tcW w:w="1921" w:type="dxa"/>
            <w:shd w:val="clear" w:color="auto" w:fill="auto"/>
          </w:tcPr>
          <w:p w:rsidR="00416B02" w:rsidRPr="00082917" w:rsidRDefault="00161DB6" w:rsidP="00E15678">
            <w:pPr>
              <w:pStyle w:val="TableTextEntries"/>
              <w:rPr>
                <w:b w:val="0"/>
              </w:rPr>
            </w:pPr>
            <w:r w:rsidRPr="00082917">
              <w:rPr>
                <w:b w:val="0"/>
              </w:rPr>
              <w:t>TBC</w:t>
            </w:r>
          </w:p>
        </w:tc>
        <w:tc>
          <w:tcPr>
            <w:tcW w:w="1743" w:type="dxa"/>
            <w:shd w:val="clear" w:color="auto" w:fill="auto"/>
          </w:tcPr>
          <w:p w:rsidR="00416B02" w:rsidRPr="00082917" w:rsidRDefault="00161DB6" w:rsidP="00E15678">
            <w:pPr>
              <w:pStyle w:val="TableTextEntries"/>
              <w:rPr>
                <w:b w:val="0"/>
              </w:rPr>
            </w:pPr>
            <w:r w:rsidRPr="00082917">
              <w:rPr>
                <w:b w:val="0"/>
              </w:rPr>
              <w:t>TBC</w:t>
            </w:r>
          </w:p>
        </w:tc>
        <w:tc>
          <w:tcPr>
            <w:tcW w:w="1503" w:type="dxa"/>
            <w:shd w:val="clear" w:color="auto" w:fill="auto"/>
          </w:tcPr>
          <w:p w:rsidR="00416B02" w:rsidRPr="00082917" w:rsidRDefault="00416B02" w:rsidP="00E15678">
            <w:pPr>
              <w:pStyle w:val="TableTextEntries"/>
              <w:rPr>
                <w:b w:val="0"/>
              </w:rPr>
            </w:pPr>
            <w:r w:rsidRPr="00082917">
              <w:rPr>
                <w:b w:val="0"/>
              </w:rPr>
              <w:t xml:space="preserve">Provide actual or estimated date </w:t>
            </w:r>
          </w:p>
        </w:tc>
      </w:tr>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E15678">
            <w:pPr>
              <w:pStyle w:val="TableTextEntries"/>
            </w:pPr>
          </w:p>
        </w:tc>
        <w:tc>
          <w:tcPr>
            <w:tcW w:w="1933" w:type="dxa"/>
          </w:tcPr>
          <w:p w:rsidR="00416B02" w:rsidRPr="00071B95" w:rsidRDefault="00416B02" w:rsidP="00E15678">
            <w:pPr>
              <w:pStyle w:val="TableTextEntries"/>
            </w:pPr>
          </w:p>
        </w:tc>
        <w:tc>
          <w:tcPr>
            <w:tcW w:w="2031" w:type="dxa"/>
          </w:tcPr>
          <w:p w:rsidR="00416B02" w:rsidRPr="00071B95" w:rsidRDefault="00416B02" w:rsidP="00E15678">
            <w:pPr>
              <w:pStyle w:val="TableTextEntries"/>
            </w:pPr>
          </w:p>
        </w:tc>
        <w:tc>
          <w:tcPr>
            <w:tcW w:w="1939" w:type="dxa"/>
          </w:tcPr>
          <w:p w:rsidR="00416B02" w:rsidRPr="00071B95" w:rsidRDefault="00416B02" w:rsidP="00E15678">
            <w:pPr>
              <w:pStyle w:val="TableTextEntries"/>
            </w:pPr>
          </w:p>
        </w:tc>
        <w:tc>
          <w:tcPr>
            <w:tcW w:w="1921" w:type="dxa"/>
          </w:tcPr>
          <w:p w:rsidR="00416B02" w:rsidRPr="00071B95" w:rsidRDefault="00416B02" w:rsidP="00E15678">
            <w:pPr>
              <w:pStyle w:val="TableTextEntries"/>
            </w:pPr>
          </w:p>
        </w:tc>
        <w:tc>
          <w:tcPr>
            <w:tcW w:w="1743" w:type="dxa"/>
          </w:tcPr>
          <w:p w:rsidR="00416B02" w:rsidRPr="00071B95" w:rsidRDefault="00416B02" w:rsidP="00E15678">
            <w:pPr>
              <w:pStyle w:val="TableTextEntries"/>
            </w:pPr>
          </w:p>
        </w:tc>
        <w:tc>
          <w:tcPr>
            <w:tcW w:w="1503" w:type="dxa"/>
          </w:tcPr>
          <w:p w:rsidR="00416B02" w:rsidRPr="00071B95" w:rsidRDefault="00416B02" w:rsidP="00E15678">
            <w:pPr>
              <w:pStyle w:val="TableTextEntries"/>
            </w:pPr>
          </w:p>
        </w:tc>
      </w:tr>
      <w:tr w:rsidR="00416B02" w:rsidRPr="00071B95" w:rsidTr="00E15678">
        <w:trPr>
          <w:cnfStyle w:val="100000000000" w:firstRow="1" w:lastRow="0" w:firstColumn="0" w:lastColumn="0" w:oddVBand="0" w:evenVBand="0" w:oddHBand="0" w:evenHBand="0" w:firstRowFirstColumn="0" w:firstRowLastColumn="0" w:lastRowFirstColumn="0" w:lastRowLastColumn="0"/>
        </w:trPr>
        <w:tc>
          <w:tcPr>
            <w:tcW w:w="1902" w:type="dxa"/>
          </w:tcPr>
          <w:p w:rsidR="00416B02" w:rsidRPr="00071B95" w:rsidRDefault="00416B02" w:rsidP="00E15678">
            <w:pPr>
              <w:pStyle w:val="TableTextEntries"/>
            </w:pPr>
          </w:p>
        </w:tc>
        <w:tc>
          <w:tcPr>
            <w:tcW w:w="1933" w:type="dxa"/>
          </w:tcPr>
          <w:p w:rsidR="00416B02" w:rsidRPr="00071B95" w:rsidRDefault="00416B02" w:rsidP="00E15678">
            <w:pPr>
              <w:pStyle w:val="TableTextEntries"/>
            </w:pPr>
          </w:p>
        </w:tc>
        <w:tc>
          <w:tcPr>
            <w:tcW w:w="2031" w:type="dxa"/>
          </w:tcPr>
          <w:p w:rsidR="00416B02" w:rsidRPr="00071B95" w:rsidRDefault="00416B02" w:rsidP="00E15678">
            <w:pPr>
              <w:pStyle w:val="TableTextEntries"/>
            </w:pPr>
          </w:p>
        </w:tc>
        <w:tc>
          <w:tcPr>
            <w:tcW w:w="1939" w:type="dxa"/>
          </w:tcPr>
          <w:p w:rsidR="00416B02" w:rsidRPr="00071B95" w:rsidRDefault="00416B02" w:rsidP="00E15678">
            <w:pPr>
              <w:pStyle w:val="TableTextEntries"/>
            </w:pPr>
          </w:p>
        </w:tc>
        <w:tc>
          <w:tcPr>
            <w:tcW w:w="1921" w:type="dxa"/>
          </w:tcPr>
          <w:p w:rsidR="00416B02" w:rsidRPr="00071B95" w:rsidRDefault="00416B02" w:rsidP="00E15678">
            <w:pPr>
              <w:pStyle w:val="TableTextEntries"/>
            </w:pPr>
          </w:p>
        </w:tc>
        <w:tc>
          <w:tcPr>
            <w:tcW w:w="1743" w:type="dxa"/>
          </w:tcPr>
          <w:p w:rsidR="00416B02" w:rsidRPr="00071B95" w:rsidRDefault="00416B02" w:rsidP="00E15678">
            <w:pPr>
              <w:pStyle w:val="TableTextEntries"/>
            </w:pPr>
          </w:p>
        </w:tc>
        <w:tc>
          <w:tcPr>
            <w:tcW w:w="1503" w:type="dxa"/>
          </w:tcPr>
          <w:p w:rsidR="00416B02" w:rsidRPr="00071B95" w:rsidRDefault="00416B02" w:rsidP="00E15678">
            <w:pPr>
              <w:pStyle w:val="TableTextEntries"/>
            </w:pPr>
          </w:p>
        </w:tc>
      </w:tr>
    </w:tbl>
    <w:p w:rsidR="00416B02" w:rsidRPr="00071B95" w:rsidRDefault="00416B02" w:rsidP="00416B02">
      <w:pPr>
        <w:rPr>
          <w:b/>
        </w:rPr>
      </w:pPr>
    </w:p>
    <w:p w:rsidR="00416B02" w:rsidRPr="00071B95" w:rsidRDefault="00416B02" w:rsidP="00286DD2">
      <w:pPr>
        <w:pStyle w:val="Heading3"/>
      </w:pPr>
      <w:r w:rsidRPr="00071B95">
        <w:t xml:space="preserve">List of evaluations planned in the next 12 months </w:t>
      </w:r>
    </w:p>
    <w:p w:rsidR="00416B02" w:rsidRDefault="00416B02" w:rsidP="00416B02">
      <w:pPr>
        <w:pStyle w:val="TableTextColumnHeading"/>
        <w:sectPr w:rsidR="00416B02" w:rsidSect="00CD061B">
          <w:headerReference w:type="even" r:id="rId19"/>
          <w:footerReference w:type="first" r:id="rId20"/>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416B02" w:rsidRPr="00071B95" w:rsidTr="00E15678">
        <w:tc>
          <w:tcPr>
            <w:tcW w:w="2601" w:type="dxa"/>
          </w:tcPr>
          <w:p w:rsidR="00416B02" w:rsidRPr="00071B95" w:rsidRDefault="00416B02" w:rsidP="00E15678">
            <w:pPr>
              <w:pStyle w:val="TableTextColumnHeading"/>
            </w:pPr>
            <w:r w:rsidRPr="00071B95">
              <w:lastRenderedPageBreak/>
              <w:t xml:space="preserve">Name of </w:t>
            </w:r>
            <w:r>
              <w:t>Investment</w:t>
            </w:r>
          </w:p>
        </w:tc>
        <w:tc>
          <w:tcPr>
            <w:tcW w:w="2530" w:type="dxa"/>
          </w:tcPr>
          <w:p w:rsidR="00416B02" w:rsidRPr="00071B95" w:rsidRDefault="00136CC1" w:rsidP="00E15678">
            <w:pPr>
              <w:pStyle w:val="TableTextColumnHeading"/>
            </w:pPr>
            <w:r>
              <w:t>AidW</w:t>
            </w:r>
            <w:r w:rsidRPr="00071B95">
              <w:t>orks</w:t>
            </w:r>
            <w:r w:rsidR="00416B02" w:rsidRPr="00071B95">
              <w:t xml:space="preserve"> number</w:t>
            </w:r>
          </w:p>
        </w:tc>
        <w:tc>
          <w:tcPr>
            <w:tcW w:w="2612" w:type="dxa"/>
          </w:tcPr>
          <w:p w:rsidR="00416B02" w:rsidRPr="00071B95" w:rsidRDefault="00416B02" w:rsidP="00E15678">
            <w:pPr>
              <w:pStyle w:val="TableTextColumnHeading"/>
            </w:pPr>
            <w:r w:rsidRPr="00071B95">
              <w:t>Type of evaluation</w:t>
            </w:r>
          </w:p>
        </w:tc>
        <w:tc>
          <w:tcPr>
            <w:tcW w:w="2612" w:type="dxa"/>
          </w:tcPr>
          <w:p w:rsidR="00416B02" w:rsidRPr="00071B95" w:rsidRDefault="00416B02" w:rsidP="00E15678">
            <w:pPr>
              <w:pStyle w:val="TableTextColumnHeading"/>
            </w:pPr>
            <w:r w:rsidRPr="00071B95">
              <w:t>Purpose of evaluation</w:t>
            </w:r>
          </w:p>
        </w:tc>
        <w:tc>
          <w:tcPr>
            <w:tcW w:w="2617" w:type="dxa"/>
          </w:tcPr>
          <w:p w:rsidR="00416B02" w:rsidRPr="00071B95" w:rsidRDefault="00416B02" w:rsidP="00E15678">
            <w:pPr>
              <w:pStyle w:val="TableTextColumnHeading"/>
            </w:pPr>
            <w:r w:rsidRPr="00071B95">
              <w:t>Expected completion date</w:t>
            </w:r>
          </w:p>
        </w:tc>
      </w:tr>
      <w:tr w:rsidR="004F74C0" w:rsidRPr="00071B95" w:rsidTr="00F91709">
        <w:tc>
          <w:tcPr>
            <w:tcW w:w="2601" w:type="dxa"/>
            <w:tcBorders>
              <w:top w:val="nil"/>
              <w:left w:val="single" w:sz="4" w:space="0" w:color="auto"/>
              <w:bottom w:val="nil"/>
              <w:right w:val="nil"/>
            </w:tcBorders>
          </w:tcPr>
          <w:p w:rsidR="004F74C0" w:rsidRPr="00071B95" w:rsidRDefault="004F74C0" w:rsidP="007B10F2">
            <w:pPr>
              <w:pStyle w:val="TableTextEntries"/>
            </w:pPr>
            <w:r>
              <w:t>Access to Quality Education Program</w:t>
            </w:r>
          </w:p>
        </w:tc>
        <w:tc>
          <w:tcPr>
            <w:tcW w:w="2530" w:type="dxa"/>
            <w:tcBorders>
              <w:top w:val="nil"/>
              <w:left w:val="nil"/>
              <w:bottom w:val="nil"/>
              <w:right w:val="nil"/>
            </w:tcBorders>
          </w:tcPr>
          <w:p w:rsidR="004F74C0" w:rsidRPr="00071B95" w:rsidRDefault="004509EB" w:rsidP="007B10F2">
            <w:pPr>
              <w:pStyle w:val="TableTextEntries"/>
            </w:pPr>
            <w:r>
              <w:t>INJ515</w:t>
            </w:r>
          </w:p>
        </w:tc>
        <w:tc>
          <w:tcPr>
            <w:tcW w:w="2612" w:type="dxa"/>
            <w:tcBorders>
              <w:top w:val="nil"/>
              <w:left w:val="nil"/>
              <w:bottom w:val="nil"/>
              <w:right w:val="nil"/>
            </w:tcBorders>
          </w:tcPr>
          <w:p w:rsidR="004F74C0" w:rsidRPr="00071B95" w:rsidRDefault="004F74C0" w:rsidP="007B10F2">
            <w:pPr>
              <w:pStyle w:val="TableTextEntries"/>
            </w:pPr>
            <w:r>
              <w:t>Independent Evaluation</w:t>
            </w:r>
          </w:p>
        </w:tc>
        <w:tc>
          <w:tcPr>
            <w:tcW w:w="2612" w:type="dxa"/>
            <w:tcBorders>
              <w:top w:val="nil"/>
              <w:left w:val="nil"/>
              <w:bottom w:val="nil"/>
              <w:right w:val="nil"/>
            </w:tcBorders>
          </w:tcPr>
          <w:p w:rsidR="004F74C0" w:rsidRPr="00071B95" w:rsidRDefault="004F74C0" w:rsidP="004E1EDE">
            <w:pPr>
              <w:pStyle w:val="TableTextEntries"/>
            </w:pPr>
            <w:r w:rsidRPr="003120C7">
              <w:t>To</w:t>
            </w:r>
            <w:r w:rsidR="004E1EDE" w:rsidRPr="003120C7">
              <w:t xml:space="preserve"> evaluate the effectiveness and efficiency and to</w:t>
            </w:r>
            <w:r w:rsidRPr="003120C7">
              <w:t xml:space="preserve"> verify program outcomes</w:t>
            </w:r>
            <w:r w:rsidR="004E1EDE" w:rsidRPr="003120C7">
              <w:t>.</w:t>
            </w:r>
          </w:p>
        </w:tc>
        <w:tc>
          <w:tcPr>
            <w:tcW w:w="2617" w:type="dxa"/>
            <w:tcBorders>
              <w:top w:val="nil"/>
              <w:left w:val="nil"/>
              <w:bottom w:val="nil"/>
              <w:right w:val="single" w:sz="4" w:space="0" w:color="auto"/>
            </w:tcBorders>
          </w:tcPr>
          <w:p w:rsidR="004F74C0" w:rsidRPr="00071B95" w:rsidRDefault="004F74C0" w:rsidP="007B10F2">
            <w:pPr>
              <w:pStyle w:val="TableTextEntries"/>
            </w:pPr>
            <w:r>
              <w:t>31 December 2015</w:t>
            </w:r>
          </w:p>
        </w:tc>
      </w:tr>
      <w:tr w:rsidR="00416B02" w:rsidRPr="00071B95" w:rsidTr="00E074C5">
        <w:tc>
          <w:tcPr>
            <w:tcW w:w="2601" w:type="dxa"/>
            <w:tcBorders>
              <w:top w:val="nil"/>
              <w:left w:val="single" w:sz="4" w:space="0" w:color="auto"/>
              <w:bottom w:val="nil"/>
              <w:right w:val="nil"/>
            </w:tcBorders>
          </w:tcPr>
          <w:p w:rsidR="00416B02" w:rsidRPr="00071B95" w:rsidRDefault="003120C7" w:rsidP="004F74C0">
            <w:pPr>
              <w:pStyle w:val="TableTextEntries"/>
            </w:pPr>
            <w:r>
              <w:t>Market Development Facility</w:t>
            </w:r>
          </w:p>
        </w:tc>
        <w:tc>
          <w:tcPr>
            <w:tcW w:w="2530" w:type="dxa"/>
            <w:tcBorders>
              <w:top w:val="nil"/>
              <w:left w:val="nil"/>
              <w:bottom w:val="nil"/>
              <w:right w:val="nil"/>
            </w:tcBorders>
            <w:shd w:val="clear" w:color="auto" w:fill="FFFFFF" w:themeFill="background1"/>
          </w:tcPr>
          <w:p w:rsidR="00416B02" w:rsidRPr="00071B95" w:rsidRDefault="006000E5" w:rsidP="00E15678">
            <w:pPr>
              <w:pStyle w:val="TableTextEntries"/>
            </w:pPr>
            <w:r>
              <w:t>INK629</w:t>
            </w:r>
          </w:p>
        </w:tc>
        <w:tc>
          <w:tcPr>
            <w:tcW w:w="2612" w:type="dxa"/>
            <w:tcBorders>
              <w:top w:val="nil"/>
              <w:left w:val="nil"/>
              <w:bottom w:val="nil"/>
              <w:right w:val="nil"/>
            </w:tcBorders>
          </w:tcPr>
          <w:p w:rsidR="00416B02" w:rsidRPr="00071B95" w:rsidRDefault="003120C7" w:rsidP="00E15678">
            <w:pPr>
              <w:pStyle w:val="TableTextEntries"/>
            </w:pPr>
            <w:r>
              <w:t>Mid-term review</w:t>
            </w:r>
          </w:p>
        </w:tc>
        <w:tc>
          <w:tcPr>
            <w:tcW w:w="2612" w:type="dxa"/>
            <w:tcBorders>
              <w:top w:val="nil"/>
              <w:left w:val="nil"/>
              <w:bottom w:val="nil"/>
              <w:right w:val="nil"/>
            </w:tcBorders>
          </w:tcPr>
          <w:p w:rsidR="00416B02" w:rsidRPr="00071B95" w:rsidRDefault="003120C7" w:rsidP="00E15678">
            <w:pPr>
              <w:pStyle w:val="TableTextEntries"/>
            </w:pPr>
            <w:r>
              <w:t>To independently review the performance and relevance of the program to date and to inform decisions on continuation.</w:t>
            </w:r>
          </w:p>
        </w:tc>
        <w:tc>
          <w:tcPr>
            <w:tcW w:w="2617" w:type="dxa"/>
            <w:tcBorders>
              <w:top w:val="nil"/>
              <w:left w:val="nil"/>
              <w:bottom w:val="nil"/>
              <w:right w:val="single" w:sz="4" w:space="0" w:color="auto"/>
            </w:tcBorders>
          </w:tcPr>
          <w:p w:rsidR="00416B02" w:rsidRPr="00071B95" w:rsidRDefault="003120C7" w:rsidP="00E15678">
            <w:pPr>
              <w:pStyle w:val="TableTextEntries"/>
            </w:pPr>
            <w:r>
              <w:t>29 February 2016</w:t>
            </w:r>
          </w:p>
        </w:tc>
      </w:tr>
      <w:tr w:rsidR="003120C7" w:rsidRPr="00071B95" w:rsidTr="00E15678">
        <w:tc>
          <w:tcPr>
            <w:tcW w:w="2601" w:type="dxa"/>
          </w:tcPr>
          <w:p w:rsidR="003120C7" w:rsidRPr="00071B95" w:rsidRDefault="003120C7" w:rsidP="004F74C0">
            <w:pPr>
              <w:pStyle w:val="TableTextEntries"/>
            </w:pPr>
          </w:p>
        </w:tc>
        <w:tc>
          <w:tcPr>
            <w:tcW w:w="2530" w:type="dxa"/>
          </w:tcPr>
          <w:p w:rsidR="003120C7" w:rsidRPr="00071B95" w:rsidRDefault="003120C7" w:rsidP="00E15678">
            <w:pPr>
              <w:pStyle w:val="TableTextEntries"/>
            </w:pPr>
          </w:p>
        </w:tc>
        <w:tc>
          <w:tcPr>
            <w:tcW w:w="2612" w:type="dxa"/>
          </w:tcPr>
          <w:p w:rsidR="003120C7" w:rsidRPr="00071B95" w:rsidRDefault="003120C7" w:rsidP="00E15678">
            <w:pPr>
              <w:pStyle w:val="TableTextEntries"/>
            </w:pPr>
          </w:p>
        </w:tc>
        <w:tc>
          <w:tcPr>
            <w:tcW w:w="2612" w:type="dxa"/>
          </w:tcPr>
          <w:p w:rsidR="003120C7" w:rsidRPr="00071B95" w:rsidRDefault="003120C7" w:rsidP="00E15678">
            <w:pPr>
              <w:pStyle w:val="TableTextEntries"/>
            </w:pPr>
          </w:p>
        </w:tc>
        <w:tc>
          <w:tcPr>
            <w:tcW w:w="2617" w:type="dxa"/>
          </w:tcPr>
          <w:p w:rsidR="003120C7" w:rsidRPr="00071B95" w:rsidRDefault="003120C7" w:rsidP="00E15678">
            <w:pPr>
              <w:pStyle w:val="TableTextEntries"/>
            </w:pPr>
          </w:p>
        </w:tc>
      </w:tr>
    </w:tbl>
    <w:p w:rsidR="00416B02" w:rsidRDefault="00416B02" w:rsidP="00416B02">
      <w:pPr>
        <w:rPr>
          <w:b/>
        </w:rPr>
        <w:sectPr w:rsidR="00416B02"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Default="00416B02" w:rsidP="00416B02">
      <w:pPr>
        <w:pStyle w:val="BodyText"/>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t>.</w:t>
      </w:r>
    </w:p>
    <w:p w:rsidR="00416B02" w:rsidRPr="000D2CDD" w:rsidRDefault="00416B02" w:rsidP="00286DD2">
      <w:pPr>
        <w:pStyle w:val="Heading3"/>
      </w:pPr>
      <w:r>
        <w:t>AQC ratings</w:t>
      </w:r>
    </w:p>
    <w:tbl>
      <w:tblPr>
        <w:tblStyle w:val="APPR"/>
        <w:tblW w:w="5000" w:type="pct"/>
        <w:tblBorders>
          <w:top w:val="single" w:sz="4" w:space="0" w:color="auto"/>
          <w:bottom w:val="single" w:sz="4" w:space="0" w:color="auto"/>
        </w:tblBorders>
        <w:tblLook w:val="0000" w:firstRow="0" w:lastRow="0" w:firstColumn="0" w:lastColumn="0" w:noHBand="0" w:noVBand="0"/>
      </w:tblPr>
      <w:tblGrid>
        <w:gridCol w:w="2570"/>
        <w:gridCol w:w="1861"/>
        <w:gridCol w:w="1185"/>
        <w:gridCol w:w="1193"/>
        <w:gridCol w:w="1185"/>
        <w:gridCol w:w="1193"/>
        <w:gridCol w:w="1184"/>
        <w:gridCol w:w="1192"/>
        <w:gridCol w:w="1184"/>
        <w:gridCol w:w="1190"/>
      </w:tblGrid>
      <w:tr w:rsidR="00E02E54" w:rsidRPr="009D53C4" w:rsidTr="004D1194">
        <w:trPr>
          <w:cnfStyle w:val="000000010000" w:firstRow="0" w:lastRow="0" w:firstColumn="0" w:lastColumn="0" w:oddVBand="0" w:evenVBand="0" w:oddHBand="0" w:evenHBand="1" w:firstRowFirstColumn="0" w:firstRowLastColumn="0" w:lastRowFirstColumn="0" w:lastRowLastColumn="0"/>
          <w:trHeight w:val="1413"/>
        </w:trPr>
        <w:tc>
          <w:tcPr>
            <w:tcW w:w="906" w:type="pct"/>
          </w:tcPr>
          <w:p w:rsidR="00416B02" w:rsidRPr="00FE4491" w:rsidRDefault="00416B02" w:rsidP="00E15678">
            <w:pPr>
              <w:pStyle w:val="TableTextColumnHeading"/>
            </w:pPr>
            <w:r w:rsidRPr="00FE4491">
              <w:rPr>
                <w:noProof/>
                <w:lang w:eastAsia="en-AU"/>
              </w:rPr>
              <w:drawing>
                <wp:anchor distT="0" distB="0" distL="114300" distR="114300" simplePos="0" relativeHeight="251666432" behindDoc="0" locked="0" layoutInCell="1" allowOverlap="1" wp14:anchorId="363FBD4A" wp14:editId="464D9D51">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57" w:type="pct"/>
            <w:textDirection w:val="btLr"/>
          </w:tcPr>
          <w:p w:rsidR="00416B02" w:rsidRPr="00FE4491" w:rsidRDefault="00416B02" w:rsidP="00E15678">
            <w:pPr>
              <w:pStyle w:val="TableTextColumnHeading"/>
            </w:pPr>
            <w:r w:rsidRPr="00FE4491">
              <w:t>Approved budget and duration</w:t>
            </w:r>
          </w:p>
        </w:tc>
        <w:tc>
          <w:tcPr>
            <w:tcW w:w="415" w:type="pct"/>
            <w:textDirection w:val="btLr"/>
          </w:tcPr>
          <w:p w:rsidR="00416B02" w:rsidRPr="00FE4491" w:rsidRDefault="00416B02" w:rsidP="00E15678">
            <w:pPr>
              <w:pStyle w:val="TableTextColumnHeading"/>
            </w:pPr>
            <w:r>
              <w:t>AQC/</w:t>
            </w:r>
            <w:r w:rsidRPr="00FE4491">
              <w:t>Q</w:t>
            </w:r>
            <w:r>
              <w:t>AI</w:t>
            </w:r>
            <w:r w:rsidRPr="00FE4491">
              <w:t xml:space="preserve"> year</w:t>
            </w:r>
          </w:p>
        </w:tc>
        <w:tc>
          <w:tcPr>
            <w:tcW w:w="418" w:type="pct"/>
            <w:textDirection w:val="btLr"/>
          </w:tcPr>
          <w:p w:rsidR="00416B02" w:rsidRPr="00FE4491" w:rsidRDefault="00416B02" w:rsidP="00E15678">
            <w:pPr>
              <w:pStyle w:val="TableTextColumnHeading"/>
            </w:pPr>
            <w:r w:rsidRPr="00FE4491">
              <w:t>Relevance</w:t>
            </w:r>
          </w:p>
        </w:tc>
        <w:tc>
          <w:tcPr>
            <w:tcW w:w="415" w:type="pct"/>
            <w:textDirection w:val="btLr"/>
          </w:tcPr>
          <w:p w:rsidR="00416B02" w:rsidRPr="00FE4491" w:rsidRDefault="00416B02" w:rsidP="00E15678">
            <w:pPr>
              <w:pStyle w:val="TableTextColumnHeading"/>
            </w:pPr>
            <w:r w:rsidRPr="00FE4491">
              <w:t>Effectiveness</w:t>
            </w:r>
          </w:p>
        </w:tc>
        <w:tc>
          <w:tcPr>
            <w:tcW w:w="418" w:type="pct"/>
            <w:textDirection w:val="btLr"/>
          </w:tcPr>
          <w:p w:rsidR="00416B02" w:rsidRPr="00FE4491" w:rsidRDefault="00416B02" w:rsidP="00E15678">
            <w:pPr>
              <w:pStyle w:val="TableTextColumnHeading"/>
            </w:pPr>
            <w:r w:rsidRPr="00FE4491">
              <w:t>Efficiency</w:t>
            </w:r>
          </w:p>
        </w:tc>
        <w:tc>
          <w:tcPr>
            <w:tcW w:w="415" w:type="pct"/>
            <w:textDirection w:val="btLr"/>
          </w:tcPr>
          <w:p w:rsidR="00416B02" w:rsidRPr="00FE4491" w:rsidRDefault="00416B02" w:rsidP="00E15678">
            <w:pPr>
              <w:pStyle w:val="TableTextColumnHeading"/>
            </w:pPr>
            <w:r w:rsidRPr="00FE4491">
              <w:t>Monitoring and Evaluation</w:t>
            </w:r>
          </w:p>
        </w:tc>
        <w:tc>
          <w:tcPr>
            <w:tcW w:w="418" w:type="pct"/>
            <w:textDirection w:val="btLr"/>
          </w:tcPr>
          <w:p w:rsidR="00416B02" w:rsidRPr="00FE4491" w:rsidRDefault="00416B02" w:rsidP="00E15678">
            <w:pPr>
              <w:pStyle w:val="TableTextColumnHeading"/>
            </w:pPr>
            <w:r w:rsidRPr="00FE4491">
              <w:t>Sustainability</w:t>
            </w:r>
          </w:p>
        </w:tc>
        <w:tc>
          <w:tcPr>
            <w:tcW w:w="415" w:type="pct"/>
            <w:textDirection w:val="btLr"/>
          </w:tcPr>
          <w:p w:rsidR="00416B02" w:rsidRPr="00FE4491" w:rsidRDefault="00416B02" w:rsidP="00E15678">
            <w:pPr>
              <w:pStyle w:val="TableTextColumnHeading"/>
            </w:pPr>
            <w:r w:rsidRPr="00FE4491">
              <w:t>Gender equality</w:t>
            </w:r>
          </w:p>
        </w:tc>
        <w:tc>
          <w:tcPr>
            <w:tcW w:w="412" w:type="pct"/>
            <w:textDirection w:val="btLr"/>
          </w:tcPr>
          <w:p w:rsidR="00416B02" w:rsidRPr="00FE4491" w:rsidRDefault="00416B02" w:rsidP="00E15678">
            <w:pPr>
              <w:pStyle w:val="TableTextColumnHeading"/>
            </w:pPr>
            <w:r>
              <w:t>Risks  and Safeguards</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416B02" w:rsidRPr="00FE4491" w:rsidRDefault="00A94AE7" w:rsidP="00E15678">
            <w:pPr>
              <w:pStyle w:val="TableTextEntries"/>
            </w:pPr>
            <w:r>
              <w:t>Community Development Program (Fiji)</w:t>
            </w:r>
          </w:p>
        </w:tc>
        <w:tc>
          <w:tcPr>
            <w:tcW w:w="657" w:type="pct"/>
            <w:vMerge w:val="restart"/>
          </w:tcPr>
          <w:p w:rsidR="00416B02" w:rsidRPr="00E074C5" w:rsidRDefault="00A94AE7" w:rsidP="00E15678">
            <w:pPr>
              <w:pStyle w:val="TableTextEntries"/>
            </w:pPr>
            <w:r w:rsidRPr="00E074C5">
              <w:t>12,965,419</w:t>
            </w:r>
            <w:r w:rsidRPr="00E074C5">
              <w:br/>
              <w:t>2011-15</w:t>
            </w:r>
          </w:p>
        </w:tc>
        <w:tc>
          <w:tcPr>
            <w:tcW w:w="415" w:type="pct"/>
          </w:tcPr>
          <w:p w:rsidR="00416B02" w:rsidRPr="00FE4491" w:rsidRDefault="00416B02" w:rsidP="00E15678">
            <w:pPr>
              <w:pStyle w:val="TableTextEntries"/>
            </w:pPr>
            <w:r w:rsidRPr="00FE4491">
              <w:t>201</w:t>
            </w:r>
            <w:r>
              <w:t>4 AQC</w:t>
            </w:r>
          </w:p>
        </w:tc>
        <w:tc>
          <w:tcPr>
            <w:tcW w:w="418" w:type="pct"/>
            <w:shd w:val="clear" w:color="auto" w:fill="92D050"/>
            <w:noWrap/>
          </w:tcPr>
          <w:p w:rsidR="00416B02" w:rsidRPr="00FE4491" w:rsidRDefault="00416B02" w:rsidP="00E15678">
            <w:pPr>
              <w:pStyle w:val="TableTextEntries"/>
              <w:jc w:val="center"/>
            </w:pPr>
            <w:r w:rsidRPr="00FE4491">
              <w:t>5</w:t>
            </w:r>
          </w:p>
        </w:tc>
        <w:tc>
          <w:tcPr>
            <w:tcW w:w="415" w:type="pct"/>
            <w:shd w:val="clear" w:color="auto" w:fill="92D050"/>
            <w:noWrap/>
          </w:tcPr>
          <w:p w:rsidR="00416B02" w:rsidRPr="00FE4491" w:rsidRDefault="00A94AE7" w:rsidP="00E15678">
            <w:pPr>
              <w:pStyle w:val="TableTextEntries"/>
              <w:jc w:val="center"/>
            </w:pPr>
            <w:r>
              <w:t>5</w:t>
            </w:r>
          </w:p>
        </w:tc>
        <w:tc>
          <w:tcPr>
            <w:tcW w:w="418" w:type="pct"/>
            <w:shd w:val="clear" w:color="auto" w:fill="92D050"/>
            <w:noWrap/>
          </w:tcPr>
          <w:p w:rsidR="00416B02" w:rsidRPr="00FE4491" w:rsidRDefault="00A94AE7" w:rsidP="00E15678">
            <w:pPr>
              <w:pStyle w:val="TableTextEntries"/>
              <w:jc w:val="center"/>
            </w:pPr>
            <w:r>
              <w:t>5</w:t>
            </w:r>
          </w:p>
        </w:tc>
        <w:tc>
          <w:tcPr>
            <w:tcW w:w="415" w:type="pct"/>
            <w:shd w:val="clear" w:color="auto" w:fill="92D050"/>
            <w:noWrap/>
          </w:tcPr>
          <w:p w:rsidR="00416B02" w:rsidRPr="00FE4491" w:rsidRDefault="00A94AE7" w:rsidP="00E15678">
            <w:pPr>
              <w:pStyle w:val="TableTextEntries"/>
              <w:jc w:val="center"/>
            </w:pPr>
            <w:r>
              <w:t>5</w:t>
            </w:r>
          </w:p>
        </w:tc>
        <w:tc>
          <w:tcPr>
            <w:tcW w:w="418" w:type="pct"/>
            <w:shd w:val="clear" w:color="auto" w:fill="FFFF00"/>
            <w:noWrap/>
          </w:tcPr>
          <w:p w:rsidR="00416B02" w:rsidRPr="00FE4491" w:rsidRDefault="00A94AE7" w:rsidP="00E15678">
            <w:pPr>
              <w:pStyle w:val="TableTextEntries"/>
              <w:jc w:val="center"/>
            </w:pPr>
            <w:r>
              <w:t>4</w:t>
            </w:r>
          </w:p>
        </w:tc>
        <w:tc>
          <w:tcPr>
            <w:tcW w:w="415" w:type="pct"/>
            <w:shd w:val="clear" w:color="auto" w:fill="FFFF00"/>
            <w:noWrap/>
          </w:tcPr>
          <w:p w:rsidR="00416B02" w:rsidRPr="00FE4491" w:rsidRDefault="00A94AE7" w:rsidP="00E15678">
            <w:pPr>
              <w:pStyle w:val="TableTextEntries"/>
              <w:jc w:val="center"/>
            </w:pPr>
            <w:r>
              <w:t>4</w:t>
            </w:r>
          </w:p>
        </w:tc>
        <w:tc>
          <w:tcPr>
            <w:tcW w:w="412" w:type="pct"/>
            <w:shd w:val="clear" w:color="auto" w:fill="92D050"/>
          </w:tcPr>
          <w:p w:rsidR="00416B02" w:rsidRDefault="00A94AE7" w:rsidP="00E15678">
            <w:pPr>
              <w:pStyle w:val="TableTextEntries"/>
              <w:jc w:val="center"/>
            </w:pPr>
            <w:r>
              <w:t>5</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416B02" w:rsidRPr="00FE4491" w:rsidRDefault="00416B02" w:rsidP="00E15678">
            <w:pPr>
              <w:pStyle w:val="TableTextEntries"/>
            </w:pPr>
          </w:p>
        </w:tc>
        <w:tc>
          <w:tcPr>
            <w:tcW w:w="657" w:type="pct"/>
            <w:vMerge/>
          </w:tcPr>
          <w:p w:rsidR="00416B02" w:rsidRPr="00E074C5" w:rsidRDefault="00416B02" w:rsidP="00E15678">
            <w:pPr>
              <w:pStyle w:val="TableTextEntries"/>
            </w:pPr>
          </w:p>
        </w:tc>
        <w:tc>
          <w:tcPr>
            <w:tcW w:w="415" w:type="pct"/>
          </w:tcPr>
          <w:p w:rsidR="00416B02" w:rsidRPr="00FE4491" w:rsidRDefault="00416B02" w:rsidP="00E15678">
            <w:pPr>
              <w:pStyle w:val="TableTextEntries"/>
            </w:pPr>
            <w:r w:rsidRPr="00FE4491">
              <w:t>201</w:t>
            </w:r>
            <w:r>
              <w:t>3 QAI</w:t>
            </w:r>
          </w:p>
        </w:tc>
        <w:tc>
          <w:tcPr>
            <w:tcW w:w="418" w:type="pct"/>
            <w:shd w:val="clear" w:color="auto" w:fill="92D050"/>
            <w:noWrap/>
          </w:tcPr>
          <w:p w:rsidR="00416B02" w:rsidRPr="00FE4491" w:rsidRDefault="00C939E3" w:rsidP="00E15678">
            <w:pPr>
              <w:pStyle w:val="TableTextEntries"/>
              <w:jc w:val="center"/>
            </w:pPr>
            <w:r>
              <w:t>6</w:t>
            </w:r>
          </w:p>
        </w:tc>
        <w:tc>
          <w:tcPr>
            <w:tcW w:w="415" w:type="pct"/>
            <w:shd w:val="clear" w:color="auto" w:fill="92D050"/>
            <w:noWrap/>
          </w:tcPr>
          <w:p w:rsidR="00416B02" w:rsidRPr="00FE4491" w:rsidRDefault="00C939E3" w:rsidP="00E15678">
            <w:pPr>
              <w:pStyle w:val="TableTextEntries"/>
              <w:jc w:val="center"/>
            </w:pPr>
            <w:r>
              <w:t>6</w:t>
            </w:r>
          </w:p>
        </w:tc>
        <w:tc>
          <w:tcPr>
            <w:tcW w:w="418" w:type="pct"/>
            <w:shd w:val="clear" w:color="auto" w:fill="92D050"/>
            <w:noWrap/>
          </w:tcPr>
          <w:p w:rsidR="00416B02" w:rsidRPr="00FE4491" w:rsidRDefault="00C939E3" w:rsidP="00E15678">
            <w:pPr>
              <w:pStyle w:val="TableTextEntries"/>
              <w:jc w:val="center"/>
            </w:pPr>
            <w:r>
              <w:t>5</w:t>
            </w:r>
          </w:p>
        </w:tc>
        <w:tc>
          <w:tcPr>
            <w:tcW w:w="415" w:type="pct"/>
            <w:shd w:val="clear" w:color="auto" w:fill="92D050"/>
            <w:noWrap/>
          </w:tcPr>
          <w:p w:rsidR="00416B02" w:rsidRPr="00FE4491" w:rsidRDefault="00C939E3" w:rsidP="00E15678">
            <w:pPr>
              <w:pStyle w:val="TableTextEntries"/>
              <w:jc w:val="center"/>
            </w:pPr>
            <w:r>
              <w:t>5</w:t>
            </w:r>
          </w:p>
        </w:tc>
        <w:tc>
          <w:tcPr>
            <w:tcW w:w="418" w:type="pct"/>
            <w:shd w:val="clear" w:color="auto" w:fill="92D050"/>
            <w:noWrap/>
          </w:tcPr>
          <w:p w:rsidR="00416B02" w:rsidRPr="00FE4491" w:rsidRDefault="00C939E3" w:rsidP="00E15678">
            <w:pPr>
              <w:pStyle w:val="TableTextEntries"/>
              <w:jc w:val="center"/>
            </w:pPr>
            <w:r>
              <w:t>5</w:t>
            </w:r>
          </w:p>
        </w:tc>
        <w:tc>
          <w:tcPr>
            <w:tcW w:w="415" w:type="pct"/>
            <w:shd w:val="clear" w:color="auto" w:fill="92D050"/>
            <w:noWrap/>
          </w:tcPr>
          <w:p w:rsidR="00416B02" w:rsidRPr="00FE4491" w:rsidRDefault="00C939E3" w:rsidP="00E15678">
            <w:pPr>
              <w:pStyle w:val="TableTextEntries"/>
              <w:jc w:val="center"/>
            </w:pPr>
            <w:r>
              <w:t>5</w:t>
            </w:r>
          </w:p>
        </w:tc>
        <w:tc>
          <w:tcPr>
            <w:tcW w:w="412" w:type="pct"/>
          </w:tcPr>
          <w:p w:rsidR="00416B02" w:rsidRPr="00FE4491" w:rsidRDefault="004A7988" w:rsidP="00E15678">
            <w:pPr>
              <w:pStyle w:val="TableTextEntries"/>
              <w:jc w:val="center"/>
            </w:pPr>
            <w:r>
              <w:t>n/a</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416B02" w:rsidRPr="00FE4491" w:rsidRDefault="00A94AE7" w:rsidP="00E15678">
            <w:pPr>
              <w:pStyle w:val="TableTextEntries"/>
            </w:pPr>
            <w:r>
              <w:t>Access to Quality Education Program (Fiji)</w:t>
            </w:r>
          </w:p>
        </w:tc>
        <w:tc>
          <w:tcPr>
            <w:tcW w:w="657" w:type="pct"/>
            <w:vMerge w:val="restart"/>
          </w:tcPr>
          <w:p w:rsidR="00416B02" w:rsidRPr="00E074C5" w:rsidRDefault="00A94AE7" w:rsidP="00E15678">
            <w:pPr>
              <w:pStyle w:val="TableTextEntries"/>
            </w:pPr>
            <w:r w:rsidRPr="00E074C5">
              <w:t>50,500,000</w:t>
            </w:r>
            <w:r w:rsidRPr="00E074C5">
              <w:br/>
              <w:t>2010-17</w:t>
            </w:r>
          </w:p>
        </w:tc>
        <w:tc>
          <w:tcPr>
            <w:tcW w:w="415" w:type="pct"/>
          </w:tcPr>
          <w:p w:rsidR="00416B02" w:rsidRPr="00FE4491" w:rsidRDefault="00416B02" w:rsidP="00E15678">
            <w:pPr>
              <w:pStyle w:val="TableTextEntries"/>
            </w:pPr>
            <w:r w:rsidRPr="00FE4491">
              <w:t>201</w:t>
            </w:r>
            <w:r>
              <w:t>4 AQC</w:t>
            </w:r>
          </w:p>
        </w:tc>
        <w:tc>
          <w:tcPr>
            <w:tcW w:w="418" w:type="pct"/>
            <w:shd w:val="clear" w:color="auto" w:fill="92D050"/>
            <w:noWrap/>
          </w:tcPr>
          <w:p w:rsidR="00416B02" w:rsidRPr="00FE4491" w:rsidRDefault="00A94AE7" w:rsidP="00E15678">
            <w:pPr>
              <w:pStyle w:val="TableTextEntries"/>
              <w:jc w:val="center"/>
            </w:pPr>
            <w:r>
              <w:t>6</w:t>
            </w:r>
          </w:p>
        </w:tc>
        <w:tc>
          <w:tcPr>
            <w:tcW w:w="415" w:type="pct"/>
            <w:shd w:val="clear" w:color="auto" w:fill="92D050"/>
            <w:noWrap/>
          </w:tcPr>
          <w:p w:rsidR="00416B02" w:rsidRPr="00FE4491" w:rsidRDefault="00A94AE7" w:rsidP="00E15678">
            <w:pPr>
              <w:pStyle w:val="TableTextEntries"/>
              <w:jc w:val="center"/>
            </w:pPr>
            <w:r>
              <w:t>5</w:t>
            </w:r>
          </w:p>
        </w:tc>
        <w:tc>
          <w:tcPr>
            <w:tcW w:w="418" w:type="pct"/>
            <w:shd w:val="clear" w:color="auto" w:fill="92D050"/>
            <w:noWrap/>
          </w:tcPr>
          <w:p w:rsidR="00416B02" w:rsidRPr="00FE4491" w:rsidRDefault="00A94AE7" w:rsidP="00E15678">
            <w:pPr>
              <w:pStyle w:val="TableTextEntries"/>
              <w:jc w:val="center"/>
            </w:pPr>
            <w:r>
              <w:t>5</w:t>
            </w:r>
          </w:p>
        </w:tc>
        <w:tc>
          <w:tcPr>
            <w:tcW w:w="415" w:type="pct"/>
            <w:shd w:val="clear" w:color="auto" w:fill="FFFF00"/>
            <w:noWrap/>
          </w:tcPr>
          <w:p w:rsidR="00416B02" w:rsidRPr="00FE4491" w:rsidRDefault="00A94AE7" w:rsidP="00E15678">
            <w:pPr>
              <w:pStyle w:val="TableTextEntries"/>
              <w:jc w:val="center"/>
            </w:pPr>
            <w:r>
              <w:t>4</w:t>
            </w:r>
          </w:p>
        </w:tc>
        <w:tc>
          <w:tcPr>
            <w:tcW w:w="418" w:type="pct"/>
            <w:shd w:val="clear" w:color="auto" w:fill="FFFF00"/>
            <w:noWrap/>
          </w:tcPr>
          <w:p w:rsidR="00416B02" w:rsidRPr="00FE4491" w:rsidRDefault="00A94AE7" w:rsidP="00E15678">
            <w:pPr>
              <w:pStyle w:val="TableTextEntries"/>
              <w:jc w:val="center"/>
            </w:pPr>
            <w:r>
              <w:t>4</w:t>
            </w:r>
          </w:p>
        </w:tc>
        <w:tc>
          <w:tcPr>
            <w:tcW w:w="415" w:type="pct"/>
            <w:shd w:val="clear" w:color="auto" w:fill="FFFF00"/>
            <w:noWrap/>
          </w:tcPr>
          <w:p w:rsidR="00416B02" w:rsidRPr="00FE4491" w:rsidRDefault="00A94AE7" w:rsidP="00E15678">
            <w:pPr>
              <w:pStyle w:val="TableTextEntries"/>
              <w:jc w:val="center"/>
            </w:pPr>
            <w:r>
              <w:t>4</w:t>
            </w:r>
          </w:p>
        </w:tc>
        <w:tc>
          <w:tcPr>
            <w:tcW w:w="412" w:type="pct"/>
            <w:shd w:val="clear" w:color="auto" w:fill="92D050"/>
          </w:tcPr>
          <w:p w:rsidR="00416B02" w:rsidRPr="00FE4491" w:rsidRDefault="00A94AE7" w:rsidP="00E15678">
            <w:pPr>
              <w:pStyle w:val="TableTextEntries"/>
              <w:jc w:val="center"/>
            </w:pPr>
            <w:r>
              <w:t>5</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416B02" w:rsidRPr="00FE4491" w:rsidRDefault="00416B02" w:rsidP="00E15678">
            <w:pPr>
              <w:pStyle w:val="TableTextEntries"/>
            </w:pPr>
          </w:p>
        </w:tc>
        <w:tc>
          <w:tcPr>
            <w:tcW w:w="657" w:type="pct"/>
            <w:vMerge/>
          </w:tcPr>
          <w:p w:rsidR="00416B02" w:rsidRPr="00E074C5" w:rsidRDefault="00416B02" w:rsidP="00E15678">
            <w:pPr>
              <w:pStyle w:val="TableTextEntries"/>
            </w:pPr>
          </w:p>
        </w:tc>
        <w:tc>
          <w:tcPr>
            <w:tcW w:w="415" w:type="pct"/>
          </w:tcPr>
          <w:p w:rsidR="00416B02" w:rsidRPr="00FE4491" w:rsidRDefault="00416B02" w:rsidP="00E15678">
            <w:pPr>
              <w:pStyle w:val="TableTextEntries"/>
            </w:pPr>
            <w:r w:rsidRPr="00FE4491">
              <w:t>201</w:t>
            </w:r>
            <w:r>
              <w:t>3 QAI</w:t>
            </w:r>
          </w:p>
        </w:tc>
        <w:tc>
          <w:tcPr>
            <w:tcW w:w="418" w:type="pct"/>
            <w:shd w:val="clear" w:color="auto" w:fill="92D050"/>
            <w:noWrap/>
          </w:tcPr>
          <w:p w:rsidR="00416B02" w:rsidRPr="00FE4491" w:rsidRDefault="00C939E3" w:rsidP="00E15678">
            <w:pPr>
              <w:pStyle w:val="TableTextEntries"/>
              <w:jc w:val="center"/>
            </w:pPr>
            <w:r>
              <w:t>6</w:t>
            </w:r>
          </w:p>
        </w:tc>
        <w:tc>
          <w:tcPr>
            <w:tcW w:w="415" w:type="pct"/>
            <w:shd w:val="clear" w:color="auto" w:fill="92D050"/>
            <w:noWrap/>
          </w:tcPr>
          <w:p w:rsidR="00416B02" w:rsidRPr="00FE4491" w:rsidRDefault="00C939E3" w:rsidP="00E15678">
            <w:pPr>
              <w:pStyle w:val="TableTextEntries"/>
              <w:jc w:val="center"/>
            </w:pPr>
            <w:r>
              <w:t>5</w:t>
            </w:r>
          </w:p>
        </w:tc>
        <w:tc>
          <w:tcPr>
            <w:tcW w:w="418" w:type="pct"/>
            <w:shd w:val="clear" w:color="auto" w:fill="92D050"/>
            <w:noWrap/>
          </w:tcPr>
          <w:p w:rsidR="00416B02" w:rsidRPr="00FE4491" w:rsidRDefault="00C939E3" w:rsidP="00E15678">
            <w:pPr>
              <w:pStyle w:val="TableTextEntries"/>
              <w:jc w:val="center"/>
            </w:pPr>
            <w:r>
              <w:t>5</w:t>
            </w:r>
          </w:p>
        </w:tc>
        <w:tc>
          <w:tcPr>
            <w:tcW w:w="415" w:type="pct"/>
            <w:shd w:val="clear" w:color="auto" w:fill="FFFF00"/>
            <w:noWrap/>
          </w:tcPr>
          <w:p w:rsidR="00416B02" w:rsidRPr="00FE4491" w:rsidRDefault="00C939E3" w:rsidP="00E15678">
            <w:pPr>
              <w:pStyle w:val="TableTextEntries"/>
              <w:jc w:val="center"/>
            </w:pPr>
            <w:r>
              <w:t>4</w:t>
            </w:r>
          </w:p>
        </w:tc>
        <w:tc>
          <w:tcPr>
            <w:tcW w:w="418" w:type="pct"/>
            <w:shd w:val="clear" w:color="auto" w:fill="FFFF00"/>
            <w:noWrap/>
          </w:tcPr>
          <w:p w:rsidR="00416B02" w:rsidRPr="00FE4491" w:rsidRDefault="00C939E3" w:rsidP="00E15678">
            <w:pPr>
              <w:pStyle w:val="TableTextEntries"/>
              <w:jc w:val="center"/>
            </w:pPr>
            <w:r>
              <w:t>4</w:t>
            </w:r>
          </w:p>
        </w:tc>
        <w:tc>
          <w:tcPr>
            <w:tcW w:w="415" w:type="pct"/>
            <w:shd w:val="clear" w:color="auto" w:fill="FFFF00"/>
            <w:noWrap/>
          </w:tcPr>
          <w:p w:rsidR="00416B02" w:rsidRPr="00FE4491" w:rsidRDefault="00C939E3" w:rsidP="00E15678">
            <w:pPr>
              <w:pStyle w:val="TableTextEntries"/>
              <w:jc w:val="center"/>
            </w:pPr>
            <w:r>
              <w:t>4</w:t>
            </w:r>
          </w:p>
        </w:tc>
        <w:tc>
          <w:tcPr>
            <w:tcW w:w="412" w:type="pct"/>
          </w:tcPr>
          <w:p w:rsidR="00416B02" w:rsidRPr="00FE4491" w:rsidRDefault="004A7988" w:rsidP="00E15678">
            <w:pPr>
              <w:pStyle w:val="TableTextEntries"/>
              <w:jc w:val="center"/>
            </w:pPr>
            <w:r>
              <w:t>n/a</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A94AE7" w:rsidRPr="00FE4491" w:rsidRDefault="00A94AE7" w:rsidP="00A94AE7">
            <w:pPr>
              <w:pStyle w:val="TableTextEntries"/>
            </w:pPr>
            <w:r>
              <w:t>Inclusive Economic Growth</w:t>
            </w:r>
          </w:p>
        </w:tc>
        <w:tc>
          <w:tcPr>
            <w:tcW w:w="657" w:type="pct"/>
            <w:vMerge w:val="restart"/>
          </w:tcPr>
          <w:p w:rsidR="00A94AE7" w:rsidRPr="00E074C5" w:rsidRDefault="00A94AE7" w:rsidP="00A94AE7">
            <w:pPr>
              <w:pStyle w:val="TableTextEntries"/>
            </w:pPr>
            <w:r w:rsidRPr="00E074C5">
              <w:t>10,311,500</w:t>
            </w:r>
          </w:p>
          <w:p w:rsidR="00A94AE7" w:rsidRPr="00E074C5" w:rsidRDefault="00A94AE7" w:rsidP="00A94AE7">
            <w:pPr>
              <w:pStyle w:val="TableTextEntries"/>
            </w:pPr>
            <w:r w:rsidRPr="00E074C5">
              <w:t>2012-17</w:t>
            </w:r>
          </w:p>
        </w:tc>
        <w:tc>
          <w:tcPr>
            <w:tcW w:w="415" w:type="pct"/>
          </w:tcPr>
          <w:p w:rsidR="00A94AE7" w:rsidRPr="00FE4491" w:rsidRDefault="00A94AE7" w:rsidP="00A94AE7">
            <w:pPr>
              <w:pStyle w:val="TableTextEntries"/>
            </w:pPr>
            <w:r>
              <w:t>2014 AQC</w:t>
            </w:r>
          </w:p>
        </w:tc>
        <w:tc>
          <w:tcPr>
            <w:tcW w:w="418" w:type="pct"/>
            <w:shd w:val="clear" w:color="auto" w:fill="92D050"/>
            <w:noWrap/>
          </w:tcPr>
          <w:p w:rsidR="00A94AE7" w:rsidRPr="00FE4491" w:rsidRDefault="00A94AE7" w:rsidP="00A94AE7">
            <w:pPr>
              <w:pStyle w:val="TableTextEntries"/>
              <w:jc w:val="center"/>
            </w:pPr>
            <w:r>
              <w:t>5</w:t>
            </w:r>
          </w:p>
        </w:tc>
        <w:tc>
          <w:tcPr>
            <w:tcW w:w="415" w:type="pct"/>
            <w:shd w:val="clear" w:color="auto" w:fill="92D050"/>
            <w:noWrap/>
          </w:tcPr>
          <w:p w:rsidR="00A94AE7" w:rsidRPr="00FE4491" w:rsidRDefault="00A94AE7" w:rsidP="00A94AE7">
            <w:pPr>
              <w:pStyle w:val="TableTextEntries"/>
              <w:jc w:val="center"/>
            </w:pPr>
            <w:r>
              <w:t>5</w:t>
            </w:r>
          </w:p>
        </w:tc>
        <w:tc>
          <w:tcPr>
            <w:tcW w:w="418" w:type="pct"/>
            <w:shd w:val="clear" w:color="auto" w:fill="FFFF00"/>
            <w:noWrap/>
          </w:tcPr>
          <w:p w:rsidR="00A94AE7" w:rsidRPr="00FE4491" w:rsidRDefault="00A94AE7" w:rsidP="00A94AE7">
            <w:pPr>
              <w:pStyle w:val="TableTextEntries"/>
              <w:jc w:val="center"/>
            </w:pPr>
            <w:r>
              <w:t>4</w:t>
            </w:r>
          </w:p>
        </w:tc>
        <w:tc>
          <w:tcPr>
            <w:tcW w:w="415" w:type="pct"/>
            <w:shd w:val="clear" w:color="auto" w:fill="92D050"/>
            <w:noWrap/>
          </w:tcPr>
          <w:p w:rsidR="00A94AE7" w:rsidRPr="00FE4491" w:rsidRDefault="00A94AE7" w:rsidP="00A94AE7">
            <w:pPr>
              <w:pStyle w:val="TableTextEntries"/>
              <w:jc w:val="center"/>
            </w:pPr>
            <w:r>
              <w:t>6</w:t>
            </w:r>
          </w:p>
        </w:tc>
        <w:tc>
          <w:tcPr>
            <w:tcW w:w="418" w:type="pct"/>
            <w:shd w:val="clear" w:color="auto" w:fill="92D050"/>
            <w:noWrap/>
          </w:tcPr>
          <w:p w:rsidR="00A94AE7" w:rsidRPr="00FE4491" w:rsidRDefault="00A94AE7" w:rsidP="00A94AE7">
            <w:pPr>
              <w:pStyle w:val="TableTextEntries"/>
              <w:jc w:val="center"/>
            </w:pPr>
            <w:r>
              <w:t>5</w:t>
            </w:r>
          </w:p>
        </w:tc>
        <w:tc>
          <w:tcPr>
            <w:tcW w:w="415" w:type="pct"/>
            <w:shd w:val="clear" w:color="auto" w:fill="92D050"/>
            <w:noWrap/>
          </w:tcPr>
          <w:p w:rsidR="00A94AE7" w:rsidRPr="00FE4491" w:rsidRDefault="00A94AE7" w:rsidP="00A94AE7">
            <w:pPr>
              <w:pStyle w:val="TableTextEntries"/>
              <w:jc w:val="center"/>
            </w:pPr>
            <w:r>
              <w:t>5</w:t>
            </w:r>
          </w:p>
        </w:tc>
        <w:tc>
          <w:tcPr>
            <w:tcW w:w="412" w:type="pct"/>
            <w:shd w:val="clear" w:color="auto" w:fill="92D050"/>
          </w:tcPr>
          <w:p w:rsidR="00A94AE7" w:rsidRDefault="00A94AE7" w:rsidP="00A94AE7">
            <w:pPr>
              <w:pStyle w:val="TableTextEntries"/>
              <w:jc w:val="center"/>
            </w:pPr>
            <w:r>
              <w:t>5</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A94AE7" w:rsidRPr="00FE4491" w:rsidRDefault="00A94AE7" w:rsidP="00A94AE7">
            <w:pPr>
              <w:pStyle w:val="TableTextEntries"/>
            </w:pPr>
          </w:p>
        </w:tc>
        <w:tc>
          <w:tcPr>
            <w:tcW w:w="657" w:type="pct"/>
            <w:vMerge/>
          </w:tcPr>
          <w:p w:rsidR="00A94AE7" w:rsidRPr="00E074C5" w:rsidRDefault="00A94AE7" w:rsidP="00A94AE7">
            <w:pPr>
              <w:pStyle w:val="TableTextEntries"/>
            </w:pPr>
          </w:p>
        </w:tc>
        <w:tc>
          <w:tcPr>
            <w:tcW w:w="415" w:type="pct"/>
          </w:tcPr>
          <w:p w:rsidR="00A94AE7" w:rsidRPr="00FE4491" w:rsidRDefault="00A94AE7" w:rsidP="00A94AE7">
            <w:pPr>
              <w:pStyle w:val="TableTextEntries"/>
            </w:pPr>
            <w:r>
              <w:t>2013 QAI</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FFFF00"/>
            <w:noWrap/>
          </w:tcPr>
          <w:p w:rsidR="00A94AE7" w:rsidRPr="00FE4491" w:rsidRDefault="00C939E3" w:rsidP="00A94AE7">
            <w:pPr>
              <w:pStyle w:val="TableTextEntries"/>
              <w:jc w:val="center"/>
            </w:pPr>
            <w:r>
              <w:t>4</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92D050"/>
            <w:noWrap/>
          </w:tcPr>
          <w:p w:rsidR="00A94AE7" w:rsidRPr="00FE4491" w:rsidRDefault="00C939E3" w:rsidP="00A94AE7">
            <w:pPr>
              <w:pStyle w:val="TableTextEntries"/>
              <w:jc w:val="center"/>
            </w:pPr>
            <w:r>
              <w:t>5</w:t>
            </w:r>
          </w:p>
        </w:tc>
        <w:tc>
          <w:tcPr>
            <w:tcW w:w="418" w:type="pct"/>
            <w:shd w:val="clear" w:color="auto" w:fill="92D050"/>
            <w:noWrap/>
          </w:tcPr>
          <w:p w:rsidR="00A94AE7" w:rsidRPr="00FE4491" w:rsidRDefault="00C939E3" w:rsidP="00A94AE7">
            <w:pPr>
              <w:pStyle w:val="TableTextEntries"/>
              <w:jc w:val="center"/>
            </w:pPr>
            <w:r>
              <w:t>6</w:t>
            </w:r>
          </w:p>
        </w:tc>
        <w:tc>
          <w:tcPr>
            <w:tcW w:w="415" w:type="pct"/>
            <w:shd w:val="clear" w:color="auto" w:fill="FFFF00"/>
            <w:noWrap/>
          </w:tcPr>
          <w:p w:rsidR="00A94AE7" w:rsidRPr="00FE4491" w:rsidRDefault="00C939E3" w:rsidP="00A94AE7">
            <w:pPr>
              <w:pStyle w:val="TableTextEntries"/>
              <w:jc w:val="center"/>
            </w:pPr>
            <w:r>
              <w:t>4</w:t>
            </w:r>
          </w:p>
        </w:tc>
        <w:tc>
          <w:tcPr>
            <w:tcW w:w="412" w:type="pct"/>
            <w:shd w:val="clear" w:color="auto" w:fill="FFFFFF" w:themeFill="background1"/>
          </w:tcPr>
          <w:p w:rsidR="00A94AE7" w:rsidRPr="00FE4491" w:rsidRDefault="00C939E3" w:rsidP="00A94AE7">
            <w:pPr>
              <w:pStyle w:val="TableTextEntries"/>
              <w:jc w:val="center"/>
            </w:pPr>
            <w:r>
              <w:t>n/a</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A94AE7" w:rsidRPr="00FE4491" w:rsidRDefault="00A94AE7" w:rsidP="00A94AE7">
            <w:pPr>
              <w:pStyle w:val="TableTextEntries"/>
            </w:pPr>
            <w:r>
              <w:t>Fiji Health Sector Support Program</w:t>
            </w:r>
          </w:p>
        </w:tc>
        <w:tc>
          <w:tcPr>
            <w:tcW w:w="657" w:type="pct"/>
            <w:vMerge w:val="restart"/>
          </w:tcPr>
          <w:p w:rsidR="00A94AE7" w:rsidRPr="00E074C5" w:rsidRDefault="00A94AE7" w:rsidP="00A94AE7">
            <w:pPr>
              <w:pStyle w:val="TableTextEntries"/>
            </w:pPr>
            <w:r w:rsidRPr="00E074C5">
              <w:t>33,732,191.84</w:t>
            </w:r>
          </w:p>
          <w:p w:rsidR="00A94AE7" w:rsidRPr="00E074C5" w:rsidRDefault="00A94AE7" w:rsidP="00A94AE7">
            <w:pPr>
              <w:pStyle w:val="TableTextEntries"/>
            </w:pPr>
            <w:r w:rsidRPr="00E074C5">
              <w:t>2011-16</w:t>
            </w:r>
          </w:p>
        </w:tc>
        <w:tc>
          <w:tcPr>
            <w:tcW w:w="415" w:type="pct"/>
          </w:tcPr>
          <w:p w:rsidR="00A94AE7" w:rsidRPr="00FE4491" w:rsidRDefault="00A94AE7" w:rsidP="00A94AE7">
            <w:pPr>
              <w:pStyle w:val="TableTextEntries"/>
            </w:pPr>
            <w:r>
              <w:t>2014 AQC</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92D050"/>
            <w:noWrap/>
          </w:tcPr>
          <w:p w:rsidR="00A94AE7" w:rsidRPr="00FE4491" w:rsidRDefault="00C939E3" w:rsidP="00A94AE7">
            <w:pPr>
              <w:pStyle w:val="TableTextEntries"/>
              <w:jc w:val="center"/>
            </w:pPr>
            <w:r>
              <w:t>5</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92D050"/>
            <w:noWrap/>
          </w:tcPr>
          <w:p w:rsidR="00A94AE7" w:rsidRPr="00FE4491" w:rsidRDefault="00C939E3" w:rsidP="00A94AE7">
            <w:pPr>
              <w:pStyle w:val="TableTextEntries"/>
              <w:jc w:val="center"/>
            </w:pPr>
            <w:r>
              <w:t>6</w:t>
            </w:r>
          </w:p>
        </w:tc>
        <w:tc>
          <w:tcPr>
            <w:tcW w:w="418" w:type="pct"/>
            <w:shd w:val="clear" w:color="auto" w:fill="92D050"/>
            <w:noWrap/>
          </w:tcPr>
          <w:p w:rsidR="00A94AE7" w:rsidRPr="00FE4491" w:rsidRDefault="00C939E3" w:rsidP="00A94AE7">
            <w:pPr>
              <w:pStyle w:val="TableTextEntries"/>
              <w:jc w:val="center"/>
            </w:pPr>
            <w:r>
              <w:t>6</w:t>
            </w:r>
          </w:p>
        </w:tc>
        <w:tc>
          <w:tcPr>
            <w:tcW w:w="415" w:type="pct"/>
            <w:shd w:val="clear" w:color="auto" w:fill="FFFF00"/>
            <w:noWrap/>
          </w:tcPr>
          <w:p w:rsidR="00A94AE7" w:rsidRPr="00FE4491" w:rsidRDefault="00C939E3" w:rsidP="00A94AE7">
            <w:pPr>
              <w:pStyle w:val="TableTextEntries"/>
              <w:jc w:val="center"/>
            </w:pPr>
            <w:r>
              <w:t>4</w:t>
            </w:r>
          </w:p>
        </w:tc>
        <w:tc>
          <w:tcPr>
            <w:tcW w:w="412" w:type="pct"/>
            <w:shd w:val="clear" w:color="auto" w:fill="92D050"/>
          </w:tcPr>
          <w:p w:rsidR="00A94AE7" w:rsidRPr="00FE4491" w:rsidRDefault="00C939E3" w:rsidP="00A94AE7">
            <w:pPr>
              <w:pStyle w:val="TableTextEntries"/>
              <w:jc w:val="center"/>
            </w:pPr>
            <w:r>
              <w:t>6</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A94AE7" w:rsidRPr="00FE4491" w:rsidRDefault="00A94AE7" w:rsidP="00A94AE7">
            <w:pPr>
              <w:pStyle w:val="TableTextEntries"/>
            </w:pPr>
          </w:p>
        </w:tc>
        <w:tc>
          <w:tcPr>
            <w:tcW w:w="657" w:type="pct"/>
            <w:vMerge/>
          </w:tcPr>
          <w:p w:rsidR="00A94AE7" w:rsidRPr="00E074C5" w:rsidRDefault="00A94AE7" w:rsidP="00A94AE7">
            <w:pPr>
              <w:pStyle w:val="TableTextEntries"/>
            </w:pPr>
          </w:p>
        </w:tc>
        <w:tc>
          <w:tcPr>
            <w:tcW w:w="415" w:type="pct"/>
          </w:tcPr>
          <w:p w:rsidR="00A94AE7" w:rsidRPr="00FE4491" w:rsidRDefault="00A94AE7" w:rsidP="00A94AE7">
            <w:pPr>
              <w:pStyle w:val="TableTextEntries"/>
            </w:pPr>
            <w:r>
              <w:t>2013 QAI</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FFFF00"/>
            <w:noWrap/>
          </w:tcPr>
          <w:p w:rsidR="00A94AE7" w:rsidRPr="00FE4491" w:rsidRDefault="00C939E3" w:rsidP="00A94AE7">
            <w:pPr>
              <w:pStyle w:val="TableTextEntries"/>
              <w:jc w:val="center"/>
            </w:pPr>
            <w:r>
              <w:t>4</w:t>
            </w:r>
          </w:p>
        </w:tc>
        <w:tc>
          <w:tcPr>
            <w:tcW w:w="418" w:type="pct"/>
            <w:shd w:val="clear" w:color="auto" w:fill="FFFF00"/>
            <w:noWrap/>
          </w:tcPr>
          <w:p w:rsidR="00A94AE7" w:rsidRPr="00FE4491" w:rsidRDefault="00C939E3" w:rsidP="00A94AE7">
            <w:pPr>
              <w:pStyle w:val="TableTextEntries"/>
              <w:jc w:val="center"/>
            </w:pPr>
            <w:r>
              <w:t>4</w:t>
            </w:r>
          </w:p>
        </w:tc>
        <w:tc>
          <w:tcPr>
            <w:tcW w:w="415" w:type="pct"/>
            <w:shd w:val="clear" w:color="auto" w:fill="E36C0A" w:themeFill="accent6" w:themeFillShade="BF"/>
            <w:noWrap/>
          </w:tcPr>
          <w:p w:rsidR="00A94AE7" w:rsidRPr="00FE4491" w:rsidRDefault="00C939E3" w:rsidP="00A94AE7">
            <w:pPr>
              <w:pStyle w:val="TableTextEntries"/>
              <w:jc w:val="center"/>
            </w:pPr>
            <w:r>
              <w:t>3</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FFFF00"/>
            <w:noWrap/>
          </w:tcPr>
          <w:p w:rsidR="00A94AE7" w:rsidRPr="00FE4491" w:rsidRDefault="00C939E3" w:rsidP="00A94AE7">
            <w:pPr>
              <w:pStyle w:val="TableTextEntries"/>
              <w:jc w:val="center"/>
            </w:pPr>
            <w:r>
              <w:t>4</w:t>
            </w:r>
          </w:p>
        </w:tc>
        <w:tc>
          <w:tcPr>
            <w:tcW w:w="412" w:type="pct"/>
            <w:shd w:val="clear" w:color="auto" w:fill="FFFFFF" w:themeFill="background1"/>
          </w:tcPr>
          <w:p w:rsidR="00A94AE7" w:rsidRPr="00FE4491" w:rsidRDefault="00C939E3" w:rsidP="00A94AE7">
            <w:pPr>
              <w:pStyle w:val="TableTextEntries"/>
              <w:jc w:val="center"/>
            </w:pPr>
            <w:r>
              <w:t>n/a</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A94AE7" w:rsidRPr="00FE4491" w:rsidRDefault="00C939E3" w:rsidP="00A94AE7">
            <w:pPr>
              <w:pStyle w:val="TableTextEntries"/>
            </w:pPr>
            <w:r>
              <w:t>Governance Program</w:t>
            </w:r>
          </w:p>
        </w:tc>
        <w:tc>
          <w:tcPr>
            <w:tcW w:w="657" w:type="pct"/>
            <w:vMerge w:val="restart"/>
          </w:tcPr>
          <w:p w:rsidR="00A94AE7" w:rsidRPr="00E074C5" w:rsidRDefault="00C939E3" w:rsidP="00A94AE7">
            <w:pPr>
              <w:pStyle w:val="TableTextEntries"/>
            </w:pPr>
            <w:r w:rsidRPr="00E074C5">
              <w:t>4,000,000.00</w:t>
            </w:r>
          </w:p>
          <w:p w:rsidR="00C939E3" w:rsidRPr="00E074C5" w:rsidRDefault="00C939E3" w:rsidP="00A94AE7">
            <w:pPr>
              <w:pStyle w:val="TableTextEntries"/>
            </w:pPr>
            <w:r w:rsidRPr="00E074C5">
              <w:t>2012-15</w:t>
            </w:r>
          </w:p>
        </w:tc>
        <w:tc>
          <w:tcPr>
            <w:tcW w:w="415" w:type="pct"/>
          </w:tcPr>
          <w:p w:rsidR="00A94AE7" w:rsidRPr="00FE4491" w:rsidRDefault="00C939E3" w:rsidP="00A94AE7">
            <w:pPr>
              <w:pStyle w:val="TableTextEntries"/>
            </w:pPr>
            <w:r>
              <w:t>2014 AQC</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92D050"/>
            <w:noWrap/>
          </w:tcPr>
          <w:p w:rsidR="00A94AE7" w:rsidRPr="00FE4491" w:rsidRDefault="00C939E3" w:rsidP="00A94AE7">
            <w:pPr>
              <w:pStyle w:val="TableTextEntries"/>
              <w:jc w:val="center"/>
            </w:pPr>
            <w:r>
              <w:t>5</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92D050"/>
            <w:noWrap/>
          </w:tcPr>
          <w:p w:rsidR="00A94AE7" w:rsidRPr="00FE4491" w:rsidRDefault="00C939E3" w:rsidP="00A94AE7">
            <w:pPr>
              <w:pStyle w:val="TableTextEntries"/>
              <w:jc w:val="center"/>
            </w:pPr>
            <w:r>
              <w:t>5</w:t>
            </w:r>
          </w:p>
        </w:tc>
        <w:tc>
          <w:tcPr>
            <w:tcW w:w="418" w:type="pct"/>
            <w:shd w:val="clear" w:color="auto" w:fill="92D050"/>
            <w:noWrap/>
          </w:tcPr>
          <w:p w:rsidR="00A94AE7" w:rsidRPr="00FE4491" w:rsidRDefault="00C939E3" w:rsidP="00A94AE7">
            <w:pPr>
              <w:pStyle w:val="TableTextEntries"/>
              <w:jc w:val="center"/>
            </w:pPr>
            <w:r>
              <w:t>5</w:t>
            </w:r>
          </w:p>
        </w:tc>
        <w:tc>
          <w:tcPr>
            <w:tcW w:w="415" w:type="pct"/>
            <w:shd w:val="clear" w:color="auto" w:fill="92D050"/>
            <w:noWrap/>
          </w:tcPr>
          <w:p w:rsidR="00A94AE7" w:rsidRPr="00FE4491" w:rsidRDefault="00C939E3" w:rsidP="00A94AE7">
            <w:pPr>
              <w:pStyle w:val="TableTextEntries"/>
              <w:jc w:val="center"/>
            </w:pPr>
            <w:r>
              <w:t>5</w:t>
            </w:r>
          </w:p>
        </w:tc>
        <w:tc>
          <w:tcPr>
            <w:tcW w:w="412" w:type="pct"/>
            <w:shd w:val="clear" w:color="auto" w:fill="92D050"/>
          </w:tcPr>
          <w:p w:rsidR="00A94AE7" w:rsidRPr="00FE4491" w:rsidRDefault="00C939E3" w:rsidP="00A94AE7">
            <w:pPr>
              <w:pStyle w:val="TableTextEntries"/>
              <w:jc w:val="center"/>
            </w:pPr>
            <w:r>
              <w:t>5</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161DB6" w:rsidRPr="00FE4491" w:rsidRDefault="00161DB6" w:rsidP="00A94AE7">
            <w:pPr>
              <w:pStyle w:val="TableTextEntries"/>
            </w:pPr>
          </w:p>
        </w:tc>
        <w:tc>
          <w:tcPr>
            <w:tcW w:w="657" w:type="pct"/>
            <w:vMerge/>
          </w:tcPr>
          <w:p w:rsidR="00161DB6" w:rsidRPr="00E074C5" w:rsidRDefault="00161DB6" w:rsidP="00A94AE7">
            <w:pPr>
              <w:pStyle w:val="TableTextEntries"/>
            </w:pPr>
          </w:p>
        </w:tc>
        <w:tc>
          <w:tcPr>
            <w:tcW w:w="415" w:type="pct"/>
          </w:tcPr>
          <w:p w:rsidR="00161DB6" w:rsidRPr="00FE4491" w:rsidRDefault="00161DB6" w:rsidP="00A94AE7">
            <w:pPr>
              <w:pStyle w:val="TableTextEntries"/>
            </w:pPr>
            <w:r>
              <w:t>2013 QAI</w:t>
            </w:r>
          </w:p>
        </w:tc>
        <w:tc>
          <w:tcPr>
            <w:tcW w:w="418" w:type="pct"/>
            <w:noWrap/>
          </w:tcPr>
          <w:p w:rsidR="00161DB6" w:rsidRDefault="00161DB6" w:rsidP="00161DB6">
            <w:pPr>
              <w:pStyle w:val="TableTextEntries"/>
              <w:jc w:val="center"/>
            </w:pPr>
            <w:r w:rsidRPr="00D52C00">
              <w:t>n/a</w:t>
            </w:r>
          </w:p>
        </w:tc>
        <w:tc>
          <w:tcPr>
            <w:tcW w:w="415" w:type="pct"/>
            <w:noWrap/>
          </w:tcPr>
          <w:p w:rsidR="00161DB6" w:rsidRDefault="00161DB6" w:rsidP="00161DB6">
            <w:pPr>
              <w:pStyle w:val="TableTextEntries"/>
              <w:jc w:val="center"/>
            </w:pPr>
            <w:r w:rsidRPr="00D52C00">
              <w:t>n/a</w:t>
            </w:r>
          </w:p>
        </w:tc>
        <w:tc>
          <w:tcPr>
            <w:tcW w:w="418" w:type="pct"/>
            <w:noWrap/>
          </w:tcPr>
          <w:p w:rsidR="00161DB6" w:rsidRDefault="00161DB6" w:rsidP="00161DB6">
            <w:pPr>
              <w:pStyle w:val="TableTextEntries"/>
              <w:jc w:val="center"/>
            </w:pPr>
            <w:r w:rsidRPr="00D52C00">
              <w:t>n/a</w:t>
            </w:r>
          </w:p>
        </w:tc>
        <w:tc>
          <w:tcPr>
            <w:tcW w:w="415" w:type="pct"/>
            <w:noWrap/>
          </w:tcPr>
          <w:p w:rsidR="00161DB6" w:rsidRDefault="00161DB6" w:rsidP="00161DB6">
            <w:pPr>
              <w:pStyle w:val="TableTextEntries"/>
              <w:jc w:val="center"/>
            </w:pPr>
            <w:r w:rsidRPr="00D52C00">
              <w:t>n/a</w:t>
            </w:r>
          </w:p>
        </w:tc>
        <w:tc>
          <w:tcPr>
            <w:tcW w:w="418" w:type="pct"/>
            <w:noWrap/>
          </w:tcPr>
          <w:p w:rsidR="00161DB6" w:rsidRDefault="00161DB6" w:rsidP="00161DB6">
            <w:pPr>
              <w:pStyle w:val="TableTextEntries"/>
              <w:jc w:val="center"/>
            </w:pPr>
            <w:r w:rsidRPr="00D52C00">
              <w:t>n/a</w:t>
            </w:r>
          </w:p>
        </w:tc>
        <w:tc>
          <w:tcPr>
            <w:tcW w:w="415" w:type="pct"/>
            <w:noWrap/>
          </w:tcPr>
          <w:p w:rsidR="00161DB6" w:rsidRDefault="00161DB6" w:rsidP="00161DB6">
            <w:pPr>
              <w:pStyle w:val="TableTextEntries"/>
              <w:jc w:val="center"/>
            </w:pPr>
            <w:r w:rsidRPr="00D52C00">
              <w:t>n/a</w:t>
            </w:r>
          </w:p>
        </w:tc>
        <w:tc>
          <w:tcPr>
            <w:tcW w:w="412" w:type="pct"/>
          </w:tcPr>
          <w:p w:rsidR="00161DB6" w:rsidRPr="00FE4491" w:rsidRDefault="00161DB6" w:rsidP="00161DB6">
            <w:pPr>
              <w:pStyle w:val="TableTextEntries"/>
              <w:jc w:val="center"/>
            </w:pPr>
            <w:r>
              <w:t>n/a</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val="restart"/>
          </w:tcPr>
          <w:p w:rsidR="00C939E3" w:rsidRPr="00FE4491" w:rsidRDefault="00C939E3" w:rsidP="00C939E3">
            <w:pPr>
              <w:pStyle w:val="TableTextEntries"/>
            </w:pPr>
            <w:r>
              <w:t>Scholarships</w:t>
            </w:r>
          </w:p>
        </w:tc>
        <w:tc>
          <w:tcPr>
            <w:tcW w:w="657" w:type="pct"/>
            <w:vMerge w:val="restart"/>
          </w:tcPr>
          <w:p w:rsidR="00C939E3" w:rsidRPr="00E074C5" w:rsidRDefault="00C939E3" w:rsidP="00C939E3">
            <w:pPr>
              <w:pStyle w:val="TableTextEntries"/>
            </w:pPr>
            <w:r w:rsidRPr="00E074C5">
              <w:t>23,815,565.52</w:t>
            </w:r>
          </w:p>
          <w:p w:rsidR="00C939E3" w:rsidRPr="00E074C5" w:rsidRDefault="00C939E3" w:rsidP="00C939E3">
            <w:pPr>
              <w:pStyle w:val="TableTextEntries"/>
            </w:pPr>
            <w:r w:rsidRPr="00E074C5">
              <w:t>2010-21</w:t>
            </w:r>
          </w:p>
        </w:tc>
        <w:tc>
          <w:tcPr>
            <w:tcW w:w="415" w:type="pct"/>
          </w:tcPr>
          <w:p w:rsidR="00C939E3" w:rsidRPr="00FE4491" w:rsidRDefault="00C939E3" w:rsidP="00C939E3">
            <w:pPr>
              <w:pStyle w:val="TableTextEntries"/>
            </w:pPr>
            <w:r>
              <w:t>2014 AQC</w:t>
            </w:r>
          </w:p>
        </w:tc>
        <w:tc>
          <w:tcPr>
            <w:tcW w:w="418" w:type="pct"/>
            <w:shd w:val="clear" w:color="auto" w:fill="92D050"/>
            <w:noWrap/>
          </w:tcPr>
          <w:p w:rsidR="00C939E3" w:rsidRPr="00FE4491" w:rsidRDefault="00C939E3" w:rsidP="00C939E3">
            <w:pPr>
              <w:pStyle w:val="TableTextEntries"/>
              <w:jc w:val="center"/>
            </w:pPr>
            <w:r>
              <w:t>5</w:t>
            </w:r>
          </w:p>
        </w:tc>
        <w:tc>
          <w:tcPr>
            <w:tcW w:w="415" w:type="pct"/>
            <w:shd w:val="clear" w:color="auto" w:fill="92D050"/>
            <w:noWrap/>
          </w:tcPr>
          <w:p w:rsidR="00C939E3" w:rsidRPr="00FE4491" w:rsidRDefault="00C939E3" w:rsidP="00C939E3">
            <w:pPr>
              <w:pStyle w:val="TableTextEntries"/>
              <w:jc w:val="center"/>
            </w:pPr>
            <w:r>
              <w:t>5</w:t>
            </w:r>
          </w:p>
        </w:tc>
        <w:tc>
          <w:tcPr>
            <w:tcW w:w="418" w:type="pct"/>
            <w:shd w:val="clear" w:color="auto" w:fill="E36C0A" w:themeFill="accent6" w:themeFillShade="BF"/>
            <w:noWrap/>
          </w:tcPr>
          <w:p w:rsidR="00C939E3" w:rsidRPr="00FE4491" w:rsidRDefault="00C939E3" w:rsidP="00C939E3">
            <w:pPr>
              <w:pStyle w:val="TableTextEntries"/>
              <w:jc w:val="center"/>
            </w:pPr>
            <w:r>
              <w:t>3</w:t>
            </w:r>
          </w:p>
        </w:tc>
        <w:tc>
          <w:tcPr>
            <w:tcW w:w="415" w:type="pct"/>
            <w:shd w:val="clear" w:color="auto" w:fill="E36C0A" w:themeFill="accent6" w:themeFillShade="BF"/>
            <w:noWrap/>
          </w:tcPr>
          <w:p w:rsidR="00C939E3" w:rsidRPr="00FE4491" w:rsidRDefault="00C939E3" w:rsidP="00C939E3">
            <w:pPr>
              <w:pStyle w:val="TableTextEntries"/>
              <w:jc w:val="center"/>
            </w:pPr>
            <w:r>
              <w:t>3</w:t>
            </w:r>
          </w:p>
        </w:tc>
        <w:tc>
          <w:tcPr>
            <w:tcW w:w="418" w:type="pct"/>
            <w:shd w:val="clear" w:color="auto" w:fill="92D050"/>
            <w:noWrap/>
          </w:tcPr>
          <w:p w:rsidR="00C939E3" w:rsidRPr="00FE4491" w:rsidRDefault="00C939E3" w:rsidP="00C939E3">
            <w:pPr>
              <w:pStyle w:val="TableTextEntries"/>
              <w:jc w:val="center"/>
            </w:pPr>
            <w:r>
              <w:t>5</w:t>
            </w:r>
          </w:p>
        </w:tc>
        <w:tc>
          <w:tcPr>
            <w:tcW w:w="415" w:type="pct"/>
            <w:shd w:val="clear" w:color="auto" w:fill="92D050"/>
            <w:noWrap/>
          </w:tcPr>
          <w:p w:rsidR="00C939E3" w:rsidRPr="00FE4491" w:rsidRDefault="00C939E3" w:rsidP="00C939E3">
            <w:pPr>
              <w:pStyle w:val="TableTextEntries"/>
              <w:jc w:val="center"/>
            </w:pPr>
            <w:r>
              <w:t>5</w:t>
            </w:r>
          </w:p>
        </w:tc>
        <w:tc>
          <w:tcPr>
            <w:tcW w:w="412" w:type="pct"/>
            <w:shd w:val="clear" w:color="auto" w:fill="92D050"/>
          </w:tcPr>
          <w:p w:rsidR="00C939E3" w:rsidRPr="00FE4491" w:rsidRDefault="00C939E3" w:rsidP="00C939E3">
            <w:pPr>
              <w:pStyle w:val="TableTextEntries"/>
              <w:jc w:val="center"/>
            </w:pPr>
            <w:r>
              <w:t>5</w:t>
            </w:r>
          </w:p>
        </w:tc>
      </w:tr>
      <w:tr w:rsidR="00E02E54" w:rsidRPr="009D53C4" w:rsidTr="004D1194">
        <w:trPr>
          <w:cnfStyle w:val="000000010000" w:firstRow="0" w:lastRow="0" w:firstColumn="0" w:lastColumn="0" w:oddVBand="0" w:evenVBand="0" w:oddHBand="0" w:evenHBand="1" w:firstRowFirstColumn="0" w:firstRowLastColumn="0" w:lastRowFirstColumn="0" w:lastRowLastColumn="0"/>
          <w:trHeight w:val="284"/>
        </w:trPr>
        <w:tc>
          <w:tcPr>
            <w:tcW w:w="906" w:type="pct"/>
            <w:vMerge/>
          </w:tcPr>
          <w:p w:rsidR="00C939E3" w:rsidRPr="00FE4491" w:rsidRDefault="00C939E3" w:rsidP="00C939E3">
            <w:pPr>
              <w:pStyle w:val="TableTextEntries"/>
            </w:pPr>
          </w:p>
        </w:tc>
        <w:tc>
          <w:tcPr>
            <w:tcW w:w="657" w:type="pct"/>
            <w:vMerge/>
          </w:tcPr>
          <w:p w:rsidR="00C939E3" w:rsidRPr="00FE4491" w:rsidRDefault="00C939E3" w:rsidP="00C939E3">
            <w:pPr>
              <w:pStyle w:val="TableTextEntries"/>
            </w:pPr>
          </w:p>
        </w:tc>
        <w:tc>
          <w:tcPr>
            <w:tcW w:w="415" w:type="pct"/>
          </w:tcPr>
          <w:p w:rsidR="00C939E3" w:rsidRPr="00FE4491" w:rsidRDefault="00C939E3" w:rsidP="00C939E3">
            <w:pPr>
              <w:pStyle w:val="TableTextEntries"/>
            </w:pPr>
            <w:r>
              <w:t>2013 QAI</w:t>
            </w:r>
          </w:p>
        </w:tc>
        <w:tc>
          <w:tcPr>
            <w:tcW w:w="418" w:type="pct"/>
            <w:shd w:val="clear" w:color="auto" w:fill="92D050"/>
            <w:noWrap/>
          </w:tcPr>
          <w:p w:rsidR="00C939E3" w:rsidRPr="00FE4491" w:rsidRDefault="00C939E3" w:rsidP="00C939E3">
            <w:pPr>
              <w:pStyle w:val="TableTextEntries"/>
              <w:jc w:val="center"/>
            </w:pPr>
            <w:r>
              <w:t>5</w:t>
            </w:r>
          </w:p>
        </w:tc>
        <w:tc>
          <w:tcPr>
            <w:tcW w:w="415" w:type="pct"/>
            <w:shd w:val="clear" w:color="auto" w:fill="FFFF00"/>
            <w:noWrap/>
          </w:tcPr>
          <w:p w:rsidR="00C939E3" w:rsidRPr="00FE4491" w:rsidRDefault="00C939E3" w:rsidP="00C939E3">
            <w:pPr>
              <w:pStyle w:val="TableTextEntries"/>
              <w:jc w:val="center"/>
            </w:pPr>
            <w:r>
              <w:t>4</w:t>
            </w:r>
          </w:p>
        </w:tc>
        <w:tc>
          <w:tcPr>
            <w:tcW w:w="418" w:type="pct"/>
            <w:shd w:val="clear" w:color="auto" w:fill="92D050"/>
            <w:noWrap/>
          </w:tcPr>
          <w:p w:rsidR="00C939E3" w:rsidRPr="00FE4491" w:rsidRDefault="00C939E3" w:rsidP="00C939E3">
            <w:pPr>
              <w:pStyle w:val="TableTextEntries"/>
              <w:jc w:val="center"/>
            </w:pPr>
            <w:r>
              <w:t>5</w:t>
            </w:r>
          </w:p>
        </w:tc>
        <w:tc>
          <w:tcPr>
            <w:tcW w:w="415" w:type="pct"/>
            <w:shd w:val="clear" w:color="auto" w:fill="92D050"/>
            <w:noWrap/>
          </w:tcPr>
          <w:p w:rsidR="00C939E3" w:rsidRPr="00FE4491" w:rsidRDefault="00C939E3" w:rsidP="00C939E3">
            <w:pPr>
              <w:pStyle w:val="TableTextEntries"/>
              <w:jc w:val="center"/>
            </w:pPr>
            <w:r>
              <w:t>5</w:t>
            </w:r>
          </w:p>
        </w:tc>
        <w:tc>
          <w:tcPr>
            <w:tcW w:w="418" w:type="pct"/>
            <w:shd w:val="clear" w:color="auto" w:fill="92D050"/>
            <w:noWrap/>
          </w:tcPr>
          <w:p w:rsidR="00C939E3" w:rsidRPr="00FE4491" w:rsidRDefault="00C939E3" w:rsidP="00C939E3">
            <w:pPr>
              <w:pStyle w:val="TableTextEntries"/>
              <w:jc w:val="center"/>
            </w:pPr>
            <w:r>
              <w:t>5</w:t>
            </w:r>
          </w:p>
        </w:tc>
        <w:tc>
          <w:tcPr>
            <w:tcW w:w="415" w:type="pct"/>
            <w:shd w:val="clear" w:color="auto" w:fill="92D050"/>
            <w:noWrap/>
          </w:tcPr>
          <w:p w:rsidR="00C939E3" w:rsidRPr="00FE4491" w:rsidRDefault="00C939E3" w:rsidP="00C939E3">
            <w:pPr>
              <w:pStyle w:val="TableTextEntries"/>
              <w:jc w:val="center"/>
            </w:pPr>
            <w:r>
              <w:t>5</w:t>
            </w:r>
          </w:p>
        </w:tc>
        <w:tc>
          <w:tcPr>
            <w:tcW w:w="412" w:type="pct"/>
            <w:shd w:val="clear" w:color="auto" w:fill="FFFFFF" w:themeFill="background1"/>
          </w:tcPr>
          <w:p w:rsidR="00C939E3" w:rsidRPr="00FE4491" w:rsidRDefault="00C939E3" w:rsidP="00C939E3">
            <w:pPr>
              <w:pStyle w:val="TableTextEntries"/>
              <w:jc w:val="center"/>
            </w:pPr>
            <w:r>
              <w:t>n/a</w:t>
            </w:r>
          </w:p>
        </w:tc>
      </w:tr>
      <w:tr w:rsidR="00127C8B" w:rsidRPr="00E02E54" w:rsidTr="004D1194">
        <w:trPr>
          <w:cnfStyle w:val="000000010000" w:firstRow="0" w:lastRow="0" w:firstColumn="0" w:lastColumn="0" w:oddVBand="0" w:evenVBand="0" w:oddHBand="0" w:evenHBand="1" w:firstRowFirstColumn="0" w:firstRowLastColumn="0" w:lastRowFirstColumn="0" w:lastRowLastColumn="0"/>
          <w:trHeight w:val="262"/>
        </w:trPr>
        <w:tc>
          <w:tcPr>
            <w:tcW w:w="906" w:type="pct"/>
            <w:vMerge w:val="restart"/>
          </w:tcPr>
          <w:p w:rsidR="00E02E54" w:rsidRPr="00FE4491" w:rsidRDefault="00E02E54" w:rsidP="00C939E3">
            <w:pPr>
              <w:pStyle w:val="TableTextEntries"/>
            </w:pPr>
            <w:r>
              <w:t>Pacific Women in Fiji</w:t>
            </w:r>
          </w:p>
        </w:tc>
        <w:tc>
          <w:tcPr>
            <w:tcW w:w="657" w:type="pct"/>
            <w:vMerge w:val="restart"/>
          </w:tcPr>
          <w:p w:rsidR="00E02E54" w:rsidRPr="00E074C5" w:rsidRDefault="00E02E54" w:rsidP="00845875">
            <w:pPr>
              <w:pStyle w:val="TableTextEntries"/>
            </w:pPr>
            <w:r w:rsidRPr="00845875">
              <w:t>$6,270,000.00</w:t>
            </w:r>
          </w:p>
          <w:p w:rsidR="00E02E54" w:rsidRPr="00845875" w:rsidRDefault="00E02E54" w:rsidP="007A4651">
            <w:pPr>
              <w:pStyle w:val="TableTextEntries"/>
            </w:pPr>
            <w:r w:rsidRPr="00E074C5">
              <w:t>2014-17</w:t>
            </w:r>
          </w:p>
        </w:tc>
        <w:tc>
          <w:tcPr>
            <w:tcW w:w="415" w:type="pct"/>
          </w:tcPr>
          <w:p w:rsidR="00E02E54" w:rsidRDefault="00E02E54" w:rsidP="00C939E3">
            <w:pPr>
              <w:pStyle w:val="TableTextEntries"/>
            </w:pPr>
            <w:r>
              <w:t>2014 AQC</w:t>
            </w:r>
          </w:p>
        </w:tc>
        <w:tc>
          <w:tcPr>
            <w:tcW w:w="418" w:type="pct"/>
            <w:shd w:val="clear" w:color="auto" w:fill="FFFF00"/>
          </w:tcPr>
          <w:p w:rsidR="00E02E54" w:rsidRDefault="00E02E54" w:rsidP="00845875">
            <w:pPr>
              <w:pStyle w:val="TableTextEntries"/>
              <w:jc w:val="center"/>
            </w:pPr>
            <w:r>
              <w:t>4</w:t>
            </w:r>
          </w:p>
        </w:tc>
        <w:tc>
          <w:tcPr>
            <w:tcW w:w="415" w:type="pct"/>
            <w:shd w:val="clear" w:color="auto" w:fill="E36C0A" w:themeFill="accent6" w:themeFillShade="BF"/>
          </w:tcPr>
          <w:p w:rsidR="00E02E54" w:rsidRDefault="00E02E54" w:rsidP="007A4651">
            <w:pPr>
              <w:pStyle w:val="TableTextEntries"/>
              <w:jc w:val="center"/>
            </w:pPr>
            <w:r>
              <w:t>3</w:t>
            </w:r>
          </w:p>
        </w:tc>
        <w:tc>
          <w:tcPr>
            <w:tcW w:w="418" w:type="pct"/>
            <w:shd w:val="clear" w:color="auto" w:fill="E36C0A" w:themeFill="accent6" w:themeFillShade="BF"/>
          </w:tcPr>
          <w:p w:rsidR="00E02E54" w:rsidRDefault="00E02E54" w:rsidP="008B1372">
            <w:pPr>
              <w:pStyle w:val="TableTextEntries"/>
              <w:jc w:val="center"/>
            </w:pPr>
            <w:r>
              <w:t>3</w:t>
            </w:r>
          </w:p>
        </w:tc>
        <w:tc>
          <w:tcPr>
            <w:tcW w:w="415" w:type="pct"/>
            <w:shd w:val="clear" w:color="auto" w:fill="E36C0A" w:themeFill="accent6" w:themeFillShade="BF"/>
          </w:tcPr>
          <w:p w:rsidR="00E02E54" w:rsidRDefault="00E02E54">
            <w:pPr>
              <w:pStyle w:val="TableTextEntries"/>
              <w:jc w:val="center"/>
            </w:pPr>
            <w:r>
              <w:t>3</w:t>
            </w:r>
          </w:p>
        </w:tc>
        <w:tc>
          <w:tcPr>
            <w:tcW w:w="418" w:type="pct"/>
            <w:shd w:val="clear" w:color="auto" w:fill="FFFF00"/>
          </w:tcPr>
          <w:p w:rsidR="00E02E54" w:rsidRDefault="00E02E54">
            <w:pPr>
              <w:pStyle w:val="TableTextEntries"/>
              <w:jc w:val="center"/>
            </w:pPr>
            <w:r>
              <w:t>4</w:t>
            </w:r>
          </w:p>
        </w:tc>
        <w:tc>
          <w:tcPr>
            <w:tcW w:w="415" w:type="pct"/>
            <w:shd w:val="clear" w:color="auto" w:fill="FFFF00"/>
          </w:tcPr>
          <w:p w:rsidR="00E02E54" w:rsidRDefault="00E02E54">
            <w:pPr>
              <w:pStyle w:val="TableTextEntries"/>
              <w:jc w:val="center"/>
            </w:pPr>
            <w:r>
              <w:t>4</w:t>
            </w:r>
          </w:p>
        </w:tc>
        <w:tc>
          <w:tcPr>
            <w:tcW w:w="412" w:type="pct"/>
            <w:shd w:val="clear" w:color="auto" w:fill="FFFF00"/>
          </w:tcPr>
          <w:p w:rsidR="00E02E54" w:rsidRDefault="00E02E54">
            <w:pPr>
              <w:pStyle w:val="TableTextEntries"/>
              <w:jc w:val="center"/>
            </w:pPr>
            <w:r>
              <w:t>4</w:t>
            </w:r>
          </w:p>
        </w:tc>
      </w:tr>
      <w:tr w:rsidR="004D1194" w:rsidRPr="00E02E54" w:rsidTr="004D1194">
        <w:trPr>
          <w:cnfStyle w:val="000000010000" w:firstRow="0" w:lastRow="0" w:firstColumn="0" w:lastColumn="0" w:oddVBand="0" w:evenVBand="0" w:oddHBand="0" w:evenHBand="1" w:firstRowFirstColumn="0" w:firstRowLastColumn="0" w:lastRowFirstColumn="0" w:lastRowLastColumn="0"/>
          <w:trHeight w:val="335"/>
        </w:trPr>
        <w:tc>
          <w:tcPr>
            <w:tcW w:w="906" w:type="pct"/>
            <w:vMerge/>
          </w:tcPr>
          <w:p w:rsidR="004D1194" w:rsidRDefault="004D1194" w:rsidP="00C939E3">
            <w:pPr>
              <w:pStyle w:val="TableTextEntries"/>
            </w:pPr>
          </w:p>
        </w:tc>
        <w:tc>
          <w:tcPr>
            <w:tcW w:w="657" w:type="pct"/>
            <w:vMerge/>
          </w:tcPr>
          <w:p w:rsidR="004D1194" w:rsidRPr="00E074C5" w:rsidRDefault="004D1194" w:rsidP="00E02E54">
            <w:pPr>
              <w:pStyle w:val="TableTextEntries"/>
            </w:pPr>
          </w:p>
        </w:tc>
        <w:tc>
          <w:tcPr>
            <w:tcW w:w="415" w:type="pct"/>
          </w:tcPr>
          <w:p w:rsidR="004D1194" w:rsidRDefault="004D1194" w:rsidP="00C939E3">
            <w:pPr>
              <w:pStyle w:val="TableTextEntries"/>
            </w:pPr>
            <w:r>
              <w:t>2013 QAI</w:t>
            </w:r>
          </w:p>
        </w:tc>
        <w:tc>
          <w:tcPr>
            <w:tcW w:w="418" w:type="pct"/>
          </w:tcPr>
          <w:p w:rsidR="004D1194" w:rsidRDefault="004D1194" w:rsidP="00FC50FE">
            <w:pPr>
              <w:pStyle w:val="TableTextEntries"/>
              <w:jc w:val="center"/>
            </w:pPr>
            <w:r w:rsidRPr="00D52C00">
              <w:t>n/a</w:t>
            </w:r>
          </w:p>
        </w:tc>
        <w:tc>
          <w:tcPr>
            <w:tcW w:w="415" w:type="pct"/>
          </w:tcPr>
          <w:p w:rsidR="004D1194" w:rsidRDefault="004D1194" w:rsidP="00FC50FE">
            <w:pPr>
              <w:pStyle w:val="TableTextEntries"/>
              <w:jc w:val="center"/>
            </w:pPr>
            <w:r w:rsidRPr="00D52C00">
              <w:t>n/a</w:t>
            </w:r>
          </w:p>
        </w:tc>
        <w:tc>
          <w:tcPr>
            <w:tcW w:w="418" w:type="pct"/>
          </w:tcPr>
          <w:p w:rsidR="004D1194" w:rsidRDefault="004D1194" w:rsidP="00FC50FE">
            <w:pPr>
              <w:pStyle w:val="TableTextEntries"/>
              <w:jc w:val="center"/>
            </w:pPr>
            <w:r w:rsidRPr="00D52C00">
              <w:t>n/a</w:t>
            </w:r>
          </w:p>
        </w:tc>
        <w:tc>
          <w:tcPr>
            <w:tcW w:w="415" w:type="pct"/>
          </w:tcPr>
          <w:p w:rsidR="004D1194" w:rsidRDefault="004D1194" w:rsidP="00FC50FE">
            <w:pPr>
              <w:pStyle w:val="TableTextEntries"/>
              <w:jc w:val="center"/>
            </w:pPr>
            <w:r w:rsidRPr="00D52C00">
              <w:t>n/a</w:t>
            </w:r>
          </w:p>
        </w:tc>
        <w:tc>
          <w:tcPr>
            <w:tcW w:w="418" w:type="pct"/>
          </w:tcPr>
          <w:p w:rsidR="004D1194" w:rsidRDefault="004D1194" w:rsidP="00FC50FE">
            <w:pPr>
              <w:pStyle w:val="TableTextEntries"/>
              <w:jc w:val="center"/>
            </w:pPr>
            <w:r w:rsidRPr="00D52C00">
              <w:t>n/a</w:t>
            </w:r>
          </w:p>
        </w:tc>
        <w:tc>
          <w:tcPr>
            <w:tcW w:w="415" w:type="pct"/>
          </w:tcPr>
          <w:p w:rsidR="004D1194" w:rsidRDefault="004D1194" w:rsidP="00FC50FE">
            <w:pPr>
              <w:pStyle w:val="TableTextEntries"/>
              <w:jc w:val="center"/>
            </w:pPr>
            <w:r w:rsidRPr="00D52C00">
              <w:t>n/a</w:t>
            </w:r>
          </w:p>
        </w:tc>
        <w:tc>
          <w:tcPr>
            <w:tcW w:w="412" w:type="pct"/>
          </w:tcPr>
          <w:p w:rsidR="004D1194" w:rsidRPr="00FE4491" w:rsidRDefault="004D1194" w:rsidP="00FC50FE">
            <w:pPr>
              <w:pStyle w:val="TableTextEntries"/>
              <w:jc w:val="center"/>
            </w:pPr>
            <w:r>
              <w:t>n/a</w:t>
            </w:r>
          </w:p>
        </w:tc>
      </w:tr>
    </w:tbl>
    <w:p w:rsidR="00416B02" w:rsidRDefault="00416B02" w:rsidP="00845875">
      <w:pPr>
        <w:rPr>
          <w:iCs/>
        </w:rPr>
      </w:pPr>
    </w:p>
    <w:sectPr w:rsidR="00416B02" w:rsidSect="00E074C5">
      <w:headerReference w:type="even" r:id="rId21"/>
      <w:footerReference w:type="first" r:id="rId22"/>
      <w:pgSz w:w="16840" w:h="11907" w:orient="landscape" w:code="9"/>
      <w:pgMar w:top="1871" w:right="2268" w:bottom="1276"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5A" w:rsidRDefault="0067565A" w:rsidP="0050529F">
      <w:r>
        <w:separator/>
      </w:r>
    </w:p>
    <w:p w:rsidR="0067565A" w:rsidRDefault="0067565A"/>
    <w:p w:rsidR="0067565A" w:rsidRDefault="0067565A"/>
    <w:p w:rsidR="0067565A" w:rsidRDefault="0067565A"/>
    <w:p w:rsidR="0067565A" w:rsidRDefault="0067565A"/>
    <w:p w:rsidR="0067565A" w:rsidRDefault="0067565A"/>
    <w:p w:rsidR="0067565A" w:rsidRDefault="0067565A"/>
  </w:endnote>
  <w:endnote w:type="continuationSeparator" w:id="0">
    <w:p w:rsidR="0067565A" w:rsidRDefault="0067565A" w:rsidP="0050529F">
      <w:r>
        <w:continuationSeparator/>
      </w:r>
    </w:p>
    <w:p w:rsidR="0067565A" w:rsidRDefault="0067565A"/>
    <w:p w:rsidR="0067565A" w:rsidRDefault="0067565A"/>
    <w:p w:rsidR="0067565A" w:rsidRDefault="0067565A"/>
    <w:p w:rsidR="0067565A" w:rsidRDefault="0067565A"/>
    <w:p w:rsidR="0067565A" w:rsidRDefault="0067565A"/>
    <w:p w:rsidR="0067565A" w:rsidRDefault="0067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3E" w:rsidRDefault="00106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06411"/>
      <w:docPartObj>
        <w:docPartGallery w:val="Page Numbers (Bottom of Page)"/>
        <w:docPartUnique/>
      </w:docPartObj>
    </w:sdtPr>
    <w:sdtEndPr>
      <w:rPr>
        <w:noProof/>
      </w:rPr>
    </w:sdtEndPr>
    <w:sdtContent>
      <w:p w:rsidR="00206D32" w:rsidRDefault="00206D32">
        <w:pPr>
          <w:pStyle w:val="Footer"/>
          <w:jc w:val="right"/>
        </w:pPr>
        <w:r>
          <w:fldChar w:fldCharType="begin"/>
        </w:r>
        <w:r>
          <w:instrText xml:space="preserve"> PAGE   \* MERGEFORMAT </w:instrText>
        </w:r>
        <w:r>
          <w:fldChar w:fldCharType="separate"/>
        </w:r>
        <w:r w:rsidR="00106F3E">
          <w:rPr>
            <w:noProof/>
          </w:rPr>
          <w:t>16</w:t>
        </w:r>
        <w:r>
          <w:rPr>
            <w:noProof/>
          </w:rPr>
          <w:fldChar w:fldCharType="end"/>
        </w:r>
      </w:p>
    </w:sdtContent>
  </w:sdt>
  <w:p w:rsidR="00206D32" w:rsidRDefault="00206D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3E" w:rsidRDefault="00106F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32" w:rsidRPr="004C4A3E" w:rsidRDefault="00206D3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19F291BD" wp14:editId="09CDB5E9">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106F3E">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106F3E">
      <w:rPr>
        <w:rFonts w:ascii="Franklin Gothic Medium" w:hAnsi="Franklin Gothic Medium"/>
        <w:noProof/>
        <w:color w:val="54534A"/>
        <w:sz w:val="14"/>
        <w:szCs w:val="14"/>
      </w:rPr>
      <w:t>13</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33C8729A" wp14:editId="2BE1584F">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7F05AAC8" wp14:editId="1775C3ED">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32" w:rsidRPr="004C4A3E" w:rsidRDefault="00206D3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2D5E0D87" wp14:editId="0C39B54F">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579D612E" wp14:editId="4BA60E82">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3C87612D" wp14:editId="30A7CDEB">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32" w:rsidRPr="004C4A3E" w:rsidRDefault="00206D32"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2821402B" wp14:editId="1EA781DF">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512C3884" wp14:editId="28810AF4">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798DF4CD" wp14:editId="55F54539">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5A" w:rsidRDefault="0067565A" w:rsidP="0050529F">
      <w:r>
        <w:separator/>
      </w:r>
    </w:p>
    <w:p w:rsidR="0067565A" w:rsidRDefault="0067565A" w:rsidP="00F57701"/>
  </w:footnote>
  <w:footnote w:type="continuationSeparator" w:id="0">
    <w:p w:rsidR="0067565A" w:rsidRDefault="0067565A" w:rsidP="0050529F">
      <w:r>
        <w:continuationSeparator/>
      </w:r>
    </w:p>
    <w:p w:rsidR="0067565A" w:rsidRDefault="0067565A"/>
    <w:p w:rsidR="0067565A" w:rsidRDefault="0067565A"/>
    <w:p w:rsidR="0067565A" w:rsidRDefault="0067565A"/>
    <w:p w:rsidR="0067565A" w:rsidRDefault="0067565A"/>
    <w:p w:rsidR="0067565A" w:rsidRDefault="0067565A"/>
    <w:p w:rsidR="0067565A" w:rsidRDefault="0067565A"/>
  </w:footnote>
  <w:footnote w:id="1">
    <w:p w:rsidR="00206D32" w:rsidRDefault="00206D32" w:rsidP="00EB0527">
      <w:pPr>
        <w:pStyle w:val="FootnoteText"/>
      </w:pPr>
      <w:r>
        <w:rPr>
          <w:rStyle w:val="FootnoteReference"/>
        </w:rPr>
        <w:footnoteRef/>
      </w:r>
      <w:r>
        <w:t xml:space="preserve"> Fiji Bureau of Statistics, Release NO. 52, 2015</w:t>
      </w:r>
    </w:p>
  </w:footnote>
  <w:footnote w:id="2">
    <w:p w:rsidR="00206D32" w:rsidRDefault="00206D32">
      <w:pPr>
        <w:pStyle w:val="FootnoteText"/>
      </w:pPr>
      <w:r>
        <w:rPr>
          <w:rStyle w:val="FootnoteReference"/>
        </w:rPr>
        <w:footnoteRef/>
      </w:r>
      <w:r>
        <w:t xml:space="preserve"> </w:t>
      </w:r>
      <w:r w:rsidR="00BC281E" w:rsidRPr="00BC281E">
        <w:t>http://www.forumsec.org/pages.cfm/newsroom/documents-publications/millenium-development-goals-1/</w:t>
      </w:r>
    </w:p>
  </w:footnote>
  <w:footnote w:id="3">
    <w:p w:rsidR="00206D32" w:rsidRDefault="00206D32">
      <w:pPr>
        <w:pStyle w:val="FootnoteText"/>
      </w:pPr>
      <w:r>
        <w:rPr>
          <w:rStyle w:val="FootnoteReference"/>
        </w:rPr>
        <w:footnoteRef/>
      </w:r>
      <w:r>
        <w:t xml:space="preserve"> 43 per cent of rural households live in poverty compared to 19 per cent in urban areas: Fiji Bureau of Statistics, May 2012 (based on 2008-9 data – more current data is currently not available)</w:t>
      </w:r>
    </w:p>
  </w:footnote>
  <w:footnote w:id="4">
    <w:p w:rsidR="00206D32" w:rsidRDefault="00206D32">
      <w:pPr>
        <w:pStyle w:val="FootnoteText"/>
      </w:pPr>
      <w:r>
        <w:rPr>
          <w:rStyle w:val="FootnoteReference"/>
        </w:rPr>
        <w:footnoteRef/>
      </w:r>
      <w:r>
        <w:t xml:space="preserve"> Fiji Health Sector Situational Report, Health Resource Facility 2015</w:t>
      </w:r>
    </w:p>
  </w:footnote>
  <w:footnote w:id="5">
    <w:p w:rsidR="00206D32" w:rsidRDefault="00206D32" w:rsidP="00E9223D">
      <w:r w:rsidRPr="00501291">
        <w:rPr>
          <w:rStyle w:val="FootnoteReference"/>
          <w:rFonts w:eastAsia="Times New Roman"/>
        </w:rPr>
        <w:footnoteRef/>
      </w:r>
      <w:r w:rsidRPr="00501291">
        <w:rPr>
          <w:rStyle w:val="FootnoteReference"/>
          <w:rFonts w:eastAsia="Times New Roman"/>
        </w:rPr>
        <w:t xml:space="preserve"> </w:t>
      </w:r>
      <w:r w:rsidRPr="00BF5C3A">
        <w:rPr>
          <w:rFonts w:ascii="Franklin Gothic Book" w:hAnsi="Franklin Gothic Book"/>
          <w:sz w:val="16"/>
          <w:szCs w:val="14"/>
        </w:rPr>
        <w:t>Fiji Bureau of Statistics, Employment and Unemployment Survey</w:t>
      </w:r>
      <w:r>
        <w:rPr>
          <w:rFonts w:ascii="Franklin Gothic Book" w:hAnsi="Franklin Gothic Book"/>
          <w:sz w:val="16"/>
          <w:szCs w:val="14"/>
        </w:rPr>
        <w:t>,</w:t>
      </w:r>
      <w:r w:rsidRPr="00BF5C3A">
        <w:rPr>
          <w:rFonts w:ascii="Franklin Gothic Book" w:hAnsi="Franklin Gothic Book"/>
          <w:sz w:val="16"/>
          <w:szCs w:val="14"/>
        </w:rPr>
        <w:t xml:space="preserve"> 2010-2011</w:t>
      </w:r>
    </w:p>
  </w:footnote>
  <w:footnote w:id="6">
    <w:p w:rsidR="00206D32" w:rsidRDefault="00206D32">
      <w:pPr>
        <w:pStyle w:val="FootnoteText"/>
      </w:pPr>
      <w:r>
        <w:rPr>
          <w:rStyle w:val="FootnoteReference"/>
        </w:rPr>
        <w:footnoteRef/>
      </w:r>
      <w:r>
        <w:t xml:space="preserve"> </w:t>
      </w:r>
      <w:r w:rsidRPr="00BF5C3A">
        <w:rPr>
          <w:szCs w:val="14"/>
        </w:rPr>
        <w:t>Fiji Women’s Crisis Centre, Somebody’s Life, Everybody’s Business, 2013</w:t>
      </w:r>
    </w:p>
  </w:footnote>
  <w:footnote w:id="7">
    <w:p w:rsidR="00206D32" w:rsidRDefault="00206D32">
      <w:pPr>
        <w:pStyle w:val="FootnoteText"/>
      </w:pPr>
      <w:r>
        <w:rPr>
          <w:rStyle w:val="FootnoteReference"/>
        </w:rPr>
        <w:footnoteRef/>
      </w:r>
      <w:r>
        <w:t xml:space="preserve"> Final Report of the Multinational Observer Group: 2014 Fijian Elections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3E" w:rsidRDefault="00106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3E" w:rsidRDefault="00106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3E" w:rsidRDefault="00106F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32" w:rsidRDefault="00206D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32" w:rsidRDefault="00206D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32" w:rsidRDefault="00206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60179A"/>
    <w:multiLevelType w:val="hybridMultilevel"/>
    <w:tmpl w:val="057812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A24246"/>
    <w:multiLevelType w:val="hybridMultilevel"/>
    <w:tmpl w:val="94D2E0AA"/>
    <w:lvl w:ilvl="0" w:tplc="65A006A4">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A0316D"/>
    <w:multiLevelType w:val="hybridMultilevel"/>
    <w:tmpl w:val="A2FAB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2B838A1"/>
    <w:multiLevelType w:val="hybridMultilevel"/>
    <w:tmpl w:val="27CC43C6"/>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27B51719"/>
    <w:multiLevelType w:val="hybridMultilevel"/>
    <w:tmpl w:val="BD9EC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82156A"/>
    <w:multiLevelType w:val="hybridMultilevel"/>
    <w:tmpl w:val="2B049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755DA0"/>
    <w:multiLevelType w:val="hybridMultilevel"/>
    <w:tmpl w:val="F6A0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BF14AF"/>
    <w:multiLevelType w:val="hybridMultilevel"/>
    <w:tmpl w:val="4AC25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C3374D"/>
    <w:multiLevelType w:val="hybridMultilevel"/>
    <w:tmpl w:val="A888D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0D4166"/>
    <w:multiLevelType w:val="hybridMultilevel"/>
    <w:tmpl w:val="7234D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7DD1E07"/>
    <w:multiLevelType w:val="hybridMultilevel"/>
    <w:tmpl w:val="51661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6C55F4"/>
    <w:multiLevelType w:val="hybridMultilevel"/>
    <w:tmpl w:val="32D80C20"/>
    <w:lvl w:ilvl="0" w:tplc="AB9E491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EA14C5B"/>
    <w:multiLevelType w:val="hybridMultilevel"/>
    <w:tmpl w:val="50DED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A8031F6"/>
    <w:multiLevelType w:val="hybridMultilevel"/>
    <w:tmpl w:val="DCE4C9D4"/>
    <w:lvl w:ilvl="0" w:tplc="0C09000B">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5D777369"/>
    <w:multiLevelType w:val="hybridMultilevel"/>
    <w:tmpl w:val="B720F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5CA534F"/>
    <w:multiLevelType w:val="hybridMultilevel"/>
    <w:tmpl w:val="ADDEAA7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98F672F"/>
    <w:multiLevelType w:val="hybridMultilevel"/>
    <w:tmpl w:val="11FEB8C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DD00BB8"/>
    <w:multiLevelType w:val="hybridMultilevel"/>
    <w:tmpl w:val="170A60F4"/>
    <w:lvl w:ilvl="0" w:tplc="66C868BA">
      <w:numFmt w:val="bullet"/>
      <w:lvlText w:val="-"/>
      <w:lvlJc w:val="left"/>
      <w:pPr>
        <w:ind w:left="1080" w:hanging="360"/>
      </w:pPr>
      <w:rPr>
        <w:rFonts w:ascii="Calibri" w:eastAsia="Times New Roman" w:hAnsi="Calibri" w:cs="Times New Roman"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36">
    <w:nsid w:val="790D3E83"/>
    <w:multiLevelType w:val="hybridMultilevel"/>
    <w:tmpl w:val="F47832F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7"/>
  </w:num>
  <w:num w:numId="3">
    <w:abstractNumId w:val="7"/>
  </w:num>
  <w:num w:numId="4">
    <w:abstractNumId w:val="26"/>
  </w:num>
  <w:num w:numId="5">
    <w:abstractNumId w:val="22"/>
  </w:num>
  <w:num w:numId="6">
    <w:abstractNumId w:val="19"/>
  </w:num>
  <w:num w:numId="7">
    <w:abstractNumId w:val="33"/>
  </w:num>
  <w:num w:numId="8">
    <w:abstractNumId w:val="6"/>
  </w:num>
  <w:num w:numId="9">
    <w:abstractNumId w:val="10"/>
  </w:num>
  <w:num w:numId="10">
    <w:abstractNumId w:val="37"/>
  </w:num>
  <w:num w:numId="11">
    <w:abstractNumId w:val="38"/>
  </w:num>
  <w:num w:numId="12">
    <w:abstractNumId w:val="0"/>
  </w:num>
  <w:num w:numId="13">
    <w:abstractNumId w:val="4"/>
  </w:num>
  <w:num w:numId="14">
    <w:abstractNumId w:val="31"/>
  </w:num>
  <w:num w:numId="15">
    <w:abstractNumId w:val="1"/>
  </w:num>
  <w:num w:numId="16">
    <w:abstractNumId w:val="14"/>
  </w:num>
  <w:num w:numId="17">
    <w:abstractNumId w:val="12"/>
  </w:num>
  <w:num w:numId="18">
    <w:abstractNumId w:val="9"/>
  </w:num>
  <w:num w:numId="19">
    <w:abstractNumId w:val="38"/>
  </w:num>
  <w:num w:numId="20">
    <w:abstractNumId w:val="21"/>
  </w:num>
  <w:num w:numId="21">
    <w:abstractNumId w:val="32"/>
  </w:num>
  <w:num w:numId="22">
    <w:abstractNumId w:val="38"/>
  </w:num>
  <w:num w:numId="23">
    <w:abstractNumId w:val="38"/>
  </w:num>
  <w:num w:numId="24">
    <w:abstractNumId w:val="38"/>
  </w:num>
  <w:num w:numId="25">
    <w:abstractNumId w:val="5"/>
  </w:num>
  <w:num w:numId="26">
    <w:abstractNumId w:val="34"/>
  </w:num>
  <w:num w:numId="27">
    <w:abstractNumId w:val="3"/>
  </w:num>
  <w:num w:numId="28">
    <w:abstractNumId w:val="11"/>
  </w:num>
  <w:num w:numId="29">
    <w:abstractNumId w:val="36"/>
  </w:num>
  <w:num w:numId="30">
    <w:abstractNumId w:val="38"/>
  </w:num>
  <w:num w:numId="31">
    <w:abstractNumId w:val="38"/>
  </w:num>
  <w:num w:numId="32">
    <w:abstractNumId w:val="20"/>
  </w:num>
  <w:num w:numId="33">
    <w:abstractNumId w:val="17"/>
  </w:num>
  <w:num w:numId="34">
    <w:abstractNumId w:val="38"/>
  </w:num>
  <w:num w:numId="35">
    <w:abstractNumId w:val="15"/>
  </w:num>
  <w:num w:numId="36">
    <w:abstractNumId w:val="8"/>
  </w:num>
  <w:num w:numId="37">
    <w:abstractNumId w:val="24"/>
  </w:num>
  <w:num w:numId="38">
    <w:abstractNumId w:val="38"/>
  </w:num>
  <w:num w:numId="39">
    <w:abstractNumId w:val="28"/>
  </w:num>
  <w:num w:numId="40">
    <w:abstractNumId w:val="38"/>
  </w:num>
  <w:num w:numId="41">
    <w:abstractNumId w:val="25"/>
  </w:num>
  <w:num w:numId="42">
    <w:abstractNumId w:val="35"/>
  </w:num>
  <w:num w:numId="43">
    <w:abstractNumId w:val="23"/>
  </w:num>
  <w:num w:numId="44">
    <w:abstractNumId w:val="38"/>
  </w:num>
  <w:num w:numId="45">
    <w:abstractNumId w:val="29"/>
  </w:num>
  <w:num w:numId="46">
    <w:abstractNumId w:val="38"/>
  </w:num>
  <w:num w:numId="47">
    <w:abstractNumId w:val="38"/>
  </w:num>
  <w:num w:numId="48">
    <w:abstractNumId w:val="2"/>
  </w:num>
  <w:num w:numId="49">
    <w:abstractNumId w:val="16"/>
  </w:num>
  <w:num w:numId="50">
    <w:abstractNumId w:val="18"/>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052E"/>
    <w:rsid w:val="0000154A"/>
    <w:rsid w:val="00002161"/>
    <w:rsid w:val="0000242A"/>
    <w:rsid w:val="00002669"/>
    <w:rsid w:val="00002A92"/>
    <w:rsid w:val="00002E28"/>
    <w:rsid w:val="000032E4"/>
    <w:rsid w:val="000039CF"/>
    <w:rsid w:val="00004E18"/>
    <w:rsid w:val="00007E94"/>
    <w:rsid w:val="00007F6E"/>
    <w:rsid w:val="0001126E"/>
    <w:rsid w:val="000142A2"/>
    <w:rsid w:val="000143D9"/>
    <w:rsid w:val="00020121"/>
    <w:rsid w:val="00020BBA"/>
    <w:rsid w:val="00021A9E"/>
    <w:rsid w:val="00023BD6"/>
    <w:rsid w:val="000271C0"/>
    <w:rsid w:val="00027629"/>
    <w:rsid w:val="00030111"/>
    <w:rsid w:val="00031100"/>
    <w:rsid w:val="000318B1"/>
    <w:rsid w:val="00031EB5"/>
    <w:rsid w:val="0003231A"/>
    <w:rsid w:val="00032809"/>
    <w:rsid w:val="00036340"/>
    <w:rsid w:val="00036456"/>
    <w:rsid w:val="0003779B"/>
    <w:rsid w:val="00040AF6"/>
    <w:rsid w:val="000426DF"/>
    <w:rsid w:val="00045551"/>
    <w:rsid w:val="000529AD"/>
    <w:rsid w:val="0005506B"/>
    <w:rsid w:val="000550B0"/>
    <w:rsid w:val="00055E78"/>
    <w:rsid w:val="0005637C"/>
    <w:rsid w:val="00056A4D"/>
    <w:rsid w:val="00056C89"/>
    <w:rsid w:val="00057589"/>
    <w:rsid w:val="00057D09"/>
    <w:rsid w:val="0007149C"/>
    <w:rsid w:val="00071B95"/>
    <w:rsid w:val="0007395B"/>
    <w:rsid w:val="000745E2"/>
    <w:rsid w:val="00074B2A"/>
    <w:rsid w:val="00076943"/>
    <w:rsid w:val="0007703B"/>
    <w:rsid w:val="000774FD"/>
    <w:rsid w:val="000818C0"/>
    <w:rsid w:val="00081F4E"/>
    <w:rsid w:val="00082917"/>
    <w:rsid w:val="000905A8"/>
    <w:rsid w:val="00091878"/>
    <w:rsid w:val="0009200E"/>
    <w:rsid w:val="00094A6D"/>
    <w:rsid w:val="000957FC"/>
    <w:rsid w:val="00095893"/>
    <w:rsid w:val="00095CF5"/>
    <w:rsid w:val="000979A0"/>
    <w:rsid w:val="00097B02"/>
    <w:rsid w:val="000A1618"/>
    <w:rsid w:val="000A22E8"/>
    <w:rsid w:val="000A4247"/>
    <w:rsid w:val="000A6605"/>
    <w:rsid w:val="000A714B"/>
    <w:rsid w:val="000B0391"/>
    <w:rsid w:val="000B3121"/>
    <w:rsid w:val="000B433A"/>
    <w:rsid w:val="000B68F6"/>
    <w:rsid w:val="000B6BE5"/>
    <w:rsid w:val="000B6FEA"/>
    <w:rsid w:val="000B75E8"/>
    <w:rsid w:val="000C258A"/>
    <w:rsid w:val="000C29BF"/>
    <w:rsid w:val="000C4A7A"/>
    <w:rsid w:val="000C6080"/>
    <w:rsid w:val="000C60A8"/>
    <w:rsid w:val="000D151B"/>
    <w:rsid w:val="000D1993"/>
    <w:rsid w:val="000D2CDD"/>
    <w:rsid w:val="000D733F"/>
    <w:rsid w:val="000D7952"/>
    <w:rsid w:val="000E4573"/>
    <w:rsid w:val="000E7147"/>
    <w:rsid w:val="000E7297"/>
    <w:rsid w:val="000E7A8D"/>
    <w:rsid w:val="000F2574"/>
    <w:rsid w:val="000F25CD"/>
    <w:rsid w:val="000F2D94"/>
    <w:rsid w:val="00100106"/>
    <w:rsid w:val="00100485"/>
    <w:rsid w:val="00100AA2"/>
    <w:rsid w:val="00106185"/>
    <w:rsid w:val="00106BDC"/>
    <w:rsid w:val="00106F3E"/>
    <w:rsid w:val="0010729C"/>
    <w:rsid w:val="00110635"/>
    <w:rsid w:val="00112E97"/>
    <w:rsid w:val="001139DE"/>
    <w:rsid w:val="00114751"/>
    <w:rsid w:val="001154C3"/>
    <w:rsid w:val="001154CA"/>
    <w:rsid w:val="001171DE"/>
    <w:rsid w:val="00120FC7"/>
    <w:rsid w:val="00122038"/>
    <w:rsid w:val="00122299"/>
    <w:rsid w:val="001227C3"/>
    <w:rsid w:val="00123D1C"/>
    <w:rsid w:val="0012429A"/>
    <w:rsid w:val="00124E7B"/>
    <w:rsid w:val="00125002"/>
    <w:rsid w:val="001258C6"/>
    <w:rsid w:val="0012793C"/>
    <w:rsid w:val="00127C8B"/>
    <w:rsid w:val="00131FF0"/>
    <w:rsid w:val="00132003"/>
    <w:rsid w:val="00132643"/>
    <w:rsid w:val="00133AAD"/>
    <w:rsid w:val="00134238"/>
    <w:rsid w:val="00134B19"/>
    <w:rsid w:val="00135806"/>
    <w:rsid w:val="001366B4"/>
    <w:rsid w:val="00136CC1"/>
    <w:rsid w:val="001375E3"/>
    <w:rsid w:val="00137C16"/>
    <w:rsid w:val="00141A30"/>
    <w:rsid w:val="00143053"/>
    <w:rsid w:val="0014411B"/>
    <w:rsid w:val="001448E7"/>
    <w:rsid w:val="00145808"/>
    <w:rsid w:val="001470EA"/>
    <w:rsid w:val="00147846"/>
    <w:rsid w:val="0015043E"/>
    <w:rsid w:val="0015119F"/>
    <w:rsid w:val="0015291B"/>
    <w:rsid w:val="00152DFD"/>
    <w:rsid w:val="00154EF9"/>
    <w:rsid w:val="00157858"/>
    <w:rsid w:val="001612CE"/>
    <w:rsid w:val="00161DB6"/>
    <w:rsid w:val="001624FB"/>
    <w:rsid w:val="00163FED"/>
    <w:rsid w:val="0016512B"/>
    <w:rsid w:val="0016544D"/>
    <w:rsid w:val="001657F1"/>
    <w:rsid w:val="00167331"/>
    <w:rsid w:val="0016740F"/>
    <w:rsid w:val="00171BB2"/>
    <w:rsid w:val="00173C6E"/>
    <w:rsid w:val="00175E4C"/>
    <w:rsid w:val="001772FD"/>
    <w:rsid w:val="00177FF9"/>
    <w:rsid w:val="00180B19"/>
    <w:rsid w:val="00180F3A"/>
    <w:rsid w:val="00181276"/>
    <w:rsid w:val="0018196F"/>
    <w:rsid w:val="00181DEB"/>
    <w:rsid w:val="001829BB"/>
    <w:rsid w:val="0018305E"/>
    <w:rsid w:val="00183097"/>
    <w:rsid w:val="0018353A"/>
    <w:rsid w:val="0018750B"/>
    <w:rsid w:val="00190321"/>
    <w:rsid w:val="00192498"/>
    <w:rsid w:val="001943B6"/>
    <w:rsid w:val="00194806"/>
    <w:rsid w:val="0019493A"/>
    <w:rsid w:val="00195188"/>
    <w:rsid w:val="00197C9A"/>
    <w:rsid w:val="001A374B"/>
    <w:rsid w:val="001B1A0C"/>
    <w:rsid w:val="001B2948"/>
    <w:rsid w:val="001B41CD"/>
    <w:rsid w:val="001B714C"/>
    <w:rsid w:val="001C1EA0"/>
    <w:rsid w:val="001C31B9"/>
    <w:rsid w:val="001C507E"/>
    <w:rsid w:val="001C537A"/>
    <w:rsid w:val="001C700E"/>
    <w:rsid w:val="001C7117"/>
    <w:rsid w:val="001C745A"/>
    <w:rsid w:val="001C7DDD"/>
    <w:rsid w:val="001D20FC"/>
    <w:rsid w:val="001D210A"/>
    <w:rsid w:val="001D6059"/>
    <w:rsid w:val="001D6515"/>
    <w:rsid w:val="001D7E98"/>
    <w:rsid w:val="001E4BDE"/>
    <w:rsid w:val="001E6280"/>
    <w:rsid w:val="001E6635"/>
    <w:rsid w:val="001E6C02"/>
    <w:rsid w:val="001F02DF"/>
    <w:rsid w:val="001F12A2"/>
    <w:rsid w:val="001F5CB1"/>
    <w:rsid w:val="001F61A8"/>
    <w:rsid w:val="001F7480"/>
    <w:rsid w:val="00201174"/>
    <w:rsid w:val="0020281D"/>
    <w:rsid w:val="00202880"/>
    <w:rsid w:val="00202E4E"/>
    <w:rsid w:val="00203BCC"/>
    <w:rsid w:val="00205BF4"/>
    <w:rsid w:val="00205E0B"/>
    <w:rsid w:val="00205F2B"/>
    <w:rsid w:val="00206D32"/>
    <w:rsid w:val="00211259"/>
    <w:rsid w:val="002115BD"/>
    <w:rsid w:val="002126BA"/>
    <w:rsid w:val="00212B27"/>
    <w:rsid w:val="0021515C"/>
    <w:rsid w:val="002205B1"/>
    <w:rsid w:val="002227A9"/>
    <w:rsid w:val="00223901"/>
    <w:rsid w:val="0022402E"/>
    <w:rsid w:val="00226DEE"/>
    <w:rsid w:val="00231D45"/>
    <w:rsid w:val="002335A9"/>
    <w:rsid w:val="002343CF"/>
    <w:rsid w:val="00235D29"/>
    <w:rsid w:val="002363D9"/>
    <w:rsid w:val="00236B8C"/>
    <w:rsid w:val="002373C6"/>
    <w:rsid w:val="00237C4B"/>
    <w:rsid w:val="0024009A"/>
    <w:rsid w:val="00240D59"/>
    <w:rsid w:val="00242C0A"/>
    <w:rsid w:val="002441D5"/>
    <w:rsid w:val="0024637B"/>
    <w:rsid w:val="00246BEC"/>
    <w:rsid w:val="00246E5F"/>
    <w:rsid w:val="002533EA"/>
    <w:rsid w:val="00254374"/>
    <w:rsid w:val="00254D50"/>
    <w:rsid w:val="00255C91"/>
    <w:rsid w:val="002571E2"/>
    <w:rsid w:val="00260D6D"/>
    <w:rsid w:val="00261E78"/>
    <w:rsid w:val="00263F5F"/>
    <w:rsid w:val="002660AA"/>
    <w:rsid w:val="002676FE"/>
    <w:rsid w:val="00270898"/>
    <w:rsid w:val="00272AF0"/>
    <w:rsid w:val="00272F78"/>
    <w:rsid w:val="00273C6F"/>
    <w:rsid w:val="00275C42"/>
    <w:rsid w:val="00280D6E"/>
    <w:rsid w:val="00282FEF"/>
    <w:rsid w:val="002849B4"/>
    <w:rsid w:val="00286525"/>
    <w:rsid w:val="00286DD2"/>
    <w:rsid w:val="00286FD0"/>
    <w:rsid w:val="00290CBE"/>
    <w:rsid w:val="002911A4"/>
    <w:rsid w:val="00291F1C"/>
    <w:rsid w:val="00292859"/>
    <w:rsid w:val="002935F9"/>
    <w:rsid w:val="00297FA7"/>
    <w:rsid w:val="002A15F4"/>
    <w:rsid w:val="002A1935"/>
    <w:rsid w:val="002A1A79"/>
    <w:rsid w:val="002A21D1"/>
    <w:rsid w:val="002A22F7"/>
    <w:rsid w:val="002A2EE3"/>
    <w:rsid w:val="002A449A"/>
    <w:rsid w:val="002A4D70"/>
    <w:rsid w:val="002B1CB1"/>
    <w:rsid w:val="002B1F66"/>
    <w:rsid w:val="002B31B3"/>
    <w:rsid w:val="002B3895"/>
    <w:rsid w:val="002B433A"/>
    <w:rsid w:val="002B61A8"/>
    <w:rsid w:val="002B6EBE"/>
    <w:rsid w:val="002B79D4"/>
    <w:rsid w:val="002C065D"/>
    <w:rsid w:val="002C1E00"/>
    <w:rsid w:val="002C5722"/>
    <w:rsid w:val="002C639B"/>
    <w:rsid w:val="002C6B91"/>
    <w:rsid w:val="002D1328"/>
    <w:rsid w:val="002D1B65"/>
    <w:rsid w:val="002D39E0"/>
    <w:rsid w:val="002D415E"/>
    <w:rsid w:val="002D41E4"/>
    <w:rsid w:val="002D5132"/>
    <w:rsid w:val="002D5D7B"/>
    <w:rsid w:val="002D6914"/>
    <w:rsid w:val="002D6DF0"/>
    <w:rsid w:val="002D7FFA"/>
    <w:rsid w:val="002E3B38"/>
    <w:rsid w:val="002E55EA"/>
    <w:rsid w:val="002E5604"/>
    <w:rsid w:val="002F12E2"/>
    <w:rsid w:val="002F2E20"/>
    <w:rsid w:val="002F479A"/>
    <w:rsid w:val="002F54F3"/>
    <w:rsid w:val="002F5A14"/>
    <w:rsid w:val="002F685F"/>
    <w:rsid w:val="00303038"/>
    <w:rsid w:val="0030318A"/>
    <w:rsid w:val="00306734"/>
    <w:rsid w:val="0031001F"/>
    <w:rsid w:val="00310426"/>
    <w:rsid w:val="003108CF"/>
    <w:rsid w:val="00310974"/>
    <w:rsid w:val="00310CC5"/>
    <w:rsid w:val="003120C7"/>
    <w:rsid w:val="00313E45"/>
    <w:rsid w:val="00314EAC"/>
    <w:rsid w:val="00315135"/>
    <w:rsid w:val="00315D13"/>
    <w:rsid w:val="003167E5"/>
    <w:rsid w:val="00317B46"/>
    <w:rsid w:val="00320FCE"/>
    <w:rsid w:val="003223F8"/>
    <w:rsid w:val="0032292A"/>
    <w:rsid w:val="00322D92"/>
    <w:rsid w:val="0032486D"/>
    <w:rsid w:val="003260C0"/>
    <w:rsid w:val="003266E1"/>
    <w:rsid w:val="00326B5A"/>
    <w:rsid w:val="003275D0"/>
    <w:rsid w:val="003279FD"/>
    <w:rsid w:val="003305E3"/>
    <w:rsid w:val="003326BE"/>
    <w:rsid w:val="003327F8"/>
    <w:rsid w:val="00335F19"/>
    <w:rsid w:val="003363C7"/>
    <w:rsid w:val="00341177"/>
    <w:rsid w:val="00341311"/>
    <w:rsid w:val="00342475"/>
    <w:rsid w:val="00342BF7"/>
    <w:rsid w:val="003432CC"/>
    <w:rsid w:val="00343B25"/>
    <w:rsid w:val="00345B8E"/>
    <w:rsid w:val="00351ACA"/>
    <w:rsid w:val="00352AE5"/>
    <w:rsid w:val="0035430E"/>
    <w:rsid w:val="00357648"/>
    <w:rsid w:val="00357AF7"/>
    <w:rsid w:val="00360662"/>
    <w:rsid w:val="00371F53"/>
    <w:rsid w:val="00372724"/>
    <w:rsid w:val="00372D2E"/>
    <w:rsid w:val="00372E1B"/>
    <w:rsid w:val="003743C8"/>
    <w:rsid w:val="00374B60"/>
    <w:rsid w:val="003767B6"/>
    <w:rsid w:val="00383294"/>
    <w:rsid w:val="003838C1"/>
    <w:rsid w:val="00383F3F"/>
    <w:rsid w:val="00384342"/>
    <w:rsid w:val="003849ED"/>
    <w:rsid w:val="00385A4C"/>
    <w:rsid w:val="00386A54"/>
    <w:rsid w:val="003905DE"/>
    <w:rsid w:val="00392981"/>
    <w:rsid w:val="003945F5"/>
    <w:rsid w:val="00395CFA"/>
    <w:rsid w:val="003A2059"/>
    <w:rsid w:val="003A27D2"/>
    <w:rsid w:val="003A2D7B"/>
    <w:rsid w:val="003A344F"/>
    <w:rsid w:val="003A74BF"/>
    <w:rsid w:val="003B122C"/>
    <w:rsid w:val="003B2756"/>
    <w:rsid w:val="003B5F7E"/>
    <w:rsid w:val="003C1FF5"/>
    <w:rsid w:val="003C288C"/>
    <w:rsid w:val="003C31EE"/>
    <w:rsid w:val="003C46BC"/>
    <w:rsid w:val="003C7721"/>
    <w:rsid w:val="003D081D"/>
    <w:rsid w:val="003D2E2F"/>
    <w:rsid w:val="003D44F4"/>
    <w:rsid w:val="003D5FDC"/>
    <w:rsid w:val="003E0E66"/>
    <w:rsid w:val="003E4198"/>
    <w:rsid w:val="003E4982"/>
    <w:rsid w:val="003E519D"/>
    <w:rsid w:val="003E63B3"/>
    <w:rsid w:val="003E6E05"/>
    <w:rsid w:val="003E7AA9"/>
    <w:rsid w:val="003F33C0"/>
    <w:rsid w:val="0040203B"/>
    <w:rsid w:val="00403152"/>
    <w:rsid w:val="00403AAA"/>
    <w:rsid w:val="004041A8"/>
    <w:rsid w:val="00405831"/>
    <w:rsid w:val="00406000"/>
    <w:rsid w:val="00412707"/>
    <w:rsid w:val="00413539"/>
    <w:rsid w:val="0041396D"/>
    <w:rsid w:val="00415A92"/>
    <w:rsid w:val="00416B02"/>
    <w:rsid w:val="0041730D"/>
    <w:rsid w:val="00420E02"/>
    <w:rsid w:val="004228CD"/>
    <w:rsid w:val="0042527A"/>
    <w:rsid w:val="00425A09"/>
    <w:rsid w:val="00426354"/>
    <w:rsid w:val="004309E9"/>
    <w:rsid w:val="004318CB"/>
    <w:rsid w:val="00436BA1"/>
    <w:rsid w:val="00437C95"/>
    <w:rsid w:val="00441E77"/>
    <w:rsid w:val="00443639"/>
    <w:rsid w:val="004438E0"/>
    <w:rsid w:val="004450BD"/>
    <w:rsid w:val="004453CE"/>
    <w:rsid w:val="00445A3B"/>
    <w:rsid w:val="00445C4E"/>
    <w:rsid w:val="00445FE0"/>
    <w:rsid w:val="00446742"/>
    <w:rsid w:val="00450887"/>
    <w:rsid w:val="004509EB"/>
    <w:rsid w:val="00451A9F"/>
    <w:rsid w:val="0045475F"/>
    <w:rsid w:val="0045669C"/>
    <w:rsid w:val="00462000"/>
    <w:rsid w:val="00466C98"/>
    <w:rsid w:val="00467C3F"/>
    <w:rsid w:val="00467CE4"/>
    <w:rsid w:val="00474035"/>
    <w:rsid w:val="004760F3"/>
    <w:rsid w:val="0047710F"/>
    <w:rsid w:val="00480E2D"/>
    <w:rsid w:val="00481777"/>
    <w:rsid w:val="00485ECB"/>
    <w:rsid w:val="0048613E"/>
    <w:rsid w:val="00487002"/>
    <w:rsid w:val="00490BDE"/>
    <w:rsid w:val="004922FF"/>
    <w:rsid w:val="00494504"/>
    <w:rsid w:val="004957EC"/>
    <w:rsid w:val="00496F8D"/>
    <w:rsid w:val="004A2EC3"/>
    <w:rsid w:val="004A568F"/>
    <w:rsid w:val="004A7400"/>
    <w:rsid w:val="004A7988"/>
    <w:rsid w:val="004B201A"/>
    <w:rsid w:val="004B3344"/>
    <w:rsid w:val="004B41B9"/>
    <w:rsid w:val="004B4A44"/>
    <w:rsid w:val="004B537A"/>
    <w:rsid w:val="004B64F3"/>
    <w:rsid w:val="004B7A07"/>
    <w:rsid w:val="004C33EA"/>
    <w:rsid w:val="004C36CF"/>
    <w:rsid w:val="004C4A3E"/>
    <w:rsid w:val="004C59EA"/>
    <w:rsid w:val="004C65C6"/>
    <w:rsid w:val="004C660D"/>
    <w:rsid w:val="004C7E92"/>
    <w:rsid w:val="004D0699"/>
    <w:rsid w:val="004D1194"/>
    <w:rsid w:val="004D1529"/>
    <w:rsid w:val="004D19CE"/>
    <w:rsid w:val="004D23F6"/>
    <w:rsid w:val="004D2ED0"/>
    <w:rsid w:val="004D4522"/>
    <w:rsid w:val="004D740B"/>
    <w:rsid w:val="004E01E9"/>
    <w:rsid w:val="004E1EDE"/>
    <w:rsid w:val="004E3E40"/>
    <w:rsid w:val="004E4BEB"/>
    <w:rsid w:val="004E525E"/>
    <w:rsid w:val="004E570D"/>
    <w:rsid w:val="004E6400"/>
    <w:rsid w:val="004E642E"/>
    <w:rsid w:val="004E6924"/>
    <w:rsid w:val="004E6A61"/>
    <w:rsid w:val="004E6E33"/>
    <w:rsid w:val="004E702A"/>
    <w:rsid w:val="004E7581"/>
    <w:rsid w:val="004F0C2D"/>
    <w:rsid w:val="004F1676"/>
    <w:rsid w:val="004F310E"/>
    <w:rsid w:val="004F3D7E"/>
    <w:rsid w:val="004F4630"/>
    <w:rsid w:val="004F4F13"/>
    <w:rsid w:val="004F521E"/>
    <w:rsid w:val="004F6195"/>
    <w:rsid w:val="004F6FEE"/>
    <w:rsid w:val="004F74C0"/>
    <w:rsid w:val="004F7800"/>
    <w:rsid w:val="00500EB4"/>
    <w:rsid w:val="00501291"/>
    <w:rsid w:val="00501CD2"/>
    <w:rsid w:val="00503974"/>
    <w:rsid w:val="0050439B"/>
    <w:rsid w:val="0050529F"/>
    <w:rsid w:val="00506A51"/>
    <w:rsid w:val="00506F80"/>
    <w:rsid w:val="005110C3"/>
    <w:rsid w:val="00511A0F"/>
    <w:rsid w:val="00514B5E"/>
    <w:rsid w:val="005157C1"/>
    <w:rsid w:val="00515954"/>
    <w:rsid w:val="00515B83"/>
    <w:rsid w:val="00515E3D"/>
    <w:rsid w:val="00516D93"/>
    <w:rsid w:val="005208AC"/>
    <w:rsid w:val="0052286C"/>
    <w:rsid w:val="00522AB9"/>
    <w:rsid w:val="005265B9"/>
    <w:rsid w:val="005307E8"/>
    <w:rsid w:val="0053175E"/>
    <w:rsid w:val="00533533"/>
    <w:rsid w:val="00534CCB"/>
    <w:rsid w:val="00535C99"/>
    <w:rsid w:val="00535E24"/>
    <w:rsid w:val="00537E02"/>
    <w:rsid w:val="0054219B"/>
    <w:rsid w:val="00542718"/>
    <w:rsid w:val="00543224"/>
    <w:rsid w:val="005440F6"/>
    <w:rsid w:val="00544CCD"/>
    <w:rsid w:val="0054557A"/>
    <w:rsid w:val="00546DD6"/>
    <w:rsid w:val="00547869"/>
    <w:rsid w:val="0055172C"/>
    <w:rsid w:val="0055318F"/>
    <w:rsid w:val="0055402C"/>
    <w:rsid w:val="0055569F"/>
    <w:rsid w:val="0055771D"/>
    <w:rsid w:val="00560155"/>
    <w:rsid w:val="005609B0"/>
    <w:rsid w:val="00560D15"/>
    <w:rsid w:val="0056150A"/>
    <w:rsid w:val="00565055"/>
    <w:rsid w:val="00565635"/>
    <w:rsid w:val="00567FCF"/>
    <w:rsid w:val="00570765"/>
    <w:rsid w:val="00570A53"/>
    <w:rsid w:val="00570D89"/>
    <w:rsid w:val="00571521"/>
    <w:rsid w:val="00572112"/>
    <w:rsid w:val="005732BD"/>
    <w:rsid w:val="005733F9"/>
    <w:rsid w:val="00573E59"/>
    <w:rsid w:val="0057490F"/>
    <w:rsid w:val="005750E2"/>
    <w:rsid w:val="00575295"/>
    <w:rsid w:val="00577246"/>
    <w:rsid w:val="00580FFB"/>
    <w:rsid w:val="00581979"/>
    <w:rsid w:val="00581C01"/>
    <w:rsid w:val="0058242D"/>
    <w:rsid w:val="00582B15"/>
    <w:rsid w:val="00582C22"/>
    <w:rsid w:val="00584452"/>
    <w:rsid w:val="005845CB"/>
    <w:rsid w:val="0058498A"/>
    <w:rsid w:val="00584DA5"/>
    <w:rsid w:val="00586350"/>
    <w:rsid w:val="00586CDB"/>
    <w:rsid w:val="005901D2"/>
    <w:rsid w:val="0059461A"/>
    <w:rsid w:val="00594882"/>
    <w:rsid w:val="00596852"/>
    <w:rsid w:val="00596D85"/>
    <w:rsid w:val="00597520"/>
    <w:rsid w:val="005A0FA8"/>
    <w:rsid w:val="005A136F"/>
    <w:rsid w:val="005A18C5"/>
    <w:rsid w:val="005A32FF"/>
    <w:rsid w:val="005A3ED5"/>
    <w:rsid w:val="005A511C"/>
    <w:rsid w:val="005A7CF6"/>
    <w:rsid w:val="005B1153"/>
    <w:rsid w:val="005B1E12"/>
    <w:rsid w:val="005B42EE"/>
    <w:rsid w:val="005B4F7A"/>
    <w:rsid w:val="005B537E"/>
    <w:rsid w:val="005B5CE8"/>
    <w:rsid w:val="005B7C71"/>
    <w:rsid w:val="005C231F"/>
    <w:rsid w:val="005C310A"/>
    <w:rsid w:val="005C4A6B"/>
    <w:rsid w:val="005C644B"/>
    <w:rsid w:val="005C661F"/>
    <w:rsid w:val="005D2A59"/>
    <w:rsid w:val="005E1DCE"/>
    <w:rsid w:val="005E247A"/>
    <w:rsid w:val="005E5950"/>
    <w:rsid w:val="005F0C00"/>
    <w:rsid w:val="005F15ED"/>
    <w:rsid w:val="005F33F2"/>
    <w:rsid w:val="005F460C"/>
    <w:rsid w:val="005F51F6"/>
    <w:rsid w:val="005F74D0"/>
    <w:rsid w:val="006000E5"/>
    <w:rsid w:val="00600404"/>
    <w:rsid w:val="0060117A"/>
    <w:rsid w:val="0060332D"/>
    <w:rsid w:val="00612E14"/>
    <w:rsid w:val="00617F30"/>
    <w:rsid w:val="006200B8"/>
    <w:rsid w:val="006231CF"/>
    <w:rsid w:val="006249DF"/>
    <w:rsid w:val="0062598A"/>
    <w:rsid w:val="00625A52"/>
    <w:rsid w:val="0062686B"/>
    <w:rsid w:val="00633A74"/>
    <w:rsid w:val="006357FE"/>
    <w:rsid w:val="00637549"/>
    <w:rsid w:val="00637989"/>
    <w:rsid w:val="00641B92"/>
    <w:rsid w:val="00642A6F"/>
    <w:rsid w:val="00642E50"/>
    <w:rsid w:val="00646049"/>
    <w:rsid w:val="00647FBA"/>
    <w:rsid w:val="0065268F"/>
    <w:rsid w:val="0065391A"/>
    <w:rsid w:val="00656105"/>
    <w:rsid w:val="0065679C"/>
    <w:rsid w:val="00657108"/>
    <w:rsid w:val="00661CDD"/>
    <w:rsid w:val="00663306"/>
    <w:rsid w:val="00663909"/>
    <w:rsid w:val="00663E95"/>
    <w:rsid w:val="006659FF"/>
    <w:rsid w:val="006671BC"/>
    <w:rsid w:val="0067299B"/>
    <w:rsid w:val="00673287"/>
    <w:rsid w:val="0067440F"/>
    <w:rsid w:val="0067457E"/>
    <w:rsid w:val="00674A45"/>
    <w:rsid w:val="0067565A"/>
    <w:rsid w:val="00675AAD"/>
    <w:rsid w:val="00680679"/>
    <w:rsid w:val="0068146D"/>
    <w:rsid w:val="0068152C"/>
    <w:rsid w:val="00682DB1"/>
    <w:rsid w:val="00683FFB"/>
    <w:rsid w:val="00684335"/>
    <w:rsid w:val="0068768A"/>
    <w:rsid w:val="00687B2F"/>
    <w:rsid w:val="00690BEA"/>
    <w:rsid w:val="00691B4A"/>
    <w:rsid w:val="00695279"/>
    <w:rsid w:val="00697C69"/>
    <w:rsid w:val="006A0A59"/>
    <w:rsid w:val="006A4EF7"/>
    <w:rsid w:val="006A5742"/>
    <w:rsid w:val="006B0642"/>
    <w:rsid w:val="006B0F12"/>
    <w:rsid w:val="006B1091"/>
    <w:rsid w:val="006B2C7B"/>
    <w:rsid w:val="006B33A7"/>
    <w:rsid w:val="006C1260"/>
    <w:rsid w:val="006C16A8"/>
    <w:rsid w:val="006C2232"/>
    <w:rsid w:val="006C2AE1"/>
    <w:rsid w:val="006C4194"/>
    <w:rsid w:val="006C6800"/>
    <w:rsid w:val="006D0BC5"/>
    <w:rsid w:val="006D1D99"/>
    <w:rsid w:val="006D2239"/>
    <w:rsid w:val="006D2CF2"/>
    <w:rsid w:val="006D2E37"/>
    <w:rsid w:val="006D34C3"/>
    <w:rsid w:val="006D3574"/>
    <w:rsid w:val="006D7C86"/>
    <w:rsid w:val="006E0699"/>
    <w:rsid w:val="006E327C"/>
    <w:rsid w:val="006E7795"/>
    <w:rsid w:val="006E7E9F"/>
    <w:rsid w:val="006E7FA8"/>
    <w:rsid w:val="006F00DB"/>
    <w:rsid w:val="006F4623"/>
    <w:rsid w:val="006F4B40"/>
    <w:rsid w:val="006F757C"/>
    <w:rsid w:val="00701FEA"/>
    <w:rsid w:val="007040D1"/>
    <w:rsid w:val="00705363"/>
    <w:rsid w:val="00705A00"/>
    <w:rsid w:val="007069F7"/>
    <w:rsid w:val="00706DE1"/>
    <w:rsid w:val="007078C4"/>
    <w:rsid w:val="00710059"/>
    <w:rsid w:val="00710337"/>
    <w:rsid w:val="007110C9"/>
    <w:rsid w:val="00712349"/>
    <w:rsid w:val="00712FCE"/>
    <w:rsid w:val="007131CA"/>
    <w:rsid w:val="00714BA3"/>
    <w:rsid w:val="00715180"/>
    <w:rsid w:val="0071537B"/>
    <w:rsid w:val="007167AE"/>
    <w:rsid w:val="00720485"/>
    <w:rsid w:val="00721098"/>
    <w:rsid w:val="0072495B"/>
    <w:rsid w:val="007311E0"/>
    <w:rsid w:val="00731A74"/>
    <w:rsid w:val="00734166"/>
    <w:rsid w:val="007360D3"/>
    <w:rsid w:val="0073644C"/>
    <w:rsid w:val="00736D2D"/>
    <w:rsid w:val="00737641"/>
    <w:rsid w:val="00737C72"/>
    <w:rsid w:val="00740385"/>
    <w:rsid w:val="007406CA"/>
    <w:rsid w:val="007452F9"/>
    <w:rsid w:val="0074660C"/>
    <w:rsid w:val="00747B69"/>
    <w:rsid w:val="00750361"/>
    <w:rsid w:val="00750E77"/>
    <w:rsid w:val="00751449"/>
    <w:rsid w:val="00755D95"/>
    <w:rsid w:val="00756B0E"/>
    <w:rsid w:val="00757771"/>
    <w:rsid w:val="00757BAA"/>
    <w:rsid w:val="00762B9C"/>
    <w:rsid w:val="00763999"/>
    <w:rsid w:val="00766491"/>
    <w:rsid w:val="00766BCF"/>
    <w:rsid w:val="00766FF6"/>
    <w:rsid w:val="00767F39"/>
    <w:rsid w:val="007705BC"/>
    <w:rsid w:val="007707C4"/>
    <w:rsid w:val="00770BFB"/>
    <w:rsid w:val="007726E1"/>
    <w:rsid w:val="00774A09"/>
    <w:rsid w:val="00774F4B"/>
    <w:rsid w:val="0079256F"/>
    <w:rsid w:val="00792B96"/>
    <w:rsid w:val="00792FC9"/>
    <w:rsid w:val="0079307B"/>
    <w:rsid w:val="007941CF"/>
    <w:rsid w:val="00794C3A"/>
    <w:rsid w:val="007953C6"/>
    <w:rsid w:val="00796F48"/>
    <w:rsid w:val="007A2A5E"/>
    <w:rsid w:val="007A3C6A"/>
    <w:rsid w:val="007A4651"/>
    <w:rsid w:val="007A5821"/>
    <w:rsid w:val="007A6B87"/>
    <w:rsid w:val="007B0EBF"/>
    <w:rsid w:val="007B10F2"/>
    <w:rsid w:val="007B12EF"/>
    <w:rsid w:val="007B2933"/>
    <w:rsid w:val="007B2B91"/>
    <w:rsid w:val="007B51E2"/>
    <w:rsid w:val="007B5D51"/>
    <w:rsid w:val="007B6F81"/>
    <w:rsid w:val="007C08B4"/>
    <w:rsid w:val="007D0A64"/>
    <w:rsid w:val="007D0CE1"/>
    <w:rsid w:val="007D5D8D"/>
    <w:rsid w:val="007D608D"/>
    <w:rsid w:val="007D7EE0"/>
    <w:rsid w:val="007E10A5"/>
    <w:rsid w:val="007E2A95"/>
    <w:rsid w:val="007E3D71"/>
    <w:rsid w:val="007F0036"/>
    <w:rsid w:val="007F2841"/>
    <w:rsid w:val="007F3E30"/>
    <w:rsid w:val="007F4E23"/>
    <w:rsid w:val="0080096B"/>
    <w:rsid w:val="00800B90"/>
    <w:rsid w:val="00802A66"/>
    <w:rsid w:val="00805ADD"/>
    <w:rsid w:val="00805F99"/>
    <w:rsid w:val="008103A0"/>
    <w:rsid w:val="00810D95"/>
    <w:rsid w:val="00810DD9"/>
    <w:rsid w:val="00810DE3"/>
    <w:rsid w:val="00812C07"/>
    <w:rsid w:val="008138A6"/>
    <w:rsid w:val="00814687"/>
    <w:rsid w:val="0081577A"/>
    <w:rsid w:val="00816ADE"/>
    <w:rsid w:val="00821541"/>
    <w:rsid w:val="00821A06"/>
    <w:rsid w:val="008220F3"/>
    <w:rsid w:val="00822273"/>
    <w:rsid w:val="008235DB"/>
    <w:rsid w:val="00823FCA"/>
    <w:rsid w:val="00826FE4"/>
    <w:rsid w:val="00827103"/>
    <w:rsid w:val="00830059"/>
    <w:rsid w:val="00830647"/>
    <w:rsid w:val="00830E80"/>
    <w:rsid w:val="00832911"/>
    <w:rsid w:val="00833071"/>
    <w:rsid w:val="00833EB7"/>
    <w:rsid w:val="008403CF"/>
    <w:rsid w:val="0084092F"/>
    <w:rsid w:val="00843333"/>
    <w:rsid w:val="00843982"/>
    <w:rsid w:val="00844C87"/>
    <w:rsid w:val="00845875"/>
    <w:rsid w:val="00845E3F"/>
    <w:rsid w:val="00847B71"/>
    <w:rsid w:val="00850A87"/>
    <w:rsid w:val="008532FB"/>
    <w:rsid w:val="008540F0"/>
    <w:rsid w:val="008568C0"/>
    <w:rsid w:val="00864874"/>
    <w:rsid w:val="00864F7F"/>
    <w:rsid w:val="00871CA1"/>
    <w:rsid w:val="00874F47"/>
    <w:rsid w:val="00877D87"/>
    <w:rsid w:val="00880255"/>
    <w:rsid w:val="008810FA"/>
    <w:rsid w:val="00882FB4"/>
    <w:rsid w:val="00884878"/>
    <w:rsid w:val="008855AB"/>
    <w:rsid w:val="00885B9C"/>
    <w:rsid w:val="00886D18"/>
    <w:rsid w:val="00886E56"/>
    <w:rsid w:val="00887B22"/>
    <w:rsid w:val="00891117"/>
    <w:rsid w:val="00892303"/>
    <w:rsid w:val="00893C75"/>
    <w:rsid w:val="00896927"/>
    <w:rsid w:val="00897E16"/>
    <w:rsid w:val="008A144E"/>
    <w:rsid w:val="008A2769"/>
    <w:rsid w:val="008A310A"/>
    <w:rsid w:val="008A6603"/>
    <w:rsid w:val="008B1372"/>
    <w:rsid w:val="008B227D"/>
    <w:rsid w:val="008B2AB7"/>
    <w:rsid w:val="008B5F65"/>
    <w:rsid w:val="008B7736"/>
    <w:rsid w:val="008C0FBD"/>
    <w:rsid w:val="008C3E49"/>
    <w:rsid w:val="008C4465"/>
    <w:rsid w:val="008C4903"/>
    <w:rsid w:val="008C5617"/>
    <w:rsid w:val="008C59DA"/>
    <w:rsid w:val="008C6687"/>
    <w:rsid w:val="008C70BD"/>
    <w:rsid w:val="008C79C7"/>
    <w:rsid w:val="008C7AC8"/>
    <w:rsid w:val="008C7C2F"/>
    <w:rsid w:val="008D0242"/>
    <w:rsid w:val="008D23EE"/>
    <w:rsid w:val="008D27EF"/>
    <w:rsid w:val="008D280D"/>
    <w:rsid w:val="008D28DF"/>
    <w:rsid w:val="008D2DC8"/>
    <w:rsid w:val="008D34F9"/>
    <w:rsid w:val="008D3D46"/>
    <w:rsid w:val="008D3F24"/>
    <w:rsid w:val="008D745E"/>
    <w:rsid w:val="008E0E7A"/>
    <w:rsid w:val="008E29AB"/>
    <w:rsid w:val="008E2BC3"/>
    <w:rsid w:val="008E44A5"/>
    <w:rsid w:val="008E4EF2"/>
    <w:rsid w:val="008E5D0B"/>
    <w:rsid w:val="008F06F2"/>
    <w:rsid w:val="008F1E28"/>
    <w:rsid w:val="008F3012"/>
    <w:rsid w:val="008F4C4B"/>
    <w:rsid w:val="008F5D80"/>
    <w:rsid w:val="008F6614"/>
    <w:rsid w:val="008F7B8C"/>
    <w:rsid w:val="009006D2"/>
    <w:rsid w:val="00905E95"/>
    <w:rsid w:val="00905F0B"/>
    <w:rsid w:val="00906A81"/>
    <w:rsid w:val="009103F3"/>
    <w:rsid w:val="009116F6"/>
    <w:rsid w:val="009126A4"/>
    <w:rsid w:val="00914DC0"/>
    <w:rsid w:val="009163AF"/>
    <w:rsid w:val="00916D52"/>
    <w:rsid w:val="0091704A"/>
    <w:rsid w:val="00923D3D"/>
    <w:rsid w:val="00924CCB"/>
    <w:rsid w:val="0092520A"/>
    <w:rsid w:val="00927978"/>
    <w:rsid w:val="00932FAD"/>
    <w:rsid w:val="00936ECF"/>
    <w:rsid w:val="00937307"/>
    <w:rsid w:val="00941327"/>
    <w:rsid w:val="009424BD"/>
    <w:rsid w:val="009445BA"/>
    <w:rsid w:val="00945130"/>
    <w:rsid w:val="0094589A"/>
    <w:rsid w:val="00945B0A"/>
    <w:rsid w:val="00946F68"/>
    <w:rsid w:val="009475F3"/>
    <w:rsid w:val="00951562"/>
    <w:rsid w:val="00951651"/>
    <w:rsid w:val="00953CAB"/>
    <w:rsid w:val="00954EF3"/>
    <w:rsid w:val="0095603B"/>
    <w:rsid w:val="0095756A"/>
    <w:rsid w:val="00957948"/>
    <w:rsid w:val="009668EF"/>
    <w:rsid w:val="00966E59"/>
    <w:rsid w:val="009713CF"/>
    <w:rsid w:val="009729A9"/>
    <w:rsid w:val="00975FB9"/>
    <w:rsid w:val="009761F8"/>
    <w:rsid w:val="00976AF1"/>
    <w:rsid w:val="00976FB3"/>
    <w:rsid w:val="0098030D"/>
    <w:rsid w:val="009811D1"/>
    <w:rsid w:val="009812A6"/>
    <w:rsid w:val="00981B13"/>
    <w:rsid w:val="00981E62"/>
    <w:rsid w:val="00984F27"/>
    <w:rsid w:val="00985532"/>
    <w:rsid w:val="00985D84"/>
    <w:rsid w:val="0099214E"/>
    <w:rsid w:val="009928E1"/>
    <w:rsid w:val="009943FB"/>
    <w:rsid w:val="0099488A"/>
    <w:rsid w:val="00994D57"/>
    <w:rsid w:val="00996460"/>
    <w:rsid w:val="0099677B"/>
    <w:rsid w:val="009A1E07"/>
    <w:rsid w:val="009A25EB"/>
    <w:rsid w:val="009A290D"/>
    <w:rsid w:val="009A6A8E"/>
    <w:rsid w:val="009B14F5"/>
    <w:rsid w:val="009B4D97"/>
    <w:rsid w:val="009B5096"/>
    <w:rsid w:val="009B5190"/>
    <w:rsid w:val="009B5381"/>
    <w:rsid w:val="009B654F"/>
    <w:rsid w:val="009B6E76"/>
    <w:rsid w:val="009C16DF"/>
    <w:rsid w:val="009C1FDC"/>
    <w:rsid w:val="009C2407"/>
    <w:rsid w:val="009C36FE"/>
    <w:rsid w:val="009C4804"/>
    <w:rsid w:val="009C73F6"/>
    <w:rsid w:val="009D104E"/>
    <w:rsid w:val="009D1FDF"/>
    <w:rsid w:val="009D3524"/>
    <w:rsid w:val="009D364B"/>
    <w:rsid w:val="009D5236"/>
    <w:rsid w:val="009D6E63"/>
    <w:rsid w:val="009E1667"/>
    <w:rsid w:val="009E1CA8"/>
    <w:rsid w:val="009E28E1"/>
    <w:rsid w:val="009E3237"/>
    <w:rsid w:val="009E38C1"/>
    <w:rsid w:val="009E3C43"/>
    <w:rsid w:val="009E6780"/>
    <w:rsid w:val="009E79EC"/>
    <w:rsid w:val="009E7BFD"/>
    <w:rsid w:val="009F0EA3"/>
    <w:rsid w:val="009F17E7"/>
    <w:rsid w:val="009F1FCB"/>
    <w:rsid w:val="009F2C7C"/>
    <w:rsid w:val="009F3569"/>
    <w:rsid w:val="009F3775"/>
    <w:rsid w:val="009F4D99"/>
    <w:rsid w:val="009F50F0"/>
    <w:rsid w:val="00A01327"/>
    <w:rsid w:val="00A018E7"/>
    <w:rsid w:val="00A02E6D"/>
    <w:rsid w:val="00A03911"/>
    <w:rsid w:val="00A04342"/>
    <w:rsid w:val="00A05140"/>
    <w:rsid w:val="00A06FC9"/>
    <w:rsid w:val="00A10DE1"/>
    <w:rsid w:val="00A11D59"/>
    <w:rsid w:val="00A123C7"/>
    <w:rsid w:val="00A13029"/>
    <w:rsid w:val="00A13076"/>
    <w:rsid w:val="00A13B70"/>
    <w:rsid w:val="00A14E44"/>
    <w:rsid w:val="00A14E66"/>
    <w:rsid w:val="00A20730"/>
    <w:rsid w:val="00A22538"/>
    <w:rsid w:val="00A232AC"/>
    <w:rsid w:val="00A251D1"/>
    <w:rsid w:val="00A27E2B"/>
    <w:rsid w:val="00A32FE1"/>
    <w:rsid w:val="00A33218"/>
    <w:rsid w:val="00A33B7B"/>
    <w:rsid w:val="00A34039"/>
    <w:rsid w:val="00A3552E"/>
    <w:rsid w:val="00A35E94"/>
    <w:rsid w:val="00A36449"/>
    <w:rsid w:val="00A414EE"/>
    <w:rsid w:val="00A417FA"/>
    <w:rsid w:val="00A42760"/>
    <w:rsid w:val="00A443C7"/>
    <w:rsid w:val="00A44646"/>
    <w:rsid w:val="00A458B3"/>
    <w:rsid w:val="00A45B60"/>
    <w:rsid w:val="00A45E73"/>
    <w:rsid w:val="00A47EEF"/>
    <w:rsid w:val="00A50F7C"/>
    <w:rsid w:val="00A5551F"/>
    <w:rsid w:val="00A60D9C"/>
    <w:rsid w:val="00A61B0C"/>
    <w:rsid w:val="00A62E17"/>
    <w:rsid w:val="00A65CAA"/>
    <w:rsid w:val="00A662CF"/>
    <w:rsid w:val="00A73C18"/>
    <w:rsid w:val="00A766FD"/>
    <w:rsid w:val="00A80353"/>
    <w:rsid w:val="00A820E7"/>
    <w:rsid w:val="00A82DF8"/>
    <w:rsid w:val="00A8441D"/>
    <w:rsid w:val="00A8779E"/>
    <w:rsid w:val="00A91973"/>
    <w:rsid w:val="00A9333E"/>
    <w:rsid w:val="00A94AE7"/>
    <w:rsid w:val="00A94EC5"/>
    <w:rsid w:val="00A9554E"/>
    <w:rsid w:val="00A9669C"/>
    <w:rsid w:val="00AA31F2"/>
    <w:rsid w:val="00AA321E"/>
    <w:rsid w:val="00AA406C"/>
    <w:rsid w:val="00AA4F9F"/>
    <w:rsid w:val="00AA5E1B"/>
    <w:rsid w:val="00AA6DFB"/>
    <w:rsid w:val="00AA7256"/>
    <w:rsid w:val="00AB0987"/>
    <w:rsid w:val="00AB0FD3"/>
    <w:rsid w:val="00AB3900"/>
    <w:rsid w:val="00AB7215"/>
    <w:rsid w:val="00AC005D"/>
    <w:rsid w:val="00AC14C9"/>
    <w:rsid w:val="00AC14DE"/>
    <w:rsid w:val="00AC32BE"/>
    <w:rsid w:val="00AC56C2"/>
    <w:rsid w:val="00AC5E19"/>
    <w:rsid w:val="00AC6F49"/>
    <w:rsid w:val="00AD0F52"/>
    <w:rsid w:val="00AD2723"/>
    <w:rsid w:val="00AD445D"/>
    <w:rsid w:val="00AD57B1"/>
    <w:rsid w:val="00AD6F47"/>
    <w:rsid w:val="00AD74AD"/>
    <w:rsid w:val="00AE2781"/>
    <w:rsid w:val="00AE5C52"/>
    <w:rsid w:val="00AE6D76"/>
    <w:rsid w:val="00AE6E0A"/>
    <w:rsid w:val="00AE7A7F"/>
    <w:rsid w:val="00AE7B97"/>
    <w:rsid w:val="00AF045F"/>
    <w:rsid w:val="00AF0FA2"/>
    <w:rsid w:val="00AF0FDD"/>
    <w:rsid w:val="00AF5A70"/>
    <w:rsid w:val="00AF5C5C"/>
    <w:rsid w:val="00B02D8E"/>
    <w:rsid w:val="00B03FB1"/>
    <w:rsid w:val="00B073A9"/>
    <w:rsid w:val="00B14467"/>
    <w:rsid w:val="00B15829"/>
    <w:rsid w:val="00B16BCA"/>
    <w:rsid w:val="00B17A9D"/>
    <w:rsid w:val="00B206FA"/>
    <w:rsid w:val="00B21C2F"/>
    <w:rsid w:val="00B249B7"/>
    <w:rsid w:val="00B259A4"/>
    <w:rsid w:val="00B2764E"/>
    <w:rsid w:val="00B300DD"/>
    <w:rsid w:val="00B30E77"/>
    <w:rsid w:val="00B31D5B"/>
    <w:rsid w:val="00B324F1"/>
    <w:rsid w:val="00B33F27"/>
    <w:rsid w:val="00B34B88"/>
    <w:rsid w:val="00B37A25"/>
    <w:rsid w:val="00B40C0F"/>
    <w:rsid w:val="00B40EA5"/>
    <w:rsid w:val="00B44032"/>
    <w:rsid w:val="00B456CC"/>
    <w:rsid w:val="00B457C9"/>
    <w:rsid w:val="00B478EF"/>
    <w:rsid w:val="00B47CB9"/>
    <w:rsid w:val="00B51BAD"/>
    <w:rsid w:val="00B53E4E"/>
    <w:rsid w:val="00B55BE4"/>
    <w:rsid w:val="00B564A3"/>
    <w:rsid w:val="00B56514"/>
    <w:rsid w:val="00B56551"/>
    <w:rsid w:val="00B57AE9"/>
    <w:rsid w:val="00B57CA2"/>
    <w:rsid w:val="00B62639"/>
    <w:rsid w:val="00B638BD"/>
    <w:rsid w:val="00B65584"/>
    <w:rsid w:val="00B65EB5"/>
    <w:rsid w:val="00B66555"/>
    <w:rsid w:val="00B71672"/>
    <w:rsid w:val="00B7196F"/>
    <w:rsid w:val="00B7261E"/>
    <w:rsid w:val="00B72CEC"/>
    <w:rsid w:val="00B73156"/>
    <w:rsid w:val="00B7326F"/>
    <w:rsid w:val="00B73650"/>
    <w:rsid w:val="00B74929"/>
    <w:rsid w:val="00B7716B"/>
    <w:rsid w:val="00B777E6"/>
    <w:rsid w:val="00B80134"/>
    <w:rsid w:val="00B80707"/>
    <w:rsid w:val="00B83B72"/>
    <w:rsid w:val="00B861D4"/>
    <w:rsid w:val="00B86AAB"/>
    <w:rsid w:val="00B8737A"/>
    <w:rsid w:val="00B87675"/>
    <w:rsid w:val="00B910DF"/>
    <w:rsid w:val="00B91224"/>
    <w:rsid w:val="00B922B9"/>
    <w:rsid w:val="00B92B2F"/>
    <w:rsid w:val="00B94259"/>
    <w:rsid w:val="00B95043"/>
    <w:rsid w:val="00B9749F"/>
    <w:rsid w:val="00BA1D7E"/>
    <w:rsid w:val="00BA2B5B"/>
    <w:rsid w:val="00BA3026"/>
    <w:rsid w:val="00BA3AD0"/>
    <w:rsid w:val="00BA3EFF"/>
    <w:rsid w:val="00BA4972"/>
    <w:rsid w:val="00BA4F16"/>
    <w:rsid w:val="00BA5FE7"/>
    <w:rsid w:val="00BB1C24"/>
    <w:rsid w:val="00BB2580"/>
    <w:rsid w:val="00BB27EC"/>
    <w:rsid w:val="00BB36D7"/>
    <w:rsid w:val="00BB37B2"/>
    <w:rsid w:val="00BB37EE"/>
    <w:rsid w:val="00BB4B1E"/>
    <w:rsid w:val="00BB530B"/>
    <w:rsid w:val="00BB58D3"/>
    <w:rsid w:val="00BB74DD"/>
    <w:rsid w:val="00BB7AC3"/>
    <w:rsid w:val="00BB7AF1"/>
    <w:rsid w:val="00BB7D5C"/>
    <w:rsid w:val="00BC179B"/>
    <w:rsid w:val="00BC1ECB"/>
    <w:rsid w:val="00BC281E"/>
    <w:rsid w:val="00BC432E"/>
    <w:rsid w:val="00BC4778"/>
    <w:rsid w:val="00BC6774"/>
    <w:rsid w:val="00BC6C8B"/>
    <w:rsid w:val="00BC6EEF"/>
    <w:rsid w:val="00BC7980"/>
    <w:rsid w:val="00BD28C5"/>
    <w:rsid w:val="00BD2FEE"/>
    <w:rsid w:val="00BD4D43"/>
    <w:rsid w:val="00BD63CA"/>
    <w:rsid w:val="00BD7695"/>
    <w:rsid w:val="00BD791C"/>
    <w:rsid w:val="00BE0D5C"/>
    <w:rsid w:val="00BE0EE1"/>
    <w:rsid w:val="00BE4BDF"/>
    <w:rsid w:val="00BE4D3A"/>
    <w:rsid w:val="00BE5FED"/>
    <w:rsid w:val="00BE65E4"/>
    <w:rsid w:val="00BE7134"/>
    <w:rsid w:val="00BE7D81"/>
    <w:rsid w:val="00BF0AA7"/>
    <w:rsid w:val="00BF2F97"/>
    <w:rsid w:val="00BF589C"/>
    <w:rsid w:val="00C00765"/>
    <w:rsid w:val="00C00E26"/>
    <w:rsid w:val="00C01354"/>
    <w:rsid w:val="00C03A2E"/>
    <w:rsid w:val="00C048CE"/>
    <w:rsid w:val="00C06287"/>
    <w:rsid w:val="00C11038"/>
    <w:rsid w:val="00C12309"/>
    <w:rsid w:val="00C13D5C"/>
    <w:rsid w:val="00C20D5E"/>
    <w:rsid w:val="00C23583"/>
    <w:rsid w:val="00C26031"/>
    <w:rsid w:val="00C27DBB"/>
    <w:rsid w:val="00C312CC"/>
    <w:rsid w:val="00C3389E"/>
    <w:rsid w:val="00C36C67"/>
    <w:rsid w:val="00C4066A"/>
    <w:rsid w:val="00C4074A"/>
    <w:rsid w:val="00C40D0E"/>
    <w:rsid w:val="00C44346"/>
    <w:rsid w:val="00C469FC"/>
    <w:rsid w:val="00C46B7B"/>
    <w:rsid w:val="00C51DF7"/>
    <w:rsid w:val="00C5255D"/>
    <w:rsid w:val="00C54C76"/>
    <w:rsid w:val="00C56BAB"/>
    <w:rsid w:val="00C57E14"/>
    <w:rsid w:val="00C602B7"/>
    <w:rsid w:val="00C60A6A"/>
    <w:rsid w:val="00C60D92"/>
    <w:rsid w:val="00C65930"/>
    <w:rsid w:val="00C74FA0"/>
    <w:rsid w:val="00C75AB0"/>
    <w:rsid w:val="00C7739A"/>
    <w:rsid w:val="00C82AA4"/>
    <w:rsid w:val="00C8305C"/>
    <w:rsid w:val="00C8328E"/>
    <w:rsid w:val="00C844D6"/>
    <w:rsid w:val="00C85FF6"/>
    <w:rsid w:val="00C9326B"/>
    <w:rsid w:val="00C939E3"/>
    <w:rsid w:val="00C94419"/>
    <w:rsid w:val="00C95691"/>
    <w:rsid w:val="00C9680D"/>
    <w:rsid w:val="00C96A47"/>
    <w:rsid w:val="00C970CE"/>
    <w:rsid w:val="00CA113C"/>
    <w:rsid w:val="00CA15DE"/>
    <w:rsid w:val="00CA1ECD"/>
    <w:rsid w:val="00CA3743"/>
    <w:rsid w:val="00CA4C7F"/>
    <w:rsid w:val="00CA73B3"/>
    <w:rsid w:val="00CB06AD"/>
    <w:rsid w:val="00CB1255"/>
    <w:rsid w:val="00CB13B7"/>
    <w:rsid w:val="00CB516D"/>
    <w:rsid w:val="00CB6B00"/>
    <w:rsid w:val="00CB7087"/>
    <w:rsid w:val="00CB723D"/>
    <w:rsid w:val="00CC41EE"/>
    <w:rsid w:val="00CD01CD"/>
    <w:rsid w:val="00CD061B"/>
    <w:rsid w:val="00CD0BF5"/>
    <w:rsid w:val="00CD0FA4"/>
    <w:rsid w:val="00CD1001"/>
    <w:rsid w:val="00CD1089"/>
    <w:rsid w:val="00CD1BCD"/>
    <w:rsid w:val="00CD41F8"/>
    <w:rsid w:val="00CD5DB6"/>
    <w:rsid w:val="00CD6D61"/>
    <w:rsid w:val="00CD7D66"/>
    <w:rsid w:val="00CD7FFC"/>
    <w:rsid w:val="00CE1DFB"/>
    <w:rsid w:val="00CE2C6E"/>
    <w:rsid w:val="00CE2D75"/>
    <w:rsid w:val="00CE3E9C"/>
    <w:rsid w:val="00CE6C66"/>
    <w:rsid w:val="00CE799B"/>
    <w:rsid w:val="00CF046A"/>
    <w:rsid w:val="00CF321C"/>
    <w:rsid w:val="00CF4FE6"/>
    <w:rsid w:val="00CF556F"/>
    <w:rsid w:val="00CF5974"/>
    <w:rsid w:val="00CF6D7F"/>
    <w:rsid w:val="00D0030F"/>
    <w:rsid w:val="00D0445F"/>
    <w:rsid w:val="00D0492B"/>
    <w:rsid w:val="00D0608D"/>
    <w:rsid w:val="00D061D5"/>
    <w:rsid w:val="00D06E87"/>
    <w:rsid w:val="00D06EFC"/>
    <w:rsid w:val="00D074BF"/>
    <w:rsid w:val="00D11705"/>
    <w:rsid w:val="00D1197E"/>
    <w:rsid w:val="00D119C5"/>
    <w:rsid w:val="00D122E5"/>
    <w:rsid w:val="00D1619E"/>
    <w:rsid w:val="00D16FC9"/>
    <w:rsid w:val="00D206B3"/>
    <w:rsid w:val="00D219C1"/>
    <w:rsid w:val="00D22C33"/>
    <w:rsid w:val="00D27373"/>
    <w:rsid w:val="00D32833"/>
    <w:rsid w:val="00D33124"/>
    <w:rsid w:val="00D33DA7"/>
    <w:rsid w:val="00D3507E"/>
    <w:rsid w:val="00D3534B"/>
    <w:rsid w:val="00D354D0"/>
    <w:rsid w:val="00D41D9A"/>
    <w:rsid w:val="00D461E5"/>
    <w:rsid w:val="00D472D8"/>
    <w:rsid w:val="00D50F87"/>
    <w:rsid w:val="00D51B74"/>
    <w:rsid w:val="00D5255B"/>
    <w:rsid w:val="00D538F6"/>
    <w:rsid w:val="00D5457D"/>
    <w:rsid w:val="00D54EF5"/>
    <w:rsid w:val="00D551E2"/>
    <w:rsid w:val="00D564B3"/>
    <w:rsid w:val="00D56FF4"/>
    <w:rsid w:val="00D61E55"/>
    <w:rsid w:val="00D6213A"/>
    <w:rsid w:val="00D62A7D"/>
    <w:rsid w:val="00D70223"/>
    <w:rsid w:val="00D73760"/>
    <w:rsid w:val="00D738E3"/>
    <w:rsid w:val="00D74036"/>
    <w:rsid w:val="00D753D8"/>
    <w:rsid w:val="00D763C0"/>
    <w:rsid w:val="00D802BD"/>
    <w:rsid w:val="00D808EE"/>
    <w:rsid w:val="00D81690"/>
    <w:rsid w:val="00D82D90"/>
    <w:rsid w:val="00D83459"/>
    <w:rsid w:val="00D872D9"/>
    <w:rsid w:val="00D87A84"/>
    <w:rsid w:val="00D87FE7"/>
    <w:rsid w:val="00D90D7B"/>
    <w:rsid w:val="00D91885"/>
    <w:rsid w:val="00D93663"/>
    <w:rsid w:val="00D94097"/>
    <w:rsid w:val="00D95DDC"/>
    <w:rsid w:val="00D96B60"/>
    <w:rsid w:val="00DA0634"/>
    <w:rsid w:val="00DA1517"/>
    <w:rsid w:val="00DA157D"/>
    <w:rsid w:val="00DA3E6F"/>
    <w:rsid w:val="00DA62C5"/>
    <w:rsid w:val="00DA7CB8"/>
    <w:rsid w:val="00DA7DA7"/>
    <w:rsid w:val="00DB0410"/>
    <w:rsid w:val="00DB0794"/>
    <w:rsid w:val="00DB0871"/>
    <w:rsid w:val="00DB0CB2"/>
    <w:rsid w:val="00DB0E7E"/>
    <w:rsid w:val="00DB2F1B"/>
    <w:rsid w:val="00DB4242"/>
    <w:rsid w:val="00DC05F2"/>
    <w:rsid w:val="00DC08BC"/>
    <w:rsid w:val="00DC1F63"/>
    <w:rsid w:val="00DC231E"/>
    <w:rsid w:val="00DC478A"/>
    <w:rsid w:val="00DD1011"/>
    <w:rsid w:val="00DE2175"/>
    <w:rsid w:val="00DE221F"/>
    <w:rsid w:val="00DE2EF1"/>
    <w:rsid w:val="00DE39DE"/>
    <w:rsid w:val="00DE3A2A"/>
    <w:rsid w:val="00DE4909"/>
    <w:rsid w:val="00DE55E6"/>
    <w:rsid w:val="00DE5DBB"/>
    <w:rsid w:val="00DF169D"/>
    <w:rsid w:val="00DF4D2E"/>
    <w:rsid w:val="00DF5A85"/>
    <w:rsid w:val="00DF7AE1"/>
    <w:rsid w:val="00E0241F"/>
    <w:rsid w:val="00E02E54"/>
    <w:rsid w:val="00E04482"/>
    <w:rsid w:val="00E04D37"/>
    <w:rsid w:val="00E05840"/>
    <w:rsid w:val="00E074C5"/>
    <w:rsid w:val="00E07968"/>
    <w:rsid w:val="00E10BA8"/>
    <w:rsid w:val="00E112D4"/>
    <w:rsid w:val="00E121E1"/>
    <w:rsid w:val="00E12448"/>
    <w:rsid w:val="00E14683"/>
    <w:rsid w:val="00E15678"/>
    <w:rsid w:val="00E207DB"/>
    <w:rsid w:val="00E21EFB"/>
    <w:rsid w:val="00E2267F"/>
    <w:rsid w:val="00E235D4"/>
    <w:rsid w:val="00E24A2D"/>
    <w:rsid w:val="00E25FBA"/>
    <w:rsid w:val="00E270B7"/>
    <w:rsid w:val="00E27C9F"/>
    <w:rsid w:val="00E30C9D"/>
    <w:rsid w:val="00E33927"/>
    <w:rsid w:val="00E36A50"/>
    <w:rsid w:val="00E41B22"/>
    <w:rsid w:val="00E43C87"/>
    <w:rsid w:val="00E44BDB"/>
    <w:rsid w:val="00E457BF"/>
    <w:rsid w:val="00E50A82"/>
    <w:rsid w:val="00E528EB"/>
    <w:rsid w:val="00E5370B"/>
    <w:rsid w:val="00E56811"/>
    <w:rsid w:val="00E56A3E"/>
    <w:rsid w:val="00E57919"/>
    <w:rsid w:val="00E6139F"/>
    <w:rsid w:val="00E61E1E"/>
    <w:rsid w:val="00E62387"/>
    <w:rsid w:val="00E64B3B"/>
    <w:rsid w:val="00E67751"/>
    <w:rsid w:val="00E67D97"/>
    <w:rsid w:val="00E71A05"/>
    <w:rsid w:val="00E742BC"/>
    <w:rsid w:val="00E80AB0"/>
    <w:rsid w:val="00E80D50"/>
    <w:rsid w:val="00E8435E"/>
    <w:rsid w:val="00E90B9D"/>
    <w:rsid w:val="00E9223D"/>
    <w:rsid w:val="00E923F1"/>
    <w:rsid w:val="00E93762"/>
    <w:rsid w:val="00E96A6F"/>
    <w:rsid w:val="00E97F3D"/>
    <w:rsid w:val="00EA0A9D"/>
    <w:rsid w:val="00EA1B79"/>
    <w:rsid w:val="00EA2B9A"/>
    <w:rsid w:val="00EA42B1"/>
    <w:rsid w:val="00EA4BDE"/>
    <w:rsid w:val="00EA6D03"/>
    <w:rsid w:val="00EB0527"/>
    <w:rsid w:val="00EB0D89"/>
    <w:rsid w:val="00EB1D3D"/>
    <w:rsid w:val="00EB3D8A"/>
    <w:rsid w:val="00EB49FB"/>
    <w:rsid w:val="00EB4AF9"/>
    <w:rsid w:val="00EB4E6A"/>
    <w:rsid w:val="00EB5999"/>
    <w:rsid w:val="00EB6139"/>
    <w:rsid w:val="00EB711D"/>
    <w:rsid w:val="00EC0476"/>
    <w:rsid w:val="00EC2948"/>
    <w:rsid w:val="00EC71ED"/>
    <w:rsid w:val="00EC7486"/>
    <w:rsid w:val="00EC7F12"/>
    <w:rsid w:val="00ED04F4"/>
    <w:rsid w:val="00ED2536"/>
    <w:rsid w:val="00ED27A5"/>
    <w:rsid w:val="00ED6790"/>
    <w:rsid w:val="00ED7B38"/>
    <w:rsid w:val="00EE0057"/>
    <w:rsid w:val="00EE0E84"/>
    <w:rsid w:val="00EE120A"/>
    <w:rsid w:val="00EE208F"/>
    <w:rsid w:val="00EE308D"/>
    <w:rsid w:val="00EE44C9"/>
    <w:rsid w:val="00EE58DD"/>
    <w:rsid w:val="00EF087C"/>
    <w:rsid w:val="00EF2769"/>
    <w:rsid w:val="00EF366A"/>
    <w:rsid w:val="00EF44A4"/>
    <w:rsid w:val="00EF4DF3"/>
    <w:rsid w:val="00EF5337"/>
    <w:rsid w:val="00EF748B"/>
    <w:rsid w:val="00F000AA"/>
    <w:rsid w:val="00F02F28"/>
    <w:rsid w:val="00F0799D"/>
    <w:rsid w:val="00F12744"/>
    <w:rsid w:val="00F13F24"/>
    <w:rsid w:val="00F1419E"/>
    <w:rsid w:val="00F1472A"/>
    <w:rsid w:val="00F16EEB"/>
    <w:rsid w:val="00F209D8"/>
    <w:rsid w:val="00F22100"/>
    <w:rsid w:val="00F221BB"/>
    <w:rsid w:val="00F24252"/>
    <w:rsid w:val="00F27ED1"/>
    <w:rsid w:val="00F30CF8"/>
    <w:rsid w:val="00F31315"/>
    <w:rsid w:val="00F33F97"/>
    <w:rsid w:val="00F36BFC"/>
    <w:rsid w:val="00F40408"/>
    <w:rsid w:val="00F42301"/>
    <w:rsid w:val="00F42F5E"/>
    <w:rsid w:val="00F43B6E"/>
    <w:rsid w:val="00F43BA3"/>
    <w:rsid w:val="00F46297"/>
    <w:rsid w:val="00F46ABC"/>
    <w:rsid w:val="00F5172B"/>
    <w:rsid w:val="00F53655"/>
    <w:rsid w:val="00F5379D"/>
    <w:rsid w:val="00F53C1E"/>
    <w:rsid w:val="00F55290"/>
    <w:rsid w:val="00F55956"/>
    <w:rsid w:val="00F56CA9"/>
    <w:rsid w:val="00F57701"/>
    <w:rsid w:val="00F6071E"/>
    <w:rsid w:val="00F614AD"/>
    <w:rsid w:val="00F616C5"/>
    <w:rsid w:val="00F62CFC"/>
    <w:rsid w:val="00F639E2"/>
    <w:rsid w:val="00F65284"/>
    <w:rsid w:val="00F711FF"/>
    <w:rsid w:val="00F71327"/>
    <w:rsid w:val="00F71512"/>
    <w:rsid w:val="00F74363"/>
    <w:rsid w:val="00F74FA5"/>
    <w:rsid w:val="00F7658C"/>
    <w:rsid w:val="00F769FF"/>
    <w:rsid w:val="00F7743B"/>
    <w:rsid w:val="00F77E6A"/>
    <w:rsid w:val="00F77FAD"/>
    <w:rsid w:val="00F81D93"/>
    <w:rsid w:val="00F831FB"/>
    <w:rsid w:val="00F86C62"/>
    <w:rsid w:val="00F87B17"/>
    <w:rsid w:val="00F907B5"/>
    <w:rsid w:val="00F91709"/>
    <w:rsid w:val="00F93164"/>
    <w:rsid w:val="00F93332"/>
    <w:rsid w:val="00F940A3"/>
    <w:rsid w:val="00F9413F"/>
    <w:rsid w:val="00F94A2D"/>
    <w:rsid w:val="00F94D21"/>
    <w:rsid w:val="00F94F18"/>
    <w:rsid w:val="00FA11D0"/>
    <w:rsid w:val="00FA14EB"/>
    <w:rsid w:val="00FA344A"/>
    <w:rsid w:val="00FA39DE"/>
    <w:rsid w:val="00FA406D"/>
    <w:rsid w:val="00FA44DE"/>
    <w:rsid w:val="00FA4570"/>
    <w:rsid w:val="00FA690F"/>
    <w:rsid w:val="00FA72B8"/>
    <w:rsid w:val="00FB066F"/>
    <w:rsid w:val="00FB3278"/>
    <w:rsid w:val="00FB3748"/>
    <w:rsid w:val="00FB5056"/>
    <w:rsid w:val="00FB70A9"/>
    <w:rsid w:val="00FC015B"/>
    <w:rsid w:val="00FC019D"/>
    <w:rsid w:val="00FC19A6"/>
    <w:rsid w:val="00FC3508"/>
    <w:rsid w:val="00FC3C87"/>
    <w:rsid w:val="00FD0CB0"/>
    <w:rsid w:val="00FD1315"/>
    <w:rsid w:val="00FD190F"/>
    <w:rsid w:val="00FD19F3"/>
    <w:rsid w:val="00FD443C"/>
    <w:rsid w:val="00FD7BD8"/>
    <w:rsid w:val="00FE1536"/>
    <w:rsid w:val="00FE2504"/>
    <w:rsid w:val="00FE25EE"/>
    <w:rsid w:val="00FE4491"/>
    <w:rsid w:val="00FE5456"/>
    <w:rsid w:val="00FE5718"/>
    <w:rsid w:val="00FE669B"/>
    <w:rsid w:val="00FE68CD"/>
    <w:rsid w:val="00FF061A"/>
    <w:rsid w:val="00FF2137"/>
    <w:rsid w:val="00FF2AE0"/>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51B74"/>
    <w:pPr>
      <w:numPr>
        <w:ilvl w:val="2"/>
      </w:numPr>
      <w:spacing w:before="0" w:line="240" w:lineRule="exact"/>
      <w:outlineLvl w:val="2"/>
    </w:pPr>
    <w:rPr>
      <w:rFonts w:ascii="Franklin Gothic Book" w:hAnsi="Franklin Gothic Book"/>
      <w:color w:val="auto"/>
      <w:sz w:val="21"/>
      <w:szCs w:val="21"/>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D51B74"/>
    <w:rPr>
      <w:rFonts w:ascii="Franklin Gothic Book" w:eastAsia="Times New Roman" w:hAnsi="Franklin Gothic Book" w:cs="Arial"/>
      <w:kern w:val="28"/>
      <w:sz w:val="21"/>
      <w:szCs w:val="21"/>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Footnote Text1,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qFormat/>
    <w:rsid w:val="00190321"/>
    <w:rPr>
      <w:i/>
      <w:iCs/>
    </w:rPr>
  </w:style>
  <w:style w:type="paragraph" w:customStyle="1" w:styleId="Default">
    <w:name w:val="Default"/>
    <w:rsid w:val="00DC05F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D51B74"/>
    <w:pPr>
      <w:numPr>
        <w:ilvl w:val="2"/>
      </w:numPr>
      <w:spacing w:before="0" w:line="240" w:lineRule="exact"/>
      <w:outlineLvl w:val="2"/>
    </w:pPr>
    <w:rPr>
      <w:rFonts w:ascii="Franklin Gothic Book" w:hAnsi="Franklin Gothic Book"/>
      <w:color w:val="auto"/>
      <w:sz w:val="21"/>
      <w:szCs w:val="21"/>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D51B74"/>
    <w:rPr>
      <w:rFonts w:ascii="Franklin Gothic Book" w:eastAsia="Times New Roman" w:hAnsi="Franklin Gothic Book" w:cs="Arial"/>
      <w:kern w:val="28"/>
      <w:sz w:val="21"/>
      <w:szCs w:val="21"/>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nR-ANZDEC,ftref,(NECG) Footnote Reference,Fußnotenzeichen DISS,de nota al pie,Ref,fr,16 Point,Superscript 6 Point,Footnote Ref in FtNote,SUPERS,Footnote text,BVI fnr,Footnote Text1,Normal + Font:9 Point,Superscript 3 Point Times"/>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Book" w:hAnsi="Franklin Gothic Book"/>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qFormat/>
    <w:rsid w:val="00190321"/>
    <w:rPr>
      <w:i/>
      <w:iCs/>
    </w:rPr>
  </w:style>
  <w:style w:type="paragraph" w:customStyle="1" w:styleId="Default">
    <w:name w:val="Default"/>
    <w:rsid w:val="00DC05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568">
      <w:bodyDiv w:val="1"/>
      <w:marLeft w:val="0"/>
      <w:marRight w:val="0"/>
      <w:marTop w:val="0"/>
      <w:marBottom w:val="0"/>
      <w:divBdr>
        <w:top w:val="none" w:sz="0" w:space="0" w:color="auto"/>
        <w:left w:val="none" w:sz="0" w:space="0" w:color="auto"/>
        <w:bottom w:val="none" w:sz="0" w:space="0" w:color="auto"/>
        <w:right w:val="none" w:sz="0" w:space="0" w:color="auto"/>
      </w:divBdr>
    </w:div>
    <w:div w:id="150365658">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352538109">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656541034">
      <w:bodyDiv w:val="1"/>
      <w:marLeft w:val="0"/>
      <w:marRight w:val="0"/>
      <w:marTop w:val="0"/>
      <w:marBottom w:val="0"/>
      <w:divBdr>
        <w:top w:val="none" w:sz="0" w:space="0" w:color="auto"/>
        <w:left w:val="none" w:sz="0" w:space="0" w:color="auto"/>
        <w:bottom w:val="none" w:sz="0" w:space="0" w:color="auto"/>
        <w:right w:val="none" w:sz="0" w:space="0" w:color="auto"/>
      </w:divBdr>
    </w:div>
    <w:div w:id="771555374">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50650463">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7608433">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38872089">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4.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74043-CFDD-4E77-9E0F-8008739804BC}"/>
</file>

<file path=customXml/itemProps2.xml><?xml version="1.0" encoding="utf-8"?>
<ds:datastoreItem xmlns:ds="http://schemas.openxmlformats.org/officeDocument/2006/customXml" ds:itemID="{216C0D3C-911B-4721-AB55-38FCF256E61F}"/>
</file>

<file path=customXml/itemProps3.xml><?xml version="1.0" encoding="utf-8"?>
<ds:datastoreItem xmlns:ds="http://schemas.openxmlformats.org/officeDocument/2006/customXml" ds:itemID="{CC3462F9-F4F8-4C0A-BAB5-C7B38264298F}"/>
</file>

<file path=customXml/itemProps4.xml><?xml version="1.0" encoding="utf-8"?>
<ds:datastoreItem xmlns:ds="http://schemas.openxmlformats.org/officeDocument/2006/customXml" ds:itemID="{4BF6D555-4979-4245-A43C-C3C68C67F2CC}"/>
</file>

<file path=docProps/app.xml><?xml version="1.0" encoding="utf-8"?>
<Properties xmlns="http://schemas.openxmlformats.org/officeDocument/2006/extended-properties" xmlns:vt="http://schemas.openxmlformats.org/officeDocument/2006/docPropsVTypes">
  <Template>29BB843E</Template>
  <TotalTime>0</TotalTime>
  <Pages>16</Pages>
  <Words>6561</Words>
  <Characters>37399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2015-10-29T04:37:00Z</dcterms:created>
  <dcterms:modified xsi:type="dcterms:W3CDTF">2015-10-29T04:37:00Z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978800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